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Indice</w:t>
          </w:r>
        </w:p>
        <w:p>
          <w:r>
            <w:fldChar w:fldCharType="begin" w:dirty="true"/>
            <w:instrText xml:space="preserve">TOC \o "1-2" \h \z \u</w:instrText>
            <w:fldChar w:fldCharType="separate"/>
            <w:fldChar w:fldCharType="end"/>
          </w:r>
        </w:p>
      </w:sdtContent>
    </w:sdt>
    <w:bookmarkStart w:id="26" w:name="avvertenza-importante"/>
    <w:p>
      <w:pPr>
        <w:pStyle w:val="Heading1"/>
      </w:pPr>
      <w:r>
        <w:t xml:space="preserve">Avvertenza importante</w:t>
      </w:r>
    </w:p>
    <w:bookmarkStart w:id="20" w:name="non-sostituisce-il-parere-medico"/>
    <w:p>
      <w:pPr>
        <w:pStyle w:val="Heading3"/>
      </w:pPr>
      <w:r>
        <w:t xml:space="preserve">Non sostituisce il parere medico</w:t>
      </w:r>
    </w:p>
    <w:p>
      <w:pPr>
        <w:pStyle w:val="FirstParagraph"/>
      </w:pPr>
      <w:r>
        <w:t xml:space="preserve">Questo libro ha esclusivamente scopo di informazione e formazione generale. Non sostituisce la consulenza, la diagnosi o il trattamento medico. Prima di prendere decisioni sulla Sua salute, di iniziare, sospendere o modificare un farmaco, ne parli con un medico o con un farmacista. In caso di disturbi acuti si rivolga alla guardia medica o chiami il numero di emergenza.</w:t>
      </w:r>
    </w:p>
    <w:bookmarkEnd w:id="20"/>
    <w:bookmarkStart w:id="21" w:name="nessuna-raccomandazione-duso"/>
    <w:p>
      <w:pPr>
        <w:pStyle w:val="Heading3"/>
      </w:pPr>
      <w:r>
        <w:t xml:space="preserve">Nessuna raccomandazione d’uso</w:t>
      </w:r>
    </w:p>
    <w:p>
      <w:pPr>
        <w:pStyle w:val="FirstParagraph"/>
      </w:pPr>
      <w:r>
        <w:t xml:space="preserve">Questo libro non contiene deliberatamente raccomandazioni sull’uso dei peptidi, né dosaggi, istruzioni per l’assunzione o l’iniezione, cicli di utilizzo o raccomandazioni di combinazione. Quando nel testo viene indicata una dose, essa descrive esclusivamente ciò che è stato studiato in uno studio specifico. Non è una raccomandazione e non può essere trasferita alla Sua situazione personale. Per i farmaci autorizzati fanno fede il Riassunto delle caratteristiche del prodotto, il foglio illustrativo e l’accompagnamento medico.</w:t>
      </w:r>
    </w:p>
    <w:bookmarkEnd w:id="21"/>
    <w:bookmarkStart w:id="22" w:name="molte-sostanze-non-sono-autorizzate"/>
    <w:p>
      <w:pPr>
        <w:pStyle w:val="Heading3"/>
      </w:pPr>
      <w:r>
        <w:t xml:space="preserve">Molte sostanze non sono autorizzate</w:t>
      </w:r>
    </w:p>
    <w:p>
      <w:pPr>
        <w:pStyle w:val="FirstParagraph"/>
      </w:pPr>
      <w:r>
        <w:t xml:space="preserve">Numerosi peptidi descritti in questo libro</w:t>
      </w:r>
      <w:r>
        <w:t xml:space="preserve"> </w:t>
      </w:r>
      <w:r>
        <w:rPr>
          <w:bCs/>
          <w:b/>
        </w:rPr>
        <w:t xml:space="preserve">non</w:t>
      </w:r>
      <w:r>
        <w:t xml:space="preserve"> </w:t>
      </w:r>
      <w:r>
        <w:t xml:space="preserve">sono autorizzati come farmaci nell’Unione europea, in Austria, in Germania e negli Stati Uniti. Per molti di essi esistono solo studi su animali o in laboratorio. La presentazione di tali sostanze in questo libro non costituisce un’affermazione sulla loro efficacia o sicurezza nell’uomo né un invito a utilizzarle. I prodotti offerti su Internet come „Research Peptides“ o „solo a scopo di ricerca“ possono essere dosati in modo errato, contaminati o contraffatti. Il loro uso può avere gravi conseguenze sanitarie e legali.</w:t>
      </w:r>
    </w:p>
    <w:bookmarkEnd w:id="22"/>
    <w:bookmarkStart w:id="23" w:name="doping"/>
    <w:p>
      <w:pPr>
        <w:pStyle w:val="Heading3"/>
      </w:pPr>
      <w:r>
        <w:t xml:space="preserve">Doping</w:t>
      </w:r>
    </w:p>
    <w:p>
      <w:pPr>
        <w:pStyle w:val="FirstParagraph"/>
      </w:pPr>
      <w:r>
        <w:t xml:space="preserve">Molti dei peptidi descritti figurano nella Lista delle sostanze proibite dell’Agenzia mondiale antidoping (WADA). Il loro uso può comportare squalifiche per atlete e atleti sottoposti a controlli antidoping. In Austria e in Germania il commercio, la cessione e in determinati casi anche il possesso di sostanze dopanti possono costituire reato.</w:t>
      </w:r>
    </w:p>
    <w:bookmarkEnd w:id="23"/>
    <w:bookmarkStart w:id="24" w:name="aggiornamento-e-garanzia"/>
    <w:p>
      <w:pPr>
        <w:pStyle w:val="Heading3"/>
      </w:pPr>
      <w:r>
        <w:t xml:space="preserve">Aggiornamento e garanzia</w:t>
      </w:r>
    </w:p>
    <w:p>
      <w:pPr>
        <w:pStyle w:val="FirstParagraph"/>
      </w:pPr>
      <w:r>
        <w:t xml:space="preserve">Le informazioni contenute in questo libro sono</w:t>
      </w:r>
      <w:r>
        <w:t xml:space="preserve"> </w:t>
      </w:r>
      <w:r>
        <w:rPr>
          <w:bCs/>
          <w:b/>
        </w:rPr>
        <w:t xml:space="preserve">aggiornate a novembre 2026</w:t>
      </w:r>
      <w:r>
        <w:t xml:space="preserve">. La ricerca nelle banche dati è stata effettuata nell’ottobre 2026. Le conoscenze mediche, le autorizzazioni, le leggi e le norme antidoping cambiano continuamente. Tutte le informazioni sono state raccolte in buona fede e con grande cura, ma senza garanzia di correttezza, completezza e attualità. È esclusa, nei limiti consentiti dalla legge, la responsabilità dell’autore per danni derivanti dall’uso delle informazioni contenute in questo libro. La descrizione del quadro normativo non costituisce consulenza legale.</w:t>
      </w:r>
    </w:p>
    <w:bookmarkEnd w:id="24"/>
    <w:bookmarkStart w:id="25" w:name="trasparenza-come-è-nato-questo-libro"/>
    <w:p>
      <w:pPr>
        <w:pStyle w:val="Heading3"/>
      </w:pPr>
      <w:r>
        <w:t xml:space="preserve">Trasparenza: come è nato questo libro</w:t>
      </w:r>
    </w:p>
    <w:p>
      <w:pPr>
        <w:pStyle w:val="FirstParagraph"/>
      </w:pPr>
      <w:r>
        <w:t xml:space="preserve">Questo libro è stato ricercato e redatto con il supporto dell’intelligenza artificiale (IA) e successivamente rivisto dall’autore. L’IA è stata impiegata per cercare studi nelle banche dati PubMed e ClinicalTrials.gov, analizzare i riassunti degli studi e preparare bozze di testo.</w:t>
      </w:r>
    </w:p>
    <w:p>
      <w:pPr>
        <w:pStyle w:val="BodyText"/>
      </w:pPr>
      <w:r>
        <w:t xml:space="preserve">Per evitare errori valgono regole rigorose: ogni studio citato è indicato con il suo numero PubMed (PMID) o con il suo numero di registrazione su ClinicalTrials.gov (numero NCT). Ogni cifra proviene dal riassunto della rispettiva pubblicazione o dalla voce di registro. Tutti i numeri citati sono stati inoltre verificati automaticamente con le banche dati. In questo modo può consultare personalmente ogni fonte e verificare le informazioni. Come fare è spiegato nella sezione seguente; i dettagli sulla ricerca si trovano nell’appendice „Metodologia“.</w:t>
      </w:r>
    </w:p>
    <w:bookmarkEnd w:id="25"/>
    <w:bookmarkEnd w:id="26"/>
    <w:bookmarkStart w:id="35" w:name="questo-libro"/>
    <w:p>
      <w:pPr>
        <w:pStyle w:val="Heading1"/>
      </w:pPr>
      <w:r>
        <w:t xml:space="preserve">Questo libro</w:t>
      </w:r>
    </w:p>
    <w:bookmarkStart w:id="27" w:name="a-che-cosa-serve-questo-libro"/>
    <w:p>
      <w:pPr>
        <w:pStyle w:val="Heading3"/>
      </w:pPr>
      <w:r>
        <w:t xml:space="preserve">A che cosa serve questo libro</w:t>
      </w:r>
    </w:p>
    <w:p>
      <w:pPr>
        <w:pStyle w:val="FirstParagraph"/>
      </w:pPr>
      <w:r>
        <w:t xml:space="preserve">Dei peptidi si parla ovunque. Le iniezioni dimagranti come semaglutide e tirzepatide hanno cambiato il trattamento del sovrappeso, e su Internet vengono offerti decine di altri peptidi – per una guarigione più rapida, più muscoli, una pelle migliore, più energia o una vita più lunga. Tra le promesse nei forum, sui social media e nei negozi online e ciò che è stato effettivamente studiato nell’uomo c’è spesso un grande divario.</w:t>
      </w:r>
    </w:p>
    <w:p>
      <w:pPr>
        <w:pStyle w:val="BodyText"/>
      </w:pPr>
      <w:r>
        <w:t xml:space="preserve">Questo libro vuole rendere visibile questo divario. Per ogni peptide trattato espone con sobrietà quali studi sull’uomo esistono, che cosa mostrano e che cosa no, quali rischi sono noti e qual è il quadro normativo. Mette a confronto i peptidi tra loro e valuta quanto siano solide le prove in ciascun caso. Intende aiutarLa a esaminare criticamente le affermazioni e a condurre colloqui informati con medici e farmacie.</w:t>
      </w:r>
    </w:p>
    <w:bookmarkEnd w:id="27"/>
    <w:bookmarkStart w:id="28" w:name="per-chi-è-scritto-questo-libro"/>
    <w:p>
      <w:pPr>
        <w:pStyle w:val="Heading3"/>
      </w:pPr>
      <w:r>
        <w:t xml:space="preserve">Per chi è scritto questo libro</w:t>
      </w:r>
    </w:p>
    <w:p>
      <w:pPr>
        <w:numPr>
          <w:ilvl w:val="0"/>
          <w:numId w:val="1001"/>
        </w:numPr>
        <w:pStyle w:val="Compact"/>
      </w:pPr>
      <w:r>
        <w:t xml:space="preserve">Per</w:t>
      </w:r>
      <w:r>
        <w:t xml:space="preserve"> </w:t>
      </w:r>
      <w:r>
        <w:rPr>
          <w:bCs/>
          <w:b/>
        </w:rPr>
        <w:t xml:space="preserve">profani interessati</w:t>
      </w:r>
      <w:r>
        <w:t xml:space="preserve"> </w:t>
      </w:r>
      <w:r>
        <w:t xml:space="preserve">che vogliono sapere che cosa si nasconde dietro il boom dei peptidi.</w:t>
      </w:r>
    </w:p>
    <w:p>
      <w:pPr>
        <w:numPr>
          <w:ilvl w:val="0"/>
          <w:numId w:val="1001"/>
        </w:numPr>
        <w:pStyle w:val="Compact"/>
      </w:pPr>
      <w:r>
        <w:t xml:space="preserve">Per le persone a cui è stato prescritto un</w:t>
      </w:r>
      <w:r>
        <w:t xml:space="preserve"> </w:t>
      </w:r>
      <w:r>
        <w:rPr>
          <w:bCs/>
          <w:b/>
        </w:rPr>
        <w:t xml:space="preserve">farmaco peptidico autorizzato</w:t>
      </w:r>
      <w:r>
        <w:t xml:space="preserve">, o che ci stanno pensando, e che vogliono capire i dati degli studi.</w:t>
      </w:r>
    </w:p>
    <w:p>
      <w:pPr>
        <w:numPr>
          <w:ilvl w:val="0"/>
          <w:numId w:val="1001"/>
        </w:numPr>
        <w:pStyle w:val="Compact"/>
      </w:pPr>
      <w:r>
        <w:t xml:space="preserve">Per</w:t>
      </w:r>
      <w:r>
        <w:t xml:space="preserve"> </w:t>
      </w:r>
      <w:r>
        <w:rPr>
          <w:bCs/>
          <w:b/>
        </w:rPr>
        <w:t xml:space="preserve">atlete e atleti</w:t>
      </w:r>
      <w:r>
        <w:t xml:space="preserve">, allenatrici e allenatori che vogliono valutare promesse pubblicitarie e rischi di doping.</w:t>
      </w:r>
    </w:p>
    <w:p>
      <w:pPr>
        <w:numPr>
          <w:ilvl w:val="0"/>
          <w:numId w:val="1001"/>
        </w:numPr>
        <w:pStyle w:val="Compact"/>
      </w:pPr>
      <w:r>
        <w:t xml:space="preserve">Per</w:t>
      </w:r>
      <w:r>
        <w:t xml:space="preserve"> </w:t>
      </w:r>
      <w:r>
        <w:rPr>
          <w:bCs/>
          <w:b/>
        </w:rPr>
        <w:t xml:space="preserve">professionisti</w:t>
      </w:r>
      <w:r>
        <w:t xml:space="preserve"> </w:t>
      </w:r>
      <w:r>
        <w:t xml:space="preserve">di farmacia, medicina, consulenza nutrizionale, cosmesi e giornalismo che cercano una panoramica rapida e basata sulle fonti.</w:t>
      </w:r>
    </w:p>
    <w:p>
      <w:pPr>
        <w:pStyle w:val="FirstParagraph"/>
      </w:pPr>
      <w:r>
        <w:t xml:space="preserve">Non sono necessarie conoscenze preliminari. I termini tecnici vengono spiegati alla loro prima comparsa e si trovano anche nel glossario.</w:t>
      </w:r>
    </w:p>
    <w:bookmarkEnd w:id="28"/>
    <w:bookmarkStart w:id="29" w:name="come-è-strutturato-il-libro"/>
    <w:p>
      <w:pPr>
        <w:pStyle w:val="Heading3"/>
      </w:pPr>
      <w:r>
        <w:t xml:space="preserve">Come è strutturato il libro</w:t>
      </w:r>
    </w:p>
    <w:p>
      <w:pPr>
        <w:pStyle w:val="FirstParagraph"/>
      </w:pPr>
      <w:r>
        <w:t xml:space="preserve">La</w:t>
      </w:r>
      <w:r>
        <w:t xml:space="preserve"> </w:t>
      </w:r>
      <w:r>
        <w:rPr>
          <w:bCs/>
          <w:b/>
        </w:rPr>
        <w:t xml:space="preserve">Parte I – Fondamenti</w:t>
      </w:r>
      <w:r>
        <w:t xml:space="preserve"> </w:t>
      </w:r>
      <w:r>
        <w:t xml:space="preserve">spiega che cosa sono i peptidi, come si è sviluppata la medicina dei peptidi, come i peptidi entrano nell’organismo, come si leggono gli studi, che cosa accade sul mercato grigio e quale quadro giuridico si applica. Chi non ha familiarità con questi temi dovrebbe cominciare da qui.</w:t>
      </w:r>
    </w:p>
    <w:p>
      <w:pPr>
        <w:pStyle w:val="BodyText"/>
      </w:pPr>
      <w:r>
        <w:t xml:space="preserve">La</w:t>
      </w:r>
      <w:r>
        <w:t xml:space="preserve"> </w:t>
      </w:r>
      <w:r>
        <w:rPr>
          <w:bCs/>
          <w:b/>
        </w:rPr>
        <w:t xml:space="preserve">Parte II – I peptidi</w:t>
      </w:r>
      <w:r>
        <w:t xml:space="preserve"> </w:t>
      </w:r>
      <w:r>
        <w:t xml:space="preserve">presenta i singoli principi attivi in sei gruppi: metabolismo e peso; guarigione, rigenerazione e sistema immunitario; asse dell’ormone della crescita; cervello, sonno e longevità; ormoni, sessualità e pigmentazione; collagene, nutrizione e cosmesi. Ogni capitolo segue la stessa struttura: scheda, meccanismo d’azione, studi sull’uomo, studi su animali e in laboratorio, rischi ed effetti collaterali, quadro normativo, studi in corso e prospettive, conclusione. In questo modo può confrontare facilmente i peptidi tra loro e consultarli in modo mirato.</w:t>
      </w:r>
    </w:p>
    <w:p>
      <w:pPr>
        <w:pStyle w:val="BodyText"/>
      </w:pPr>
      <w:r>
        <w:t xml:space="preserve">La</w:t>
      </w:r>
      <w:r>
        <w:t xml:space="preserve"> </w:t>
      </w:r>
      <w:r>
        <w:rPr>
          <w:bCs/>
          <w:b/>
        </w:rPr>
        <w:t xml:space="preserve">Parte III – Il grande confronto</w:t>
      </w:r>
      <w:r>
        <w:t xml:space="preserve"> </w:t>
      </w:r>
      <w:r>
        <w:t xml:space="preserve">mette tutti i peptidi uno accanto all’altro e confronta direttamente i farmaci GLP-1.</w:t>
      </w:r>
    </w:p>
    <w:p>
      <w:pPr>
        <w:pStyle w:val="BodyText"/>
      </w:pPr>
      <w:r>
        <w:t xml:space="preserve">La</w:t>
      </w:r>
      <w:r>
        <w:t xml:space="preserve"> </w:t>
      </w:r>
      <w:r>
        <w:rPr>
          <w:bCs/>
          <w:b/>
        </w:rPr>
        <w:t xml:space="preserve">Parte IV – Rischi</w:t>
      </w:r>
      <w:r>
        <w:t xml:space="preserve"> </w:t>
      </w:r>
      <w:r>
        <w:t xml:space="preserve">riassume effetti collaterali, rischi oncologici e immunitari, problemi dei prodotti del mercato grigio e gruppi particolarmente a rischio.</w:t>
      </w:r>
    </w:p>
    <w:p>
      <w:pPr>
        <w:pStyle w:val="BodyText"/>
      </w:pPr>
      <w:r>
        <w:t xml:space="preserve">La</w:t>
      </w:r>
      <w:r>
        <w:t xml:space="preserve"> </w:t>
      </w:r>
      <w:r>
        <w:rPr>
          <w:bCs/>
          <w:b/>
        </w:rPr>
        <w:t xml:space="preserve">Parte V – Futuro</w:t>
      </w:r>
      <w:r>
        <w:t xml:space="preserve"> </w:t>
      </w:r>
      <w:r>
        <w:t xml:space="preserve">guarda alla pipeline di sviluppo, alle nuove forme farmaceutiche, alle scadenze dei brevetti e ai prezzi. Fatti accertati e valutazioni vengono tenuti chiaramente separati.</w:t>
      </w:r>
    </w:p>
    <w:p>
      <w:pPr>
        <w:pStyle w:val="BodyText"/>
      </w:pPr>
      <w:r>
        <w:t xml:space="preserve">Nell’</w:t>
      </w:r>
      <w:r>
        <w:rPr>
          <w:bCs/>
          <w:b/>
        </w:rPr>
        <w:t xml:space="preserve">Appendice</w:t>
      </w:r>
      <w:r>
        <w:t xml:space="preserve"> </w:t>
      </w:r>
      <w:r>
        <w:t xml:space="preserve">trova il glossario, la metodologia della ricerca e l’elenco degli studi esaminati.</w:t>
      </w:r>
    </w:p>
    <w:bookmarkEnd w:id="29"/>
    <w:bookmarkStart w:id="30" w:name="i-livelli-di-evidenza"/>
    <w:p>
      <w:pPr>
        <w:pStyle w:val="Heading3"/>
      </w:pPr>
      <w:r>
        <w:t xml:space="preserve">I livelli di evidenza</w:t>
      </w:r>
    </w:p>
    <w:p>
      <w:pPr>
        <w:pStyle w:val="FirstParagraph"/>
      </w:pPr>
      <w:r>
        <w:t xml:space="preserve">Ogni peptide riceve nella scheda un livello di evidenza. Esso descrive quanto sono buoni i dati</w:t>
      </w:r>
      <w:r>
        <w:t xml:space="preserve"> </w:t>
      </w:r>
      <w:r>
        <w:rPr>
          <w:bCs/>
          <w:b/>
        </w:rPr>
        <w:t xml:space="preserve">nell’uomo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Livello</w:t>
            </w:r>
          </w:p>
        </w:tc>
        <w:tc>
          <w:tcPr/>
          <w:p>
            <w:pPr>
              <w:pStyle w:val="Compact"/>
              <w:jc w:val="left"/>
            </w:pPr>
            <w:r>
              <w:t xml:space="preserve">Significato</w:t>
            </w:r>
          </w:p>
        </w:tc>
      </w:tr>
      <w:tr>
        <w:tc>
          <w:tcPr/>
          <w:p>
            <w:pPr>
              <w:pStyle w:val="Compact"/>
              <w:jc w:val="left"/>
            </w:pPr>
            <w:r>
              <w:t xml:space="preserve">A</w:t>
            </w:r>
          </w:p>
        </w:tc>
        <w:tc>
          <w:tcPr/>
          <w:p>
            <w:pPr>
              <w:pStyle w:val="Compact"/>
              <w:jc w:val="left"/>
            </w:pPr>
            <w:r>
              <w:t xml:space="preserve">diversi grandi studi randomizzati nell’uomo, autorizzazione come farmaco</w:t>
            </w:r>
          </w:p>
        </w:tc>
      </w:tr>
      <w:tr>
        <w:tc>
          <w:tcPr/>
          <w:p>
            <w:pPr>
              <w:pStyle w:val="Compact"/>
              <w:jc w:val="left"/>
            </w:pPr>
            <w:r>
              <w:t xml:space="preserve">B</w:t>
            </w:r>
          </w:p>
        </w:tc>
        <w:tc>
          <w:tcPr/>
          <w:p>
            <w:pPr>
              <w:pStyle w:val="Compact"/>
              <w:jc w:val="left"/>
            </w:pPr>
            <w:r>
              <w:t xml:space="preserve">singoli studi randomizzati nell’uomo</w:t>
            </w:r>
          </w:p>
        </w:tc>
      </w:tr>
      <w:tr>
        <w:tc>
          <w:tcPr/>
          <w:p>
            <w:pPr>
              <w:pStyle w:val="Compact"/>
              <w:jc w:val="left"/>
            </w:pPr>
            <w:r>
              <w:t xml:space="preserve">C</w:t>
            </w:r>
          </w:p>
        </w:tc>
        <w:tc>
          <w:tcPr/>
          <w:p>
            <w:pPr>
              <w:pStyle w:val="Compact"/>
              <w:jc w:val="left"/>
            </w:pPr>
            <w:r>
              <w:t xml:space="preserve">solo studi piccoli o non controllati nell’uomo</w:t>
            </w:r>
          </w:p>
        </w:tc>
      </w:tr>
      <w:tr>
        <w:tc>
          <w:tcPr/>
          <w:p>
            <w:pPr>
              <w:pStyle w:val="Compact"/>
              <w:jc w:val="left"/>
            </w:pPr>
            <w:r>
              <w:t xml:space="preserve">D</w:t>
            </w:r>
          </w:p>
        </w:tc>
        <w:tc>
          <w:tcPr/>
          <w:p>
            <w:pPr>
              <w:pStyle w:val="Compact"/>
              <w:jc w:val="left"/>
            </w:pPr>
            <w:r>
              <w:t xml:space="preserve">solo studi su animali e in laboratorio</w:t>
            </w:r>
          </w:p>
        </w:tc>
      </w:tr>
    </w:tbl>
    <w:p>
      <w:pPr>
        <w:pStyle w:val="BodyText"/>
      </w:pPr>
      <w:r>
        <w:t xml:space="preserve">Il livello di evidenza non è una raccomandazione né un’affermazione sulla sicurezza di una sostanza. Anche un principio attivo di livello A ha effetti collaterali, e una sostanza di livello D non è necessariamente inefficace – semplicemente non è ancora stata studiata a sufficienza nell’uomo. Che cosa si nasconde dietro i termini „randomizzato“, „controllato“ o „endpoint surrogato“ lo spiega il capitolo „Leggere correttamente gli studi“.</w:t>
      </w:r>
    </w:p>
    <w:bookmarkEnd w:id="30"/>
    <w:bookmarkStart w:id="31" w:name="come-sono-indicate-le-fonti"/>
    <w:p>
      <w:pPr>
        <w:pStyle w:val="Heading3"/>
      </w:pPr>
      <w:r>
        <w:t xml:space="preserve">Come sono indicate le fonti</w:t>
      </w:r>
    </w:p>
    <w:p>
      <w:pPr>
        <w:pStyle w:val="FirstParagraph"/>
      </w:pPr>
      <w:r>
        <w:t xml:space="preserve">Ogni studio è indicato nel testo con la prima autrice o il primo autore, l’anno di pubblicazione e il numero PubMed, per esempio:</w:t>
      </w:r>
    </w:p>
    <w:p>
      <w:pPr>
        <w:pStyle w:val="BodyText"/>
      </w:pPr>
      <w:r>
        <w:t xml:space="preserve">(Wilding 2021, PMID 33567185)</w:t>
      </w:r>
    </w:p>
    <w:p>
      <w:pPr>
        <w:pStyle w:val="BodyText"/>
      </w:pPr>
      <w:r>
        <w:t xml:space="preserve">Gli studi registrati, in particolare quelli in corso, sono indicati con il loro numero nel registro statunitense degli studi ClinicalTrials.gov, per esempio:</w:t>
      </w:r>
    </w:p>
    <w:p>
      <w:pPr>
        <w:pStyle w:val="BodyText"/>
      </w:pPr>
      <w:r>
        <w:t xml:space="preserve">(NCT03548935)</w:t>
      </w:r>
    </w:p>
    <w:p>
      <w:pPr>
        <w:pStyle w:val="BodyText"/>
      </w:pPr>
      <w:r>
        <w:t xml:space="preserve">Non ci sono note a piè di pagina né una bibliografia separata alla fine dei capitoli; l’elenco completo degli studi si trova nell’appendice.</w:t>
      </w:r>
    </w:p>
    <w:bookmarkEnd w:id="31"/>
    <w:bookmarkStart w:id="32" w:name="come-consultare-una-fonte"/>
    <w:p>
      <w:pPr>
        <w:pStyle w:val="Heading3"/>
      </w:pPr>
      <w:r>
        <w:t xml:space="preserve">Come consultare una fonte</w:t>
      </w:r>
    </w:p>
    <w:p>
      <w:pPr>
        <w:pStyle w:val="FirstParagraph"/>
      </w:pPr>
      <w:r>
        <w:rPr>
          <w:bCs/>
          <w:b/>
        </w:rPr>
        <w:t xml:space="preserve">PMID</w:t>
      </w:r>
      <w:r>
        <w:t xml:space="preserve">: il numero identificativo PubMed è un numero univoco per ogni voce di PubMed, la banca dati bibliografica liberamente accessibile della National Library of Medicine statunitense.</w:t>
      </w:r>
    </w:p>
    <w:p>
      <w:pPr>
        <w:numPr>
          <w:ilvl w:val="0"/>
          <w:numId w:val="1002"/>
        </w:numPr>
        <w:pStyle w:val="Compact"/>
      </w:pPr>
      <w:r>
        <w:t xml:space="preserve">Apra nel Suo browser la pagina pubmed.ncbi.nlm.nih.gov.</w:t>
      </w:r>
    </w:p>
    <w:p>
      <w:pPr>
        <w:numPr>
          <w:ilvl w:val="0"/>
          <w:numId w:val="1002"/>
        </w:numPr>
        <w:pStyle w:val="Compact"/>
      </w:pPr>
      <w:r>
        <w:t xml:space="preserve">Inserisca il numero nel campo di ricerca, per esempio 33567185, e avvii la ricerca.</w:t>
      </w:r>
    </w:p>
    <w:p>
      <w:pPr>
        <w:numPr>
          <w:ilvl w:val="0"/>
          <w:numId w:val="1002"/>
        </w:numPr>
        <w:pStyle w:val="Compact"/>
      </w:pPr>
      <w:r>
        <w:t xml:space="preserve">Arriverà direttamente alla voce con titolo, autrici e autori, rivista scientifica e quasi sempre un riassunto (abstract).</w:t>
      </w:r>
    </w:p>
    <w:p>
      <w:pPr>
        <w:pStyle w:val="FirstParagraph"/>
      </w:pPr>
      <w:r>
        <w:t xml:space="preserve">In alternativa può aggiungere il numero direttamente all’indirizzo: pubmed.ncbi.nlm.nih.gov/33567185. Molte voci contengono un link al testo completo, disponibile in parte gratuitamente, in parte solo a pagamento.</w:t>
      </w:r>
    </w:p>
    <w:p>
      <w:pPr>
        <w:pStyle w:val="BodyText"/>
      </w:pPr>
      <w:r>
        <w:rPr>
          <w:bCs/>
          <w:b/>
        </w:rPr>
        <w:t xml:space="preserve">Numero NCT</w:t>
      </w:r>
      <w:r>
        <w:t xml:space="preserve">: gli studi registrati si trovano sulla pagina clinicaltrials.gov inserendo il numero nel campo di ricerca oppure aggiungendolo all’indirizzo clinicaltrials.gov/study/, per esempio clinicaltrials.gov/study/NCT03548935. Lì vedrà il disegno dello studio, il numero di partecipanti, gli endpoint e lo stato attuale.</w:t>
      </w:r>
    </w:p>
    <w:bookmarkEnd w:id="32"/>
    <w:bookmarkStart w:id="33" w:name="X7cf46efdc03b479bab23d6d4fdc20f59d903bd8"/>
    <w:p>
      <w:pPr>
        <w:pStyle w:val="Heading3"/>
      </w:pPr>
      <w:r>
        <w:t xml:space="preserve">Che cosa questo libro deliberatamente non contiene</w:t>
      </w:r>
    </w:p>
    <w:p>
      <w:pPr>
        <w:numPr>
          <w:ilvl w:val="0"/>
          <w:numId w:val="1003"/>
        </w:numPr>
        <w:pStyle w:val="Compact"/>
      </w:pPr>
      <w:r>
        <w:rPr>
          <w:bCs/>
          <w:b/>
        </w:rPr>
        <w:t xml:space="preserve">Nessun dosaggio né istruzione d’uso.</w:t>
      </w:r>
      <w:r>
        <w:t xml:space="preserve"> </w:t>
      </w:r>
      <w:r>
        <w:t xml:space="preserve">Non ci sono indicazioni su quanto, con quale frequenza o per quanto tempo usare un peptide, nessuna istruzione per sciogliere o iniettare e nessuna combinazione di più sostanze. Per i farmaci autorizzati il libro rimanda al Riassunto delle caratteristiche del prodotto e all’accompagnamento medico.</w:t>
      </w:r>
    </w:p>
    <w:p>
      <w:pPr>
        <w:numPr>
          <w:ilvl w:val="0"/>
          <w:numId w:val="1003"/>
        </w:numPr>
        <w:pStyle w:val="Compact"/>
      </w:pPr>
      <w:r>
        <w:rPr>
          <w:bCs/>
          <w:b/>
        </w:rPr>
        <w:t xml:space="preserve">Nessuna fonte di approvvigionamento.</w:t>
      </w:r>
      <w:r>
        <w:t xml:space="preserve"> </w:t>
      </w:r>
      <w:r>
        <w:t xml:space="preserve">Non vengono indicati negozi, produttori, farmacie o Paesi in cui acquistare peptidi, né suggerimenti su come aggirare i controlli.</w:t>
      </w:r>
    </w:p>
    <w:p>
      <w:pPr>
        <w:numPr>
          <w:ilvl w:val="0"/>
          <w:numId w:val="1003"/>
        </w:numPr>
        <w:pStyle w:val="Compact"/>
      </w:pPr>
      <w:r>
        <w:rPr>
          <w:bCs/>
          <w:b/>
        </w:rPr>
        <w:t xml:space="preserve">Nessuna promessa di guarigione.</w:t>
      </w:r>
      <w:r>
        <w:t xml:space="preserve"> </w:t>
      </w:r>
      <w:r>
        <w:t xml:space="preserve">Il libro riferisce ciò che è stato osservato negli studi – non ciò che una sostanza produrrà su di Lei.</w:t>
      </w:r>
    </w:p>
    <w:p>
      <w:pPr>
        <w:numPr>
          <w:ilvl w:val="0"/>
          <w:numId w:val="1003"/>
        </w:numPr>
        <w:pStyle w:val="Compact"/>
      </w:pPr>
      <w:r>
        <w:rPr>
          <w:bCs/>
          <w:b/>
        </w:rPr>
        <w:t xml:space="preserve">Nessuna raccomandazione di prodotti.</w:t>
      </w:r>
      <w:r>
        <w:t xml:space="preserve"> </w:t>
      </w:r>
      <w:r>
        <w:t xml:space="preserve">Non vengono raccomandati né marchi né fornitori. I nomi commerciali di farmaci autorizzati vengono citati solo quando sono necessari alla comprensione.</w:t>
      </w:r>
    </w:p>
    <w:bookmarkEnd w:id="33"/>
    <w:bookmarkStart w:id="34" w:name="una-parola-per-concludere"/>
    <w:p>
      <w:pPr>
        <w:pStyle w:val="Heading3"/>
      </w:pPr>
      <w:r>
        <w:t xml:space="preserve">Una parola per concludere</w:t>
      </w:r>
    </w:p>
    <w:p>
      <w:pPr>
        <w:pStyle w:val="FirstParagraph"/>
      </w:pPr>
      <w:r>
        <w:t xml:space="preserve">Questo libro è uno strumento per riflettere, non una guida all’autotrattamento. Se dopo la lettura avrà più domande di prima, non è un cattivo segno: spesso la risposta più onesta alla domanda „Questo peptide funziona?“ è „Nessuno lo sa ancora“.</w:t>
      </w:r>
    </w:p>
    <w:bookmarkEnd w:id="34"/>
    <w:bookmarkEnd w:id="35"/>
    <w:bookmarkStart w:id="36" w:name="colophon"/>
    <w:p>
      <w:pPr>
        <w:pStyle w:val="Heading1"/>
      </w:pPr>
      <w:r>
        <w:t xml:space="preserve">Colophon</w:t>
      </w:r>
    </w:p>
    <w:p>
      <w:pPr>
        <w:pStyle w:val="FirstParagraph"/>
      </w:pPr>
      <w:r>
        <w:rPr>
          <w:bCs/>
          <w:b/>
        </w:rPr>
        <w:t xml:space="preserve">Il manuale dei peptidi</w:t>
      </w:r>
      <w:r>
        <w:t xml:space="preserve"> </w:t>
      </w:r>
      <w:r>
        <w:t xml:space="preserve">Tutti gli studi sull’uomo a confronto – effetti, rischi, quadro normativo e prospettive</w:t>
      </w:r>
    </w:p>
    <w:p>
      <w:pPr>
        <w:pStyle w:val="BodyText"/>
      </w:pPr>
      <w:r>
        <w:t xml:space="preserve">© 2026 Josef Gallab. Tutti i diritti riservati.</w:t>
      </w:r>
    </w:p>
    <w:p>
      <w:pPr>
        <w:pStyle w:val="BodyText"/>
      </w:pPr>
      <w:r>
        <w:t xml:space="preserve">Prima edizione. Stato della ricerca: ottobre/novembre 2026. Tradotto dall’originale tedesco.</w:t>
      </w:r>
    </w:p>
    <w:p>
      <w:pPr>
        <w:pStyle w:val="BodyText"/>
      </w:pPr>
      <w:r>
        <w:t xml:space="preserve">Questo libro ha scopo esclusivamente informativo. Non sostituisce il parere, la diagnosi o il trattamento medico</w:t>
      </w:r>
      <w:r>
        <w:t xml:space="preserve"> </w:t>
      </w:r>
      <w:r>
        <w:t xml:space="preserve">e non contiene raccomandazioni d’uso. Molte delle sostanze descritte non sono autorizzate come medicinali.</w:t>
      </w:r>
    </w:p>
    <w:p>
      <w:pPr>
        <w:pStyle w:val="BodyText"/>
      </w:pPr>
      <w:r>
        <w:t xml:space="preserve">Copertina: Josef Gallab</w:t>
      </w:r>
    </w:p>
    <w:p>
      <w:pPr>
        <w:pStyle w:val="BodyText"/>
      </w:pPr>
      <w:r>
        <w:t xml:space="preserve">Nessuna parte di quest’opera può essere riprodotta o distribuita senza l’autorizzazione scritta dell’autore.</w:t>
      </w:r>
    </w:p>
    <w:bookmarkEnd w:id="36"/>
    <w:bookmarkStart w:id="129" w:name="parte-i-fondamenti"/>
    <w:p>
      <w:pPr>
        <w:pStyle w:val="Heading1"/>
      </w:pPr>
      <w:r>
        <w:t xml:space="preserve">Parte I – Fondamenti</w:t>
      </w:r>
    </w:p>
    <w:p>
      <w:pPr>
        <w:pStyle w:val="FirstParagraph"/>
      </w:pPr>
      <w:r>
        <w:t xml:space="preserve">Prima che la Parte II si occupi dei singoli principi attivi, questa parte getta le fondamenta. Scoprirà che cosa sia chimicamente un peptide, come un estratto di pancreas di cane sia diventato nel giro di un secolo uno dei gruppi di farmaci con il maggior fatturato al mondo, perché la maggior parte dei peptidi debba essere iniettata, come si legge uno studio senza farsi ingannare dai titoli dei giornali, che cosa contengano davvero i flaconcini del mercato grigio e quali regole giuridiche si applichino.</w:t>
      </w:r>
    </w:p>
    <w:p>
      <w:pPr>
        <w:pStyle w:val="BodyText"/>
      </w:pPr>
      <w:r>
        <w:t xml:space="preserve">Chi desidera consultare solo un determinato peptide può passare direttamente alla Parte II. I capitoli di questa parte spiegano però i concetti e i criteri che vi vengono usati di continuo – per esempio „randomizzato“, „endpoint surrogato“, „livello di evidenza B“ o „Research Peptide“. Un rapido sguardo vale quindi la pena anche per le lettrici e i lettori di fretta.</w:t>
      </w:r>
    </w:p>
    <w:bookmarkStart w:id="48" w:name="Xa70d45a323c1414fbca5841191eb849e5e24a48"/>
    <w:p>
      <w:pPr>
        <w:pStyle w:val="Heading2"/>
      </w:pPr>
      <w:r>
        <w:t xml:space="preserve">Che cosa sono i peptidi – e che cosa non sono</w:t>
      </w:r>
    </w:p>
    <w:p>
      <w:pPr>
        <w:pStyle w:val="FirstParagraph"/>
      </w:pPr>
      <w:r>
        <w:t xml:space="preserve">Negli ultimi anni la parola „peptide“ ha fatto una carriera sorprendente. Compare su creme per la pelle e proteine in polvere, nelle pubblicità delle iniezioni dimagranti e nei forum online in cui si discute di „peptidi curativi“. Eppure il termine indica innanzitutto soltanto un determinato tipo di struttura chimica – niente di più e niente di meno. Non dice nulla sul fatto che una sostanza funzioni, che sia sicura o che arrivi davvero nell’organismo. Questo capitolo chiarisce i concetti di base e sgombra il campo da alcuni equivoci diffusi.</w:t>
      </w:r>
    </w:p>
    <w:bookmarkStart w:id="37" w:name="amminoacidi-i-mattoni"/>
    <w:p>
      <w:pPr>
        <w:pStyle w:val="Heading3"/>
      </w:pPr>
      <w:r>
        <w:t xml:space="preserve">Amminoacidi: i mattoni</w:t>
      </w:r>
    </w:p>
    <w:p>
      <w:pPr>
        <w:pStyle w:val="FirstParagraph"/>
      </w:pPr>
      <w:r>
        <w:t xml:space="preserve">Tutti i peptidi e le proteine sono costituiti da amminoacidi. Un amminoacido è una piccola molecola con due componenti tipiche: un gruppo amminico (contiene azoto) e un gruppo acido (gruppo carbossilico). In mezzo si trova un atomo di carbonio centrale al quale è legata una cosiddetta catena laterale. È questa catena laterale a distinguere gli amminoacidi tra loro: può essere piccola e poco appariscente come nella glicina, oleosa e idrorepellente come nella leucina, elettricamente carica come nella lisina o contenente zolfo come nella cisteina.</w:t>
      </w:r>
    </w:p>
    <w:p>
      <w:pPr>
        <w:pStyle w:val="BodyText"/>
      </w:pPr>
      <w:r>
        <w:t xml:space="preserve">Il corpo umano costruisce le sue proteine essenzialmente a partire da 20 amminoacidi standard. Alcuni può produrli da sé, altri – gli amminoacidi „essenziali“ – deve assumerli con il cibo. Esistono inoltre centinaia di altri amminoacidi presenti in natura o prodotti in laboratorio. Per lo sviluppo dei farmaci questi amminoacidi „non naturali“ sono importanti perché possono rendere un peptide più stabile. Un esempio lo trova più avanti a proposito della semaglutide.</w:t>
      </w:r>
    </w:p>
    <w:p>
      <w:pPr>
        <w:pStyle w:val="BodyText"/>
      </w:pPr>
      <w:r>
        <w:t xml:space="preserve">Importante per comprendere molte promesse pubblicitarie: i singoli amminoacidi non sono peptidi. Un integratore alimentare con arginina, glutammina o „BCAA“ contiene amminoacidi liberi, cioè mattoni sciolti – non un peptide.</w:t>
      </w:r>
    </w:p>
    <w:bookmarkEnd w:id="37"/>
    <w:bookmarkStart w:id="38" w:name="il-legame-peptidico"/>
    <w:p>
      <w:pPr>
        <w:pStyle w:val="Heading3"/>
      </w:pPr>
      <w:r>
        <w:t xml:space="preserve">Il legame peptidico</w:t>
      </w:r>
    </w:p>
    <w:p>
      <w:pPr>
        <w:pStyle w:val="FirstParagraph"/>
      </w:pPr>
      <w:r>
        <w:t xml:space="preserve">Quando due amminoacidi si uniscono, il gruppo acido dell’uno reagisce con il gruppo amminico dell’altro. Viene liberata una molecola d’acqua e si forma un collegamento stabile: il legame peptidico. Il risultato si chiama dipeptide. Aggiungendo un altro amminoacido si ottiene un tripeptide, poi un tetrapeptide e così via. Una catena di questo tipo ha sempre una direzione: inizia con un gruppo amminico libero (l’„N-terminale“) e termina con un gruppo acido libero (il „C-terminale“). Negli articoli scientifici gli amminoacidi vengono perciò sempre scritti da sinistra a destra, dall’estremità N a quella C – spesso con sigle di una lettera. Il tripeptide „GHK“, per esempio, sta per glicina–istidina–lisina.</w:t>
      </w:r>
    </w:p>
    <w:p>
      <w:pPr>
        <w:pStyle w:val="BodyText"/>
      </w:pPr>
      <w:r>
        <w:t xml:space="preserve">L’ordine degli amminoacidi si chiama sequenza o struttura primaria. È decisivo: due peptidi composti dagli stessi mattoni in ordine diverso sono sostanze diverse con proprietà differenti – così come „Roma“ e „amor“ sono composte dalle stesse lettere.</w:t>
      </w:r>
    </w:p>
    <w:bookmarkEnd w:id="38"/>
    <w:bookmarkStart w:id="39" w:name="Xb11a4044e408a434bfd7e45419173c38b95da4b"/>
    <w:p>
      <w:pPr>
        <w:pStyle w:val="Heading3"/>
      </w:pPr>
      <w:r>
        <w:t xml:space="preserve">Peptide o proteina? Una questione di lunghezza</w:t>
      </w:r>
    </w:p>
    <w:p>
      <w:pPr>
        <w:pStyle w:val="FirstParagraph"/>
      </w:pPr>
      <w:r>
        <w:t xml:space="preserve">Tra peptidi e proteine non esiste un confine scientifico netto, ma una convenzione. In linea di massima vale:</w:t>
      </w:r>
    </w:p>
    <w:p>
      <w:pPr>
        <w:numPr>
          <w:ilvl w:val="0"/>
          <w:numId w:val="1004"/>
        </w:numPr>
        <w:pStyle w:val="Compact"/>
      </w:pPr>
      <w:r>
        <w:rPr>
          <w:bCs/>
          <w:b/>
        </w:rPr>
        <w:t xml:space="preserve">Oligopeptidi</w:t>
      </w:r>
      <w:r>
        <w:t xml:space="preserve">: circa da 2 a 10 amminoacidi, per esempio il tripeptide glutatione o il dipeptide carnosina.</w:t>
      </w:r>
    </w:p>
    <w:p>
      <w:pPr>
        <w:numPr>
          <w:ilvl w:val="0"/>
          <w:numId w:val="1004"/>
        </w:numPr>
        <w:pStyle w:val="Compact"/>
      </w:pPr>
      <w:r>
        <w:rPr>
          <w:bCs/>
          <w:b/>
        </w:rPr>
        <w:t xml:space="preserve">Polipeptidi</w:t>
      </w:r>
      <w:r>
        <w:t xml:space="preserve">: catene più lunghe, fino a circa 50 amminoacidi.</w:t>
      </w:r>
    </w:p>
    <w:p>
      <w:pPr>
        <w:numPr>
          <w:ilvl w:val="0"/>
          <w:numId w:val="1004"/>
        </w:numPr>
        <w:pStyle w:val="Compact"/>
      </w:pPr>
      <w:r>
        <w:rPr>
          <w:bCs/>
          <w:b/>
        </w:rPr>
        <w:t xml:space="preserve">Proteine</w:t>
      </w:r>
      <w:r>
        <w:t xml:space="preserve">: molecole più grandi, per lo più con più di 50 amminoacidi e un ripiegamento spaziale stabile.</w:t>
      </w:r>
    </w:p>
    <w:p>
      <w:pPr>
        <w:pStyle w:val="FirstParagraph"/>
      </w:pPr>
      <w:r>
        <w:t xml:space="preserve">L’insulina, con 51 amminoacidi, si trova esattamente su questo confine. È composta da due catene collegate da ponti di zolfo e, a seconda del manuale, viene definita peptide o piccola proteina. L’ormone della crescita umano è invece chiaramente una proteina: la forma più frequente è composta da 191 amminoacidi e pesa circa 22.000 dalton (Krug 2018, PMID 29864719). Il dalton è l’unità di misura della massa delle molecole; un amminoacido medio in una catena pesa poco più di 100 dalton.</w:t>
      </w:r>
    </w:p>
    <w:p>
      <w:pPr>
        <w:pStyle w:val="BodyText"/>
      </w:pPr>
      <w:r>
        <w:t xml:space="preserve">Alcuni esempi tratti da questo libro per orientarsi: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Sostanza</w:t>
            </w:r>
          </w:p>
        </w:tc>
        <w:tc>
          <w:tcPr/>
          <w:p>
            <w:pPr>
              <w:pStyle w:val="Compact"/>
              <w:jc w:val="left"/>
            </w:pPr>
            <w:r>
              <w:t xml:space="preserve">Lunghezza</w:t>
            </w:r>
          </w:p>
        </w:tc>
        <w:tc>
          <w:tcPr/>
          <w:p>
            <w:pPr>
              <w:pStyle w:val="Compact"/>
              <w:jc w:val="left"/>
            </w:pPr>
            <w:r>
              <w:t xml:space="preserve">Nota</w:t>
            </w:r>
          </w:p>
        </w:tc>
      </w:tr>
      <w:tr>
        <w:tc>
          <w:tcPr/>
          <w:p>
            <w:pPr>
              <w:pStyle w:val="Compact"/>
              <w:jc w:val="left"/>
            </w:pPr>
            <w:r>
              <w:t xml:space="preserve">Carnosina</w:t>
            </w:r>
          </w:p>
        </w:tc>
        <w:tc>
          <w:tcPr/>
          <w:p>
            <w:pPr>
              <w:pStyle w:val="Compact"/>
              <w:jc w:val="left"/>
            </w:pPr>
            <w:r>
              <w:t xml:space="preserve">2 amminoacidi</w:t>
            </w:r>
          </w:p>
        </w:tc>
        <w:tc>
          <w:tcPr/>
          <w:p>
            <w:pPr>
              <w:pStyle w:val="Compact"/>
              <w:jc w:val="left"/>
            </w:pPr>
            <w:r>
              <w:t xml:space="preserve">presente nei muscoli</w:t>
            </w:r>
          </w:p>
        </w:tc>
      </w:tr>
      <w:tr>
        <w:tc>
          <w:tcPr/>
          <w:p>
            <w:pPr>
              <w:pStyle w:val="Compact"/>
              <w:jc w:val="left"/>
            </w:pPr>
            <w:r>
              <w:t xml:space="preserve">Glutatione</w:t>
            </w:r>
          </w:p>
        </w:tc>
        <w:tc>
          <w:tcPr/>
          <w:p>
            <w:pPr>
              <w:pStyle w:val="Compact"/>
              <w:jc w:val="left"/>
            </w:pPr>
            <w:r>
              <w:t xml:space="preserve">3 amminoacidi</w:t>
            </w:r>
          </w:p>
        </w:tc>
        <w:tc>
          <w:tcPr/>
          <w:p>
            <w:pPr>
              <w:pStyle w:val="Compact"/>
              <w:jc w:val="left"/>
            </w:pPr>
            <w:r>
              <w:t xml:space="preserve">molecola protettiva endogena</w:t>
            </w:r>
          </w:p>
        </w:tc>
      </w:tr>
      <w:tr>
        <w:tc>
          <w:tcPr/>
          <w:p>
            <w:pPr>
              <w:pStyle w:val="Compact"/>
              <w:jc w:val="left"/>
            </w:pPr>
            <w:r>
              <w:t xml:space="preserve">Ossitocina</w:t>
            </w:r>
          </w:p>
        </w:tc>
        <w:tc>
          <w:tcPr/>
          <w:p>
            <w:pPr>
              <w:pStyle w:val="Compact"/>
              <w:jc w:val="left"/>
            </w:pPr>
            <w:r>
              <w:t xml:space="preserve">9 amminoacidi</w:t>
            </w:r>
          </w:p>
        </w:tc>
        <w:tc>
          <w:tcPr/>
          <w:p>
            <w:pPr>
              <w:pStyle w:val="Compact"/>
              <w:jc w:val="left"/>
            </w:pPr>
            <w:r>
              <w:t xml:space="preserve">ormone, struttura ad anello</w:t>
            </w:r>
          </w:p>
        </w:tc>
      </w:tr>
      <w:tr>
        <w:tc>
          <w:tcPr/>
          <w:p>
            <w:pPr>
              <w:pStyle w:val="Compact"/>
              <w:jc w:val="left"/>
            </w:pPr>
            <w:r>
              <w:t xml:space="preserve">GLP-1 (forma attiva)</w:t>
            </w:r>
          </w:p>
        </w:tc>
        <w:tc>
          <w:tcPr/>
          <w:p>
            <w:pPr>
              <w:pStyle w:val="Compact"/>
              <w:jc w:val="left"/>
            </w:pPr>
            <w:r>
              <w:t xml:space="preserve">30 amminoacidi</w:t>
            </w:r>
          </w:p>
        </w:tc>
        <w:tc>
          <w:tcPr/>
          <w:p>
            <w:pPr>
              <w:pStyle w:val="Compact"/>
              <w:jc w:val="left"/>
            </w:pPr>
            <w:r>
              <w:t xml:space="preserve">ormone intestinale</w:t>
            </w:r>
          </w:p>
        </w:tc>
      </w:tr>
      <w:tr>
        <w:tc>
          <w:tcPr/>
          <w:p>
            <w:pPr>
              <w:pStyle w:val="Compact"/>
              <w:jc w:val="left"/>
            </w:pPr>
            <w:r>
              <w:t xml:space="preserve">Exendina-4 (exenatide)</w:t>
            </w:r>
          </w:p>
        </w:tc>
        <w:tc>
          <w:tcPr/>
          <w:p>
            <w:pPr>
              <w:pStyle w:val="Compact"/>
              <w:jc w:val="left"/>
            </w:pPr>
            <w:r>
              <w:t xml:space="preserve">39 amminoacidi</w:t>
            </w:r>
          </w:p>
        </w:tc>
        <w:tc>
          <w:tcPr/>
          <w:p>
            <w:pPr>
              <w:pStyle w:val="Compact"/>
              <w:jc w:val="left"/>
            </w:pPr>
            <w:r>
              <w:t xml:space="preserve">dal veleno di una lucertola</w:t>
            </w:r>
          </w:p>
        </w:tc>
      </w:tr>
      <w:tr>
        <w:tc>
          <w:tcPr/>
          <w:p>
            <w:pPr>
              <w:pStyle w:val="Compact"/>
              <w:jc w:val="left"/>
            </w:pPr>
            <w:r>
              <w:t xml:space="preserve">Insulina</w:t>
            </w:r>
          </w:p>
        </w:tc>
        <w:tc>
          <w:tcPr/>
          <w:p>
            <w:pPr>
              <w:pStyle w:val="Compact"/>
              <w:jc w:val="left"/>
            </w:pPr>
            <w:r>
              <w:t xml:space="preserve">51 amminoacidi</w:t>
            </w:r>
          </w:p>
        </w:tc>
        <w:tc>
          <w:tcPr/>
          <w:p>
            <w:pPr>
              <w:pStyle w:val="Compact"/>
              <w:jc w:val="left"/>
            </w:pPr>
            <w:r>
              <w:t xml:space="preserve">due catene</w:t>
            </w:r>
          </w:p>
        </w:tc>
      </w:tr>
      <w:tr>
        <w:tc>
          <w:tcPr/>
          <w:p>
            <w:pPr>
              <w:pStyle w:val="Compact"/>
              <w:jc w:val="left"/>
            </w:pPr>
            <w:r>
              <w:t xml:space="preserve">Ormone della crescita</w:t>
            </w:r>
          </w:p>
        </w:tc>
        <w:tc>
          <w:tcPr/>
          <w:p>
            <w:pPr>
              <w:pStyle w:val="Compact"/>
              <w:jc w:val="left"/>
            </w:pPr>
            <w:r>
              <w:t xml:space="preserve">191 amminoacidi</w:t>
            </w:r>
          </w:p>
        </w:tc>
        <w:tc>
          <w:tcPr/>
          <w:p>
            <w:pPr>
              <w:pStyle w:val="Compact"/>
              <w:jc w:val="left"/>
            </w:pPr>
            <w:r>
              <w:t xml:space="preserve">proteina</w:t>
            </w:r>
          </w:p>
        </w:tc>
      </w:tr>
    </w:tbl>
    <w:p>
      <w:pPr>
        <w:pStyle w:val="BodyText"/>
      </w:pPr>
      <w:r>
        <w:t xml:space="preserve">La lunghezza dell’exendina-4 è indicata nella prima descrizione (Eng 1992, PMID 1313797); gli altri dati corrispondono alle conoscenze dei manuali.</w:t>
      </w:r>
    </w:p>
    <w:p>
      <w:pPr>
        <w:pStyle w:val="BodyText"/>
      </w:pPr>
      <w:r>
        <w:t xml:space="preserve">Nella pratica la lunghezza è importante per diversi motivi. I peptidi corti si possono produrre chimicamente in modo più semplice ed economico. Le catene lunghe si ripiegano in forme complesse che possono essere indispensabili per l’effetto. E più una molecola è grande, più difficilmente attraversa la pelle o la parete intestinale – se ne parla di più nel capitolo sulle forme farmaceutiche.</w:t>
      </w:r>
    </w:p>
    <w:bookmarkEnd w:id="39"/>
    <w:bookmarkStart w:id="40" w:name="come-agiscono-i-peptidi-nellorganismo"/>
    <w:p>
      <w:pPr>
        <w:pStyle w:val="Heading3"/>
      </w:pPr>
      <w:r>
        <w:t xml:space="preserve">Come agiscono i peptidi nell’organismo</w:t>
      </w:r>
    </w:p>
    <w:p>
      <w:pPr>
        <w:pStyle w:val="FirstParagraph"/>
      </w:pPr>
      <w:r>
        <w:t xml:space="preserve">Il corpo umano utilizza i peptidi soprattutto come messaggeri. Un ormone peptidico viene prodotto in una cellula, rilasciato nel sangue o nel tessuto e si lega, su un’altra cellula, a un recettore adatto. I recettori sono molecole proteiche nella membrana cellulare che funzionano come una serratura: solo la chiave giusta innesca un segnale all’interno della cellula.</w:t>
      </w:r>
    </w:p>
    <w:p>
      <w:pPr>
        <w:pStyle w:val="BodyText"/>
      </w:pPr>
      <w:r>
        <w:t xml:space="preserve">Poiché i peptidi sono per lo più troppo grandi e troppo idrosolubili per attraversare la membrana cellulare grassa, la maggior parte agisce tramite recettori sulla superficie cellulare. Molti di questi appartengono alla grande famiglia dei recettori accoppiati a proteine G. Il recettore del GLP-1, attraverso il quale agiscono la semaglutide o la liraglutide, è uno di questi recettori. Non si trova solo nel pancreas, ma anche nel tratto gastrointestinale, nel cuore, nei polmoni, nei reni e nel cervello (Knudsen 2019, PMID 31031702) – il che spiega perché questi principi attivi abbiano così tanti effetti diversi.</w:t>
      </w:r>
    </w:p>
    <w:p>
      <w:pPr>
        <w:pStyle w:val="BodyText"/>
      </w:pPr>
      <w:r>
        <w:t xml:space="preserve">Nell’organismo i peptidi svolgono compiti molto diversi:</w:t>
      </w:r>
    </w:p>
    <w:p>
      <w:pPr>
        <w:numPr>
          <w:ilvl w:val="0"/>
          <w:numId w:val="1005"/>
        </w:numPr>
        <w:pStyle w:val="Compact"/>
      </w:pPr>
      <w:r>
        <w:rPr>
          <w:bCs/>
          <w:b/>
        </w:rPr>
        <w:t xml:space="preserve">Ormoni</w:t>
      </w:r>
      <w:r>
        <w:t xml:space="preserve"> </w:t>
      </w:r>
      <w:r>
        <w:t xml:space="preserve">come insulina, glucagone, GLP-1, ossitocina o vasopressina regolano il metabolismo, il bilancio idrico e la riproduzione.</w:t>
      </w:r>
    </w:p>
    <w:p>
      <w:pPr>
        <w:numPr>
          <w:ilvl w:val="0"/>
          <w:numId w:val="1005"/>
        </w:numPr>
        <w:pStyle w:val="Compact"/>
      </w:pPr>
      <w:r>
        <w:rPr>
          <w:bCs/>
          <w:b/>
        </w:rPr>
        <w:t xml:space="preserve">Fattori di rilascio</w:t>
      </w:r>
      <w:r>
        <w:t xml:space="preserve"> </w:t>
      </w:r>
      <w:r>
        <w:t xml:space="preserve">dell’ipotalamo, per esempio l’ormone di rilascio delle gonadotropine (GnRH), danno ordini all’ipofisi.</w:t>
      </w:r>
    </w:p>
    <w:p>
      <w:pPr>
        <w:numPr>
          <w:ilvl w:val="0"/>
          <w:numId w:val="1005"/>
        </w:numPr>
        <w:pStyle w:val="Compact"/>
      </w:pPr>
      <w:r>
        <w:rPr>
          <w:bCs/>
          <w:b/>
        </w:rPr>
        <w:t xml:space="preserve">Neuropeptidi</w:t>
      </w:r>
      <w:r>
        <w:t xml:space="preserve"> </w:t>
      </w:r>
      <w:r>
        <w:t xml:space="preserve">come le endorfine agiscono come sostanze di segnalazione nel sistema nervoso.</w:t>
      </w:r>
    </w:p>
    <w:p>
      <w:pPr>
        <w:numPr>
          <w:ilvl w:val="0"/>
          <w:numId w:val="1005"/>
        </w:numPr>
        <w:pStyle w:val="Compact"/>
      </w:pPr>
      <w:r>
        <w:rPr>
          <w:bCs/>
          <w:b/>
        </w:rPr>
        <w:t xml:space="preserve">Peptidi antimicrobici</w:t>
      </w:r>
      <w:r>
        <w:t xml:space="preserve"> </w:t>
      </w:r>
      <w:r>
        <w:t xml:space="preserve">come LL-37 fanno parte della difesa immunitaria innata.</w:t>
      </w:r>
    </w:p>
    <w:p>
      <w:pPr>
        <w:numPr>
          <w:ilvl w:val="0"/>
          <w:numId w:val="1005"/>
        </w:numPr>
        <w:pStyle w:val="Compact"/>
      </w:pPr>
      <w:r>
        <w:rPr>
          <w:bCs/>
          <w:b/>
        </w:rPr>
        <w:t xml:space="preserve">Componenti strutturali e prodotti di degradazione</w:t>
      </w:r>
      <w:r>
        <w:t xml:space="preserve">: quando il collagene o le proteine del latte vengono digeriti, si formano peptidi corti, alcuni dei quali sono rilevabili nel sangue.</w:t>
      </w:r>
    </w:p>
    <w:p>
      <w:pPr>
        <w:pStyle w:val="FirstParagraph"/>
      </w:pPr>
      <w:r>
        <w:t xml:space="preserve">Questa varietà spiega perché sotto il termine „peptide“ vengano raggruppate sostanze così diverse: un farmaco antidiabetico altamente efficace e soggetto a prescrizione così come un collagene in polvere del supermercato.</w:t>
      </w:r>
    </w:p>
    <w:bookmarkEnd w:id="40"/>
    <w:bookmarkStart w:id="41" w:name="X04f41eb986356df8d0173a8fae058f41faa6153"/>
    <w:p>
      <w:pPr>
        <w:pStyle w:val="Heading3"/>
      </w:pPr>
      <w:r>
        <w:t xml:space="preserve">Vita breve: il problema di fondo dei peptidi naturali</w:t>
      </w:r>
    </w:p>
    <w:p>
      <w:pPr>
        <w:pStyle w:val="FirstParagraph"/>
      </w:pPr>
      <w:r>
        <w:t xml:space="preserve">I peptidi endogeni sono per lo più costruiti per un’azione breve e precisa. L’organismo dispone di una moltitudine di enzimi che scindono i legami peptidici – le cosiddette peptidasi o proteasi. Ciò ha senso: un segnale ormonale deve arrivare dopo il pasto e poi scomparire.</w:t>
      </w:r>
    </w:p>
    <w:p>
      <w:pPr>
        <w:pStyle w:val="BodyText"/>
      </w:pPr>
      <w:r>
        <w:t xml:space="preserve">Per un farmaco, però, questa breve durata è un problema. Il GLP-1 naturale viene rapidamente tagliato dall’enzima dipeptidil-peptidasi-4 (DPP-4). Nel plasma umano in provetta l’emivita era di circa 20 minuti (Deacon 1995, PMID 7883856); nell’organismo il GLP-1 viene inoltre rimosso rapidamente dalla circolazione. Come farmaco, il GLP-1 non modificato sarebbe quindi poco utilizzabile.</w:t>
      </w:r>
    </w:p>
    <w:p>
      <w:pPr>
        <w:pStyle w:val="BodyText"/>
      </w:pPr>
      <w:r>
        <w:t xml:space="preserve">La soluzione della ricerca farmaceutica è stata modificare la molecola in modo mirato. Nella semaglutide sono stati sostituiti due amminoacidi del GLP-1 naturale – in posizione 8 si trova l’amminoacido non naturale Aib, che protegge la molecola dalla DPP-4 – e alla catena è stato legato, tramite un elemento di collegamento, un acido grasso. L’acido grasso fa sì che la semaglutide si leghi in modo reversibile nel sangue alla proteina di trasporto albumina (Lau 2015, PMID 26308095). Si forma così un deposito da cui il principio attivo viene rilasciato lentamente. L’emivita nell’uomo è di circa una settimana (Marso 2016, PMID 27633186) – per questo basta un’iniezione alla settimana.</w:t>
      </w:r>
    </w:p>
    <w:p>
      <w:pPr>
        <w:pStyle w:val="BodyText"/>
      </w:pPr>
      <w:r>
        <w:t xml:space="preserve">Questo principio – modello naturale, stabilizzato in modo mirato – attraversa tutta la medicina peptidica moderna. Significa però anche che un farmaco peptidico</w:t>
      </w:r>
      <w:r>
        <w:t xml:space="preserve"> </w:t>
      </w:r>
      <w:r>
        <w:rPr>
          <w:bCs/>
          <w:b/>
        </w:rPr>
        <w:t xml:space="preserve">non</w:t>
      </w:r>
      <w:r>
        <w:t xml:space="preserve"> </w:t>
      </w:r>
      <w:r>
        <w:t xml:space="preserve">è per lo più una sostanza „naturale“ nel senso di endogena e non modificata. È una molecola ispirata dalla natura, ma ottimizzata in laboratorio.</w:t>
      </w:r>
    </w:p>
    <w:bookmarkEnd w:id="41"/>
    <w:bookmarkStart w:id="42" w:name="come-vengono-prodotti-i-peptidi"/>
    <w:p>
      <w:pPr>
        <w:pStyle w:val="Heading3"/>
      </w:pPr>
      <w:r>
        <w:t xml:space="preserve">Come vengono prodotti i peptidi</w:t>
      </w:r>
    </w:p>
    <w:p>
      <w:pPr>
        <w:pStyle w:val="FirstParagraph"/>
      </w:pPr>
      <w:r>
        <w:t xml:space="preserve">Esistono tre vie fondamentali per ottenere i peptidi:</w:t>
      </w:r>
    </w:p>
    <w:p>
      <w:pPr>
        <w:pStyle w:val="BodyText"/>
      </w:pPr>
      <w:r>
        <w:rPr>
          <w:bCs/>
          <w:b/>
        </w:rPr>
        <w:t xml:space="preserve">Sintesi chimica.</w:t>
      </w:r>
      <w:r>
        <w:t xml:space="preserve"> </w:t>
      </w:r>
      <w:r>
        <w:t xml:space="preserve">Dagli anni Sessanta i peptidi vengono costruiti mattone dopo mattone su un materiale di supporto solido. Questo metodo di sintesi peptidica in fase solida è stato sviluppato da Robert Bruce Merrifield (Merrifield 1969, PMID 4307033), che per questo ricevette nel 1984 il premio Nobel per la chimica. Oggi queste sintesi avvengono in gran parte automaticamente. Sono la base di quasi tutti i peptidi corti, compresi quelli offerti sul mercato grigio. A ogni fase di accoppiamento possono però verificarsi errori – per esempio amminoacidi mancanti o doppi. Una fase di purificazione accurata è quindi indispensabile.</w:t>
      </w:r>
    </w:p>
    <w:p>
      <w:pPr>
        <w:pStyle w:val="BodyText"/>
      </w:pPr>
      <w:r>
        <w:rPr>
          <w:bCs/>
          <w:b/>
        </w:rPr>
        <w:t xml:space="preserve">Produzione con tecniche di ingegneria genetica (ricombinante).</w:t>
      </w:r>
      <w:r>
        <w:t xml:space="preserve"> </w:t>
      </w:r>
      <w:r>
        <w:t xml:space="preserve">Le istruzioni di costruzione del peptide vengono inserite in batteri o cellule di lievito, che poi lo producono in grandi serbatoi. L’insulina umana è stato il primo farmaco prodotto in questo modo; negli studi clinici sull’uomo è stata impiegata dal 1980 (The 1989, PMID 2690608). Peptidi e proteine più grandi vengono ancora oggi ottenuti prevalentemente in questo modo, in parte in combinazione con fasi di modifica chimica.</w:t>
      </w:r>
    </w:p>
    <w:p>
      <w:pPr>
        <w:pStyle w:val="BodyText"/>
      </w:pPr>
      <w:r>
        <w:rPr>
          <w:bCs/>
          <w:b/>
        </w:rPr>
        <w:t xml:space="preserve">Estrazione da fonti naturali.</w:t>
      </w:r>
      <w:r>
        <w:t xml:space="preserve"> </w:t>
      </w:r>
      <w:r>
        <w:t xml:space="preserve">Le prime insuline venivano estratte da pancreas di bovini e suini. I peptidi di collagene si ottengono oggi scomponendo con enzimi in frammenti più piccoli il collagene di pelle, ossa o squame di pesce (idrolisi). Questi idrolizzati sono miscele di molti peptidi diversi – non un principio attivo uniforme.</w:t>
      </w:r>
    </w:p>
    <w:p>
      <w:pPr>
        <w:pStyle w:val="BodyText"/>
      </w:pPr>
      <w:r>
        <w:t xml:space="preserve">La via di produzione è rilevante per la sicurezza. Un’indagine ha confrontato prodotti di imitazione di semaglutide e liraglutide con i preparati originali e ha riscontrato in alcuni principi attivi di imitazione nuove impurità, tra cui proteine ad alto peso molecolare, metalli in tracce e residui di solventi (Hach 2024, PMID 39379664). Se tali differenze siano clinicamente rilevanti è una questione aperta – mostrano però che „lo stesso principio attivo“ non significa automaticamente „lo stesso prodotto“. L’indagine, peraltro, è stata condotta dal produttore dei preparati originali, il che andrebbe considerato nella valutazione.</w:t>
      </w:r>
    </w:p>
    <w:bookmarkEnd w:id="42"/>
    <w:bookmarkStart w:id="43" w:name="X0d2bfb8e24146a8b718b0002b10992ee3b8a822"/>
    <w:p>
      <w:pPr>
        <w:pStyle w:val="Heading3"/>
      </w:pPr>
      <w:r>
        <w:t xml:space="preserve">I peptidi come farmaci: un gruppo in crescita</w:t>
      </w:r>
    </w:p>
    <w:p>
      <w:pPr>
        <w:pStyle w:val="FirstParagraph"/>
      </w:pPr>
      <w:r>
        <w:t xml:space="preserve">I peptidi occupano una nicchia tra le classiche „piccole molecole“ (come l’aspirina o la metformina) e i grandi farmaci biologici (come gli anticorpi). Possono legarsi in modo molto mirato a un recettore, il che spesso comporta pochi effetti indesiderati in altre sedi. Allo stesso tempo è più difficile formularli in compresse e spesso la loro produzione è costosa.</w:t>
      </w:r>
    </w:p>
    <w:p>
      <w:pPr>
        <w:pStyle w:val="BodyText"/>
      </w:pPr>
      <w:r>
        <w:t xml:space="preserve">Secondo una revisione, dall’introduzione dell’insulina più di 80 farmaci peptidici hanno raggiunto il mercato, per esempio contro diabete, cancro, osteoporosi, sclerosi multipla, infezione da HIV e dolore cronico (Muttenthaler 2021, PMID 33536635). Un’altra analisi ha contato oltre 150 peptidi in sviluppo clinico attivo (Lau 2018, PMID 28720325). I numeri differiscono a seconda del metodo di conteggio, ma indicano la stessa direzione: i peptidi sono una parte stabile e in crescita della medicina.</w:t>
      </w:r>
    </w:p>
    <w:p>
      <w:pPr>
        <w:pStyle w:val="BodyText"/>
      </w:pPr>
      <w:r>
        <w:t xml:space="preserve">Molti peptidi farmaceutici forse li conosce senza averli percepiti come peptidi: l’insulina, il farmaco per l’osteoporosi teriparatide (un frammento dell’ormone paratiroideo di 34 amminoacidi), principi attivi contro il cancro della prostata che influenzano il sistema del GnRH, l’ossitocina usata per indurre le contrazioni o l’antibiotico vancomicina, un glicopeptide.</w:t>
      </w:r>
    </w:p>
    <w:bookmarkEnd w:id="43"/>
    <w:bookmarkStart w:id="44" w:name="che-cosa-non-sono-i-peptidi"/>
    <w:p>
      <w:pPr>
        <w:pStyle w:val="Heading3"/>
      </w:pPr>
      <w:r>
        <w:t xml:space="preserve">Che cosa non sono i peptidi</w:t>
      </w:r>
    </w:p>
    <w:p>
      <w:pPr>
        <w:pStyle w:val="FirstParagraph"/>
      </w:pPr>
      <w:r>
        <w:t xml:space="preserve">Proprio perché il termine è diventato così popolare, vale la pena esaminare alcuni equivoci diffusi.</w:t>
      </w:r>
    </w:p>
    <w:p>
      <w:pPr>
        <w:pStyle w:val="BodyText"/>
      </w:pPr>
      <w:r>
        <w:rPr>
          <w:bCs/>
          <w:b/>
        </w:rPr>
        <w:t xml:space="preserve">„Peptide“ non è un marchio di qualità.</w:t>
      </w:r>
      <w:r>
        <w:t xml:space="preserve"> </w:t>
      </w:r>
      <w:r>
        <w:t xml:space="preserve">La struttura chimica non dice nulla su benefici o rischi. L’insulina salva vite ogni giorno – in quantità sbagliata può essere mortale. Un peptide non è automaticamente più delicato di un farmaco „chimico“.</w:t>
      </w:r>
    </w:p>
    <w:p>
      <w:pPr>
        <w:pStyle w:val="BodyText"/>
      </w:pPr>
      <w:r>
        <w:rPr>
          <w:bCs/>
          <w:b/>
        </w:rPr>
        <w:t xml:space="preserve">„Endogeno“ non significa „innocuo“.</w:t>
      </w:r>
      <w:r>
        <w:t xml:space="preserve"> </w:t>
      </w:r>
      <w:r>
        <w:t xml:space="preserve">Molti peptidi del mercato grigio vengono pubblicizzati come „endogeni“ o „bioidentici“. Ma anche le sostanze prodotte dall’organismo possono nuocere se presenti in quantità innaturalmente elevate, nel posto sbagliato o per lungo tempo. Un esempio è il sistema dell’ormone della crescita: una carenza fa ammalare, un eccesso permanente anche. Inoltre molti peptidi presentati come endogeni sono in realtà varianti o frammenti che nell’organismo non esistono in questa forma. Il BPC-157, per esempio, è una sequenza di 15 amminoacidi (Cox 2017, PMID 28035768) che i suoi scopritori hanno derivato dal succo gastrico; come ormone autonomo dell’uomo non è riconosciuto.</w:t>
      </w:r>
    </w:p>
    <w:p>
      <w:pPr>
        <w:pStyle w:val="BodyText"/>
      </w:pPr>
      <w:r>
        <w:rPr>
          <w:bCs/>
          <w:b/>
        </w:rPr>
        <w:t xml:space="preserve">I peptidi non sono steroidi.</w:t>
      </w:r>
      <w:r>
        <w:t xml:space="preserve"> </w:t>
      </w:r>
      <w:r>
        <w:t xml:space="preserve">Gli anabolizzanti come il testosterone sono ormoni steroidei con un’impalcatura chimica completamente diversa, fatta di anelli di carbonio. Agiscono tramite recettori all’interno della cellula. Nell’ambito del fitness i due gruppi vengono a volte messi nello stesso calderone; chimicamente e farmacologicamente hanno poco in comune.</w:t>
      </w:r>
    </w:p>
    <w:p>
      <w:pPr>
        <w:pStyle w:val="BodyText"/>
      </w:pPr>
      <w:r>
        <w:rPr>
          <w:bCs/>
          <w:b/>
        </w:rPr>
        <w:t xml:space="preserve">Non tutto ciò che agisce in modo simile è un peptide.</w:t>
      </w:r>
      <w:r>
        <w:t xml:space="preserve"> </w:t>
      </w:r>
      <w:r>
        <w:t xml:space="preserve">L’orforglipron, per esempio, attiva come la semaglutide il recettore del GLP-1, ma è una piccola molecola non peptidica. L’ibutamoren (MK-677) stimola la secrezione dell’ormone della crescita come alcuni peptidi, ma non lo è a sua volta. Entrambi vengono perciò trattati in questo libro solo a scopo di confronto.</w:t>
      </w:r>
    </w:p>
    <w:p>
      <w:pPr>
        <w:pStyle w:val="BodyText"/>
      </w:pPr>
      <w:r>
        <w:rPr>
          <w:bCs/>
          <w:b/>
        </w:rPr>
        <w:t xml:space="preserve">Un peptide in una crema non è la stessa cosa di un peptide in una siringa.</w:t>
      </w:r>
      <w:r>
        <w:t xml:space="preserve"> </w:t>
      </w:r>
      <w:r>
        <w:t xml:space="preserve">I peptidi cosmetici come il palmitoil pentapeptide-4 sono appositamente progettati per agire nello strato più superficiale della pelle. Se e quanto in profondità penetrino è un’altra questione. Viceversa, un peptide che viene iniettato come farmaco non passa semplicemente attraverso la pelle se lo si applica sulla cute.</w:t>
      </w:r>
    </w:p>
    <w:p>
      <w:pPr>
        <w:pStyle w:val="BodyText"/>
      </w:pPr>
      <w:r>
        <w:rPr>
          <w:bCs/>
          <w:b/>
        </w:rPr>
        <w:t xml:space="preserve">I peptidi ingeriti vengono per lo più digeriti.</w:t>
      </w:r>
      <w:r>
        <w:t xml:space="preserve"> </w:t>
      </w:r>
      <w:r>
        <w:t xml:space="preserve">Il tratto gastrointestinale è fatto per scomporre le proteine in amminoacidi e frammenti molto corti. Un ormone peptidico che si deglutisce viene quindi di regola degradato prima che possa agire. Le eccezioni – per esempio peptidi molto piccoli del collagene rilevabili nel sangue, o la compressa di semaglutide con il suo eccipiente – vengono spiegate nel capitolo successivo al prossimo.</w:t>
      </w:r>
    </w:p>
    <w:bookmarkEnd w:id="44"/>
    <w:bookmarkStart w:id="45" w:name="naturale-identico-al-naturale-modificato"/>
    <w:p>
      <w:pPr>
        <w:pStyle w:val="Heading3"/>
      </w:pPr>
      <w:r>
        <w:t xml:space="preserve">Naturale, identico al naturale, modificato</w:t>
      </w:r>
    </w:p>
    <w:p>
      <w:pPr>
        <w:pStyle w:val="FirstParagraph"/>
      </w:pPr>
      <w:r>
        <w:t xml:space="preserve">Per collocare i peptidi della Parte II aiuta una semplice distinzione:</w:t>
      </w:r>
    </w:p>
    <w:p>
      <w:pPr>
        <w:numPr>
          <w:ilvl w:val="0"/>
          <w:numId w:val="1006"/>
        </w:numPr>
        <w:pStyle w:val="Compact"/>
      </w:pPr>
      <w:r>
        <w:rPr>
          <w:bCs/>
          <w:b/>
        </w:rPr>
        <w:t xml:space="preserve">Peptidi identici a quelli naturali</w:t>
      </w:r>
      <w:r>
        <w:t xml:space="preserve"> </w:t>
      </w:r>
      <w:r>
        <w:t xml:space="preserve">corrispondono esattamente a una molecola endogena, per esempio l’ossitocina o il glutatione.</w:t>
      </w:r>
    </w:p>
    <w:p>
      <w:pPr>
        <w:numPr>
          <w:ilvl w:val="0"/>
          <w:numId w:val="1006"/>
        </w:numPr>
        <w:pStyle w:val="Compact"/>
      </w:pPr>
      <w:r>
        <w:rPr>
          <w:bCs/>
          <w:b/>
        </w:rPr>
        <w:t xml:space="preserve">Analoghi modificati</w:t>
      </w:r>
      <w:r>
        <w:t xml:space="preserve"> </w:t>
      </w:r>
      <w:r>
        <w:t xml:space="preserve">derivano dal modello naturale, ma sono modificati in modo mirato – tramite amminoacidi sostituiti, acidi grassi legati o strutture ad anello. Vi appartengono quasi tutti i farmaci peptidici moderni.</w:t>
      </w:r>
    </w:p>
    <w:p>
      <w:pPr>
        <w:numPr>
          <w:ilvl w:val="0"/>
          <w:numId w:val="1006"/>
        </w:numPr>
        <w:pStyle w:val="Compact"/>
      </w:pPr>
      <w:r>
        <w:rPr>
          <w:bCs/>
          <w:b/>
        </w:rPr>
        <w:t xml:space="preserve">Peptidi estranei o progettati ex novo</w:t>
      </w:r>
      <w:r>
        <w:t xml:space="preserve"> </w:t>
      </w:r>
      <w:r>
        <w:t xml:space="preserve">provengono da altri esseri viventi (come l’exendina-4 dalla saliva del mostro di Gila) o sono stati sviluppati di nuovo in laboratorio (come i peptidi cosmetici o i doppi e tripli agonisti tirzepatide e retatrutide).</w:t>
      </w:r>
    </w:p>
    <w:p>
      <w:pPr>
        <w:pStyle w:val="FirstParagraph"/>
      </w:pPr>
      <w:r>
        <w:t xml:space="preserve">Per la sicurezza questa suddivisione da sola non è decisiva. Aiuta però a capire perché gli studi sull’uomo siano indispensabili per tutti e tre i gruppi: anche una molecola identica a quella naturale si comporta diversamente se viene somministrata dall’esterno in grande quantità.</w:t>
      </w:r>
    </w:p>
    <w:bookmarkEnd w:id="45"/>
    <w:bookmarkStart w:id="46" w:name="Xed0c1c09ccd11f2333845f4d1edcb59e419fc9f"/>
    <w:p>
      <w:pPr>
        <w:pStyle w:val="Heading3"/>
      </w:pPr>
      <w:r>
        <w:t xml:space="preserve">Perché i peptidi ricevono proprio ora così tanta attenzione</w:t>
      </w:r>
    </w:p>
    <w:p>
      <w:pPr>
        <w:pStyle w:val="FirstParagraph"/>
      </w:pPr>
      <w:r>
        <w:t xml:space="preserve">Tre sviluppi spiegano il boom degli ultimi anni:</w:t>
      </w:r>
    </w:p>
    <w:p>
      <w:pPr>
        <w:pStyle w:val="BodyText"/>
      </w:pPr>
      <w:r>
        <w:rPr>
          <w:bCs/>
          <w:b/>
        </w:rPr>
        <w:t xml:space="preserve">In primo luogo i farmaci GLP-1.</w:t>
      </w:r>
      <w:r>
        <w:t xml:space="preserve"> </w:t>
      </w:r>
      <w:r>
        <w:t xml:space="preserve">I risultati di principi attivi come semaglutide e tirzepatide nel sovrappeso hanno portato i peptidi sui titoli dei giornali. Nello studio registrativo STEP 1 i partecipanti trattati con semaglutide hanno perso in media il 14,9% del loro peso corporeo, con placebo il 2,4% (Wilding 2021, PMID 33567185). Risultati simili non erano mai stati raggiunti prima con dei farmaci.</w:t>
      </w:r>
    </w:p>
    <w:p>
      <w:pPr>
        <w:pStyle w:val="BodyText"/>
      </w:pPr>
      <w:r>
        <w:rPr>
          <w:bCs/>
          <w:b/>
        </w:rPr>
        <w:t xml:space="preserve">In secondo luogo la facile disponibilità.</w:t>
      </w:r>
      <w:r>
        <w:t xml:space="preserve"> </w:t>
      </w:r>
      <w:r>
        <w:t xml:space="preserve">I peptidi corti si possono oggi sintetizzare a basso costo in molti Paesi e vengono offerti in tutto il mondo via Internet – spesso con l’etichetta „solo a scopo di ricerca“. Che cosa significhi, lo tratta il capitolo sul mercato grigio.</w:t>
      </w:r>
    </w:p>
    <w:p>
      <w:pPr>
        <w:pStyle w:val="BodyText"/>
      </w:pPr>
      <w:r>
        <w:rPr>
          <w:bCs/>
          <w:b/>
        </w:rPr>
        <w:t xml:space="preserve">In terzo luogo i social media.</w:t>
      </w:r>
      <w:r>
        <w:t xml:space="preserve"> </w:t>
      </w:r>
      <w:r>
        <w:t xml:space="preserve">Testimonianze, foto prima e dopo e raccomandazioni di influencer si diffondono più velocemente dei dati scientifici. Una revisione descrive come pubblicità digitale, accesso al mercato grigio e autoiniezione agiscano insieme e normalizzino prodotti la cui identità, purezza e sicurezza non sono chiare (Hailu 2026, PMID 42437212).</w:t>
      </w:r>
    </w:p>
    <w:p>
      <w:pPr>
        <w:pStyle w:val="BodyText"/>
      </w:pPr>
      <w:r>
        <w:t xml:space="preserve">Questo libro vuole offrire qui un contrappeso sobrio: per ogni peptide si verifica che cosa sia stato effettivamente studiato nell’uomo – e che cosa no.</w:t>
      </w:r>
    </w:p>
    <w:bookmarkEnd w:id="46"/>
    <w:bookmarkStart w:id="47" w:name="lessenziale-in-breve"/>
    <w:p>
      <w:pPr>
        <w:pStyle w:val="Heading3"/>
      </w:pPr>
      <w:r>
        <w:t xml:space="preserve">L’essenziale in breve</w:t>
      </w:r>
    </w:p>
    <w:p>
      <w:pPr>
        <w:numPr>
          <w:ilvl w:val="0"/>
          <w:numId w:val="1007"/>
        </w:numPr>
        <w:pStyle w:val="Compact"/>
      </w:pPr>
      <w:r>
        <w:t xml:space="preserve">I peptidi sono catene di amminoacidi unite da legami peptidici. A partire da circa 50 amminoacidi si parla per lo più di proteine.</w:t>
      </w:r>
    </w:p>
    <w:p>
      <w:pPr>
        <w:numPr>
          <w:ilvl w:val="0"/>
          <w:numId w:val="1007"/>
        </w:numPr>
        <w:pStyle w:val="Compact"/>
      </w:pPr>
      <w:r>
        <w:t xml:space="preserve">Nell’organismo i peptidi agiscono soprattutto come messaggeri tramite recettori sulla superficie cellulare.</w:t>
      </w:r>
    </w:p>
    <w:p>
      <w:pPr>
        <w:numPr>
          <w:ilvl w:val="0"/>
          <w:numId w:val="1007"/>
        </w:numPr>
        <w:pStyle w:val="Compact"/>
      </w:pPr>
      <w:r>
        <w:t xml:space="preserve">I peptidi naturali vengono degradati rapidamente. I farmaci peptidici moderni sono quindi quasi sempre molecole modificate in modo mirato.</w:t>
      </w:r>
    </w:p>
    <w:p>
      <w:pPr>
        <w:numPr>
          <w:ilvl w:val="0"/>
          <w:numId w:val="1007"/>
        </w:numPr>
        <w:pStyle w:val="Compact"/>
      </w:pPr>
      <w:r>
        <w:t xml:space="preserve">I peptidi vengono sintetizzati chimicamente, prodotti con tecniche di ingegneria genetica o ottenuti da fonti naturali. Via di produzione e purezza influenzano la sicurezza.</w:t>
      </w:r>
    </w:p>
    <w:p>
      <w:pPr>
        <w:numPr>
          <w:ilvl w:val="0"/>
          <w:numId w:val="1007"/>
        </w:numPr>
        <w:pStyle w:val="Compact"/>
      </w:pPr>
      <w:r>
        <w:t xml:space="preserve">„Peptide“ è una descrizione chimica, non un marchio di qualità. Se un determinato peptide funzioni e sia sicuro nell’uomo possono dimostrarlo solo buoni studi.</w:t>
      </w:r>
    </w:p>
    <w:bookmarkEnd w:id="47"/>
    <w:bookmarkEnd w:id="48"/>
    <w:bookmarkStart w:id="62" w:name="X787362c7e8536a3af04062fc1fc0fed466871bd"/>
    <w:p>
      <w:pPr>
        <w:pStyle w:val="Heading2"/>
      </w:pPr>
      <w:r>
        <w:t xml:space="preserve">Breve storia: dall’insulina ai farmaci GLP-1</w:t>
      </w:r>
    </w:p>
    <w:p>
      <w:pPr>
        <w:pStyle w:val="FirstParagraph"/>
      </w:pPr>
      <w:r>
        <w:t xml:space="preserve">La storia dei farmaci peptidici è una storia di scoperte decisive, vicoli ciechi e coincidenze sorprendenti. Comincia con un esperimento disperato a Toronto, passa per il veleno di una lucertola del deserto americano e si conclude – per ora – con iniezioni dimagranti che figurano tra i farmaci più venduti al mondo. Questo capitolo racconta le tappe più importanti. Intende aiutarLa a inquadrare l’attuale fermento intorno ai peptidi: molto di ciò che viene venduto come rivoluzionario poggia sulle spalle di cento anni di faticosa ricerca.</w:t>
      </w:r>
    </w:p>
    <w:bookmarkStart w:id="49" w:name="Xbbaa4de4a0f6ff806e8916d3dae0054a7a8d7aa"/>
    <w:p>
      <w:pPr>
        <w:pStyle w:val="Heading3"/>
      </w:pPr>
      <w:r>
        <w:t xml:space="preserve">Prima del 1922: la scoperta dei messaggeri chimici</w:t>
      </w:r>
    </w:p>
    <w:p>
      <w:pPr>
        <w:pStyle w:val="FirstParagraph"/>
      </w:pPr>
      <w:r>
        <w:t xml:space="preserve">Intorno al 1900 si affermò in fisiologia una nuova idea: gli organi comunicano non solo attraverso i nervi, ma anche tramite messaggeri chimici nel sangue. I fisiologi britannici William Bayliss ed Ernest Starling descrissero nel 1902 la secretina, una sostanza della parete intestinale che stimola il pancreas a produrre succo. Per questi messaggeri Starling coniò poco dopo il termine „ormone“. La secretina è – come oggi sappiamo – un peptide. All’inizio dell’intera ricerca sugli ormoni c’era dunque un peptide.</w:t>
      </w:r>
    </w:p>
    <w:p>
      <w:pPr>
        <w:pStyle w:val="BodyText"/>
      </w:pPr>
      <w:r>
        <w:t xml:space="preserve">Al tempo stesso era noto che il diabete mellito fosse legato al pancreas. I cani a cui veniva asportato l’organo sviluppavano un diabete mortale. Molti gruppi di ricerca cercarono di estrarre dalla ghiandola la presunta sostanza ipoglicemizzante. Gli estratti, però, erano inefficaci oppure così contaminati da provocare reazioni gravi.</w:t>
      </w:r>
    </w:p>
    <w:bookmarkEnd w:id="49"/>
    <w:bookmarkStart w:id="50" w:name="linsulina-il-primo-farmaco-peptidico"/>
    <w:p>
      <w:pPr>
        <w:pStyle w:val="Heading3"/>
      </w:pPr>
      <w:r>
        <w:t xml:space="preserve">1922: l’insulina – il primo farmaco peptidico</w:t>
      </w:r>
    </w:p>
    <w:p>
      <w:pPr>
        <w:pStyle w:val="FirstParagraph"/>
      </w:pPr>
      <w:r>
        <w:t xml:space="preserve">Nell’estate del 1921 un gruppo dell’Università di Toronto compì il passo decisivo. Frederick Banting e Charles Best, sotto la direzione di John Macleod, ottennero un estratto che abbassava la glicemia nei cani privi di pancreas. Il biochimico James Collip migliorò la purificazione al punto che l’estratto poté essere sperimentato sull’uomo. Nel gennaio 1922 un ragazzo di 14 anni con diabete grave ricevette a Toronto le prime iniezioni. Nello stesso anno il gruppo riferì le sue esperienze sui pazienti (Banting 1922, PMID 20314060).</w:t>
      </w:r>
    </w:p>
    <w:p>
      <w:pPr>
        <w:pStyle w:val="BodyText"/>
      </w:pPr>
      <w:r>
        <w:t xml:space="preserve">L’effetto fu drammatico: il diabete di tipo 1, fino ad allora mortale in breve tempo, divenne una malattia cronica curabile. Una revisione pubblicata per il centenario descrive proprio questa trasformazione come il nucleo della scoperta (Sims 2021, PMID 34267380). Banting e Macleod ricevettero nel 1923 il premio Nobel per la medicina.</w:t>
      </w:r>
    </w:p>
    <w:p>
      <w:pPr>
        <w:pStyle w:val="BodyText"/>
      </w:pPr>
      <w:r>
        <w:t xml:space="preserve">Come riassume una rassegna storica, i decenni successivi ruotarono intorno a questioni molto pratiche: produrre abbastanza insulina, renderla più pura per evitare reazioni allergiche, stabilire standard e prolungare la durata d’azione, affinché servissero meno iniezioni (Owens 2022, PMID 34708913). Proprio questi temi – produzione, purezza, durata d’azione, somministrazione – accompagnano la medicina peptidica ancora oggi.</w:t>
      </w:r>
    </w:p>
    <w:bookmarkEnd w:id="50"/>
    <w:bookmarkStart w:id="51" w:name="X765c64fa42127d6883ab6e5ecec5d96580b9eca"/>
    <w:p>
      <w:pPr>
        <w:pStyle w:val="Heading3"/>
      </w:pPr>
      <w:r>
        <w:t xml:space="preserve">Anni Cinquanta: i peptidi diventano leggibili e producibili</w:t>
      </w:r>
    </w:p>
    <w:p>
      <w:pPr>
        <w:pStyle w:val="FirstParagraph"/>
      </w:pPr>
      <w:r>
        <w:t xml:space="preserve">A lungo non fu chiaro come fosse costituita chimicamente l’insulina. Il biochimico britannico Frederick Sanger decifrò all’inizio degli anni Cinquanta, passo dopo passo, la sequenza degli amminoacidi nelle due catene dell’insulina (Sanger 1952, PMID 13018185). L’insulina divenne così la prima proteina di cui fosse nota la sequenza completa. Per questo Sanger ricevette nel 1958 il premio Nobel per la chimica. La scoperta che le proteine hanno una sequenza fissa e ben definita di mattoni fu fondamentale per l’intera biologia molecolare.</w:t>
      </w:r>
    </w:p>
    <w:p>
      <w:pPr>
        <w:pStyle w:val="BodyText"/>
      </w:pPr>
      <w:r>
        <w:t xml:space="preserve">Quasi contemporaneamente il chimico americano Vincent du Vigneaud realizzò la prima produzione chimica di un ormone peptidico: l’ossitocina, un ormone di nove amminoacidi che scatena le contrazioni del parto e la fuoriuscita del latte. Per questo fu insignito nel 1955 del premio Nobel per la chimica. Per la prima volta un ormone endogeno era stato „ricostruito“ in laboratorio – l’ossitocina sintetica viene impiegata in ostetricia ancora oggi.</w:t>
      </w:r>
    </w:p>
    <w:p>
      <w:pPr>
        <w:pStyle w:val="BodyText"/>
      </w:pPr>
      <w:r>
        <w:t xml:space="preserve">Negli anni Sessanta Robert Bruce Merrifield sviluppò la sintesi in fase solida, in cui una catena peptidica viene allungata mattone dopo mattone su un supporto solido (Merrifield 1969, PMID 4307033). Il procedimento poteva essere automatizzato e rese davvero praticabile la produzione di qualsiasi peptide corto. Merrifield ricevette nel 1984 il premio Nobel per la chimica. Senza questa tecnica non esisterebbero né la maggior parte dei farmaci peptidici moderni né l’attuale mercato grigio.</w:t>
      </w:r>
    </w:p>
    <w:bookmarkEnd w:id="51"/>
    <w:bookmarkStart w:id="52" w:name="Xead4d5130c17df1d40241f3efa1aefccb280ac4"/>
    <w:p>
      <w:pPr>
        <w:pStyle w:val="Heading3"/>
      </w:pPr>
      <w:r>
        <w:t xml:space="preserve">Anni Sessanta e Settanta: misurare e regolare</w:t>
      </w:r>
    </w:p>
    <w:p>
      <w:pPr>
        <w:pStyle w:val="FirstParagraph"/>
      </w:pPr>
      <w:r>
        <w:t xml:space="preserve">Un altro ostacolo era la misurabilità. Gli ormoni peptidici sono presenti nel sangue in quantità minime. Rosalyn Yalow e Solomon Berson svilupparono un metodo di misura basato su anticorpi e molecole marcate radioattivamente, il dosaggio radioimmunologico (radioimmunoassay), e con esso misurarono per la prima volta l’insulina nel sangue umano (Yalow 1960, PMID 13846364). Yalow ricevette il premio Nobel nel 1977. Improvvisamente era possibile seguire quando l’organismo rilascia quali ormoni peptidici.</w:t>
      </w:r>
    </w:p>
    <w:p>
      <w:pPr>
        <w:pStyle w:val="BodyText"/>
      </w:pPr>
      <w:r>
        <w:t xml:space="preserve">Nello stesso anno furono premiati Roger Guillemin e Andrew Schally. Avevano decifrato i messaggeri peptidici dell’ipotalamo – la regione cerebrale che dà ordini all’ipofisi. Da queste scoperte nacquero intere classi di farmaci: varianti dell’ormone di rilascio delle gonadotropine (GnRH) vengono impiegate per esempio nel cancro della prostata, nell’endometriosi e nei trattamenti per l’infertilità. L’ormone somatostatina divenne il modello per l’octreotide, usato nei tumori che producono ormoni e nell’acromegalia. Anche i peptidi che rilasciano l’ormone della crescita, trattati diffusamente nella Parte II, affondano qui le loro radici.</w:t>
      </w:r>
    </w:p>
    <w:bookmarkEnd w:id="52"/>
    <w:bookmarkStart w:id="53" w:name="X527990271e0eb5c519fe16fda48bd0a065657ec"/>
    <w:p>
      <w:pPr>
        <w:pStyle w:val="Heading3"/>
      </w:pPr>
      <w:r>
        <w:t xml:space="preserve">Anni Ottanta: l’ingegneria genetica cambia tutto</w:t>
      </w:r>
    </w:p>
    <w:p>
      <w:pPr>
        <w:pStyle w:val="FirstParagraph"/>
      </w:pPr>
      <w:r>
        <w:t xml:space="preserve">Fino agli anni Ottanta l’insulina proveniva dal pancreas di animali da macello. L’ormone della crescita umano veniva estratto dalle ipofisi di persone decedute; questo periodo andò dal 1958 al 1985 (Ranke 2018, PMID 29546874). Questa modalità di estrazione ebbe un rovescio tragico: alcuni bambini che avevano ricevuto tale ormone si ammalarono anni dopo della malattia di Creutzfeldt-Jakob, trasmessa da preparati contaminati. L’episodio è ancora oggi un monito sull’importanza della purezza e dell’origine dei principi attivi biologici.</w:t>
      </w:r>
    </w:p>
    <w:p>
      <w:pPr>
        <w:pStyle w:val="BodyText"/>
      </w:pPr>
      <w:r>
        <w:t xml:space="preserve">L’ingegneria genetica offrì una via d’uscita. L’insulina umana, prodotta in batteri, fu impiegata dal 1980 in studi clinici sull’uomo e fu il primo farmaco ottenuto con la tecnologia del DNA ricombinante (The 1989, PMID 2690608). Pochi anni dopo seguì l’ormone della crescita ricombinante. Per la prima volta peptidi e proteine umani erano disponibili in quantità praticamente illimitate.</w:t>
      </w:r>
    </w:p>
    <w:p>
      <w:pPr>
        <w:pStyle w:val="BodyText"/>
      </w:pPr>
      <w:r>
        <w:t xml:space="preserve">Negli anni Novanta i produttori fecero un passo ulteriore: modificarono in modo mirato le molecole di insulina per farle agire più rapidamente o più lentamente. Questi „analoghi dell’insulina“ furono un precursore del principio che in seguito rese così efficaci i farmaci GLP-1: un modello naturale, ottimizzato in laboratorio per l’uso.</w:t>
      </w:r>
    </w:p>
    <w:p>
      <w:pPr>
        <w:pStyle w:val="BodyText"/>
      </w:pPr>
      <w:r>
        <w:t xml:space="preserve">Si affermarono anche altri farmaci peptidici. Un esempio è la teriparatide, un frammento dell’ormone paratiroideo. In un grande studio su 1.637 donne in postmenopausa con osteoporosi, nuove fratture vertebrali si verificarono nel 14% delle donne con placebo, ma solo nel 5% e rispettivamente nel 4% nei due gruppi con teriparatide (Neer 2001, PMID 11346808). Studi di questo tipo con endpoint „solidi“ come le fratture ossee hanno fissato il metro di misura con cui devono confrontarsi anche i nuovi peptidi.</w:t>
      </w:r>
    </w:p>
    <w:bookmarkEnd w:id="53"/>
    <w:bookmarkStart w:id="54" w:name="le-incretine-dallintestino-al-farmaco"/>
    <w:p>
      <w:pPr>
        <w:pStyle w:val="Heading3"/>
      </w:pPr>
      <w:r>
        <w:t xml:space="preserve">Le incretine: dall’intestino al farmaco</w:t>
      </w:r>
    </w:p>
    <w:p>
      <w:pPr>
        <w:pStyle w:val="FirstParagraph"/>
      </w:pPr>
      <w:r>
        <w:t xml:space="preserve">La storia dei farmaci GLP-1 comincia con un’osservazione degli anni Sessanta: lo zucchero ingerito provoca una secrezione di insulina molto più forte della stessa quantità di zucchero iniettata direttamente nel sangue. L’intestino deve quindi inviare segnali al pancreas durante il pasto. Queste sostanze di segnalazione furono chiamate incretine.</w:t>
      </w:r>
    </w:p>
    <w:p>
      <w:pPr>
        <w:pStyle w:val="BodyText"/>
      </w:pPr>
      <w:r>
        <w:t xml:space="preserve">La prima incretina conosciuta fu il GIP (polipeptide insulinotropico glucosio-dipendente). Negli anni Ottanta se ne scoprì una seconda: il glucagon-like peptide-1, in breve GLP-1. Un gruppo britannico dimostrò nel 1987 che nell’uomo il GLP-1 aumenta nel sangue dopo un pasto, che – infuso in quantità simili a quelle post-prandiali – in sette volontari aumentava la secrezione di insulina e abbassava la glicemia, e che in questo era più efficace del GIP (Kreymann 1987, PMID 2890903).</w:t>
      </w:r>
    </w:p>
    <w:p>
      <w:pPr>
        <w:pStyle w:val="BodyText"/>
      </w:pPr>
      <w:r>
        <w:t xml:space="preserve">Il problema: il GLP-1 naturale viene degradato nel sangue nel giro di minuti dall’enzima DPP-4 (Deacon 1995, PMID 7883856). Come farmaco era così quasi inutilizzabile. Furono seguite due strade: inibitori dell’enzima di degradazione (le cosiddette gliptine, autorizzate come compresse e che non sono peptidi) e imitazioni stabili dello stesso GLP-1.</w:t>
      </w:r>
    </w:p>
    <w:bookmarkEnd w:id="54"/>
    <w:bookmarkStart w:id="55" w:name="il-veleno-della-lucertola-lexenatide"/>
    <w:p>
      <w:pPr>
        <w:pStyle w:val="Heading3"/>
      </w:pPr>
      <w:r>
        <w:t xml:space="preserve">Il veleno della lucertola: l’exenatide</w:t>
      </w:r>
    </w:p>
    <w:p>
      <w:pPr>
        <w:pStyle w:val="FirstParagraph"/>
      </w:pPr>
      <w:r>
        <w:t xml:space="preserve">La prima imitazione stabile arrivò da una direzione inattesa. All’inizio degli anni Novanta l’endocrinologo americano John Eng studiò il veleno del mostro di Gila (Heloderma suspectum), un rettile velenoso del sud-ovest degli Stati Uniti. Ne isolò un peptide di 39 amminoacidi che chiamò exendina-4 (Eng 1992, PMID 1313797). L’exendina-4 somiglia al GLP-1 umano, attiva lo stesso recettore, ma viene a malapena attaccata dalla DPP-4.</w:t>
      </w:r>
    </w:p>
    <w:p>
      <w:pPr>
        <w:pStyle w:val="BodyText"/>
      </w:pPr>
      <w:r>
        <w:t xml:space="preserve">L’exendina-4 sintetica ricevette il nome di exenatide e nel 2005 fu autorizzata negli Stati Uniti come primo farmaco di questa classe. In uno degli studi registrativi su 336 persone con diabete di tipo 2 che assumevano già metformina, dopo 30 settimane il valore di glicemia a lungo termine HbA1c diminuì di 0,78 punti percentuali nel gruppo a dose più alta, mentre con placebo aumentò leggermente di 0,08 punti percentuali. Al tempo stesso i partecipanti trattati con exenatide persero peso, 2,8 kg con la dose più alta (DeFronzo 2005, PMID 15855572). Inizialmente l’exenatide doveva essere iniettata due volte al giorno.</w:t>
      </w:r>
    </w:p>
    <w:p>
      <w:pPr>
        <w:pStyle w:val="BodyText"/>
      </w:pPr>
      <w:r>
        <w:t xml:space="preserve">All’epoca la perdita di peso era considerata un gradito effetto collaterale. Che proprio questo effetto avrebbe reso famosa l’intera classe due decenni dopo, probabilmente lo immaginavano in pochi.</w:t>
      </w:r>
    </w:p>
    <w:bookmarkEnd w:id="55"/>
    <w:bookmarkStart w:id="56" w:name="X30909b8df9956d1ad8c19466f161738602a1a88"/>
    <w:p>
      <w:pPr>
        <w:pStyle w:val="Heading3"/>
      </w:pPr>
      <w:r>
        <w:t xml:space="preserve">Azione più lunga: liraglutide e semaglutide</w:t>
      </w:r>
    </w:p>
    <w:p>
      <w:pPr>
        <w:pStyle w:val="FirstParagraph"/>
      </w:pPr>
      <w:r>
        <w:t xml:space="preserve">Il produttore danese Novo Nordisk seguì un’altra strada. Invece di usare un peptide estraneo, modificò il GLP-1 umano in modo che si legasse nel sangue alla proteina di trasporto albumina e venisse così degradato più lentamente. Il risultato fu la liraglutide, che si inietta una volta al giorno e fu autorizzata nell’UE nel 2009. Una rassegna degli sviluppatori descrive come si cercarono combinazioni adatte di acido grasso ed elemento di collegamento per massimizzare il legame all’albumina senza perdere l’effetto sul recettore (Knudsen 2019, PMID 31031702).</w:t>
      </w:r>
    </w:p>
    <w:p>
      <w:pPr>
        <w:pStyle w:val="BodyText"/>
      </w:pPr>
      <w:r>
        <w:t xml:space="preserve">La liraglutide fu in seguito sperimentata a dose più alta anche per il trattamento del peso. Nello studio SCALE con 3.731 partecipanti senza diabete, le persone trattate con liraglutide persero in 56 settimane in media 8,4 kg, con placebo 2,8 kg (Pi-Sunyer 2015, PMID 26132939).</w:t>
      </w:r>
    </w:p>
    <w:p>
      <w:pPr>
        <w:pStyle w:val="BodyText"/>
      </w:pPr>
      <w:r>
        <w:t xml:space="preserve">Il passo successivo fu segnato dalla semaglutide: una molecola legata ancora più fortemente all’albumina, che va iniettata solo una volta alla settimana (Lau 2015, PMID 26308095). Nello studio registrativo STEP 1 con 1.961 adulti in sovrappeso o con obesità, il peso corporeo diminuì in 68 settimane in media del 14,9%, con placebo del 2,4% (Wilding 2021, PMID 33567185). Quest’ordine di grandezza superava nettamente tutto ciò che avevano raggiunto i precedenti farmaci dimagranti.</w:t>
      </w:r>
    </w:p>
    <w:bookmarkEnd w:id="56"/>
    <w:bookmarkStart w:id="57" w:name="dalla-glicemia-al-cuore"/>
    <w:p>
      <w:pPr>
        <w:pStyle w:val="Heading3"/>
      </w:pPr>
      <w:r>
        <w:t xml:space="preserve">Dalla glicemia al cuore</w:t>
      </w:r>
    </w:p>
    <w:p>
      <w:pPr>
        <w:pStyle w:val="FirstParagraph"/>
      </w:pPr>
      <w:r>
        <w:t xml:space="preserve">Una svolta arrivò quando, dopo i problemi con un altro antidiabetico, dal 2008 le autorità chiesero ai nuovi farmaci per il diabete di dimostrare la propria sicurezza cardiovascolare in grandi studi. Questi studi avrebbero dovuto in realtà solo dimostrare che i farmaci non mettevano in pericolo il cuore. Per i farmaci GLP-1 mostrarono di più.</w:t>
      </w:r>
    </w:p>
    <w:p>
      <w:pPr>
        <w:pStyle w:val="BodyText"/>
      </w:pPr>
      <w:r>
        <w:t xml:space="preserve">Nello studio LEADER con 9.340 persone con diabete di tipo 2 e alto rischio cardiovascolare, l’evento combinato di morte cardiovascolare, infarto miocardico non fatale o ictus si verificò con liraglutide nel 13,0%, con placebo nel 14,9% (Marso 2016, PMID 27295427). Nello studio SUSTAIN-6 con 3.297 partecipanti le percentuali furono del 6,6% con semaglutide e dell’8,9% con placebo; con semaglutide, tuttavia, si verificarono più spesso complicanze a carico della retina (Marso 2016, PMID 27633186).</w:t>
      </w:r>
    </w:p>
    <w:p>
      <w:pPr>
        <w:pStyle w:val="BodyText"/>
      </w:pPr>
      <w:r>
        <w:t xml:space="preserve">Nel 2023 seguì lo studio SELECT, che per la prima volta esaminò persone in sovrappeso con malattia cardiovascolare, ma senza diabete. Su 17.604 partecipanti, l’evento cardiovascolare combinato si verificò in un periodo medio di 39,8 mesi nel 6,5% con semaglutide e nell’8,0% con placebo (Lincoff 2023, PMID 37952131). Era così dimostrato che un farmaco peptidico nell’obesità può influenzare non solo il peso, ma anche eventi solidi come gli infarti. Che cosa significhino queste percentuali – e perché occorra distinguere tra differenze relative e assolute – lo spiega il capitolo „Leggere correttamente gli studi“.</w:t>
      </w:r>
    </w:p>
    <w:bookmarkEnd w:id="57"/>
    <w:bookmarkStart w:id="58" w:name="la-compressa-e-gli-agonisti-multipli"/>
    <w:p>
      <w:pPr>
        <w:pStyle w:val="Heading3"/>
      </w:pPr>
      <w:r>
        <w:t xml:space="preserve">La compressa e gli agonisti multipli</w:t>
      </w:r>
    </w:p>
    <w:p>
      <w:pPr>
        <w:pStyle w:val="FirstParagraph"/>
      </w:pPr>
      <w:r>
        <w:t xml:space="preserve">Altri due sviluppi hanno segnato gli ultimi anni.</w:t>
      </w:r>
    </w:p>
    <w:p>
      <w:pPr>
        <w:pStyle w:val="BodyText"/>
      </w:pPr>
      <w:r>
        <w:rPr>
          <w:bCs/>
          <w:b/>
        </w:rPr>
        <w:t xml:space="preserve">La prima compressa peptidica di questa classe.</w:t>
      </w:r>
      <w:r>
        <w:t xml:space="preserve"> </w:t>
      </w:r>
      <w:r>
        <w:t xml:space="preserve">Grazie a un eccipiente speciale si è riusciti a rendere disponibile la semaglutide in compresse. Nello studio PIONEER 1 la semaglutide orale ha abbassato il valore di HbA1c nelle persone con diabete di tipo 2 in misura nettamente maggiore del placebo (Aroda 2019, PMID 31186300). Come funziona dal punto di vista tecnico lo spiega il prossimo capitolo.</w:t>
      </w:r>
    </w:p>
    <w:p>
      <w:pPr>
        <w:pStyle w:val="BodyText"/>
      </w:pPr>
      <w:r>
        <w:rPr>
          <w:bCs/>
          <w:b/>
        </w:rPr>
        <w:t xml:space="preserve">Principi attivi combinati.</w:t>
      </w:r>
      <w:r>
        <w:t xml:space="preserve"> </w:t>
      </w:r>
      <w:r>
        <w:t xml:space="preserve">La tirzepatide attiva contemporaneamente il recettore del GLP-1 e quello del GIP. Nello studio SURMOUNT-1 con 2.539 adulti con obesità, la perdita di peso media dopo 72 settimane è stata, a seconda della dose, dal 15,0% al 20,9%, con placebo del 3,1% (Jastreboff 2022, PMID 35658024). Nel frattempo tripli agonisti come la retatrutide e combinazioni con l’ormone amilina vengono valutati in grandi studi. La Parte II li presenta singolarmente, la Parte V dà uno sguardo alla pipeline.</w:t>
      </w:r>
    </w:p>
    <w:p>
      <w:pPr>
        <w:pStyle w:val="BodyText"/>
      </w:pPr>
      <w:r>
        <w:t xml:space="preserve">È degno di nota che l’incretina GIP, che negli anni Ottanta era considerata più debole del GLP-1 (Kreymann 1987, PMID 2890903), torni ad avere un ruolo in combinazione. La ricerca raramente procede in linea retta.</w:t>
      </w:r>
    </w:p>
    <w:bookmarkEnd w:id="58"/>
    <w:bookmarkStart w:id="59" w:name="il-rovescio-del-successo"/>
    <w:p>
      <w:pPr>
        <w:pStyle w:val="Heading3"/>
      </w:pPr>
      <w:r>
        <w:t xml:space="preserve">Il rovescio del successo</w:t>
      </w:r>
    </w:p>
    <w:p>
      <w:pPr>
        <w:pStyle w:val="FirstParagraph"/>
      </w:pPr>
      <w:r>
        <w:t xml:space="preserve">L’enorme successo dei farmaci GLP-1 ha avuto effetti collaterali al di là della farmacologia. Le carenze di approvvigionamento dal 2022 in poi hanno fatto sì che le persone con diabete a volte non ricevessero i loro farmaci. Negli Stati Uniti le farmacie si sono avvalse di una norma di eccezione per produrre preparati di imitazione. In tutto il mondo sono comparse contraffazioni che in alcuni casi contenevano insulina al posto della semaglutide. E il crescente interesse per i „peptidi“ in generale ha aperto un mercato per sostanze mai studiate in modo adeguato sull’uomo. Il capitolo sul mercato grigio approfondisce questi aspetti.</w:t>
      </w:r>
    </w:p>
    <w:bookmarkEnd w:id="59"/>
    <w:bookmarkStart w:id="60" w:name="che-cosa-insegna-la-storia"/>
    <w:p>
      <w:pPr>
        <w:pStyle w:val="Heading3"/>
      </w:pPr>
      <w:r>
        <w:t xml:space="preserve">Che cosa insegna la storia</w:t>
      </w:r>
    </w:p>
    <w:p>
      <w:pPr>
        <w:pStyle w:val="FirstParagraph"/>
      </w:pPr>
      <w:r>
        <w:t xml:space="preserve">Da cento anni di medicina peptidica si possono trarre alcune lezioni utili per valutare le sostanze di questo libro:</w:t>
      </w:r>
    </w:p>
    <w:p>
      <w:pPr>
        <w:numPr>
          <w:ilvl w:val="0"/>
          <w:numId w:val="1008"/>
        </w:numPr>
        <w:pStyle w:val="Compact"/>
      </w:pPr>
      <w:r>
        <w:rPr>
          <w:bCs/>
          <w:b/>
        </w:rPr>
        <w:t xml:space="preserve">La purezza non è un dettaglio.</w:t>
      </w:r>
      <w:r>
        <w:t xml:space="preserve"> </w:t>
      </w:r>
      <w:r>
        <w:t xml:space="preserve">Dagli estratti di insulina contaminati degli inizi all’ormone della crescita da ipofisi di cadaveri, la storia mostra che la qualità di produzione può decidere tra la vita e la morte.</w:t>
      </w:r>
    </w:p>
    <w:p>
      <w:pPr>
        <w:numPr>
          <w:ilvl w:val="0"/>
          <w:numId w:val="1008"/>
        </w:numPr>
        <w:pStyle w:val="Compact"/>
      </w:pPr>
      <w:r>
        <w:rPr>
          <w:bCs/>
          <w:b/>
        </w:rPr>
        <w:t xml:space="preserve">Meccanismo d’azione non equivale a beneficio.</w:t>
      </w:r>
      <w:r>
        <w:t xml:space="preserve"> </w:t>
      </w:r>
      <w:r>
        <w:t xml:space="preserve">Che un peptide agisca su un recettore non significa ancora che sia utile alle persone. Per i farmaci GLP-1 sono stati necessari grandi studi con migliaia di partecipanti e un’osservazione pluriennale.</w:t>
      </w:r>
    </w:p>
    <w:p>
      <w:pPr>
        <w:numPr>
          <w:ilvl w:val="0"/>
          <w:numId w:val="1008"/>
        </w:numPr>
        <w:pStyle w:val="Compact"/>
      </w:pPr>
      <w:r>
        <w:rPr>
          <w:bCs/>
          <w:b/>
        </w:rPr>
        <w:t xml:space="preserve">Le sorprese arrivano in entrambe le direzioni.</w:t>
      </w:r>
      <w:r>
        <w:t xml:space="preserve"> </w:t>
      </w:r>
      <w:r>
        <w:t xml:space="preserve">La perdita di peso con l’exenatide era inizialmente una nota a margine, gli effetti di protezione cardiaca furono scoperti in studi di sicurezza. Viceversa, nei grandi studi sono emersi anche rischi inattesi, per esempio le complicanze retiniche in SUSTAIN-6.</w:t>
      </w:r>
    </w:p>
    <w:p>
      <w:pPr>
        <w:numPr>
          <w:ilvl w:val="0"/>
          <w:numId w:val="1008"/>
        </w:numPr>
        <w:pStyle w:val="Compact"/>
      </w:pPr>
      <w:r>
        <w:rPr>
          <w:bCs/>
          <w:b/>
        </w:rPr>
        <w:t xml:space="preserve">Le buone idee richiedono tempo.</w:t>
      </w:r>
      <w:r>
        <w:t xml:space="preserve"> </w:t>
      </w:r>
      <w:r>
        <w:t xml:space="preserve">Tra la descrizione del GLP-1 nell’uomo nel 1987 e l’autorizzazione della semaglutide per il trattamento del peso sono trascorsi più di tre decenni. I peptidi che oggi su Internet vengono pubblicizzati come „svolta“ senza che esista un solo studio controllato sull’uomo si trovano, nella migliore delle ipotesi, all’inizio di un percorso simile.</w:t>
      </w:r>
    </w:p>
    <w:bookmarkEnd w:id="60"/>
    <w:bookmarkStart w:id="61" w:name="cronologia"/>
    <w:p>
      <w:pPr>
        <w:pStyle w:val="Heading3"/>
      </w:pPr>
      <w:r>
        <w:t xml:space="preserve">Cronologia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left"/>
            </w:pPr>
            <w:r>
              <w:t xml:space="preserve">Evento</w:t>
            </w:r>
          </w:p>
        </w:tc>
      </w:tr>
      <w:tr>
        <w:tc>
          <w:tcPr/>
          <w:p>
            <w:pPr>
              <w:pStyle w:val="Compact"/>
              <w:jc w:val="left"/>
            </w:pPr>
            <w:r>
              <w:t xml:space="preserve">1902</w:t>
            </w:r>
          </w:p>
        </w:tc>
        <w:tc>
          <w:tcPr/>
          <w:p>
            <w:pPr>
              <w:pStyle w:val="Compact"/>
              <w:jc w:val="left"/>
            </w:pPr>
            <w:r>
              <w:t xml:space="preserve">Descritta la secretina, primo ormone (un peptide)</w:t>
            </w:r>
          </w:p>
        </w:tc>
      </w:tr>
      <w:tr>
        <w:tc>
          <w:tcPr/>
          <w:p>
            <w:pPr>
              <w:pStyle w:val="Compact"/>
              <w:jc w:val="left"/>
            </w:pPr>
            <w:r>
              <w:t xml:space="preserve">1922</w:t>
            </w:r>
          </w:p>
        </w:tc>
        <w:tc>
          <w:tcPr/>
          <w:p>
            <w:pPr>
              <w:pStyle w:val="Compact"/>
              <w:jc w:val="left"/>
            </w:pPr>
            <w:r>
              <w:t xml:space="preserve">Primo trattamento di una persona con insulina a Toronto</w:t>
            </w:r>
          </w:p>
        </w:tc>
      </w:tr>
      <w:tr>
        <w:tc>
          <w:tcPr/>
          <w:p>
            <w:pPr>
              <w:pStyle w:val="Compact"/>
              <w:jc w:val="left"/>
            </w:pPr>
            <w:r>
              <w:t xml:space="preserve">1951–1955</w:t>
            </w:r>
          </w:p>
        </w:tc>
        <w:tc>
          <w:tcPr/>
          <w:p>
            <w:pPr>
              <w:pStyle w:val="Compact"/>
              <w:jc w:val="left"/>
            </w:pPr>
            <w:r>
              <w:t xml:space="preserve">Sanger decifra la sequenza dell’insulina</w:t>
            </w:r>
          </w:p>
        </w:tc>
      </w:tr>
      <w:tr>
        <w:tc>
          <w:tcPr/>
          <w:p>
            <w:pPr>
              <w:pStyle w:val="Compact"/>
              <w:jc w:val="left"/>
            </w:pPr>
            <w:r>
              <w:t xml:space="preserve">1953</w:t>
            </w:r>
          </w:p>
        </w:tc>
        <w:tc>
          <w:tcPr/>
          <w:p>
            <w:pPr>
              <w:pStyle w:val="Compact"/>
              <w:jc w:val="left"/>
            </w:pPr>
            <w:r>
              <w:t xml:space="preserve">Prima sintesi chimica di un ormone peptidico (ossitocina)</w:t>
            </w:r>
          </w:p>
        </w:tc>
      </w:tr>
      <w:tr>
        <w:tc>
          <w:tcPr/>
          <w:p>
            <w:pPr>
              <w:pStyle w:val="Compact"/>
              <w:jc w:val="left"/>
            </w:pPr>
            <w:r>
              <w:t xml:space="preserve">Anni ’60</w:t>
            </w:r>
          </w:p>
        </w:tc>
        <w:tc>
          <w:tcPr/>
          <w:p>
            <w:pPr>
              <w:pStyle w:val="Compact"/>
              <w:jc w:val="left"/>
            </w:pPr>
            <w:r>
              <w:t xml:space="preserve">Sintesi in fase solida (Merrifield), dosaggio radioimmunologico</w:t>
            </w:r>
          </w:p>
        </w:tc>
      </w:tr>
      <w:tr>
        <w:tc>
          <w:tcPr/>
          <w:p>
            <w:pPr>
              <w:pStyle w:val="Compact"/>
              <w:jc w:val="left"/>
            </w:pPr>
            <w:r>
              <w:t xml:space="preserve">1980</w:t>
            </w:r>
          </w:p>
        </w:tc>
        <w:tc>
          <w:tcPr/>
          <w:p>
            <w:pPr>
              <w:pStyle w:val="Compact"/>
              <w:jc w:val="left"/>
            </w:pPr>
            <w:r>
              <w:t xml:space="preserve">Insulina umana da ingegneria genetica in studi clinici</w:t>
            </w:r>
          </w:p>
        </w:tc>
      </w:tr>
      <w:tr>
        <w:tc>
          <w:tcPr/>
          <w:p>
            <w:pPr>
              <w:pStyle w:val="Compact"/>
              <w:jc w:val="left"/>
            </w:pPr>
            <w:r>
              <w:t xml:space="preserve">1985</w:t>
            </w:r>
          </w:p>
        </w:tc>
        <w:tc>
          <w:tcPr/>
          <w:p>
            <w:pPr>
              <w:pStyle w:val="Compact"/>
              <w:jc w:val="left"/>
            </w:pPr>
            <w:r>
              <w:t xml:space="preserve">Fine dell’estrazione dell’ormone della crescita da ipofisi</w:t>
            </w:r>
          </w:p>
        </w:tc>
      </w:tr>
      <w:tr>
        <w:tc>
          <w:tcPr/>
          <w:p>
            <w:pPr>
              <w:pStyle w:val="Compact"/>
              <w:jc w:val="left"/>
            </w:pPr>
            <w:r>
              <w:t xml:space="preserve">1987</w:t>
            </w:r>
          </w:p>
        </w:tc>
        <w:tc>
          <w:tcPr/>
          <w:p>
            <w:pPr>
              <w:pStyle w:val="Compact"/>
              <w:jc w:val="left"/>
            </w:pPr>
            <w:r>
              <w:t xml:space="preserve">Il GLP-1 descritto come incretina nell’uomo</w:t>
            </w:r>
          </w:p>
        </w:tc>
      </w:tr>
      <w:tr>
        <w:tc>
          <w:tcPr/>
          <w:p>
            <w:pPr>
              <w:pStyle w:val="Compact"/>
              <w:jc w:val="left"/>
            </w:pPr>
            <w:r>
              <w:t xml:space="preserve">1992</w:t>
            </w:r>
          </w:p>
        </w:tc>
        <w:tc>
          <w:tcPr/>
          <w:p>
            <w:pPr>
              <w:pStyle w:val="Compact"/>
              <w:jc w:val="left"/>
            </w:pPr>
            <w:r>
              <w:t xml:space="preserve">Scoperta dell’exendina-4 nel veleno della lucertola</w:t>
            </w:r>
          </w:p>
        </w:tc>
      </w:tr>
      <w:tr>
        <w:tc>
          <w:tcPr/>
          <w:p>
            <w:pPr>
              <w:pStyle w:val="Compact"/>
              <w:jc w:val="left"/>
            </w:pPr>
            <w:r>
              <w:t xml:space="preserve">2005</w:t>
            </w:r>
          </w:p>
        </w:tc>
        <w:tc>
          <w:tcPr/>
          <w:p>
            <w:pPr>
              <w:pStyle w:val="Compact"/>
              <w:jc w:val="left"/>
            </w:pPr>
            <w:r>
              <w:t xml:space="preserve">Exenatide autorizzata negli Stati Uniti</w:t>
            </w:r>
          </w:p>
        </w:tc>
      </w:tr>
      <w:tr>
        <w:tc>
          <w:tcPr/>
          <w:p>
            <w:pPr>
              <w:pStyle w:val="Compact"/>
              <w:jc w:val="left"/>
            </w:pPr>
            <w:r>
              <w:t xml:space="preserve">2009</w:t>
            </w:r>
          </w:p>
        </w:tc>
        <w:tc>
          <w:tcPr/>
          <w:p>
            <w:pPr>
              <w:pStyle w:val="Compact"/>
              <w:jc w:val="left"/>
            </w:pPr>
            <w:r>
              <w:t xml:space="preserve">Liraglutide autorizzata nell’UE</w:t>
            </w:r>
          </w:p>
        </w:tc>
      </w:tr>
      <w:tr>
        <w:tc>
          <w:tcPr/>
          <w:p>
            <w:pPr>
              <w:pStyle w:val="Compact"/>
              <w:jc w:val="left"/>
            </w:pPr>
            <w:r>
              <w:t xml:space="preserve">2016</w:t>
            </w:r>
          </w:p>
        </w:tc>
        <w:tc>
          <w:tcPr/>
          <w:p>
            <w:pPr>
              <w:pStyle w:val="Compact"/>
              <w:jc w:val="left"/>
            </w:pPr>
            <w:r>
              <w:t xml:space="preserve">LEADER e SUSTAIN-6: meno eventi cardiovascolari</w:t>
            </w:r>
          </w:p>
        </w:tc>
      </w:tr>
      <w:tr>
        <w:tc>
          <w:tcPr/>
          <w:p>
            <w:pPr>
              <w:pStyle w:val="Compact"/>
              <w:jc w:val="left"/>
            </w:pPr>
            <w:r>
              <w:t xml:space="preserve">2019</w:t>
            </w:r>
          </w:p>
        </w:tc>
        <w:tc>
          <w:tcPr/>
          <w:p>
            <w:pPr>
              <w:pStyle w:val="Compact"/>
              <w:jc w:val="left"/>
            </w:pPr>
            <w:r>
              <w:t xml:space="preserve">Prima compressa GLP-1 (semaglutide orale)</w:t>
            </w:r>
          </w:p>
        </w:tc>
      </w:tr>
      <w:tr>
        <w:tc>
          <w:tcPr/>
          <w:p>
            <w:pPr>
              <w:pStyle w:val="Compact"/>
              <w:jc w:val="left"/>
            </w:pPr>
            <w:r>
              <w:t xml:space="preserve">2021</w:t>
            </w:r>
          </w:p>
        </w:tc>
        <w:tc>
          <w:tcPr/>
          <w:p>
            <w:pPr>
              <w:pStyle w:val="Compact"/>
              <w:jc w:val="left"/>
            </w:pPr>
            <w:r>
              <w:t xml:space="preserve">Semaglutide per il trattamento del peso (programma STEP)</w:t>
            </w:r>
          </w:p>
        </w:tc>
      </w:tr>
      <w:tr>
        <w:tc>
          <w:tcPr/>
          <w:p>
            <w:pPr>
              <w:pStyle w:val="Compact"/>
              <w:jc w:val="left"/>
            </w:pPr>
            <w:r>
              <w:t xml:space="preserve">2022</w:t>
            </w:r>
          </w:p>
        </w:tc>
        <w:tc>
          <w:tcPr/>
          <w:p>
            <w:pPr>
              <w:pStyle w:val="Compact"/>
              <w:jc w:val="left"/>
            </w:pPr>
            <w:r>
              <w:t xml:space="preserve">Tirzepatide: primo doppio agonista GIP/GLP-1</w:t>
            </w:r>
          </w:p>
        </w:tc>
      </w:tr>
      <w:tr>
        <w:tc>
          <w:tcPr/>
          <w:p>
            <w:pPr>
              <w:pStyle w:val="Compact"/>
              <w:jc w:val="left"/>
            </w:pPr>
            <w:r>
              <w:t xml:space="preserve">2023</w:t>
            </w:r>
          </w:p>
        </w:tc>
        <w:tc>
          <w:tcPr/>
          <w:p>
            <w:pPr>
              <w:pStyle w:val="Compact"/>
              <w:jc w:val="left"/>
            </w:pPr>
            <w:r>
              <w:t xml:space="preserve">SELECT: protezione cardiaca nell’obesità senza diabete</w:t>
            </w:r>
          </w:p>
        </w:tc>
      </w:tr>
    </w:tbl>
    <w:p>
      <w:pPr>
        <w:pStyle w:val="BodyText"/>
      </w:pPr>
      <w:r>
        <w:t xml:space="preserve">Gli anni di autorizzazione si riferiscono di volta in volta alla prima autorizzazione; in altri Paesi e per altre indicazioni valgono in parte date diverse. Aggiornato al 2026, da verificare se necessario.</w:t>
      </w:r>
    </w:p>
    <w:bookmarkEnd w:id="61"/>
    <w:bookmarkEnd w:id="62"/>
    <w:bookmarkStart w:id="76" w:name="X0ed60318e5ea16cae352182dd7cfeff6b7a34b6"/>
    <w:p>
      <w:pPr>
        <w:pStyle w:val="Heading2"/>
      </w:pPr>
      <w:r>
        <w:t xml:space="preserve">Come i peptidi entrano nell’organismo – e perché è difficile</w:t>
      </w:r>
    </w:p>
    <w:p>
      <w:pPr>
        <w:pStyle w:val="FirstParagraph"/>
      </w:pPr>
      <w:r>
        <w:t xml:space="preserve">Quasi tutti i farmaci peptidici che conosce vengono iniettati: insulina, semaglutide, tirzepatide, teriparatide. Non è un caso né una preferenza dell’industria farmaceutica, ma una conseguenza della biologia. Il corpo umano è bravissimo a scomporre proteine e peptidi – dopotutto vive proprio della scomposizione delle proteine alimentari nei loro mattoni. Questo capitolo spiega quali ostacoli un peptide deve superare per raggiungere il suo sito d’azione, quali vie ha trovato la medicina e perché molte promesse legate a gocce, capsule e creme vanno considerate con cautela.</w:t>
      </w:r>
    </w:p>
    <w:bookmarkStart w:id="63" w:name="il-problema-di-fondo-la-biodisponibilità"/>
    <w:p>
      <w:pPr>
        <w:pStyle w:val="Heading3"/>
      </w:pPr>
      <w:r>
        <w:t xml:space="preserve">Il problema di fondo: la biodisponibilità</w:t>
      </w:r>
    </w:p>
    <w:p>
      <w:pPr>
        <w:pStyle w:val="FirstParagraph"/>
      </w:pPr>
      <w:r>
        <w:t xml:space="preserve">Un concetto centrale di questo capitolo è la</w:t>
      </w:r>
      <w:r>
        <w:t xml:space="preserve"> </w:t>
      </w:r>
      <w:r>
        <w:rPr>
          <w:bCs/>
          <w:b/>
        </w:rPr>
        <w:t xml:space="preserve">biodisponibilità</w:t>
      </w:r>
      <w:r>
        <w:t xml:space="preserve">. Indica quale quota di una quantità somministrata arriva effettivamente immodificata nella circolazione sanguigna. Con un’infusione direttamente in vena è per definizione il 100%. Con tutte le altre vie una parte va persa – per degradazione, per barriere o perché la sostanza viene semplicemente eliminata.</w:t>
      </w:r>
    </w:p>
    <w:p>
      <w:pPr>
        <w:pStyle w:val="BodyText"/>
      </w:pPr>
      <w:r>
        <w:t xml:space="preserve">Per i peptidi la biodisponibilità è particolarmente critica perché si combinano tre caratteristiche:</w:t>
      </w:r>
    </w:p>
    <w:p>
      <w:pPr>
        <w:numPr>
          <w:ilvl w:val="0"/>
          <w:numId w:val="1009"/>
        </w:numPr>
        <w:pStyle w:val="Compact"/>
      </w:pPr>
      <w:r>
        <w:rPr>
          <w:bCs/>
          <w:b/>
        </w:rPr>
        <w:t xml:space="preserve">Sono sensibili agli enzimi.</w:t>
      </w:r>
      <w:r>
        <w:t xml:space="preserve"> </w:t>
      </w:r>
      <w:r>
        <w:t xml:space="preserve">I legami peptidici vengono scissi in modo mirato da enzimi digestivi come la pepsina nello stomaco o la tripsina nell’intestino tenue, e inoltre da numerosi enzimi nel sangue e nei tessuti.</w:t>
      </w:r>
    </w:p>
    <w:p>
      <w:pPr>
        <w:numPr>
          <w:ilvl w:val="0"/>
          <w:numId w:val="1009"/>
        </w:numPr>
        <w:pStyle w:val="Compact"/>
      </w:pPr>
      <w:r>
        <w:rPr>
          <w:bCs/>
          <w:b/>
        </w:rPr>
        <w:t xml:space="preserve">Sono grandi.</w:t>
      </w:r>
      <w:r>
        <w:t xml:space="preserve"> </w:t>
      </w:r>
      <w:r>
        <w:t xml:space="preserve">Rispetto ai farmaci classici come l’ibuprofene, la maggior parte dei peptidi è enorme. Già un peptide di dieci amminoacidi pesa più di 1.000 dalton.</w:t>
      </w:r>
    </w:p>
    <w:p>
      <w:pPr>
        <w:numPr>
          <w:ilvl w:val="0"/>
          <w:numId w:val="1009"/>
        </w:numPr>
        <w:pStyle w:val="Compact"/>
      </w:pPr>
      <w:r>
        <w:rPr>
          <w:bCs/>
          <w:b/>
        </w:rPr>
        <w:t xml:space="preserve">Sono per lo più idrosolubili e spesso elettricamente carichi.</w:t>
      </w:r>
      <w:r>
        <w:t xml:space="preserve"> </w:t>
      </w:r>
      <w:r>
        <w:t xml:space="preserve">Per questo faticano ad attraversare le membrane grasse delle cellule.</w:t>
      </w:r>
    </w:p>
    <w:p>
      <w:pPr>
        <w:pStyle w:val="FirstParagraph"/>
      </w:pPr>
      <w:r>
        <w:t xml:space="preserve">Ogni via di somministrazione è un tentativo di aggirare questi ostacoli. Una revisione sui peptidi orali riassume che i principi attivi proteici e peptidici devono di regola essere somministrati evitando il tratto digerente, il che può compromettere l’aderenza alla terapia (Drucker 2020, PMID 31848464).</w:t>
      </w:r>
    </w:p>
    <w:bookmarkEnd w:id="63"/>
    <w:bookmarkStart w:id="64" w:name="Xd09f0a4e37f9155f290307611f4785af565ece5"/>
    <w:p>
      <w:pPr>
        <w:pStyle w:val="Heading3"/>
      </w:pPr>
      <w:r>
        <w:t xml:space="preserve">L’iniezione: via standard con degli svantaggi</w:t>
      </w:r>
    </w:p>
    <w:p>
      <w:pPr>
        <w:pStyle w:val="FirstParagraph"/>
      </w:pPr>
      <w:r>
        <w:t xml:space="preserve">La maggior parte dei farmaci peptidici viene iniettata per via</w:t>
      </w:r>
      <w:r>
        <w:t xml:space="preserve"> </w:t>
      </w:r>
      <w:r>
        <w:rPr>
          <w:bCs/>
          <w:b/>
        </w:rPr>
        <w:t xml:space="preserve">sottocutanea</w:t>
      </w:r>
      <w:r>
        <w:t xml:space="preserve">, cioè nel tessuto adiposo sottocutaneo – tipicamente nell’addome, nella coscia o nella parte superiore del braccio. Da lì il principio attivo raggiunge la circolazione attraverso piccoli vasi sanguigni e vie linfatiche. La biodisponibilità è elevata e le pazienti e i pazienti, dopo un addestramento, possono farsi l’iniezione da soli. Più raramente i peptidi vengono somministrati nel muscolo (</w:t>
      </w:r>
      <w:r>
        <w:rPr>
          <w:bCs/>
          <w:b/>
        </w:rPr>
        <w:t xml:space="preserve">intramuscolare</w:t>
      </w:r>
      <w:r>
        <w:t xml:space="preserve">) o direttamente in vena (</w:t>
      </w:r>
      <w:r>
        <w:rPr>
          <w:bCs/>
          <w:b/>
        </w:rPr>
        <w:t xml:space="preserve">endovenosa</w:t>
      </w:r>
      <w:r>
        <w:t xml:space="preserve">), per esempio in ospedale.</w:t>
      </w:r>
    </w:p>
    <w:p>
      <w:pPr>
        <w:pStyle w:val="BodyText"/>
      </w:pPr>
      <w:r>
        <w:t xml:space="preserve">L’iniezione aggira il tratto digerente, ma non gli enzimi del sangue. Per questo la ricerca farmaceutica si è molto impegnata per rendere i peptidi più duraturi:</w:t>
      </w:r>
    </w:p>
    <w:p>
      <w:pPr>
        <w:numPr>
          <w:ilvl w:val="0"/>
          <w:numId w:val="1010"/>
        </w:numPr>
        <w:pStyle w:val="Compact"/>
      </w:pPr>
      <w:r>
        <w:rPr>
          <w:bCs/>
          <w:b/>
        </w:rPr>
        <w:t xml:space="preserve">Sostituzione di amminoacidi</w:t>
      </w:r>
      <w:r>
        <w:t xml:space="preserve"> </w:t>
      </w:r>
      <w:r>
        <w:t xml:space="preserve">nei punti in cui attaccano gli enzimi.</w:t>
      </w:r>
    </w:p>
    <w:p>
      <w:pPr>
        <w:numPr>
          <w:ilvl w:val="0"/>
          <w:numId w:val="1010"/>
        </w:numPr>
        <w:pStyle w:val="Compact"/>
      </w:pPr>
      <w:r>
        <w:rPr>
          <w:bCs/>
          <w:b/>
        </w:rPr>
        <w:t xml:space="preserve">Aggiunta di acidi grassi</w:t>
      </w:r>
      <w:r>
        <w:t xml:space="preserve">, affinché il peptide si leghi alla proteina del sangue albumina. Liraglutide e semaglutide sfruttano questo principio (Knudsen 2019, PMID 31031702). Per la semaglutide ne risulta un’emivita di circa una settimana (Marso 2016, PMID 27633186).</w:t>
      </w:r>
    </w:p>
    <w:p>
      <w:pPr>
        <w:numPr>
          <w:ilvl w:val="0"/>
          <w:numId w:val="1010"/>
        </w:numPr>
        <w:pStyle w:val="Compact"/>
      </w:pPr>
      <w:r>
        <w:rPr>
          <w:bCs/>
          <w:b/>
        </w:rPr>
        <w:t xml:space="preserve">Coniugazione a molecole più grandi</w:t>
      </w:r>
      <w:r>
        <w:t xml:space="preserve">, per esempio a parti di anticorpi o a polimeri come il polietilenglicole. La dulaglutide è un esempio di molecola GLP-1 legata a un frammento di anticorpo.</w:t>
      </w:r>
    </w:p>
    <w:p>
      <w:pPr>
        <w:numPr>
          <w:ilvl w:val="0"/>
          <w:numId w:val="1010"/>
        </w:numPr>
        <w:pStyle w:val="Compact"/>
      </w:pPr>
      <w:r>
        <w:rPr>
          <w:bCs/>
          <w:b/>
        </w:rPr>
        <w:t xml:space="preserve">Forme deposito</w:t>
      </w:r>
      <w:r>
        <w:t xml:space="preserve">, in cui il principio attivo è incorporato in minuscole microsfere o gel da cui viene rilasciato lentamente.</w:t>
      </w:r>
    </w:p>
    <w:p>
      <w:pPr>
        <w:pStyle w:val="FirstParagraph"/>
      </w:pPr>
      <w:r>
        <w:t xml:space="preserve">Per chi la usa, l’iniezione comporta anche degli obblighi: il prodotto deve essere sterile, l’ago può essere usato una sola volta e molti preparati devono essere conservati in frigorifero. Le penne preriempite con scatti di dose prestabiliti riducono nettamente il rischio di errori. Quanto ciò sia importante lo mostra una serie di casi di un centro antiveleni statunitense: con semaglutide dispensata in farmacia in flaconcini con siringhe si sono verificati sovradosaggi di dieci volte, tra l’altro perché venivano confusi millilitri, „unità“ e milligrammi (Lambson 2023, PMID 37392810). Se ne parla di più nel capitolo sul mercato grigio.</w:t>
      </w:r>
    </w:p>
    <w:bookmarkEnd w:id="64"/>
    <w:bookmarkStart w:id="65" w:name="la-compressa-la-via-più-difficile"/>
    <w:p>
      <w:pPr>
        <w:pStyle w:val="Heading3"/>
      </w:pPr>
      <w:r>
        <w:t xml:space="preserve">La compressa: la via più difficile</w:t>
      </w:r>
    </w:p>
    <w:p>
      <w:pPr>
        <w:pStyle w:val="FirstParagraph"/>
      </w:pPr>
      <w:r>
        <w:t xml:space="preserve">Per la maggior parte delle persone una compressa sarebbe la soluzione più comoda. Per i peptidi è al tempo stesso la più impegnativa. Lungo il percorso dalla bocca al sangue si nascondono diversi ostacoli:</w:t>
      </w:r>
    </w:p>
    <w:p>
      <w:pPr>
        <w:numPr>
          <w:ilvl w:val="0"/>
          <w:numId w:val="1011"/>
        </w:numPr>
        <w:pStyle w:val="Compact"/>
      </w:pPr>
      <w:r>
        <w:t xml:space="preserve">L’</w:t>
      </w:r>
      <w:r>
        <w:rPr>
          <w:bCs/>
          <w:b/>
        </w:rPr>
        <w:t xml:space="preserve">acido gastrico</w:t>
      </w:r>
      <w:r>
        <w:t xml:space="preserve"> </w:t>
      </w:r>
      <w:r>
        <w:t xml:space="preserve">può distruggere la struttura spaziale dei peptidi.</w:t>
      </w:r>
    </w:p>
    <w:p>
      <w:pPr>
        <w:numPr>
          <w:ilvl w:val="0"/>
          <w:numId w:val="1011"/>
        </w:numPr>
        <w:pStyle w:val="Compact"/>
      </w:pPr>
      <w:r>
        <w:t xml:space="preserve">La</w:t>
      </w:r>
      <w:r>
        <w:t xml:space="preserve"> </w:t>
      </w:r>
      <w:r>
        <w:rPr>
          <w:bCs/>
          <w:b/>
        </w:rPr>
        <w:t xml:space="preserve">pepsina</w:t>
      </w:r>
      <w:r>
        <w:t xml:space="preserve"> </w:t>
      </w:r>
      <w:r>
        <w:t xml:space="preserve">nello stomaco e gli</w:t>
      </w:r>
      <w:r>
        <w:t xml:space="preserve"> </w:t>
      </w:r>
      <w:r>
        <w:rPr>
          <w:bCs/>
          <w:b/>
        </w:rPr>
        <w:t xml:space="preserve">enzimi pancreatici</w:t>
      </w:r>
      <w:r>
        <w:t xml:space="preserve"> </w:t>
      </w:r>
      <w:r>
        <w:t xml:space="preserve">nell’intestino tenue scompongono i peptidi in piccoli frammenti.</w:t>
      </w:r>
    </w:p>
    <w:p>
      <w:pPr>
        <w:numPr>
          <w:ilvl w:val="0"/>
          <w:numId w:val="1011"/>
        </w:numPr>
        <w:pStyle w:val="Compact"/>
      </w:pPr>
      <w:r>
        <w:t xml:space="preserve">Uno</w:t>
      </w:r>
      <w:r>
        <w:t xml:space="preserve"> </w:t>
      </w:r>
      <w:r>
        <w:rPr>
          <w:bCs/>
          <w:b/>
        </w:rPr>
        <w:t xml:space="preserve">strato di muco</w:t>
      </w:r>
      <w:r>
        <w:t xml:space="preserve"> </w:t>
      </w:r>
      <w:r>
        <w:t xml:space="preserve">sopra la mucosa intestinale trattiene le molecole grandi.</w:t>
      </w:r>
    </w:p>
    <w:p>
      <w:pPr>
        <w:numPr>
          <w:ilvl w:val="0"/>
          <w:numId w:val="1011"/>
        </w:numPr>
        <w:pStyle w:val="Compact"/>
      </w:pPr>
      <w:r>
        <w:t xml:space="preserve">Le</w:t>
      </w:r>
      <w:r>
        <w:t xml:space="preserve"> </w:t>
      </w:r>
      <w:r>
        <w:rPr>
          <w:bCs/>
          <w:b/>
        </w:rPr>
        <w:t xml:space="preserve">cellule intestinali</w:t>
      </w:r>
      <w:r>
        <w:t xml:space="preserve"> </w:t>
      </w:r>
      <w:r>
        <w:t xml:space="preserve">stesse sono strettamente collegate tra loro. Le molecole grandi e idrosolubili non passano né attraverso le cellule né tra di esse.</w:t>
      </w:r>
    </w:p>
    <w:p>
      <w:pPr>
        <w:numPr>
          <w:ilvl w:val="0"/>
          <w:numId w:val="1011"/>
        </w:numPr>
        <w:pStyle w:val="Compact"/>
      </w:pPr>
      <w:r>
        <w:t xml:space="preserve">Ciò che riesce comunque a entrare nel sangue passa prima per il</w:t>
      </w:r>
      <w:r>
        <w:t xml:space="preserve"> </w:t>
      </w:r>
      <w:r>
        <w:rPr>
          <w:bCs/>
          <w:b/>
        </w:rPr>
        <w:t xml:space="preserve">fegato</w:t>
      </w:r>
      <w:r>
        <w:t xml:space="preserve">, che può degradarne un’altra parte.</w:t>
      </w:r>
    </w:p>
    <w:p>
      <w:pPr>
        <w:pStyle w:val="FirstParagraph"/>
      </w:pPr>
      <w:r>
        <w:t xml:space="preserve">La revisione di Drucker indica come possibili soluzioni sostanze che aumentano la permeabilità, inibitori degli enzimi digestivi e peptidi vettori capaci di attraversare muco e cellule. In studi clinici sono state sperimentate forme orali tra l’altro di insulina, calcitonina, ormone paratiroideo e vasopressina (Drucker 2020, PMID 31848464). La svolta per un principio attivo di largo impiego è però arrivata solo con la compressa di semaglutide.</w:t>
      </w:r>
    </w:p>
    <w:bookmarkEnd w:id="65"/>
    <w:bookmarkStart w:id="66" w:name="X4e5226de76652af536dddd13be822b1762e8412"/>
    <w:p>
      <w:pPr>
        <w:pStyle w:val="Heading3"/>
      </w:pPr>
      <w:r>
        <w:t xml:space="preserve">La tecnica SNAC: come funziona la compressa di semaglutide</w:t>
      </w:r>
    </w:p>
    <w:p>
      <w:pPr>
        <w:pStyle w:val="FirstParagraph"/>
      </w:pPr>
      <w:r>
        <w:t xml:space="preserve">La compressa di semaglutide contiene, oltre al principio attivo, un eccipiente chiamato</w:t>
      </w:r>
      <w:r>
        <w:t xml:space="preserve"> </w:t>
      </w:r>
      <w:r>
        <w:rPr>
          <w:bCs/>
          <w:b/>
        </w:rPr>
        <w:t xml:space="preserve">SNAC</w:t>
      </w:r>
      <w:r>
        <w:t xml:space="preserve"> </w:t>
      </w:r>
      <w:r>
        <w:t xml:space="preserve">(sodio N-[8-(2-idrossibenzoil)ammino]caprilato). Uno studio che ha combinato dati di indagini sull’uomo e sui cani ha chiarito che cosa succede (Buckley 2018, PMID 30429357):</w:t>
      </w:r>
    </w:p>
    <w:p>
      <w:pPr>
        <w:numPr>
          <w:ilvl w:val="0"/>
          <w:numId w:val="1012"/>
        </w:numPr>
        <w:pStyle w:val="Compact"/>
      </w:pPr>
      <w:r>
        <w:t xml:space="preserve">L’assorbimento sorprendentemente non avviene nell’intestino, ma</w:t>
      </w:r>
      <w:r>
        <w:t xml:space="preserve"> </w:t>
      </w:r>
      <w:r>
        <w:rPr>
          <w:bCs/>
          <w:b/>
        </w:rPr>
        <w:t xml:space="preserve">nello stomaco</w:t>
      </w:r>
      <w:r>
        <w:t xml:space="preserve">.</w:t>
      </w:r>
    </w:p>
    <w:p>
      <w:pPr>
        <w:numPr>
          <w:ilvl w:val="0"/>
          <w:numId w:val="1012"/>
        </w:numPr>
        <w:pStyle w:val="Compact"/>
      </w:pPr>
      <w:r>
        <w:t xml:space="preserve">È limitato a una piccola area</w:t>
      </w:r>
      <w:r>
        <w:t xml:space="preserve"> </w:t>
      </w:r>
      <w:r>
        <w:rPr>
          <w:bCs/>
          <w:b/>
        </w:rPr>
        <w:t xml:space="preserve">direttamente sulla superficie della compressa</w:t>
      </w:r>
      <w:r>
        <w:t xml:space="preserve">.</w:t>
      </w:r>
    </w:p>
    <w:p>
      <w:pPr>
        <w:numPr>
          <w:ilvl w:val="0"/>
          <w:numId w:val="1012"/>
        </w:numPr>
        <w:pStyle w:val="Compact"/>
      </w:pPr>
      <w:r>
        <w:t xml:space="preserve">Lì lo SNAC tampona localmente l’acido gastrico e</w:t>
      </w:r>
      <w:r>
        <w:t xml:space="preserve"> </w:t>
      </w:r>
      <w:r>
        <w:rPr>
          <w:bCs/>
          <w:b/>
        </w:rPr>
        <w:t xml:space="preserve">protegge</w:t>
      </w:r>
      <w:r>
        <w:t xml:space="preserve"> </w:t>
      </w:r>
      <w:r>
        <w:t xml:space="preserve">così la semaglutide dalla degradazione enzimatica.</w:t>
      </w:r>
    </w:p>
    <w:p>
      <w:pPr>
        <w:numPr>
          <w:ilvl w:val="0"/>
          <w:numId w:val="1012"/>
        </w:numPr>
        <w:pStyle w:val="Compact"/>
      </w:pPr>
      <w:r>
        <w:t xml:space="preserve">Lo SNAC aumenta la permeabilità della mucosa gastrica solo</w:t>
      </w:r>
      <w:r>
        <w:t xml:space="preserve"> </w:t>
      </w:r>
      <w:r>
        <w:rPr>
          <w:bCs/>
          <w:b/>
        </w:rPr>
        <w:t xml:space="preserve">per breve tempo</w:t>
      </w:r>
      <w:r>
        <w:t xml:space="preserve">.</w:t>
      </w:r>
    </w:p>
    <w:p>
      <w:pPr>
        <w:numPr>
          <w:ilvl w:val="0"/>
          <w:numId w:val="1012"/>
        </w:numPr>
        <w:pStyle w:val="Compact"/>
      </w:pPr>
      <w:r>
        <w:t xml:space="preserve">La semaglutide passa nel sangue</w:t>
      </w:r>
      <w:r>
        <w:t xml:space="preserve"> </w:t>
      </w:r>
      <w:r>
        <w:rPr>
          <w:bCs/>
          <w:b/>
        </w:rPr>
        <w:t xml:space="preserve">attraverso le cellule</w:t>
      </w:r>
      <w:r>
        <w:t xml:space="preserve">, senza che vengano aperte le giunzioni tra le cellule.</w:t>
      </w:r>
    </w:p>
    <w:p>
      <w:pPr>
        <w:pStyle w:val="FirstParagraph"/>
      </w:pPr>
      <w:r>
        <w:t xml:space="preserve">Una revisione più recente aggiunge che lo SNAC innalza il pH nell’ambiente immediatamente circostante, attenua l’attivazione della pepsina e contribuisce a far sì che la semaglutide si trovi in forma di singola molecola, invece di aggregarsi in complessi più grandi e meno assorbibili (Vahora 2026, PMID 42687069).</w:t>
      </w:r>
    </w:p>
    <w:p>
      <w:pPr>
        <w:pStyle w:val="BodyText"/>
      </w:pPr>
      <w:r>
        <w:t xml:space="preserve">Nonostante questa tecnica, la resa è bassa. La stessa revisione indica una biodisponibilità assoluta della semaglutide orale di appena lo 0,4–1% circa – e ciò in condizioni ottimizzate: a digiuno e con poca acqua. Dopo un pasto nel sangue non è rilevabile praticamente semaglutide (Vahora 2026, PMID 42687069). Per questo per la compressa valgono regole di assunzione rigorose, descritte nel Riassunto delle caratteristiche del prodotto, che dovrebbero essere discusse con il medico curante.</w:t>
      </w:r>
    </w:p>
    <w:p>
      <w:pPr>
        <w:pStyle w:val="BodyText"/>
      </w:pPr>
      <w:r>
        <w:t xml:space="preserve">La bassa biodisponibilità ha una conseguenza pratica: per la compressa serve una quantità di principio attivo molte volte maggiore. Nello studio SUSTAIN-6 i partecipanti ricevevano 0,5 o 1,0 mg di semaglutide una volta alla settimana tramite iniezione (Marso 2016, PMID 27633186). Nello studio sulla compressa PIONEER 1 sono stati invece studiati 3, 7 o 14 mg al giorno (Aroda 2019, PMID 31186300). Che l’effetto a lungo termine sia comunque uniforme dipende dalla lunga emivita: le oscillazioni dell’assorbimento da un giorno all’altro si compensano in gran parte nell’arco della settimana (Vahora 2026, PMID 42687069).</w:t>
      </w:r>
    </w:p>
    <w:p>
      <w:pPr>
        <w:pStyle w:val="BodyText"/>
      </w:pPr>
      <w:r>
        <w:t xml:space="preserve">La compressa funziona, lo mostrano gli studi. In PIONEER 1, con 703 persone con diabete di tipo 2, il valore di HbA1c dopo 26 settimane si è ridotto con la dose più alta di 1,1 punti percentuali in più rispetto al placebo (Aroda 2019, PMID 31186300). Nello studio OASIS 1 è stata valutata una dose più alta, 50 mg al giorno, in 667 adulti in sovrappeso o con obesità senza diabete. Dopo 68 settimane la perdita di peso media era del 15,1%, con placebo del 2,4% (Knop 2023, PMID 37385278). Disturbi gastrointestinali si sono verificati nell’80% dei partecipanti con semaglutide e nel 46% con placebo.</w:t>
      </w:r>
    </w:p>
    <w:p>
      <w:pPr>
        <w:pStyle w:val="BodyText"/>
      </w:pPr>
      <w:r>
        <w:t xml:space="preserve">Un’indicazione importante per la pratica: la tecnica SNAC è legata alla composizione esatta della compressa. Un’indagine su prodotti di imitazione ha riscontrato in diversi preparati orali di semaglutide molto meno principio attivo di quanto dichiarato e un diverso comportamento di rilascio di semaglutide e SNAC, il che potrebbe ridurre l’assorbimento (Hach 2024, PMID 39379664). Una compressa che contiene „semaglutide“ non è quindi automaticamente efficace quanto il preparato autorizzato.</w:t>
      </w:r>
    </w:p>
    <w:p>
      <w:pPr>
        <w:pStyle w:val="BodyText"/>
      </w:pPr>
      <w:r>
        <w:t xml:space="preserve">Parallelamente alle compresse peptidiche vengono sviluppate piccole molecole non peptidiche che attivano lo stesso recettore e possono essere assunte come normali compresse, per esempio l’orforglipron. Sono presentate a scopo di confronto nella Parte II e trattate nella Parte V nel contesto del futuro delle terapie in compresse.</w:t>
      </w:r>
    </w:p>
    <w:bookmarkEnd w:id="66"/>
    <w:bookmarkStart w:id="67" w:name="Xd900c2d450c7bf22a3426e554067e3e6870cf1f"/>
    <w:p>
      <w:pPr>
        <w:pStyle w:val="Heading3"/>
      </w:pPr>
      <w:r>
        <w:t xml:space="preserve">L’eccezione degli alimenti: peptidi corti da collagene e latte</w:t>
      </w:r>
    </w:p>
    <w:p>
      <w:pPr>
        <w:pStyle w:val="FirstParagraph"/>
      </w:pPr>
      <w:r>
        <w:t xml:space="preserve">Se i peptidi vengono degradati nel tratto gastrointestinale, come possono agire i peptidi di collagene o di latte consumati come polvere o bevanda? La risposta è articolata.</w:t>
      </w:r>
    </w:p>
    <w:p>
      <w:pPr>
        <w:pStyle w:val="BodyText"/>
      </w:pPr>
      <w:r>
        <w:t xml:space="preserve">Durante la digestione non si formano solo singoli amminoacidi, ma anche frammenti molto corti di due o tre mattoni. Alcuni di essi sono relativamente resistenti agli enzimi e vengono assorbiti tramite propri sistemi di trasporto. Così, dopo il consumo di collagene idrolizzato da parte di cinque volontari sani, nel plasma sanguigno sono stati misurati i dipeptidi prolil-idrossiprolina e idrossiprolil-glicina (Sugihara 2012, PMID 22040651).</w:t>
      </w:r>
    </w:p>
    <w:p>
      <w:pPr>
        <w:pStyle w:val="BodyText"/>
      </w:pPr>
      <w:r>
        <w:t xml:space="preserve">Da ciò non consegue però automaticamente che questi frammenti esercitino nell’organismo un determinato effetto – per esempio sulla pelle o sulle articolazioni. Se sia così può essere chiarito solo con studi controllati con endpoint clinici. Questi dati sono discussi nella Parte II nel capitolo sui peptidi di collagene. Per i peptidi più grandi come gli ormoni vale invece: se ingeriti, vengono digeriti.</w:t>
      </w:r>
    </w:p>
    <w:bookmarkEnd w:id="67"/>
    <w:bookmarkStart w:id="68" w:name="sotto-la-lingua-poche-prove"/>
    <w:p>
      <w:pPr>
        <w:pStyle w:val="Heading3"/>
      </w:pPr>
      <w:r>
        <w:t xml:space="preserve">Sotto la lingua: poche prove</w:t>
      </w:r>
    </w:p>
    <w:p>
      <w:pPr>
        <w:pStyle w:val="FirstParagraph"/>
      </w:pPr>
      <w:r>
        <w:t xml:space="preserve">La mucosa orale, soprattutto sotto la lingua, è ben irrorata. Le sostanze assorbite qui evitano stomaco e fegato. Per alcuni piccoli farmaci funziona bene, per i peptidi però la mucosa è una barriera notevole.</w:t>
      </w:r>
    </w:p>
    <w:p>
      <w:pPr>
        <w:pStyle w:val="BodyText"/>
      </w:pPr>
      <w:r>
        <w:t xml:space="preserve">Ciononostante, soprattutto negli Stati Uniti, semaglutide e tirzepatide vengono offerte come gocce o compresse orodispersibili per uso sublinguale. Un’analisi delle offerte di farmacie statunitensi che preparano farmaci in proprio ha individuato 33 prodotti che si discostano dai preparati autorizzati. Dei 17 prodotti con un solo principio attivo, l’82% era destinato all’uso sublinguale, i restanti erano compresse orodispersibili. Le autrici e gli autori ritengono una simile forma farmaceutica in linea di principio comprensibile, ma constatano che un vantaggio rispetto ai preparati autorizzati non è dimostrato e mancano dati su sicurezza ed efficacia (Belcourt 2026, PMID 41689811).</w:t>
      </w:r>
    </w:p>
    <w:bookmarkEnd w:id="68"/>
    <w:bookmarkStart w:id="69" w:name="lo-spray-nasale-rapido-ma-limitato"/>
    <w:p>
      <w:pPr>
        <w:pStyle w:val="Heading3"/>
      </w:pPr>
      <w:r>
        <w:t xml:space="preserve">Lo spray nasale: rapido, ma limitato</w:t>
      </w:r>
    </w:p>
    <w:p>
      <w:pPr>
        <w:pStyle w:val="FirstParagraph"/>
      </w:pPr>
      <w:r>
        <w:t xml:space="preserve">La mucosa nasale ha una superficie ampia e ben irrorata, e da lì le sostanze passano direttamente nel sangue. Alcuni farmaci peptidici usano questa via da tempo, per esempio l’analogo della vasopressina desmopressina. Anche l’ossitocina viene studiata come spray nasale.</w:t>
      </w:r>
    </w:p>
    <w:p>
      <w:pPr>
        <w:pStyle w:val="BodyText"/>
      </w:pPr>
      <w:r>
        <w:t xml:space="preserve">I limiti sono però evidenti:</w:t>
      </w:r>
    </w:p>
    <w:p>
      <w:pPr>
        <w:numPr>
          <w:ilvl w:val="0"/>
          <w:numId w:val="1013"/>
        </w:numPr>
        <w:pStyle w:val="Compact"/>
      </w:pPr>
      <w:r>
        <w:t xml:space="preserve">Per i peptidi più grandi l’assorbimento è basso e varia molto – a seconda della tecnica di spruzzo, del raffreddore o della quantità di muco.</w:t>
      </w:r>
    </w:p>
    <w:p>
      <w:pPr>
        <w:numPr>
          <w:ilvl w:val="0"/>
          <w:numId w:val="1013"/>
        </w:numPr>
        <w:pStyle w:val="Compact"/>
      </w:pPr>
      <w:r>
        <w:t xml:space="preserve">Gran parte dello spruzzo viene deglutita o rimossa dalle ciglia vibratili.</w:t>
      </w:r>
    </w:p>
    <w:p>
      <w:pPr>
        <w:numPr>
          <w:ilvl w:val="0"/>
          <w:numId w:val="1013"/>
        </w:numPr>
        <w:pStyle w:val="Compact"/>
      </w:pPr>
      <w:r>
        <w:t xml:space="preserve">Sostanze irritanti o eccipienti usati di frequente possono affaticare la mucosa.</w:t>
      </w:r>
    </w:p>
    <w:p>
      <w:pPr>
        <w:pStyle w:val="FirstParagraph"/>
      </w:pPr>
      <w:r>
        <w:t xml:space="preserve">Particolarmente diffusa è l’idea che i peptidi possano arrivare attraverso il naso „direttamente al cervello“. Per alcune sostanze esistono indizi di tali vie attraverso i nervi olfattivi e facciali, ma i dati sono scarsi. Una revisione critica molto citata è giunta, per l’ossitocina, alla conclusione che solo pochissima ossitocina somministrata per via nasale arriva nel liquido cerebrospinale, mentre le concentrazioni nel sangue salgono a valori superiori al livello naturale – con possibili effetti su tratto gastrointestinale, cuore e organi riproduttivi (Leng 2016, PMID 26049207). Gli autori invitano allo scetticismo verso gli studi con effetti comportamentali e chiedono studi registrati in anticipo. Ciò è rilevante per tutti i peptidi pubblicizzati come „spray nasale per il cervello“, per esempio Semax o Selank, trattati nella Parte II.</w:t>
      </w:r>
    </w:p>
    <w:bookmarkEnd w:id="69"/>
    <w:bookmarkStart w:id="70" w:name="inalazione-un-fallimento-istruttivo"/>
    <w:p>
      <w:pPr>
        <w:pStyle w:val="Heading3"/>
      </w:pPr>
      <w:r>
        <w:t xml:space="preserve">Inalazione: un fallimento istruttivo</w:t>
      </w:r>
    </w:p>
    <w:p>
      <w:pPr>
        <w:pStyle w:val="FirstParagraph"/>
      </w:pPr>
      <w:r>
        <w:t xml:space="preserve">Il polmone offre una superficie enorme con una barriera molto sottile verso il sangue. Per questo si è lavorato intensamente su un’insulina inalabile. Un primo prodotto arrivò sul mercato, ma fu presto ritirato; altri sviluppi furono interrotti. Un commento di quel periodo descrive vantaggi e svantaggi dal punto di vista di pazienti, medici, industria e finanziatori – tra cui le dimensioni dei dispositivi per inalazione e i costi (Heinemann 2008, PMID 19885220). In seguito negli Stati Uniti è stata autorizzata un’altra insulina inalabile. Per la maggior parte degli altri peptidi l’inalazione finora non ha alcun ruolo.</w:t>
      </w:r>
    </w:p>
    <w:bookmarkEnd w:id="70"/>
    <w:bookmarkStart w:id="71" w:name="la-pelle-unottima-barriera"/>
    <w:p>
      <w:pPr>
        <w:pStyle w:val="Heading3"/>
      </w:pPr>
      <w:r>
        <w:t xml:space="preserve">La pelle: un’ottima barriera</w:t>
      </w:r>
    </w:p>
    <w:p>
      <w:pPr>
        <w:pStyle w:val="FirstParagraph"/>
      </w:pPr>
      <w:r>
        <w:t xml:space="preserve">La pelle è uno degli organi più compatti del corpo. Il suo strato più esterno, lo strato corneo, è composto da cellule morte immerse nei lipidi – una sorta di muratura con malta. Una nota regola empirica della dermatologia afferma che una sostanza deve essere più piccola di circa 500 dalton per attraversare la pelle in misura apprezzabile. Gli autori lo motivano tra l’altro con il fatto che praticamente tutti gli allergeni da contatto noti e tutti i farmaci impiegati nei cerotti per il rilascio di principi attivi si trovano al di sotto di questo limite (Bos 2000, PMID 10839713).</w:t>
      </w:r>
    </w:p>
    <w:p>
      <w:pPr>
        <w:pStyle w:val="BodyText"/>
      </w:pPr>
      <w:r>
        <w:t xml:space="preserve">Per i peptidi ciò significa che già a partire da circa quattro o cinque amminoacidi si trovano di regola al di sopra di questo limite. Un tripeptide come GHK può restarne al di sotto, peptidi come il palmitoil pentapeptide-4 o l’acetil esapeptide-8 lo superano nettamente. I produttori di cosmetici cercano di migliorare la penetrazione con code di acidi grassi (come nel peptide „palmitoil“) o con sistemi di veicolazione speciali. Se in questo modo i peptidi raggiungano in quantità sufficiente le loro presunte cellule bersaglio negli strati più profondi della pelle è una questione che andrebbe studiata appositamente per ciascun prodotto. I dati degli studi su questo argomento sono discussi nella Parte II.</w:t>
      </w:r>
    </w:p>
    <w:p>
      <w:pPr>
        <w:pStyle w:val="BodyText"/>
      </w:pPr>
      <w:r>
        <w:t xml:space="preserve">Una regola empirica resta tale: esistono eccezioni, e ausili come i cerotti a microaghi possono superare la barriera. Questi cerotti portano minuscoli aghi che penetrano solo nello strato più superficiale della pelle. Per i peptidi sono ancora in gran parte in fase di sviluppo.</w:t>
      </w:r>
    </w:p>
    <w:p>
      <w:pPr>
        <w:pStyle w:val="BodyText"/>
      </w:pPr>
      <w:r>
        <w:t xml:space="preserve">Per i peptidi farmaceutici come gli analoghi del GLP-1, i secretagoghi dell’ormone della crescita o il melanotan vale: una semplice crema o un gel non li porta nel sangue in quantità apprezzabile. Le offerte su Internet che affermano il contrario vanno considerate con grande scetticismo.</w:t>
      </w:r>
    </w:p>
    <w:bookmarkEnd w:id="71"/>
    <w:bookmarkStart w:id="72" w:name="stabilità-il-problema-sottovalutato"/>
    <w:p>
      <w:pPr>
        <w:pStyle w:val="Heading3"/>
      </w:pPr>
      <w:r>
        <w:t xml:space="preserve">Stabilità: il problema sottovalutato</w:t>
      </w:r>
    </w:p>
    <w:p>
      <w:pPr>
        <w:pStyle w:val="FirstParagraph"/>
      </w:pPr>
      <w:r>
        <w:t xml:space="preserve">Anche fuori dall’organismo i peptidi sono delicati. Possono decomporsi, modificarsi chimicamente (per esempio per ossidazione) o raggrupparsi in complessi più grandi. Questi raggruppamenti – gli esperti parlano di aggregazione o formazione di fibrille – possono ridurre l’effetto e irritare il sistema immunitario. Un’indagine ha riscontrato nei preparati di imitazione della liraglutide una maggiore tendenza alla formazione di fibrille e una minore stabilità fisica rispetto all’originale (Hach 2024, PMID 39379664).</w:t>
      </w:r>
    </w:p>
    <w:p>
      <w:pPr>
        <w:pStyle w:val="BodyText"/>
      </w:pPr>
      <w:r>
        <w:t xml:space="preserve">Per questo i farmaci peptidici autorizzati vengono prodotti in condizioni definite con precisione, confezionati, trasportati refrigerati e muniti di data di scadenza. I peptidi del mercato grigio, invece, vengono per lo più venduti come polvere liofilizzata che deve essere sciolta in proprio prima dell’uso. Ognuno di questi passaggi – trasporto senza refrigerazione, conservazione, scioglimento, aspirazione nella siringa – è una possibile fonte di errore.</w:t>
      </w:r>
    </w:p>
    <w:bookmarkEnd w:id="72"/>
    <w:bookmarkStart w:id="73" w:name="reazioni-immunitarie"/>
    <w:p>
      <w:pPr>
        <w:pStyle w:val="Heading3"/>
      </w:pPr>
      <w:r>
        <w:t xml:space="preserve">Reazioni immunitarie</w:t>
      </w:r>
    </w:p>
    <w:p>
      <w:pPr>
        <w:pStyle w:val="FirstParagraph"/>
      </w:pPr>
      <w:r>
        <w:t xml:space="preserve">I peptidi sono sostanze proteiche e possono essere riconosciuti come estranei dal sistema immunitario, soprattutto se non corrispondono esattamente a una molecola endogena o contengono impurità. Possibili conseguenze sono reazioni nel sito di iniezione, reazioni allergiche o la formazione di anticorpi che possono indebolire l’effetto. Nell’analisi della semaglutide di imitazione sono stati trovati nuovi siti di legame per il sistema immunitario, previsti al computer, che indicano un possibile rischio di reazioni immunitarie (Hach 2024, PMID 39379664). La Parte IV tratta diffusamente le reazioni immunitarie.</w:t>
      </w:r>
    </w:p>
    <w:bookmarkEnd w:id="73"/>
    <w:bookmarkStart w:id="74" w:name="X39be49a912811b2fc9d2429633ddd89e0f467f3"/>
    <w:p>
      <w:pPr>
        <w:pStyle w:val="Heading3"/>
      </w:pPr>
      <w:r>
        <w:t xml:space="preserve">Panoramica: le vie di somministrazione a confronto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Via</w:t>
            </w:r>
          </w:p>
        </w:tc>
        <w:tc>
          <w:tcPr/>
          <w:p>
            <w:pPr>
              <w:pStyle w:val="Compact"/>
              <w:jc w:val="left"/>
            </w:pPr>
            <w:r>
              <w:t xml:space="preserve">Problema principale</w:t>
            </w:r>
          </w:p>
        </w:tc>
        <w:tc>
          <w:tcPr/>
          <w:p>
            <w:pPr>
              <w:pStyle w:val="Compact"/>
              <w:jc w:val="left"/>
            </w:pPr>
            <w:r>
              <w:t xml:space="preserve">Esempi</w:t>
            </w:r>
          </w:p>
        </w:tc>
      </w:tr>
      <w:tr>
        <w:tc>
          <w:tcPr/>
          <w:p>
            <w:pPr>
              <w:pStyle w:val="Compact"/>
              <w:jc w:val="left"/>
            </w:pPr>
            <w:r>
              <w:t xml:space="preserve">Iniezione sottocutanea</w:t>
            </w:r>
          </w:p>
        </w:tc>
        <w:tc>
          <w:tcPr/>
          <w:p>
            <w:pPr>
              <w:pStyle w:val="Compact"/>
              <w:jc w:val="left"/>
            </w:pPr>
            <w:r>
              <w:t xml:space="preserve">ago, sterilità, refrigerazione</w:t>
            </w:r>
          </w:p>
        </w:tc>
        <w:tc>
          <w:tcPr/>
          <w:p>
            <w:pPr>
              <w:pStyle w:val="Compact"/>
              <w:jc w:val="left"/>
            </w:pPr>
            <w:r>
              <w:t xml:space="preserve">insulina, semaglutide, tirzepatide</w:t>
            </w:r>
          </w:p>
        </w:tc>
      </w:tr>
      <w:tr>
        <w:tc>
          <w:tcPr/>
          <w:p>
            <w:pPr>
              <w:pStyle w:val="Compact"/>
              <w:jc w:val="left"/>
            </w:pPr>
            <w:r>
              <w:t xml:space="preserve">Compressa</w:t>
            </w:r>
          </w:p>
        </w:tc>
        <w:tc>
          <w:tcPr/>
          <w:p>
            <w:pPr>
              <w:pStyle w:val="Compact"/>
              <w:jc w:val="left"/>
            </w:pPr>
            <w:r>
              <w:t xml:space="preserve">degradazione nel tratto gastrointestinale</w:t>
            </w:r>
          </w:p>
        </w:tc>
        <w:tc>
          <w:tcPr/>
          <w:p>
            <w:pPr>
              <w:pStyle w:val="Compact"/>
              <w:jc w:val="left"/>
            </w:pPr>
            <w:r>
              <w:t xml:space="preserve">semaglutide con SNAC</w:t>
            </w:r>
          </w:p>
        </w:tc>
      </w:tr>
      <w:tr>
        <w:tc>
          <w:tcPr/>
          <w:p>
            <w:pPr>
              <w:pStyle w:val="Compact"/>
              <w:jc w:val="left"/>
            </w:pPr>
            <w:r>
              <w:t xml:space="preserve">Sublinguale</w:t>
            </w:r>
          </w:p>
        </w:tc>
        <w:tc>
          <w:tcPr/>
          <w:p>
            <w:pPr>
              <w:pStyle w:val="Compact"/>
              <w:jc w:val="left"/>
            </w:pPr>
            <w:r>
              <w:t xml:space="preserve">mucosa come barriera</w:t>
            </w:r>
          </w:p>
        </w:tc>
        <w:tc>
          <w:tcPr/>
          <w:p>
            <w:pPr>
              <w:pStyle w:val="Compact"/>
              <w:jc w:val="left"/>
            </w:pPr>
            <w:r>
              <w:t xml:space="preserve">nessun dato affidabile</w:t>
            </w:r>
          </w:p>
        </w:tc>
      </w:tr>
      <w:tr>
        <w:tc>
          <w:tcPr/>
          <w:p>
            <w:pPr>
              <w:pStyle w:val="Compact"/>
              <w:jc w:val="left"/>
            </w:pPr>
            <w:r>
              <w:t xml:space="preserve">Spray nasale</w:t>
            </w:r>
          </w:p>
        </w:tc>
        <w:tc>
          <w:tcPr/>
          <w:p>
            <w:pPr>
              <w:pStyle w:val="Compact"/>
              <w:jc w:val="left"/>
            </w:pPr>
            <w:r>
              <w:t xml:space="preserve">assorbimento basso e variabile</w:t>
            </w:r>
          </w:p>
        </w:tc>
        <w:tc>
          <w:tcPr/>
          <w:p>
            <w:pPr>
              <w:pStyle w:val="Compact"/>
              <w:jc w:val="left"/>
            </w:pPr>
            <w:r>
              <w:t xml:space="preserve">desmopressina, ossitocina</w:t>
            </w:r>
          </w:p>
        </w:tc>
      </w:tr>
      <w:tr>
        <w:tc>
          <w:tcPr/>
          <w:p>
            <w:pPr>
              <w:pStyle w:val="Compact"/>
              <w:jc w:val="left"/>
            </w:pPr>
            <w:r>
              <w:t xml:space="preserve">Inalazione</w:t>
            </w:r>
          </w:p>
        </w:tc>
        <w:tc>
          <w:tcPr/>
          <w:p>
            <w:pPr>
              <w:pStyle w:val="Compact"/>
              <w:jc w:val="left"/>
            </w:pPr>
            <w:r>
              <w:t xml:space="preserve">dispositivi, sicurezza polmonare</w:t>
            </w:r>
          </w:p>
        </w:tc>
        <w:tc>
          <w:tcPr/>
          <w:p>
            <w:pPr>
              <w:pStyle w:val="Compact"/>
              <w:jc w:val="left"/>
            </w:pPr>
            <w:r>
              <w:t xml:space="preserve">insulina inalabile</w:t>
            </w:r>
          </w:p>
        </w:tc>
      </w:tr>
      <w:tr>
        <w:tc>
          <w:tcPr/>
          <w:p>
            <w:pPr>
              <w:pStyle w:val="Compact"/>
              <w:jc w:val="left"/>
            </w:pPr>
            <w:r>
              <w:t xml:space="preserve">Pelle</w:t>
            </w:r>
          </w:p>
        </w:tc>
        <w:tc>
          <w:tcPr/>
          <w:p>
            <w:pPr>
              <w:pStyle w:val="Compact"/>
              <w:jc w:val="left"/>
            </w:pPr>
            <w:r>
              <w:t xml:space="preserve">strato corneo, dimensione della molecola</w:t>
            </w:r>
          </w:p>
        </w:tc>
        <w:tc>
          <w:tcPr/>
          <w:p>
            <w:pPr>
              <w:pStyle w:val="Compact"/>
              <w:jc w:val="left"/>
            </w:pPr>
            <w:r>
              <w:t xml:space="preserve">peptidi cosmetici</w:t>
            </w:r>
          </w:p>
        </w:tc>
      </w:tr>
    </w:tbl>
    <w:bookmarkEnd w:id="74"/>
    <w:bookmarkStart w:id="75" w:name="lessenziale-in-breve-1"/>
    <w:p>
      <w:pPr>
        <w:pStyle w:val="Heading3"/>
      </w:pPr>
      <w:r>
        <w:t xml:space="preserve">L’essenziale in breve</w:t>
      </w:r>
    </w:p>
    <w:p>
      <w:pPr>
        <w:numPr>
          <w:ilvl w:val="0"/>
          <w:numId w:val="1014"/>
        </w:numPr>
        <w:pStyle w:val="Compact"/>
      </w:pPr>
      <w:r>
        <w:t xml:space="preserve">I peptidi vengono degradati nel tratto digerente, sono grandi e attraversano male le membrane. Per questo la maggior parte dei farmaci peptidici viene iniettata.</w:t>
      </w:r>
    </w:p>
    <w:p>
      <w:pPr>
        <w:numPr>
          <w:ilvl w:val="0"/>
          <w:numId w:val="1014"/>
        </w:numPr>
        <w:pStyle w:val="Compact"/>
      </w:pPr>
      <w:r>
        <w:t xml:space="preserve">Una lunga durata d’azione si ottiene con modifiche mirate della molecola, per esempio code di acidi grassi per il legame all’albumina.</w:t>
      </w:r>
    </w:p>
    <w:p>
      <w:pPr>
        <w:numPr>
          <w:ilvl w:val="0"/>
          <w:numId w:val="1014"/>
        </w:numPr>
        <w:pStyle w:val="Compact"/>
      </w:pPr>
      <w:r>
        <w:t xml:space="preserve">La compressa di semaglutide sfrutta l’eccipiente SNAC, che consente l’assorbimento nello stomaco. La biodisponibilità resta molto bassa, circa lo 0,4–1%.</w:t>
      </w:r>
    </w:p>
    <w:p>
      <w:pPr>
        <w:numPr>
          <w:ilvl w:val="0"/>
          <w:numId w:val="1014"/>
        </w:numPr>
        <w:pStyle w:val="Compact"/>
      </w:pPr>
      <w:r>
        <w:t xml:space="preserve">Con spray nasali e creme l’assorbimento dei peptidi più grandi è limitato. Promesse come „direttamente al cervello“ o „attraverso la pelle nel sangue“ per lo più non sono dimostrate.</w:t>
      </w:r>
    </w:p>
    <w:p>
      <w:pPr>
        <w:numPr>
          <w:ilvl w:val="0"/>
          <w:numId w:val="1014"/>
        </w:numPr>
        <w:pStyle w:val="Compact"/>
      </w:pPr>
      <w:r>
        <w:t xml:space="preserve">Stabilità, sterilità e purezza non sono questioni secondarie per i peptidi, ma presupposti per sicurezza ed efficacia.</w:t>
      </w:r>
    </w:p>
    <w:bookmarkEnd w:id="75"/>
    <w:bookmarkEnd w:id="76"/>
    <w:bookmarkStart w:id="96" w:name="leggere-correttamente-gli-studi"/>
    <w:p>
      <w:pPr>
        <w:pStyle w:val="Heading2"/>
      </w:pPr>
      <w:r>
        <w:t xml:space="preserve">Leggere correttamente gli studi</w:t>
      </w:r>
    </w:p>
    <w:p>
      <w:pPr>
        <w:pStyle w:val="FirstParagraph"/>
      </w:pPr>
      <w:r>
        <w:t xml:space="preserve">„Gli studi dimostrano …“ – poche formule vengono usate così spesso nella pubblicità dei peptidi. Può significare qualsiasi cosa: un esperimento con cellule in una piastra di Petri, una prova su dodici ratti, la testimonianza di un singolo paziente o uno studio con 17.000 partecipanti durato più di tre anni. Chi vuole valutare i peptidi deve conoscere queste differenze. Questo capitolo è una sorta di cassetta degli attrezzi. Spiega i principali tipi di studio, le insidie nell’interpretazione dei risultati e come può verificare personalmente che cosa si nasconde dietro un’affermazione.</w:t>
      </w:r>
    </w:p>
    <w:bookmarkStart w:id="77" w:name="la-piramide-delle-evidenze"/>
    <w:p>
      <w:pPr>
        <w:pStyle w:val="Heading3"/>
      </w:pPr>
      <w:r>
        <w:t xml:space="preserve">La piramide delle evidenze</w:t>
      </w:r>
    </w:p>
    <w:p>
      <w:pPr>
        <w:pStyle w:val="FirstParagraph"/>
      </w:pPr>
      <w:r>
        <w:t xml:space="preserve">Gli esperti dispongono spesso i tipi di studio in una piramide. In basso si trovano le forme di studio che forniscono molti indizi ma poca certezza; in alto quelle che mostrano in modo più affidabile se un trattamento funziona nell’uomo. Dal basso verso l’alto:</w:t>
      </w:r>
    </w:p>
    <w:p>
      <w:pPr>
        <w:numPr>
          <w:ilvl w:val="0"/>
          <w:numId w:val="1015"/>
        </w:numPr>
        <w:pStyle w:val="Compact"/>
      </w:pPr>
      <w:r>
        <w:rPr>
          <w:bCs/>
          <w:b/>
        </w:rPr>
        <w:t xml:space="preserve">Studi di laboratorio e su cellule</w:t>
      </w:r>
      <w:r>
        <w:t xml:space="preserve"> </w:t>
      </w:r>
      <w:r>
        <w:t xml:space="preserve">(in vitro, „nel vetro“): cellule o tessuti vengono esposti a una sostanza in laboratorio.</w:t>
      </w:r>
    </w:p>
    <w:p>
      <w:pPr>
        <w:numPr>
          <w:ilvl w:val="0"/>
          <w:numId w:val="1015"/>
        </w:numPr>
        <w:pStyle w:val="Compact"/>
      </w:pPr>
      <w:r>
        <w:rPr>
          <w:bCs/>
          <w:b/>
        </w:rPr>
        <w:t xml:space="preserve">Studi su animali</w:t>
      </w:r>
      <w:r>
        <w:t xml:space="preserve"> </w:t>
      </w:r>
      <w:r>
        <w:t xml:space="preserve">(per lo più su topi o ratti).</w:t>
      </w:r>
    </w:p>
    <w:p>
      <w:pPr>
        <w:numPr>
          <w:ilvl w:val="0"/>
          <w:numId w:val="1015"/>
        </w:numPr>
        <w:pStyle w:val="Compact"/>
      </w:pPr>
      <w:r>
        <w:rPr>
          <w:bCs/>
          <w:b/>
        </w:rPr>
        <w:t xml:space="preserve">Casi clinici e serie di casi</w:t>
      </w:r>
      <w:r>
        <w:t xml:space="preserve">: descrizioni di singole o poche pazienti e pazienti.</w:t>
      </w:r>
    </w:p>
    <w:p>
      <w:pPr>
        <w:numPr>
          <w:ilvl w:val="0"/>
          <w:numId w:val="1015"/>
        </w:numPr>
        <w:pStyle w:val="Compact"/>
      </w:pPr>
      <w:r>
        <w:rPr>
          <w:bCs/>
          <w:b/>
        </w:rPr>
        <w:t xml:space="preserve">Studi osservazionali</w:t>
      </w:r>
      <w:r>
        <w:t xml:space="preserve">: si osservano persone che assumono o non assumono comunque una sostanza e si confronta che cosa accade loro.</w:t>
      </w:r>
    </w:p>
    <w:p>
      <w:pPr>
        <w:numPr>
          <w:ilvl w:val="0"/>
          <w:numId w:val="1015"/>
        </w:numPr>
        <w:pStyle w:val="Compact"/>
      </w:pPr>
      <w:r>
        <w:rPr>
          <w:bCs/>
          <w:b/>
        </w:rPr>
        <w:t xml:space="preserve">Studi controllati senza assegnazione casuale</w:t>
      </w:r>
      <w:r>
        <w:t xml:space="preserve"> </w:t>
      </w:r>
      <w:r>
        <w:t xml:space="preserve">e</w:t>
      </w:r>
      <w:r>
        <w:t xml:space="preserve"> </w:t>
      </w:r>
      <w:r>
        <w:rPr>
          <w:bCs/>
          <w:b/>
        </w:rPr>
        <w:t xml:space="preserve">studi in aperto</w:t>
      </w:r>
      <w:r>
        <w:t xml:space="preserve">.</w:t>
      </w:r>
    </w:p>
    <w:p>
      <w:pPr>
        <w:numPr>
          <w:ilvl w:val="0"/>
          <w:numId w:val="1015"/>
        </w:numPr>
        <w:pStyle w:val="Compact"/>
      </w:pPr>
      <w:r>
        <w:rPr>
          <w:bCs/>
          <w:b/>
        </w:rPr>
        <w:t xml:space="preserve">Studi randomizzati controllati</w:t>
      </w:r>
      <w:r>
        <w:t xml:space="preserve"> </w:t>
      </w:r>
      <w:r>
        <w:t xml:space="preserve">(RCT).</w:t>
      </w:r>
    </w:p>
    <w:p>
      <w:pPr>
        <w:numPr>
          <w:ilvl w:val="0"/>
          <w:numId w:val="1015"/>
        </w:numPr>
        <w:pStyle w:val="Compact"/>
      </w:pPr>
      <w:r>
        <w:rPr>
          <w:bCs/>
          <w:b/>
        </w:rPr>
        <w:t xml:space="preserve">Revisioni sistematiche e meta-analisi</w:t>
      </w:r>
      <w:r>
        <w:t xml:space="preserve">, che riassumono tutti i buoni studi disponibili su una domanda.</w:t>
      </w:r>
    </w:p>
    <w:p>
      <w:pPr>
        <w:pStyle w:val="FirstParagraph"/>
      </w:pPr>
      <w:r>
        <w:t xml:space="preserve">La piramide è una semplificazione. Un grande studio osservazionale accurato può essere più informativo di un minuscolo RCT mal condotto, e una meta-analisi è buona solo quanto gli studi che vi confluiscono. Come orientamento di massima è però utile – soprattutto per riconoscere quanto in basso nella piramide si collochino le prove per molti peptidi del mercato grigio.</w:t>
      </w:r>
    </w:p>
    <w:bookmarkEnd w:id="77"/>
    <w:bookmarkStart w:id="78" w:name="Xcae2508f35f0dfcf7ed54eeaefc79da0830a86d"/>
    <w:p>
      <w:pPr>
        <w:pStyle w:val="Heading3"/>
      </w:pPr>
      <w:r>
        <w:t xml:space="preserve">Studi di laboratorio: che cosa succede nella piastra di Petri</w:t>
      </w:r>
    </w:p>
    <w:p>
      <w:pPr>
        <w:pStyle w:val="FirstParagraph"/>
      </w:pPr>
      <w:r>
        <w:t xml:space="preserve">Nelle colture cellulari si possono studiare bene i meccanismi: quale recettore viene attivato? Quali geni vengono letti? Le cellule crescono o migrano più velocemente? Studi di questo tipo sono indispensabili per la ricerca di base.</w:t>
      </w:r>
    </w:p>
    <w:p>
      <w:pPr>
        <w:pStyle w:val="BodyText"/>
      </w:pPr>
      <w:r>
        <w:t xml:space="preserve">I loro limiti, però, sono grandi. Le cellule in una piastra non hanno circolazione sanguigna, né un fegato che degrada le sostanze, né un sistema immunitario, né una digestione. Le concentrazioni usate in laboratorio sono spesso molto più alte di quelle raggiungibili nel corpo umano. Una sostanza che in piastra uccide le cellule tumorali può essere nell’organismo inefficace o tossica. Se un testo pubblicitario si richiama a „studi“ e si tratta di colture cellulari, ciò indica un possibile meccanismo – non un beneficio nell’uomo.</w:t>
      </w:r>
    </w:p>
    <w:bookmarkEnd w:id="78"/>
    <w:bookmarkStart w:id="79" w:name="Xf61d33877d552a1fa5078b6b928182ca1a933f3"/>
    <w:p>
      <w:pPr>
        <w:pStyle w:val="Heading3"/>
      </w:pPr>
      <w:r>
        <w:t xml:space="preserve">Studi su animali: importanti, ma non trasferibili</w:t>
      </w:r>
    </w:p>
    <w:p>
      <w:pPr>
        <w:pStyle w:val="FirstParagraph"/>
      </w:pPr>
      <w:r>
        <w:t xml:space="preserve">La sperimentazione animale consente di studiare gli effetti in un organismo intero e di chiarire questioni di sicurezza prima che le persone siano esposte a una nuova sostanza. Al tempo stesso topi e ratti differiscono notevolmente dall’uomo per metabolismo, durata della vita, dimensioni corporee e sviluppo delle malattie. Inoltre negli animali le malattie vengono spesso provocate artificialmente – per esempio una lesione tendinea con un taglio – il che corrisponde solo in parte alla situazione nell’uomo.</w:t>
      </w:r>
    </w:p>
    <w:p>
      <w:pPr>
        <w:pStyle w:val="BodyText"/>
      </w:pPr>
      <w:r>
        <w:t xml:space="preserve">Quanto sia difficile il trasferimento lo mostra una revisione sistematica che ha confrontato gli effetti dei trattamenti negli esperimenti sugli animali con quelli negli studi clinici (Perel 2007, PMID 17175568). Alcuni esempi:</w:t>
      </w:r>
    </w:p>
    <w:p>
      <w:pPr>
        <w:numPr>
          <w:ilvl w:val="0"/>
          <w:numId w:val="1016"/>
        </w:numPr>
        <w:pStyle w:val="Compact"/>
      </w:pPr>
      <w:r>
        <w:t xml:space="preserve">I preparati cortisonici miglioravano i risultati nei traumi cranici nei modelli animali, mentre negli studi clinici sull’uomo non è emerso alcun beneficio.</w:t>
      </w:r>
    </w:p>
    <w:p>
      <w:pPr>
        <w:numPr>
          <w:ilvl w:val="0"/>
          <w:numId w:val="1016"/>
        </w:numPr>
        <w:pStyle w:val="Compact"/>
      </w:pPr>
      <w:r>
        <w:t xml:space="preserve">Il principio attivo tirilazad riduceva negli animali con ictus l’area cerebrale danneggiata del 29% e migliorava i punteggi neurologici del 48%. Nelle persone con ictus era associato a un esito peggiore.</w:t>
      </w:r>
    </w:p>
    <w:p>
      <w:pPr>
        <w:numPr>
          <w:ilvl w:val="0"/>
          <w:numId w:val="1016"/>
        </w:numPr>
        <w:pStyle w:val="Compact"/>
      </w:pPr>
      <w:r>
        <w:t xml:space="preserve">Altri trattamenti, per esempio la dissoluzione dei coaguli nell’ictus, funzionavano sia negli animali sia nell’uomo.</w:t>
      </w:r>
    </w:p>
    <w:p>
      <w:pPr>
        <w:pStyle w:val="FirstParagraph"/>
      </w:pPr>
      <w:r>
        <w:t xml:space="preserve">Le autrici e gli autori attribuiscono le discrepanze a distorsioni negli studi su animali e al fatto che i modelli animali non riproducono in modo adeguato le malattie umane.</w:t>
      </w:r>
    </w:p>
    <w:p>
      <w:pPr>
        <w:pStyle w:val="BodyText"/>
      </w:pPr>
      <w:r>
        <w:t xml:space="preserve">Per questo libro ciò ha una conseguenza chiara: se per un peptide sono disponibili solo dati su animali, esso riceve il livello di evidenza D – indipendentemente da quanto impressionanti appaiano i risultati nei ratti. E nel testo si dice sempre esplicitamente quando un risultato proviene da animali o dal laboratorio.</w:t>
      </w:r>
    </w:p>
    <w:bookmarkEnd w:id="79"/>
    <w:bookmarkStart w:id="80" w:name="casi-clinici-e-studi-osservazionali"/>
    <w:p>
      <w:pPr>
        <w:pStyle w:val="Heading3"/>
      </w:pPr>
      <w:r>
        <w:t xml:space="preserve">Casi clinici e studi osservazionali</w:t>
      </w:r>
    </w:p>
    <w:p>
      <w:pPr>
        <w:pStyle w:val="FirstParagraph"/>
      </w:pPr>
      <w:r>
        <w:t xml:space="preserve">I</w:t>
      </w:r>
      <w:r>
        <w:t xml:space="preserve"> </w:t>
      </w:r>
      <w:r>
        <w:rPr>
          <w:bCs/>
          <w:b/>
        </w:rPr>
        <w:t xml:space="preserve">casi clinici</w:t>
      </w:r>
      <w:r>
        <w:t xml:space="preserve"> </w:t>
      </w:r>
      <w:r>
        <w:t xml:space="preserve">descrivono singole pazienti o singoli pazienti. Sull’efficacia dicono poco, per la sicurezza invece possono essere molto preziosi: effetti collaterali rari o inattesi emergono spesso per la prima volta nei casi clinici. Nel capitolo sul mercato grigio incontrerà diverse segnalazioni di questo tipo, per esempio di gravi ipoglicemie dovute a preparati contraffatti.</w:t>
      </w:r>
    </w:p>
    <w:p>
      <w:pPr>
        <w:pStyle w:val="BodyText"/>
      </w:pPr>
      <w:r>
        <w:t xml:space="preserve">Gli</w:t>
      </w:r>
      <w:r>
        <w:t xml:space="preserve"> </w:t>
      </w:r>
      <w:r>
        <w:rPr>
          <w:bCs/>
          <w:b/>
        </w:rPr>
        <w:t xml:space="preserve">studi osservazionali</w:t>
      </w:r>
      <w:r>
        <w:t xml:space="preserve"> </w:t>
      </w:r>
      <w:r>
        <w:t xml:space="preserve">confrontano persone che assumono una sostanza con persone che non la assumono. Il loro problema principale è il cosiddetto</w:t>
      </w:r>
      <w:r>
        <w:t xml:space="preserve"> </w:t>
      </w:r>
      <w:r>
        <w:rPr>
          <w:bCs/>
          <w:b/>
        </w:rPr>
        <w:t xml:space="preserve">fattore di confondimento</w:t>
      </w:r>
      <w:r>
        <w:t xml:space="preserve"> </w:t>
      </w:r>
      <w:r>
        <w:t xml:space="preserve">(confounding): chi assume un determinato preparato si distingue spesso anche per altri aspetti – per esempio reddito, attenzione alla salute o malattie preesistenti. Un’associazione riscontrata non deve quindi necessariamente essere un rapporto di causa-effetto.</w:t>
      </w:r>
    </w:p>
    <w:p>
      <w:pPr>
        <w:pStyle w:val="BodyText"/>
      </w:pPr>
      <w:r>
        <w:t xml:space="preserve">Una forma particolare sono le analisi dei</w:t>
      </w:r>
      <w:r>
        <w:t xml:space="preserve"> </w:t>
      </w:r>
      <w:r>
        <w:rPr>
          <w:bCs/>
          <w:b/>
        </w:rPr>
        <w:t xml:space="preserve">sistemi di segnalazione degli effetti collaterali</w:t>
      </w:r>
      <w:r>
        <w:t xml:space="preserve"> </w:t>
      </w:r>
      <w:r>
        <w:t xml:space="preserve">come la banca dati europea EudraVigilance o il FAERS statunitense. Raccolgono segnalazioni di sospette reazioni da parte di medici, pazienti e produttori. Tali dati mostrano segnali che andrebbero verificati ulteriormente, ma non dimostrano un nesso e non dicono nulla su quanto sia effettivamente frequente un effetto collaterale.</w:t>
      </w:r>
    </w:p>
    <w:bookmarkEnd w:id="80"/>
    <w:bookmarkStart w:id="81" w:name="lo-studio-randomizzato-controllato-rct"/>
    <w:p>
      <w:pPr>
        <w:pStyle w:val="Heading3"/>
      </w:pPr>
      <w:r>
        <w:t xml:space="preserve">Lo studio randomizzato controllato (RCT)</w:t>
      </w:r>
    </w:p>
    <w:p>
      <w:pPr>
        <w:pStyle w:val="FirstParagraph"/>
      </w:pPr>
      <w:r>
        <w:t xml:space="preserve">L’RCT è considerato il gold standard per verificare l’effetto di un trattamento. Lo caratterizzano tre elementi:</w:t>
      </w:r>
    </w:p>
    <w:p>
      <w:pPr>
        <w:pStyle w:val="BodyText"/>
      </w:pPr>
      <w:r>
        <w:rPr>
          <w:bCs/>
          <w:b/>
        </w:rPr>
        <w:t xml:space="preserve">Gruppo di controllo.</w:t>
      </w:r>
      <w:r>
        <w:t xml:space="preserve"> </w:t>
      </w:r>
      <w:r>
        <w:t xml:space="preserve">Oltre al gruppo che riceve il principio attivo c’è un gruppo di confronto – con placebo, un trattamento standard o nessun trattamento. Solo così si può dire se un cambiamento è dovuto al principio attivo o si sarebbe verificato anche senza.</w:t>
      </w:r>
    </w:p>
    <w:p>
      <w:pPr>
        <w:pStyle w:val="BodyText"/>
      </w:pPr>
      <w:r>
        <w:rPr>
          <w:bCs/>
          <w:b/>
        </w:rPr>
        <w:t xml:space="preserve">Randomizzazione.</w:t>
      </w:r>
      <w:r>
        <w:t xml:space="preserve"> </w:t>
      </w:r>
      <w:r>
        <w:t xml:space="preserve">Chi finisce in quale gruppo lo decide il caso. In questo modo i fattori d’influenza noti e ignoti si distribuiscono in modo uniforme tra i due gruppi. Le differenze nel risultato possono allora essere attribuite con alta probabilità al trattamento.</w:t>
      </w:r>
    </w:p>
    <w:p>
      <w:pPr>
        <w:pStyle w:val="BodyText"/>
      </w:pPr>
      <w:r>
        <w:rPr>
          <w:bCs/>
          <w:b/>
        </w:rPr>
        <w:t xml:space="preserve">Cecità.</w:t>
      </w:r>
      <w:r>
        <w:t xml:space="preserve"> </w:t>
      </w:r>
      <w:r>
        <w:t xml:space="preserve">In uno studio in</w:t>
      </w:r>
      <w:r>
        <w:t xml:space="preserve"> </w:t>
      </w:r>
      <w:r>
        <w:rPr>
          <w:bCs/>
          <w:b/>
        </w:rPr>
        <w:t xml:space="preserve">doppio cieco</w:t>
      </w:r>
      <w:r>
        <w:t xml:space="preserve"> </w:t>
      </w:r>
      <w:r>
        <w:t xml:space="preserve">né i partecipanti né il personale dello studio sanno chi riceve il principio attivo e chi il placebo. Ciò impedisce che le aspettative influenzino il risultato. In uno studio</w:t>
      </w:r>
      <w:r>
        <w:t xml:space="preserve"> </w:t>
      </w:r>
      <w:r>
        <w:rPr>
          <w:bCs/>
          <w:b/>
        </w:rPr>
        <w:t xml:space="preserve">in aperto</w:t>
      </w:r>
      <w:r>
        <w:t xml:space="preserve"> </w:t>
      </w:r>
      <w:r>
        <w:t xml:space="preserve">tutti i soggetti coinvolti sono informati; a volte non è possibile fare altrimenti, ma ciò rende i risultati più esposti a distorsioni, soprattutto per endpoint soggettivi come dolore, umore o aspetto della pelle.</w:t>
      </w:r>
    </w:p>
    <w:bookmarkEnd w:id="81"/>
    <w:bookmarkStart w:id="82" w:name="X9ecc1e27ef7307338660c7cbcd805ceb6b592d1"/>
    <w:p>
      <w:pPr>
        <w:pStyle w:val="Heading3"/>
      </w:pPr>
      <w:r>
        <w:t xml:space="preserve">L’effetto placebo e perché i gruppi di controllo sono indispensabili</w:t>
      </w:r>
    </w:p>
    <w:p>
      <w:pPr>
        <w:pStyle w:val="FirstParagraph"/>
      </w:pPr>
      <w:r>
        <w:t xml:space="preserve">Negli studi le persone stanno spesso meglio anche quando ricevono solo un preparato fittizio. Ciò dipende dalle aspettative, dall’attenzione aggiuntiva, dai cambiamenti dello stile di vita durante uno studio e dal fatto che molti disturbi migliorano comunque da soli.</w:t>
      </w:r>
    </w:p>
    <w:p>
      <w:pPr>
        <w:pStyle w:val="BodyText"/>
      </w:pPr>
      <w:r>
        <w:t xml:space="preserve">Un esempio eloquente è lo studio STEP 1: anche il gruppo placebo ha perso in 68 settimane in media il 2,4% del proprio peso corporeo, perché tutti i partecipanti ricevevano in aggiunta una consulenza sullo stile di vita (Wilding 2021, PMID 33567185). L’effetto vero e proprio del principio attivo è la differenza tra i gruppi – in questo caso 12,4 punti percentuali, non il 14,9%.</w:t>
      </w:r>
    </w:p>
    <w:p>
      <w:pPr>
        <w:pStyle w:val="BodyText"/>
      </w:pPr>
      <w:r>
        <w:t xml:space="preserve">Una revisione sui peptidi in medicina dello sport sottolinea espressamente che l’effetto placebo potrebbe spiegare una parte degli effetti riferiti per i peptidi non regolamentati e che i social media amplificano questo effetto (Mendias 2026, PMID 41966639). Le testimonianze dei forum non sostituiscono quindi gli studi controllati.</w:t>
      </w:r>
    </w:p>
    <w:bookmarkEnd w:id="82"/>
    <w:bookmarkStart w:id="83" w:name="fasi-degli-studi"/>
    <w:p>
      <w:pPr>
        <w:pStyle w:val="Heading3"/>
      </w:pPr>
      <w:r>
        <w:t xml:space="preserve">Fasi degli studi</w:t>
      </w:r>
    </w:p>
    <w:p>
      <w:pPr>
        <w:pStyle w:val="FirstParagraph"/>
      </w:pPr>
      <w:r>
        <w:t xml:space="preserve">I nuovi farmaci attraversano nell’uomo tipicamente quattro fasi: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Obiettivo</w:t>
            </w:r>
          </w:p>
        </w:tc>
        <w:tc>
          <w:tcPr/>
          <w:p>
            <w:pPr>
              <w:pStyle w:val="Compact"/>
              <w:jc w:val="left"/>
            </w:pPr>
            <w:r>
              <w:t xml:space="preserve">Dimensione tipica</w:t>
            </w:r>
          </w:p>
        </w:tc>
      </w:tr>
      <w:tr>
        <w:tc>
          <w:tcPr/>
          <w:p>
            <w:pPr>
              <w:pStyle w:val="Compact"/>
              <w:jc w:val="left"/>
            </w:pPr>
            <w:r>
              <w:t xml:space="preserve">Fase 1</w:t>
            </w:r>
          </w:p>
        </w:tc>
        <w:tc>
          <w:tcPr/>
          <w:p>
            <w:pPr>
              <w:pStyle w:val="Compact"/>
              <w:jc w:val="left"/>
            </w:pPr>
            <w:r>
              <w:t xml:space="preserve">tollerabilità, comportamento nell’organismo</w:t>
            </w:r>
          </w:p>
        </w:tc>
        <w:tc>
          <w:tcPr/>
          <w:p>
            <w:pPr>
              <w:pStyle w:val="Compact"/>
              <w:jc w:val="left"/>
            </w:pPr>
            <w:r>
              <w:t xml:space="preserve">poche decine di persone sane</w:t>
            </w:r>
          </w:p>
        </w:tc>
      </w:tr>
      <w:tr>
        <w:tc>
          <w:tcPr/>
          <w:p>
            <w:pPr>
              <w:pStyle w:val="Compact"/>
              <w:jc w:val="left"/>
            </w:pPr>
            <w:r>
              <w:t xml:space="preserve">Fase 2</w:t>
            </w:r>
          </w:p>
        </w:tc>
        <w:tc>
          <w:tcPr/>
          <w:p>
            <w:pPr>
              <w:pStyle w:val="Compact"/>
              <w:jc w:val="left"/>
            </w:pPr>
            <w:r>
              <w:t xml:space="preserve">prima efficacia, ricerca della dose</w:t>
            </w:r>
          </w:p>
        </w:tc>
        <w:tc>
          <w:tcPr/>
          <w:p>
            <w:pPr>
              <w:pStyle w:val="Compact"/>
              <w:jc w:val="left"/>
            </w:pPr>
            <w:r>
              <w:t xml:space="preserve">da circa 100 ad alcune centinaia</w:t>
            </w:r>
          </w:p>
        </w:tc>
      </w:tr>
      <w:tr>
        <w:tc>
          <w:tcPr/>
          <w:p>
            <w:pPr>
              <w:pStyle w:val="Compact"/>
              <w:jc w:val="left"/>
            </w:pPr>
            <w:r>
              <w:t xml:space="preserve">Fase 3</w:t>
            </w:r>
          </w:p>
        </w:tc>
        <w:tc>
          <w:tcPr/>
          <w:p>
            <w:pPr>
              <w:pStyle w:val="Compact"/>
              <w:jc w:val="left"/>
            </w:pPr>
            <w:r>
              <w:t xml:space="preserve">efficacia e sicurezza a confronto</w:t>
            </w:r>
          </w:p>
        </w:tc>
        <w:tc>
          <w:tcPr/>
          <w:p>
            <w:pPr>
              <w:pStyle w:val="Compact"/>
              <w:jc w:val="left"/>
            </w:pPr>
            <w:r>
              <w:t xml:space="preserve">da centinaia a migliaia</w:t>
            </w:r>
          </w:p>
        </w:tc>
      </w:tr>
      <w:tr>
        <w:tc>
          <w:tcPr/>
          <w:p>
            <w:pPr>
              <w:pStyle w:val="Compact"/>
              <w:jc w:val="left"/>
            </w:pPr>
            <w:r>
              <w:t xml:space="preserve">Fase 4</w:t>
            </w:r>
          </w:p>
        </w:tc>
        <w:tc>
          <w:tcPr/>
          <w:p>
            <w:pPr>
              <w:pStyle w:val="Compact"/>
              <w:jc w:val="left"/>
            </w:pPr>
            <w:r>
              <w:t xml:space="preserve">osservazione dopo l’autorizzazione</w:t>
            </w:r>
          </w:p>
        </w:tc>
        <w:tc>
          <w:tcPr/>
          <w:p>
            <w:pPr>
              <w:pStyle w:val="Compact"/>
              <w:jc w:val="left"/>
            </w:pPr>
            <w:r>
              <w:t xml:space="preserve">spesso molto grande</w:t>
            </w:r>
          </w:p>
        </w:tc>
      </w:tr>
    </w:tbl>
    <w:p>
      <w:pPr>
        <w:pStyle w:val="BodyText"/>
      </w:pPr>
      <w:r>
        <w:t xml:space="preserve">Molti principi attivi falliscono tra la fase 2 e la fase 3. Un risultato promettente di fase 2 non è quindi ancora una garanzia di una successiva autorizzazione.</w:t>
      </w:r>
    </w:p>
    <w:bookmarkEnd w:id="83"/>
    <w:bookmarkStart w:id="84" w:name="endpoint-che-cosa-si-misura-davvero"/>
    <w:p>
      <w:pPr>
        <w:pStyle w:val="Heading3"/>
      </w:pPr>
      <w:r>
        <w:t xml:space="preserve">Endpoint: che cosa si misura davvero?</w:t>
      </w:r>
    </w:p>
    <w:p>
      <w:pPr>
        <w:pStyle w:val="FirstParagraph"/>
      </w:pPr>
      <w:r>
        <w:t xml:space="preserve">Ogni studio stabilisce in anticipo un</w:t>
      </w:r>
      <w:r>
        <w:t xml:space="preserve"> </w:t>
      </w:r>
      <w:r>
        <w:rPr>
          <w:bCs/>
          <w:b/>
        </w:rPr>
        <w:t xml:space="preserve">endpoint primario</w:t>
      </w:r>
      <w:r>
        <w:t xml:space="preserve"> </w:t>
      </w:r>
      <w:r>
        <w:t xml:space="preserve">– l’obiettivo principale con cui si misura il successo. A esso si aggiungono gli endpoint secondari. Se un risultato viene messo in evidenza come importante solo a posteriori, è necessaria cautela: chi misura molti endpoint trova quasi sempre da qualche parte una differenza „significativa“.</w:t>
      </w:r>
    </w:p>
    <w:p>
      <w:pPr>
        <w:pStyle w:val="BodyText"/>
      </w:pPr>
      <w:r>
        <w:t xml:space="preserve">Particolarmente importante è la distinzione tra</w:t>
      </w:r>
      <w:r>
        <w:t xml:space="preserve"> </w:t>
      </w:r>
      <w:r>
        <w:rPr>
          <w:bCs/>
          <w:b/>
        </w:rPr>
        <w:t xml:space="preserve">endpoint solidi</w:t>
      </w:r>
      <w:r>
        <w:t xml:space="preserve"> </w:t>
      </w:r>
      <w:r>
        <w:t xml:space="preserve">ed</w:t>
      </w:r>
      <w:r>
        <w:t xml:space="preserve"> </w:t>
      </w:r>
      <w:r>
        <w:rPr>
          <w:bCs/>
          <w:b/>
        </w:rPr>
        <w:t xml:space="preserve">endpoint surrogati</w:t>
      </w:r>
      <w:r>
        <w:t xml:space="preserve">:</w:t>
      </w:r>
    </w:p>
    <w:p>
      <w:pPr>
        <w:numPr>
          <w:ilvl w:val="0"/>
          <w:numId w:val="1017"/>
        </w:numPr>
        <w:pStyle w:val="Compact"/>
      </w:pPr>
      <w:r>
        <w:t xml:space="preserve">Gli</w:t>
      </w:r>
      <w:r>
        <w:t xml:space="preserve"> </w:t>
      </w:r>
      <w:r>
        <w:rPr>
          <w:bCs/>
          <w:b/>
        </w:rPr>
        <w:t xml:space="preserve">endpoint solidi</w:t>
      </w:r>
      <w:r>
        <w:t xml:space="preserve"> </w:t>
      </w:r>
      <w:r>
        <w:t xml:space="preserve">sono eventi che contano direttamente per le pazienti e i pazienti: morte, infarto, ictus, frattura ossea, cecità, qualità della vita.</w:t>
      </w:r>
    </w:p>
    <w:p>
      <w:pPr>
        <w:numPr>
          <w:ilvl w:val="0"/>
          <w:numId w:val="1017"/>
        </w:numPr>
        <w:pStyle w:val="Compact"/>
      </w:pPr>
      <w:r>
        <w:t xml:space="preserve">Gli</w:t>
      </w:r>
      <w:r>
        <w:t xml:space="preserve"> </w:t>
      </w:r>
      <w:r>
        <w:rPr>
          <w:bCs/>
          <w:b/>
        </w:rPr>
        <w:t xml:space="preserve">endpoint surrogati</w:t>
      </w:r>
      <w:r>
        <w:t xml:space="preserve"> </w:t>
      </w:r>
      <w:r>
        <w:t xml:space="preserve">(endpoint sostitutivi) sono valori misurati che si presume siano legati agli endpoint solidi: glicemia, HbA1c, colesterolo, pressione arteriosa, densità ossea, peso corporeo o valori di laboratorio come l’IGF-1.</w:t>
      </w:r>
    </w:p>
    <w:p>
      <w:pPr>
        <w:pStyle w:val="FirstParagraph"/>
      </w:pPr>
      <w:r>
        <w:t xml:space="preserve">Gli endpoint surrogati sono pratici perché si possono misurare più rapidamente e con meno partecipanti. Ma possono essere fuorvianti. L’esempio più noto è il Cardiac Arrhythmia Suppression Trial (CAST) della fine degli anni Ottanta. Si dava per scontato che i farmaci che sopprimono determinate aritmie cardiache dopo un infarto prevenissero anche i decessi. I farmaci sopprimevano effettivamente le aritmie – l’endpoint surrogato era raggiunto. Ma nello studio randomizzato con due di questi farmaci morirono più persone che con placebo: di aritmie morirono 43 partecipanti con principio attivo contro 16 con placebo (Echt 1991, PMID 1900101).</w:t>
      </w:r>
    </w:p>
    <w:p>
      <w:pPr>
        <w:pStyle w:val="BodyText"/>
      </w:pPr>
      <w:r>
        <w:t xml:space="preserve">Con i peptidi incontrerà di continuo endpoint surrogati. Per i secretagoghi dell’ormone della crescita spesso si misura solo se il livello di ormone della crescita o di IGF-1 aumenta – non se le persone diventano così più sane, più forti o più longeve. Per i farmaci GLP-1, invece, esistono ormai grandi studi con endpoint solidi come infarto e ictus. È uno dei motivi per cui in questo libro ricevono il livello di evidenza più alto.</w:t>
      </w:r>
    </w:p>
    <w:bookmarkEnd w:id="84"/>
    <w:bookmarkStart w:id="85" w:name="rischi-relativi-e-assoluti"/>
    <w:p>
      <w:pPr>
        <w:pStyle w:val="Heading3"/>
      </w:pPr>
      <w:r>
        <w:t xml:space="preserve">Rischi relativi e assoluti</w:t>
      </w:r>
    </w:p>
    <w:p>
      <w:pPr>
        <w:pStyle w:val="FirstParagraph"/>
      </w:pPr>
      <w:r>
        <w:t xml:space="preserve">Pochi dettagli statistici vengono fraintesi così spesso. Prendiamo lo studio SELECT: in un periodo medio di 39,8 mesi l’evento cardiovascolare combinato si è verificato nel 6,5% dei partecipanti con semaglutide e nell’8,0% con placebo. L’hazard ratio – una misura del rischio relativo nel tempo – era 0,80 (Lincoff 2023, PMID 37952131).</w:t>
      </w:r>
    </w:p>
    <w:p>
      <w:pPr>
        <w:pStyle w:val="BodyText"/>
      </w:pPr>
      <w:r>
        <w:t xml:space="preserve">Se ne possono ricavare due affermazioni, entrambe corrette:</w:t>
      </w:r>
    </w:p>
    <w:p>
      <w:pPr>
        <w:numPr>
          <w:ilvl w:val="0"/>
          <w:numId w:val="1018"/>
        </w:numPr>
        <w:pStyle w:val="Compact"/>
      </w:pPr>
      <w:r>
        <w:rPr>
          <w:bCs/>
          <w:b/>
        </w:rPr>
        <w:t xml:space="preserve">Relativa:</w:t>
      </w:r>
      <w:r>
        <w:t xml:space="preserve"> </w:t>
      </w:r>
      <w:r>
        <w:t xml:space="preserve">il rischio era più basso di circa il 20%.</w:t>
      </w:r>
    </w:p>
    <w:p>
      <w:pPr>
        <w:numPr>
          <w:ilvl w:val="0"/>
          <w:numId w:val="1018"/>
        </w:numPr>
        <w:pStyle w:val="Compact"/>
      </w:pPr>
      <w:r>
        <w:rPr>
          <w:bCs/>
          <w:b/>
        </w:rPr>
        <w:t xml:space="preserve">Assoluta:</w:t>
      </w:r>
      <w:r>
        <w:t xml:space="preserve"> </w:t>
      </w:r>
      <w:r>
        <w:t xml:space="preserve">la quota di persone colpite è scesa di 1,5 punti percentuali – da 8,0 a 6,5 su 100 persone.</w:t>
      </w:r>
    </w:p>
    <w:p>
      <w:pPr>
        <w:pStyle w:val="FirstParagraph"/>
      </w:pPr>
      <w:r>
        <w:t xml:space="preserve">Dalla differenza assoluta si può calcolare il</w:t>
      </w:r>
      <w:r>
        <w:t xml:space="preserve"> </w:t>
      </w:r>
      <w:r>
        <w:rPr>
          <w:bCs/>
          <w:b/>
        </w:rPr>
        <w:t xml:space="preserve">Number Needed to Treat (NNT)</w:t>
      </w:r>
      <w:r>
        <w:t xml:space="preserve">: quante persone devono essere trattate perché una eviti un evento. Qui sono, in base al calcolo, circa 67 persone in poco più di tre anni. Ciò non significa che il trattamento sia poco importante – con milioni di persone interessate l’effetto è rilevante. Ma mostra che la maggior parte dei trattati non avrebbe avuto alcun evento anche senza farmaco, e che alcuni ne hanno uno nonostante il farmaco.</w:t>
      </w:r>
    </w:p>
    <w:p>
      <w:pPr>
        <w:pStyle w:val="BodyText"/>
      </w:pPr>
      <w:r>
        <w:t xml:space="preserve">Pubblicità e titoli di giornale preferiscono i numeri relativi perché sembrano più grandi. I buoni resoconti degli studi riportano entrambi. Faccia quindi sempre attenzione alla frequenza di partenza: un „dimezzamento“ del rischio da 2 a 1 su 10.000 è qualcosa di completamente diverso da 20 a 10 su 100.</w:t>
      </w:r>
    </w:p>
    <w:p>
      <w:pPr>
        <w:pStyle w:val="BodyText"/>
      </w:pPr>
      <w:r>
        <w:t xml:space="preserve">Lo stesso vale per gli effetti collaterali. In SELECT il 16,6% dei partecipanti con semaglutide ha interrotto il trattamento a causa di eventi avversi, contro l’8,2% con placebo (Lincoff 2023, PMID 37952131). In termini relativi è un raddoppio, in termini assoluti una differenza di 8,4 punti percentuali.</w:t>
      </w:r>
    </w:p>
    <w:bookmarkEnd w:id="85"/>
    <w:bookmarkStart w:id="86" w:name="X12815f686e6172ba2f4bab3db7313744b578f9b"/>
    <w:p>
      <w:pPr>
        <w:pStyle w:val="Heading3"/>
      </w:pPr>
      <w:r>
        <w:t xml:space="preserve">Significatività statistica e intervalli di confidenza</w:t>
      </w:r>
    </w:p>
    <w:p>
      <w:pPr>
        <w:pStyle w:val="FirstParagraph"/>
      </w:pPr>
      <w:r>
        <w:t xml:space="preserve">Un</w:t>
      </w:r>
      <w:r>
        <w:t xml:space="preserve"> </w:t>
      </w:r>
      <w:r>
        <w:rPr>
          <w:bCs/>
          <w:b/>
        </w:rPr>
        <w:t xml:space="preserve">valore p</w:t>
      </w:r>
      <w:r>
        <w:t xml:space="preserve"> </w:t>
      </w:r>
      <w:r>
        <w:t xml:space="preserve">indica quanto sarebbe probabile una differenza almeno così grande se in realtà non esistesse alcun effetto. Se è inferiore a 0,05, un risultato viene di solito considerato „statisticamente significativo“. Ciò non significa che l’effetto sia grande o rilevante – negli studi molto grandi diventano significative anche differenze minime.</w:t>
      </w:r>
    </w:p>
    <w:p>
      <w:pPr>
        <w:pStyle w:val="BodyText"/>
      </w:pPr>
      <w:r>
        <w:t xml:space="preserve">Spesso è più informativo l’</w:t>
      </w:r>
      <w:r>
        <w:rPr>
          <w:bCs/>
          <w:b/>
        </w:rPr>
        <w:t xml:space="preserve">intervallo di confidenza al 95%</w:t>
      </w:r>
      <w:r>
        <w:t xml:space="preserve">. Indica un intervallo entro il quale si trova con alta probabilità il vero effetto. In STEP 1 la differenza di peso corporeo tra semaglutide e placebo era di 12,4 punti percentuali, con un intervallo di confidenza da 11,5 a 13,4 (Wilding 2021, PMID 33567185). Un intervallo così stretto indica una stima precisa. Negli studi piccoli gli intervalli sono spesso molto ampi – segno che il vero effetto potrebbe essere grande, piccolo o perfino nullo.</w:t>
      </w:r>
    </w:p>
    <w:bookmarkEnd w:id="86"/>
    <w:bookmarkStart w:id="87" w:name="X228f4ad224b941ebe86d3d746990ed4c8f0b268"/>
    <w:p>
      <w:pPr>
        <w:pStyle w:val="Heading3"/>
      </w:pPr>
      <w:r>
        <w:t xml:space="preserve">Come si conta: la questione dello stimatore</w:t>
      </w:r>
    </w:p>
    <w:p>
      <w:pPr>
        <w:pStyle w:val="FirstParagraph"/>
      </w:pPr>
      <w:r>
        <w:t xml:space="preserve">Un dettaglio diventato importante negli studi più recenti: come vengono conteggiate le persone che interrompono il trattamento o assumono farmaci aggiuntivi? Nello studio PIONEER 1 sono state riportate due analisi. Considerando tutti i partecipanti, indipendentemente dal fatto che continuassero a prendere le compresse, il valore di HbA1c alla dose più alta è sceso di 1,1 punti percentuali in più rispetto al placebo. Considerando solo il periodo in cui le compresse venivano effettivamente assunte, i punti erano 1,4 (Aroda 2019, PMID 31186300). Entrambi i numeri sono corretti, ma rispondono a domande diverse. Il primo è per lo più più realistico per la vita quotidiana.</w:t>
      </w:r>
    </w:p>
    <w:bookmarkEnd w:id="87"/>
    <w:bookmarkStart w:id="88" w:name="durata-e-dimensione"/>
    <w:p>
      <w:pPr>
        <w:pStyle w:val="Heading3"/>
      </w:pPr>
      <w:r>
        <w:t xml:space="preserve">Durata e dimensione</w:t>
      </w:r>
    </w:p>
    <w:p>
      <w:pPr>
        <w:pStyle w:val="FirstParagraph"/>
      </w:pPr>
      <w:r>
        <w:t xml:space="preserve">Molti studi sui peptidi sono brevi. Una variazione dei valori di laboratorio dopo due settimane dice poco su ciò che accade dopo due anni – né sul beneficio né su rischi come il cancro, che spesso si manifestano solo dopo anni. Altrettanto importante è la dimensione: effetti collaterali rari, che colpiscono una persona su mille, restano inevitabilmente non rilevati in uno studio con 40 partecipanti. L’assenza di effetti collaterali in un piccolo studio non è una prova di sicurezza.</w:t>
      </w:r>
    </w:p>
    <w:p>
      <w:pPr>
        <w:pStyle w:val="BodyText"/>
      </w:pPr>
      <w:r>
        <w:t xml:space="preserve">Sulla base di considerazioni teoriche e simulazioni, l’epidemiologo John Ioannidis ha dedotto che i risultati della ricerca sono tanto meno affidabili quanto più piccoli sono gli studi e gli effetti, quante più domande vengono testate senza selezione preliminare, quanto più flessibili sono disegno e analisi e quanto maggiori sono gli interessi finanziari e i pregiudizi in un campo (Ioannidis 2005, PMID 16060722). Molte di queste caratteristiche si applicano alla ricerca sui peptidi poco studiati.</w:t>
      </w:r>
    </w:p>
    <w:bookmarkEnd w:id="88"/>
    <w:bookmarkStart w:id="89" w:name="conflitti-di-interesse"/>
    <w:p>
      <w:pPr>
        <w:pStyle w:val="Heading3"/>
      </w:pPr>
      <w:r>
        <w:t xml:space="preserve">Conflitti di interesse</w:t>
      </w:r>
    </w:p>
    <w:p>
      <w:pPr>
        <w:pStyle w:val="FirstParagraph"/>
      </w:pPr>
      <w:r>
        <w:t xml:space="preserve">I grandi studi registrativi sono quasi sempre finanziati dai produttori. Ciò è previsto dalla legge e non è automaticamente un difetto – questi studi sono soggetti a regole rigorose, vengono registrati in anticipo e verificati dalle autorità. Vale comunque la pena guardare al finanziamento. Una revisione Cochrane ha concluso che gli studi sponsorizzati dall’industria riportavano più spesso risultati di efficacia favorevoli (rischio relativo 1,27) e più spesso conclusioni favorevoli (rischio relativo 1,34) rispetto agli studi con altri finanziamenti (Lundh 2017, PMID 28207928).</w:t>
      </w:r>
    </w:p>
    <w:p>
      <w:pPr>
        <w:pStyle w:val="BodyText"/>
      </w:pPr>
      <w:r>
        <w:t xml:space="preserve">I conflitti di interesse non riguardano solo le case farmaceutiche. Anche ricercatori che hanno scoperto una sostanza e detengono brevetti, cliniche che vendono terapie peptidiche o influencer con codici sconto hanno interesse a risultati positivi. È un segnale d’allarme quando quasi tutti gli studi su una sostanza provengono da un unico gruppo di lavoro e non sono stati confermati da team indipendenti.</w:t>
      </w:r>
    </w:p>
    <w:bookmarkEnd w:id="89"/>
    <w:bookmarkStart w:id="90" w:name="il-problema-degli-studi-scomparsi"/>
    <w:p>
      <w:pPr>
        <w:pStyle w:val="Heading3"/>
      </w:pPr>
      <w:r>
        <w:t xml:space="preserve">Il problema degli studi scomparsi</w:t>
      </w:r>
    </w:p>
    <w:p>
      <w:pPr>
        <w:pStyle w:val="FirstParagraph"/>
      </w:pPr>
      <w:r>
        <w:t xml:space="preserve">Non tutti gli studi vengono pubblicati – e sono soprattutto quelli deludenti a scomparire. Quanto ciò possa distorcere il quadro lo ha mostrato un’indagine sugli antidepressivi. Dei 74 studi registrati presso l’autorità statunitense per i farmaci FDA, il 31% non è stato pubblicato. Secondo la letteratura pubblicata il 94% degli studi era positivo, secondo l’analisi della FDA solo il 51% (Turner 2008, PMID 18199864). Chi legge solo le riviste scientifiche ottiene un quadro troppo roseo.</w:t>
      </w:r>
    </w:p>
    <w:bookmarkEnd w:id="90"/>
    <w:bookmarkStart w:id="91" w:name="registri-degli-studi"/>
    <w:p>
      <w:pPr>
        <w:pStyle w:val="Heading3"/>
      </w:pPr>
      <w:r>
        <w:t xml:space="preserve">Registri degli studi</w:t>
      </w:r>
    </w:p>
    <w:p>
      <w:pPr>
        <w:pStyle w:val="FirstParagraph"/>
      </w:pPr>
      <w:r>
        <w:t xml:space="preserve">In risposta a tali risultati, il Comitato internazionale degli editori di riviste mediche dichiarò nel 2004 che gli studi clinici devono essere iscritti in un registro pubblico prima del loro inizio per poter essere pubblicati in seguito (DeAngelis 2004, PMID 15355936). Oggi i registri sono uno strumento centrale:</w:t>
      </w:r>
    </w:p>
    <w:p>
      <w:pPr>
        <w:numPr>
          <w:ilvl w:val="0"/>
          <w:numId w:val="1019"/>
        </w:numPr>
        <w:pStyle w:val="Compact"/>
      </w:pPr>
      <w:r>
        <w:rPr>
          <w:bCs/>
          <w:b/>
        </w:rPr>
        <w:t xml:space="preserve">ClinicalTrials.gov</w:t>
      </w:r>
      <w:r>
        <w:t xml:space="preserve"> </w:t>
      </w:r>
      <w:r>
        <w:t xml:space="preserve">(Stati Uniti) è il registro più grande. Ogni studio riceve un numero nel formato „NCT“ più otto cifre. Lo studio SELECT, per esempio, ha il numero NCT03574597.</w:t>
      </w:r>
    </w:p>
    <w:p>
      <w:pPr>
        <w:numPr>
          <w:ilvl w:val="0"/>
          <w:numId w:val="1019"/>
        </w:numPr>
        <w:pStyle w:val="Compact"/>
      </w:pPr>
      <w:r>
        <w:t xml:space="preserve">Nell’</w:t>
      </w:r>
      <w:r>
        <w:rPr>
          <w:bCs/>
          <w:b/>
        </w:rPr>
        <w:t xml:space="preserve">UE</w:t>
      </w:r>
      <w:r>
        <w:t xml:space="preserve"> </w:t>
      </w:r>
      <w:r>
        <w:t xml:space="preserve">le sperimentazioni cliniche vengono registrate nel Clinical Trials Information System (CTIS) dell’Agenzia europea per i medicinali; gli studi più vecchi si trovano nell’EU Clinical Trials Register.</w:t>
      </w:r>
    </w:p>
    <w:p>
      <w:pPr>
        <w:numPr>
          <w:ilvl w:val="0"/>
          <w:numId w:val="1019"/>
        </w:numPr>
        <w:pStyle w:val="Compact"/>
      </w:pPr>
      <w:r>
        <w:t xml:space="preserve">L’</w:t>
      </w:r>
      <w:r>
        <w:rPr>
          <w:bCs/>
          <w:b/>
        </w:rPr>
        <w:t xml:space="preserve">Organizzazione mondiale della sanità</w:t>
      </w:r>
      <w:r>
        <w:t xml:space="preserve"> </w:t>
      </w:r>
      <w:r>
        <w:t xml:space="preserve">riunisce molti registri nazionali in un portale di ricerca (ICTRP).</w:t>
      </w:r>
    </w:p>
    <w:p>
      <w:pPr>
        <w:pStyle w:val="FirstParagraph"/>
      </w:pPr>
      <w:r>
        <w:t xml:space="preserve">Nel registro sono riportati, tra l’altro, il disegno dello studio previsto, il numero di partecipanti, l’endpoint primario e lo stato. Così si può verificare se uno studio pubblicato riporta gli endpoint originariamente previsti – e se per una sostanza sono stati avviati studi mai pubblicati. Per questo libro i registri sono stati usati soprattutto per trovare gli studi in corso. Importante: una voce di registro non è un risultato. Il fatto che uno studio sia registrato non dice nulla sull’efficacia della sostanza.</w:t>
      </w:r>
    </w:p>
    <w:bookmarkEnd w:id="91"/>
    <w:bookmarkStart w:id="92" w:name="altri-segnali-dallarme"/>
    <w:p>
      <w:pPr>
        <w:pStyle w:val="Heading3"/>
      </w:pPr>
      <w:r>
        <w:t xml:space="preserve">Altri segnali d’allarme</w:t>
      </w:r>
    </w:p>
    <w:p>
      <w:pPr>
        <w:numPr>
          <w:ilvl w:val="0"/>
          <w:numId w:val="1020"/>
        </w:numPr>
        <w:pStyle w:val="Compact"/>
      </w:pPr>
      <w:r>
        <w:rPr>
          <w:bCs/>
          <w:b/>
        </w:rPr>
        <w:t xml:space="preserve">Solo un abstract congressuale o un preprint.</w:t>
      </w:r>
      <w:r>
        <w:t xml:space="preserve"> </w:t>
      </w:r>
      <w:r>
        <w:t xml:space="preserve">Le pubblicazioni anticipate (per esempio su medRxiv) e i contributi congressuali non sono ancora stati sottoposti a una revisione completa.</w:t>
      </w:r>
    </w:p>
    <w:p>
      <w:pPr>
        <w:numPr>
          <w:ilvl w:val="0"/>
          <w:numId w:val="1020"/>
        </w:numPr>
        <w:pStyle w:val="Compact"/>
      </w:pPr>
      <w:r>
        <w:rPr>
          <w:bCs/>
          <w:b/>
        </w:rPr>
        <w:t xml:space="preserve">Riviste scientifiche con standard discutibili.</w:t>
      </w:r>
      <w:r>
        <w:t xml:space="preserve"> </w:t>
      </w:r>
      <w:r>
        <w:t xml:space="preserve">Alcune riviste pubblicano a pagamento quasi qualsiasi cosa.</w:t>
      </w:r>
    </w:p>
    <w:p>
      <w:pPr>
        <w:numPr>
          <w:ilvl w:val="0"/>
          <w:numId w:val="1020"/>
        </w:numPr>
        <w:pStyle w:val="Compact"/>
      </w:pPr>
      <w:r>
        <w:rPr>
          <w:bCs/>
          <w:b/>
        </w:rPr>
        <w:t xml:space="preserve">Studi introvabili.</w:t>
      </w:r>
      <w:r>
        <w:t xml:space="preserve"> </w:t>
      </w:r>
      <w:r>
        <w:t xml:space="preserve">Se uno studio citato non si trova su PubMed o in un registro, è necessaria cautela.</w:t>
      </w:r>
    </w:p>
    <w:p>
      <w:pPr>
        <w:numPr>
          <w:ilvl w:val="0"/>
          <w:numId w:val="1020"/>
        </w:numPr>
        <w:pStyle w:val="Compact"/>
      </w:pPr>
      <w:r>
        <w:rPr>
          <w:bCs/>
          <w:b/>
        </w:rPr>
        <w:t xml:space="preserve">Trasferimento dai malati ai sani.</w:t>
      </w:r>
      <w:r>
        <w:t xml:space="preserve"> </w:t>
      </w:r>
      <w:r>
        <w:t xml:space="preserve">Una sostanza utile in una determinata malattia non deve necessariamente essere utile nelle persone sane – lì il rapporto rischio-beneficio è completamente diverso.</w:t>
      </w:r>
    </w:p>
    <w:p>
      <w:pPr>
        <w:numPr>
          <w:ilvl w:val="0"/>
          <w:numId w:val="1020"/>
        </w:numPr>
        <w:pStyle w:val="Compact"/>
      </w:pPr>
      <w:r>
        <w:rPr>
          <w:bCs/>
          <w:b/>
        </w:rPr>
        <w:t xml:space="preserve">Trasferimento da una sostanza a un’altra.</w:t>
      </w:r>
      <w:r>
        <w:t xml:space="preserve"> </w:t>
      </w:r>
      <w:r>
        <w:t xml:space="preserve">I risultati sulla semaglutide non valgono automaticamente per un prodotto del mercato grigio sulla cui etichetta c’è scritto „semaglutide“ – e gli studi sulla timosina beta-4 non valgono automaticamente per il frammento „TB-500“.</w:t>
      </w:r>
    </w:p>
    <w:bookmarkEnd w:id="92"/>
    <w:bookmarkStart w:id="93" w:name="dieci-domande-da-porre-a-ogni-studio"/>
    <w:p>
      <w:pPr>
        <w:pStyle w:val="Heading3"/>
      </w:pPr>
      <w:r>
        <w:t xml:space="preserve">Dieci domande da porre a ogni studio</w:t>
      </w:r>
    </w:p>
    <w:p>
      <w:pPr>
        <w:numPr>
          <w:ilvl w:val="0"/>
          <w:numId w:val="1021"/>
        </w:numPr>
        <w:pStyle w:val="Compact"/>
      </w:pPr>
      <w:r>
        <w:t xml:space="preserve">Sono state studiate persone – oppure animali o cellule?</w:t>
      </w:r>
    </w:p>
    <w:p>
      <w:pPr>
        <w:numPr>
          <w:ilvl w:val="0"/>
          <w:numId w:val="1021"/>
        </w:numPr>
        <w:pStyle w:val="Compact"/>
      </w:pPr>
      <w:r>
        <w:t xml:space="preserve">C’era un gruppo di controllo e l’assegnazione era casuale?</w:t>
      </w:r>
    </w:p>
    <w:p>
      <w:pPr>
        <w:numPr>
          <w:ilvl w:val="0"/>
          <w:numId w:val="1021"/>
        </w:numPr>
        <w:pStyle w:val="Compact"/>
      </w:pPr>
      <w:r>
        <w:t xml:space="preserve">Lo studio era in cieco?</w:t>
      </w:r>
    </w:p>
    <w:p>
      <w:pPr>
        <w:numPr>
          <w:ilvl w:val="0"/>
          <w:numId w:val="1021"/>
        </w:numPr>
        <w:pStyle w:val="Compact"/>
      </w:pPr>
      <w:r>
        <w:t xml:space="preserve">Quanti erano i partecipanti e per quanto tempo sono stati osservati?</w:t>
      </w:r>
    </w:p>
    <w:p>
      <w:pPr>
        <w:numPr>
          <w:ilvl w:val="0"/>
          <w:numId w:val="1021"/>
        </w:numPr>
        <w:pStyle w:val="Compact"/>
      </w:pPr>
      <w:r>
        <w:t xml:space="preserve">Chi è stato studiato – malati o sani, giovani o anziani?</w:t>
      </w:r>
    </w:p>
    <w:p>
      <w:pPr>
        <w:numPr>
          <w:ilvl w:val="0"/>
          <w:numId w:val="1021"/>
        </w:numPr>
        <w:pStyle w:val="Compact"/>
      </w:pPr>
      <w:r>
        <w:t xml:space="preserve">Qual era l’endpoint primario: un endpoint solido o un surrogato?</w:t>
      </w:r>
    </w:p>
    <w:p>
      <w:pPr>
        <w:numPr>
          <w:ilvl w:val="0"/>
          <w:numId w:val="1021"/>
        </w:numPr>
        <w:pStyle w:val="Compact"/>
      </w:pPr>
      <w:r>
        <w:t xml:space="preserve">Quanto era grande la differenza in termini assoluti, non solo relativi?</w:t>
      </w:r>
    </w:p>
    <w:p>
      <w:pPr>
        <w:numPr>
          <w:ilvl w:val="0"/>
          <w:numId w:val="1021"/>
        </w:numPr>
        <w:pStyle w:val="Compact"/>
      </w:pPr>
      <w:r>
        <w:t xml:space="preserve">Quanti hanno interrotto lo studio e quali effetti collaterali si sono verificati?</w:t>
      </w:r>
    </w:p>
    <w:p>
      <w:pPr>
        <w:numPr>
          <w:ilvl w:val="0"/>
          <w:numId w:val="1021"/>
        </w:numPr>
        <w:pStyle w:val="Compact"/>
      </w:pPr>
      <w:r>
        <w:t xml:space="preserve">Chi ha pagato lo studio, e i risultati sono stati confermati in modo indipendente?</w:t>
      </w:r>
    </w:p>
    <w:p>
      <w:pPr>
        <w:numPr>
          <w:ilvl w:val="0"/>
          <w:numId w:val="1021"/>
        </w:numPr>
        <w:pStyle w:val="Compact"/>
      </w:pPr>
      <w:r>
        <w:t xml:space="preserve">Lo studio era registrato in anticipo, e gli endpoint riportati coincidono con il registro?</w:t>
      </w:r>
    </w:p>
    <w:bookmarkEnd w:id="93"/>
    <w:bookmarkStart w:id="94" w:name="come-questo-libro-classifica-le-evidenze"/>
    <w:p>
      <w:pPr>
        <w:pStyle w:val="Heading3"/>
      </w:pPr>
      <w:r>
        <w:t xml:space="preserve">Come questo libro classifica le evidenze</w:t>
      </w:r>
    </w:p>
    <w:p>
      <w:pPr>
        <w:pStyle w:val="FirstParagraph"/>
      </w:pPr>
      <w:r>
        <w:t xml:space="preserve">Ogni peptide nella Parte II riceve un livello di evidenza:</w:t>
      </w:r>
    </w:p>
    <w:p>
      <w:pPr>
        <w:numPr>
          <w:ilvl w:val="0"/>
          <w:numId w:val="1022"/>
        </w:numPr>
        <w:pStyle w:val="Compact"/>
      </w:pPr>
      <w:r>
        <w:rPr>
          <w:bCs/>
          <w:b/>
        </w:rPr>
        <w:t xml:space="preserve">A</w:t>
      </w:r>
      <w:r>
        <w:t xml:space="preserve">: diversi grandi studi randomizzati nell’uomo, autorizzazione come farmaco.</w:t>
      </w:r>
    </w:p>
    <w:p>
      <w:pPr>
        <w:numPr>
          <w:ilvl w:val="0"/>
          <w:numId w:val="1022"/>
        </w:numPr>
        <w:pStyle w:val="Compact"/>
      </w:pPr>
      <w:r>
        <w:rPr>
          <w:bCs/>
          <w:b/>
        </w:rPr>
        <w:t xml:space="preserve">B</w:t>
      </w:r>
      <w:r>
        <w:t xml:space="preserve">: singoli studi randomizzati nell’uomo.</w:t>
      </w:r>
    </w:p>
    <w:p>
      <w:pPr>
        <w:numPr>
          <w:ilvl w:val="0"/>
          <w:numId w:val="1022"/>
        </w:numPr>
        <w:pStyle w:val="Compact"/>
      </w:pPr>
      <w:r>
        <w:rPr>
          <w:bCs/>
          <w:b/>
        </w:rPr>
        <w:t xml:space="preserve">C</w:t>
      </w:r>
      <w:r>
        <w:t xml:space="preserve">: solo studi piccoli o non controllati nell’uomo.</w:t>
      </w:r>
    </w:p>
    <w:p>
      <w:pPr>
        <w:numPr>
          <w:ilvl w:val="0"/>
          <w:numId w:val="1022"/>
        </w:numPr>
        <w:pStyle w:val="Compact"/>
      </w:pPr>
      <w:r>
        <w:rPr>
          <w:bCs/>
          <w:b/>
        </w:rPr>
        <w:t xml:space="preserve">D</w:t>
      </w:r>
      <w:r>
        <w:t xml:space="preserve">: solo studi su animali e in laboratorio.</w:t>
      </w:r>
    </w:p>
    <w:p>
      <w:pPr>
        <w:pStyle w:val="FirstParagraph"/>
      </w:pPr>
      <w:r>
        <w:t xml:space="preserve">Il livello valuta la</w:t>
      </w:r>
      <w:r>
        <w:t xml:space="preserve"> </w:t>
      </w:r>
      <w:r>
        <w:rPr>
          <w:bCs/>
          <w:b/>
        </w:rPr>
        <w:t xml:space="preserve">quantità e la qualità dei dati nell’uomo</w:t>
      </w:r>
      <w:r>
        <w:t xml:space="preserve">, non se una sostanza sia „buona“ o „cattiva“. Un peptide di livello A può avere effetti collaterali considerevoli, e un peptide di livello D potrebbe in futuro rivelarsi utile – semplicemente non è ancora stato studiato a sufficienza. La classificazione vale inoltre per un determinato impiego: una sostanza può essere ben documentata per una malattia e per nulla per un’altra.</w:t>
      </w:r>
    </w:p>
    <w:bookmarkEnd w:id="94"/>
    <w:bookmarkStart w:id="95" w:name="lessenziale-in-breve-2"/>
    <w:p>
      <w:pPr>
        <w:pStyle w:val="Heading3"/>
      </w:pPr>
      <w:r>
        <w:t xml:space="preserve">L’essenziale in breve</w:t>
      </w:r>
    </w:p>
    <w:p>
      <w:pPr>
        <w:numPr>
          <w:ilvl w:val="0"/>
          <w:numId w:val="1023"/>
        </w:numPr>
        <w:pStyle w:val="Compact"/>
      </w:pPr>
      <w:r>
        <w:t xml:space="preserve">Gli studi di laboratorio e su animali forniscono indizi sui meccanismi, ma non una prova di beneficio nell’uomo.</w:t>
      </w:r>
    </w:p>
    <w:p>
      <w:pPr>
        <w:numPr>
          <w:ilvl w:val="0"/>
          <w:numId w:val="1023"/>
        </w:numPr>
        <w:pStyle w:val="Compact"/>
      </w:pPr>
      <w:r>
        <w:t xml:space="preserve">Il confronto randomizzato, controllato e in cieco è la via più affidabile per dimostrare un effetto.</w:t>
      </w:r>
    </w:p>
    <w:p>
      <w:pPr>
        <w:numPr>
          <w:ilvl w:val="0"/>
          <w:numId w:val="1023"/>
        </w:numPr>
        <w:pStyle w:val="Compact"/>
      </w:pPr>
      <w:r>
        <w:t xml:space="preserve">Gli endpoint surrogati come i valori di laboratorio possono essere fuorvianti; contano gli endpoint solidi.</w:t>
      </w:r>
    </w:p>
    <w:p>
      <w:pPr>
        <w:numPr>
          <w:ilvl w:val="0"/>
          <w:numId w:val="1023"/>
        </w:numPr>
        <w:pStyle w:val="Compact"/>
      </w:pPr>
      <w:r>
        <w:t xml:space="preserve">I numeri relativi sembrano più grandi di quelli assoluti. Chieda sempre la frequenza di partenza.</w:t>
      </w:r>
    </w:p>
    <w:p>
      <w:pPr>
        <w:numPr>
          <w:ilvl w:val="0"/>
          <w:numId w:val="1023"/>
        </w:numPr>
        <w:pStyle w:val="Compact"/>
      </w:pPr>
      <w:r>
        <w:t xml:space="preserve">Finanziamento, distorsione di pubblicazione e mancata conferma da parte di gruppi indipendenti possono distorcere il quadro. I registri degli studi aiutano a verificarlo.</w:t>
      </w:r>
    </w:p>
    <w:bookmarkEnd w:id="95"/>
    <w:bookmarkEnd w:id="96"/>
    <w:bookmarkStart w:id="114" w:name="il-mercato-grigio"/>
    <w:p>
      <w:pPr>
        <w:pStyle w:val="Heading2"/>
      </w:pPr>
      <w:r>
        <w:t xml:space="preserve">Il mercato grigio</w:t>
      </w:r>
    </w:p>
    <w:p>
      <w:pPr>
        <w:pStyle w:val="FirstParagraph"/>
      </w:pPr>
      <w:r>
        <w:t xml:space="preserve">Chi cerca peptidi su Internet approda rapidamente a negozi online con pagine dall’aspetto professionale, foto di laboratorio e certificati di purezza. Vengono offerti flaconcini di polvere bianca: BPC-157, TB-500, ipamorelin, melanotan II – e sempre più spesso anche semaglutide, tirzepatide o principi attivi non ancora autorizzati come la retatrutide. Quasi sempre compare da qualche parte la dicitura „Research Use Only“ o „not for human consumption“ – solo a scopo di ricerca, non per l’uso nell’uomo.</w:t>
      </w:r>
    </w:p>
    <w:p>
      <w:pPr>
        <w:pStyle w:val="BodyText"/>
      </w:pPr>
      <w:r>
        <w:t xml:space="preserve">Questo capitolo descrive ciò che si sa di questo mercato: da analisi di laboratorio di prodotti acquistati e sequestrati, da casi clinici di intossicazioni e da analisi delle segnalazioni di effetti collaterali. Intende aiutarLa a valutare i rischi in modo realistico. In questo libro, per principio, non vengono indicate fonti di approvvigionamento.</w:t>
      </w:r>
    </w:p>
    <w:bookmarkStart w:id="97" w:name="che-cosa-sono-i-research-peptides"/>
    <w:p>
      <w:pPr>
        <w:pStyle w:val="Heading3"/>
      </w:pPr>
      <w:r>
        <w:t xml:space="preserve">Che cosa sono i „Research Peptides“</w:t>
      </w:r>
    </w:p>
    <w:p>
      <w:pPr>
        <w:pStyle w:val="FirstParagraph"/>
      </w:pPr>
      <w:r>
        <w:t xml:space="preserve">Con „Research Peptides“ o „Research Chemicals“ si indicano sostanze vendute ufficialmente solo a laboratori a scopo di ricerca. La dicitura „non per l’uso nell’uomo“ dovrebbe tutelare giuridicamente la vendita: un prodotto che non viene offerto come farmaco – questa la logica dei venditori – non ha bisogno nemmeno di un’autorizzazione come farmaco. Nella pratica, però, molti di questi negozi si rivolgono visibilmente a privati che vogliono iniettarsi le sostanze da sé. Se questa costruzione regga dal punto di vista giuridico viene discusso nel prossimo capitolo; in molti casi non regge.</w:t>
      </w:r>
    </w:p>
    <w:p>
      <w:pPr>
        <w:pStyle w:val="BodyText"/>
      </w:pPr>
      <w:r>
        <w:t xml:space="preserve">Una revisione descrive lo schema con l’esempio di semaglutide e tirzepatide: i produttori vendono flaconcini „solo a scopo di ricerca“ o „non per il consumo umano“ direttamente ai consumatori, spesso senza i materiali e le conoscenze necessarie per sciogliere, aspirare e iniettare il principio attivo. In questo modo vengono aggirati medici e farmacie – e con loro il controllo delle interazioni e la sorveglianza medica (Belcourt 2025, PMID 39285774).</w:t>
      </w:r>
    </w:p>
    <w:p>
      <w:pPr>
        <w:pStyle w:val="BodyText"/>
      </w:pPr>
      <w:r>
        <w:t xml:space="preserve">Quanto sia difficile l’uso per i profani lo ha esaminato un piccolo studio in un’università statunitense. 20 adulti dovevano eseguire, sulla base di informazioni trovate su Internet, i passaggi necessari per sciogliere una polvere di semaglutide di questo tipo e preparare una siringa. Dei 34 passaggi ne hanno eseguiti correttamente in media 15. I ricercatori hanno osservato errori che potrebbero portare a un dosaggio errato, a punture accidentali con l’ago o a infezioni (Sedensky 2026, PMID 42541373).</w:t>
      </w:r>
    </w:p>
    <w:bookmarkEnd w:id="97"/>
    <w:bookmarkStart w:id="102" w:name="X8a196c3255261673585666d7cca2f474725f629"/>
    <w:p>
      <w:pPr>
        <w:pStyle w:val="Heading3"/>
      </w:pPr>
      <w:r>
        <w:t xml:space="preserve">Che cosa c’è nei flaconcini: le analisi di laboratorio</w:t>
      </w:r>
    </w:p>
    <w:p>
      <w:pPr>
        <w:pStyle w:val="FirstParagraph"/>
      </w:pPr>
      <w:r>
        <w:t xml:space="preserve">Le informazioni più affidabili sui prodotti del mercato grigio provengono dalle analisi di laboratorio. Vengono effettuate soprattutto da laboratori antidoping, autorità sanitarie per i farmaci e singoli gruppi di ricerca, che acquistano i prodotti in modo mirato o li ricevono da dogana e polizia.</w:t>
      </w:r>
    </w:p>
    <w:bookmarkStart w:id="98" w:name="semaglutide-da-farmacie-online-illegali"/>
    <w:p>
      <w:pPr>
        <w:pStyle w:val="Heading4"/>
      </w:pPr>
      <w:r>
        <w:t xml:space="preserve">Semaglutide da farmacie online illegali</w:t>
      </w:r>
    </w:p>
    <w:p>
      <w:pPr>
        <w:pStyle w:val="FirstParagraph"/>
      </w:pPr>
      <w:r>
        <w:t xml:space="preserve">Un’indagine particolarmente approfondita ha combinato un’analisi di mercato con acquisti di prova (Ashraf 2024, PMID 39509151). I ricercatori hanno esaminato 1.080 link provenienti da motori di ricerca. 317 portavano a farmacie online, di cui 134 a 59 diversi siti web illegali. I 30 domini principali collegati a farmacie illegali hanno registrato in tre mesi del 2023 oltre 4,7 milioni di visite.</w:t>
      </w:r>
    </w:p>
    <w:p>
      <w:pPr>
        <w:pStyle w:val="BodyText"/>
      </w:pPr>
      <w:r>
        <w:t xml:space="preserve">Presso sei venditori illegali sono stati effettuati acquisti di prova. I risultati:</w:t>
      </w:r>
    </w:p>
    <w:p>
      <w:pPr>
        <w:numPr>
          <w:ilvl w:val="0"/>
          <w:numId w:val="1024"/>
        </w:numPr>
        <w:pStyle w:val="Compact"/>
      </w:pPr>
      <w:r>
        <w:t xml:space="preserve">Tre penne preriempite di Ozempic ordinate non sono mai arrivate – si trattava di truffe senza consegna.</w:t>
      </w:r>
    </w:p>
    <w:p>
      <w:pPr>
        <w:numPr>
          <w:ilvl w:val="0"/>
          <w:numId w:val="1024"/>
        </w:numPr>
        <w:pStyle w:val="Compact"/>
      </w:pPr>
      <w:r>
        <w:t xml:space="preserve">Sono stati consegnati tre flaconcini di polvere. Tutti sono stati giudicati probabilmente di qualità scadente o contraffatti; all’ispezione visiva non soddisfacevano dal 59 al 63% dei criteri.</w:t>
      </w:r>
    </w:p>
    <w:p>
      <w:pPr>
        <w:numPr>
          <w:ilvl w:val="0"/>
          <w:numId w:val="1024"/>
        </w:numPr>
        <w:pStyle w:val="Compact"/>
      </w:pPr>
      <w:r>
        <w:t xml:space="preserve">Il contenuto di semaglutide era dal 28,6 al 38,7%</w:t>
      </w:r>
      <w:r>
        <w:t xml:space="preserve"> </w:t>
      </w:r>
      <w:r>
        <w:rPr>
          <w:bCs/>
          <w:b/>
        </w:rPr>
        <w:t xml:space="preserve">superiore</w:t>
      </w:r>
      <w:r>
        <w:t xml:space="preserve"> </w:t>
      </w:r>
      <w:r>
        <w:t xml:space="preserve">alla quantità dichiarata.</w:t>
      </w:r>
    </w:p>
    <w:p>
      <w:pPr>
        <w:numPr>
          <w:ilvl w:val="0"/>
          <w:numId w:val="1024"/>
        </w:numPr>
        <w:pStyle w:val="Compact"/>
      </w:pPr>
      <w:r>
        <w:t xml:space="preserve">La purezza misurata era solo dal 7,7 al 14,4% – invece del 99% promesso in etichetta.</w:t>
      </w:r>
    </w:p>
    <w:p>
      <w:pPr>
        <w:numPr>
          <w:ilvl w:val="0"/>
          <w:numId w:val="1024"/>
        </w:numPr>
        <w:pStyle w:val="Compact"/>
      </w:pPr>
      <w:r>
        <w:t xml:space="preserve">Non sono stati trovati germi vivi, ma in</w:t>
      </w:r>
      <w:r>
        <w:t xml:space="preserve"> </w:t>
      </w:r>
      <w:r>
        <w:rPr>
          <w:bCs/>
          <w:b/>
        </w:rPr>
        <w:t xml:space="preserve">tutti</w:t>
      </w:r>
      <w:r>
        <w:t xml:space="preserve"> </w:t>
      </w:r>
      <w:r>
        <w:t xml:space="preserve">i campioni erano rilevabili endotossine.</w:t>
      </w:r>
    </w:p>
    <w:p>
      <w:pPr>
        <w:pStyle w:val="FirstParagraph"/>
      </w:pPr>
      <w:r>
        <w:t xml:space="preserve">Questo studio mostra contemporaneamente diversi problemi tipici: quantità dichiarate errate, bassa purezza, contaminazione e semplice truffa.</w:t>
      </w:r>
    </w:p>
    <w:bookmarkEnd w:id="98"/>
    <w:bookmarkStart w:id="99" w:name="Xfe0dcba60fd613b825b9e51f2702e36a3686f39"/>
    <w:p>
      <w:pPr>
        <w:pStyle w:val="Heading4"/>
      </w:pPr>
      <w:r>
        <w:t xml:space="preserve">Prodotti di imitazione a confronto con l’originale</w:t>
      </w:r>
    </w:p>
    <w:p>
      <w:pPr>
        <w:pStyle w:val="FirstParagraph"/>
      </w:pPr>
      <w:r>
        <w:t xml:space="preserve">Un’altra indagine ha analizzato 16 prodotti di imitazione iniettabili e 8 orali di semaglutide, nonché 2 imitazioni di liraglutide, confrontandoli con i preparati originali (Hach 2024, PMID 39379664). Sono state trovate nuove impurità, tra cui molecole proteiche più grandi, metalli in tracce e residui di solventi. Diversi preparati orali contenevano molta meno semaglutide di quanto dichiarato. Sono state inoltre trovate strutture che, secondo previsioni al computer, potrebbero essere riconosciute dal sistema immunitario. Poiché lo studio proviene dal produttore dei preparati originali, va letto con la dovuta cautela; i problemi descritti coincidono però con riscontri indipendenti.</w:t>
      </w:r>
    </w:p>
    <w:bookmarkEnd w:id="99"/>
    <w:bookmarkStart w:id="100" w:name="melanotan-ii-da-negozi-online"/>
    <w:p>
      <w:pPr>
        <w:pStyle w:val="Heading4"/>
      </w:pPr>
      <w:r>
        <w:t xml:space="preserve">Melanotan II da negozi online</w:t>
      </w:r>
    </w:p>
    <w:p>
      <w:pPr>
        <w:pStyle w:val="FirstParagraph"/>
      </w:pPr>
      <w:r>
        <w:t xml:space="preserve">Per il peptide abbronzante melanotan II un gruppo di ricerca ha esaminato flaconcini di tre negozi online. Tutti i negozi dichiaravano 10 mg per flaconcino; in realtà i flaconcini contenevano tra 4,32 e 8,84 mg. Nei prodotti di due negozi sono state trovate impurità sconosciute dal 4,1 al 5,9% (Breindahl 2015, PMID 24771717).</w:t>
      </w:r>
    </w:p>
    <w:bookmarkEnd w:id="100"/>
    <w:bookmarkStart w:id="101" w:name="Xfe79182273fbfa5b11833f6c659df502e256dc5"/>
    <w:p>
      <w:pPr>
        <w:pStyle w:val="Heading4"/>
      </w:pPr>
      <w:r>
        <w:t xml:space="preserve">Prodotti sequestrati nell’ambiente del doping</w:t>
      </w:r>
    </w:p>
    <w:p>
      <w:pPr>
        <w:pStyle w:val="FirstParagraph"/>
      </w:pPr>
      <w:r>
        <w:t xml:space="preserve">Il laboratorio antidoping di Colonia analizza da anni prodotti sequestrati. In un rapporto sull’anno 2009 ha descritto, tra l’altro, flaconcini etichettati come ormone della crescita privi di qualsiasi contenuto farmacologicamente attivo, Long-R3-IGF-1 non purificato e integratori alimentari che contenevano il peptide che rilascia l’ormone della crescita GHRP-2 (Kohler 2010, PMID 21204286). In compresse offerte come integratore alimentare da banco sono stati misurati circa 50 microgrammi di GHRP-2 per compressa (Thomas 2010, PMID 20878896) – una sostanza vietata nello sport e per la quale non esiste alcuna autorizzazione.</w:t>
      </w:r>
    </w:p>
    <w:p>
      <w:pPr>
        <w:pStyle w:val="BodyText"/>
      </w:pPr>
      <w:r>
        <w:t xml:space="preserve">Tra il 2010 e il 2013 lo stesso laboratorio ha analizzato altri 337 prodotti. Gli ormoni peptidici e i fattori di crescita rappresentavano il 12,8%, soprattutto ormone della crescita e peptidi che rilasciano l’ormone della crescita. Tra i reperti degni di nota figuravano la timosina beta-4 e una proteina di fusione con effetto biologico sconosciuto (Krug 2014, PMID 25168622). In Norvegia il 28% dei prodotti sequestrati e analizzati tra il 2011 e il 2014 conteneva sostanze dopanti a base di peptidi o proteine (Hullstein 2015, PMID 26607218).</w:t>
      </w:r>
    </w:p>
    <w:p>
      <w:pPr>
        <w:pStyle w:val="BodyText"/>
      </w:pPr>
      <w:r>
        <w:t xml:space="preserve">Un successivo rapporto di Colonia descrive varianti modificate di peptidi noti che non esistono come farmaci: Gly-GHRP-6, Gly-GHRP-2 e Gly-ipamorelin – cioè i rispettivi peptidi con un amminoacido glicina aggiuntivo all’inizio – nonché una forma leggermente modificata dell’ormone della crescita (Krug 2018, PMID 29864719). Tali modifiche sono probabilmente tentativi di eludere i test antidoping; il loro effetto e la loro sicurezza nell’uomo sono sconosciuti.</w:t>
      </w:r>
    </w:p>
    <w:p>
      <w:pPr>
        <w:pStyle w:val="BodyText"/>
      </w:pPr>
      <w:r>
        <w:t xml:space="preserve">Anche il BPC-157 è stato identificato in flaconcini sequestrati. Un gruppo di ricerca ha quindi sviluppato un metodo di rilevamento per campioni di urina (Cox 2017, PMID 28035768).</w:t>
      </w:r>
    </w:p>
    <w:p>
      <w:pPr>
        <w:pStyle w:val="BodyText"/>
      </w:pPr>
      <w:r>
        <w:t xml:space="preserve">Una revisione riassume che nei farmaci peptidici e proteici contraffatti sono stati ripetutamente trovati il principio attivo sbagliato, la quantità sbagliata o nessun principio attivo, che impurità tossiche e sottoprodotti di fabbricazione hanno causato danni alla salute e che nei sequestri sono comparse anche sostanze fallite negli studi clinici o ancora in fase di sperimentazione animale (Janvier 2018, PMID 30165334).</w:t>
      </w:r>
    </w:p>
    <w:bookmarkEnd w:id="101"/>
    <w:bookmarkEnd w:id="102"/>
    <w:bookmarkStart w:id="103" w:name="i-tipici-problemi-di-qualità-in-sintesi"/>
    <w:p>
      <w:pPr>
        <w:pStyle w:val="Heading3"/>
      </w:pPr>
      <w:r>
        <w:t xml:space="preserve">I tipici problemi di qualità in sintesi</w:t>
      </w:r>
    </w:p>
    <w:p>
      <w:pPr>
        <w:pStyle w:val="FirstParagraph"/>
      </w:pPr>
      <w:r>
        <w:t xml:space="preserve">Da queste analisi emerge un quadro ricorrente: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Conseguenza</w:t>
            </w:r>
          </w:p>
        </w:tc>
        <w:tc>
          <w:tcPr/>
          <w:p>
            <w:pPr>
              <w:pStyle w:val="Compact"/>
              <w:jc w:val="left"/>
            </w:pPr>
            <w:r>
              <w:t xml:space="preserve">Esempio</w:t>
            </w:r>
          </w:p>
        </w:tc>
      </w:tr>
      <w:tr>
        <w:tc>
          <w:tcPr/>
          <w:p>
            <w:pPr>
              <w:pStyle w:val="Compact"/>
              <w:jc w:val="left"/>
            </w:pPr>
            <w:r>
              <w:t xml:space="preserve">Troppo principio attivo</w:t>
            </w:r>
          </w:p>
        </w:tc>
        <w:tc>
          <w:tcPr/>
          <w:p>
            <w:pPr>
              <w:pStyle w:val="Compact"/>
              <w:jc w:val="left"/>
            </w:pPr>
            <w:r>
              <w:t xml:space="preserve">sovradosaggio, più effetti collaterali</w:t>
            </w:r>
          </w:p>
        </w:tc>
        <w:tc>
          <w:tcPr/>
          <w:p>
            <w:pPr>
              <w:pStyle w:val="Compact"/>
              <w:jc w:val="left"/>
            </w:pPr>
            <w:r>
              <w:t xml:space="preserve">semaglutide fino al 38,7% sopra il dichiarato</w:t>
            </w:r>
          </w:p>
        </w:tc>
      </w:tr>
      <w:tr>
        <w:tc>
          <w:tcPr/>
          <w:p>
            <w:pPr>
              <w:pStyle w:val="Compact"/>
              <w:jc w:val="left"/>
            </w:pPr>
            <w:r>
              <w:t xml:space="preserve">Troppo poco principio attivo</w:t>
            </w:r>
          </w:p>
        </w:tc>
        <w:tc>
          <w:tcPr/>
          <w:p>
            <w:pPr>
              <w:pStyle w:val="Compact"/>
              <w:jc w:val="left"/>
            </w:pPr>
            <w:r>
              <w:t xml:space="preserve">inefficacia</w:t>
            </w:r>
          </w:p>
        </w:tc>
        <w:tc>
          <w:tcPr/>
          <w:p>
            <w:pPr>
              <w:pStyle w:val="Compact"/>
              <w:jc w:val="left"/>
            </w:pPr>
            <w:r>
              <w:t xml:space="preserve">melanotan II 4,32 invece di 10 mg</w:t>
            </w:r>
          </w:p>
        </w:tc>
      </w:tr>
      <w:tr>
        <w:tc>
          <w:tcPr/>
          <w:p>
            <w:pPr>
              <w:pStyle w:val="Compact"/>
              <w:jc w:val="left"/>
            </w:pPr>
            <w:r>
              <w:t xml:space="preserve">Principio attivo sbagliato</w:t>
            </w:r>
          </w:p>
        </w:tc>
        <w:tc>
          <w:tcPr/>
          <w:p>
            <w:pPr>
              <w:pStyle w:val="Compact"/>
              <w:jc w:val="left"/>
            </w:pPr>
            <w:r>
              <w:t xml:space="preserve">effetto imprevedibile, talvolta letale</w:t>
            </w:r>
          </w:p>
        </w:tc>
        <w:tc>
          <w:tcPr/>
          <w:p>
            <w:pPr>
              <w:pStyle w:val="Compact"/>
              <w:jc w:val="left"/>
            </w:pPr>
            <w:r>
              <w:t xml:space="preserve">insulina al posto della semaglutide</w:t>
            </w:r>
          </w:p>
        </w:tc>
      </w:tr>
      <w:tr>
        <w:tc>
          <w:tcPr/>
          <w:p>
            <w:pPr>
              <w:pStyle w:val="Compact"/>
              <w:jc w:val="left"/>
            </w:pPr>
            <w:r>
              <w:t xml:space="preserve">Nessun principio attivo</w:t>
            </w:r>
          </w:p>
        </w:tc>
        <w:tc>
          <w:tcPr/>
          <w:p>
            <w:pPr>
              <w:pStyle w:val="Compact"/>
              <w:jc w:val="left"/>
            </w:pPr>
            <w:r>
              <w:t xml:space="preserve">truffa, inefficacia</w:t>
            </w:r>
          </w:p>
        </w:tc>
        <w:tc>
          <w:tcPr/>
          <w:p>
            <w:pPr>
              <w:pStyle w:val="Compact"/>
              <w:jc w:val="left"/>
            </w:pPr>
            <w:r>
              <w:t xml:space="preserve">flaconcini di „ormone della crescita“ vuoti</w:t>
            </w:r>
          </w:p>
        </w:tc>
      </w:tr>
      <w:tr>
        <w:tc>
          <w:tcPr/>
          <w:p>
            <w:pPr>
              <w:pStyle w:val="Compact"/>
              <w:jc w:val="left"/>
            </w:pPr>
            <w:r>
              <w:t xml:space="preserve">Impurità</w:t>
            </w:r>
          </w:p>
        </w:tc>
        <w:tc>
          <w:tcPr/>
          <w:p>
            <w:pPr>
              <w:pStyle w:val="Compact"/>
              <w:jc w:val="left"/>
            </w:pPr>
            <w:r>
              <w:t xml:space="preserve">reazioni immunitarie, effetto tossico</w:t>
            </w:r>
          </w:p>
        </w:tc>
        <w:tc>
          <w:tcPr/>
          <w:p>
            <w:pPr>
              <w:pStyle w:val="Compact"/>
              <w:jc w:val="left"/>
            </w:pPr>
            <w:r>
              <w:t xml:space="preserve">sottoprodotti della sintesi</w:t>
            </w:r>
          </w:p>
        </w:tc>
      </w:tr>
      <w:tr>
        <w:tc>
          <w:tcPr/>
          <w:p>
            <w:pPr>
              <w:pStyle w:val="Compact"/>
              <w:jc w:val="left"/>
            </w:pPr>
            <w:r>
              <w:t xml:space="preserve">Endotossine</w:t>
            </w:r>
          </w:p>
        </w:tc>
        <w:tc>
          <w:tcPr/>
          <w:p>
            <w:pPr>
              <w:pStyle w:val="Compact"/>
              <w:jc w:val="left"/>
            </w:pPr>
            <w:r>
              <w:t xml:space="preserve">febbre, infiammazione, reazioni circolatorie</w:t>
            </w:r>
          </w:p>
        </w:tc>
        <w:tc>
          <w:tcPr/>
          <w:p>
            <w:pPr>
              <w:pStyle w:val="Compact"/>
              <w:jc w:val="left"/>
            </w:pPr>
            <w:r>
              <w:t xml:space="preserve">in tutti gli acquisti di prova di semaglutide</w:t>
            </w:r>
          </w:p>
        </w:tc>
      </w:tr>
    </w:tbl>
    <w:bookmarkEnd w:id="103"/>
    <w:bookmarkStart w:id="104" w:name="X885e57431d9627bc08302a9b599402e3a483be2"/>
    <w:p>
      <w:pPr>
        <w:pStyle w:val="Heading3"/>
      </w:pPr>
      <w:r>
        <w:t xml:space="preserve">Purezza: che cosa significa la percentuale – e che cosa no</w:t>
      </w:r>
    </w:p>
    <w:p>
      <w:pPr>
        <w:pStyle w:val="FirstParagraph"/>
      </w:pPr>
      <w:r>
        <w:t xml:space="preserve">Molti venditori pubblicizzano una „purezza del 99%“ e allegano certificati di analisi. Al riguardo alcune osservazioni:</w:t>
      </w:r>
    </w:p>
    <w:p>
      <w:pPr>
        <w:numPr>
          <w:ilvl w:val="0"/>
          <w:numId w:val="1025"/>
        </w:numPr>
        <w:pStyle w:val="Compact"/>
      </w:pPr>
      <w:r>
        <w:rPr>
          <w:bCs/>
          <w:b/>
        </w:rPr>
        <w:t xml:space="preserve">La purezza misura solo determinate impurità.</w:t>
      </w:r>
      <w:r>
        <w:t xml:space="preserve"> </w:t>
      </w:r>
      <w:r>
        <w:t xml:space="preserve">Una misurazione tipica (cromatografia liquida ad alte prestazioni, HPLC) mostra quale percentuale dei segnali peptidici misurabili corrisponde alla sostanza desiderata. Spesso non vengono rilevati sali, acqua, residui di solventi, metalli o endotossine.</w:t>
      </w:r>
    </w:p>
    <w:p>
      <w:pPr>
        <w:numPr>
          <w:ilvl w:val="0"/>
          <w:numId w:val="1025"/>
        </w:numPr>
        <w:pStyle w:val="Compact"/>
      </w:pPr>
      <w:r>
        <w:rPr>
          <w:bCs/>
          <w:b/>
        </w:rPr>
        <w:t xml:space="preserve">La purezza non dice nulla sulla quantità.</w:t>
      </w:r>
      <w:r>
        <w:t xml:space="preserve"> </w:t>
      </w:r>
      <w:r>
        <w:t xml:space="preserve">Un flaconcino può contenere una sostanza molto pura, ma in quantità errata.</w:t>
      </w:r>
    </w:p>
    <w:p>
      <w:pPr>
        <w:numPr>
          <w:ilvl w:val="0"/>
          <w:numId w:val="1025"/>
        </w:numPr>
        <w:pStyle w:val="Compact"/>
      </w:pPr>
      <w:r>
        <w:rPr>
          <w:bCs/>
          <w:b/>
        </w:rPr>
        <w:t xml:space="preserve">La purezza non dice nulla sulla sterilità.</w:t>
      </w:r>
      <w:r>
        <w:t xml:space="preserve"> </w:t>
      </w:r>
      <w:r>
        <w:t xml:space="preserve">Una polvere può essere chimicamente pura e tuttavia contaminata da batteri o componenti batteriche.</w:t>
      </w:r>
    </w:p>
    <w:p>
      <w:pPr>
        <w:numPr>
          <w:ilvl w:val="0"/>
          <w:numId w:val="1025"/>
        </w:numPr>
        <w:pStyle w:val="Compact"/>
      </w:pPr>
      <w:r>
        <w:rPr>
          <w:bCs/>
          <w:b/>
        </w:rPr>
        <w:t xml:space="preserve">I certificati non sono verificabili.</w:t>
      </w:r>
      <w:r>
        <w:t xml:space="preserve"> </w:t>
      </w:r>
      <w:r>
        <w:t xml:space="preserve">Se un certificato allegato appartenga davvero al flaconcino consegnato non può essere accertato da chi acquista. Gli acquisti di prova di semaglutide hanno mostrato una purezza dal 7,7 al 14,4% nonostante un’etichetta con il 99% (Ashraf 2024, PMID 39509151).</w:t>
      </w:r>
    </w:p>
    <w:p>
      <w:pPr>
        <w:pStyle w:val="FirstParagraph"/>
      </w:pPr>
      <w:r>
        <w:t xml:space="preserve">A ciò si aggiungono le impurità che si formano tipicamente durante la sintesi chimica: peptidi con mattoni mancanti o doppi, varianti ripiegate in modo errato o modificate chimicamente, residui di gruppi protettivi e reagenti. Per i farmaci autorizzati sono stabiliti limiti per tali impurità, che vengono controllati regolarmente.</w:t>
      </w:r>
    </w:p>
    <w:bookmarkEnd w:id="104"/>
    <w:bookmarkStart w:id="105" w:name="endotossine-invisibili-e-pericolose"/>
    <w:p>
      <w:pPr>
        <w:pStyle w:val="Heading3"/>
      </w:pPr>
      <w:r>
        <w:t xml:space="preserve">Endotossine: invisibili e pericolose</w:t>
      </w:r>
    </w:p>
    <w:p>
      <w:pPr>
        <w:pStyle w:val="FirstParagraph"/>
      </w:pPr>
      <w:r>
        <w:t xml:space="preserve">Le endotossine sono componenti della parete cellulare di determinati batteri. Restano presenti anche quando i batteri sono stati uccisi e sono molto stabili al calore. Se entrano nel sangue possono provocare febbre, brividi, calo della pressione e, in quantità maggiori, uno shock potenzialmente letale. Per questo per iniezioni e infusioni valgono limiti rigorosi, e i produttori di farmaci controllano ogni lotto.</w:t>
      </w:r>
    </w:p>
    <w:p>
      <w:pPr>
        <w:pStyle w:val="BodyText"/>
      </w:pPr>
      <w:r>
        <w:t xml:space="preserve">Una polvere „sterile“ o „priva di germi“ può comunque contenere endotossine – è esattamente ciò che hanno mostrato gli acquisti di prova di semaglutide: nessun germe vivo, ma endotossine in tutti i campioni (Ashraf 2024, PMID 39509151). Anche lo scioglimento con acqua non sterile, il prelievo ripetuto dallo stesso flaconcino o il riutilizzo degli aghi possono introdurre germi.</w:t>
      </w:r>
    </w:p>
    <w:bookmarkEnd w:id="105"/>
    <w:bookmarkStart w:id="106" w:name="errori-di-dosaggio"/>
    <w:p>
      <w:pPr>
        <w:pStyle w:val="Heading3"/>
      </w:pPr>
      <w:r>
        <w:t xml:space="preserve">Errori di dosaggio</w:t>
      </w:r>
    </w:p>
    <w:p>
      <w:pPr>
        <w:pStyle w:val="FirstParagraph"/>
      </w:pPr>
      <w:r>
        <w:t xml:space="preserve">Anche quando un prodotto contiene esattamente ciò che è indicato in etichetta, il dosaggio corretto sul mercato grigio è difficile. La polvere deve essere sciolta con una determinata quantità di liquido; la dose si ricava poi da un calcolo di conversione. Chi sbaglia i conti o confonde le unità può facilmente iniettarsi un multiplo della quantità prevista.</w:t>
      </w:r>
    </w:p>
    <w:p>
      <w:pPr>
        <w:pStyle w:val="BodyText"/>
      </w:pPr>
      <w:r>
        <w:t xml:space="preserve">Una serie di casi di un centro antiveleni statunitense descrive tre casi con semaglutide proveniente da farmacie e da un centro estetico. Due persone si erano iniettate per errore una quantità dieci volte superiore. Tutte hanno avuto per giorni nausea, vomito e dolori addominali. Una persona aveva ricevuto un flaconcino con siringhe senza alcuna consulenza, un’altra aveva confuso millilitri, „unità“ e milligrammi (Lambson 2023, PMID 37392810). Le autrici e gli autori sottolineano che i flaconcini, a differenza delle penne preriempite, non offrono meccanismi di sicurezza contro tali errori.</w:t>
      </w:r>
    </w:p>
    <w:bookmarkEnd w:id="106"/>
    <w:bookmarkStart w:id="107" w:name="X693bbc3c970f3318795e5eb59633c77b9a973a6"/>
    <w:p>
      <w:pPr>
        <w:pStyle w:val="Heading3"/>
      </w:pPr>
      <w:r>
        <w:t xml:space="preserve">Contraffazioni di Ozempic e di altri farmaci GLP-1</w:t>
      </w:r>
    </w:p>
    <w:p>
      <w:pPr>
        <w:pStyle w:val="FirstParagraph"/>
      </w:pPr>
      <w:r>
        <w:t xml:space="preserve">Con l’enorme domanda di semaglutide sono comparse contraffazioni in tutto il mondo. Nel 2024 l’Organizzazione mondiale della sanità ha messo in guardia contro Ozempic contraffatto nella catena di approvvigionamento globale (Ruder 2024, PMID 39028647).</w:t>
      </w:r>
    </w:p>
    <w:p>
      <w:pPr>
        <w:pStyle w:val="BodyText"/>
      </w:pPr>
      <w:r>
        <w:t xml:space="preserve">Particolarmente pericolose sono le contraffazioni che contengono un altro principio attivo. In Italia una donna di 31 anni è stata portata in pronto soccorso in coma ipoglicemico dopo essersi iniettata presunto Ozempic acquistato su Internet. L’analisi tossicologica ha rivelato che il flaconcino conteneva insulina invece di semaglutide (Antonacci 2026, PMID 41125326). Dai Paesi Bassi sono stati riportati due casi simili: due persone senza diabete e senza obesità si erano iniettate semaglutide procurata senza ricetta ed erano in coma con grave ipoglicemia, carenza di potassio e ipotermia. La causa era un’intossicazione da insulina sintetica. Per mantenere stabile la glicemia sono state necessarie fino a due giorni di infusione continua di glucosio (Stammers 2026, PMID 42390457).</w:t>
      </w:r>
    </w:p>
    <w:p>
      <w:pPr>
        <w:pStyle w:val="BodyText"/>
      </w:pPr>
      <w:r>
        <w:t xml:space="preserve">Questi casi sono così significativi perché la semaglutide autentica da sola difficilmente provoca un’ipoglicemia rilevante nelle persone sane. Un’ipoglicemia dopo un’„iniezione dimagrante“ è quindi un segnale d’allarme di un prodotto contraffatto.</w:t>
      </w:r>
    </w:p>
    <w:p>
      <w:pPr>
        <w:pStyle w:val="BodyText"/>
      </w:pPr>
      <w:r>
        <w:t xml:space="preserve">Un’analisi della banca dati europea degli effetti collaterali EudraVigilance ha rilevato dal 2018 al 2025 complessivamente 234 segnalazioni relative a semaglutide possibilmente contraffatta. Il 73,5% riguardava donne e l’89,3% degli effetti collaterali segnalati era grave. Le segnalazioni più frequenti erano vomito, nausea e ipoglicemia. Rispetto alla semaglutide autentica, ipoglicemia, uso al di fuori dell’indicazione autorizzata, malessere e inefficacia sono stati segnalati con frequenza sproporzionata (Zinzi 2026, PMID 42137313). Come per tutti i dati di segnalazione vale: mostrano segnali, non frequenze.</w:t>
      </w:r>
    </w:p>
    <w:bookmarkEnd w:id="107"/>
    <w:bookmarkStart w:id="108" w:name="principi-attivi-glp-1-non-autorizzati"/>
    <w:p>
      <w:pPr>
        <w:pStyle w:val="Heading3"/>
      </w:pPr>
      <w:r>
        <w:t xml:space="preserve">Principi attivi GLP-1 non autorizzati</w:t>
      </w:r>
    </w:p>
    <w:p>
      <w:pPr>
        <w:pStyle w:val="FirstParagraph"/>
      </w:pPr>
      <w:r>
        <w:t xml:space="preserve">Nel frattempo sul mercato grigio vengono offerti anche principi attivi non ancora autorizzati, per esempio il triplo agonista retatrutide. Per queste sostanze esistono studi dei produttori, ma nessun prodotto controllato – che cosa contenga davvero un flaconcino con la scritta „retatrutide“ è sconosciuto. Nel 2026 una rivista scientifica ha dedicato a questo mercato nero un proprio servizio (Rubin 2026, PMID 42853576).</w:t>
      </w:r>
    </w:p>
    <w:p>
      <w:pPr>
        <w:pStyle w:val="BodyText"/>
      </w:pPr>
      <w:r>
        <w:t xml:space="preserve">Un caso clinico descrive una donna di circa venticinque anni che si è presentata in ospedale con nausea persistente da cinque giorni, vomito ripetuto e diarrea. I disturbi inizialmente non sono migliorati nonostante diversi farmaci antinausea. Solo grazie a domande ripetute è emerso che un sedicente life coach senza qualifiche mediche le aveva somministrato quattro iniezioni settimanali di un prodotto che presumibilmente conteneva retatrutide. Lei stessa non aveva considerato le iniezioni come un farmaco (Buzzi 2026, PMID 42843917). Il caso mostra un ulteriore problema: chi non percepisce i peptidi come farmaci non li menziona nemmeno ai medici.</w:t>
      </w:r>
    </w:p>
    <w:bookmarkEnd w:id="108"/>
    <w:bookmarkStart w:id="109" w:name="pericoli-al-di-là-delle-impurità"/>
    <w:p>
      <w:pPr>
        <w:pStyle w:val="Heading3"/>
      </w:pPr>
      <w:r>
        <w:t xml:space="preserve">Pericoli al di là delle impurità</w:t>
      </w:r>
    </w:p>
    <w:p>
      <w:pPr>
        <w:pStyle w:val="FirstParagraph"/>
      </w:pPr>
      <w:r>
        <w:t xml:space="preserve">Anche un peptide del mercato grigio perfettamente puro può essere pericoloso se la sostanza in sé non è mai stata studiata a sufficienza nell’uomo. Un caso clinico descrive un uomo di 39 anni che si era iniettato melanotan II acquistato su Internet – secondo quanto da lui riferito, sei volte la quantità iniziale che gli era stata consigliata. Ha sviluppato tachicardia, agitazione, sudorazione profusa e una massiccia distruzione muscolare (rabdomiolisi) con disfunzione renale e ha dovuto essere trattato in terapia intensiva. L’analisi ha confermato che il prodotto conteneva effettivamente melanotan II (Nelson 2012, PMID 23121206).</w:t>
      </w:r>
    </w:p>
    <w:p>
      <w:pPr>
        <w:pStyle w:val="BodyText"/>
      </w:pPr>
      <w:r>
        <w:t xml:space="preserve">Le revisioni indicano come possibili rischi dei peptidi non regolamentati, tra l’altro, impurità, dosaggio impreciso, formazione patologica di nuovi vasi sanguigni, sviluppo di tumori, sovraccarico del sistema cardiovascolare e segnali ormonali eccessivi (Moiz 2026, PMID 42757290). Molti di questi rischi sono dedotti teoricamente, proprio perché non esistono quasi studi sull’uomo. Una revisione di medicina dello sport conclude che molti peptidi non autorizzati mostrano effetti favorevoli nei modelli animali, ma i dati di sicurezza affidabili nell’uomo sono scarsi e sono possibili danni seri (Mendias 2026, PMID 41966639).</w:t>
      </w:r>
    </w:p>
    <w:bookmarkEnd w:id="109"/>
    <w:bookmarkStart w:id="110" w:name="il-compounding-negli-stati-uniti"/>
    <w:p>
      <w:pPr>
        <w:pStyle w:val="Heading3"/>
      </w:pPr>
      <w:r>
        <w:t xml:space="preserve">Il compounding negli Stati Uniti</w:t>
      </w:r>
    </w:p>
    <w:p>
      <w:pPr>
        <w:pStyle w:val="FirstParagraph"/>
      </w:pPr>
      <w:r>
        <w:t xml:space="preserve">Una particolarità del mercato statunitense è il</w:t>
      </w:r>
      <w:r>
        <w:t xml:space="preserve"> </w:t>
      </w:r>
      <w:r>
        <w:rPr>
          <w:bCs/>
          <w:b/>
        </w:rPr>
        <w:t xml:space="preserve">compounding</w:t>
      </w:r>
      <w:r>
        <w:t xml:space="preserve">: a determinate condizioni le farmacie possono preparare farmaci in proprio, per esempio quando un preparato autorizzato non è disponibile. Durante le carenze di semaglutide e tirzepatide è nato così un grande mercato di preparati di imitazione, spesso distribuiti tramite fornitori di telemedicina. Questi preparati non sono farmaci autorizzati; efficacia e sicurezza non sono state verificate per essi in studi.</w:t>
      </w:r>
    </w:p>
    <w:p>
      <w:pPr>
        <w:pStyle w:val="BodyText"/>
      </w:pPr>
      <w:r>
        <w:t xml:space="preserve">Un’analisi della banca dati statunitense degli effetti collaterali FAERS ha confrontato le segnalazioni relative a preparati GLP-1 allestiti in farmacia e autorizzati. Delle 81.078 segnalazioni, 707 riguardavano prodotti allestiti in farmacia. Per questi sono stati segnalati con frequenza sproporzionata, tra l’altro, dolori addominali, infiammazioni della colecisti, errori di preparazione e impurità, nonché ricoveri ospedalieri; gli errori di uso e di dosaggio sono stati invece segnalati meno spesso (McCall 2026, PMID 40285721). Le autrici e gli autori sottolineano che tali dati non dimostrano un rapporto di causa-effetto.</w:t>
      </w:r>
    </w:p>
    <w:p>
      <w:pPr>
        <w:pStyle w:val="BodyText"/>
      </w:pPr>
      <w:r>
        <w:t xml:space="preserve">Dopo la fine delle carenze, secondo il diritto statunitense le farmacie possono produrre solo preparati che si differenziano da quelli autorizzati – per esempio per una diversa forma farmaceutica o per sostanze aggiunte. Un’indagine ha trovato 33 prodotti di questo tipo, tra cui combinazioni con vitamina B12, glicina, niacinamide, un lassativo o un antinausea, nonché gocce e compresse orodispersibili per uso sublinguale. Per le vitamine e il lassativo le autrici e gli autori non hanno trovato quasi alcuna giustificazione. Per l’aggiunta dell’antinausea e per le nuove forme farmaceutiche vedono un’idea comprensibile, ma nessuna prova di efficacia e sicurezza (Belcourt 2026, PMID 41689811).</w:t>
      </w:r>
    </w:p>
    <w:p>
      <w:pPr>
        <w:pStyle w:val="BodyText"/>
      </w:pPr>
      <w:r>
        <w:t xml:space="preserve">Il compounding non è un mercato grigio in senso stretto: le farmacie sono autorizzate e soggette a vigilanza. Per le pazienti e i pazienti, però, il confine si fa sfumato quando i prodotti vengono distribuiti tramite piattaforme online con scarso accompagnamento medico. In Europa non esiste un sistema paragonabile; qui la preparazione in farmacia è legata a presupposti molto più ristretti (se ne parla nel prossimo capitolo).</w:t>
      </w:r>
    </w:p>
    <w:bookmarkEnd w:id="110"/>
    <w:bookmarkStart w:id="111" w:name="chi-usa-il-mercato-grigio-e-perché"/>
    <w:p>
      <w:pPr>
        <w:pStyle w:val="Heading3"/>
      </w:pPr>
      <w:r>
        <w:t xml:space="preserve">Chi usa il mercato grigio – e perché</w:t>
      </w:r>
    </w:p>
    <w:p>
      <w:pPr>
        <w:pStyle w:val="FirstParagraph"/>
      </w:pPr>
      <w:r>
        <w:t xml:space="preserve">I motivi per ricorrere al mercato grigio sono molteplici: prezzi elevati e mancata copertura dei costi dei farmaci autorizzati, carenze di approvvigionamento, desiderio di perdere peso senza indicazione medica, miglioramento delle prestazioni sportive, speranza di una guarigione più rapida dalle lesioni o di una vita più lunga. Una revisione descrive come pubblicità online, testimonianze sui social media, autoiniezione, combinazioni di più sostanze e una debole sorveglianza degli effetti collaterali agiscano insieme e normalizzino prodotti poco chiari (Hailu 2026, PMID 42437212).</w:t>
      </w:r>
    </w:p>
    <w:p>
      <w:pPr>
        <w:pStyle w:val="BodyText"/>
      </w:pPr>
      <w:r>
        <w:t xml:space="preserve">Queste motivazioni sono comprensibili. Le analisi di questo capitolo mostrano però che chi acquista sul mercato grigio non può sapere che cosa riceve effettivamente.</w:t>
      </w:r>
    </w:p>
    <w:bookmarkEnd w:id="111"/>
    <w:bookmarkStart w:id="112" w:name="X29774028fdd6ec2a29246dbd5dcdaaef633dcdd"/>
    <w:p>
      <w:pPr>
        <w:pStyle w:val="Heading3"/>
      </w:pPr>
      <w:r>
        <w:t xml:space="preserve">Se ha già usato peptidi del mercato grigio</w:t>
      </w:r>
    </w:p>
    <w:p>
      <w:pPr>
        <w:pStyle w:val="FirstParagraph"/>
      </w:pPr>
      <w:r>
        <w:t xml:space="preserve">Questo libro non fornisce indicazioni d’uso. Alcuni punti generali sono però importanti per motivi di sicurezza:</w:t>
      </w:r>
    </w:p>
    <w:p>
      <w:pPr>
        <w:numPr>
          <w:ilvl w:val="0"/>
          <w:numId w:val="1026"/>
        </w:numPr>
        <w:pStyle w:val="Compact"/>
      </w:pPr>
      <w:r>
        <w:t xml:space="preserve">Informi il Suo medico di tutte le iniezioni, i peptidi e le „sostanze chimiche per la ricerca“ che usa – anche se non li considera farmaci.</w:t>
      </w:r>
    </w:p>
    <w:p>
      <w:pPr>
        <w:numPr>
          <w:ilvl w:val="0"/>
          <w:numId w:val="1026"/>
        </w:numPr>
        <w:pStyle w:val="Compact"/>
      </w:pPr>
      <w:r>
        <w:t xml:space="preserve">Disturbi inattesi come tremore, sudorazione, confusione o alterazioni della coscienza dopo un’iniezione possono indicare un’ipoglicemia e sono un’emergenza.</w:t>
      </w:r>
    </w:p>
    <w:p>
      <w:pPr>
        <w:numPr>
          <w:ilvl w:val="0"/>
          <w:numId w:val="1026"/>
        </w:numPr>
        <w:pStyle w:val="Compact"/>
      </w:pPr>
      <w:r>
        <w:t xml:space="preserve">Prodotti sospetti ed effetti collaterali possono essere segnalati alle autorità: in Germania all’Istituto federale per i farmaci e i dispositivi medici (BfArM), in Austria all’Ufficio federale per la sicurezza sanitaria (BASG).</w:t>
      </w:r>
    </w:p>
    <w:bookmarkEnd w:id="112"/>
    <w:bookmarkStart w:id="113" w:name="lessenziale-in-breve-3"/>
    <w:p>
      <w:pPr>
        <w:pStyle w:val="Heading3"/>
      </w:pPr>
      <w:r>
        <w:t xml:space="preserve">L’essenziale in breve</w:t>
      </w:r>
    </w:p>
    <w:p>
      <w:pPr>
        <w:numPr>
          <w:ilvl w:val="0"/>
          <w:numId w:val="1027"/>
        </w:numPr>
        <w:pStyle w:val="Compact"/>
      </w:pPr>
      <w:r>
        <w:t xml:space="preserve">La dicitura „solo a scopo di ricerca“ non protegge dai rischi; sposta la responsabilità su chi acquista.</w:t>
      </w:r>
    </w:p>
    <w:p>
      <w:pPr>
        <w:numPr>
          <w:ilvl w:val="0"/>
          <w:numId w:val="1027"/>
        </w:numPr>
        <w:pStyle w:val="Compact"/>
      </w:pPr>
      <w:r>
        <w:t xml:space="preserve">Le analisi di laboratorio hanno trovato nei peptidi del mercato grigio troppo, troppo poco, il principio attivo sbagliato o nessun principio attivo, oltre a impurità ed endotossine.</w:t>
      </w:r>
    </w:p>
    <w:p>
      <w:pPr>
        <w:numPr>
          <w:ilvl w:val="0"/>
          <w:numId w:val="1027"/>
        </w:numPr>
        <w:pStyle w:val="Compact"/>
      </w:pPr>
      <w:r>
        <w:t xml:space="preserve">Prodotti di semaglutide contraffatti contenenti insulina hanno causato ipoglicemie potenzialmente letali.</w:t>
      </w:r>
    </w:p>
    <w:p>
      <w:pPr>
        <w:numPr>
          <w:ilvl w:val="0"/>
          <w:numId w:val="1027"/>
        </w:numPr>
        <w:pStyle w:val="Compact"/>
      </w:pPr>
      <w:r>
        <w:t xml:space="preserve">Anche i preparati allestiti da farmacie statunitensi non sono verificati come i farmaci autorizzati.</w:t>
      </w:r>
    </w:p>
    <w:p>
      <w:pPr>
        <w:numPr>
          <w:ilvl w:val="0"/>
          <w:numId w:val="1027"/>
        </w:numPr>
        <w:pStyle w:val="Compact"/>
      </w:pPr>
      <w:r>
        <w:t xml:space="preserve">Anche un prodotto puro resta rischioso se il principio attivo non è mai stato studiato a sufficienza nell’uomo.</w:t>
      </w:r>
    </w:p>
    <w:bookmarkEnd w:id="113"/>
    <w:bookmarkEnd w:id="114"/>
    <w:bookmarkStart w:id="128" w:name="quadro-giuridico"/>
    <w:p>
      <w:pPr>
        <w:pStyle w:val="Heading2"/>
      </w:pPr>
      <w:r>
        <w:t xml:space="preserve">Quadro giuridico</w:t>
      </w:r>
    </w:p>
    <w:p>
      <w:pPr>
        <w:pStyle w:val="FirstParagraph"/>
      </w:pPr>
      <w:r>
        <w:t xml:space="preserve">Se un peptide sia un farmaco soggetto a prescrizione, un integratore alimentare, un cosmetico o una sostanza dopante vietata non dipende soltanto dalla molecola. Contano anche lo scopo a cui è destinato, il modo in cui viene offerto e come agisce nell’organismo. Lo stesso peptide di collagene può trovarsi sullo scaffale del supermercato come alimento; un peptide con un effetto di tipo ormonale dimostrabile è invece quasi sempre un farmaco – qualunque cosa ci sia scritto sull’etichetta. Questo capitolo offre una panoramica delle regole nell’Unione europea, in Austria, in Germania e negli Stati Uniti, nonché delle norme antidoping.</w:t>
      </w:r>
    </w:p>
    <w:p>
      <w:pPr>
        <w:pStyle w:val="BlockText"/>
      </w:pPr>
      <w:r>
        <w:rPr>
          <w:bCs/>
          <w:b/>
        </w:rPr>
        <w:t xml:space="preserve">Avvertenza importante:</w:t>
      </w:r>
      <w:r>
        <w:t xml:space="preserve"> </w:t>
      </w:r>
      <w:r>
        <w:t xml:space="preserve">questo capitolo riporta la situazione del 2026 secondo le migliori conoscenze disponibili e non costituisce consulenza legale. Leggi, regolamenti, prassi delle autorità e la Lista delle sostanze proibite dell’Agenzia mondiale antidoping cambiano regolarmente. Verifichi nel singolo caso il quadro normativo attuale e, per questioni concrete, si rivolga a un avvocato o all’autorità competente.</w:t>
      </w:r>
    </w:p>
    <w:bookmarkStart w:id="115" w:name="tre-cassetti-farmaci-alimenti-cosmetici"/>
    <w:p>
      <w:pPr>
        <w:pStyle w:val="Heading3"/>
      </w:pPr>
      <w:r>
        <w:t xml:space="preserve">Tre cassetti: farmaci, alimenti, cosmetici</w:t>
      </w:r>
    </w:p>
    <w:p>
      <w:pPr>
        <w:pStyle w:val="FirstParagraph"/>
      </w:pPr>
      <w:r>
        <w:t xml:space="preserve">Il diritto europeo distingue essenzialmente tre categorie di prodotti in cui possono rientrare i peptidi. Ognuna ha le proprie regole: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Controllo delle autorità prima della vendita</w:t>
            </w:r>
          </w:p>
        </w:tc>
        <w:tc>
          <w:tcPr/>
          <w:p>
            <w:pPr>
              <w:pStyle w:val="Compact"/>
              <w:jc w:val="left"/>
            </w:pPr>
            <w:r>
              <w:t xml:space="preserve">Peptidi tipici</w:t>
            </w:r>
          </w:p>
        </w:tc>
      </w:tr>
      <w:tr>
        <w:tc>
          <w:tcPr/>
          <w:p>
            <w:pPr>
              <w:pStyle w:val="Compact"/>
              <w:jc w:val="left"/>
            </w:pPr>
            <w:r>
              <w:t xml:space="preserve">Farmaci</w:t>
            </w:r>
          </w:p>
        </w:tc>
        <w:tc>
          <w:tcPr/>
          <w:p>
            <w:pPr>
              <w:pStyle w:val="Compact"/>
              <w:jc w:val="left"/>
            </w:pPr>
            <w:r>
              <w:t xml:space="preserve">autorizzazione con prova di efficacia e sicurezza</w:t>
            </w:r>
          </w:p>
        </w:tc>
        <w:tc>
          <w:tcPr/>
          <w:p>
            <w:pPr>
              <w:pStyle w:val="Compact"/>
              <w:jc w:val="left"/>
            </w:pPr>
            <w:r>
              <w:t xml:space="preserve">insulina, semaglutide, ossitocina</w:t>
            </w:r>
          </w:p>
        </w:tc>
      </w:tr>
      <w:tr>
        <w:tc>
          <w:tcPr/>
          <w:p>
            <w:pPr>
              <w:pStyle w:val="Compact"/>
              <w:jc w:val="left"/>
            </w:pPr>
            <w:r>
              <w:t xml:space="preserve">Alimenti e integratori</w:t>
            </w:r>
          </w:p>
        </w:tc>
        <w:tc>
          <w:tcPr/>
          <w:p>
            <w:pPr>
              <w:pStyle w:val="Compact"/>
              <w:jc w:val="left"/>
            </w:pPr>
            <w:r>
              <w:t xml:space="preserve">nessuna autorizzazione, responsabilità del produttore</w:t>
            </w:r>
          </w:p>
        </w:tc>
        <w:tc>
          <w:tcPr/>
          <w:p>
            <w:pPr>
              <w:pStyle w:val="Compact"/>
              <w:jc w:val="left"/>
            </w:pPr>
            <w:r>
              <w:t xml:space="preserve">peptidi di collagene, peptidi del latte</w:t>
            </w:r>
          </w:p>
        </w:tc>
      </w:tr>
      <w:tr>
        <w:tc>
          <w:tcPr/>
          <w:p>
            <w:pPr>
              <w:pStyle w:val="Compact"/>
              <w:jc w:val="left"/>
            </w:pPr>
            <w:r>
              <w:t xml:space="preserve">Cosmetici</w:t>
            </w:r>
          </w:p>
        </w:tc>
        <w:tc>
          <w:tcPr/>
          <w:p>
            <w:pPr>
              <w:pStyle w:val="Compact"/>
              <w:jc w:val="left"/>
            </w:pPr>
            <w:r>
              <w:t xml:space="preserve">nessuna autorizzazione, valutazione della sicurezza da parte del produttore</w:t>
            </w:r>
          </w:p>
        </w:tc>
        <w:tc>
          <w:tcPr/>
          <w:p>
            <w:pPr>
              <w:pStyle w:val="Compact"/>
              <w:jc w:val="left"/>
            </w:pPr>
            <w:r>
              <w:t xml:space="preserve">palmitoil pentapeptide-4, Argireline</w:t>
            </w:r>
          </w:p>
        </w:tc>
      </w:tr>
    </w:tbl>
    <w:p>
      <w:pPr>
        <w:pStyle w:val="BodyText"/>
      </w:pPr>
      <w:r>
        <w:t xml:space="preserve">A queste si aggiungono sostanze che non rientrano legittimamente in nessuna di queste categorie – per esempio principi attivi non autorizzati con effetto farmacologico, venduti come „sostanze chimiche per la ricerca“. Per esse non esiste una via legale per entrare in commercio come prodotto da usare nell’uomo.</w:t>
      </w:r>
    </w:p>
    <w:bookmarkEnd w:id="115"/>
    <w:bookmarkStart w:id="116" w:name="che-cosè-un-farmaco"/>
    <w:p>
      <w:pPr>
        <w:pStyle w:val="Heading3"/>
      </w:pPr>
      <w:r>
        <w:t xml:space="preserve">Che cos’è un farmaco</w:t>
      </w:r>
    </w:p>
    <w:p>
      <w:pPr>
        <w:pStyle w:val="FirstParagraph"/>
      </w:pPr>
      <w:r>
        <w:t xml:space="preserve">La definizione di farmaco è stabilita nell’UE da una direttiva (direttiva 2001/83/CE) e recepita nelle leggi nazionali sui farmaci. Ha due aspetti:</w:t>
      </w:r>
    </w:p>
    <w:p>
      <w:pPr>
        <w:numPr>
          <w:ilvl w:val="0"/>
          <w:numId w:val="1028"/>
        </w:numPr>
        <w:pStyle w:val="Compact"/>
      </w:pPr>
      <w:r>
        <w:rPr>
          <w:bCs/>
          <w:b/>
        </w:rPr>
        <w:t xml:space="preserve">Farmaco per presentazione</w:t>
      </w:r>
      <w:r>
        <w:t xml:space="preserve">: un prodotto è un farmaco se viene</w:t>
      </w:r>
      <w:r>
        <w:t xml:space="preserve"> </w:t>
      </w:r>
      <w:r>
        <w:rPr>
          <w:bCs/>
          <w:b/>
        </w:rPr>
        <w:t xml:space="preserve">presentato</w:t>
      </w:r>
      <w:r>
        <w:t xml:space="preserve"> </w:t>
      </w:r>
      <w:r>
        <w:t xml:space="preserve">come mezzo per curare o prevenire malattie. Già una pubblicità con affermazioni come „accelera la guarigione delle lesioni tendinee“ può rendere un prodotto un farmaco.</w:t>
      </w:r>
    </w:p>
    <w:p>
      <w:pPr>
        <w:numPr>
          <w:ilvl w:val="0"/>
          <w:numId w:val="1028"/>
        </w:numPr>
        <w:pStyle w:val="Compact"/>
      </w:pPr>
      <w:r>
        <w:rPr>
          <w:bCs/>
          <w:b/>
        </w:rPr>
        <w:t xml:space="preserve">Farmaco per funzione</w:t>
      </w:r>
      <w:r>
        <w:t xml:space="preserve">: un prodotto è un farmaco se può ripristinare, correggere o modificare le funzioni fisiologiche umane mediante un’</w:t>
      </w:r>
      <w:r>
        <w:rPr>
          <w:bCs/>
          <w:b/>
        </w:rPr>
        <w:t xml:space="preserve">azione farmacologica, immunologica o metabolica</w:t>
      </w:r>
      <w:r>
        <w:t xml:space="preserve"> </w:t>
      </w:r>
      <w:r>
        <w:t xml:space="preserve">– indipendentemente da come viene pubblicizzato.</w:t>
      </w:r>
    </w:p>
    <w:p>
      <w:pPr>
        <w:pStyle w:val="FirstParagraph"/>
      </w:pPr>
      <w:r>
        <w:t xml:space="preserve">Se un prodotto rientra sia nella definizione di farmaco sia in quella di un altro prodotto, secondo questa direttiva in caso di dubbio prevale la normativa sui farmaci. Per i peptidi con effetto di tipo ormonale – per esempio secretagoghi dell’ormone della crescita, analoghi del GLP-1 o melanotan – ciò significa: sono di regola farmaci, anche se vengono dichiarati come integratori, cosmetici o „sostanze chimiche per la ricerca“.</w:t>
      </w:r>
    </w:p>
    <w:bookmarkEnd w:id="116"/>
    <w:bookmarkStart w:id="117" w:name="autorizzazione-nellue"/>
    <w:p>
      <w:pPr>
        <w:pStyle w:val="Heading3"/>
      </w:pPr>
      <w:r>
        <w:t xml:space="preserve">Autorizzazione nell’UE</w:t>
      </w:r>
    </w:p>
    <w:p>
      <w:pPr>
        <w:pStyle w:val="FirstParagraph"/>
      </w:pPr>
      <w:r>
        <w:t xml:space="preserve">Nell’UE un farmaco può essere immesso in commercio solo se è autorizzato. Per l’autorizzazione il produttore deve presentare dati su qualità, efficacia e sicurezza – di regola dagli studi di fase 3 descritti nel capitolo „Leggere correttamente gli studi“.</w:t>
      </w:r>
    </w:p>
    <w:p>
      <w:pPr>
        <w:pStyle w:val="BodyText"/>
      </w:pPr>
      <w:r>
        <w:t xml:space="preserve">Esistono due vie principali:</w:t>
      </w:r>
    </w:p>
    <w:p>
      <w:pPr>
        <w:numPr>
          <w:ilvl w:val="0"/>
          <w:numId w:val="1029"/>
        </w:numPr>
        <w:pStyle w:val="Compact"/>
      </w:pPr>
      <w:r>
        <w:rPr>
          <w:bCs/>
          <w:b/>
        </w:rPr>
        <w:t xml:space="preserve">Procedura centralizzata</w:t>
      </w:r>
      <w:r>
        <w:t xml:space="preserve"> </w:t>
      </w:r>
      <w:r>
        <w:t xml:space="preserve">tramite l’Agenzia europea per i medicinali (EMA). L’autorizzazione vale allora in tutti gli Stati membri. Per i farmaci prodotti con biotecnologie e per i nuovi principi attivi contro determinate malattie – tra cui il diabete – questa via è obbligatoria. La maggior parte dei farmaci peptidici moderni è autorizzata con procedura centralizzata.</w:t>
      </w:r>
    </w:p>
    <w:p>
      <w:pPr>
        <w:numPr>
          <w:ilvl w:val="0"/>
          <w:numId w:val="1029"/>
        </w:numPr>
        <w:pStyle w:val="Compact"/>
      </w:pPr>
      <w:r>
        <w:rPr>
          <w:bCs/>
          <w:b/>
        </w:rPr>
        <w:t xml:space="preserve">Procedure nazionali e decentrate</w:t>
      </w:r>
      <w:r>
        <w:t xml:space="preserve"> </w:t>
      </w:r>
      <w:r>
        <w:t xml:space="preserve">tramite le autorità degli Stati membri, in Austria l’Ufficio federale per la sicurezza sanitaria (BASG), in Germania l’Istituto federale per i farmaci e i dispositivi medici (BfArM) oppure, per determinati farmaci biologici, il Paul-Ehrlich-Institut.</w:t>
      </w:r>
    </w:p>
    <w:p>
      <w:pPr>
        <w:pStyle w:val="FirstParagraph"/>
      </w:pPr>
      <w:r>
        <w:t xml:space="preserve">Insieme all’autorizzazione si stabilisce se un farmaco è</w:t>
      </w:r>
      <w:r>
        <w:t xml:space="preserve"> </w:t>
      </w:r>
      <w:r>
        <w:rPr>
          <w:bCs/>
          <w:b/>
        </w:rPr>
        <w:t xml:space="preserve">soggetto a prescrizione</w:t>
      </w:r>
      <w:r>
        <w:t xml:space="preserve">. Quasi tutti i farmaci peptidici lo sono. Le indicazioni precise, i dosaggi, le controindicazioni e gli effetti collaterali sono riportati nel</w:t>
      </w:r>
      <w:r>
        <w:t xml:space="preserve"> </w:t>
      </w:r>
      <w:r>
        <w:rPr>
          <w:bCs/>
          <w:b/>
        </w:rPr>
        <w:t xml:space="preserve">Riassunto delle caratteristiche del prodotto</w:t>
      </w:r>
      <w:r>
        <w:t xml:space="preserve"> </w:t>
      </w:r>
      <w:r>
        <w:t xml:space="preserve">(per i professionisti) e nel</w:t>
      </w:r>
      <w:r>
        <w:t xml:space="preserve"> </w:t>
      </w:r>
      <w:r>
        <w:rPr>
          <w:bCs/>
          <w:b/>
        </w:rPr>
        <w:t xml:space="preserve">foglio illustrativo</w:t>
      </w:r>
      <w:r>
        <w:t xml:space="preserve"> </w:t>
      </w:r>
      <w:r>
        <w:t xml:space="preserve">(bugiardino). L’autorizzazione vale per determinate indicazioni. I medici possono, a determinate condizioni, prescrivere un farmaco autorizzato anche al di fuori di queste indicazioni („uso off-label“), ma in tal caso hanno una maggiore responsabilità per informazione e valutazione; di regola i costi non sono coperti dall’assicurazione sanitaria.</w:t>
      </w:r>
    </w:p>
    <w:p>
      <w:pPr>
        <w:pStyle w:val="BodyText"/>
      </w:pPr>
      <w:r>
        <w:t xml:space="preserve">Alcuni peptidi presenti in questo libro sono autorizzati in altri Paesi, ma non nell’UE – per esempio alcuni preparati usati in Russia. Un’autorizzazione straniera non rende un prodotto commerciabile nell’UE.</w:t>
      </w:r>
    </w:p>
    <w:bookmarkEnd w:id="117"/>
    <w:bookmarkStart w:id="118" w:name="integratori-alimentari"/>
    <w:p>
      <w:pPr>
        <w:pStyle w:val="Heading3"/>
      </w:pPr>
      <w:r>
        <w:t xml:space="preserve">Integratori alimentari</w:t>
      </w:r>
    </w:p>
    <w:p>
      <w:pPr>
        <w:pStyle w:val="FirstParagraph"/>
      </w:pPr>
      <w:r>
        <w:t xml:space="preserve">Dal punto di vista giuridico gli integratori alimentari sono alimenti. Sono destinati a integrare la normale alimentazione e contengono nutrienti o altre sostanze con effetto nutritivo o fisiologico (direttiva 2002/46/CE).</w:t>
      </w:r>
      <w:r>
        <w:t xml:space="preserve"> </w:t>
      </w:r>
      <w:r>
        <w:rPr>
          <w:bCs/>
          <w:b/>
        </w:rPr>
        <w:t xml:space="preserve">Non necessitano di autorizzazione</w:t>
      </w:r>
      <w:r>
        <w:t xml:space="preserve">. A seconda del Paese devono essere notificati a un’autorità prima della prima vendita; in Germania, per esempio, all’Ufficio federale per la tutela dei consumatori e la sicurezza alimentare. Il produttore è responsabile della sicurezza; i controlli avvengono a campione da parte della vigilanza alimentare.</w:t>
      </w:r>
    </w:p>
    <w:p>
      <w:pPr>
        <w:pStyle w:val="BodyText"/>
      </w:pPr>
      <w:r>
        <w:t xml:space="preserve">Limiti importanti:</w:t>
      </w:r>
    </w:p>
    <w:p>
      <w:pPr>
        <w:numPr>
          <w:ilvl w:val="0"/>
          <w:numId w:val="1030"/>
        </w:numPr>
        <w:pStyle w:val="Compact"/>
      </w:pPr>
      <w:r>
        <w:t xml:space="preserve">Una sostanza che agisce farmacologicamente non può essere un integratore alimentare. Se viene comunque venduta come tale, si tratta di un farmaco non autorizzato.</w:t>
      </w:r>
    </w:p>
    <w:p>
      <w:pPr>
        <w:numPr>
          <w:ilvl w:val="0"/>
          <w:numId w:val="1030"/>
        </w:numPr>
        <w:pStyle w:val="Compact"/>
      </w:pPr>
      <w:r>
        <w:t xml:space="preserve">Le</w:t>
      </w:r>
      <w:r>
        <w:t xml:space="preserve"> </w:t>
      </w:r>
      <w:r>
        <w:rPr>
          <w:bCs/>
          <w:b/>
        </w:rPr>
        <w:t xml:space="preserve">indicazioni sulla salute</w:t>
      </w:r>
      <w:r>
        <w:t xml:space="preserve"> </w:t>
      </w:r>
      <w:r>
        <w:t xml:space="preserve">come „sostiene le articolazioni“ o „abbassa la pressione“ sono consentite solo se sono state autorizzate dall’UE dopo la valutazione dell’Autorità europea per la sicurezza alimentare (EFSA) e figurano in un elenco (regolamento (CE) n. 1924/2006). Per molti effetti pubblicizzati degli alimenti a base di peptidi, secondo le nostre conoscenze, non esiste alcuna indicazione autorizzata. La pubblicità che promette comunque un tale effetto non è consentita.</w:t>
      </w:r>
    </w:p>
    <w:p>
      <w:pPr>
        <w:numPr>
          <w:ilvl w:val="0"/>
          <w:numId w:val="1030"/>
        </w:numPr>
        <w:pStyle w:val="Compact"/>
      </w:pPr>
      <w:r>
        <w:t xml:space="preserve">Le</w:t>
      </w:r>
      <w:r>
        <w:t xml:space="preserve"> </w:t>
      </w:r>
      <w:r>
        <w:rPr>
          <w:bCs/>
          <w:b/>
        </w:rPr>
        <w:t xml:space="preserve">affermazioni relative a malattie</w:t>
      </w:r>
      <w:r>
        <w:t xml:space="preserve"> </w:t>
      </w:r>
      <w:r>
        <w:t xml:space="preserve">(per esempio „agisce contro l’artrosi“) sono in generale vietate per gli alimenti.</w:t>
      </w:r>
    </w:p>
    <w:p>
      <w:pPr>
        <w:pStyle w:val="FirstParagraph"/>
      </w:pPr>
      <w:r>
        <w:t xml:space="preserve">Che nemmeno gli integratori alimentari siano privi di principi attivi vietati lo mostra un caso di un laboratorio antidoping: in compresse offerte come integratore alimentare da banco è stato rilevato il peptide che rilascia l’ormone della crescita GHRP-2 (Thomas 2010, PMID 20878896).</w:t>
      </w:r>
    </w:p>
    <w:bookmarkEnd w:id="118"/>
    <w:bookmarkStart w:id="119" w:name="novel-food"/>
    <w:p>
      <w:pPr>
        <w:pStyle w:val="Heading3"/>
      </w:pPr>
      <w:r>
        <w:t xml:space="preserve">Novel food</w:t>
      </w:r>
    </w:p>
    <w:p>
      <w:pPr>
        <w:pStyle w:val="FirstParagraph"/>
      </w:pPr>
      <w:r>
        <w:t xml:space="preserve">Un ostacolo specifico per gli alimenti è il</w:t>
      </w:r>
      <w:r>
        <w:t xml:space="preserve"> </w:t>
      </w:r>
      <w:r>
        <w:rPr>
          <w:bCs/>
          <w:b/>
        </w:rPr>
        <w:t xml:space="preserve">regolamento sui nuovi alimenti</w:t>
      </w:r>
      <w:r>
        <w:t xml:space="preserve"> </w:t>
      </w:r>
      <w:r>
        <w:t xml:space="preserve">(regolamento (UE) 2015/2283). Sono considerati „nuovi“ gli alimenti e gli ingredienti che prima del 15 maggio 1997 non erano utilizzati in misura significativa per il consumo umano nell’UE. Possono essere venduti solo dopo una valutazione della sicurezza e un’autorizzazione dell’UE.</w:t>
      </w:r>
    </w:p>
    <w:p>
      <w:pPr>
        <w:pStyle w:val="BodyText"/>
      </w:pPr>
      <w:r>
        <w:t xml:space="preserve">Per i peptidi ciò significa: gli idrolizzati di collagene derivati dalla gelatina hanno una lunga storia di consumo e non sono novel food. Un peptide di nuova sintesi senza storia di consumo, che si vorrebbe vendere come alimento, sarebbe invece in linea di principio un novel food e avrebbe bisogno di un’autorizzazione – a meno che non debba comunque essere classificato come farmaco per il suo effetto farmacologico. Se una sostanza sia un novel food va verificato caso per caso; la Commissione europea tiene a tale scopo un catalogo.</w:t>
      </w:r>
    </w:p>
    <w:bookmarkEnd w:id="119"/>
    <w:bookmarkStart w:id="120" w:name="cosmetici"/>
    <w:p>
      <w:pPr>
        <w:pStyle w:val="Heading3"/>
      </w:pPr>
      <w:r>
        <w:t xml:space="preserve">Cosmetici</w:t>
      </w:r>
    </w:p>
    <w:p>
      <w:pPr>
        <w:pStyle w:val="FirstParagraph"/>
      </w:pPr>
      <w:r>
        <w:t xml:space="preserve">Nell’UE i prodotti cosmetici sono disciplinati dal regolamento sui cosmetici (regolamento (CE) n. 1223/2009). Sono destinati all’applicazione esterna su pelle, capelli, unghie, labbra, denti o mucose della cavità orale – per pulire, curare, proteggere o modificare l’aspetto.</w:t>
      </w:r>
    </w:p>
    <w:p>
      <w:pPr>
        <w:numPr>
          <w:ilvl w:val="0"/>
          <w:numId w:val="1031"/>
        </w:numPr>
        <w:pStyle w:val="Compact"/>
      </w:pPr>
      <w:r>
        <w:t xml:space="preserve">I cosmetici</w:t>
      </w:r>
      <w:r>
        <w:t xml:space="preserve"> </w:t>
      </w:r>
      <w:r>
        <w:rPr>
          <w:bCs/>
          <w:b/>
        </w:rPr>
        <w:t xml:space="preserve">non necessitano di autorizzazione</w:t>
      </w:r>
      <w:r>
        <w:t xml:space="preserve">. Una persona responsabile nell’UE deve però presentare una valutazione della sicurezza e notificare il prodotto in un portale UE prima della vendita.</w:t>
      </w:r>
    </w:p>
    <w:p>
      <w:pPr>
        <w:numPr>
          <w:ilvl w:val="0"/>
          <w:numId w:val="1031"/>
        </w:numPr>
        <w:pStyle w:val="Compact"/>
      </w:pPr>
      <w:r>
        <w:t xml:space="preserve">Determinate sostanze sono vietate o consentite solo con limitazioni.</w:t>
      </w:r>
    </w:p>
    <w:p>
      <w:pPr>
        <w:numPr>
          <w:ilvl w:val="0"/>
          <w:numId w:val="1031"/>
        </w:numPr>
        <w:pStyle w:val="Compact"/>
      </w:pPr>
      <w:r>
        <w:t xml:space="preserve">Le affermazioni pubblicitarie devono essere dimostrabili e non possono essere ingannevoli. Le affermazioni sul trattamento di malattie non sono consentite.</w:t>
      </w:r>
    </w:p>
    <w:p>
      <w:pPr>
        <w:numPr>
          <w:ilvl w:val="0"/>
          <w:numId w:val="1031"/>
        </w:numPr>
        <w:pStyle w:val="Compact"/>
      </w:pPr>
      <w:r>
        <w:rPr>
          <w:bCs/>
          <w:b/>
        </w:rPr>
        <w:t xml:space="preserve">Ciò che si inietta non è mai un cosmetico.</w:t>
      </w:r>
      <w:r>
        <w:t xml:space="preserve"> </w:t>
      </w:r>
      <w:r>
        <w:t xml:space="preserve">Le iniezioni non rientrano nella definizione di prodotto cosmetico.</w:t>
      </w:r>
    </w:p>
    <w:p>
      <w:pPr>
        <w:pStyle w:val="FirstParagraph"/>
      </w:pPr>
      <w:r>
        <w:t xml:space="preserve">I peptidi cosmetici come il palmitoil pentapeptide-4 o l’acetil esapeptide-8 sono quindi legali in creme e sieri. Un peptide come il melanotan II, che viene iniettato sotto la pelle e agisce in tutto l’organismo, non è invece un cosmetico, anche se viene pubblicizzato come „abbronzante“.</w:t>
      </w:r>
    </w:p>
    <w:bookmarkEnd w:id="120"/>
    <w:bookmarkStart w:id="121" w:name="austria"/>
    <w:p>
      <w:pPr>
        <w:pStyle w:val="Heading3"/>
      </w:pPr>
      <w:r>
        <w:t xml:space="preserve">Austria</w:t>
      </w:r>
    </w:p>
    <w:p>
      <w:pPr>
        <w:pStyle w:val="FirstParagraph"/>
      </w:pPr>
      <w:r>
        <w:t xml:space="preserve">In Austria la</w:t>
      </w:r>
      <w:r>
        <w:t xml:space="preserve"> </w:t>
      </w:r>
      <w:r>
        <w:rPr>
          <w:bCs/>
          <w:b/>
        </w:rPr>
        <w:t xml:space="preserve">legge sui medicinali (Arzneimittelgesetz, AMG)</w:t>
      </w:r>
      <w:r>
        <w:t xml:space="preserve"> </w:t>
      </w:r>
      <w:r>
        <w:t xml:space="preserve">disciplina autorizzazione, produzione e dispensazione dei farmaci. Competente per autorizzazione e vigilanza è l’Ufficio federale per la sicurezza sanitaria (BASG) con la AGES Medizinmarktaufsicht. I farmaci soggetti a prescrizione vengono dispensati solo in farmacia dietro ricetta; la vendita per corrispondenza da parte delle farmacie è limitata ai farmaci non soggetti a prescrizione.</w:t>
      </w:r>
    </w:p>
    <w:p>
      <w:pPr>
        <w:pStyle w:val="BodyText"/>
      </w:pPr>
      <w:r>
        <w:t xml:space="preserve">L’importazione di farmaci è disciplinata dalla</w:t>
      </w:r>
      <w:r>
        <w:t xml:space="preserve"> </w:t>
      </w:r>
      <w:r>
        <w:rPr>
          <w:bCs/>
          <w:b/>
        </w:rPr>
        <w:t xml:space="preserve">legge sull’importazione di medicinali (Arzneiwareneinfuhrgesetz)</w:t>
      </w:r>
      <w:r>
        <w:t xml:space="preserve">. I privati possono importare farmaci solo a determinate condizioni e in quantità per uso personale; per ordini da Paesi al di fuori dello Spazio economico europeo valgono regole più severe. I principi attivi non autorizzati dei negozi di „sostanze chimiche per la ricerca“ di regola non soddisfano queste condizioni. La dogana può sequestrare tali spedizioni.</w:t>
      </w:r>
    </w:p>
    <w:p>
      <w:pPr>
        <w:pStyle w:val="BodyText"/>
      </w:pPr>
      <w:r>
        <w:t xml:space="preserve">Per lo sport vale la</w:t>
      </w:r>
      <w:r>
        <w:t xml:space="preserve"> </w:t>
      </w:r>
      <w:r>
        <w:rPr>
          <w:bCs/>
          <w:b/>
        </w:rPr>
        <w:t xml:space="preserve">legge federale antidoping 2021 (Anti-Doping-Bundesgesetz 2021)</w:t>
      </w:r>
      <w:r>
        <w:t xml:space="preserve">. Essa rimanda alla Lista delle sostanze proibite dell’Agenzia mondiale antidoping e contiene divieti e disposizioni penali, in particolare per l’immissione in commercio e la cessione di sostanze vietate. Competente per i controlli è l’Agenzia nazionale antidoping austriaca (NADA Austria).</w:t>
      </w:r>
    </w:p>
    <w:p>
      <w:pPr>
        <w:pStyle w:val="BodyText"/>
      </w:pPr>
      <w:r>
        <w:t xml:space="preserve">Aggiornato al 2026, da verificare.</w:t>
      </w:r>
    </w:p>
    <w:bookmarkEnd w:id="121"/>
    <w:bookmarkStart w:id="122" w:name="germania"/>
    <w:p>
      <w:pPr>
        <w:pStyle w:val="Heading3"/>
      </w:pPr>
      <w:r>
        <w:t xml:space="preserve">Germania</w:t>
      </w:r>
    </w:p>
    <w:p>
      <w:pPr>
        <w:pStyle w:val="FirstParagraph"/>
      </w:pPr>
      <w:r>
        <w:t xml:space="preserve">In Germania vale la</w:t>
      </w:r>
      <w:r>
        <w:t xml:space="preserve"> </w:t>
      </w:r>
      <w:r>
        <w:rPr>
          <w:bCs/>
          <w:b/>
        </w:rPr>
        <w:t xml:space="preserve">legge sui medicinali (Arzneimittelgesetz, AMG)</w:t>
      </w:r>
      <w:r>
        <w:t xml:space="preserve">. Le autorità di autorizzazione sono il BfArM e il Paul-Ehrlich-Institut. I farmaci soggetti a prescrizione possono essere dispensati solo dietro ricetta, anche nella vendita per corrispondenza da parte di farmacie autorizzate.</w:t>
      </w:r>
    </w:p>
    <w:p>
      <w:pPr>
        <w:pStyle w:val="BodyText"/>
      </w:pPr>
      <w:r>
        <w:t xml:space="preserve">Per l’importazione vale in linea di principio il divieto di introdurre in Germania farmaci non autorizzati. Esiste un’eccezione per l’uso personale, se il farmaco è legittimamente in commercio nel Paese di provenienza e viene acquistato da uno Stato membro dell’UE o dello Spazio economico europeo senza intermediazione commerciale; esistono inoltre regole speciali strettamente limitate. Per i peptidi del mercato grigio, che non sono autorizzati come farmaci da nessuna parte, questa eccezione secondo la nostra interpretazione non si applica.</w:t>
      </w:r>
    </w:p>
    <w:p>
      <w:pPr>
        <w:pStyle w:val="BodyText"/>
      </w:pPr>
      <w:r>
        <w:t xml:space="preserve">Chi produce, immette in commercio o cede ad altri farmaci senza autorizzazione può commettere un reato ai sensi dell’AMG. Ciò vale in particolare per i cosiddetti farmaci a rischio, per i quali esiste il fondato sospetto di effetti dannosi.</w:t>
      </w:r>
    </w:p>
    <w:p>
      <w:pPr>
        <w:pStyle w:val="BodyText"/>
      </w:pPr>
      <w:r>
        <w:t xml:space="preserve">Per lo sport vale inoltre la</w:t>
      </w:r>
      <w:r>
        <w:t xml:space="preserve"> </w:t>
      </w:r>
      <w:r>
        <w:rPr>
          <w:bCs/>
          <w:b/>
        </w:rPr>
        <w:t xml:space="preserve">legge antidoping (Anti-Doping-Gesetz, AntiDopG)</w:t>
      </w:r>
      <w:r>
        <w:t xml:space="preserve">. Essa vieta, tra l’altro, la produzione, il commercio e l’immissione in commercio di sostanze dopanti, nonché la loro somministrazione ad altri. L’acquisto e il possesso di determinate sostanze elencate in un allegato alla legge – tra cui gli ormoni peptidici – sono punibili se in quantità non esigua e a scopo di doping. Per le atlete e gli atleti di alto livello è punibile anche l’autodoping. Competente per i controlli è l’Agenzia nazionale antidoping tedesca (NADA).</w:t>
      </w:r>
    </w:p>
    <w:p>
      <w:pPr>
        <w:pStyle w:val="BodyText"/>
      </w:pPr>
      <w:r>
        <w:t xml:space="preserve">Aggiornato al 2026, da verificare.</w:t>
      </w:r>
    </w:p>
    <w:bookmarkEnd w:id="122"/>
    <w:bookmarkStart w:id="123" w:name="stati-uniti"/>
    <w:p>
      <w:pPr>
        <w:pStyle w:val="Heading3"/>
      </w:pPr>
      <w:r>
        <w:t xml:space="preserve">Stati Uniti</w:t>
      </w:r>
    </w:p>
    <w:p>
      <w:pPr>
        <w:pStyle w:val="FirstParagraph"/>
      </w:pPr>
      <w:r>
        <w:t xml:space="preserve">Negli Stati Uniti è competente la</w:t>
      </w:r>
      <w:r>
        <w:t xml:space="preserve"> </w:t>
      </w:r>
      <w:r>
        <w:rPr>
          <w:bCs/>
          <w:b/>
        </w:rPr>
        <w:t xml:space="preserve">Food and Drug Administration (FDA)</w:t>
      </w:r>
      <w:r>
        <w:t xml:space="preserve">. I nuovi farmaci necessitano di un’autorizzazione (per i principi attivi prodotti chimicamente tramite una „New Drug Application“, per i principi attivi biologici tramite una „Biologics License Application“).</w:t>
      </w:r>
    </w:p>
    <w:p>
      <w:pPr>
        <w:pStyle w:val="BodyText"/>
      </w:pPr>
      <w:r>
        <w:t xml:space="preserve">Gli</w:t>
      </w:r>
      <w:r>
        <w:t xml:space="preserve"> </w:t>
      </w:r>
      <w:r>
        <w:rPr>
          <w:bCs/>
          <w:b/>
        </w:rPr>
        <w:t xml:space="preserve">integratori alimentari</w:t>
      </w:r>
      <w:r>
        <w:t xml:space="preserve"> </w:t>
      </w:r>
      <w:r>
        <w:t xml:space="preserve">(Dietary Supplements) sono, in base a una legge del 1994, commerciabili in gran parte senza controllo preventivo. Una sostanza che sia stata prima autorizzata come farmaco o studiata clinicamente come farmaco in misura rilevante non può però, in linea di principio, essere venduta successivamente come integratore alimentare. Per questo motivo molti peptidi negli Stati Uniti non possono essere commercializzati legalmente come integratori.</w:t>
      </w:r>
    </w:p>
    <w:p>
      <w:pPr>
        <w:pStyle w:val="BodyText"/>
      </w:pPr>
      <w:r>
        <w:rPr>
          <w:bCs/>
          <w:b/>
        </w:rPr>
        <w:t xml:space="preserve">Compounding</w:t>
      </w:r>
      <w:r>
        <w:t xml:space="preserve">: a determinate condizioni le farmacie statunitensi possono preparare farmaci in proprio – singolarmente per determinati pazienti o su scala più ampia in strutture sottoposte a vigilanza particolare. In caso di carenza di farmaci autorizzati possono anche produrne copie. Dopo la fine delle carenze di semaglutide e tirzepatide, secondo il diritto statunitense possono produrre solo preparati diversi (Belcourt 2026, PMID 41689811). Quali principi attivi possano essere usati come materie prime per il compounding lo stabilisce la FDA in appositi elenchi. Secondo le nostre conoscenze, la FDA ha classificato diversi peptidi popolari del mercato grigio, tra cui il BPC-157, come non idonei al compounding per motivi di sicurezza. Questi elenchi e il dibattito politico al riguardo cambiano; verifichi la situazione attuale.</w:t>
      </w:r>
    </w:p>
    <w:p>
      <w:pPr>
        <w:pStyle w:val="BodyText"/>
      </w:pPr>
      <w:r>
        <w:rPr>
          <w:bCs/>
          <w:b/>
        </w:rPr>
        <w:t xml:space="preserve">„Research Use Only“</w:t>
      </w:r>
      <w:r>
        <w:t xml:space="preserve">: la vendita ai consumatori di peptidi con la dicitura „solo a scopo di ricerca“ si muove anche negli Stati Uniti in una zona grigia giuridica, descritta dagli esperti come un’elusione dell’obbligo di prescrizione (Belcourt 2025, PMID 39285774). La FDA ha inviato lettere di avvertimento a singoli venditori.</w:t>
      </w:r>
    </w:p>
    <w:p>
      <w:pPr>
        <w:pStyle w:val="BodyText"/>
      </w:pPr>
      <w:r>
        <w:rPr>
          <w:bCs/>
          <w:b/>
        </w:rPr>
        <w:t xml:space="preserve">Importazione</w:t>
      </w:r>
      <w:r>
        <w:t xml:space="preserve">: la FDA tollera, a condizioni ristrette, l’importazione di piccole quantità di farmaci per uso personale. Non esiste un diritto a ciò, e i principi attivi non autorizzati senza accompagnamento medico di regola non vi rientrano.</w:t>
      </w:r>
    </w:p>
    <w:p>
      <w:pPr>
        <w:pStyle w:val="BodyText"/>
      </w:pPr>
      <w:r>
        <w:t xml:space="preserve">Aggiornato al 2026, da verificare.</w:t>
      </w:r>
    </w:p>
    <w:bookmarkEnd w:id="123"/>
    <w:bookmarkStart w:id="124" w:name="Xdd135899899bd46c345761f72cd2d1dfe112948"/>
    <w:p>
      <w:pPr>
        <w:pStyle w:val="Heading3"/>
      </w:pPr>
      <w:r>
        <w:t xml:space="preserve">Doping: la Lista delle sostanze proibite della WADA</w:t>
      </w:r>
    </w:p>
    <w:p>
      <w:pPr>
        <w:pStyle w:val="FirstParagraph"/>
      </w:pPr>
      <w:r>
        <w:t xml:space="preserve">Per le atlete e gli atleti sottoposti a controlli antidoping fa fede la</w:t>
      </w:r>
      <w:r>
        <w:t xml:space="preserve"> </w:t>
      </w:r>
      <w:r>
        <w:rPr>
          <w:bCs/>
          <w:b/>
        </w:rPr>
        <w:t xml:space="preserve">Lista delle sostanze proibite dell’Agenzia mondiale antidoping (WADA)</w:t>
      </w:r>
      <w:r>
        <w:t xml:space="preserve">. Viene rivista ogni anno ed entra in vigore ogni volta il 1° gennaio. Per i peptidi sono importanti soprattutto due sezioni, valide in competizione e fuori competizione:</w:t>
      </w:r>
    </w:p>
    <w:p>
      <w:pPr>
        <w:pStyle w:val="BodyText"/>
      </w:pPr>
      <w:r>
        <w:rPr>
          <w:bCs/>
          <w:b/>
        </w:rPr>
        <w:t xml:space="preserve">S0 – Sostanze non approvate.</w:t>
      </w:r>
      <w:r>
        <w:t xml:space="preserve"> </w:t>
      </w:r>
      <w:r>
        <w:t xml:space="preserve">Sono vietate le sostanze farmacologicamente attive non menzionate in nessun’altra sezione della lista e non approvate da alcuna autorità sanitaria per l’uso nell’uomo – per esempio principi attivi in sviluppo preclinico o clinico, sviluppi interrotti, designer drug e sostanze approvate solo per uso veterinario. Molti peptidi del mercato grigio rientrano in questo gruppo. Il BPC-157, secondo le nostre conoscenze, è citato espressamente nella lista come esempio.</w:t>
      </w:r>
    </w:p>
    <w:p>
      <w:pPr>
        <w:pStyle w:val="BodyText"/>
      </w:pPr>
      <w:r>
        <w:rPr>
          <w:bCs/>
          <w:b/>
        </w:rPr>
        <w:t xml:space="preserve">S2 – Ormoni peptidici, fattori di crescita, sostanze correlate e mimetici.</w:t>
      </w:r>
      <w:r>
        <w:t xml:space="preserve"> </w:t>
      </w:r>
      <w:r>
        <w:t xml:space="preserve">Vi rientrano, tra l’altro:</w:t>
      </w:r>
    </w:p>
    <w:p>
      <w:pPr>
        <w:numPr>
          <w:ilvl w:val="0"/>
          <w:numId w:val="1032"/>
        </w:numPr>
        <w:pStyle w:val="Compact"/>
      </w:pPr>
      <w:r>
        <w:t xml:space="preserve">l’ormone della crescita e i suoi frammenti (per esempio AOD-9604),</w:t>
      </w:r>
    </w:p>
    <w:p>
      <w:pPr>
        <w:numPr>
          <w:ilvl w:val="0"/>
          <w:numId w:val="1032"/>
        </w:numPr>
        <w:pStyle w:val="Compact"/>
      </w:pPr>
      <w:r>
        <w:t xml:space="preserve">l’ormone di rilascio dell’ormone della crescita e i suoi analoghi (per esempio CJC-1295, sermorelina, tesamorelina),</w:t>
      </w:r>
    </w:p>
    <w:p>
      <w:pPr>
        <w:numPr>
          <w:ilvl w:val="0"/>
          <w:numId w:val="1032"/>
        </w:numPr>
        <w:pStyle w:val="Compact"/>
      </w:pPr>
      <w:r>
        <w:t xml:space="preserve">i secretagoghi dell’ormone della crescita e i peptidi che rilasciano l’ormone della crescita (per esempio ipamorelin, GHRP-2, GHRP-6, hexarelin, macimorelin e, secondo le nostre conoscenze, anche l’ibutamoren non peptidico),</w:t>
      </w:r>
    </w:p>
    <w:p>
      <w:pPr>
        <w:numPr>
          <w:ilvl w:val="0"/>
          <w:numId w:val="1032"/>
        </w:numPr>
        <w:pStyle w:val="Compact"/>
      </w:pPr>
      <w:r>
        <w:t xml:space="preserve">fattori di crescita come l’IGF-1 e i suoi analoghi, nonché la timosina beta-4 e i suoi derivati (per esempio TB-500),</w:t>
      </w:r>
    </w:p>
    <w:p>
      <w:pPr>
        <w:numPr>
          <w:ilvl w:val="0"/>
          <w:numId w:val="1032"/>
        </w:numPr>
        <w:pStyle w:val="Compact"/>
      </w:pPr>
      <w:r>
        <w:t xml:space="preserve">negli uomini, ormoni e fattori di rilascio dell’asse degli ormoni sessuali (per esempio gonadorelina e kisspeptina).</w:t>
      </w:r>
    </w:p>
    <w:p>
      <w:pPr>
        <w:pStyle w:val="FirstParagraph"/>
      </w:pPr>
      <w:r>
        <w:t xml:space="preserve">Nella sezione S4 sono inoltre vietate, tra l’altro, le insuline come modulatori metabolici. I farmaci GLP-1 come semaglutide o tirzepatide, secondo le nostre conoscenze, attualmente non figurano nella Lista delle sostanze proibite. La lista cita esempi, ma non è esaustiva: possono essere vietate anche sostanze non menzionate con struttura chimica simile o effetto biologico simile.</w:t>
      </w:r>
    </w:p>
    <w:p>
      <w:pPr>
        <w:pStyle w:val="BodyText"/>
      </w:pPr>
      <w:r>
        <w:t xml:space="preserve">Nel diritto antidoping vale la</w:t>
      </w:r>
      <w:r>
        <w:t xml:space="preserve"> </w:t>
      </w:r>
      <w:r>
        <w:rPr>
          <w:bCs/>
          <w:b/>
        </w:rPr>
        <w:t xml:space="preserve">responsabilità oggettiva</w:t>
      </w:r>
      <w:r>
        <w:t xml:space="preserve">: se in un campione viene trovata una sostanza vietata, si tratta di una violazione – indipendentemente dal fatto che sia stata assunta intenzionalmente o provenga, per esempio, da un integratore alimentare contaminato. Chi ha bisogno per motivi medici di un farmaco autorizzato ma vietato può richiedere un’</w:t>
      </w:r>
      <w:r>
        <w:rPr>
          <w:bCs/>
          <w:b/>
        </w:rPr>
        <w:t xml:space="preserve">esenzione a fini terapeutici</w:t>
      </w:r>
      <w:r>
        <w:t xml:space="preserve"> </w:t>
      </w:r>
      <w:r>
        <w:t xml:space="preserve">(Therapeutic Use Exemption, TUE). Per le sostanze non approvate della sezione S0 ciò è praticamente escluso.</w:t>
      </w:r>
    </w:p>
    <w:p>
      <w:pPr>
        <w:pStyle w:val="BodyText"/>
      </w:pPr>
      <w:r>
        <w:t xml:space="preserve">I laboratori di controllo antidoping sviluppano continuamente metodi di rilevamento per nuovi peptidi, spesso sulla base di prodotti sequestrati (Cox 2017, PMID 28035768). Il fatto che una sostanza ieri non fosse rilevabile non significa che non lo sarà domani – e i campioni congelati possono essere riesaminati anni dopo.</w:t>
      </w:r>
    </w:p>
    <w:p>
      <w:pPr>
        <w:pStyle w:val="BodyText"/>
      </w:pPr>
      <w:r>
        <w:t xml:space="preserve">Aggiornato al 2026, verificare la Lista delle sostanze proibite della WADA in vigore.</w:t>
      </w:r>
    </w:p>
    <w:bookmarkEnd w:id="124"/>
    <w:bookmarkStart w:id="125" w:name="responsabilità-chi-si-assume-il-rischio"/>
    <w:p>
      <w:pPr>
        <w:pStyle w:val="Heading3"/>
      </w:pPr>
      <w:r>
        <w:t xml:space="preserve">Responsabilità: chi si assume il rischio?</w:t>
      </w:r>
    </w:p>
    <w:p>
      <w:pPr>
        <w:pStyle w:val="FirstParagraph"/>
      </w:pPr>
      <w:r>
        <w:t xml:space="preserve">Per i</w:t>
      </w:r>
      <w:r>
        <w:t xml:space="preserve"> </w:t>
      </w:r>
      <w:r>
        <w:rPr>
          <w:bCs/>
          <w:b/>
        </w:rPr>
        <w:t xml:space="preserve">farmaci autorizzati</w:t>
      </w:r>
      <w:r>
        <w:t xml:space="preserve">, produttori, farmacie e medici prescrittori sono inseriti in un sistema di responsabilità e risarcimento. In Germania la legge sui medicinali prevede una responsabilità particolare del produttore per i danni causati da farmaci autorizzati, che non dipende da una colpa; in Austria si applicano il diritto generale del risarcimento del danno e la legge sulla responsabilità per danno da prodotti. Gli effetti collaterali vengono segnalati, analizzati e possono portare ad avvertenze o ritiri dal mercato.</w:t>
      </w:r>
    </w:p>
    <w:p>
      <w:pPr>
        <w:pStyle w:val="BodyText"/>
      </w:pPr>
      <w:r>
        <w:t xml:space="preserve">Per i</w:t>
      </w:r>
      <w:r>
        <w:t xml:space="preserve"> </w:t>
      </w:r>
      <w:r>
        <w:rPr>
          <w:bCs/>
          <w:b/>
        </w:rPr>
        <w:t xml:space="preserve">prodotti del mercato grigio</w:t>
      </w:r>
      <w:r>
        <w:t xml:space="preserve"> </w:t>
      </w:r>
      <w:r>
        <w:t xml:space="preserve">questo sistema manca in gran parte:</w:t>
      </w:r>
    </w:p>
    <w:p>
      <w:pPr>
        <w:numPr>
          <w:ilvl w:val="0"/>
          <w:numId w:val="1033"/>
        </w:numPr>
        <w:pStyle w:val="Compact"/>
      </w:pPr>
      <w:r>
        <w:t xml:space="preserve">I venditori hanno spesso sede all’estero, cambiano frequentemente nome e sito web e sono praticamente irraggiungibili.</w:t>
      </w:r>
    </w:p>
    <w:p>
      <w:pPr>
        <w:numPr>
          <w:ilvl w:val="0"/>
          <w:numId w:val="1033"/>
        </w:numPr>
        <w:pStyle w:val="Compact"/>
      </w:pPr>
      <w:r>
        <w:t xml:space="preserve">Con la dicitura „non per l’uso nell’uomo“ cercano di respingere ogni responsabilità.</w:t>
      </w:r>
    </w:p>
    <w:p>
      <w:pPr>
        <w:numPr>
          <w:ilvl w:val="0"/>
          <w:numId w:val="1033"/>
        </w:numPr>
        <w:pStyle w:val="Compact"/>
      </w:pPr>
      <w:r>
        <w:t xml:space="preserve">Chi usa personalmente un prodotto di questo tipo si assume in gran parte da solo il rischio sanitario e finanziario.</w:t>
      </w:r>
    </w:p>
    <w:p>
      <w:pPr>
        <w:numPr>
          <w:ilvl w:val="0"/>
          <w:numId w:val="1033"/>
        </w:numPr>
        <w:pStyle w:val="Compact"/>
      </w:pPr>
      <w:r>
        <w:t xml:space="preserve">Chi cede un prodotto di questo tipo ad altri o lo usa su altri – per esempio in una palestra, in un centro estetico o di benessere – può commettere un reato e, in determinate circostanze, risponde dei danni.</w:t>
      </w:r>
    </w:p>
    <w:p>
      <w:pPr>
        <w:pStyle w:val="FirstParagraph"/>
      </w:pPr>
      <w:r>
        <w:t xml:space="preserve">Anche per l’</w:t>
      </w:r>
      <w:r>
        <w:rPr>
          <w:bCs/>
          <w:b/>
        </w:rPr>
        <w:t xml:space="preserve">uso da parte dei medici</w:t>
      </w:r>
      <w:r>
        <w:t xml:space="preserve"> </w:t>
      </w:r>
      <w:r>
        <w:t xml:space="preserve">valgono criteri rigorosi. Chi somministra principi attivi non autorizzati deve informare in modo esauriente sulla scarsità dei dati e risponde in caso di errori di trattamento. Sono possibili conseguenze deontologiche.</w:t>
      </w:r>
    </w:p>
    <w:bookmarkEnd w:id="125"/>
    <w:bookmarkStart w:id="126" w:name="il-quadro-normativo-in-sintesi"/>
    <w:p>
      <w:pPr>
        <w:pStyle w:val="Heading3"/>
      </w:pPr>
      <w:r>
        <w:t xml:space="preserve">Il quadro normativo in sintesi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Situazione</w:t>
            </w:r>
          </w:p>
        </w:tc>
        <w:tc>
          <w:tcPr/>
          <w:p>
            <w:pPr>
              <w:pStyle w:val="Compact"/>
              <w:jc w:val="left"/>
            </w:pPr>
            <w:r>
              <w:t xml:space="preserve">Classificazione (semplificata)</w:t>
            </w:r>
          </w:p>
        </w:tc>
      </w:tr>
      <w:tr>
        <w:tc>
          <w:tcPr/>
          <w:p>
            <w:pPr>
              <w:pStyle w:val="Compact"/>
              <w:jc w:val="left"/>
            </w:pPr>
            <w:r>
              <w:t xml:space="preserve">Peptide autorizzato con ricetta in farmacia</w:t>
            </w:r>
          </w:p>
        </w:tc>
        <w:tc>
          <w:tcPr/>
          <w:p>
            <w:pPr>
              <w:pStyle w:val="Compact"/>
              <w:jc w:val="left"/>
            </w:pPr>
            <w:r>
              <w:t xml:space="preserve">legale, con accompagnamento medico</w:t>
            </w:r>
          </w:p>
        </w:tc>
      </w:tr>
      <w:tr>
        <w:tc>
          <w:tcPr/>
          <w:p>
            <w:pPr>
              <w:pStyle w:val="Compact"/>
              <w:jc w:val="left"/>
            </w:pPr>
            <w:r>
              <w:t xml:space="preserve">Peptide autorizzato senza ricetta da Internet</w:t>
            </w:r>
          </w:p>
        </w:tc>
        <w:tc>
          <w:tcPr/>
          <w:p>
            <w:pPr>
              <w:pStyle w:val="Compact"/>
              <w:jc w:val="left"/>
            </w:pPr>
            <w:r>
              <w:t xml:space="preserve">di regola illegale, rischio di contraffazione</w:t>
            </w:r>
          </w:p>
        </w:tc>
      </w:tr>
      <w:tr>
        <w:tc>
          <w:tcPr/>
          <w:p>
            <w:pPr>
              <w:pStyle w:val="Compact"/>
              <w:jc w:val="left"/>
            </w:pPr>
            <w:r>
              <w:t xml:space="preserve">Peptide non autorizzato come „sostanza chimica per la ricerca“</w:t>
            </w:r>
          </w:p>
        </w:tc>
        <w:tc>
          <w:tcPr/>
          <w:p>
            <w:pPr>
              <w:pStyle w:val="Compact"/>
              <w:jc w:val="left"/>
            </w:pPr>
            <w:r>
              <w:t xml:space="preserve">di regola farmaco non commerciabile</w:t>
            </w:r>
          </w:p>
        </w:tc>
      </w:tr>
      <w:tr>
        <w:tc>
          <w:tcPr/>
          <w:p>
            <w:pPr>
              <w:pStyle w:val="Compact"/>
              <w:jc w:val="left"/>
            </w:pPr>
            <w:r>
              <w:t xml:space="preserve">Peptidi di collagene come alimento</w:t>
            </w:r>
          </w:p>
        </w:tc>
        <w:tc>
          <w:tcPr/>
          <w:p>
            <w:pPr>
              <w:pStyle w:val="Compact"/>
              <w:jc w:val="left"/>
            </w:pPr>
            <w:r>
              <w:t xml:space="preserve">legale, affermazioni pubblicitarie limitate</w:t>
            </w:r>
          </w:p>
        </w:tc>
      </w:tr>
      <w:tr>
        <w:tc>
          <w:tcPr/>
          <w:p>
            <w:pPr>
              <w:pStyle w:val="Compact"/>
              <w:jc w:val="left"/>
            </w:pPr>
            <w:r>
              <w:t xml:space="preserve">Crema ai peptidi come cosmetico</w:t>
            </w:r>
          </w:p>
        </w:tc>
        <w:tc>
          <w:tcPr/>
          <w:p>
            <w:pPr>
              <w:pStyle w:val="Compact"/>
              <w:jc w:val="left"/>
            </w:pPr>
            <w:r>
              <w:t xml:space="preserve">legale, purché sicura e non pubblicizzata come rimedio</w:t>
            </w:r>
          </w:p>
        </w:tc>
      </w:tr>
      <w:tr>
        <w:tc>
          <w:tcPr/>
          <w:p>
            <w:pPr>
              <w:pStyle w:val="Compact"/>
              <w:jc w:val="left"/>
            </w:pPr>
            <w:r>
              <w:t xml:space="preserve">Peptide vietato nello sport controllato</w:t>
            </w:r>
          </w:p>
        </w:tc>
        <w:tc>
          <w:tcPr/>
          <w:p>
            <w:pPr>
              <w:pStyle w:val="Compact"/>
              <w:jc w:val="left"/>
            </w:pPr>
            <w:r>
              <w:t xml:space="preserve">violazione antidoping, in parte punibile</w:t>
            </w:r>
          </w:p>
        </w:tc>
      </w:tr>
    </w:tbl>
    <w:bookmarkEnd w:id="126"/>
    <w:bookmarkStart w:id="127" w:name="lessenziale-in-breve-4"/>
    <w:p>
      <w:pPr>
        <w:pStyle w:val="Heading3"/>
      </w:pPr>
      <w:r>
        <w:t xml:space="preserve">L’essenziale in breve</w:t>
      </w:r>
    </w:p>
    <w:p>
      <w:pPr>
        <w:numPr>
          <w:ilvl w:val="0"/>
          <w:numId w:val="1034"/>
        </w:numPr>
        <w:pStyle w:val="Compact"/>
      </w:pPr>
      <w:r>
        <w:t xml:space="preserve">Se un peptide sia un farmaco, un alimento o un cosmetico dipende da effetto, destinazione d’uso e presentazione. In caso di effetto farmacologico prevale la normativa sui farmaci.</w:t>
      </w:r>
    </w:p>
    <w:p>
      <w:pPr>
        <w:numPr>
          <w:ilvl w:val="0"/>
          <w:numId w:val="1034"/>
        </w:numPr>
        <w:pStyle w:val="Compact"/>
      </w:pPr>
      <w:r>
        <w:t xml:space="preserve">I farmaci necessitano di un’autorizzazione. La maggior parte dei farmaci peptidici è soggetta a prescrizione.</w:t>
      </w:r>
    </w:p>
    <w:p>
      <w:pPr>
        <w:numPr>
          <w:ilvl w:val="0"/>
          <w:numId w:val="1034"/>
        </w:numPr>
        <w:pStyle w:val="Compact"/>
      </w:pPr>
      <w:r>
        <w:t xml:space="preserve">La dicitura „solo a scopo di ricerca“ non rende legale la vendita ai privati e non li protegge.</w:t>
      </w:r>
    </w:p>
    <w:p>
      <w:pPr>
        <w:numPr>
          <w:ilvl w:val="0"/>
          <w:numId w:val="1034"/>
        </w:numPr>
        <w:pStyle w:val="Compact"/>
      </w:pPr>
      <w:r>
        <w:t xml:space="preserve">Molti peptidi del mercato grigio sono vietati nello sport, spesso tramite le sezioni S0 e S2 della lista WADA.</w:t>
      </w:r>
    </w:p>
    <w:p>
      <w:pPr>
        <w:numPr>
          <w:ilvl w:val="0"/>
          <w:numId w:val="1034"/>
        </w:numPr>
        <w:pStyle w:val="Compact"/>
      </w:pPr>
      <w:r>
        <w:t xml:space="preserve">Con i prodotti del mercato grigio chi li usa si assume il rischio in gran parte da solo.</w:t>
      </w:r>
    </w:p>
    <w:p>
      <w:pPr>
        <w:pStyle w:val="FirstParagraph"/>
      </w:pPr>
      <w:r>
        <w:t xml:space="preserve">Tutte le informazioni di questo capitolo: aggiornato al 2026, nessuna consulenza legale, da verificare.</w:t>
      </w:r>
    </w:p>
    <w:bookmarkEnd w:id="127"/>
    <w:bookmarkEnd w:id="128"/>
    <w:bookmarkEnd w:id="129"/>
    <w:bookmarkStart w:id="338" w:name="parte-ii-a-metabolismo-e-peso"/>
    <w:p>
      <w:pPr>
        <w:pStyle w:val="Heading1"/>
      </w:pPr>
      <w:r>
        <w:t xml:space="preserve">Parte II · A – Metabolismo e peso</w:t>
      </w:r>
    </w:p>
    <w:p>
      <w:pPr>
        <w:pStyle w:val="FirstParagraph"/>
      </w:pPr>
      <w:r>
        <w:t xml:space="preserve">Nessun gruppo di peptidi ha cambiato la medicina degli ultimi anni quanto i principi attivi di questa sezione. Sviluppati in origine per il diabete di tipo 2, sono poi diventati i farmaci dimagranti più efficaci mai esistiti e oggi vengono studiati nello scompenso cardiaco, nell’apnea notturna, nella steatosi epatica e nelle malattie renali. Al tempo stesso quasi nessun altro ambito è così colpito dal mercato grigio: principi attivi ancora in fase di studio vengono venduti su Internet come „Research Peptides“.</w:t>
      </w:r>
    </w:p>
    <w:bookmarkStart w:id="130" w:name="X50a21807194bf7bc33cb9f9acec1ab06fcdc9dd"/>
    <w:p>
      <w:pPr>
        <w:pStyle w:val="Heading3"/>
      </w:pPr>
      <w:r>
        <w:t xml:space="preserve">Che cosa accomuna questi principi attivi: ormoni dell’intestino e del pancreas</w:t>
      </w:r>
    </w:p>
    <w:p>
      <w:pPr>
        <w:pStyle w:val="FirstParagraph"/>
      </w:pPr>
      <w:r>
        <w:t xml:space="preserve">Quasi tutti i principi attivi di questo gruppo imitano ormoni che l’organismo rilascia intorno a un pasto. Quattro di essi dovrebbe conoscerli:</w:t>
      </w:r>
    </w:p>
    <w:p>
      <w:pPr>
        <w:numPr>
          <w:ilvl w:val="0"/>
          <w:numId w:val="1035"/>
        </w:numPr>
        <w:pStyle w:val="Compact"/>
      </w:pPr>
      <w:r>
        <w:t xml:space="preserve">Il</w:t>
      </w:r>
      <w:r>
        <w:t xml:space="preserve"> </w:t>
      </w:r>
      <w:r>
        <w:rPr>
          <w:bCs/>
          <w:b/>
        </w:rPr>
        <w:t xml:space="preserve">GLP-1 (glucagon-like peptide-1)</w:t>
      </w:r>
      <w:r>
        <w:t xml:space="preserve"> </w:t>
      </w:r>
      <w:r>
        <w:t xml:space="preserve">viene rilasciato dalle cellule dell’intestino tenue e del colon non appena arriva il cibo. Potenzia la secrezione di insulina – ma solo quando la glicemia è elevata –, rallenta lo svuotamento gastrico e segnala sazietà al cervello. Il GLP-1 endogeno viene degradato nel giro di pochi minuti; i farmaci sono modificati in modo da agire da un giorno a una settimana.</w:t>
      </w:r>
    </w:p>
    <w:p>
      <w:pPr>
        <w:numPr>
          <w:ilvl w:val="0"/>
          <w:numId w:val="1035"/>
        </w:numPr>
        <w:pStyle w:val="Compact"/>
      </w:pPr>
      <w:r>
        <w:t xml:space="preserve">Il</w:t>
      </w:r>
      <w:r>
        <w:t xml:space="preserve"> </w:t>
      </w:r>
      <w:r>
        <w:rPr>
          <w:bCs/>
          <w:b/>
        </w:rPr>
        <w:t xml:space="preserve">GIP (polipeptide insulinotropico glucosio-dipendente)</w:t>
      </w:r>
      <w:r>
        <w:t xml:space="preserve"> </w:t>
      </w:r>
      <w:r>
        <w:t xml:space="preserve">proviene dalla parte superiore dell’intestino tenue e potenzia anch’esso la secrezione di insulina. Il suo ruolo su appetito e peso corporeo è contraddittorio: la tirzepatide attiva il recettore del GIP, maridebart cafraglutide lo blocca – ed entrambi portano a una perdita di peso.</w:t>
      </w:r>
    </w:p>
    <w:p>
      <w:pPr>
        <w:numPr>
          <w:ilvl w:val="0"/>
          <w:numId w:val="1035"/>
        </w:numPr>
        <w:pStyle w:val="Compact"/>
      </w:pPr>
      <w:r>
        <w:t xml:space="preserve">Il</w:t>
      </w:r>
      <w:r>
        <w:t xml:space="preserve"> </w:t>
      </w:r>
      <w:r>
        <w:rPr>
          <w:bCs/>
          <w:b/>
        </w:rPr>
        <w:t xml:space="preserve">glucagone</w:t>
      </w:r>
      <w:r>
        <w:t xml:space="preserve"> </w:t>
      </w:r>
      <w:r>
        <w:t xml:space="preserve">è l’ormone antagonista dell’insulina prodotto dal pancreas. Innalza la glicemia, ma aumenta anche il dispendio energetico e la degradazione dei grassi nel fegato. I principi attivi più recenti sfruttano in modo mirato questo secondo aspetto.</w:t>
      </w:r>
    </w:p>
    <w:p>
      <w:pPr>
        <w:numPr>
          <w:ilvl w:val="0"/>
          <w:numId w:val="1035"/>
        </w:numPr>
        <w:pStyle w:val="Compact"/>
      </w:pPr>
      <w:r>
        <w:t xml:space="preserve">L’</w:t>
      </w:r>
      <w:r>
        <w:rPr>
          <w:bCs/>
          <w:b/>
        </w:rPr>
        <w:t xml:space="preserve">amilina</w:t>
      </w:r>
      <w:r>
        <w:t xml:space="preserve"> </w:t>
      </w:r>
      <w:r>
        <w:t xml:space="preserve">viene rilasciata insieme all’insulina dalle cellule beta del pancreas. Agisce nel tronco encefalico dando sazietà e rallenta lo svuotamento gastrico.</w:t>
      </w:r>
    </w:p>
    <w:p>
      <w:pPr>
        <w:pStyle w:val="FirstParagraph"/>
      </w:pPr>
      <w:r>
        <w:t xml:space="preserve">GLP-1 e GIP sono chiamati</w:t>
      </w:r>
      <w:r>
        <w:t xml:space="preserve"> </w:t>
      </w:r>
      <w:r>
        <w:rPr>
          <w:bCs/>
          <w:b/>
        </w:rPr>
        <w:t xml:space="preserve">incretine</w:t>
      </w:r>
      <w:r>
        <w:t xml:space="preserve"> </w:t>
      </w:r>
      <w:r>
        <w:t xml:space="preserve">(dall’inglese „INtestinal seCRETion of INsulin“, cioè secrezione di insulina innescata dall’intestino): spiegano perché lo zucchero che viene mangiato libera più insulina della stessa quantità di zucchero somministrata direttamente in vena. Lo sviluppo si può leggere come una sequenza di tappe: prima gli agonisti puri del GLP-1, poi le combinazioni con GIP, glucagone o amilina in un’unica molecola, infine compresse che non sono più affatto peptidi.</w:t>
      </w:r>
    </w:p>
    <w:p>
      <w:pPr>
        <w:pStyle w:val="BodyText"/>
      </w:pPr>
      <w:r>
        <w:t xml:space="preserve">Due principi attivi di questo gruppo non rientrano in questo schema: la</w:t>
      </w:r>
      <w:r>
        <w:t xml:space="preserve"> </w:t>
      </w:r>
      <w:r>
        <w:rPr>
          <w:bCs/>
          <w:b/>
        </w:rPr>
        <w:t xml:space="preserve">setmelanotide</w:t>
      </w:r>
      <w:r>
        <w:t xml:space="preserve"> </w:t>
      </w:r>
      <w:r>
        <w:t xml:space="preserve">agisce più in profondità nel cervello, sul recettore della melanocortina 4, ed è destinata solo a rare forme genetiche di obesità. L’</w:t>
      </w:r>
      <w:r>
        <w:rPr>
          <w:bCs/>
          <w:b/>
        </w:rPr>
        <w:t xml:space="preserve">AOD-9604</w:t>
      </w:r>
      <w:r>
        <w:t xml:space="preserve"> </w:t>
      </w:r>
      <w:r>
        <w:t xml:space="preserve">è un frammento dell’ormone della crescita commercializzato come „brucia-grassi“ senza che esistano studi pubblicati sull’uomo.</w:t>
      </w:r>
    </w:p>
    <w:bookmarkEnd w:id="130"/>
    <w:bookmarkStart w:id="131" w:name="panoramica"/>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primo agonista del GLP-1, dal veleno di una lucertola</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iniezione giornaliera, generici</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settimanale, fusione con anticorpo</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iniezione e compressa, protezione cardiaca dimostrata</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GIP più GLP-1, riferimento nel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e glucagone</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glucagone più GLP-1, focus sul fegato</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solo Cina</w:t>
            </w:r>
          </w:p>
        </w:tc>
        <w:tc>
          <w:tcPr/>
          <w:p>
            <w:pPr>
              <w:pStyle w:val="Compact"/>
              <w:jc w:val="left"/>
            </w:pPr>
            <w:r>
              <w:t xml:space="preserve">glucagone più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combinata con semaglutide</w:t>
            </w:r>
          </w:p>
        </w:tc>
      </w:tr>
      <w:tr>
        <w:tc>
          <w:tcPr/>
          <w:p>
            <w:pPr>
              <w:pStyle w:val="Compact"/>
              <w:jc w:val="left"/>
            </w:pPr>
            <w:r>
              <w:t xml:space="preserve">Amycretin (zenagamtide)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e GLP-1 in una sola molecola</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bloccante del GIP, somministrazione mensile</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solo USA</w:t>
            </w:r>
          </w:p>
        </w:tc>
        <w:tc>
          <w:tcPr/>
          <w:p>
            <w:pPr>
              <w:pStyle w:val="Compact"/>
              <w:jc w:val="left"/>
            </w:pPr>
            <w:r>
              <w:t xml:space="preserve">primo farmaco a base di amilina</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obesità genetica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frammento dell’ormone della crescita, mercato grigio</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aperta</w:t>
            </w:r>
          </w:p>
        </w:tc>
        <w:tc>
          <w:tcPr/>
          <w:p>
            <w:pPr>
              <w:pStyle w:val="Compact"/>
              <w:jc w:val="left"/>
            </w:pPr>
            <w:r>
              <w:t xml:space="preserve">non è un peptide, compressa (confronto)</w:t>
            </w:r>
          </w:p>
        </w:tc>
      </w:tr>
    </w:tbl>
    <w:p>
      <w:pPr>
        <w:pStyle w:val="BodyText"/>
      </w:pPr>
      <w:r>
        <w:t xml:space="preserve">I livelli di evidenza sono spiegati nella Parte I. Le informazioni sulle autorizzazioni si riferiscono alla situazione di ottobre 2026 e ad almeno un’indicazione; i dettagli si trovano nei singoli capitoli. Verifichi la situazione attuale, perché proprio in questo gruppo le autorizzazioni cambiano rapidamente.</w:t>
      </w:r>
    </w:p>
    <w:bookmarkEnd w:id="131"/>
    <w:bookmarkStart w:id="132" w:name="indicazioni-per-la-lettura"/>
    <w:p>
      <w:pPr>
        <w:pStyle w:val="Heading3"/>
      </w:pPr>
      <w:r>
        <w:t xml:space="preserve">Indicazioni per la lettura</w:t>
      </w:r>
    </w:p>
    <w:p>
      <w:pPr>
        <w:pStyle w:val="FirstParagraph"/>
      </w:pPr>
      <w:r>
        <w:t xml:space="preserve">I capitoli seguono a grandi linee lo sviluppo storico: dagli agonisti del GLP-1 consolidati (dall’exenatide alla semaglutide) ai principi attivi combinati (dalla tirzepatide a maridebart cafraglutide), ai casi particolari (pramlintide, setmelanotide, AOD-9604) e infine all’orforglipron, incluso come non-peptide a scopo di confronto.</w:t>
      </w:r>
    </w:p>
    <w:p>
      <w:pPr>
        <w:pStyle w:val="BodyText"/>
      </w:pPr>
      <w:r>
        <w:t xml:space="preserve">Chi vuole farsi un’idea rapida comincia con semaglutide e tirzepatide – su di esse si misurano tutti gli altri. I confronti diretti di perdita di peso, riduzione della glicemia, esiti cardiovascolari ed effetti collaterali tra tutti i principi attivi si trovano nella Parte III. I rischi di classe come i problemi a carico di colecisti e pancreas, la perdita muscolare e le questioni relative alla tiroide sono trattati diffusamente nella Parte IV.</w:t>
      </w:r>
    </w:p>
    <w:p>
      <w:pPr>
        <w:pStyle w:val="BodyText"/>
      </w:pPr>
      <w:r>
        <w:t xml:space="preserve">Due principi valgono per l’intero gruppo: primo, i capitoli descrivono risultati di studi, non istruzioni di trattamento – per i farmaci autorizzati fanno fede il Riassunto delle caratteristiche del prodotto e l’accompagnamento medico. Secondo, con quasi tutti i principi attivi gran parte del peso perso ritorna quando il trattamento termina. Questi farmaci agiscono finché vengono assunti; non sono una cura risolutiva.</w:t>
      </w:r>
    </w:p>
    <w:bookmarkEnd w:id="132"/>
    <w:bookmarkStart w:id="148" w:name="exenatide"/>
    <w:p>
      <w:pPr>
        <w:pStyle w:val="Heading2"/>
      </w:pPr>
      <w:r>
        <w:t xml:space="preserve">Exenatide</w:t>
      </w:r>
    </w:p>
    <w:bookmarkStart w:id="133" w:name="scheda"/>
    <w:p>
      <w:pPr>
        <w:pStyle w:val="Heading3"/>
      </w:pPr>
      <w:r>
        <w:t xml:space="preserve">Scheda</w:t>
      </w:r>
    </w:p>
    <w:p>
      <w:pPr>
        <w:numPr>
          <w:ilvl w:val="0"/>
          <w:numId w:val="1036"/>
        </w:numPr>
        <w:pStyle w:val="Compact"/>
      </w:pPr>
      <w:r>
        <w:rPr>
          <w:bCs/>
          <w:b/>
        </w:rPr>
        <w:t xml:space="preserve">Tipo/struttura:</w:t>
      </w:r>
      <w:r>
        <w:t xml:space="preserve"> </w:t>
      </w:r>
      <w:r>
        <w:t xml:space="preserve">peptide di 39 amminoacidi, forma prodotta per sintesi dell’exendina-4. Circa metà della sequenza coincide con l’ormone intestinale umano GLP-1.</w:t>
      </w:r>
    </w:p>
    <w:p>
      <w:pPr>
        <w:numPr>
          <w:ilvl w:val="0"/>
          <w:numId w:val="1036"/>
        </w:numPr>
        <w:pStyle w:val="Compact"/>
      </w:pPr>
      <w:r>
        <w:rPr>
          <w:bCs/>
          <w:b/>
        </w:rPr>
        <w:t xml:space="preserve">Origine:</w:t>
      </w:r>
      <w:r>
        <w:t xml:space="preserve"> </w:t>
      </w:r>
      <w:r>
        <w:t xml:space="preserve">l’exendina-4 è stata isolata nel 1992 dal veleno del mostro di Gila (</w:t>
      </w:r>
      <w:r>
        <w:rPr>
          <w:iCs/>
          <w:i/>
        </w:rPr>
        <w:t xml:space="preserve">Heloderma suspectum</w:t>
      </w:r>
      <w:r>
        <w:t xml:space="preserve">) (Eng 1992, PMID 1313797).</w:t>
      </w:r>
    </w:p>
    <w:p>
      <w:pPr>
        <w:numPr>
          <w:ilvl w:val="0"/>
          <w:numId w:val="1036"/>
        </w:numPr>
        <w:pStyle w:val="Compact"/>
      </w:pPr>
      <w:r>
        <w:rPr>
          <w:bCs/>
          <w:b/>
        </w:rPr>
        <w:t xml:space="preserve">Meccanismo d’azione:</w:t>
      </w:r>
      <w:r>
        <w:t xml:space="preserve"> </w:t>
      </w:r>
      <w:r>
        <w:t xml:space="preserve">agonista del recettore del GLP-1. L’exenatide imita l’ormone della sazietà e incretina GLP-1, ma viene degradata molto più lentamente.</w:t>
      </w:r>
    </w:p>
    <w:p>
      <w:pPr>
        <w:numPr>
          <w:ilvl w:val="0"/>
          <w:numId w:val="1036"/>
        </w:numPr>
        <w:pStyle w:val="Compact"/>
      </w:pPr>
      <w:r>
        <w:rPr>
          <w:bCs/>
          <w:b/>
        </w:rPr>
        <w:t xml:space="preserve">Forme farmaceutiche:</w:t>
      </w:r>
      <w:r>
        <w:t xml:space="preserve"> </w:t>
      </w:r>
      <w:r>
        <w:t xml:space="preserve">due volte al giorno (Byetta) e una volta alla settimana come deposito con microsfere (Bydureon, in seguito come penna preriempita o autoiniettore). Negli studi anche: impianto a pompa (ITCA 650) e varianti peghilate (PB-119, NLY01).</w:t>
      </w:r>
    </w:p>
    <w:p>
      <w:pPr>
        <w:numPr>
          <w:ilvl w:val="0"/>
          <w:numId w:val="1036"/>
        </w:numPr>
        <w:pStyle w:val="Compact"/>
      </w:pPr>
      <w:r>
        <w:rPr>
          <w:bCs/>
          <w:b/>
        </w:rPr>
        <w:t xml:space="preserve">Autorizzazione UE:</w:t>
      </w:r>
      <w:r>
        <w:t xml:space="preserve"> </w:t>
      </w:r>
      <w:r>
        <w:t xml:space="preserve">sì, per il trattamento del diabete di tipo 2 (Byetta, Bydureon). Nessuna autorizzazione per la riduzione del peso.</w:t>
      </w:r>
    </w:p>
    <w:p>
      <w:pPr>
        <w:numPr>
          <w:ilvl w:val="0"/>
          <w:numId w:val="1036"/>
        </w:numPr>
        <w:pStyle w:val="Compact"/>
      </w:pPr>
      <w:r>
        <w:rPr>
          <w:bCs/>
          <w:b/>
        </w:rPr>
        <w:t xml:space="preserve">Autorizzazione USA:</w:t>
      </w:r>
      <w:r>
        <w:t xml:space="preserve"> </w:t>
      </w:r>
      <w:r>
        <w:t xml:space="preserve">sì, diabete di tipo 2 (Byetta nel 2005 come primo agonista del recettore del GLP-1 in assoluto, Bydureon/Bydureon BCise), la forma settimanale anche per adolescenti dai 10 anni. Nel frattempo lì esistono anche preparati di imitazione della forma due volte al giorno. La disponibilità dei singoli preparati varia – da verificare.</w:t>
      </w:r>
    </w:p>
    <w:p>
      <w:pPr>
        <w:numPr>
          <w:ilvl w:val="0"/>
          <w:numId w:val="1036"/>
        </w:numPr>
        <w:pStyle w:val="Compact"/>
      </w:pPr>
      <w:r>
        <w:rPr>
          <w:bCs/>
          <w:b/>
        </w:rPr>
        <w:t xml:space="preserve">WADA:</w:t>
      </w:r>
      <w:r>
        <w:t xml:space="preserve"> </w:t>
      </w:r>
      <w:r>
        <w:t xml:space="preserve">non elencata (aggiornato al 2026, da verificare).</w:t>
      </w:r>
    </w:p>
    <w:p>
      <w:pPr>
        <w:numPr>
          <w:ilvl w:val="0"/>
          <w:numId w:val="1036"/>
        </w:numPr>
        <w:pStyle w:val="Compact"/>
      </w:pPr>
      <w:r>
        <w:rPr>
          <w:bCs/>
          <w:b/>
        </w:rPr>
        <w:t xml:space="preserve">Livello di evidenza:</w:t>
      </w:r>
      <w:r>
        <w:t xml:space="preserve"> </w:t>
      </w:r>
      <w:r>
        <w:rPr>
          <w:bCs/>
          <w:b/>
        </w:rPr>
        <w:t xml:space="preserve">A</w:t>
      </w:r>
      <w:r>
        <w:t xml:space="preserve"> </w:t>
      </w:r>
      <w:r>
        <w:t xml:space="preserve">– numerosi grandi studi randomizzati, un grande studio di esito cardiovascolare, autorizzazione dal 2005.</w:t>
      </w:r>
    </w:p>
    <w:bookmarkEnd w:id="133"/>
    <w:bookmarkStart w:id="134" w:name="come-dovrebbe-agire"/>
    <w:p>
      <w:pPr>
        <w:pStyle w:val="Heading3"/>
      </w:pPr>
      <w:r>
        <w:t xml:space="preserve">Come dovrebbe agire</w:t>
      </w:r>
    </w:p>
    <w:p>
      <w:pPr>
        <w:pStyle w:val="FirstParagraph"/>
      </w:pPr>
      <w:r>
        <w:t xml:space="preserve">Dopo un pasto l’intestino rilascia l’ormone GLP-1 (glucagon-like peptide-1). Esso segnala al pancreas di liberare più insulina – ma solo finché la glicemia è elevata. Al tempo stesso frena l’ormone glucagone, che innalza la glicemia, rallenta lo svuotamento gastrico e agisce nel cervello sui centri che regolano fame e sazietà. Poiché il rilascio di insulina dipende dal glucosio, gli agonisti del recettore del GLP-1 da soli causano raramente ipoglicemie.</w:t>
      </w:r>
    </w:p>
    <w:p>
      <w:pPr>
        <w:pStyle w:val="BodyText"/>
      </w:pPr>
      <w:r>
        <w:t xml:space="preserve">Il GLP-1 endogeno ha però uno svantaggio decisivo: l’enzima DPP-4 lo scompone nel giro di circa due minuti. Come farmaco è quindi inutilizzabile. Anche l’exendina-4 del veleno di lucertola si lega al recettore del GLP-1, ma è in gran parte insensibile alla DPP-4. Questa scoperta casuale ha fatto dell’exenatide il primo rappresentante di una classe di principi attivi che due decenni dopo, con semaglutide e tirzepatide, avrebbe cambiato la medicina.</w:t>
      </w:r>
    </w:p>
    <w:p>
      <w:pPr>
        <w:pStyle w:val="BodyText"/>
      </w:pPr>
      <w:r>
        <w:t xml:space="preserve">La forma originale agisce solo per alcune ore e deve quindi essere iniettata due volte al giorno prima dei pasti principali. Riduce soprattutto l’aumento della glicemia dopo il pasto, tra l’altro perché rallenta nettamente lo svuotamento gastrico. La forma settimanale racchiude lo stesso principio attivo in microsfere di materiale plastico biodegradabile (PLGA), da cui viene rilasciato lentamente. In questo modo il livello resta più costante; l’effetto sulla glicemia a digiuno si rafforza, quello sullo svuotamento gastrico si attenua un po’ nel tempo.</w:t>
      </w:r>
    </w:p>
    <w:p>
      <w:pPr>
        <w:pStyle w:val="BodyText"/>
      </w:pPr>
      <w:r>
        <w:t xml:space="preserve">Una differenza importante rispetto ai principi attivi successivi: l’exenatide è simile al GLP-1 umano solo per circa la metà. Il sistema immunitario la riconosce quindi più spesso come estranea e forma anticorpi. Nella maggior parte dei trattati ciò resta senza conseguenze; in una piccola parte con livelli elevati di anticorpi l’effetto può diminuire.</w:t>
      </w:r>
    </w:p>
    <w:bookmarkEnd w:id="134"/>
    <w:bookmarkStart w:id="142" w:name="studi-sulluomo"/>
    <w:p>
      <w:pPr>
        <w:pStyle w:val="Heading3"/>
      </w:pPr>
      <w:r>
        <w:t xml:space="preserve">Studi sull’uomo</w:t>
      </w:r>
    </w:p>
    <w:p>
      <w:pPr>
        <w:pStyle w:val="FirstParagraph"/>
      </w:pPr>
      <w:r>
        <w:t xml:space="preserve">I dati degli studi sull’exenatide sono ampi. La ricerca su PubMed analizzata per questo libro (termine di ricerca „exenatide“ nel titolo o nell’abstract, data della ricerca ottobre 2026) ha restituito 437 studi sull’uomo; su ClinicalTrials.gov sono riportate 379 voci di registro con exenatide. Molti sono piccoli studi sul meccanismo o sulle combinazioni. Per la valutazione contano soprattutto tre gruppi: i programmi registrativi AMIGO (forma due volte al giorno) e DURATION (forma settimanale), lo studio di esito cardiovascolare EXSCEL e una serie di studi al di là del diabete, in particolare sulla malattia di Parkinson.</w:t>
      </w:r>
    </w:p>
    <w:bookmarkStart w:id="135" w:name="gli-studi-amigo-lavvio-della-classe"/>
    <w:p>
      <w:pPr>
        <w:pStyle w:val="Heading4"/>
      </w:pPr>
      <w:r>
        <w:t xml:space="preserve">Gli studi AMIGO: l’avvio della classe</w:t>
      </w:r>
    </w:p>
    <w:p>
      <w:pPr>
        <w:pStyle w:val="FirstParagraph"/>
      </w:pPr>
      <w:r>
        <w:t xml:space="preserve">Tre studi controllati con placebo di 30 settimane ciascuno hanno costituito la base della prima autorizzazione. Hanno valutato l’exenatide due volte al giorno (5 o 10 microgrammi per somministrazione) in aggiunta alle compresse già in uso.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 (braccio 10 µg vs. placebo)</w:t>
            </w:r>
          </w:p>
        </w:tc>
      </w:tr>
      <w:tr>
        <w:tc>
          <w:tcPr/>
          <w:p>
            <w:pPr>
              <w:pStyle w:val="Compact"/>
              <w:jc w:val="left"/>
            </w:pPr>
            <w:r>
              <w:t xml:space="preserve">Buse 2004, PMID 15504997</w:t>
            </w:r>
          </w:p>
        </w:tc>
        <w:tc>
          <w:tcPr/>
          <w:p>
            <w:pPr>
              <w:pStyle w:val="Compact"/>
              <w:jc w:val="left"/>
            </w:pPr>
            <w:r>
              <w:t xml:space="preserve">diabete di tipo 2 in terapia con sulfonilurea, RCT contro placebo</w:t>
            </w:r>
          </w:p>
        </w:tc>
        <w:tc>
          <w:tcPr/>
          <w:p>
            <w:pPr>
              <w:pStyle w:val="Compact"/>
              <w:jc w:val="left"/>
            </w:pPr>
            <w:r>
              <w:t xml:space="preserve">30 settimane</w:t>
            </w:r>
          </w:p>
        </w:tc>
        <w:tc>
          <w:tcPr/>
          <w:p>
            <w:pPr>
              <w:pStyle w:val="Compact"/>
              <w:jc w:val="left"/>
            </w:pPr>
            <w:r>
              <w:t xml:space="preserve">HbA1c −0,86 vs. +0,12 punti percentuali; peso −1,6 kg</w:t>
            </w:r>
          </w:p>
        </w:tc>
      </w:tr>
      <w:tr>
        <w:tc>
          <w:tcPr/>
          <w:p>
            <w:pPr>
              <w:pStyle w:val="Compact"/>
              <w:jc w:val="left"/>
            </w:pPr>
            <w:r>
              <w:t xml:space="preserve">DeFronzo 2005, PMID 15855572</w:t>
            </w:r>
          </w:p>
        </w:tc>
        <w:tc>
          <w:tcPr/>
          <w:p>
            <w:pPr>
              <w:pStyle w:val="Compact"/>
              <w:jc w:val="left"/>
            </w:pPr>
            <w:r>
              <w:t xml:space="preserve">diabete di tipo 2 in terapia con metformina, RCT contro placebo</w:t>
            </w:r>
          </w:p>
        </w:tc>
        <w:tc>
          <w:tcPr/>
          <w:p>
            <w:pPr>
              <w:pStyle w:val="Compact"/>
              <w:jc w:val="left"/>
            </w:pPr>
            <w:r>
              <w:t xml:space="preserve">30 settimane</w:t>
            </w:r>
          </w:p>
        </w:tc>
        <w:tc>
          <w:tcPr/>
          <w:p>
            <w:pPr>
              <w:pStyle w:val="Compact"/>
              <w:jc w:val="left"/>
            </w:pPr>
            <w:r>
              <w:t xml:space="preserve">HbA1c −0,78 vs. +0,08; peso −2,8 kg; 46% vs. 13% hanno raggiunto HbA1c ≤ 7%</w:t>
            </w:r>
          </w:p>
        </w:tc>
      </w:tr>
      <w:tr>
        <w:tc>
          <w:tcPr/>
          <w:p>
            <w:pPr>
              <w:pStyle w:val="Compact"/>
              <w:jc w:val="left"/>
            </w:pPr>
            <w:r>
              <w:t xml:space="preserve">Kendall 2005, PMID 15855571</w:t>
            </w:r>
          </w:p>
        </w:tc>
        <w:tc>
          <w:tcPr/>
          <w:p>
            <w:pPr>
              <w:pStyle w:val="Compact"/>
              <w:jc w:val="left"/>
            </w:pPr>
            <w:r>
              <w:t xml:space="preserve">diabete di tipo 2 in terapia con metformina più sulfonilurea, RCT</w:t>
            </w:r>
          </w:p>
        </w:tc>
        <w:tc>
          <w:tcPr/>
          <w:p>
            <w:pPr>
              <w:pStyle w:val="Compact"/>
              <w:jc w:val="left"/>
            </w:pPr>
            <w:r>
              <w:t xml:space="preserve">30 settimane</w:t>
            </w:r>
          </w:p>
        </w:tc>
        <w:tc>
          <w:tcPr/>
          <w:p>
            <w:pPr>
              <w:pStyle w:val="Compact"/>
              <w:jc w:val="left"/>
            </w:pPr>
            <w:r>
              <w:t xml:space="preserve">HbA1c −0,8 vs. +0,2; ipoglicemie lievi 28% vs. 13%</w:t>
            </w:r>
          </w:p>
        </w:tc>
      </w:tr>
      <w:tr>
        <w:tc>
          <w:tcPr/>
          <w:p>
            <w:pPr>
              <w:pStyle w:val="Compact"/>
              <w:jc w:val="left"/>
            </w:pPr>
            <w:r>
              <w:t xml:space="preserve">Heine 2005, PMID 16230722</w:t>
            </w:r>
          </w:p>
        </w:tc>
        <w:tc>
          <w:tcPr/>
          <w:p>
            <w:pPr>
              <w:pStyle w:val="Compact"/>
              <w:jc w:val="left"/>
            </w:pPr>
            <w:r>
              <w:t xml:space="preserve">551 persone, confronto in aperto con insulina glargine</w:t>
            </w:r>
          </w:p>
        </w:tc>
        <w:tc>
          <w:tcPr/>
          <w:p>
            <w:pPr>
              <w:pStyle w:val="Compact"/>
              <w:jc w:val="left"/>
            </w:pPr>
            <w:r>
              <w:t xml:space="preserve">26 settimane</w:t>
            </w:r>
          </w:p>
        </w:tc>
        <w:tc>
          <w:tcPr/>
          <w:p>
            <w:pPr>
              <w:pStyle w:val="Compact"/>
              <w:jc w:val="left"/>
            </w:pPr>
            <w:r>
              <w:t xml:space="preserve">HbA1c −1,11 in entrambi; peso −2,3 kg vs. +1,8 kg</w:t>
            </w:r>
          </w:p>
        </w:tc>
      </w:tr>
    </w:tbl>
    <w:p>
      <w:pPr>
        <w:pStyle w:val="BodyText"/>
      </w:pPr>
      <w:r>
        <w:t xml:space="preserve">Il valore di HbA1c (emoglobina glicata) descrive la quota di pigmento rosso del sangue „glicato“ e rispecchia la glicemia degli ultimi due-tre mesi. Una riduzione di 0,8–1 punto percentuale era considerata all’epoca clinicamente rilevante. La novità era che il peso non aumentava, come di consueto con insulina o sulfoniluree, ma diminuiva. Lo studio di Kendall mostra però anche che, in combinazione con una sulfonilurea, che libera insulina indipendentemente dalla glicemia, le ipoglicemie lievi aumentavano.</w:t>
      </w:r>
    </w:p>
    <w:p>
      <w:pPr>
        <w:pStyle w:val="BodyText"/>
      </w:pPr>
      <w:r>
        <w:t xml:space="preserve">Nel confronto diretto con l’insulina glargine (Heine 2005, PMID 16230722) entrambi i trattamenti hanno ridotto l’HbA1c in uguale misura. La differenza di peso era di 4,1 kg a favore dell’exenatide, le ipoglicemie notturne erano più rare (0,9 vs. 2,4 eventi per anno-paziente). Il prezzo: la nausea si è verificata nel 57,1% contro l’8,6%, il vomito nel 17,4% contro il 3,7%. Il 19,4% del gruppo exenatide ha interrotto lo studio, contro il 9,7% con insulina.</w:t>
      </w:r>
    </w:p>
    <w:bookmarkEnd w:id="135"/>
    <w:bookmarkStart w:id="136" w:name="Xbaeb88f770197182a05ecdc4eb73d89567ed2c4"/>
    <w:p>
      <w:pPr>
        <w:pStyle w:val="Heading4"/>
      </w:pPr>
      <w:r>
        <w:t xml:space="preserve">Il programma DURATION: una volta alla settimana</w:t>
      </w:r>
    </w:p>
    <w:p>
      <w:pPr>
        <w:pStyle w:val="FirstParagraph"/>
      </w:pPr>
      <w:r>
        <w:t xml:space="preserve">La forma settimanale è stata valutata in una serie di studi denominata DURATION – contro la forma due volte al giorno, contro compresse, contro insulina e contro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DURATION-1 (Drucker 2008), PMID 18782641</w:t>
            </w:r>
          </w:p>
        </w:tc>
        <w:tc>
          <w:tcPr/>
          <w:p>
            <w:pPr>
              <w:pStyle w:val="Compact"/>
              <w:jc w:val="left"/>
            </w:pPr>
            <w:r>
              <w:t xml:space="preserve">295 persone, in aperto: exenatide settimanale vs. due volte al giorno</w:t>
            </w:r>
          </w:p>
        </w:tc>
        <w:tc>
          <w:tcPr/>
          <w:p>
            <w:pPr>
              <w:pStyle w:val="Compact"/>
              <w:jc w:val="left"/>
            </w:pPr>
            <w:r>
              <w:t xml:space="preserve">30 settimane</w:t>
            </w:r>
          </w:p>
        </w:tc>
        <w:tc>
          <w:tcPr/>
          <w:p>
            <w:pPr>
              <w:pStyle w:val="Compact"/>
              <w:jc w:val="left"/>
            </w:pPr>
            <w:r>
              <w:t xml:space="preserve">HbA1c −1,9 vs. −1,5; obiettivo ≤ 7% nel 77% vs. 61%</w:t>
            </w:r>
          </w:p>
        </w:tc>
      </w:tr>
      <w:tr>
        <w:tc>
          <w:tcPr/>
          <w:p>
            <w:pPr>
              <w:pStyle w:val="Compact"/>
              <w:jc w:val="left"/>
            </w:pPr>
            <w:r>
              <w:t xml:space="preserve">DURATION-1, dati a 5 anni (Wysham 2015), PMID 25744115</w:t>
            </w:r>
          </w:p>
        </w:tc>
        <w:tc>
          <w:tcPr/>
          <w:p>
            <w:pPr>
              <w:pStyle w:val="Compact"/>
              <w:jc w:val="left"/>
            </w:pPr>
            <w:r>
              <w:t xml:space="preserve">258 persone nell’estensione, 153 rimaste per 5 anni</w:t>
            </w:r>
          </w:p>
        </w:tc>
        <w:tc>
          <w:tcPr/>
          <w:p>
            <w:pPr>
              <w:pStyle w:val="Compact"/>
              <w:jc w:val="left"/>
            </w:pPr>
            <w:r>
              <w:t xml:space="preserve">5 anni</w:t>
            </w:r>
          </w:p>
        </w:tc>
        <w:tc>
          <w:tcPr/>
          <w:p>
            <w:pPr>
              <w:pStyle w:val="Compact"/>
              <w:jc w:val="left"/>
            </w:pPr>
            <w:r>
              <w:t xml:space="preserve">HbA1c ancora −1,6; peso −3,0 kg</w:t>
            </w:r>
          </w:p>
        </w:tc>
      </w:tr>
      <w:tr>
        <w:tc>
          <w:tcPr/>
          <w:p>
            <w:pPr>
              <w:pStyle w:val="Compact"/>
              <w:jc w:val="left"/>
            </w:pPr>
            <w:r>
              <w:t xml:space="preserve">DURATION-2 (Bergenstal 2010), PMID 20580422</w:t>
            </w:r>
          </w:p>
        </w:tc>
        <w:tc>
          <w:tcPr/>
          <w:p>
            <w:pPr>
              <w:pStyle w:val="Compact"/>
              <w:jc w:val="left"/>
            </w:pPr>
            <w:r>
              <w:t xml:space="preserve">514 persone in terapia con metformina, vs. sitagliptin o pioglitazone</w:t>
            </w:r>
          </w:p>
        </w:tc>
        <w:tc>
          <w:tcPr/>
          <w:p>
            <w:pPr>
              <w:pStyle w:val="Compact"/>
              <w:jc w:val="left"/>
            </w:pPr>
            <w:r>
              <w:t xml:space="preserve">26 settimane</w:t>
            </w:r>
          </w:p>
        </w:tc>
        <w:tc>
          <w:tcPr/>
          <w:p>
            <w:pPr>
              <w:pStyle w:val="Compact"/>
              <w:jc w:val="left"/>
            </w:pPr>
            <w:r>
              <w:t xml:space="preserve">HbA1c −1,5 vs. −0,9 e −1,2 rispettivamente; peso −2,3 kg</w:t>
            </w:r>
          </w:p>
        </w:tc>
      </w:tr>
      <w:tr>
        <w:tc>
          <w:tcPr/>
          <w:p>
            <w:pPr>
              <w:pStyle w:val="Compact"/>
              <w:jc w:val="left"/>
            </w:pPr>
            <w:r>
              <w:t xml:space="preserve">DURATION-3 (Diamant 2010), PMID 20609969</w:t>
            </w:r>
          </w:p>
        </w:tc>
        <w:tc>
          <w:tcPr/>
          <w:p>
            <w:pPr>
              <w:pStyle w:val="Compact"/>
              <w:jc w:val="left"/>
            </w:pPr>
            <w:r>
              <w:t xml:space="preserve">456 persone, in aperto vs. insulina glargine</w:t>
            </w:r>
          </w:p>
        </w:tc>
        <w:tc>
          <w:tcPr/>
          <w:p>
            <w:pPr>
              <w:pStyle w:val="Compact"/>
              <w:jc w:val="left"/>
            </w:pPr>
            <w:r>
              <w:t xml:space="preserve">26 settimane</w:t>
            </w:r>
          </w:p>
        </w:tc>
        <w:tc>
          <w:tcPr/>
          <w:p>
            <w:pPr>
              <w:pStyle w:val="Compact"/>
              <w:jc w:val="left"/>
            </w:pPr>
            <w:r>
              <w:t xml:space="preserve">HbA1c −1,5 vs. −1,3; interruzione per effetti collaterali 5% vs. 1%</w:t>
            </w:r>
          </w:p>
        </w:tc>
      </w:tr>
      <w:tr>
        <w:tc>
          <w:tcPr/>
          <w:p>
            <w:pPr>
              <w:pStyle w:val="Compact"/>
              <w:jc w:val="left"/>
            </w:pPr>
            <w:r>
              <w:t xml:space="preserve">DURATION-6 (Buse 2013), PMID 23141817</w:t>
            </w:r>
          </w:p>
        </w:tc>
        <w:tc>
          <w:tcPr/>
          <w:p>
            <w:pPr>
              <w:pStyle w:val="Compact"/>
              <w:jc w:val="left"/>
            </w:pPr>
            <w:r>
              <w:t xml:space="preserve">911 persone, in aperto vs. liraglutide giornaliera</w:t>
            </w:r>
          </w:p>
        </w:tc>
        <w:tc>
          <w:tcPr/>
          <w:p>
            <w:pPr>
              <w:pStyle w:val="Compact"/>
              <w:jc w:val="left"/>
            </w:pPr>
            <w:r>
              <w:t xml:space="preserve">26 settimane</w:t>
            </w:r>
          </w:p>
        </w:tc>
        <w:tc>
          <w:tcPr/>
          <w:p>
            <w:pPr>
              <w:pStyle w:val="Compact"/>
              <w:jc w:val="left"/>
            </w:pPr>
            <w:r>
              <w:t xml:space="preserve">HbA1c −1,28 vs. −1,48; non inferiorità non raggiunta</w:t>
            </w:r>
          </w:p>
        </w:tc>
      </w:tr>
    </w:tbl>
    <w:p>
      <w:pPr>
        <w:pStyle w:val="BodyText"/>
      </w:pPr>
      <w:r>
        <w:t xml:space="preserve">In DURATION-1 la forma settimanale ha ridotto l’emoglobina glicata più della forma giornaliera, con una perdita di peso paragonabile e senza più ipoglicemie. Degna di nota è l’analisi a cinque anni (Wysham 2015, PMID 25744115): delle 258 persone della fase di estensione, 153 (59,3%) sono rimaste in trattamento per cinque anni. In loro l’HbA1c era ancora 1,6 punti percentuali sotto il valore di partenza, il 43,9% ha raggiunto un valore inferiore al 7%. Tali estensioni hanno però una distorsione intrinseca: chi rispondeva male o aveva effetti collaterali spesso non c’è più.</w:t>
      </w:r>
    </w:p>
    <w:p>
      <w:pPr>
        <w:pStyle w:val="BodyText"/>
      </w:pPr>
      <w:r>
        <w:t xml:space="preserve">In DURATION-2 (Bergenstal 2010, PMID 20580422) la forma settimanale è risultata superiore a due compresse allora molto usate: la differenza rispetto al sitagliptin era di 0,6 punti percentuali, rispetto al pioglitazone di 0,3 punti percentuali. Per il peso la differenza rispetto al pioglitazone, che tende a far aumentare di peso, era di 5,1 kg. In DURATION-3 (Diamant 2010, PMID 20609969) l’exenatide settimanale è risultata leggermente superiore all’insulina basale glargine (differenza −0,16 punti percentuali), ma più persone hanno interrotto il trattamento a causa di effetti collaterali.</w:t>
      </w:r>
    </w:p>
    <w:bookmarkEnd w:id="136"/>
    <w:bookmarkStart w:id="137" w:name="Xb793c38512cfbdb8820c8bc1d75ea046ca9b32e"/>
    <w:p>
      <w:pPr>
        <w:pStyle w:val="Heading4"/>
      </w:pPr>
      <w:r>
        <w:t xml:space="preserve">Confronti diretti all’interno della classe GLP-1</w:t>
      </w:r>
    </w:p>
    <w:p>
      <w:pPr>
        <w:pStyle w:val="FirstParagraph"/>
      </w:pPr>
      <w:r>
        <w:t xml:space="preserve">Per collocare l’exenatide sono particolarmente istruttivi gli studi testa a testa con i principi attivi successivi. Mostrano che l’exenatide è efficace, ma viene superata dai successori.</w:t>
      </w:r>
    </w:p>
    <w:p>
      <w:pPr>
        <w:pStyle w:val="BodyText"/>
      </w:pPr>
      <w:r>
        <w:t xml:space="preserve">In</w:t>
      </w:r>
      <w:r>
        <w:t xml:space="preserve"> </w:t>
      </w:r>
      <w:r>
        <w:rPr>
          <w:bCs/>
          <w:b/>
        </w:rPr>
        <w:t xml:space="preserve">DURATION-6</w:t>
      </w:r>
      <w:r>
        <w:t xml:space="preserve"> </w:t>
      </w:r>
      <w:r>
        <w:t xml:space="preserve">(Buse 2013, PMID 23141817) la forma settimanale si è confrontata con la liraglutide una volta al giorno. La liraglutide ha ridotto l’HbA1c di 1,48 punti percentuali, l’exenatide di 1,28. La differenza di 0,21 punti percentuali non ha rispettato il limite prestabilito per „non peggiore“. In compenso l’exenatide era meglio tollerata: la nausea si è verificata nel 9% contro il 21%, la diarrea nel 6% contro il 13%, il vomito nel 4% contro l’11%.</w:t>
      </w:r>
    </w:p>
    <w:p>
      <w:pPr>
        <w:pStyle w:val="BodyText"/>
      </w:pPr>
      <w:r>
        <w:t xml:space="preserve">In</w:t>
      </w:r>
      <w:r>
        <w:t xml:space="preserve"> </w:t>
      </w:r>
      <w:r>
        <w:rPr>
          <w:bCs/>
          <w:b/>
        </w:rPr>
        <w:t xml:space="preserve">SUSTAIN 3</w:t>
      </w:r>
      <w:r>
        <w:t xml:space="preserve"> </w:t>
      </w:r>
      <w:r>
        <w:t xml:space="preserve">(Ahmann 2018, PMID 29246950) l’exenatide settimanale ha perso nettamente in 56 settimane contro la semaglutide settimanale. L’HbA1c è sceso di 0,9 contro 1,5 punti percentuali, il peso di 1,9 contro 5,6 kg. Un HbA1c inferiore al 7% è stato raggiunto dal 40% contro il 67%. I disturbi gastrointestinali erano un po’ più rari con exenatide (33,3% vs. 41,8%), le reazioni nel sito di iniezione invece molto più frequenti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Confronto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(exenatide settimanale vs. confronto)</w:t>
            </w:r>
          </w:p>
        </w:tc>
      </w:tr>
      <w:tr>
        <w:tc>
          <w:tcPr/>
          <w:p>
            <w:pPr>
              <w:pStyle w:val="Compact"/>
              <w:jc w:val="left"/>
            </w:pPr>
            <w:r>
              <w:t xml:space="preserve">DURATION-6 (Buse 2013), PMID 23141817</w:t>
            </w:r>
          </w:p>
        </w:tc>
        <w:tc>
          <w:tcPr/>
          <w:p>
            <w:pPr>
              <w:pStyle w:val="Compact"/>
              <w:jc w:val="left"/>
            </w:pPr>
            <w:r>
              <w:t xml:space="preserve">911 persone, in aperto vs. liraglutide</w:t>
            </w:r>
          </w:p>
        </w:tc>
        <w:tc>
          <w:tcPr/>
          <w:p>
            <w:pPr>
              <w:pStyle w:val="Compact"/>
              <w:jc w:val="left"/>
            </w:pPr>
            <w:r>
              <w:t xml:space="preserve">26 settimane</w:t>
            </w:r>
          </w:p>
        </w:tc>
        <w:tc>
          <w:tcPr/>
          <w:p>
            <w:pPr>
              <w:pStyle w:val="Compact"/>
              <w:jc w:val="left"/>
            </w:pPr>
            <w:r>
              <w:t xml:space="preserve">HbA1c −1,28 vs. −1,48; nausea 9% vs. 21%</w:t>
            </w:r>
          </w:p>
        </w:tc>
      </w:tr>
      <w:tr>
        <w:tc>
          <w:tcPr/>
          <w:p>
            <w:pPr>
              <w:pStyle w:val="Compact"/>
              <w:jc w:val="left"/>
            </w:pPr>
            <w:r>
              <w:t xml:space="preserve">SUSTAIN 3 (Ahmann 2018), PMID 29246950</w:t>
            </w:r>
          </w:p>
        </w:tc>
        <w:tc>
          <w:tcPr/>
          <w:p>
            <w:pPr>
              <w:pStyle w:val="Compact"/>
              <w:jc w:val="left"/>
            </w:pPr>
            <w:r>
              <w:t xml:space="preserve">in aperto vs. semaglutide settimanale</w:t>
            </w:r>
          </w:p>
        </w:tc>
        <w:tc>
          <w:tcPr/>
          <w:p>
            <w:pPr>
              <w:pStyle w:val="Compact"/>
              <w:jc w:val="left"/>
            </w:pPr>
            <w:r>
              <w:t xml:space="preserve">56 settimane</w:t>
            </w:r>
          </w:p>
        </w:tc>
        <w:tc>
          <w:tcPr/>
          <w:p>
            <w:pPr>
              <w:pStyle w:val="Compact"/>
              <w:jc w:val="left"/>
            </w:pPr>
            <w:r>
              <w:t xml:space="preserve">HbA1c −0,9 vs. −1,5; peso −1,9 vs. −5,6 kg</w:t>
            </w:r>
          </w:p>
        </w:tc>
      </w:tr>
    </w:tbl>
    <w:p>
      <w:pPr>
        <w:pStyle w:val="BodyText"/>
      </w:pPr>
      <w:r>
        <w:t xml:space="preserve">Il confronto con la dulaglutide e con la liraglutide rispetto alla forma due volte al giorno (gli studi AWARD-1 e LEAD-6) è discusso nei rispettivi capitoli.</w:t>
      </w:r>
    </w:p>
    <w:p>
      <w:pPr>
        <w:pStyle w:val="BodyText"/>
      </w:pPr>
      <w:r>
        <w:t xml:space="preserve">In sintesi l’exenatide si colloca nella classe nella fascia medio-bassa: più forte degli inibitori della DPP-4 (gliptine), più debole di liraglutide, dulaglutide e soprattutto semaglutide.</w:t>
      </w:r>
    </w:p>
    <w:bookmarkEnd w:id="137"/>
    <w:bookmarkStart w:id="138" w:name="exscel-lo-studio-cardiovascolare"/>
    <w:p>
      <w:pPr>
        <w:pStyle w:val="Heading4"/>
      </w:pPr>
      <w:r>
        <w:t xml:space="preserve">EXSCEL: lo studio cardiovascolare</w:t>
      </w:r>
    </w:p>
    <w:p>
      <w:pPr>
        <w:pStyle w:val="FirstParagraph"/>
      </w:pPr>
      <w:r>
        <w:t xml:space="preserve">Dal 2008 l’autorità statunitense per i farmaci FDA chiede ai nuovi farmaci per il diabete la prova che non aumentino il rischio cardiovascolare. Per l’exenatide settimanale è stato condotto a tale scopo EXSCEL – uno dei più grandi studi di questo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EXSCEL (Holman 2017), PMID 28910237</w:t>
            </w:r>
          </w:p>
        </w:tc>
        <w:tc>
          <w:tcPr/>
          <w:p>
            <w:pPr>
              <w:pStyle w:val="Compact"/>
              <w:jc w:val="left"/>
            </w:pPr>
            <w:r>
              <w:t xml:space="preserve">14.752 persone con diabete di tipo 2, 73,1% con malattia cardiovascolare preesistente, RCT contro placebo</w:t>
            </w:r>
          </w:p>
        </w:tc>
        <w:tc>
          <w:tcPr/>
          <w:p>
            <w:pPr>
              <w:pStyle w:val="Compact"/>
              <w:jc w:val="left"/>
            </w:pPr>
            <w:r>
              <w:t xml:space="preserve">mediana 3,2 anni</w:t>
            </w:r>
          </w:p>
        </w:tc>
        <w:tc>
          <w:tcPr/>
          <w:p>
            <w:pPr>
              <w:pStyle w:val="Compact"/>
              <w:jc w:val="left"/>
            </w:pPr>
            <w:r>
              <w:t xml:space="preserve">Eventi cardiovascolari gravi 11,4% vs. 12,2%; HR 0,91 (0,83–1,00), superiorità mancata di poco (p = 0,06)</w:t>
            </w:r>
          </w:p>
        </w:tc>
      </w:tr>
      <w:tr>
        <w:tc>
          <w:tcPr/>
          <w:p>
            <w:pPr>
              <w:pStyle w:val="Compact"/>
              <w:jc w:val="left"/>
            </w:pPr>
            <w:r>
              <w:t xml:space="preserve">FREEDOM-CVO (Ruff 2022), PMID 34873344</w:t>
            </w:r>
          </w:p>
        </w:tc>
        <w:tc>
          <w:tcPr/>
          <w:p>
            <w:pPr>
              <w:pStyle w:val="Compact"/>
              <w:jc w:val="left"/>
            </w:pPr>
            <w:r>
              <w:t xml:space="preserve">4.156 persone, impianto a pompa di exenatide ITCA 650 vs. placebo</w:t>
            </w:r>
          </w:p>
        </w:tc>
        <w:tc>
          <w:tcPr/>
          <w:p>
            <w:pPr>
              <w:pStyle w:val="Compact"/>
              <w:jc w:val="left"/>
            </w:pPr>
            <w:r>
              <w:t xml:space="preserve">mediana 16 mesi</w:t>
            </w:r>
          </w:p>
        </w:tc>
        <w:tc>
          <w:tcPr/>
          <w:p>
            <w:pPr>
              <w:pStyle w:val="Compact"/>
              <w:jc w:val="left"/>
            </w:pPr>
            <w:r>
              <w:t xml:space="preserve">Eventi 4,6% vs. 3,8%; HR 1,21 (0,90–1,63), criterio di sicurezza soddisfatto</w:t>
            </w:r>
          </w:p>
        </w:tc>
      </w:tr>
    </w:tbl>
    <w:p>
      <w:pPr>
        <w:pStyle w:val="BodyText"/>
      </w:pPr>
      <w:r>
        <w:t xml:space="preserve">L’endpoint principale combinato di EXSCEL (Holman 2017, PMID 28910237) – morte per cause cardiovascolari, infarto miocardico non fatale o ictus – si è verificato con exenatide in 839 persone su 7.356 (11,4%), con placebo in 905 su 7.396 (12,2%). Ciò corrisponde a un hazard ratio (rischio relativo nel tempo) di 0,91. L’exenatide era quindi sicura, ma non dimostratamente protettiva. Pancreatite acuta, cancro del pancreas e carcinoma midollare della tiroide non si sono verificati più spesso che con placebo.</w:t>
      </w:r>
    </w:p>
    <w:p>
      <w:pPr>
        <w:pStyle w:val="BodyText"/>
      </w:pPr>
      <w:r>
        <w:t xml:space="preserve">Perché l’exenatide in EXSCEL abbia ottenuto risultati più deboli della liraglutide in LEADER o della dulaglutide in REWIND non è stato chiarito definitivamente. Si discutono un effetto più debole della molecola stessa, l’elevato tasso di interruzione nello studio e un disegno pragmatico con scarso controllo. In una meta-analisi congiunta dei sette grandi studi di esito sui GLP-1, con complessivamente 56.004 partecipanti (Kristensen 2019, PMID 31422062), la classe ha ridotto gli eventi cardiovascolari gravi del 12% (HR 0,88) – senza differenze rilevanti tra i sottogruppi. EXSCEL rientra quindi nel quadro complessivo, ma si colloca al margine più debole.</w:t>
      </w:r>
    </w:p>
    <w:p>
      <w:pPr>
        <w:pStyle w:val="BodyText"/>
      </w:pPr>
      <w:r>
        <w:t xml:space="preserve">L’impianto a pompa ITCA 650, un dispositivo delle dimensioni di un fiammifero che avrebbe dovuto rilasciare exenatide in modo uniforme per mesi, in FREEDOM-CVO (Ruff 2022, PMID 34873344) ha soddisfatto solo l’ampio limite di sicurezza del 2008. La stima puntuale era sfavorevolmente sopra 1, gli effetti collaterali erano più frequenti che con placebo (72% vs. 63,9%). Il sistema non ha ottenuto l’autorizzazione.</w:t>
      </w:r>
    </w:p>
    <w:bookmarkEnd w:id="138"/>
    <w:bookmarkStart w:id="139" w:name="peso-senza-diabete-e-negli-adolescenti"/>
    <w:p>
      <w:pPr>
        <w:pStyle w:val="Heading4"/>
      </w:pPr>
      <w:r>
        <w:t xml:space="preserve">Peso senza diabete e negli adolescenti</w:t>
      </w:r>
    </w:p>
    <w:p>
      <w:pPr>
        <w:pStyle w:val="FirstParagraph"/>
      </w:pPr>
      <w:r>
        <w:t xml:space="preserve">L’exenatide non è autorizzata per la riduzione del peso, ma è stata studiata a questo scopo in studi più piccoli. Su 152 adulti con obesità senza diabete, i partecipanti con exenatide due volte al giorno più un programma sullo stile di vita hanno perso in 24 settimane 5,1 kg, con placebo 1,6 kg (Rosenstock 2010, PMID 20332357). Una meta-analisi di sei piccoli studi con 362 partecipanti ha rilevato una perdita aggiuntiva media di 4,47 kg rispetto ai controlli (Su 2016, PMID 27343423). È una frazione di ciò che è stato raggiunto in seguito con semaglutide o tirzepatide.</w:t>
      </w:r>
    </w:p>
    <w:p>
      <w:pPr>
        <w:pStyle w:val="BodyText"/>
      </w:pPr>
      <w:r>
        <w:t xml:space="preserve">Negli adolescenti con diabete di tipo 2 la forma settimanale, in uno studio con 83 partecipanti, ha ridotto l’HbA1c dopo 24 settimane di 0,85 punti percentuali in più rispetto al placebo (Tamborlane 2022, PMID 35679098). Una differenza di peso di −1,22 kg non era statisticamente significativa. Questo studio ha costituito la base per l’estensione dell’autorizzazione agli adolescenti.</w:t>
      </w:r>
    </w:p>
    <w:bookmarkEnd w:id="139"/>
    <w:bookmarkStart w:id="140" w:name="X9859a64f4a473c0b105aab9d69762e38ba74984"/>
    <w:p>
      <w:pPr>
        <w:pStyle w:val="Heading4"/>
      </w:pPr>
      <w:r>
        <w:t xml:space="preserve">Parkinson: speranza, disillusione e una expression of concern</w:t>
      </w:r>
    </w:p>
    <w:p>
      <w:pPr>
        <w:pStyle w:val="FirstParagraph"/>
      </w:pPr>
      <w:r>
        <w:t xml:space="preserve">Nessun altro ambito d’impiego ha procurato all’exenatide tanta attenzione al di là del diabete quanto la malattia di Parkinson. Il punto di partenza erano esperimenti su animali e cellule in cui gli agonisti del recettore del GLP-1 proteggevano le cellule nervose.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Exenatide-PD (Athauda 2017), PMID 28781108</w:t>
            </w:r>
          </w:p>
        </w:tc>
        <w:tc>
          <w:tcPr/>
          <w:p>
            <w:pPr>
              <w:pStyle w:val="Compact"/>
              <w:jc w:val="left"/>
            </w:pPr>
            <w:r>
              <w:t xml:space="preserve">62 persone con Parkinson moderato, RCT contro placebo</w:t>
            </w:r>
          </w:p>
        </w:tc>
        <w:tc>
          <w:tcPr/>
          <w:p>
            <w:pPr>
              <w:pStyle w:val="Compact"/>
              <w:jc w:val="left"/>
            </w:pPr>
            <w:r>
              <w:t xml:space="preserve">48 settimane + 12 settimane di washout</w:t>
            </w:r>
          </w:p>
        </w:tc>
        <w:tc>
          <w:tcPr/>
          <w:p>
            <w:pPr>
              <w:pStyle w:val="Compact"/>
              <w:jc w:val="left"/>
            </w:pPr>
            <w:r>
              <w:t xml:space="preserve">Punteggio motorio migliore di −3,5 punti rispetto al placebo (p = 0,0318)</w:t>
            </w:r>
          </w:p>
        </w:tc>
      </w:tr>
      <w:tr>
        <w:tc>
          <w:tcPr/>
          <w:p>
            <w:pPr>
              <w:pStyle w:val="Compact"/>
              <w:jc w:val="left"/>
            </w:pPr>
            <w:r>
              <w:t xml:space="preserve">Exenatide-PD3 (Vijiaratnam 2025), PMID 39919773</w:t>
            </w:r>
          </w:p>
        </w:tc>
        <w:tc>
          <w:tcPr/>
          <w:p>
            <w:pPr>
              <w:pStyle w:val="Compact"/>
              <w:jc w:val="left"/>
            </w:pPr>
            <w:r>
              <w:t xml:space="preserve">194 persone, RCT contro placebo, sei centri</w:t>
            </w:r>
          </w:p>
        </w:tc>
        <w:tc>
          <w:tcPr/>
          <w:p>
            <w:pPr>
              <w:pStyle w:val="Compact"/>
              <w:jc w:val="left"/>
            </w:pPr>
            <w:r>
              <w:t xml:space="preserve">96 settimane</w:t>
            </w:r>
          </w:p>
        </w:tc>
        <w:tc>
          <w:tcPr/>
          <w:p>
            <w:pPr>
              <w:pStyle w:val="Compact"/>
              <w:jc w:val="left"/>
            </w:pPr>
            <w:r>
              <w:t xml:space="preserve">Nessuna differenza: peggioramento di +5,7 vs. +4,5 punti (p = 0,47)</w:t>
            </w:r>
          </w:p>
        </w:tc>
      </w:tr>
      <w:tr>
        <w:tc>
          <w:tcPr/>
          <w:p>
            <w:pPr>
              <w:pStyle w:val="Compact"/>
              <w:jc w:val="left"/>
            </w:pPr>
            <w:r>
              <w:t xml:space="preserve">NLY01 (McGarry 2024), PMID 38101901</w:t>
            </w:r>
          </w:p>
        </w:tc>
        <w:tc>
          <w:tcPr/>
          <w:p>
            <w:pPr>
              <w:pStyle w:val="Compact"/>
              <w:jc w:val="left"/>
            </w:pPr>
            <w:r>
              <w:t xml:space="preserve">255 persone con Parkinson precoce non trattato, exenatide peghilata vs. placebo</w:t>
            </w:r>
          </w:p>
        </w:tc>
        <w:tc>
          <w:tcPr/>
          <w:p>
            <w:pPr>
              <w:pStyle w:val="Compact"/>
              <w:jc w:val="left"/>
            </w:pPr>
            <w:r>
              <w:t xml:space="preserve">36 settimane</w:t>
            </w:r>
          </w:p>
        </w:tc>
        <w:tc>
          <w:tcPr/>
          <w:p>
            <w:pPr>
              <w:pStyle w:val="Compact"/>
              <w:jc w:val="left"/>
            </w:pPr>
            <w:r>
              <w:t xml:space="preserve">Nessuna differenza in entrambi i gruppi di dose</w:t>
            </w:r>
          </w:p>
        </w:tc>
      </w:tr>
    </w:tbl>
    <w:p>
      <w:pPr>
        <w:pStyle w:val="BodyText"/>
      </w:pPr>
      <w:r>
        <w:t xml:space="preserve">Il piccolo studio di Athauda 2017 (PMID 28781108) ha rilevato dopo 60 settimane una differenza di 3,5 punti sulla scala di valutazione motoria MDS-UPDRS parte III, che persisteva anche dopo la sospensione. Ciò è stato spesso interpretato come un possibile primo indizio di un effetto di rallentamento della malattia. Le autrici e gli autori sono rimasti cauti: non era chiaro se l’exenatide influenzasse il decorso della malattia o avesse solo effetti sintomatici di lunga durata.</w:t>
      </w:r>
    </w:p>
    <w:p>
      <w:pPr>
        <w:pStyle w:val="BodyText"/>
      </w:pPr>
      <w:r>
        <w:t xml:space="preserve">Il più grande studio di fase 3 Exenatide-PD3 (Vijiaratnam 2025, PMID 39919773) non ha potuto confermarlo. Dopo 96 settimane il punteggio motorio era peggiorato in modo simile in entrambi i gruppi. I ricercatori hanno concluso che non vi sono prove a favore dell’exenatide come trattamento modificante la malattia. Su questa pubblicazione la rivista scientifica ha pubblicato nel 2026 una cosiddetta expression of concern (Expression of Concern, The Lancet 2026, PMID 42330995) – un avviso redazionale che segnala la verifica di questioni relative a una pubblicazione. La voce su PubMed non contiene un riassunto dei motivi; la valutazione dello studio dovrebbe quindi avvenire con riserva fino al chiarimento. Anche una variante di exenatide peghilata a più lunga durata d’azione (NLY01) non ha mostrato alcun beneficio nel Parkinson precoce (McGarry 2024, PMID 38101901).</w:t>
      </w:r>
    </w:p>
    <w:p>
      <w:pPr>
        <w:pStyle w:val="BodyText"/>
      </w:pPr>
      <w:r>
        <w:t xml:space="preserve">Nell’atrofia multisistemica, una rara malattia affine, uno studio in aperto con 50 partecipanti ha trovato un vantaggio nell’endpoint principale, ma nessuna differenza in parametri oggettivi come biomarcatori o diagnostica per immagini (Vijiaratnam 2025, PMID 40727970). Le autrici e gli autori stessi ritengono possibile un effetto placebo o dell’osservatore.</w:t>
      </w:r>
    </w:p>
    <w:bookmarkEnd w:id="140"/>
    <w:bookmarkStart w:id="141" w:name="altri-ambiti-dimpiego-negli-studi"/>
    <w:p>
      <w:pPr>
        <w:pStyle w:val="Heading4"/>
      </w:pPr>
      <w:r>
        <w:t xml:space="preserve">Altri ambiti d’impiego negli studi</w:t>
      </w:r>
    </w:p>
    <w:p>
      <w:pPr>
        <w:numPr>
          <w:ilvl w:val="0"/>
          <w:numId w:val="1037"/>
        </w:numPr>
        <w:pStyle w:val="Compact"/>
      </w:pPr>
      <w:r>
        <w:rPr>
          <w:bCs/>
          <w:b/>
        </w:rPr>
        <w:t xml:space="preserve">Alzheimer e decadimento cognitivo lieve:</w:t>
      </w:r>
      <w:r>
        <w:t xml:space="preserve"> </w:t>
      </w:r>
      <w:r>
        <w:t xml:space="preserve">uno studio pilota interrotto anticipatamente non ha trovato differenze nelle misure di memoria o di diagnostica per immagini (Mullins 2019, PMID 31518224). Anche uno studio di 32 settimane sul decadimento cognitivo lieve non ha mostrato alcun beneficio (Dei Cas 2024, PMID 38565814).</w:t>
      </w:r>
    </w:p>
    <w:p>
      <w:pPr>
        <w:numPr>
          <w:ilvl w:val="0"/>
          <w:numId w:val="1037"/>
        </w:numPr>
        <w:pStyle w:val="Compact"/>
      </w:pPr>
      <w:r>
        <w:rPr>
          <w:bCs/>
          <w:b/>
        </w:rPr>
        <w:t xml:space="preserve">Dipendenza da alcol:</w:t>
      </w:r>
      <w:r>
        <w:t xml:space="preserve"> </w:t>
      </w:r>
      <w:r>
        <w:t xml:space="preserve">in uno studio con 127 partecipanti l’exenatide settimanale non ha ridotto in modo significativo il numero di giorni di consumo elevato. In un’analisi a posteriori di sottogruppo nelle persone con obesità si è visto un effetto; alla risonanza magnetica cerebrale la reazione agli stimoli legati all’alcol era attenuata (Klausen 2022, PMID 36066977). Tali risultati di sottogruppo sono ipotesi, non prove.</w:t>
      </w:r>
    </w:p>
    <w:p>
      <w:pPr>
        <w:numPr>
          <w:ilvl w:val="0"/>
          <w:numId w:val="1037"/>
        </w:numPr>
        <w:pStyle w:val="Compact"/>
      </w:pPr>
      <w:r>
        <w:rPr>
          <w:bCs/>
          <w:b/>
        </w:rPr>
        <w:t xml:space="preserve">Ipertensione intracranica idiopatica</w:t>
      </w:r>
      <w:r>
        <w:t xml:space="preserve"> </w:t>
      </w:r>
      <w:r>
        <w:t xml:space="preserve">(pressione intracranica aumentata senza causa riconoscibile, per lo più in giovani donne in sovrappeso): in 16 donne l’exenatide ha ridotto la pressione intracranica misurata dopo 24 ore in media di 6,4 cm di colonna d’acqua rispetto al placebo (Mitchell 2023, PMID 36907221). Lo studio è molto piccolo; uno studio più grande è ancora atteso.</w:t>
      </w:r>
    </w:p>
    <w:bookmarkEnd w:id="141"/>
    <w:bookmarkEnd w:id="142"/>
    <w:bookmarkStart w:id="143" w:name="studi-su-animali-e-in-laboratorio"/>
    <w:p>
      <w:pPr>
        <w:pStyle w:val="Heading3"/>
      </w:pPr>
      <w:r>
        <w:t xml:space="preserve">Studi su animali e in laboratorio</w:t>
      </w:r>
    </w:p>
    <w:p>
      <w:pPr>
        <w:pStyle w:val="FirstParagraph"/>
      </w:pPr>
      <w:r>
        <w:t xml:space="preserve">L’exendina-4 originariamente non era stata cercata come farmaco antidiabetico. Nella prima descrizione del 1992 i ricercatori ne studiarono l’effetto su cellule del pancreas di porcellino d’India (Eng 1992, PMID 1313797). Solo in seguito si scoprì che agisce sul recettore del GLP-1.</w:t>
      </w:r>
    </w:p>
    <w:p>
      <w:pPr>
        <w:pStyle w:val="BodyText"/>
      </w:pPr>
      <w:r>
        <w:t xml:space="preserve">Ne è seguito un gran numero di studi su animali. In ratti a cui era stata asportata una parte del pancreas, l’exendina-4 ha favorito la neoformazione e la divisione delle cellule beta produttrici di insulina e ha attenuato lo sviluppo di un diabete (Xu 1999, PMID 10580413). Se una simile rigenerazione delle cellule beta sia ottenibile in misura rilevante anche nell’uomo non è dimostrato ancora oggi.</w:t>
      </w:r>
    </w:p>
    <w:p>
      <w:pPr>
        <w:pStyle w:val="BodyText"/>
      </w:pPr>
      <w:r>
        <w:t xml:space="preserve">A questi si sono aggiunti esperimenti su roditori riguardanti la neuroprotezione (Parkinson, Alzheimer, ictus), il comportamento di consumo di alcol e di dipendenza e la pressione intracranica. Questi dati su animali hanno dato origine agli studi sull’uomo descritti sopra – i cui risultati finora sono stati molto più modesti. È un esempio istruttivo di quanto sia difficile trasferire all’uomo i risultati ottenuti su ratti e topi.</w:t>
      </w:r>
    </w:p>
    <w:p>
      <w:pPr>
        <w:pStyle w:val="BodyText"/>
      </w:pPr>
      <w:r>
        <w:t xml:space="preserve">Sulla tiroide: in ratti e topi gli agonisti del recettore del GLP-1 provocano una proliferazione delle cellule C della tiroide, mentre nei primati e nell’uomo queste cellule sono scarsamente dotate del recettore (Bjerre Knudsen 2010, PMID 20203154). Se ne parla di più nel capitolo Liraglutide e nella Parte IV.</w:t>
      </w:r>
    </w:p>
    <w:bookmarkEnd w:id="143"/>
    <w:bookmarkStart w:id="144" w:name="rischi-ed-effetti-collaterali"/>
    <w:p>
      <w:pPr>
        <w:pStyle w:val="Heading3"/>
      </w:pPr>
      <w:r>
        <w:t xml:space="preserve">Rischi ed effetti collaterali</w:t>
      </w:r>
    </w:p>
    <w:p>
      <w:pPr>
        <w:pStyle w:val="FirstParagraph"/>
      </w:pPr>
      <w:r>
        <w:rPr>
          <w:bCs/>
          <w:b/>
        </w:rPr>
        <w:t xml:space="preserve">Dimostrati da studi randomizzati:</w:t>
      </w:r>
    </w:p>
    <w:p>
      <w:pPr>
        <w:numPr>
          <w:ilvl w:val="0"/>
          <w:numId w:val="1038"/>
        </w:numPr>
        <w:pStyle w:val="Compact"/>
      </w:pPr>
      <w:r>
        <w:t xml:space="preserve">I</w:t>
      </w:r>
      <w:r>
        <w:t xml:space="preserve"> </w:t>
      </w:r>
      <w:r>
        <w:rPr>
          <w:bCs/>
          <w:b/>
        </w:rPr>
        <w:t xml:space="preserve">disturbi gastrointestinali</w:t>
      </w:r>
      <w:r>
        <w:t xml:space="preserve"> </w:t>
      </w:r>
      <w:r>
        <w:t xml:space="preserve">sono l’effetto collaterale più frequente. Con la forma due volte al giorno, nel confronto con l’insulina glargine, la nausea si è verificata nel 57,1% dei trattati, il vomito nel 17,4% (Heine 2005, PMID 16230722). La forma settimanale provoca meno nausea; in DURATION-6 era il 9% (Buse 2013, PMID 23141817). I disturbi di solito diminuiscono col tempo.</w:t>
      </w:r>
    </w:p>
    <w:p>
      <w:pPr>
        <w:numPr>
          <w:ilvl w:val="0"/>
          <w:numId w:val="1038"/>
        </w:numPr>
        <w:pStyle w:val="Compact"/>
      </w:pPr>
      <w:r>
        <w:t xml:space="preserve">L’</w:t>
      </w:r>
      <w:r>
        <w:rPr>
          <w:bCs/>
          <w:b/>
        </w:rPr>
        <w:t xml:space="preserve">ipoglicemia</w:t>
      </w:r>
      <w:r>
        <w:t xml:space="preserve"> </w:t>
      </w:r>
      <w:r>
        <w:t xml:space="preserve">è rara in monoterapia, ma diventa più frequente in combinazione con sulfoniluree o insulina (Kendall 2005, PMID 15855571).</w:t>
      </w:r>
    </w:p>
    <w:p>
      <w:pPr>
        <w:numPr>
          <w:ilvl w:val="0"/>
          <w:numId w:val="1038"/>
        </w:numPr>
        <w:pStyle w:val="Compact"/>
      </w:pPr>
      <w:r>
        <w:rPr>
          <w:bCs/>
          <w:b/>
        </w:rPr>
        <w:t xml:space="preserve">Reazioni nel sito di iniezione:</w:t>
      </w:r>
      <w:r>
        <w:t xml:space="preserve"> </w:t>
      </w:r>
      <w:r>
        <w:t xml:space="preserve">con la forma settimanale si formano spesso noduli palpabili sotto la pelle, perché lì le microsfere vengono degradate lentamente. Nell’analisi a cinque anni di DURATION-1 tali reazioni sono diventate più rare col tempo (Wysham 2015, PMID 25744115).</w:t>
      </w:r>
    </w:p>
    <w:p>
      <w:pPr>
        <w:numPr>
          <w:ilvl w:val="0"/>
          <w:numId w:val="1038"/>
        </w:numPr>
        <w:pStyle w:val="Compact"/>
      </w:pPr>
      <w:r>
        <w:rPr>
          <w:bCs/>
          <w:b/>
        </w:rPr>
        <w:t xml:space="preserve">Formazione di anticorpi:</w:t>
      </w:r>
      <w:r>
        <w:t xml:space="preserve"> </w:t>
      </w:r>
      <w:r>
        <w:t xml:space="preserve">a causa dell’origine dal veleno di lucertola, una parte dei trattati forma anticorpi. Ciò è descritto più dettagliatamente nella Parte IV.</w:t>
      </w:r>
    </w:p>
    <w:p>
      <w:pPr>
        <w:pStyle w:val="FirstParagraph"/>
      </w:pPr>
      <w:r>
        <w:rPr>
          <w:bCs/>
          <w:b/>
        </w:rPr>
        <w:t xml:space="preserve">Studiati, ma non confermati o incerti:</w:t>
      </w:r>
    </w:p>
    <w:p>
      <w:pPr>
        <w:numPr>
          <w:ilvl w:val="0"/>
          <w:numId w:val="1039"/>
        </w:numPr>
        <w:pStyle w:val="Compact"/>
      </w:pPr>
      <w:r>
        <w:rPr>
          <w:bCs/>
          <w:b/>
        </w:rPr>
        <w:t xml:space="preserve">Pancreatite acuta (infiammazione del pancreas):</w:t>
      </w:r>
      <w:r>
        <w:t xml:space="preserve"> </w:t>
      </w:r>
      <w:r>
        <w:t xml:space="preserve">poco dopo l’immissione in commercio vi furono segnalazioni spontanee che portarono ad avvertenze. In un’analisi aggregata di due banche dati assicurative con 49.956 persone trattate con exenatide due volte al giorno, il rischio senza correzione non era aumentato (rischio relativo 1,0), dopo correzione per errata classificazione era leggermente aumentato (1,3; intervallo di confidenza 1,0–1,7) (Dore 2013, PMID 23981106). In EXSCEL la pancreatite non si è verificata più spesso che con placebo (Holman 2017, PMID 28910237). La pancreatite resta indicata come effetto collaterale raro nel Riassunto delle caratteristiche del prodotto.</w:t>
      </w:r>
    </w:p>
    <w:p>
      <w:pPr>
        <w:numPr>
          <w:ilvl w:val="0"/>
          <w:numId w:val="1039"/>
        </w:numPr>
        <w:pStyle w:val="Compact"/>
      </w:pPr>
      <w:r>
        <w:rPr>
          <w:bCs/>
          <w:b/>
        </w:rPr>
        <w:t xml:space="preserve">Cancro del pancreas e della tiroide:</w:t>
      </w:r>
      <w:r>
        <w:t xml:space="preserve"> </w:t>
      </w:r>
      <w:r>
        <w:t xml:space="preserve">in uno studio di coorte statunitense con 33.629 persone trattate con exenatide, il rischio di cancro del pancreas non era aumentato (HR 0,76); per il cancro della tiroide la stima era 1,46, con un intervallo di confidenza da 0,98 a 2,19, quindi non statisticamente significativa (Liang 2019, PMID 30474347). Una meta-analisi di 50 studi randomizzati sull’intera classe GLP-1 non ha trovato complessivamente un rischio oncologico aumentato, ma un segnale per il cancro della tiroide (odds ratio 1,55) che deve essere ulteriormente studiato (Silverii 2025, PMID 40437949). È in corso uno studio europeo di sicurezza sul cancro del pancreas con exenatide (NCT05663515).</w:t>
      </w:r>
    </w:p>
    <w:p>
      <w:pPr>
        <w:numPr>
          <w:ilvl w:val="0"/>
          <w:numId w:val="1039"/>
        </w:numPr>
        <w:pStyle w:val="Compact"/>
      </w:pPr>
      <w:r>
        <w:rPr>
          <w:bCs/>
          <w:b/>
        </w:rPr>
        <w:t xml:space="preserve">Rischio cardiovascolare:</w:t>
      </w:r>
      <w:r>
        <w:t xml:space="preserve"> </w:t>
      </w:r>
      <w:r>
        <w:t xml:space="preserve">non aumentato in EXSCEL.</w:t>
      </w:r>
    </w:p>
    <w:p>
      <w:pPr>
        <w:pStyle w:val="FirstParagraph"/>
      </w:pPr>
      <w:r>
        <w:rPr>
          <w:bCs/>
          <w:b/>
        </w:rPr>
        <w:t xml:space="preserve">Indicazioni per la pratica:</w:t>
      </w:r>
      <w:r>
        <w:t xml:space="preserve"> </w:t>
      </w:r>
      <w:r>
        <w:t xml:space="preserve">l’exenatide viene eliminata attraverso i reni; in caso di funzionalità renale fortemente ridotta non è raccomandata. Come tutti gli agonisti del recettore del GLP-1 rallenta lo svuotamento gastrico e può così influenzare l’assorbimento di altri farmaci. Per uso, controindicazioni e interazioni fa fede il Riassunto delle caratteristiche del prodotto aggiornato; il trattamento va affidato al medico.</w:t>
      </w:r>
    </w:p>
    <w:bookmarkEnd w:id="144"/>
    <w:bookmarkStart w:id="145" w:name="quadro-normativo"/>
    <w:p>
      <w:pPr>
        <w:pStyle w:val="Heading3"/>
      </w:pPr>
      <w:r>
        <w:t xml:space="preserve">Quadro normativo</w:t>
      </w:r>
    </w:p>
    <w:p>
      <w:pPr>
        <w:numPr>
          <w:ilvl w:val="0"/>
          <w:numId w:val="1040"/>
        </w:numPr>
        <w:pStyle w:val="Compact"/>
      </w:pPr>
      <w:r>
        <w:rPr>
          <w:bCs/>
          <w:b/>
        </w:rPr>
        <w:t xml:space="preserve">UE:</w:t>
      </w:r>
      <w:r>
        <w:t xml:space="preserve"> </w:t>
      </w:r>
      <w:r>
        <w:t xml:space="preserve">l’exenatide è autorizzata con procedura centralizzata come farmaco soggetto a prescrizione per il trattamento del diabete di tipo 2 (Byetta dal 2006, Bydureon dal 2011). Non è autorizzata per la riduzione del peso.</w:t>
      </w:r>
    </w:p>
    <w:p>
      <w:pPr>
        <w:numPr>
          <w:ilvl w:val="0"/>
          <w:numId w:val="1040"/>
        </w:numPr>
        <w:pStyle w:val="Compact"/>
      </w:pPr>
      <w:r>
        <w:rPr>
          <w:bCs/>
          <w:b/>
        </w:rPr>
        <w:t xml:space="preserve">Germania e Austria:</w:t>
      </w:r>
      <w:r>
        <w:t xml:space="preserve"> </w:t>
      </w:r>
      <w:r>
        <w:t xml:space="preserve">soggetta a prescrizione. La prescrizione per la sola perdita di peso sarebbe un uso off-label e di regola non viene rimborsata dalle casse malattia. Alcune forme farmaceutiche non sono stabilmente in commercio in tutti i Paesi – da verificare.</w:t>
      </w:r>
    </w:p>
    <w:p>
      <w:pPr>
        <w:numPr>
          <w:ilvl w:val="0"/>
          <w:numId w:val="1040"/>
        </w:numPr>
        <w:pStyle w:val="Compact"/>
      </w:pPr>
      <w:r>
        <w:rPr>
          <w:bCs/>
          <w:b/>
        </w:rPr>
        <w:t xml:space="preserve">USA:</w:t>
      </w:r>
      <w:r>
        <w:t xml:space="preserve"> </w:t>
      </w:r>
      <w:r>
        <w:t xml:space="preserve">autorizzata per il diabete di tipo 2; la forma settimanale anche per adolescenti dai 10 anni. Per la forma due volte al giorno sono autorizzati dei generici.</w:t>
      </w:r>
    </w:p>
    <w:p>
      <w:pPr>
        <w:numPr>
          <w:ilvl w:val="0"/>
          <w:numId w:val="1040"/>
        </w:numPr>
        <w:pStyle w:val="Compact"/>
      </w:pPr>
      <w:r>
        <w:rPr>
          <w:bCs/>
          <w:b/>
        </w:rPr>
        <w:t xml:space="preserve">Sport (WADA):</w:t>
      </w:r>
      <w:r>
        <w:t xml:space="preserve"> </w:t>
      </w:r>
      <w:r>
        <w:t xml:space="preserve">gli agonisti del recettore del GLP-1 non figurano nella Lista delle sostanze proibite (aggiornato al 2026, da verificare).</w:t>
      </w:r>
    </w:p>
    <w:p>
      <w:pPr>
        <w:numPr>
          <w:ilvl w:val="0"/>
          <w:numId w:val="1040"/>
        </w:numPr>
        <w:pStyle w:val="Compact"/>
      </w:pPr>
      <w:r>
        <w:rPr>
          <w:bCs/>
          <w:b/>
        </w:rPr>
        <w:t xml:space="preserve">Mercato grigio:</w:t>
      </w:r>
      <w:r>
        <w:t xml:space="preserve"> </w:t>
      </w:r>
      <w:r>
        <w:t xml:space="preserve">l’exenatide, accanto a semaglutide e tirzepatide, ha un ruolo marginale nel mercato grigio. I rischi generali dei canali di approvvigionamento non autorizzati sono descritti nella Parte I.</w:t>
      </w:r>
    </w:p>
    <w:bookmarkEnd w:id="145"/>
    <w:bookmarkStart w:id="146" w:name="studi-in-corso-e-prospettive"/>
    <w:p>
      <w:pPr>
        <w:pStyle w:val="Heading3"/>
      </w:pPr>
      <w:r>
        <w:t xml:space="preserve">Studi in corso e prospettive</w:t>
      </w:r>
    </w:p>
    <w:p>
      <w:pPr>
        <w:pStyle w:val="FirstParagraph"/>
      </w:pPr>
      <w:r>
        <w:rPr>
          <w:bCs/>
          <w:b/>
        </w:rPr>
        <w:t xml:space="preserve">Accertato (studi registrati):</w:t>
      </w:r>
      <w:r>
        <w:t xml:space="preserve"> </w:t>
      </w:r>
      <w:r>
        <w:t xml:space="preserve">come antidiabetico l’exenatide è in gran parte „esplorata a fondo“; nuovi studi registrativi in questa indicazione non ce ne sono quasi più. Le voci di registro attuali riguardano soprattutto:</w:t>
      </w:r>
    </w:p>
    <w:p>
      <w:pPr>
        <w:numPr>
          <w:ilvl w:val="0"/>
          <w:numId w:val="1041"/>
        </w:numPr>
        <w:pStyle w:val="Compact"/>
      </w:pPr>
      <w:r>
        <w:t xml:space="preserve">Varianti della molecola: in Cina vengono sviluppate varianti peghilate. Per PB-119 uno studio di fase 2 con 251 partecipanti ha ridotto l’HbA1c dopo 12 settimane fino a 1,18 punti percentuali in più rispetto al placebo (Ji 2021, PMID 33687487). Un altro candidato, JY09 – exendina-4 legata a un elemento anticorpale (proteina di fusione Fc), che negli studi viene iniettata ogni due settimane –, viene valutato in studi di fase 3 contro placebo e contro dulaglutide (NCT06254014, NCT06257966).</w:t>
      </w:r>
    </w:p>
    <w:p>
      <w:pPr>
        <w:numPr>
          <w:ilvl w:val="0"/>
          <w:numId w:val="1041"/>
        </w:numPr>
        <w:pStyle w:val="Compact"/>
      </w:pPr>
      <w:r>
        <w:t xml:space="preserve">Neurologia: la variante peghilata NLY01 viene studiata nella sclerosi multipla in uno studio di fase 2 con 120 partecipanti (NCT07497399).</w:t>
      </w:r>
    </w:p>
    <w:p>
      <w:pPr>
        <w:numPr>
          <w:ilvl w:val="0"/>
          <w:numId w:val="1041"/>
        </w:numPr>
        <w:pStyle w:val="Compact"/>
      </w:pPr>
      <w:r>
        <w:t xml:space="preserve">Sicurezza: oltre allo studio europeo sul cancro del pancreas (NCT05663515) è in corso un programma di sorveglianza a lungo termine dei carcinomi midollari della tiroide con agonisti del recettore del GLP-1 (NCT01511393).</w:t>
      </w:r>
    </w:p>
    <w:p>
      <w:pPr>
        <w:numPr>
          <w:ilvl w:val="0"/>
          <w:numId w:val="1041"/>
        </w:numPr>
        <w:pStyle w:val="Compact"/>
      </w:pPr>
      <w:r>
        <w:t xml:space="preserve">Diagnostica: l’exendina-4 marcata radioattivamente viene impiegata come tracciante nella diagnostica per immagini PET degli insulinomi (rari tumori che producono insulina) (NCT07808879).</w:t>
      </w:r>
    </w:p>
    <w:p>
      <w:pPr>
        <w:pStyle w:val="FirstParagraph"/>
      </w:pPr>
      <w:r>
        <w:rPr>
          <w:bCs/>
          <w:b/>
        </w:rPr>
        <w:t xml:space="preserve">Valutazione:</w:t>
      </w:r>
      <w:r>
        <w:t xml:space="preserve"> </w:t>
      </w:r>
      <w:r>
        <w:t xml:space="preserve">l’exenatide continuerà a perdere importanza nel trattamento del diabete, perché sono disponibili successori più potenti e più comodi da usare. Il suo ruolo duraturo è quello di pioniere e di strumento per la ricerca. Se l’ipotesi del Parkinson tornerà in auge dipende da principi attivi che raggiungono meglio il cervello e dal chiarimento relativo a Exenatide-PD3.</w:t>
      </w:r>
    </w:p>
    <w:bookmarkEnd w:id="146"/>
    <w:bookmarkStart w:id="147" w:name="conclusione"/>
    <w:p>
      <w:pPr>
        <w:pStyle w:val="Heading3"/>
      </w:pPr>
      <w:r>
        <w:t xml:space="preserve">Conclusione</w:t>
      </w:r>
    </w:p>
    <w:p>
      <w:pPr>
        <w:pStyle w:val="FirstParagraph"/>
      </w:pPr>
      <w:r>
        <w:t xml:space="preserve">Nel 2005 l’exenatide è stata il primo agonista del recettore del GLP-1 sul mercato ed è uno dei farmaci peptidici in assoluto più studiati. Nei grandi studi ha ridotto l’emoglobina glicata di circa 1–1,5 punti percentuali e il peso di alcuni chilogrammi, in EXSCEL con 14.752 partecipanti senza un aumento del rischio cardiovascolare, ma anche senza una protezione dimostrata. Nel confronto diretto risulta inferiore a liraglutide e semaglutide. I dati inizialmente promettenti sulla malattia di Parkinson non sono stati confermati nel più grande studio di fase 3. Per le persone con diabete di tipo 2 l’exenatide resta un’opzione verificata, ma non più di prima scelta – la decisione va affidata al medico.</w:t>
      </w:r>
    </w:p>
    <w:bookmarkEnd w:id="147"/>
    <w:bookmarkEnd w:id="148"/>
    <w:bookmarkStart w:id="163" w:name="liraglutide"/>
    <w:p>
      <w:pPr>
        <w:pStyle w:val="Heading2"/>
      </w:pPr>
      <w:r>
        <w:t xml:space="preserve">Liraglutide</w:t>
      </w:r>
    </w:p>
    <w:bookmarkStart w:id="149" w:name="scheda-1"/>
    <w:p>
      <w:pPr>
        <w:pStyle w:val="Heading3"/>
      </w:pPr>
      <w:r>
        <w:t xml:space="preserve">Scheda</w:t>
      </w:r>
    </w:p>
    <w:p>
      <w:pPr>
        <w:numPr>
          <w:ilvl w:val="0"/>
          <w:numId w:val="1042"/>
        </w:numPr>
        <w:pStyle w:val="Compact"/>
      </w:pPr>
      <w:r>
        <w:rPr>
          <w:bCs/>
          <w:b/>
        </w:rPr>
        <w:t xml:space="preserve">Tipo/struttura:</w:t>
      </w:r>
      <w:r>
        <w:t xml:space="preserve"> </w:t>
      </w:r>
      <w:r>
        <w:t xml:space="preserve">GLP-1 umano modificato di 31 amminoacidi. Coincide al 97% con l’ormone endogeno; in un punto un amminoacido è sostituito, in un altro è legato, tramite un breve elemento di collegamento, un acido grasso con 16 atomi di carbonio.</w:t>
      </w:r>
    </w:p>
    <w:p>
      <w:pPr>
        <w:numPr>
          <w:ilvl w:val="0"/>
          <w:numId w:val="1042"/>
        </w:numPr>
        <w:pStyle w:val="Compact"/>
      </w:pPr>
      <w:r>
        <w:rPr>
          <w:bCs/>
          <w:b/>
        </w:rPr>
        <w:t xml:space="preserve">Origine:</w:t>
      </w:r>
      <w:r>
        <w:t xml:space="preserve"> </w:t>
      </w:r>
      <w:r>
        <w:t xml:space="preserve">sviluppata da Novo Nordisk (Knudsen 2019, PMID 31031702), prodotta con tecniche di ingegneria genetica nel lievito.</w:t>
      </w:r>
    </w:p>
    <w:p>
      <w:pPr>
        <w:numPr>
          <w:ilvl w:val="0"/>
          <w:numId w:val="1042"/>
        </w:numPr>
        <w:pStyle w:val="Compact"/>
      </w:pPr>
      <w:r>
        <w:rPr>
          <w:bCs/>
          <w:b/>
        </w:rPr>
        <w:t xml:space="preserve">Meccanismo d’azione:</w:t>
      </w:r>
      <w:r>
        <w:t xml:space="preserve"> </w:t>
      </w:r>
      <w:r>
        <w:t xml:space="preserve">agonista del recettore del GLP-1. L’acido grasso fa legare la molecola alla proteina del sangue albumina; per questo basta un’iniezione al giorno.</w:t>
      </w:r>
    </w:p>
    <w:p>
      <w:pPr>
        <w:numPr>
          <w:ilvl w:val="0"/>
          <w:numId w:val="1042"/>
        </w:numPr>
        <w:pStyle w:val="Compact"/>
      </w:pPr>
      <w:r>
        <w:rPr>
          <w:bCs/>
          <w:b/>
        </w:rPr>
        <w:t xml:space="preserve">Preparati:</w:t>
      </w:r>
      <w:r>
        <w:t xml:space="preserve"> </w:t>
      </w:r>
      <w:r>
        <w:t xml:space="preserve">Victoza (diabete di tipo 2, fino a 1,8 mg al giorno), Saxenda (gestione del peso, fino a 3,0 mg al giorno), Xultophy (combinazione fissa con insulina degludec). Dal 2024 esistono preparati di imitazione.</w:t>
      </w:r>
    </w:p>
    <w:p>
      <w:pPr>
        <w:numPr>
          <w:ilvl w:val="0"/>
          <w:numId w:val="1042"/>
        </w:numPr>
        <w:pStyle w:val="Compact"/>
      </w:pPr>
      <w:r>
        <w:rPr>
          <w:bCs/>
          <w:b/>
        </w:rPr>
        <w:t xml:space="preserve">Autorizzazione UE:</w:t>
      </w:r>
      <w:r>
        <w:t xml:space="preserve"> </w:t>
      </w:r>
      <w:r>
        <w:t xml:space="preserve">sì – diabete di tipo 2 (dal 2009) e gestione del peso (dal 2015), in entrambi i casi anche per adolescenti.</w:t>
      </w:r>
    </w:p>
    <w:p>
      <w:pPr>
        <w:numPr>
          <w:ilvl w:val="0"/>
          <w:numId w:val="1042"/>
        </w:numPr>
        <w:pStyle w:val="Compact"/>
      </w:pPr>
      <w:r>
        <w:rPr>
          <w:bCs/>
          <w:b/>
        </w:rPr>
        <w:t xml:space="preserve">Autorizzazione USA:</w:t>
      </w:r>
      <w:r>
        <w:t xml:space="preserve"> </w:t>
      </w:r>
      <w:r>
        <w:t xml:space="preserve">sì – diabete di tipo 2 (dal 2010, dai 10 anni), riduzione del rischio cardiovascolare nel diabete di tipo 2 e gestione del peso (dal 2014, dai 12 anni). Sono autorizzati generici per entrambe le indicazioni.</w:t>
      </w:r>
    </w:p>
    <w:p>
      <w:pPr>
        <w:numPr>
          <w:ilvl w:val="0"/>
          <w:numId w:val="1042"/>
        </w:numPr>
        <w:pStyle w:val="Compact"/>
      </w:pPr>
      <w:r>
        <w:rPr>
          <w:bCs/>
          <w:b/>
        </w:rPr>
        <w:t xml:space="preserve">WADA:</w:t>
      </w:r>
      <w:r>
        <w:t xml:space="preserve"> </w:t>
      </w:r>
      <w:r>
        <w:t xml:space="preserve">non elencata (aggiornato al 2026, da verificare).</w:t>
      </w:r>
    </w:p>
    <w:p>
      <w:pPr>
        <w:numPr>
          <w:ilvl w:val="0"/>
          <w:numId w:val="1042"/>
        </w:numPr>
        <w:pStyle w:val="Compact"/>
      </w:pPr>
      <w:r>
        <w:rPr>
          <w:bCs/>
          <w:b/>
        </w:rPr>
        <w:t xml:space="preserve">Livello di evidenza:</w:t>
      </w:r>
      <w:r>
        <w:t xml:space="preserve"> </w:t>
      </w:r>
      <w:r>
        <w:rPr>
          <w:bCs/>
          <w:b/>
        </w:rPr>
        <w:t xml:space="preserve">A</w:t>
      </w:r>
      <w:r>
        <w:t xml:space="preserve"> </w:t>
      </w:r>
      <w:r>
        <w:t xml:space="preserve">– due grandi programmi registrativi (LEAD, SCALE), un grande studio di esito (LEADER), studi su bambini e adolescenti.</w:t>
      </w:r>
    </w:p>
    <w:bookmarkEnd w:id="149"/>
    <w:bookmarkStart w:id="150" w:name="come-dovrebbe-agire-1"/>
    <w:p>
      <w:pPr>
        <w:pStyle w:val="Heading3"/>
      </w:pPr>
      <w:r>
        <w:t xml:space="preserve">Come dovrebbe agire</w:t>
      </w:r>
    </w:p>
    <w:p>
      <w:pPr>
        <w:pStyle w:val="FirstParagraph"/>
      </w:pPr>
      <w:r>
        <w:t xml:space="preserve">La liraglutide agisce come l’ormone intestinale endogeno GLP-1: potenzia la secrezione di insulina dipendente dal glucosio, inibisce il glucagone che innalza la glicemia, rallenta lo svuotamento gastrico e attenua l’appetito nel cervello. Il meccanismo di base della classe è descritto nel capitolo Exenatide.</w:t>
      </w:r>
    </w:p>
    <w:p>
      <w:pPr>
        <w:pStyle w:val="BodyText"/>
      </w:pPr>
      <w:r>
        <w:t xml:space="preserve">La differenza sta nella struttura. Mentre l’exenatide proviene dal veleno di una lucertola e somiglia all’ormone umano solo per metà, la liraglutide è quasi identica al GLP-1 endogeno. Il trucco che la rende duratura è l’acido grasso legato. Esso fa sì che la molecola si leghi nel sangue all’albumina, si aggreghi in piccoli complessi e sia così protetta dalla degradazione da parte dell’enzima DPP-4 e dall’eliminazione attraverso i reni. L’emivita sale così da pochi minuti a circa mezza giornata.</w:t>
      </w:r>
    </w:p>
    <w:p>
      <w:pPr>
        <w:pStyle w:val="BodyText"/>
      </w:pPr>
      <w:r>
        <w:t xml:space="preserve">Per la perdita di peso sono responsabili soprattutto gli effetti nel cervello. In topi e ratti la liraglutide marcata raggiunge determinate regioni dell’ipotalamo, il centro di controllo di fame e sazietà, e vi attiva cellule nervose che favoriscono il senso di sazietà (Secher 2014, PMID 25202980). Nell’uomo ciò si traduce in un minore apporto di cibo; un aumento rilevante del dispendio energetico non è dimostrato.</w:t>
      </w:r>
    </w:p>
    <w:p>
      <w:pPr>
        <w:pStyle w:val="BodyText"/>
      </w:pPr>
      <w:r>
        <w:t xml:space="preserve">Dalla liraglutide è derivata in seguito la semaglutide: stessa idea di base, ma con un legame all’albumina più forte, che consente un’iniezione alla settimana (Knudsen 2019, PMID 31031702).</w:t>
      </w:r>
    </w:p>
    <w:bookmarkEnd w:id="150"/>
    <w:bookmarkStart w:id="157" w:name="studi-sulluomo-1"/>
    <w:p>
      <w:pPr>
        <w:pStyle w:val="Heading3"/>
      </w:pPr>
      <w:r>
        <w:t xml:space="preserve">Studi sull’uomo</w:t>
      </w:r>
    </w:p>
    <w:p>
      <w:pPr>
        <w:pStyle w:val="FirstParagraph"/>
      </w:pPr>
      <w:r>
        <w:t xml:space="preserve">La liraglutide è uno dei farmaci peptidici più studiati. La ricerca su PubMed analizzata per questo libro (termine di ricerca „liraglutide“ nel titolo o nell’abstract, data della ricerca ottobre 2026) ha restituito 613 studi sull’uomo – più che per qualsiasi altro peptide di questo libro. ClinicalTrials.gov riporta 517 voci di registro. Di seguito sono al centro gli studi registrativi e di esito; accanto a essi esistono centinaia di studi più piccoli su fegato, cuore, cervello, fertilità e disturbi alimentari.</w:t>
      </w:r>
    </w:p>
    <w:bookmarkStart w:id="151" w:name="diabete-di-tipo-2-il-programma-lead"/>
    <w:p>
      <w:pPr>
        <w:pStyle w:val="Heading4"/>
      </w:pPr>
      <w:r>
        <w:t xml:space="preserve">Diabete di tipo 2: il programma LEAD</w:t>
      </w:r>
    </w:p>
    <w:p>
      <w:pPr>
        <w:pStyle w:val="FirstParagraph"/>
      </w:pPr>
      <w:r>
        <w:t xml:space="preserve">Per l’autorizzazione nel diabete la liraglutide è stata valutata in sei studi denominati LEAD (Liraglutide Effect and Action in Diabetes), ciascuno con 1,2 o 1,8 mg al giorno. Due sono particolarmente istruttivi perché si sono confrontati con terapie allora consolidate. A questi si aggiunge il confronto con l’inibitore della DPP-4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LEAD-3 Mono (Garber 2009), PMID 18819705</w:t>
            </w:r>
          </w:p>
        </w:tc>
        <w:tc>
          <w:tcPr/>
          <w:p>
            <w:pPr>
              <w:pStyle w:val="Compact"/>
              <w:jc w:val="left"/>
            </w:pPr>
            <w:r>
              <w:t xml:space="preserve">746 persone con diabete di tipo 2 precoce, in doppio cieco vs. glimepiride</w:t>
            </w:r>
          </w:p>
        </w:tc>
        <w:tc>
          <w:tcPr/>
          <w:p>
            <w:pPr>
              <w:pStyle w:val="Compact"/>
              <w:jc w:val="left"/>
            </w:pPr>
            <w:r>
              <w:t xml:space="preserve">52 settimane</w:t>
            </w:r>
          </w:p>
        </w:tc>
        <w:tc>
          <w:tcPr/>
          <w:p>
            <w:pPr>
              <w:pStyle w:val="Compact"/>
              <w:jc w:val="left"/>
            </w:pPr>
            <w:r>
              <w:t xml:space="preserve">HbA1c −1,14 (1,8 mg) vs. −0,51 punti percentuali</w:t>
            </w:r>
          </w:p>
        </w:tc>
      </w:tr>
      <w:tr>
        <w:tc>
          <w:tcPr/>
          <w:p>
            <w:pPr>
              <w:pStyle w:val="Compact"/>
              <w:jc w:val="left"/>
            </w:pPr>
            <w:r>
              <w:t xml:space="preserve">LEAD-6 (Buse 2009), PMID 19515413</w:t>
            </w:r>
          </w:p>
        </w:tc>
        <w:tc>
          <w:tcPr/>
          <w:p>
            <w:pPr>
              <w:pStyle w:val="Compact"/>
              <w:jc w:val="left"/>
            </w:pPr>
            <w:r>
              <w:t xml:space="preserve">in aperto vs. exenatide due volte al giorno</w:t>
            </w:r>
          </w:p>
        </w:tc>
        <w:tc>
          <w:tcPr/>
          <w:p>
            <w:pPr>
              <w:pStyle w:val="Compact"/>
              <w:jc w:val="left"/>
            </w:pPr>
            <w:r>
              <w:t xml:space="preserve">26 settimane</w:t>
            </w:r>
          </w:p>
        </w:tc>
        <w:tc>
          <w:tcPr/>
          <w:p>
            <w:pPr>
              <w:pStyle w:val="Compact"/>
              <w:jc w:val="left"/>
            </w:pPr>
            <w:r>
              <w:t xml:space="preserve">HbA1c −1,12 vs. −0,79; peso −3,24 vs. −2,87 kg</w:t>
            </w:r>
          </w:p>
        </w:tc>
      </w:tr>
      <w:tr>
        <w:tc>
          <w:tcPr/>
          <w:p>
            <w:pPr>
              <w:pStyle w:val="Compact"/>
              <w:jc w:val="left"/>
            </w:pPr>
            <w:r>
              <w:t xml:space="preserve">Pratley 2010, PMID 20417856</w:t>
            </w:r>
          </w:p>
        </w:tc>
        <w:tc>
          <w:tcPr/>
          <w:p>
            <w:pPr>
              <w:pStyle w:val="Compact"/>
              <w:jc w:val="left"/>
            </w:pPr>
            <w:r>
              <w:t xml:space="preserve">658 persone in terapia con metformina, in aperto vs. sitagliptin</w:t>
            </w:r>
          </w:p>
        </w:tc>
        <w:tc>
          <w:tcPr/>
          <w:p>
            <w:pPr>
              <w:pStyle w:val="Compact"/>
              <w:jc w:val="left"/>
            </w:pPr>
            <w:r>
              <w:t xml:space="preserve">26 settimane</w:t>
            </w:r>
          </w:p>
        </w:tc>
        <w:tc>
          <w:tcPr/>
          <w:p>
            <w:pPr>
              <w:pStyle w:val="Compact"/>
              <w:jc w:val="left"/>
            </w:pPr>
            <w:r>
              <w:t xml:space="preserve">HbA1c −1,50 (1,8 mg) vs. −0,90; nausea 27% vs. 5%</w:t>
            </w:r>
          </w:p>
        </w:tc>
      </w:tr>
    </w:tbl>
    <w:p>
      <w:pPr>
        <w:pStyle w:val="BodyText"/>
      </w:pPr>
      <w:r>
        <w:t xml:space="preserve">L’emoglobina glicata HbA1c si è ridotta con la liraglutide in questi studi di 1,1–1,5 punti percentuali. In LEAD-3 (Garber 2009, PMID 18819705) la liraglutide è stata il primo antidiabetico superiore alla sulfonilurea glimepiride, che abbassa la glicemia indipendentemente dai pasti e porta più spesso a ipoglicemie. Contro il sitagliptin (Pratley 2010, PMID 20417856) il vantaggio era di 0,6 punti percentuali, ma con molta più nausea.</w:t>
      </w:r>
    </w:p>
    <w:bookmarkEnd w:id="151"/>
    <w:bookmarkStart w:id="152" w:name="X1a164d0e6cf199b1607922801653c91ef06f5ef"/>
    <w:p>
      <w:pPr>
        <w:pStyle w:val="Heading4"/>
      </w:pPr>
      <w:r>
        <w:t xml:space="preserve">Confronti diretti all’interno della classe GLP-1</w:t>
      </w:r>
    </w:p>
    <w:p>
      <w:pPr>
        <w:pStyle w:val="FirstParagraph"/>
      </w:pPr>
      <w:r>
        <w:t xml:space="preserve">La liraglutide è il termine di confronto più usato della classe. I risultati danno una chiara graduatoria: la liraglutide è più forte dell’exenatide, all’incirca forte quanto la dulaglutide e più debole della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(liraglutide vs. confronto)</w:t>
            </w:r>
          </w:p>
        </w:tc>
      </w:tr>
      <w:tr>
        <w:tc>
          <w:tcPr/>
          <w:p>
            <w:pPr>
              <w:pStyle w:val="Compact"/>
              <w:jc w:val="left"/>
            </w:pPr>
            <w:r>
              <w:t xml:space="preserve">LEAD-6 (Buse 2009), PMID 19515413</w:t>
            </w:r>
          </w:p>
        </w:tc>
        <w:tc>
          <w:tcPr/>
          <w:p>
            <w:pPr>
              <w:pStyle w:val="Compact"/>
              <w:jc w:val="left"/>
            </w:pPr>
            <w:r>
              <w:t xml:space="preserve">vs. exenatide due volte al giorno</w:t>
            </w:r>
          </w:p>
        </w:tc>
        <w:tc>
          <w:tcPr/>
          <w:p>
            <w:pPr>
              <w:pStyle w:val="Compact"/>
              <w:jc w:val="left"/>
            </w:pPr>
            <w:r>
              <w:t xml:space="preserve">26 settimane</w:t>
            </w:r>
          </w:p>
        </w:tc>
        <w:tc>
          <w:tcPr/>
          <w:p>
            <w:pPr>
              <w:pStyle w:val="Compact"/>
              <w:jc w:val="left"/>
            </w:pPr>
            <w:r>
              <w:t xml:space="preserve">HbA1c −1,12 vs. −0,79; obiettivo &lt; 7% nel 54% vs. 43%</w:t>
            </w:r>
          </w:p>
        </w:tc>
      </w:tr>
      <w:tr>
        <w:tc>
          <w:tcPr/>
          <w:p>
            <w:pPr>
              <w:pStyle w:val="Compact"/>
              <w:jc w:val="left"/>
            </w:pPr>
            <w:r>
              <w:t xml:space="preserve">DURATION-6 (Buse 2013), PMID 23141817</w:t>
            </w:r>
          </w:p>
        </w:tc>
        <w:tc>
          <w:tcPr/>
          <w:p>
            <w:pPr>
              <w:pStyle w:val="Compact"/>
              <w:jc w:val="left"/>
            </w:pPr>
            <w:r>
              <w:t xml:space="preserve">911 persone, vs. exenatide settimanale</w:t>
            </w:r>
          </w:p>
        </w:tc>
        <w:tc>
          <w:tcPr/>
          <w:p>
            <w:pPr>
              <w:pStyle w:val="Compact"/>
              <w:jc w:val="left"/>
            </w:pPr>
            <w:r>
              <w:t xml:space="preserve">26 settimane</w:t>
            </w:r>
          </w:p>
        </w:tc>
        <w:tc>
          <w:tcPr/>
          <w:p>
            <w:pPr>
              <w:pStyle w:val="Compact"/>
              <w:jc w:val="left"/>
            </w:pPr>
            <w:r>
              <w:t xml:space="preserve">HbA1c −1,48 vs. −1,28; nausea 21% vs. 9%</w:t>
            </w:r>
          </w:p>
        </w:tc>
      </w:tr>
      <w:tr>
        <w:tc>
          <w:tcPr/>
          <w:p>
            <w:pPr>
              <w:pStyle w:val="Compact"/>
              <w:jc w:val="left"/>
            </w:pPr>
            <w:r>
              <w:t xml:space="preserve">AWARD-6 (Dungan 2014), PMID 25018121</w:t>
            </w:r>
          </w:p>
        </w:tc>
        <w:tc>
          <w:tcPr/>
          <w:p>
            <w:pPr>
              <w:pStyle w:val="Compact"/>
              <w:jc w:val="left"/>
            </w:pPr>
            <w:r>
              <w:t xml:space="preserve">599 persone, vs. dulaglutide settimanale</w:t>
            </w:r>
          </w:p>
        </w:tc>
        <w:tc>
          <w:tcPr/>
          <w:p>
            <w:pPr>
              <w:pStyle w:val="Compact"/>
              <w:jc w:val="left"/>
            </w:pPr>
            <w:r>
              <w:t xml:space="preserve">26 settimane</w:t>
            </w:r>
          </w:p>
        </w:tc>
        <w:tc>
          <w:tcPr/>
          <w:p>
            <w:pPr>
              <w:pStyle w:val="Compact"/>
              <w:jc w:val="left"/>
            </w:pPr>
            <w:r>
              <w:t xml:space="preserve">HbA1c −1,36 vs. −1,42; equivalente</w:t>
            </w:r>
          </w:p>
        </w:tc>
      </w:tr>
      <w:tr>
        <w:tc>
          <w:tcPr/>
          <w:p>
            <w:pPr>
              <w:pStyle w:val="Compact"/>
              <w:jc w:val="left"/>
            </w:pPr>
            <w:r>
              <w:t xml:space="preserve">PIONEER 4 (Pratley 2019), PMID 31186120</w:t>
            </w:r>
          </w:p>
        </w:tc>
        <w:tc>
          <w:tcPr/>
          <w:p>
            <w:pPr>
              <w:pStyle w:val="Compact"/>
              <w:jc w:val="left"/>
            </w:pPr>
            <w:r>
              <w:t xml:space="preserve">711 persone, vs. semaglutide in compresse e placebo</w:t>
            </w:r>
          </w:p>
        </w:tc>
        <w:tc>
          <w:tcPr/>
          <w:p>
            <w:pPr>
              <w:pStyle w:val="Compact"/>
              <w:jc w:val="left"/>
            </w:pPr>
            <w:r>
              <w:t xml:space="preserve">52 settimane</w:t>
            </w:r>
          </w:p>
        </w:tc>
        <w:tc>
          <w:tcPr/>
          <w:p>
            <w:pPr>
              <w:pStyle w:val="Compact"/>
              <w:jc w:val="left"/>
            </w:pPr>
            <w:r>
              <w:t xml:space="preserve">HbA1c −1,1 vs. −1,2 dopo 26 settimane; peso −3,1 vs. −4,4 kg</w:t>
            </w:r>
          </w:p>
        </w:tc>
      </w:tr>
      <w:tr>
        <w:tc>
          <w:tcPr/>
          <w:p>
            <w:pPr>
              <w:pStyle w:val="Compact"/>
              <w:jc w:val="left"/>
            </w:pPr>
            <w:r>
              <w:t xml:space="preserve">SUSTAIN 10 (Capehorn 2020), PMID 31539622</w:t>
            </w:r>
          </w:p>
        </w:tc>
        <w:tc>
          <w:tcPr/>
          <w:p>
            <w:pPr>
              <w:pStyle w:val="Compact"/>
              <w:jc w:val="left"/>
            </w:pPr>
            <w:r>
              <w:t xml:space="preserve">liraglutide 1,2 mg vs. semaglutide 1,0 mg settimanale</w:t>
            </w:r>
          </w:p>
        </w:tc>
        <w:tc>
          <w:tcPr/>
          <w:p>
            <w:pPr>
              <w:pStyle w:val="Compact"/>
              <w:jc w:val="left"/>
            </w:pPr>
            <w:r>
              <w:t xml:space="preserve">30 settimane</w:t>
            </w:r>
          </w:p>
        </w:tc>
        <w:tc>
          <w:tcPr/>
          <w:p>
            <w:pPr>
              <w:pStyle w:val="Compact"/>
              <w:jc w:val="left"/>
            </w:pPr>
            <w:r>
              <w:t xml:space="preserve">HbA1c −1,0 vs. −1,7; peso −1,9 vs. −5,8 kg</w:t>
            </w:r>
          </w:p>
        </w:tc>
      </w:tr>
      <w:tr>
        <w:tc>
          <w:tcPr/>
          <w:p>
            <w:pPr>
              <w:pStyle w:val="Compact"/>
              <w:jc w:val="left"/>
            </w:pPr>
            <w:r>
              <w:t xml:space="preserve">STEP 8 (Rubino 2022), PMID 35015037</w:t>
            </w:r>
          </w:p>
        </w:tc>
        <w:tc>
          <w:tcPr/>
          <w:p>
            <w:pPr>
              <w:pStyle w:val="Compact"/>
              <w:jc w:val="left"/>
            </w:pPr>
            <w:r>
              <w:t xml:space="preserve">338 persone con obesità senza diabete, liraglutide 3,0 mg vs. semaglutide 2,4 mg</w:t>
            </w:r>
          </w:p>
        </w:tc>
        <w:tc>
          <w:tcPr/>
          <w:p>
            <w:pPr>
              <w:pStyle w:val="Compact"/>
              <w:jc w:val="left"/>
            </w:pPr>
            <w:r>
              <w:t xml:space="preserve">68 settimane</w:t>
            </w:r>
          </w:p>
        </w:tc>
        <w:tc>
          <w:tcPr/>
          <w:p>
            <w:pPr>
              <w:pStyle w:val="Compact"/>
              <w:jc w:val="left"/>
            </w:pPr>
            <w:r>
              <w:t xml:space="preserve">Peso −6,4% vs. −15,8%</w:t>
            </w:r>
          </w:p>
        </w:tc>
      </w:tr>
    </w:tbl>
    <w:p>
      <w:pPr>
        <w:pStyle w:val="BodyText"/>
      </w:pPr>
      <w:r>
        <w:t xml:space="preserve">In LEAD-6 (Buse 2009, PMID 19515413) la liraglutide ha ridotto la glicemia a digiuno molto più dell’exenatide due volte al giorno, mentre ha ridotto meno l’aumento della glicemia dopo colazione e cena – un indizio che le forme a breve durata d’azione agiscono maggiormente tramite lo svuotamento gastrico. La nausea durava meno con la liraglutide, le ipoglicemie lievi erano più rare (25,5% vs. 33,6% dei partecipanti).</w:t>
      </w:r>
    </w:p>
    <w:p>
      <w:pPr>
        <w:pStyle w:val="BodyText"/>
      </w:pPr>
      <w:r>
        <w:t xml:space="preserve">Contro la dulaglutide la liraglutide è risultata equivalente in AWARD-6 (Dungan 2014, PMID 25018121), con tollerabilità simile; la nausea si è verificata nel 18% contro il 20%.</w:t>
      </w:r>
    </w:p>
    <w:p>
      <w:pPr>
        <w:pStyle w:val="BodyText"/>
      </w:pPr>
      <w:r>
        <w:t xml:space="preserve">Contro la semaglutide la liraglutide ha perso in tutti i confronti. Ciò era più evidente in STEP 8 (Rubino 2022, PMID 35015037) per il peso: con la rispettiva dose autorizzata per l’obesità, i partecipanti con semaglutide hanno perso in media il 15,8%, con liraglutide il 6,4% (placebo: 1,9%). Una perdita di almeno il 15% è stata raggiunta dal 55,6% contro il 12,0%. Avevano terminato anticipatamente il trattamento il 27,6% con liraglutide e il 13,5% con semaglutide. Con la semaglutide in compresse la differenza in PIONEER 4 (Pratley 2019, PMID 31186120) è stata minore: per l’HbA1c la compressa non era peggiore secondo il metodo di analisi principale, per il peso era superiore di 1,2 kg. I dettagli di questi studi si trovano nel capitolo Semaglutide.</w:t>
      </w:r>
    </w:p>
    <w:bookmarkEnd w:id="152"/>
    <w:bookmarkStart w:id="153" w:name="leader-cuore-circolazione-e-reni"/>
    <w:p>
      <w:pPr>
        <w:pStyle w:val="Heading4"/>
      </w:pPr>
      <w:r>
        <w:t xml:space="preserve">LEADER: cuore, circolazione e reni</w:t>
      </w:r>
    </w:p>
    <w:p>
      <w:pPr>
        <w:pStyle w:val="FirstParagraph"/>
      </w:pPr>
      <w:r>
        <w:t xml:space="preserve">LEADER è stato il primo grande studio a mostrare per un agonista del recettore del GLP-1 una protezione dagli eventi cardiovascolari. Ha cambiato il ruolo dell’intera classe nelle linee guida sul diabete.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LEADER (Marso 2016), PMID 27295427</w:t>
            </w:r>
          </w:p>
        </w:tc>
        <w:tc>
          <w:tcPr/>
          <w:p>
            <w:pPr>
              <w:pStyle w:val="Compact"/>
              <w:jc w:val="left"/>
            </w:pPr>
            <w:r>
              <w:t xml:space="preserve">9.340 persone con diabete di tipo 2 e alto rischio cardiovascolare, RCT contro placebo</w:t>
            </w:r>
          </w:p>
        </w:tc>
        <w:tc>
          <w:tcPr/>
          <w:p>
            <w:pPr>
              <w:pStyle w:val="Compact"/>
              <w:jc w:val="left"/>
            </w:pPr>
            <w:r>
              <w:t xml:space="preserve">mediana 3,8 anni</w:t>
            </w:r>
          </w:p>
        </w:tc>
        <w:tc>
          <w:tcPr/>
          <w:p>
            <w:pPr>
              <w:pStyle w:val="Compact"/>
              <w:jc w:val="left"/>
            </w:pPr>
            <w:r>
              <w:t xml:space="preserve">Eventi cardiovascolari gravi 13,0% vs. 14,9%; HR 0,87 (0,78–0,97)</w:t>
            </w:r>
          </w:p>
        </w:tc>
      </w:tr>
      <w:tr>
        <w:tc>
          <w:tcPr/>
          <w:p>
            <w:pPr>
              <w:pStyle w:val="Compact"/>
              <w:jc w:val="left"/>
            </w:pPr>
            <w:r>
              <w:t xml:space="preserve">LEADER, analisi renale (Mann 2017), PMID 28854085</w:t>
            </w:r>
          </w:p>
        </w:tc>
        <w:tc>
          <w:tcPr/>
          <w:p>
            <w:pPr>
              <w:pStyle w:val="Compact"/>
              <w:jc w:val="left"/>
            </w:pPr>
            <w:r>
              <w:t xml:space="preserve">le stesse 9.340 persone, analisi pianificata in anticipo</w:t>
            </w:r>
          </w:p>
        </w:tc>
        <w:tc>
          <w:tcPr/>
          <w:p>
            <w:pPr>
              <w:pStyle w:val="Compact"/>
              <w:jc w:val="left"/>
            </w:pPr>
            <w:r>
              <w:t xml:space="preserve">mediana 3,84 anni</w:t>
            </w:r>
          </w:p>
        </w:tc>
        <w:tc>
          <w:tcPr/>
          <w:p>
            <w:pPr>
              <w:pStyle w:val="Compact"/>
              <w:jc w:val="left"/>
            </w:pPr>
            <w:r>
              <w:t xml:space="preserve">Endpoint renale 268 vs. 337 casi; HR 0,78, soprattutto meno nuova macroalbuminuria</w:t>
            </w:r>
          </w:p>
        </w:tc>
      </w:tr>
    </w:tbl>
    <w:p>
      <w:pPr>
        <w:pStyle w:val="BodyText"/>
      </w:pPr>
      <w:r>
        <w:t xml:space="preserve">L’endpoint principale – morte per cause cardiovascolari, infarto miocardico non fatale o ictus – si è verificato con liraglutide in 608 persone su 4.668 (13,0%), con placebo in 694 su 4.672 (14,9%) (Marso 2016, PMID 27295427). Ciò corrisponde a una riduzione relativa del rischio del 13%. L’effetto era sostenuto soprattutto da un minor numero di decessi cardiovascolari (4,7% vs. 6,0%; HR 0,78). Anche la mortalità totale era più bassa (8,2% vs. 9,6%; HR 0,85). Le singole componenti infarto, ictus e ricovero per scompenso cardiaco, considerate isolatamente, non erano ridotte in modo significativo.</w:t>
      </w:r>
    </w:p>
    <w:p>
      <w:pPr>
        <w:pStyle w:val="BodyText"/>
      </w:pPr>
      <w:r>
        <w:t xml:space="preserve">In numeri assoluti ciò significa: in poco meno di quattro anni circa due trattati su cento hanno avuto un evento cardiovascolare grave in meno. Per un gruppo ad alto rischio è un effetto rilevante.</w:t>
      </w:r>
    </w:p>
    <w:p>
      <w:pPr>
        <w:pStyle w:val="BodyText"/>
      </w:pPr>
      <w:r>
        <w:t xml:space="preserve">L’analisi renale (Mann 2017, PMID 28854085) ha mostrato meno casi di nuova comparsa di forte escrezione di proteine nelle urine (macroalbuminuria). Gli endpoint renali solidi come la necessità di dialisi erano rari e non differivano in modo netto. L’insufficienza renale acuta si è verificata con frequenza simile a quella con placebo.</w:t>
      </w:r>
    </w:p>
    <w:p>
      <w:pPr>
        <w:pStyle w:val="BodyText"/>
      </w:pPr>
      <w:r>
        <w:t xml:space="preserve">Non tutti i gruppi di cardiopatici ne traggono beneficio. Nello studio FIGHT con 300 persone che poco prima erano state ricoverate per uno scompenso cardiaco grave con funzione di pompa fortemente ridotta, la liraglutide non ha migliorato il decorso (Margulies 2016, PMID 27483064). Ci sono stati addirittura un po’ più ricoveri ripetuti per scompenso cardiaco (41% vs. 34%), senza che la differenza fosse statisticamente significativa. Le autrici e gli autori non hanno visto basi per l’impiego in questa situazione.</w:t>
      </w:r>
    </w:p>
    <w:bookmarkEnd w:id="153"/>
    <w:bookmarkStart w:id="154" w:name="obesità-il-programma-scale"/>
    <w:p>
      <w:pPr>
        <w:pStyle w:val="Heading4"/>
      </w:pPr>
      <w:r>
        <w:t xml:space="preserve">Obesità: il programma SCALE</w:t>
      </w:r>
    </w:p>
    <w:p>
      <w:pPr>
        <w:pStyle w:val="FirstParagraph"/>
      </w:pPr>
      <w:r>
        <w:t xml:space="preserve">Con 3,0 mg al giorno – quasi il doppio della dose più alta per il diabete – la liraglutide è stata autorizzata nel 2014/2015 come primo farmaco GLP-1 per la riduzione del peso. La base era il programma di studi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SCALE Obesity and Prediabetes (Pi-Sunyer 2015), PMID 26132939</w:t>
            </w:r>
          </w:p>
        </w:tc>
        <w:tc>
          <w:tcPr/>
          <w:p>
            <w:pPr>
              <w:pStyle w:val="Compact"/>
              <w:jc w:val="left"/>
            </w:pPr>
            <w:r>
              <w:t xml:space="preserve">3.731 adulti con obesità senza diabete, RCT contro placebo</w:t>
            </w:r>
          </w:p>
        </w:tc>
        <w:tc>
          <w:tcPr/>
          <w:p>
            <w:pPr>
              <w:pStyle w:val="Compact"/>
              <w:jc w:val="left"/>
            </w:pPr>
            <w:r>
              <w:t xml:space="preserve">56 settimane</w:t>
            </w:r>
          </w:p>
        </w:tc>
        <w:tc>
          <w:tcPr/>
          <w:p>
            <w:pPr>
              <w:pStyle w:val="Compact"/>
              <w:jc w:val="left"/>
            </w:pPr>
            <w:r>
              <w:t xml:space="preserve">−8,4 kg vs. −2,8 kg; perdita ≥ 5% nel 63,2% vs. 27,1%</w:t>
            </w:r>
          </w:p>
        </w:tc>
      </w:tr>
      <w:tr>
        <w:tc>
          <w:tcPr/>
          <w:p>
            <w:pPr>
              <w:pStyle w:val="Compact"/>
              <w:jc w:val="left"/>
            </w:pPr>
            <w:r>
              <w:t xml:space="preserve">SCALE, parte a 3 anni (le Roux 2017), PMID 28237263</w:t>
            </w:r>
          </w:p>
        </w:tc>
        <w:tc>
          <w:tcPr/>
          <w:p>
            <w:pPr>
              <w:pStyle w:val="Compact"/>
              <w:jc w:val="left"/>
            </w:pPr>
            <w:r>
              <w:t xml:space="preserve">2.254 persone con prediabete</w:t>
            </w:r>
          </w:p>
        </w:tc>
        <w:tc>
          <w:tcPr/>
          <w:p>
            <w:pPr>
              <w:pStyle w:val="Compact"/>
              <w:jc w:val="left"/>
            </w:pPr>
            <w:r>
              <w:t xml:space="preserve">160 settimane</w:t>
            </w:r>
          </w:p>
        </w:tc>
        <w:tc>
          <w:tcPr/>
          <w:p>
            <w:pPr>
              <w:pStyle w:val="Compact"/>
              <w:jc w:val="left"/>
            </w:pPr>
            <w:r>
              <w:t xml:space="preserve">Nuovo diabete nel 2% vs. 6%; peso −6,1% vs. −1,9%</w:t>
            </w:r>
          </w:p>
        </w:tc>
      </w:tr>
      <w:tr>
        <w:tc>
          <w:tcPr/>
          <w:p>
            <w:pPr>
              <w:pStyle w:val="Compact"/>
              <w:jc w:val="left"/>
            </w:pPr>
            <w:r>
              <w:t xml:space="preserve">SCALE Diabetes (Davies 2015), PMID 26284720</w:t>
            </w:r>
          </w:p>
        </w:tc>
        <w:tc>
          <w:tcPr/>
          <w:p>
            <w:pPr>
              <w:pStyle w:val="Compact"/>
              <w:jc w:val="left"/>
            </w:pPr>
            <w:r>
              <w:t xml:space="preserve">846 persone con diabete di tipo 2 e sovrappeso</w:t>
            </w:r>
          </w:p>
        </w:tc>
        <w:tc>
          <w:tcPr/>
          <w:p>
            <w:pPr>
              <w:pStyle w:val="Compact"/>
              <w:jc w:val="left"/>
            </w:pPr>
            <w:r>
              <w:t xml:space="preserve">56 settimane</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persone dopo dieta con perdita ≥ 5%</w:t>
            </w:r>
          </w:p>
        </w:tc>
        <w:tc>
          <w:tcPr/>
          <w:p>
            <w:pPr>
              <w:pStyle w:val="Compact"/>
              <w:jc w:val="left"/>
            </w:pPr>
            <w:r>
              <w:t xml:space="preserve">56 settimane</w:t>
            </w:r>
          </w:p>
        </w:tc>
        <w:tc>
          <w:tcPr/>
          <w:p>
            <w:pPr>
              <w:pStyle w:val="Compact"/>
              <w:jc w:val="left"/>
            </w:pPr>
            <w:r>
              <w:t xml:space="preserve">ulteriore −6,2% vs. −0,2%</w:t>
            </w:r>
          </w:p>
        </w:tc>
      </w:tr>
      <w:tr>
        <w:tc>
          <w:tcPr/>
          <w:p>
            <w:pPr>
              <w:pStyle w:val="Compact"/>
              <w:jc w:val="left"/>
            </w:pPr>
            <w:r>
              <w:t xml:space="preserve">SCALE Sleep Apnea (Blackman 2016), PMID 27005405</w:t>
            </w:r>
          </w:p>
        </w:tc>
        <w:tc>
          <w:tcPr/>
          <w:p>
            <w:pPr>
              <w:pStyle w:val="Compact"/>
              <w:jc w:val="left"/>
            </w:pPr>
            <w:r>
              <w:t xml:space="preserve">adulti con obesità e apnea notturna da moderata a grave</w:t>
            </w:r>
          </w:p>
        </w:tc>
        <w:tc>
          <w:tcPr/>
          <w:p>
            <w:pPr>
              <w:pStyle w:val="Compact"/>
              <w:jc w:val="left"/>
            </w:pPr>
            <w:r>
              <w:t xml:space="preserve">32 settimane</w:t>
            </w:r>
          </w:p>
        </w:tc>
        <w:tc>
          <w:tcPr/>
          <w:p>
            <w:pPr>
              <w:pStyle w:val="Compact"/>
              <w:jc w:val="left"/>
            </w:pPr>
            <w:r>
              <w:t xml:space="preserve">Apnee −12,2 vs. −6,1 all’ora; peso −5,7% vs. −1,6%</w:t>
            </w:r>
          </w:p>
        </w:tc>
      </w:tr>
    </w:tbl>
    <w:p>
      <w:pPr>
        <w:pStyle w:val="BodyText"/>
      </w:pPr>
      <w:r>
        <w:t xml:space="preserve">Nello studio più grande (Pi-Sunyer 2015, PMID 26132939) i partecipanti con liraglutide hanno perso in media 8,4 kg, con placebo 2,8 kg – in entrambi i casi con consulenza su alimentazione e attività fisica. Un terzo (33,1%) ha perso più del 10% del peso corporeo, contro il 10,6% con placebo. Eventi avversi gravi si sono verificati nel 6,2% contro il 5,0%.</w:t>
      </w:r>
    </w:p>
    <w:p>
      <w:pPr>
        <w:pStyle w:val="BodyText"/>
      </w:pPr>
      <w:r>
        <w:t xml:space="preserve">I partecipanti con prediabete (stadio preliminare del diabete) sono stati trattati per altri tre anni (le Roux 2017, PMID 28237263). Con liraglutide il 2% ha sviluppato un diabete di tipo 2, con placebo il 6%. Lo studio ha però un’importante debolezza: solo metà dei partecipanti (50%) è rimasta fino alla fine, e chi è uscito non è stato più seguito. I risultati vanno quindi letti con cautela.</w:t>
      </w:r>
    </w:p>
    <w:p>
      <w:pPr>
        <w:pStyle w:val="BodyText"/>
      </w:pPr>
      <w:r>
        <w:t xml:space="preserve">Nelle persone con diabete di tipo 2 la perdita di peso è stata minore (Davies 2015, PMID 26284720) – uno schema che si ripete con tutti i farmaci GLP-1. In SCALE Maintenance (Wadden 2013, PMID 23812094) la liraglutide ha aiutato a mantenere il peso dopo una fase di dieta: l’81,4% ha mantenuto la perdita di peso raggiunta in precedenza, contro il 48,9% con placebo.</w:t>
      </w:r>
    </w:p>
    <w:p>
      <w:pPr>
        <w:pStyle w:val="BodyText"/>
      </w:pPr>
      <w:r>
        <w:t xml:space="preserve">In retrospettiva l’effetto sul peso della liraglutide appare modesto, da quando semaglutide e tirzepatide raggiungono in media dal 15 a oltre il 20%. Per il suo tempo è stato una svolta: nessun farmaco autorizzato in precedenza aveva mostrato valori simili in studi di queste dimensioni.</w:t>
      </w:r>
    </w:p>
    <w:bookmarkEnd w:id="154"/>
    <w:bookmarkStart w:id="155" w:name="bambini-e-adolescenti"/>
    <w:p>
      <w:pPr>
        <w:pStyle w:val="Heading4"/>
      </w:pPr>
      <w:r>
        <w:t xml:space="preserve">Bambini e adolescenti</w:t>
      </w:r>
    </w:p>
    <w:p>
      <w:pPr>
        <w:pStyle w:val="FirstParagraph"/>
      </w:pPr>
      <w:r>
        <w:t xml:space="preserve">La liraglutide è uno dei pochi principi attivi di questa classe studiati in modo mirato su bambini e adolescenti.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ELLIPSE (Tamborlane 2019), PMID 31034184</w:t>
            </w:r>
          </w:p>
        </w:tc>
        <w:tc>
          <w:tcPr/>
          <w:p>
            <w:pPr>
              <w:pStyle w:val="Compact"/>
              <w:jc w:val="left"/>
            </w:pPr>
            <w:r>
              <w:t xml:space="preserve">134 bambini e adolescenti (da 10 a meno di 17 anni) con diabete di tipo 2, RCT contro placebo</w:t>
            </w:r>
          </w:p>
        </w:tc>
        <w:tc>
          <w:tcPr/>
          <w:p>
            <w:pPr>
              <w:pStyle w:val="Compact"/>
              <w:jc w:val="left"/>
            </w:pPr>
            <w:r>
              <w:t xml:space="preserve">52 settimane</w:t>
            </w:r>
          </w:p>
        </w:tc>
        <w:tc>
          <w:tcPr/>
          <w:p>
            <w:pPr>
              <w:pStyle w:val="Compact"/>
              <w:jc w:val="left"/>
            </w:pPr>
            <w:r>
              <w:t xml:space="preserve">HbA1c −1,06 punti percentuali rispetto al placebo dopo 26 settimane, −1,30 dopo 52 settimane</w:t>
            </w:r>
          </w:p>
        </w:tc>
      </w:tr>
      <w:tr>
        <w:tc>
          <w:tcPr/>
          <w:p>
            <w:pPr>
              <w:pStyle w:val="Compact"/>
              <w:jc w:val="left"/>
            </w:pPr>
            <w:r>
              <w:t xml:space="preserve">SCALE Teens (Kelly 2020), PMID 32233338</w:t>
            </w:r>
          </w:p>
        </w:tc>
        <w:tc>
          <w:tcPr/>
          <w:p>
            <w:pPr>
              <w:pStyle w:val="Compact"/>
              <w:jc w:val="left"/>
            </w:pPr>
            <w:r>
              <w:t xml:space="preserve">251 adolescenti (da 12 a meno di 18 anni) con obesità, RCT contro placebo</w:t>
            </w:r>
          </w:p>
        </w:tc>
        <w:tc>
          <w:tcPr/>
          <w:p>
            <w:pPr>
              <w:pStyle w:val="Compact"/>
              <w:jc w:val="left"/>
            </w:pPr>
            <w:r>
              <w:t xml:space="preserve">56 settimane</w:t>
            </w:r>
          </w:p>
        </w:tc>
        <w:tc>
          <w:tcPr/>
          <w:p>
            <w:pPr>
              <w:pStyle w:val="Compact"/>
              <w:jc w:val="left"/>
            </w:pPr>
            <w:r>
              <w:t xml:space="preserve">Riduzione del BMI ≥ 5% nel 43,3% vs. 18,7%; peso −4,50 kg rispetto al placebo</w:t>
            </w:r>
          </w:p>
        </w:tc>
      </w:tr>
      <w:tr>
        <w:tc>
          <w:tcPr/>
          <w:p>
            <w:pPr>
              <w:pStyle w:val="Compact"/>
              <w:jc w:val="left"/>
            </w:pPr>
            <w:r>
              <w:t xml:space="preserve">SCALE Kids (Fox 2025), PMID 39258838</w:t>
            </w:r>
          </w:p>
        </w:tc>
        <w:tc>
          <w:tcPr/>
          <w:p>
            <w:pPr>
              <w:pStyle w:val="Compact"/>
              <w:jc w:val="left"/>
            </w:pPr>
            <w:r>
              <w:t xml:space="preserve">82 bambini (da 6 a meno di 12 anni) con obesità, RCT contro placebo</w:t>
            </w:r>
          </w:p>
        </w:tc>
        <w:tc>
          <w:tcPr/>
          <w:p>
            <w:pPr>
              <w:pStyle w:val="Compact"/>
              <w:jc w:val="left"/>
            </w:pPr>
            <w:r>
              <w:t xml:space="preserve">56 settimane</w:t>
            </w:r>
          </w:p>
        </w:tc>
        <w:tc>
          <w:tcPr/>
          <w:p>
            <w:pPr>
              <w:pStyle w:val="Compact"/>
              <w:jc w:val="left"/>
            </w:pPr>
            <w:r>
              <w:t xml:space="preserve">BMI −5,8% vs. +1,6%</w:t>
            </w:r>
          </w:p>
        </w:tc>
      </w:tr>
    </w:tbl>
    <w:p>
      <w:pPr>
        <w:pStyle w:val="BodyText"/>
      </w:pPr>
      <w:r>
        <w:t xml:space="preserve">In SCALE Teens (Kelly 2020, PMID 32233338) dopo la sospensione si è osservato un nuovo aumento del BMI, più marcato che con placebo. I disturbi gastrointestinali hanno riguardato il 64,8% contro il 36,5%; il 10,4% ha interrotto il trattamento a causa di effetti collaterali. Nel gruppo liraglutide si è verificato un suicidio, che gli sperimentatori hanno classificato come probabilmente non correlato al trattamento.</w:t>
      </w:r>
    </w:p>
    <w:p>
      <w:pPr>
        <w:pStyle w:val="BodyText"/>
      </w:pPr>
      <w:r>
        <w:t xml:space="preserve">In SCALE Kids (Fox 2025, PMID 39258838) il peso corporeo dei bambini in crescita è aumentato con liraglutide in media dell’1,6%, con placebo del 10,0%. Disturbi gastrointestinali si sono verificati nell’80% contro il 54%, eventi avversi gravi nel 12% contro l’8%. Nei bambini si pone in modo particolare la domanda di quanto debba durare un trattamento del genere e di quali effetti a lungo termine esistano su crescita e ossa. A questo proposito è in corso, tra l’altro, uno studio sul metabolismo osseo in giovani dai 12 ai 21 anni in terapia con GLP-1 (NCT06903923).</w:t>
      </w:r>
    </w:p>
    <w:bookmarkEnd w:id="155"/>
    <w:bookmarkStart w:id="156" w:name="altri-ambiti-dimpiego-negli-studi-1"/>
    <w:p>
      <w:pPr>
        <w:pStyle w:val="Heading4"/>
      </w:pPr>
      <w:r>
        <w:t xml:space="preserve">Altri ambiti d’impiego negli studi</w:t>
      </w:r>
    </w:p>
    <w:p>
      <w:pPr>
        <w:numPr>
          <w:ilvl w:val="0"/>
          <w:numId w:val="1043"/>
        </w:numPr>
        <w:pStyle w:val="Compact"/>
      </w:pPr>
      <w:r>
        <w:rPr>
          <w:bCs/>
          <w:b/>
        </w:rPr>
        <w:t xml:space="preserve">Steatoepatite (NASH/MASH):</w:t>
      </w:r>
      <w:r>
        <w:t xml:space="preserve"> </w:t>
      </w:r>
      <w:r>
        <w:t xml:space="preserve">nel piccolo studio di fase 2 LEAN con 52 partecipanti, l’infiammazione nella biopsia epatica è regredita nel 39% con liraglutide e nel 9% con placebo; una progressione della cicatrizzazione (fibrosi) è stata più rara (9% vs. 36%) (Armstrong 2016, PMID 26608256). Studi più grandi sono stati condotti in seguito con la semaglutide.</w:t>
      </w:r>
    </w:p>
    <w:p>
      <w:pPr>
        <w:numPr>
          <w:ilvl w:val="0"/>
          <w:numId w:val="1043"/>
        </w:numPr>
        <w:pStyle w:val="Compact"/>
      </w:pPr>
      <w:r>
        <w:rPr>
          <w:bCs/>
          <w:b/>
        </w:rPr>
        <w:t xml:space="preserve">Malattia di Alzheimer:</w:t>
      </w:r>
      <w:r>
        <w:t xml:space="preserve"> </w:t>
      </w:r>
      <w:r>
        <w:t xml:space="preserve">nello studio di fase 2b ELAD con 204 persone senza diabete l’endpoint principale, il metabolismo del glucosio nel cervello, non è cambiato (Edison 2026, PMID 41326666). In un endpoint secondario sulle funzioni esecutive la liraglutide ha ottenuto risultati migliori, per le capacità quotidiane e la gravità della demenza no. Gli endpoint secondari senza correzione per test multipli sono solo indizi.</w:t>
      </w:r>
    </w:p>
    <w:p>
      <w:pPr>
        <w:numPr>
          <w:ilvl w:val="0"/>
          <w:numId w:val="1043"/>
        </w:numPr>
        <w:pStyle w:val="Compact"/>
      </w:pPr>
      <w:r>
        <w:rPr>
          <w:bCs/>
          <w:b/>
        </w:rPr>
        <w:t xml:space="preserve">Alcol e altre dipendenze:</w:t>
      </w:r>
      <w:r>
        <w:t xml:space="preserve"> </w:t>
      </w:r>
      <w:r>
        <w:t xml:space="preserve">in uno studio di registro svedese con 227.866 persone con dipendenza da alcol, l’assunzione di liraglutide era associata a un rischio inferiore del 28% di ricoveri ospedalieri correlati all’alcol (Lähteenvuo 2025, PMID 39535805). Dati osservazionali di questo tipo mostrano associazioni, non un rapporto di causa-effetto.</w:t>
      </w:r>
    </w:p>
    <w:bookmarkEnd w:id="156"/>
    <w:bookmarkEnd w:id="157"/>
    <w:bookmarkStart w:id="158" w:name="studi-su-animali-e-in-laboratorio-1"/>
    <w:p>
      <w:pPr>
        <w:pStyle w:val="Heading3"/>
      </w:pPr>
      <w:r>
        <w:t xml:space="preserve">Studi su animali e in laboratorio</w:t>
      </w:r>
    </w:p>
    <w:p>
      <w:pPr>
        <w:pStyle w:val="FirstParagraph"/>
      </w:pPr>
      <w:r>
        <w:t xml:space="preserve">Gran parte dell’attuale comprensione dell’azione del GLP-1 nel cervello deriva da esperimenti su animali con liraglutide. In ratti e topi è stato dimostrato che la molecola, nonostante le sue dimensioni, raggiunge determinate regioni cerebrali prive di una barriera ematoencefalica compatta e vi stimola cellule nervose che frenano l’appetito (Secher 2014, PMID 25202980).</w:t>
      </w:r>
    </w:p>
    <w:p>
      <w:pPr>
        <w:pStyle w:val="BodyText"/>
      </w:pPr>
      <w:r>
        <w:t xml:space="preserve">Di particolare rilievo sono stati i risultati sulla tiroide. In esperimenti a lungo termine con ratti e topi la liraglutide ha portato a una proliferazione delle cellule C (che producono l’ormone calcitonina) e a tumori a cellule C. Lo studio del meccanismo ha mostrato che le cellule C dei roditori portano abbondanti recettori del GLP-1, mentre quelle di uomo e scimmia quasi nessuno (Bjerre Knudsen 2010, PMID 20203154). Nei macachi cinomolghi 20 mesi di liraglutide, con un’esposizione più di 60 volte superiore a quella umana, non hanno portato a una proliferazione delle cellule C. Ciononostante, da allora per l’intera classe compare un’avvertenza sul carcinoma midollare della tiroide nel Riassunto delle caratteristiche del prodotto, in particolare negli Stati Uniti.</w:t>
      </w:r>
    </w:p>
    <w:p>
      <w:pPr>
        <w:pStyle w:val="BodyText"/>
      </w:pPr>
      <w:r>
        <w:t xml:space="preserve">Altri studi su animali si sono occupati di protezione cardiaca, neuroprotezione (modelli di Alzheimer e Parkinson), steatosi epatica e danni renali. La trasferibilità all’uomo è limitata, come per l’exenatide: lo studio sull’Alzheimer ELAD, per esempio, ha mancato il suo endpoint principale, benché i dati su animali fossero positivi.</w:t>
      </w:r>
    </w:p>
    <w:bookmarkEnd w:id="158"/>
    <w:bookmarkStart w:id="159" w:name="rischi-ed-effetti-collaterali-1"/>
    <w:p>
      <w:pPr>
        <w:pStyle w:val="Heading3"/>
      </w:pPr>
      <w:r>
        <w:t xml:space="preserve">Rischi ed effetti collaterali</w:t>
      </w:r>
    </w:p>
    <w:p>
      <w:pPr>
        <w:pStyle w:val="FirstParagraph"/>
      </w:pPr>
      <w:r>
        <w:rPr>
          <w:bCs/>
          <w:b/>
        </w:rPr>
        <w:t xml:space="preserve">Dimostrati da studi randomizzati:</w:t>
      </w:r>
    </w:p>
    <w:p>
      <w:pPr>
        <w:numPr>
          <w:ilvl w:val="0"/>
          <w:numId w:val="1044"/>
        </w:numPr>
        <w:pStyle w:val="Compact"/>
      </w:pPr>
      <w:r>
        <w:rPr>
          <w:bCs/>
          <w:b/>
        </w:rPr>
        <w:t xml:space="preserve">Disturbi gastrointestinali:</w:t>
      </w:r>
      <w:r>
        <w:t xml:space="preserve"> </w:t>
      </w:r>
      <w:r>
        <w:t xml:space="preserve">nausea, diarrea, vomito e stitichezza sono gli effetti collaterali più frequenti e per lo più il motivo delle interruzioni della terapia (Marso 2016, PMID 27295427). Si verificano soprattutto all’inizio e dopo gli aumenti di dose. Con la dose più alta per l’obesità sono più frequenti che con la dose per il diabete (Davies 2015, PMID 26284720).</w:t>
      </w:r>
    </w:p>
    <w:p>
      <w:pPr>
        <w:numPr>
          <w:ilvl w:val="0"/>
          <w:numId w:val="1044"/>
        </w:numPr>
        <w:pStyle w:val="Compact"/>
      </w:pPr>
      <w:r>
        <w:rPr>
          <w:bCs/>
          <w:b/>
        </w:rPr>
        <w:t xml:space="preserve">Colecisti:</w:t>
      </w:r>
      <w:r>
        <w:t xml:space="preserve"> </w:t>
      </w:r>
      <w:r>
        <w:t xml:space="preserve">una meta-analisi di 76 studi randomizzati con 103.371 partecipanti ha rilevato per la classe GLP-1 un rischio relativo aumentato del 37% di malattie della colecisti e delle vie biliari come calcoli biliari e colecistite (He 2022, PMID 35344001). Il rischio era maggiore con dosi più alte, uso più prolungato e negli studi sulla perdita di peso (rischio relativo 2,29). Una parte di esso dovrebbe essere legata alla rapida perdita di peso stessa.</w:t>
      </w:r>
    </w:p>
    <w:p>
      <w:pPr>
        <w:numPr>
          <w:ilvl w:val="0"/>
          <w:numId w:val="1044"/>
        </w:numPr>
        <w:pStyle w:val="Compact"/>
      </w:pPr>
      <w:r>
        <w:rPr>
          <w:bCs/>
          <w:b/>
        </w:rPr>
        <w:t xml:space="preserve">Ipoglicemia:</w:t>
      </w:r>
      <w:r>
        <w:t xml:space="preserve"> </w:t>
      </w:r>
      <w:r>
        <w:t xml:space="preserve">rara in monoterapia, più frequente in combinazione con sulfoniluree o insulina.</w:t>
      </w:r>
    </w:p>
    <w:p>
      <w:pPr>
        <w:numPr>
          <w:ilvl w:val="0"/>
          <w:numId w:val="1044"/>
        </w:numPr>
        <w:pStyle w:val="Compact"/>
      </w:pPr>
      <w:r>
        <w:rPr>
          <w:bCs/>
          <w:b/>
        </w:rPr>
        <w:t xml:space="preserve">Frequenza cardiaca:</w:t>
      </w:r>
      <w:r>
        <w:t xml:space="preserve"> </w:t>
      </w:r>
      <w:r>
        <w:t xml:space="preserve">la liraglutide aumenta leggermente il polso a riposo di alcuni battiti al minuto; alla luce dei risultati di LEADER la rilevanza clinica è considerata modesta.</w:t>
      </w:r>
    </w:p>
    <w:p>
      <w:pPr>
        <w:pStyle w:val="FirstParagraph"/>
      </w:pPr>
      <w:r>
        <w:rPr>
          <w:bCs/>
          <w:b/>
        </w:rPr>
        <w:t xml:space="preserve">Studiati, ma incerti o non confermati:</w:t>
      </w:r>
    </w:p>
    <w:p>
      <w:pPr>
        <w:numPr>
          <w:ilvl w:val="0"/>
          <w:numId w:val="1045"/>
        </w:numPr>
        <w:pStyle w:val="Compact"/>
      </w:pPr>
      <w:r>
        <w:rPr>
          <w:bCs/>
          <w:b/>
        </w:rPr>
        <w:t xml:space="preserve">Pancreatite:</w:t>
      </w:r>
      <w:r>
        <w:t xml:space="preserve"> </w:t>
      </w:r>
      <w:r>
        <w:t xml:space="preserve">in LEADER non si è verificata con liraglutide più spesso che con placebo (Marso 2016, PMID 27295427). Anche una meta-analisi meno recente non ha trovato un rischio aumentato (Alves 2012, PMID 23010561). Il Riassunto delle caratteristiche del prodotto la riporta comunque come effetto collaterale raro; in caso di forti dolori addominali persistenti è necessario un accertamento medico.</w:t>
      </w:r>
    </w:p>
    <w:p>
      <w:pPr>
        <w:numPr>
          <w:ilvl w:val="0"/>
          <w:numId w:val="1045"/>
        </w:numPr>
        <w:pStyle w:val="Compact"/>
      </w:pPr>
      <w:r>
        <w:rPr>
          <w:bCs/>
          <w:b/>
        </w:rPr>
        <w:t xml:space="preserve">Cancro della tiroide:</w:t>
      </w:r>
      <w:r>
        <w:t xml:space="preserve"> </w:t>
      </w:r>
      <w:r>
        <w:t xml:space="preserve">i risultati sugli animali sono descritti sopra. Nell’uomo i dati sono contraddittori. Uno studio caso-controllo francese con 2.562 casi ha rilevato dopo uno-tre anni di terapia con GLP-1 un rischio aumentato di cancro della tiroide nel complesso (HR 1,58) e del raro carcinoma midollare (HR 1,78) (Bezin 2023, PMID 36356111). Anche una meta-analisi di 50 studi randomizzati ha mostrato un segnale (odds ratio 1,55) (Silverii 2025, PMID 40437949). Si discute se una parte di esso dipenda da esami più frequenti nei trattati. Secondo il Riassunto delle caratteristiche del prodotto, le persone con carcinoma midollare della tiroide nella propria anamnesi o in quella familiare non devono usare agonisti del recettore del GLP-1.</w:t>
      </w:r>
    </w:p>
    <w:p>
      <w:pPr>
        <w:numPr>
          <w:ilvl w:val="0"/>
          <w:numId w:val="1045"/>
        </w:numPr>
        <w:pStyle w:val="Compact"/>
      </w:pPr>
      <w:r>
        <w:rPr>
          <w:bCs/>
          <w:b/>
        </w:rPr>
        <w:t xml:space="preserve">Effetti collaterali psichici e pensieri suicidari:</w:t>
      </w:r>
      <w:r>
        <w:t xml:space="preserve"> </w:t>
      </w:r>
      <w:r>
        <w:t xml:space="preserve">dopo singole segnalazioni, l’autorità europea e quella statunitense hanno esaminato nel 2023/2024 un possibile nesso e non hanno trovato prove di un rapporto causale (aggiornato al 2026, da verificare). In uno studio di coorte scandinavo con 124.517 persone trattate con agonisti del recettore del GLP-1, il rischio di suicidio non era aumentato rispetto agli inibitori di SGLT2 (HR 1,25; intervallo di confidenza 0,83–1,88) (Ueda 2024, PMID 39226030). Anche una meta-analisi del 2026 non ha trovato alcun nesso negli studi randomizzati (Choudhury 2026, PMID 41862354). L’osservazione resta oggetto di ulteriore sorveglianza.</w:t>
      </w:r>
    </w:p>
    <w:p>
      <w:pPr>
        <w:pStyle w:val="FirstParagraph"/>
      </w:pPr>
      <w:r>
        <w:rPr>
          <w:bCs/>
          <w:b/>
        </w:rPr>
        <w:t xml:space="preserve">Indicazioni per la pratica:</w:t>
      </w:r>
      <w:r>
        <w:t xml:space="preserve"> </w:t>
      </w:r>
      <w:r>
        <w:t xml:space="preserve">la liraglutide non è indicata in gravidanza. Come tutti gli agonisti del recettore del GLP-1 rallenta lo svuotamento gastrico, il che può avere un ruolo nelle anestesie e nell’assorbimento di altri farmaci. Fanno fede il Riassunto delle caratteristiche del prodotto e l’accompagnamento medico, anche per l’aumento graduale della dose.</w:t>
      </w:r>
    </w:p>
    <w:bookmarkEnd w:id="159"/>
    <w:bookmarkStart w:id="160" w:name="quadro-normativo-1"/>
    <w:p>
      <w:pPr>
        <w:pStyle w:val="Heading3"/>
      </w:pPr>
      <w:r>
        <w:t xml:space="preserve">Quadro normativo</w:t>
      </w:r>
    </w:p>
    <w:p>
      <w:pPr>
        <w:numPr>
          <w:ilvl w:val="0"/>
          <w:numId w:val="1046"/>
        </w:numPr>
        <w:pStyle w:val="Compact"/>
      </w:pPr>
      <w:r>
        <w:rPr>
          <w:bCs/>
          <w:b/>
        </w:rPr>
        <w:t xml:space="preserve">UE:</w:t>
      </w:r>
      <w:r>
        <w:t xml:space="preserve"> </w:t>
      </w:r>
      <w:r>
        <w:t xml:space="preserve">Victoza è autorizzato dal 2009 per il trattamento del diabete di tipo 2, Saxenda dal 2015 per la gestione del peso negli adulti e negli adolescenti. Entrambi sono soggetti a prescrizione.</w:t>
      </w:r>
    </w:p>
    <w:p>
      <w:pPr>
        <w:numPr>
          <w:ilvl w:val="0"/>
          <w:numId w:val="1046"/>
        </w:numPr>
        <w:pStyle w:val="Compact"/>
      </w:pPr>
      <w:r>
        <w:rPr>
          <w:bCs/>
          <w:b/>
        </w:rPr>
        <w:t xml:space="preserve">Germania:</w:t>
      </w:r>
      <w:r>
        <w:t xml:space="preserve"> </w:t>
      </w:r>
      <w:r>
        <w:t xml:space="preserve">nel diabete le casse malattia obbligatorie rimborsano la liraglutide. I farmaci per la riduzione del peso sono invece in linea di principio esclusi dal rimborso ai sensi del § 34 SGB V; Saxenda deve di regola essere pagato dagli assicurati di tasca propria (aggiornato al 2026, da verificare).</w:t>
      </w:r>
    </w:p>
    <w:p>
      <w:pPr>
        <w:numPr>
          <w:ilvl w:val="0"/>
          <w:numId w:val="1046"/>
        </w:numPr>
        <w:pStyle w:val="Compact"/>
      </w:pPr>
      <w:r>
        <w:rPr>
          <w:bCs/>
          <w:b/>
        </w:rPr>
        <w:t xml:space="preserve">Austria:</w:t>
      </w:r>
      <w:r>
        <w:t xml:space="preserve"> </w:t>
      </w:r>
      <w:r>
        <w:t xml:space="preserve">soggetta a prescrizione; la copertura dei costi per la gestione del peso è limitata e legata a condizioni (da verificare).</w:t>
      </w:r>
    </w:p>
    <w:p>
      <w:pPr>
        <w:numPr>
          <w:ilvl w:val="0"/>
          <w:numId w:val="1046"/>
        </w:numPr>
        <w:pStyle w:val="Compact"/>
      </w:pPr>
      <w:r>
        <w:rPr>
          <w:bCs/>
          <w:b/>
        </w:rPr>
        <w:t xml:space="preserve">USA:</w:t>
      </w:r>
      <w:r>
        <w:t xml:space="preserve"> </w:t>
      </w:r>
      <w:r>
        <w:t xml:space="preserve">Victoza e Saxenda autorizzati, Victoza anche per la riduzione del rischio cardiovascolare. Dal 2024 sono sul mercato generici della forma per il diabete, dal 2025 anche della forma per l’obesità.</w:t>
      </w:r>
    </w:p>
    <w:p>
      <w:pPr>
        <w:numPr>
          <w:ilvl w:val="0"/>
          <w:numId w:val="1046"/>
        </w:numPr>
        <w:pStyle w:val="Compact"/>
      </w:pPr>
      <w:r>
        <w:rPr>
          <w:bCs/>
          <w:b/>
        </w:rPr>
        <w:t xml:space="preserve">Generici in Europa:</w:t>
      </w:r>
      <w:r>
        <w:t xml:space="preserve"> </w:t>
      </w:r>
      <w:r>
        <w:t xml:space="preserve">poiché la liraglutide è un peptide producibile per sintesi o con tecniche di ingegneria genetica e la protezione brevettuale è scaduta, anche in Europa arrivano sul mercato preparati di imitazione. La situazione varia da Paese a Paese; da verificare.</w:t>
      </w:r>
    </w:p>
    <w:p>
      <w:pPr>
        <w:numPr>
          <w:ilvl w:val="0"/>
          <w:numId w:val="1046"/>
        </w:numPr>
        <w:pStyle w:val="Compact"/>
      </w:pPr>
      <w:r>
        <w:rPr>
          <w:bCs/>
          <w:b/>
        </w:rPr>
        <w:t xml:space="preserve">Sport (WADA):</w:t>
      </w:r>
      <w:r>
        <w:t xml:space="preserve"> </w:t>
      </w:r>
      <w:r>
        <w:t xml:space="preserve">non elencata (aggiornato al 2026, da verificare).</w:t>
      </w:r>
    </w:p>
    <w:p>
      <w:pPr>
        <w:pStyle w:val="FirstParagraph"/>
      </w:pPr>
      <w:r>
        <w:t xml:space="preserve">I generici fanno della liraglutide un caso particolare della classe: è il primo principio attivo GLP-1 con beneficio cardiovascolare dimostrato che può diventare molto più economico. Ciò ha importanza soprattutto nei Paesi con budget sanitari limitati, anche se l’iniezione giornaliera e l’effetto minore rispetto alla semaglutide restano svantaggi. Maggiori informazioni su scadenze dei brevetti e prezzi nella Parte V.</w:t>
      </w:r>
    </w:p>
    <w:bookmarkEnd w:id="160"/>
    <w:bookmarkStart w:id="161" w:name="studi-in-corso-e-prospettive-1"/>
    <w:p>
      <w:pPr>
        <w:pStyle w:val="Heading3"/>
      </w:pPr>
      <w:r>
        <w:t xml:space="preserve">Studi in corso e prospettive</w:t>
      </w:r>
    </w:p>
    <w:p>
      <w:pPr>
        <w:pStyle w:val="FirstParagraph"/>
      </w:pPr>
      <w:r>
        <w:rPr>
          <w:bCs/>
          <w:b/>
        </w:rPr>
        <w:t xml:space="preserve">Accertato (studi registrati):</w:t>
      </w:r>
      <w:r>
        <w:t xml:space="preserve"> </w:t>
      </w:r>
      <w:r>
        <w:t xml:space="preserve">nuovi studi registrativi di Novo Nordisk non ce ne sono quasi più; la ricerca è sostenuta prevalentemente da cliniche e università. Esempi:</w:t>
      </w:r>
    </w:p>
    <w:p>
      <w:pPr>
        <w:numPr>
          <w:ilvl w:val="0"/>
          <w:numId w:val="1047"/>
        </w:numPr>
        <w:pStyle w:val="Compact"/>
      </w:pPr>
      <w:r>
        <w:t xml:space="preserve">Uno studio con 890 donne con obesità, desiderio di gravidanza non realizzato e sindrome dell’ovaio policistico (PCOS) valuta la liraglutide prima di un trattamento per l’infertilità (NCT06742710).</w:t>
      </w:r>
    </w:p>
    <w:p>
      <w:pPr>
        <w:numPr>
          <w:ilvl w:val="0"/>
          <w:numId w:val="1047"/>
        </w:numPr>
        <w:pStyle w:val="Compact"/>
      </w:pPr>
      <w:r>
        <w:t xml:space="preserve">Uno studio di fase 3 con 260 persone anziane con diabete esamina se la liraglutide possa prevenire un delirium dopo interventi cardiochirurgici (NCT06361238).</w:t>
      </w:r>
    </w:p>
    <w:p>
      <w:pPr>
        <w:numPr>
          <w:ilvl w:val="0"/>
          <w:numId w:val="1047"/>
        </w:numPr>
        <w:pStyle w:val="Compact"/>
      </w:pPr>
      <w:r>
        <w:t xml:space="preserve">In una forma ereditaria di diabete (MODY) la liraglutide viene studiata in uno studio di fase 2 (NCT07029009).</w:t>
      </w:r>
    </w:p>
    <w:p>
      <w:pPr>
        <w:numPr>
          <w:ilvl w:val="0"/>
          <w:numId w:val="1047"/>
        </w:numPr>
        <w:pStyle w:val="Compact"/>
      </w:pPr>
      <w:r>
        <w:t xml:space="preserve">Un grande studio pragmatico con 6.000 partecipanti confronta strategie di trattamento per la prevenzione delle malattie cardiache e renali nel diabete di tipo 2 (NCT05390892).</w:t>
      </w:r>
    </w:p>
    <w:p>
      <w:pPr>
        <w:numPr>
          <w:ilvl w:val="0"/>
          <w:numId w:val="1047"/>
        </w:numPr>
        <w:pStyle w:val="Compact"/>
      </w:pPr>
      <w:r>
        <w:t xml:space="preserve">L’osservazione a lungo termine dei partecipanti di SCALE Kids prosegue (NCT04775082).</w:t>
      </w:r>
    </w:p>
    <w:p>
      <w:pPr>
        <w:pStyle w:val="FirstParagraph"/>
      </w:pPr>
      <w:r>
        <w:rPr>
          <w:bCs/>
          <w:b/>
        </w:rPr>
        <w:t xml:space="preserve">Valutazione:</w:t>
      </w:r>
      <w:r>
        <w:t xml:space="preserve"> </w:t>
      </w:r>
      <w:r>
        <w:t xml:space="preserve">nei Paesi ricchi la liraglutide viene sempre più soppiantata da principi attivi settimanali come semaglutide e tirzepatide. Grazie ai generici dovrebbe però vivere una seconda carriera come alternativa a basso costo – soprattutto là dove i farmaci più recenti non sono accessibili economicamente o non sono disponibili. Dal punto di vista scientifico resta un importante standard di confronto.</w:t>
      </w:r>
    </w:p>
    <w:bookmarkEnd w:id="161"/>
    <w:bookmarkStart w:id="162" w:name="conclusione-1"/>
    <w:p>
      <w:pPr>
        <w:pStyle w:val="Heading3"/>
      </w:pPr>
      <w:r>
        <w:t xml:space="preserve">Conclusione</w:t>
      </w:r>
    </w:p>
    <w:p>
      <w:pPr>
        <w:pStyle w:val="FirstParagraph"/>
      </w:pPr>
      <w:r>
        <w:t xml:space="preserve">La liraglutide è stata il primo principio attivo GLP-1 quasi identico a quello umano e il primo per il quale un grande studio ha mostrato una protezione dagli eventi cardiovascolari (LEADER, 9.340 partecipanti, riduzione relativa del rischio del 13%). Come Saxenda è stata il primo farmaco GLP-1 per la riduzione del peso; in media i partecipanti senza diabete hanno perso circa 8 kg in un anno. Nel confronto diretto è superiore all’exenatide, alla pari con la dulaglutide e nettamente inferiore alla semaglutide. Gli effetti collaterali più frequenti sono i disturbi gastrointestinali, a cui si aggiunge un rischio aumentato per la colecisti; la questione del cancro della tiroide non è definitivamente chiarita. Con la scadenza della protezione brevettuale diventa la prima opzione a basso costo della classe – il trattamento va comunque affidato al medico.</w:t>
      </w:r>
    </w:p>
    <w:bookmarkEnd w:id="162"/>
    <w:bookmarkEnd w:id="163"/>
    <w:bookmarkStart w:id="180" w:name="dulaglutide"/>
    <w:p>
      <w:pPr>
        <w:pStyle w:val="Heading2"/>
      </w:pPr>
      <w:r>
        <w:t xml:space="preserve">Dulaglutide</w:t>
      </w:r>
    </w:p>
    <w:bookmarkStart w:id="164" w:name="scheda-2"/>
    <w:p>
      <w:pPr>
        <w:pStyle w:val="Heading3"/>
      </w:pPr>
      <w:r>
        <w:t xml:space="preserve">Scheda</w:t>
      </w:r>
    </w:p>
    <w:p>
      <w:pPr>
        <w:numPr>
          <w:ilvl w:val="0"/>
          <w:numId w:val="1048"/>
        </w:numPr>
        <w:pStyle w:val="Compact"/>
      </w:pPr>
      <w:r>
        <w:rPr>
          <w:bCs/>
          <w:b/>
        </w:rPr>
        <w:t xml:space="preserve">Tipo/struttura:</w:t>
      </w:r>
      <w:r>
        <w:t xml:space="preserve"> </w:t>
      </w:r>
      <w:r>
        <w:t xml:space="preserve">proteina di fusione. Due catene di GLP-1 leggermente modificate sono legate, tramite un breve elemento di collegamento, alla porzione costante (frammento Fc) di un anticorpo umano di tipo IgG4. La dulaglutide è quindi molte volte più grande della liraglutide – a rigore più una proteina che un piccolo peptide.</w:t>
      </w:r>
    </w:p>
    <w:p>
      <w:pPr>
        <w:numPr>
          <w:ilvl w:val="0"/>
          <w:numId w:val="1048"/>
        </w:numPr>
        <w:pStyle w:val="Compact"/>
      </w:pPr>
      <w:r>
        <w:rPr>
          <w:bCs/>
          <w:b/>
        </w:rPr>
        <w:t xml:space="preserve">Origine:</w:t>
      </w:r>
      <w:r>
        <w:t xml:space="preserve"> </w:t>
      </w:r>
      <w:r>
        <w:t xml:space="preserve">sviluppata da Eli Lilly, prodotta con tecniche di ingegneria genetica in cellule di mammifero (Glaesner 2010, PMID 20503261).</w:t>
      </w:r>
    </w:p>
    <w:p>
      <w:pPr>
        <w:numPr>
          <w:ilvl w:val="0"/>
          <w:numId w:val="1048"/>
        </w:numPr>
        <w:pStyle w:val="Compact"/>
      </w:pPr>
      <w:r>
        <w:rPr>
          <w:bCs/>
          <w:b/>
        </w:rPr>
        <w:t xml:space="preserve">Meccanismo d’azione:</w:t>
      </w:r>
      <w:r>
        <w:t xml:space="preserve"> </w:t>
      </w:r>
      <w:r>
        <w:t xml:space="preserve">agonista del recettore del GLP-1. La porzione anticorpale protegge dalla degradazione e dall’eliminazione renale; basta un’iniezione alla settimana.</w:t>
      </w:r>
    </w:p>
    <w:p>
      <w:pPr>
        <w:numPr>
          <w:ilvl w:val="0"/>
          <w:numId w:val="1048"/>
        </w:numPr>
        <w:pStyle w:val="Compact"/>
      </w:pPr>
      <w:r>
        <w:rPr>
          <w:bCs/>
          <w:b/>
        </w:rPr>
        <w:t xml:space="preserve">Preparato:</w:t>
      </w:r>
      <w:r>
        <w:t xml:space="preserve"> </w:t>
      </w:r>
      <w:r>
        <w:t xml:space="preserve">Trulicity (penna preriempita, settimanale; dosaggi autorizzati fino a 4,5 mg).</w:t>
      </w:r>
    </w:p>
    <w:p>
      <w:pPr>
        <w:numPr>
          <w:ilvl w:val="0"/>
          <w:numId w:val="1048"/>
        </w:numPr>
        <w:pStyle w:val="Compact"/>
      </w:pPr>
      <w:r>
        <w:rPr>
          <w:bCs/>
          <w:b/>
        </w:rPr>
        <w:t xml:space="preserve">Autorizzazione UE:</w:t>
      </w:r>
      <w:r>
        <w:t xml:space="preserve"> </w:t>
      </w:r>
      <w:r>
        <w:t xml:space="preserve">sì, diabete di tipo 2 negli adulti e negli adolescenti dai 10 anni. Nessuna autorizzazione per la riduzione del peso.</w:t>
      </w:r>
    </w:p>
    <w:p>
      <w:pPr>
        <w:numPr>
          <w:ilvl w:val="0"/>
          <w:numId w:val="1048"/>
        </w:numPr>
        <w:pStyle w:val="Compact"/>
      </w:pPr>
      <w:r>
        <w:rPr>
          <w:bCs/>
          <w:b/>
        </w:rPr>
        <w:t xml:space="preserve">Autorizzazione USA:</w:t>
      </w:r>
      <w:r>
        <w:t xml:space="preserve"> </w:t>
      </w:r>
      <w:r>
        <w:t xml:space="preserve">sì, diabete di tipo 2 dai 10 anni e per la riduzione del rischio cardiovascolare negli adulti con diabete di tipo 2.</w:t>
      </w:r>
    </w:p>
    <w:p>
      <w:pPr>
        <w:numPr>
          <w:ilvl w:val="0"/>
          <w:numId w:val="1048"/>
        </w:numPr>
        <w:pStyle w:val="Compact"/>
      </w:pPr>
      <w:r>
        <w:rPr>
          <w:bCs/>
          <w:b/>
        </w:rPr>
        <w:t xml:space="preserve">WADA:</w:t>
      </w:r>
      <w:r>
        <w:t xml:space="preserve"> </w:t>
      </w:r>
      <w:r>
        <w:t xml:space="preserve">non elencata (aggiornato al 2026, da verificare).</w:t>
      </w:r>
    </w:p>
    <w:p>
      <w:pPr>
        <w:numPr>
          <w:ilvl w:val="0"/>
          <w:numId w:val="1048"/>
        </w:numPr>
        <w:pStyle w:val="Compact"/>
      </w:pPr>
      <w:r>
        <w:rPr>
          <w:bCs/>
          <w:b/>
        </w:rPr>
        <w:t xml:space="preserve">Livello di evidenza:</w:t>
      </w:r>
      <w:r>
        <w:t xml:space="preserve"> </w:t>
      </w:r>
      <w:r>
        <w:rPr>
          <w:bCs/>
          <w:b/>
        </w:rPr>
        <w:t xml:space="preserve">A</w:t>
      </w:r>
      <w:r>
        <w:t xml:space="preserve"> </w:t>
      </w:r>
      <w:r>
        <w:t xml:space="preserve">– programma di studi AWARD con oltre dieci studi randomizzati di fase 3, studio di esito REWIND, studio negli adolescenti.</w:t>
      </w:r>
    </w:p>
    <w:bookmarkEnd w:id="164"/>
    <w:bookmarkStart w:id="165" w:name="come-dovrebbe-agire-2"/>
    <w:p>
      <w:pPr>
        <w:pStyle w:val="Heading3"/>
      </w:pPr>
      <w:r>
        <w:t xml:space="preserve">Come dovrebbe agire</w:t>
      </w:r>
    </w:p>
    <w:p>
      <w:pPr>
        <w:pStyle w:val="FirstParagraph"/>
      </w:pPr>
      <w:r>
        <w:t xml:space="preserve">La dulaglutide agisce sul recettore del GLP-1 come exenatide, liraglutide e semaglutide: potenzia la secrezione di insulina dipendente dal glucosio, frena l’ormone glucagone, rallenta lo svuotamento gastrico e attenua l’appetito. Il meccanismo di base è spiegato nel capitolo Exenatide.</w:t>
      </w:r>
    </w:p>
    <w:p>
      <w:pPr>
        <w:pStyle w:val="BodyText"/>
      </w:pPr>
      <w:r>
        <w:t xml:space="preserve">La differenza sta nell’„involucro“. Liraglutide e semaglutide vengono legate alle proteine del sangue tramite un acido grasso. Lilly ha seguito un’altra strada e ha legato l’ormone al frammento Fc di un anticorpo. Questo elemento è noto in biotecnologia: rende le molecole così grandi che i reni non riescono più a filtrarle e sfrutta una via di riciclo endogena attraverso la quale gli anticorpi vengono protetti dalla degradazione. In ratti e macachi cinomolghi l’emivita del principio attivo era di 1,5–2 giorni; nell’uomo è più lunga e consente la somministrazione settimanale (Glaesner 2010, PMID 20503261).</w:t>
      </w:r>
    </w:p>
    <w:p>
      <w:pPr>
        <w:pStyle w:val="BodyText"/>
      </w:pPr>
      <w:r>
        <w:t xml:space="preserve">Nelle catene di GLP-1 stesse sono stati sostituiti singoli amminoacidi – in parte per impedire la degradazione da parte dell’enzima DPP-4, in parte per ridurre la formazione di anticorpi contro il principio attivo. In effetti, in nove studi solo l’1,6% dei trattati con dulaglutide ha formato anticorpi contro il farmaco (Milicevic 2016, PMID 26847401) – molti meno che con l’exenatide.</w:t>
      </w:r>
    </w:p>
    <w:p>
      <w:pPr>
        <w:pStyle w:val="BodyText"/>
      </w:pPr>
      <w:r>
        <w:t xml:space="preserve">Uno svantaggio delle dimensioni: probabilmente la molecola raggiunge con più difficoltà le regioni cerebrali che regolano l’appetito. Ciò potrebbe spiegare perché la dulaglutide, a parità di riduzione della glicemia, provoca una perdita di peso minore della semaglutide. Questa spiegazione è plausibile, ma non dimostrata.</w:t>
      </w:r>
    </w:p>
    <w:bookmarkEnd w:id="165"/>
    <w:bookmarkStart w:id="174" w:name="studi-sulluomo-2"/>
    <w:p>
      <w:pPr>
        <w:pStyle w:val="Heading3"/>
      </w:pPr>
      <w:r>
        <w:t xml:space="preserve">Studi sull’uomo</w:t>
      </w:r>
    </w:p>
    <w:p>
      <w:pPr>
        <w:pStyle w:val="FirstParagraph"/>
      </w:pPr>
      <w:r>
        <w:t xml:space="preserve">La ricerca su PubMed analizzata per questo libro (termine di ricerca „dulaglutide“ nel titolo o nell’abstract, data della ricerca ottobre 2026) ha restituito 158 studi sull’uomo, ClinicalTrials.gov riporta 143 voci di registro. Il numero è inferiore a quello di liraglutide o semaglutide, ma gli studi sono impostati in modo particolarmente sistematico: il programma AWARD (Assessment of Weekly AdministRation of LY2189265 in Diabetes) ha valutato la dulaglutide contro quasi tutte le terapie antidiabetiche comuni. Colpisce inoltre quanto spesso la dulaglutide stessa serva da farmaco di confronto per principi attivi più recenti – dalla semaglutide alla tirzepatide fino a nuovi sviluppi cinesi.</w:t>
      </w:r>
    </w:p>
    <w:bookmarkStart w:id="166" w:name="il-programma-award"/>
    <w:p>
      <w:pPr>
        <w:pStyle w:val="Heading4"/>
      </w:pPr>
      <w:r>
        <w:t xml:space="preserve">Il programma AWARD</w:t>
      </w:r>
    </w:p>
    <w:p>
      <w:pPr>
        <w:pStyle w:val="FirstParagraph"/>
      </w:pPr>
      <w:r>
        <w:t xml:space="preserve">Nella maggior parte degli studi AWARD sono state valutate le dosi di 0,75 e 1,5 mg alla settimana. La tabella mostra di volta in volta il risultato della dose più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 (dulaglutide 1,5 mg vs. confronto)</w:t>
            </w:r>
          </w:p>
        </w:tc>
      </w:tr>
      <w:tr>
        <w:tc>
          <w:tcPr/>
          <w:p>
            <w:pPr>
              <w:pStyle w:val="Compact"/>
              <w:jc w:val="left"/>
            </w:pPr>
            <w:r>
              <w:t xml:space="preserve">AWARD-1 (Wysham 2014), PMID 24879836</w:t>
            </w:r>
          </w:p>
        </w:tc>
        <w:tc>
          <w:tcPr/>
          <w:p>
            <w:pPr>
              <w:pStyle w:val="Compact"/>
              <w:jc w:val="left"/>
            </w:pPr>
            <w:r>
              <w:t xml:space="preserve">diabete di tipo 2 in terapia con metformina e pioglitazone; vs. exenatide due volte al giorno e placebo</w:t>
            </w:r>
          </w:p>
        </w:tc>
        <w:tc>
          <w:tcPr/>
          <w:p>
            <w:pPr>
              <w:pStyle w:val="Compact"/>
              <w:jc w:val="left"/>
            </w:pPr>
            <w:r>
              <w:t xml:space="preserve">52 settimane (endpoint principale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persone in terapia con metformina e glimepiride; in aperto vs. insulina glargine</w:t>
            </w:r>
          </w:p>
        </w:tc>
        <w:tc>
          <w:tcPr/>
          <w:p>
            <w:pPr>
              <w:pStyle w:val="Compact"/>
              <w:jc w:val="left"/>
            </w:pPr>
            <w:r>
              <w:t xml:space="preserve">78 settimane</w:t>
            </w:r>
          </w:p>
        </w:tc>
        <w:tc>
          <w:tcPr/>
          <w:p>
            <w:pPr>
              <w:pStyle w:val="Compact"/>
              <w:jc w:val="left"/>
            </w:pPr>
            <w:r>
              <w:t xml:space="preserve">HbA1c −1,08 vs. −0,63; il peso è diminuito vs. aumentato</w:t>
            </w:r>
          </w:p>
        </w:tc>
      </w:tr>
      <w:tr>
        <w:tc>
          <w:tcPr/>
          <w:p>
            <w:pPr>
              <w:pStyle w:val="Compact"/>
              <w:jc w:val="left"/>
            </w:pPr>
            <w:r>
              <w:t xml:space="preserve">AWARD-3 (Umpierrez 2014), PMID 24842985</w:t>
            </w:r>
          </w:p>
        </w:tc>
        <w:tc>
          <w:tcPr/>
          <w:p>
            <w:pPr>
              <w:pStyle w:val="Compact"/>
              <w:jc w:val="left"/>
            </w:pPr>
            <w:r>
              <w:t xml:space="preserve">diabete di tipo 2 precoce, monoterapia; in doppio cieco vs. metformina</w:t>
            </w:r>
          </w:p>
        </w:tc>
        <w:tc>
          <w:tcPr/>
          <w:p>
            <w:pPr>
              <w:pStyle w:val="Compact"/>
              <w:jc w:val="left"/>
            </w:pPr>
            <w:r>
              <w:t xml:space="preserve">52 settimane (endpoint principale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 con insulina prandiale; in aperto vs. insulina glargine</w:t>
            </w:r>
          </w:p>
        </w:tc>
        <w:tc>
          <w:tcPr/>
          <w:p>
            <w:pPr>
              <w:pStyle w:val="Compact"/>
              <w:jc w:val="left"/>
            </w:pPr>
            <w:r>
              <w:t xml:space="preserve">52 settimane (endpoint principale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 in terapia con metformina; vs. sitagliptin</w:t>
            </w:r>
          </w:p>
        </w:tc>
        <w:tc>
          <w:tcPr/>
          <w:p>
            <w:pPr>
              <w:pStyle w:val="Compact"/>
              <w:jc w:val="left"/>
            </w:pPr>
            <w:r>
              <w:t xml:space="preserve">52 settimane</w:t>
            </w:r>
          </w:p>
        </w:tc>
        <w:tc>
          <w:tcPr/>
          <w:p>
            <w:pPr>
              <w:pStyle w:val="Compact"/>
              <w:jc w:val="left"/>
            </w:pPr>
            <w:r>
              <w:t xml:space="preserve">HbA1c −1,10 vs. −0,39; peso −3,03 vs. −1,53 kg</w:t>
            </w:r>
          </w:p>
        </w:tc>
      </w:tr>
      <w:tr>
        <w:tc>
          <w:tcPr/>
          <w:p>
            <w:pPr>
              <w:pStyle w:val="Compact"/>
              <w:jc w:val="left"/>
            </w:pPr>
            <w:r>
              <w:t xml:space="preserve">AWARD-6 (Dungan 2014), PMID 25018121</w:t>
            </w:r>
          </w:p>
        </w:tc>
        <w:tc>
          <w:tcPr/>
          <w:p>
            <w:pPr>
              <w:pStyle w:val="Compact"/>
              <w:jc w:val="left"/>
            </w:pPr>
            <w:r>
              <w:t xml:space="preserve">599 persone in terapia con metformina; in aperto vs. liraglutide</w:t>
            </w:r>
          </w:p>
        </w:tc>
        <w:tc>
          <w:tcPr/>
          <w:p>
            <w:pPr>
              <w:pStyle w:val="Compact"/>
              <w:jc w:val="left"/>
            </w:pPr>
            <w:r>
              <w:t xml:space="preserve">26 settimane</w:t>
            </w:r>
          </w:p>
        </w:tc>
        <w:tc>
          <w:tcPr/>
          <w:p>
            <w:pPr>
              <w:pStyle w:val="Compact"/>
              <w:jc w:val="left"/>
            </w:pPr>
            <w:r>
              <w:t xml:space="preserve">HbA1c −1,42 vs. −1,36; equivalente</w:t>
            </w:r>
          </w:p>
        </w:tc>
      </w:tr>
      <w:tr>
        <w:tc>
          <w:tcPr/>
          <w:p>
            <w:pPr>
              <w:pStyle w:val="Compact"/>
              <w:jc w:val="left"/>
            </w:pPr>
            <w:r>
              <w:t xml:space="preserve">AWARD-7 (Tuttle 2018), PMID 29910024</w:t>
            </w:r>
          </w:p>
        </w:tc>
        <w:tc>
          <w:tcPr/>
          <w:p>
            <w:pPr>
              <w:pStyle w:val="Compact"/>
              <w:jc w:val="left"/>
            </w:pPr>
            <w:r>
              <w:t xml:space="preserve">577 persone con malattia renale cronica da moderata a grave; vs. insulina glargine</w:t>
            </w:r>
          </w:p>
        </w:tc>
        <w:tc>
          <w:tcPr/>
          <w:p>
            <w:pPr>
              <w:pStyle w:val="Compact"/>
              <w:jc w:val="left"/>
            </w:pPr>
            <w:r>
              <w:t xml:space="preserve">52 settimane</w:t>
            </w:r>
          </w:p>
        </w:tc>
        <w:tc>
          <w:tcPr/>
          <w:p>
            <w:pPr>
              <w:pStyle w:val="Compact"/>
              <w:jc w:val="left"/>
            </w:pPr>
            <w:r>
              <w:t xml:space="preserve">HbA1c −1,2 vs. −1,1; funzione renale meglio conservata dopo 52 settimane</w:t>
            </w:r>
          </w:p>
        </w:tc>
      </w:tr>
      <w:tr>
        <w:tc>
          <w:tcPr/>
          <w:p>
            <w:pPr>
              <w:pStyle w:val="Compact"/>
              <w:jc w:val="left"/>
            </w:pPr>
            <w:r>
              <w:t xml:space="preserve">AWARD-8 (Dungan 2016), PMID 26799540</w:t>
            </w:r>
          </w:p>
        </w:tc>
        <w:tc>
          <w:tcPr/>
          <w:p>
            <w:pPr>
              <w:pStyle w:val="Compact"/>
              <w:jc w:val="left"/>
            </w:pPr>
            <w:r>
              <w:t xml:space="preserve">diabete di tipo 2 in terapia con glimepiride; vs. placebo</w:t>
            </w:r>
          </w:p>
        </w:tc>
        <w:tc>
          <w:tcPr/>
          <w:p>
            <w:pPr>
              <w:pStyle w:val="Compact"/>
              <w:jc w:val="left"/>
            </w:pPr>
            <w:r>
              <w:t xml:space="preserve">24 settimane</w:t>
            </w:r>
          </w:p>
        </w:tc>
        <w:tc>
          <w:tcPr/>
          <w:p>
            <w:pPr>
              <w:pStyle w:val="Compact"/>
              <w:jc w:val="left"/>
            </w:pPr>
            <w:r>
              <w:t xml:space="preserve">differenza di HbA1c −1,3 punti percentuali; più ipoglicemie</w:t>
            </w:r>
          </w:p>
        </w:tc>
      </w:tr>
      <w:tr>
        <w:tc>
          <w:tcPr/>
          <w:p>
            <w:pPr>
              <w:pStyle w:val="Compact"/>
              <w:jc w:val="left"/>
            </w:pPr>
            <w:r>
              <w:t xml:space="preserve">AWARD-10 (Ludvik 2018), PMID 29483060</w:t>
            </w:r>
          </w:p>
        </w:tc>
        <w:tc>
          <w:tcPr/>
          <w:p>
            <w:pPr>
              <w:pStyle w:val="Compact"/>
              <w:jc w:val="left"/>
            </w:pPr>
            <w:r>
              <w:t xml:space="preserve">424 persone in terapia con inibitore di SGLT2; vs. placebo</w:t>
            </w:r>
          </w:p>
        </w:tc>
        <w:tc>
          <w:tcPr/>
          <w:p>
            <w:pPr>
              <w:pStyle w:val="Compact"/>
              <w:jc w:val="left"/>
            </w:pPr>
            <w:r>
              <w:t xml:space="preserve">24 settimane</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 in terapia con metformina; 4,5 e 3,0 mg vs. 1,5 mg</w:t>
            </w:r>
          </w:p>
        </w:tc>
        <w:tc>
          <w:tcPr/>
          <w:p>
            <w:pPr>
              <w:pStyle w:val="Compact"/>
              <w:jc w:val="left"/>
            </w:pPr>
            <w:r>
              <w:t xml:space="preserve">36 settimane</w:t>
            </w:r>
          </w:p>
        </w:tc>
        <w:tc>
          <w:tcPr/>
          <w:p>
            <w:pPr>
              <w:pStyle w:val="Compact"/>
              <w:jc w:val="left"/>
            </w:pPr>
            <w:r>
              <w:t xml:space="preserve">HbA1c −1,77 (4,5 mg) vs. −1,54; peso −4,6 vs. −3,0 kg</w:t>
            </w:r>
          </w:p>
        </w:tc>
      </w:tr>
    </w:tbl>
    <w:p>
      <w:pPr>
        <w:pStyle w:val="BodyText"/>
      </w:pPr>
      <w:r>
        <w:t xml:space="preserve">Alcuni risultati meritano una spiegazione:</w:t>
      </w:r>
    </w:p>
    <w:p>
      <w:pPr>
        <w:pStyle w:val="BodyText"/>
      </w:pPr>
      <w:r>
        <w:rPr>
          <w:bCs/>
          <w:b/>
        </w:rPr>
        <w:t xml:space="preserve">Contro l’insulina</w:t>
      </w:r>
      <w:r>
        <w:t xml:space="preserve"> </w:t>
      </w:r>
      <w:r>
        <w:t xml:space="preserve">(AWARD-2 e AWARD-4) la dulaglutide ha ridotto l’emoglobina glicata un po’ di più, con meno ipoglicemie e senza aumento di peso (Giorgino 2015, PMID 26089386; Blonde 2015, PMID 26009229). In AWARD-2, però, la dose di insulina non è stata aumentata in modo coerente; la dose finale media era di 29 unità. Un’insulina titolata con più decisione avrebbe forse ottenuto risultati migliori. La nausea si è verificata con dulaglutide 1,5 mg nel 15,4%, con insulina nell’1,5%.</w:t>
      </w:r>
    </w:p>
    <w:p>
      <w:pPr>
        <w:pStyle w:val="BodyText"/>
      </w:pPr>
      <w:r>
        <w:rPr>
          <w:bCs/>
          <w:b/>
        </w:rPr>
        <w:t xml:space="preserve">Nella malattia renale</w:t>
      </w:r>
      <w:r>
        <w:t xml:space="preserve"> </w:t>
      </w:r>
      <w:r>
        <w:t xml:space="preserve">(AWARD-7) il risultato è particolarmente interessante: la glicemia è scesa quanto con l’insulina, ma la funzione renale stimata (eGFR) dopo 52 settimane era più alta con dulaglutide – 34,0 contro 31,3 ml/min per 1,73 m² (Tuttle 2018, PMID 29910024). L’escrezione di proteine nelle urine non differiva in modo significativo. È un indizio, ma non una prova, di una protezione renale.</w:t>
      </w:r>
    </w:p>
    <w:p>
      <w:pPr>
        <w:pStyle w:val="BodyText"/>
      </w:pPr>
      <w:r>
        <w:rPr>
          <w:bCs/>
          <w:b/>
        </w:rPr>
        <w:t xml:space="preserve">Con una sulfonilurea</w:t>
      </w:r>
      <w:r>
        <w:t xml:space="preserve"> </w:t>
      </w:r>
      <w:r>
        <w:t xml:space="preserve">(AWARD-8) si vede il rovescio della medaglia: la dulaglutide ha ridotto l’HbA1c di 1,3 punti percentuali in più rispetto al placebo, e il 55,3% contro il 18,9% ha raggiunto un valore inferiore al 7%. Le ipoglicemie però erano molto più frequenti (2,37 contro 0,07 eventi per persona all’anno), perché la sulfonilurea libera insulina indipendentemente dalla glicemia (Dungan 2016, PMID 26799540). Non si sono verificate ipoglicemie gravi.</w:t>
      </w:r>
    </w:p>
    <w:p>
      <w:pPr>
        <w:pStyle w:val="BodyText"/>
      </w:pPr>
      <w:r>
        <w:rPr>
          <w:bCs/>
          <w:b/>
        </w:rPr>
        <w:t xml:space="preserve">Dosi più alte</w:t>
      </w:r>
      <w:r>
        <w:t xml:space="preserve"> </w:t>
      </w:r>
      <w:r>
        <w:t xml:space="preserve">(AWARD-11): per tenere il passo con la semaglutide, Lilly ha valutato 3,0 e 4,5 mg. La dose più alta ha ridotto l’HbA1c di ulteriori 0,24 punti percentuali e il peso di ulteriori 1,6 kg rispetto a 1,5 mg (Frias 2021, PMID 33397768). La nausea è aumentata leggermente (16,4% vs. 13,4%), così come il vomito (9,3% vs. 5,6%). Il guadagno è misurabile, ma limitato.</w:t>
      </w:r>
    </w:p>
    <w:bookmarkEnd w:id="166"/>
    <w:bookmarkStart w:id="167" w:name="Xec453b5c7df586b956060fd2acfb0aed54112af"/>
    <w:p>
      <w:pPr>
        <w:pStyle w:val="Heading4"/>
      </w:pPr>
      <w:r>
        <w:t xml:space="preserve">Confronti diretti all’interno della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(dulaglutide vs. confronto)</w:t>
            </w:r>
          </w:p>
        </w:tc>
      </w:tr>
      <w:tr>
        <w:tc>
          <w:tcPr/>
          <w:p>
            <w:pPr>
              <w:pStyle w:val="Compact"/>
              <w:jc w:val="left"/>
            </w:pPr>
            <w:r>
              <w:t xml:space="preserve">AWARD-1 (Wysham 2014), PMID 24879836</w:t>
            </w:r>
          </w:p>
        </w:tc>
        <w:tc>
          <w:tcPr/>
          <w:p>
            <w:pPr>
              <w:pStyle w:val="Compact"/>
              <w:jc w:val="left"/>
            </w:pPr>
            <w:r>
              <w:t xml:space="preserve">vs. exenatide due volte al giorno</w:t>
            </w:r>
          </w:p>
        </w:tc>
        <w:tc>
          <w:tcPr/>
          <w:p>
            <w:pPr>
              <w:pStyle w:val="Compact"/>
              <w:jc w:val="left"/>
            </w:pPr>
            <w:r>
              <w:t xml:space="preserve">26 settimane</w:t>
            </w:r>
          </w:p>
        </w:tc>
        <w:tc>
          <w:tcPr/>
          <w:p>
            <w:pPr>
              <w:pStyle w:val="Compact"/>
              <w:jc w:val="left"/>
            </w:pPr>
            <w:r>
              <w:t xml:space="preserve">HbA1c −1,51 vs. −0,99; meno ipoglicemie</w:t>
            </w:r>
          </w:p>
        </w:tc>
      </w:tr>
      <w:tr>
        <w:tc>
          <w:tcPr/>
          <w:p>
            <w:pPr>
              <w:pStyle w:val="Compact"/>
              <w:jc w:val="left"/>
            </w:pPr>
            <w:r>
              <w:t xml:space="preserve">AWARD-6 (Dungan 2014), PMID 25018121</w:t>
            </w:r>
          </w:p>
        </w:tc>
        <w:tc>
          <w:tcPr/>
          <w:p>
            <w:pPr>
              <w:pStyle w:val="Compact"/>
              <w:jc w:val="left"/>
            </w:pPr>
            <w:r>
              <w:t xml:space="preserve">599 persone, vs. liraglutide 1,8 mg al giorno</w:t>
            </w:r>
          </w:p>
        </w:tc>
        <w:tc>
          <w:tcPr/>
          <w:p>
            <w:pPr>
              <w:pStyle w:val="Compact"/>
              <w:jc w:val="left"/>
            </w:pPr>
            <w:r>
              <w:t xml:space="preserve">26 settimane</w:t>
            </w:r>
          </w:p>
        </w:tc>
        <w:tc>
          <w:tcPr/>
          <w:p>
            <w:pPr>
              <w:pStyle w:val="Compact"/>
              <w:jc w:val="left"/>
            </w:pPr>
            <w:r>
              <w:t xml:space="preserve">HbA1c −1,42 vs. −1,36; nausea 20% vs. 18%</w:t>
            </w:r>
          </w:p>
        </w:tc>
      </w:tr>
      <w:tr>
        <w:tc>
          <w:tcPr/>
          <w:p>
            <w:pPr>
              <w:pStyle w:val="Compact"/>
              <w:jc w:val="left"/>
            </w:pPr>
            <w:r>
              <w:t xml:space="preserve">SUSTAIN 7 (Pratley 2018), PMID 29397376</w:t>
            </w:r>
          </w:p>
        </w:tc>
        <w:tc>
          <w:tcPr/>
          <w:p>
            <w:pPr>
              <w:pStyle w:val="Compact"/>
              <w:jc w:val="left"/>
            </w:pPr>
            <w:r>
              <w:t xml:space="preserve">1.201 persone, dulaglutide 0,75/1,5 mg vs. semaglutide 0,5/1,0 mg</w:t>
            </w:r>
          </w:p>
        </w:tc>
        <w:tc>
          <w:tcPr/>
          <w:p>
            <w:pPr>
              <w:pStyle w:val="Compact"/>
              <w:jc w:val="left"/>
            </w:pPr>
            <w:r>
              <w:t xml:space="preserve">40 settimane</w:t>
            </w:r>
          </w:p>
        </w:tc>
        <w:tc>
          <w:tcPr/>
          <w:p>
            <w:pPr>
              <w:pStyle w:val="Compact"/>
              <w:jc w:val="left"/>
            </w:pPr>
            <w:r>
              <w:t xml:space="preserve">HbA1c −1,4 vs. −1,8 (dosi alte); peso −3,0 vs. −6,5 kg</w:t>
            </w:r>
          </w:p>
        </w:tc>
      </w:tr>
    </w:tbl>
    <w:p>
      <w:pPr>
        <w:pStyle w:val="BodyText"/>
      </w:pPr>
      <w:r>
        <w:t xml:space="preserve">La graduatoria è chiara. La dulaglutide è risultata nettamente superiore all’exenatide due volte al giorno (Wysham 2014, PMID 24879836) e alla pari con la liraglutide (Dungan 2014, PMID 25018121). In AWARD-6 è stata così il primo agonista settimanale del recettore del GLP-1 a reggere il confronto diretto con l’allora standard liraglutide – con molte meno iniezioni.</w:t>
      </w:r>
    </w:p>
    <w:p>
      <w:pPr>
        <w:pStyle w:val="BodyText"/>
      </w:pPr>
      <w:r>
        <w:t xml:space="preserve">Contro la semaglutide la dulaglutide ha perso in SUSTAIN 7 (Pratley 2018, PMID 29397376) a entrambi i livelli di dose. Con le dosi alte l’HbA1c è sceso di 1,4 contro 1,8 punti percentuali, il peso di 3,0 contro 6,5 kg. I disturbi gastrointestinali erano di frequenza simile (48% con dulaglutide 1,5 mg, 44% con semaglutide 1,0 mg). In seguito è stato osservato criticamente che in SUSTAIN 7 la dulaglutide era dosata solo fino a 1,5 mg; le dosi più alte di AWARD-11 allora non erano ancora disponibili. Anche con 4,5 mg, tuttavia, la differenza di peso dovrebbe permanere.</w:t>
      </w:r>
    </w:p>
    <w:bookmarkEnd w:id="167"/>
    <w:bookmarkStart w:id="168" w:name="rewind-lo-studio-cardiovascolare"/>
    <w:p>
      <w:pPr>
        <w:pStyle w:val="Heading4"/>
      </w:pPr>
      <w:r>
        <w:t xml:space="preserve">REWIND: lo studio cardiovascolare</w:t>
      </w:r>
    </w:p>
    <w:p>
      <w:pPr>
        <w:pStyle w:val="FirstParagraph"/>
      </w:pPr>
      <w:r>
        <w:t xml:space="preserve">REWIND si differenziava dagli altri studi di esito sui GLP-1: è durato più a lungo, ha incluso persone anziane con glicemia relativamente ben controllata (HbA1c mediano 7,2%) e ha arruolato anche molte persone senza malattia cardiovascolare precedente, che avevano soltanto fattori di rischio. In questo modo la popolazione dello studio somiglia alla realtà degli ambulatori di medicina generale più che in altri studi di esito.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REWIND (Gerstein 2019), PMID 31189511</w:t>
            </w:r>
          </w:p>
        </w:tc>
        <w:tc>
          <w:tcPr/>
          <w:p>
            <w:pPr>
              <w:pStyle w:val="Compact"/>
              <w:jc w:val="left"/>
            </w:pPr>
            <w:r>
              <w:t xml:space="preserve">9.901 persone con diabete di tipo 2, età media 66,2 anni, 46,3% donne; RCT contro placebo</w:t>
            </w:r>
          </w:p>
        </w:tc>
        <w:tc>
          <w:tcPr/>
          <w:p>
            <w:pPr>
              <w:pStyle w:val="Compact"/>
              <w:jc w:val="left"/>
            </w:pPr>
            <w:r>
              <w:t xml:space="preserve">mediana 5,4 anni</w:t>
            </w:r>
          </w:p>
        </w:tc>
        <w:tc>
          <w:tcPr/>
          <w:p>
            <w:pPr>
              <w:pStyle w:val="Compact"/>
              <w:jc w:val="left"/>
            </w:pPr>
            <w:r>
              <w:t xml:space="preserve">Eventi cardiovascolari gravi 12,0% vs. 13,4%; HR 0,88 (0,79–0,99)</w:t>
            </w:r>
          </w:p>
        </w:tc>
      </w:tr>
      <w:tr>
        <w:tc>
          <w:tcPr/>
          <w:p>
            <w:pPr>
              <w:pStyle w:val="Compact"/>
              <w:jc w:val="left"/>
            </w:pPr>
            <w:r>
              <w:t xml:space="preserve">REWIND, reni (Gerstein 2019), PMID 31189509</w:t>
            </w:r>
          </w:p>
        </w:tc>
        <w:tc>
          <w:tcPr/>
          <w:p>
            <w:pPr>
              <w:pStyle w:val="Compact"/>
              <w:jc w:val="left"/>
            </w:pPr>
            <w:r>
              <w:t xml:space="preserve">stesso studio, analisi esplorativa</w:t>
            </w:r>
          </w:p>
        </w:tc>
        <w:tc>
          <w:tcPr/>
          <w:p>
            <w:pPr>
              <w:pStyle w:val="Compact"/>
              <w:jc w:val="left"/>
            </w:pPr>
            <w:r>
              <w:t xml:space="preserve">mediana 5,4 anni</w:t>
            </w:r>
          </w:p>
        </w:tc>
        <w:tc>
          <w:tcPr/>
          <w:p>
            <w:pPr>
              <w:pStyle w:val="Compact"/>
              <w:jc w:val="left"/>
            </w:pPr>
            <w:r>
              <w:t xml:space="preserve">Endpoint renale 17,1% vs. 19,6%; HR 0,85, soprattutto meno nuova macroalbuminuria</w:t>
            </w:r>
          </w:p>
        </w:tc>
      </w:tr>
      <w:tr>
        <w:tc>
          <w:tcPr/>
          <w:p>
            <w:pPr>
              <w:pStyle w:val="Compact"/>
              <w:jc w:val="left"/>
            </w:pPr>
            <w:r>
              <w:t xml:space="preserve">REWIND, cognizione (Cukierman-Yaffe 2020), PMID 32562683</w:t>
            </w:r>
          </w:p>
        </w:tc>
        <w:tc>
          <w:tcPr/>
          <w:p>
            <w:pPr>
              <w:pStyle w:val="Compact"/>
              <w:jc w:val="left"/>
            </w:pPr>
            <w:r>
              <w:t xml:space="preserve">8.828 persone con test di memoria</w:t>
            </w:r>
          </w:p>
        </w:tc>
        <w:tc>
          <w:tcPr/>
          <w:p>
            <w:pPr>
              <w:pStyle w:val="Compact"/>
              <w:jc w:val="left"/>
            </w:pPr>
            <w:r>
              <w:t xml:space="preserve">mediana 5,4 anni</w:t>
            </w:r>
          </w:p>
        </w:tc>
        <w:tc>
          <w:tcPr/>
          <w:p>
            <w:pPr>
              <w:pStyle w:val="Compact"/>
              <w:jc w:val="left"/>
            </w:pPr>
            <w:r>
              <w:t xml:space="preserve">HR 0,93 (non significativo); dopo aggiustamento a posteriori HR 0,86</w:t>
            </w:r>
          </w:p>
        </w:tc>
      </w:tr>
    </w:tbl>
    <w:p>
      <w:pPr>
        <w:pStyle w:val="BodyText"/>
      </w:pPr>
      <w:r>
        <w:t xml:space="preserve">L’endpoint principale – morte per cause cardiovascolari, infarto miocardico non fatale o ictus – si è verificato con dulaglutide in 594 persone su 4.949 (12,0%), con placebo in 663 su 4.952 (13,4%) (Gerstein 2019, PMID 31189511). Ciò corrisponde a una riduzione relativa del 12%. La mortalità totale non differiva in modo significativo (10,8% vs. 12,0%; HR 0,90). Effetti collaterali gastrointestinali sono stati riferiti dal 47,4% contro il 34,1%.</w:t>
      </w:r>
    </w:p>
    <w:p>
      <w:pPr>
        <w:pStyle w:val="BodyText"/>
      </w:pPr>
      <w:r>
        <w:t xml:space="preserve">Nell’analisi renale (Gerstein 2019, PMID 31189509) l’effetto era dovuto soprattutto a una nuova comparsa di macroalbuminuria (HR 0,77). Per un calo persistente della funzione renale di almeno il 30% la stima era 0,89, per dialisi o trapianto di rene 0,75 – entrambe non statisticamente significative.</w:t>
      </w:r>
    </w:p>
    <w:p>
      <w:pPr>
        <w:pStyle w:val="BodyText"/>
      </w:pPr>
      <w:r>
        <w:t xml:space="preserve">L’analisi sulle capacità cognitive (Cukierman-Yaffe 2020, PMID 32562683) viene a volte citata come prova di una protezione dalla demenza. Questo è eccessivo: il confronto stabilito in anticipo non era significativo. Solo dopo un aggiustamento statistico a posteriori è emerso un rischio relativo inferiore del 14% di un netto peggioramento delle capacità cognitive (hazard ratio 0,86). Le autrici e gli autori stessi parlano di un’analisi esplorativa che giustifica ulteriori studi.</w:t>
      </w:r>
    </w:p>
    <w:p>
      <w:pPr>
        <w:pStyle w:val="BodyText"/>
      </w:pPr>
      <w:r>
        <w:t xml:space="preserve">In una meta-analisi di tutti i grandi studi di esito sui GLP-1, REWIND si è inserito bene nel quadro complessivo, secondo cui la classe riduce gli eventi cardiovascolari gravi di circa il 12% (Kristensen 2019, PMID 31422062).</w:t>
      </w:r>
    </w:p>
    <w:bookmarkEnd w:id="168"/>
    <w:bookmarkStart w:id="169" w:name="X4b0e0d1f6f78e067757bb1e7c15e140e07a620e"/>
    <w:p>
      <w:pPr>
        <w:pStyle w:val="Heading4"/>
      </w:pPr>
      <w:r>
        <w:t xml:space="preserve">Che cosa spiega il beneficio – e che cosa no?</w:t>
      </w:r>
    </w:p>
    <w:p>
      <w:pPr>
        <w:pStyle w:val="FirstParagraph"/>
      </w:pPr>
      <w:r>
        <w:t xml:space="preserve">Diverse analisi a posteriori di REWIND hanno cercato di comprendere meglio l’effetto cardiovascolare. In un’analisi parziale su 9.543 persone senza fibrillazione atriale all’inizio dello studio, il 31% aveva già una malattia cardiovascolare, gli altri „solo“ fattori di rischio (Raubenheimer 2022, PMID 34984808). Ciò sottolinea che REWIND, molto più di altri studi di esito, ha studiato persone in prevenzione.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Analisi</w:t>
            </w:r>
          </w:p>
        </w:tc>
        <w:tc>
          <w:tcPr/>
          <w:p>
            <w:pPr>
              <w:pStyle w:val="Compact"/>
              <w:jc w:val="left"/>
            </w:pPr>
            <w:r>
              <w:t xml:space="preserve">Domanda</w:t>
            </w:r>
          </w:p>
        </w:tc>
        <w:tc>
          <w:tcPr/>
          <w:p>
            <w:pPr>
              <w:pStyle w:val="Compact"/>
              <w:jc w:val="left"/>
            </w:pPr>
            <w:r>
              <w:t xml:space="preserve">Risultato</w:t>
            </w:r>
          </w:p>
        </w:tc>
      </w:tr>
      <w:tr>
        <w:tc>
          <w:tcPr/>
          <w:p>
            <w:pPr>
              <w:pStyle w:val="Compact"/>
              <w:jc w:val="left"/>
            </w:pPr>
            <w:r>
              <w:t xml:space="preserve">Konig 2021, PMID 34563178</w:t>
            </w:r>
          </w:p>
        </w:tc>
        <w:tc>
          <w:tcPr/>
          <w:p>
            <w:pPr>
              <w:pStyle w:val="Compact"/>
              <w:jc w:val="left"/>
            </w:pPr>
            <w:r>
              <w:t xml:space="preserve">Quali cambiamenti spiegano il beneficio?</w:t>
            </w:r>
          </w:p>
        </w:tc>
        <w:tc>
          <w:tcPr/>
          <w:p>
            <w:pPr>
              <w:pStyle w:val="Compact"/>
              <w:jc w:val="left"/>
            </w:pPr>
            <w:r>
              <w:t xml:space="preserve">In parte la riduzione di HbA1c e dell’escrezione di proteine nelle urine, non peso, pressione arteriosa o colesterolo LDL</w:t>
            </w:r>
          </w:p>
        </w:tc>
      </w:tr>
      <w:tr>
        <w:tc>
          <w:tcPr/>
          <w:p>
            <w:pPr>
              <w:pStyle w:val="Compact"/>
              <w:jc w:val="left"/>
            </w:pPr>
            <w:r>
              <w:t xml:space="preserve">Branch 2022, PMID 36073143</w:t>
            </w:r>
          </w:p>
        </w:tc>
        <w:tc>
          <w:tcPr/>
          <w:p>
            <w:pPr>
              <w:pStyle w:val="Compact"/>
              <w:jc w:val="left"/>
            </w:pPr>
            <w:r>
              <w:t xml:space="preserve">Eventi di scompenso cardiaco</w:t>
            </w:r>
          </w:p>
        </w:tc>
        <w:tc>
          <w:tcPr/>
          <w:p>
            <w:pPr>
              <w:pStyle w:val="Compact"/>
              <w:jc w:val="left"/>
            </w:pPr>
            <w:r>
              <w:t xml:space="preserve">4,3% vs. 4,6%; HR 0,93, nessuna differenza significativa</w:t>
            </w:r>
          </w:p>
        </w:tc>
      </w:tr>
      <w:tr>
        <w:tc>
          <w:tcPr/>
          <w:p>
            <w:pPr>
              <w:pStyle w:val="Compact"/>
              <w:jc w:val="left"/>
            </w:pPr>
            <w:r>
              <w:t xml:space="preserve">Raubenheimer 2022, PMID 34984808</w:t>
            </w:r>
          </w:p>
        </w:tc>
        <w:tc>
          <w:tcPr/>
          <w:p>
            <w:pPr>
              <w:pStyle w:val="Compact"/>
              <w:jc w:val="left"/>
            </w:pPr>
            <w:r>
              <w:t xml:space="preserve">Nuova fibrillazione o flutter atriale</w:t>
            </w:r>
          </w:p>
        </w:tc>
        <w:tc>
          <w:tcPr/>
          <w:p>
            <w:pPr>
              <w:pStyle w:val="Compact"/>
              <w:jc w:val="left"/>
            </w:pPr>
            <w:r>
              <w:t xml:space="preserve">5,6% vs. 5,3%; nessuna differenza</w:t>
            </w:r>
          </w:p>
        </w:tc>
      </w:tr>
    </w:tbl>
    <w:p>
      <w:pPr>
        <w:pStyle w:val="BodyText"/>
      </w:pPr>
      <w:r>
        <w:t xml:space="preserve">Secondo l’analisi di Konig 2021 (PMID 34563178) una parte dell’effetto si poteva spiegare statisticamente con il miglior controllo glicemico e la minore escrezione di proteine nelle urine; un’altra parte restava inspiegata. La perdita di peso in questa analisi non ha avuto un ruolo misurabile. Ciò concorda con l’ipotesi diffusa che gli agonisti del recettore del GLP-1 abbiano anche effetti diretti sui vasi e sui processi infiammatori – ma nell’uomo non è dimostrato.</w:t>
      </w:r>
    </w:p>
    <w:p>
      <w:pPr>
        <w:pStyle w:val="BodyText"/>
      </w:pPr>
      <w:r>
        <w:t xml:space="preserve">La dulaglutide non ha mostrato protezione dagli eventi di scompenso cardiaco (Branch 2022, PMID 36073143) né dalla fibrillazione atriale di nuova insorgenza (Raubenheimer 2022, PMID 34984808). Anche negli 853 partecipanti che avevano già uno scompenso cardiaco all’inizio dello studio il quadro non era diverso. Per lo scompenso cardiaco con funzione di pompa conservata nell’obesità esistono ormai dati su semaglutide e tirzepatide; per la dulaglutide mancano.</w:t>
      </w:r>
    </w:p>
    <w:bookmarkEnd w:id="169"/>
    <w:bookmarkStart w:id="170" w:name="X5a23fa214f5dae4829384aac0eefafefdc253b4"/>
    <w:p>
      <w:pPr>
        <w:pStyle w:val="Heading4"/>
      </w:pPr>
      <w:r>
        <w:t xml:space="preserve">La dulaglutide come standard di confronto per nuovi principi attivi</w:t>
      </w:r>
    </w:p>
    <w:p>
      <w:pPr>
        <w:pStyle w:val="FirstParagraph"/>
      </w:pPr>
      <w:r>
        <w:t xml:space="preserve">Poiché la dulaglutide è ampiamente usata in tutto il mondo, ben tollerata e dotata di un beneficio cardiovascolare dimostrato, i produttori la scelgono spesso come comparatore attivo. I risultati di questi studi appartengono nel contenuto ai capitoli dei rispettivi nuovi principi attivi; qui solo una 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SURPASS-CVOT (Nicholls 2025), PMID 41406444</w:t>
            </w:r>
          </w:p>
        </w:tc>
        <w:tc>
          <w:tcPr/>
          <w:p>
            <w:pPr>
              <w:pStyle w:val="Compact"/>
              <w:jc w:val="left"/>
            </w:pPr>
            <w:r>
              <w:t xml:space="preserve">13.165 persone con diabete di tipo 2 e malattia vascolare; tirzepatide vs. dulaglutide</w:t>
            </w:r>
          </w:p>
        </w:tc>
        <w:tc>
          <w:tcPr/>
          <w:p>
            <w:pPr>
              <w:pStyle w:val="Compact"/>
              <w:jc w:val="left"/>
            </w:pPr>
            <w:r>
              <w:t xml:space="preserve">diversi anni</w:t>
            </w:r>
          </w:p>
        </w:tc>
        <w:tc>
          <w:tcPr/>
          <w:p>
            <w:pPr>
              <w:pStyle w:val="Compact"/>
              <w:jc w:val="left"/>
            </w:pPr>
            <w:r>
              <w:t xml:space="preserve">Eventi cardiovascolari gravi 12,2% vs. 13,1%; HR 0,92, non inferiore, superiorità non dimostrata</w:t>
            </w:r>
          </w:p>
        </w:tc>
      </w:tr>
      <w:tr>
        <w:tc>
          <w:tcPr/>
          <w:p>
            <w:pPr>
              <w:pStyle w:val="Compact"/>
              <w:jc w:val="left"/>
            </w:pPr>
            <w:r>
              <w:t xml:space="preserve">SURPASS J-mono (Inagaki 2022), PMID 35914543</w:t>
            </w:r>
          </w:p>
        </w:tc>
        <w:tc>
          <w:tcPr/>
          <w:p>
            <w:pPr>
              <w:pStyle w:val="Compact"/>
              <w:jc w:val="left"/>
            </w:pPr>
            <w:r>
              <w:t xml:space="preserve">636 persone in Giappone; tirzepatide vs. dulaglutide 0,75 mg</w:t>
            </w:r>
          </w:p>
        </w:tc>
        <w:tc>
          <w:tcPr/>
          <w:p>
            <w:pPr>
              <w:pStyle w:val="Compact"/>
              <w:jc w:val="left"/>
            </w:pPr>
            <w:r>
              <w:t xml:space="preserve">52 settimane</w:t>
            </w:r>
          </w:p>
        </w:tc>
        <w:tc>
          <w:tcPr/>
          <w:p>
            <w:pPr>
              <w:pStyle w:val="Compact"/>
              <w:jc w:val="left"/>
            </w:pPr>
            <w:r>
              <w:t xml:space="preserve">HbA1c da −2,4 a −2,8 vs. −1,3</w:t>
            </w:r>
          </w:p>
        </w:tc>
      </w:tr>
      <w:tr>
        <w:tc>
          <w:tcPr/>
          <w:p>
            <w:pPr>
              <w:pStyle w:val="Compact"/>
              <w:jc w:val="left"/>
            </w:pPr>
            <w:r>
              <w:t xml:space="preserve">Guo 2026, PMID 41407860</w:t>
            </w:r>
          </w:p>
        </w:tc>
        <w:tc>
          <w:tcPr/>
          <w:p>
            <w:pPr>
              <w:pStyle w:val="Compact"/>
              <w:jc w:val="left"/>
            </w:pPr>
            <w:r>
              <w:t xml:space="preserve">731 persone in Cina; mazdutide vs. dulaglutide 1,5 mg</w:t>
            </w:r>
          </w:p>
        </w:tc>
        <w:tc>
          <w:tcPr/>
          <w:p>
            <w:pPr>
              <w:pStyle w:val="Compact"/>
              <w:jc w:val="left"/>
            </w:pPr>
            <w:r>
              <w:t xml:space="preserve">28 settimane</w:t>
            </w:r>
          </w:p>
        </w:tc>
        <w:tc>
          <w:tcPr/>
          <w:p>
            <w:pPr>
              <w:pStyle w:val="Compact"/>
              <w:jc w:val="left"/>
            </w:pPr>
            <w:r>
              <w:t xml:space="preserve">differenza di HbA1c −0,24 e −0,30 punti percentuali a favore della mazdutide</w:t>
            </w:r>
          </w:p>
        </w:tc>
      </w:tr>
      <w:tr>
        <w:tc>
          <w:tcPr/>
          <w:p>
            <w:pPr>
              <w:pStyle w:val="Compact"/>
              <w:jc w:val="left"/>
            </w:pPr>
            <w:r>
              <w:t xml:space="preserve">EECOH-2 (He 2025), PMID 40854315</w:t>
            </w:r>
          </w:p>
        </w:tc>
        <w:tc>
          <w:tcPr/>
          <w:p>
            <w:pPr>
              <w:pStyle w:val="Compact"/>
              <w:jc w:val="left"/>
            </w:pPr>
            <w:r>
              <w:t xml:space="preserve">621 persone in Cina; ecnoglutide vs. dulaglutide 1,5 mg</w:t>
            </w:r>
          </w:p>
        </w:tc>
        <w:tc>
          <w:tcPr/>
          <w:p>
            <w:pPr>
              <w:pStyle w:val="Compact"/>
              <w:jc w:val="left"/>
            </w:pPr>
            <w:r>
              <w:t xml:space="preserve">52 settimane (endpoint principale 32)</w:t>
            </w:r>
          </w:p>
        </w:tc>
        <w:tc>
          <w:tcPr/>
          <w:p>
            <w:pPr>
              <w:pStyle w:val="Compact"/>
              <w:jc w:val="left"/>
            </w:pPr>
            <w:r>
              <w:t xml:space="preserve">HbA1c da −1,89 a −1,91 vs. −1,65</w:t>
            </w:r>
          </w:p>
        </w:tc>
      </w:tr>
    </w:tbl>
    <w:p>
      <w:pPr>
        <w:pStyle w:val="BodyText"/>
      </w:pPr>
      <w:r>
        <w:t xml:space="preserve">Particolarmente istruttivo è SURPASS-CVOT (Nicholls 2025, PMID 41406444), il primo grande studio di esito in cui due farmaci incretinici si sono confrontati direttamente. La tirzepatide non è risultata peggiore, ma nemmeno dimostratamente migliore della dulaglutide. Poiché la dulaglutide stessa aveva ridotto il rischio in REWIND, un „pareggio“ contro la dulaglutide è un risultato forte per entrambi i principi attivi. Un’analisi a posteriori con un endpoint cardio-renale più ampio ha rilevato un vantaggio per la tirzepatide (23,7% vs. 27,4%; HR 0,84) (Nissen 2026, PMID 41903177). Le analisi a posteriori sono però meno solide dell’endpoint principale stabilito in anticipo.</w:t>
      </w:r>
    </w:p>
    <w:bookmarkEnd w:id="170"/>
    <w:bookmarkStart w:id="171" w:name="maneggevolezza-la-penna-preriempita"/>
    <w:p>
      <w:pPr>
        <w:pStyle w:val="Heading4"/>
      </w:pPr>
      <w:r>
        <w:t xml:space="preserve">Maneggevolezza: la penna preriempita</w:t>
      </w:r>
    </w:p>
    <w:p>
      <w:pPr>
        <w:pStyle w:val="FirstParagraph"/>
      </w:pPr>
      <w:r>
        <w:t xml:space="preserve">Un aspetto pratico raramente considerato negli studi è l’uso. La dulaglutide viene fornita in una penna preriempita monouso, su cui non va montato alcun ago né impostata alcuna dose. In uno studio con 211 persone con diabete di tipo 2 che non si erano mai iniettate nulla da sole, alla fine l’iniezione è riuscita nel 99,1% dei casi; la paura dell’iniezione è diminuita (Matfin 2015, PMID 25901022). In uno studio di confronto finanziato dal produttore con 310 partecipanti, l’84,2% ha preferito la penna di dulaglutide alla penna di semaglutide di allora (Matza 2020, PMID 31646727). Studi di preferenza di questo tipo non dicono nulla sull’efficacia, ma possono spiegare perché la dulaglutide sia diffusa proprio tra le persone anziane.</w:t>
      </w:r>
    </w:p>
    <w:bookmarkEnd w:id="171"/>
    <w:bookmarkStart w:id="172" w:name="bambini-e-adolescenti-1"/>
    <w:p>
      <w:pPr>
        <w:pStyle w:val="Heading4"/>
      </w:pPr>
      <w:r>
        <w:t xml:space="preserve">Bambini e adolescenti</w:t>
      </w:r>
    </w:p>
    <w:p>
      <w:pPr>
        <w:pStyle w:val="FirstParagraph"/>
      </w:pPr>
      <w:r>
        <w:t xml:space="preserve">In AWARD-PEDS, con 154 adolescenti con diabete di tipo 2, l’HbA1c con placebo è salito dopo 26 settimane di 0,6 punti percentuali ed è sceso con dulaglutide di 0,6 (0,75 mg) e 0,9 punti percentuali (1,5 mg) rispettivamente (Arslanian 2022, PMID 35658022). Un HbA1c inferiore al 7% è stato raggiunto dal 51% contro il 14%. Sull’indice di massa corporea la dulaglutide non ha avuto effetto in questa fascia d’età. Questo studio è stato la base dell’autorizzazione dai 10 anni.</w:t>
      </w:r>
    </w:p>
    <w:bookmarkEnd w:id="172"/>
    <w:bookmarkStart w:id="173" w:name="altri-ambiti-dimpiego-negli-studi-2"/>
    <w:p>
      <w:pPr>
        <w:pStyle w:val="Heading4"/>
      </w:pPr>
      <w:r>
        <w:t xml:space="preserve">Altri ambiti d’impiego negli studi</w:t>
      </w:r>
    </w:p>
    <w:p>
      <w:pPr>
        <w:numPr>
          <w:ilvl w:val="0"/>
          <w:numId w:val="1049"/>
        </w:numPr>
        <w:pStyle w:val="Compact"/>
      </w:pPr>
      <w:r>
        <w:rPr>
          <w:bCs/>
          <w:b/>
        </w:rPr>
        <w:t xml:space="preserve">Smettere di fumare:</w:t>
      </w:r>
      <w:r>
        <w:t xml:space="preserve"> </w:t>
      </w:r>
      <w:r>
        <w:t xml:space="preserve">in uno studio con 255 persone la dulaglutide non ha migliorato il tasso di astinenza; dopo 52 settimane in entrambi i gruppi il 32% non fumava (Lüthi 2024, PMID 38371479). L’abituale aumento di peso dopo aver smesso di fumare è stato evitato nelle prime 12 settimane, dopo un anno la differenza era scomparsa.</w:t>
      </w:r>
    </w:p>
    <w:p>
      <w:pPr>
        <w:numPr>
          <w:ilvl w:val="0"/>
          <w:numId w:val="1049"/>
        </w:numPr>
        <w:pStyle w:val="Compact"/>
      </w:pPr>
      <w:r>
        <w:rPr>
          <w:bCs/>
          <w:b/>
        </w:rPr>
        <w:t xml:space="preserve">Alcol:</w:t>
      </w:r>
      <w:r>
        <w:t xml:space="preserve"> </w:t>
      </w:r>
      <w:r>
        <w:t xml:space="preserve">in un’analisi aggiuntiva pianificata in anticipo dello stesso studio, i partecipanti con dulaglutide dopo 12 settimane bevevano il 29% di alcol in meno rispetto al placebo (Probst 2023, PMID 37991022). Lo studio non era progettato per questa domanda.</w:t>
      </w:r>
    </w:p>
    <w:p>
      <w:pPr>
        <w:numPr>
          <w:ilvl w:val="0"/>
          <w:numId w:val="1049"/>
        </w:numPr>
        <w:pStyle w:val="Compact"/>
      </w:pPr>
      <w:r>
        <w:rPr>
          <w:bCs/>
          <w:b/>
        </w:rPr>
        <w:t xml:space="preserve">Polidipsia primaria</w:t>
      </w:r>
      <w:r>
        <w:t xml:space="preserve"> </w:t>
      </w:r>
      <w:r>
        <w:t xml:space="preserve">(assunzione patologicamente aumentata di liquidi): in uno studio crossover con 34 persone la dulaglutide ha ridotto la quantità bevuta durante un test di otto ore di 490 ml, pari al 17% (Winzeler 2021, PMID 34473645). Un indizio che il GLP-1 influenza anche la sensazione di sete.</w:t>
      </w:r>
    </w:p>
    <w:bookmarkEnd w:id="173"/>
    <w:bookmarkEnd w:id="174"/>
    <w:bookmarkStart w:id="175" w:name="studi-su-animali-e-in-laboratorio-2"/>
    <w:p>
      <w:pPr>
        <w:pStyle w:val="Heading3"/>
      </w:pPr>
      <w:r>
        <w:t xml:space="preserve">Studi su animali e in laboratorio</w:t>
      </w:r>
    </w:p>
    <w:p>
      <w:pPr>
        <w:pStyle w:val="FirstParagraph"/>
      </w:pPr>
      <w:r>
        <w:t xml:space="preserve">La caratterizzazione preclinica della dulaglutide (allora LY2189265) è stata effettuata su cellule, ratti, topi e macachi cinomolghi (Glaesner 2010, PMID 20503261). Negli esperimenti di laboratorio la proteina di fusione ha mantenuto il pieno effetto sul recettore del GLP-1. Nei topi diabetici una singola somministrazione ha migliorato la tolleranza al glucosio; somministrazioni due volte alla settimana per quattro settimane hanno ridotto il peso e ritardato l’aumento della glicemia. Nelle scimmie l’effetto sulla secrezione di insulina dopo una dose è durato fino a una settimana.</w:t>
      </w:r>
    </w:p>
    <w:p>
      <w:pPr>
        <w:pStyle w:val="BodyText"/>
      </w:pPr>
      <w:r>
        <w:t xml:space="preserve">Come per tutti gli agonisti del recettore del GLP-1, negli studi a lungo termine sui roditori si sono verificate alterazioni delle cellule C della tiroide; il meccanismo e la sua limitata trasferibilità all’uomo sono descritti nel capitolo Liraglutide (Bjerre Knudsen 2010, PMID 20203154).</w:t>
      </w:r>
    </w:p>
    <w:bookmarkEnd w:id="175"/>
    <w:bookmarkStart w:id="176" w:name="rischi-ed-effetti-collaterali-2"/>
    <w:p>
      <w:pPr>
        <w:pStyle w:val="Heading3"/>
      </w:pPr>
      <w:r>
        <w:t xml:space="preserve">Rischi ed effetti collaterali</w:t>
      </w:r>
    </w:p>
    <w:p>
      <w:pPr>
        <w:pStyle w:val="FirstParagraph"/>
      </w:pPr>
      <w:r>
        <w:rPr>
          <w:bCs/>
          <w:b/>
        </w:rPr>
        <w:t xml:space="preserve">Dimostrati da studi randomizzati:</w:t>
      </w:r>
    </w:p>
    <w:p>
      <w:pPr>
        <w:numPr>
          <w:ilvl w:val="0"/>
          <w:numId w:val="1050"/>
        </w:numPr>
        <w:pStyle w:val="Compact"/>
      </w:pPr>
      <w:r>
        <w:rPr>
          <w:bCs/>
          <w:b/>
        </w:rPr>
        <w:t xml:space="preserve">Disturbi gastrointestinali:</w:t>
      </w:r>
      <w:r>
        <w:t xml:space="preserve"> </w:t>
      </w:r>
      <w:r>
        <w:t xml:space="preserve">nausea, diarrea e vomito sono gli effetti collaterali più frequenti. In REWIND il 47,4% dei trattati ha riferito disturbi gastrointestinali contro il 34,1% con placebo (Gerstein 2019, PMID 31189511). Con dosi più alte aumentano (Frias 2021, PMID 33397768).</w:t>
      </w:r>
    </w:p>
    <w:p>
      <w:pPr>
        <w:numPr>
          <w:ilvl w:val="0"/>
          <w:numId w:val="1050"/>
        </w:numPr>
        <w:pStyle w:val="Compact"/>
      </w:pPr>
      <w:r>
        <w:rPr>
          <w:bCs/>
          <w:b/>
        </w:rPr>
        <w:t xml:space="preserve">Ipoglicemia:</w:t>
      </w:r>
      <w:r>
        <w:t xml:space="preserve"> </w:t>
      </w:r>
      <w:r>
        <w:t xml:space="preserve">rara in monoterapia; più frequente in combinazione con insulina o sulfoniluree, ma più rara che con la sola insulina (Giorgino 2015, PMID 26089386).</w:t>
      </w:r>
    </w:p>
    <w:p>
      <w:pPr>
        <w:numPr>
          <w:ilvl w:val="0"/>
          <w:numId w:val="1050"/>
        </w:numPr>
        <w:pStyle w:val="Compact"/>
      </w:pPr>
      <w:r>
        <w:rPr>
          <w:bCs/>
          <w:b/>
        </w:rPr>
        <w:t xml:space="preserve">Enzimi pancreatici:</w:t>
      </w:r>
      <w:r>
        <w:t xml:space="preserve"> </w:t>
      </w:r>
      <w:r>
        <w:t xml:space="preserve">in AWARD-2 gli enzimi del pancreas sono aumentati con dulaglutide (Giorgino 2015, PMID 26089386). La rilevanza clinica di tali aumenti in assenza di disturbi non è chiara.</w:t>
      </w:r>
    </w:p>
    <w:p>
      <w:pPr>
        <w:numPr>
          <w:ilvl w:val="0"/>
          <w:numId w:val="1050"/>
        </w:numPr>
        <w:pStyle w:val="Compact"/>
      </w:pPr>
      <w:r>
        <w:rPr>
          <w:bCs/>
          <w:b/>
        </w:rPr>
        <w:t xml:space="preserve">Anticorpi:</w:t>
      </w:r>
      <w:r>
        <w:t xml:space="preserve"> </w:t>
      </w:r>
      <w:r>
        <w:t xml:space="preserve">rari (1,6% dei trattati), senza un aumento delle reazioni di ipersensibilità (Milicevic 2016, PMID 26847401).</w:t>
      </w:r>
    </w:p>
    <w:p>
      <w:pPr>
        <w:numPr>
          <w:ilvl w:val="0"/>
          <w:numId w:val="1050"/>
        </w:numPr>
        <w:pStyle w:val="Compact"/>
      </w:pPr>
      <w:r>
        <w:rPr>
          <w:bCs/>
          <w:b/>
        </w:rPr>
        <w:t xml:space="preserve">Colecisti:</w:t>
      </w:r>
      <w:r>
        <w:t xml:space="preserve"> </w:t>
      </w:r>
      <w:r>
        <w:t xml:space="preserve">per l’intera classe è dimostrato un rischio aumentato di calcoli biliari e colecistite (He 2022, PMID 35344001); dettagli nel capitolo Liraglutide.</w:t>
      </w:r>
    </w:p>
    <w:p>
      <w:pPr>
        <w:pStyle w:val="FirstParagraph"/>
      </w:pPr>
      <w:r>
        <w:rPr>
          <w:bCs/>
          <w:b/>
        </w:rPr>
        <w:t xml:space="preserve">Studiati, ma incerti:</w:t>
      </w:r>
    </w:p>
    <w:p>
      <w:pPr>
        <w:numPr>
          <w:ilvl w:val="0"/>
          <w:numId w:val="1051"/>
        </w:numPr>
        <w:pStyle w:val="Compact"/>
      </w:pPr>
      <w:r>
        <w:rPr>
          <w:bCs/>
          <w:b/>
        </w:rPr>
        <w:t xml:space="preserve">Pancreatite e cancro del pancreas:</w:t>
      </w:r>
      <w:r>
        <w:t xml:space="preserve"> </w:t>
      </w:r>
      <w:r>
        <w:t xml:space="preserve">nella meta-analisi degli studi di esito nessun rischio aumentato per la classe (Kristensen 2019, PMID 31422062). La pancreatite figura comunque come effetto collaterale raro nel Riassunto delle caratteristiche del prodotto.</w:t>
      </w:r>
    </w:p>
    <w:p>
      <w:pPr>
        <w:numPr>
          <w:ilvl w:val="0"/>
          <w:numId w:val="1051"/>
        </w:numPr>
        <w:pStyle w:val="Compact"/>
      </w:pPr>
      <w:r>
        <w:rPr>
          <w:bCs/>
          <w:b/>
        </w:rPr>
        <w:t xml:space="preserve">Cancro della tiroide:</w:t>
      </w:r>
      <w:r>
        <w:t xml:space="preserve"> </w:t>
      </w:r>
      <w:r>
        <w:t xml:space="preserve">segnale in studi osservazionali e meta-analisi per l’intera classe (Silverii 2025, PMID 40437949), non specifico per la dulaglutide; vedi capitolo Liraglutide e Parte IV.</w:t>
      </w:r>
    </w:p>
    <w:p>
      <w:pPr>
        <w:pStyle w:val="FirstParagraph"/>
      </w:pPr>
      <w:r>
        <w:rPr>
          <w:bCs/>
          <w:b/>
        </w:rPr>
        <w:t xml:space="preserve">Indicazioni per la pratica:</w:t>
      </w:r>
      <w:r>
        <w:t xml:space="preserve"> </w:t>
      </w:r>
      <w:r>
        <w:t xml:space="preserve">la dulaglutide rallenta lo svuotamento gastrico, il che ha un ruolo nelle anestesie e nelle gastroscopie; a questo riguardo è in corso un grande studio sulla questione se gli agonisti del recettore del GLP-1 debbano essere sospesi prima di una gastroscopia (NCT07276763). Fanno fede il Riassunto delle caratteristiche del prodotto e l’accompagnamento medico.</w:t>
      </w:r>
    </w:p>
    <w:bookmarkEnd w:id="176"/>
    <w:bookmarkStart w:id="177" w:name="quadro-normativo-2"/>
    <w:p>
      <w:pPr>
        <w:pStyle w:val="Heading3"/>
      </w:pPr>
      <w:r>
        <w:t xml:space="preserve">Quadro normativo</w:t>
      </w:r>
    </w:p>
    <w:p>
      <w:pPr>
        <w:numPr>
          <w:ilvl w:val="0"/>
          <w:numId w:val="1052"/>
        </w:numPr>
        <w:pStyle w:val="Compact"/>
      </w:pPr>
      <w:r>
        <w:rPr>
          <w:bCs/>
          <w:b/>
        </w:rPr>
        <w:t xml:space="preserve">UE:</w:t>
      </w:r>
      <w:r>
        <w:t xml:space="preserve"> </w:t>
      </w:r>
      <w:r>
        <w:t xml:space="preserve">Trulicity è autorizzato con procedura centralizzata dal 2014 per il trattamento del diabete di tipo 2, ormai anche per adolescenti dai 10 anni. Soggetto a prescrizione. Nessuna autorizzazione per la riduzione del peso.</w:t>
      </w:r>
    </w:p>
    <w:p>
      <w:pPr>
        <w:numPr>
          <w:ilvl w:val="0"/>
          <w:numId w:val="1052"/>
        </w:numPr>
        <w:pStyle w:val="Compact"/>
      </w:pPr>
      <w:r>
        <w:rPr>
          <w:bCs/>
          <w:b/>
        </w:rPr>
        <w:t xml:space="preserve">Germania e Austria:</w:t>
      </w:r>
      <w:r>
        <w:t xml:space="preserve"> </w:t>
      </w:r>
      <w:r>
        <w:t xml:space="preserve">soggetta a prescrizione; rimborsabile nel diabete di tipo 2. Negli anni dal 2022 si sono verificate, come per altri preparati GLP-1, temporanee carenze di approvvigionamento (da verificare).</w:t>
      </w:r>
    </w:p>
    <w:p>
      <w:pPr>
        <w:numPr>
          <w:ilvl w:val="0"/>
          <w:numId w:val="1052"/>
        </w:numPr>
        <w:pStyle w:val="Compact"/>
      </w:pPr>
      <w:r>
        <w:rPr>
          <w:bCs/>
          <w:b/>
        </w:rPr>
        <w:t xml:space="preserve">USA:</w:t>
      </w:r>
      <w:r>
        <w:t xml:space="preserve"> </w:t>
      </w:r>
      <w:r>
        <w:t xml:space="preserve">autorizzata per il diabete di tipo 2 dai 10 anni e per la riduzione del rischio cardiovascolare.</w:t>
      </w:r>
    </w:p>
    <w:p>
      <w:pPr>
        <w:numPr>
          <w:ilvl w:val="0"/>
          <w:numId w:val="1052"/>
        </w:numPr>
        <w:pStyle w:val="Compact"/>
      </w:pPr>
      <w:r>
        <w:rPr>
          <w:bCs/>
          <w:b/>
        </w:rPr>
        <w:t xml:space="preserve">Generici:</w:t>
      </w:r>
      <w:r>
        <w:t xml:space="preserve"> </w:t>
      </w:r>
      <w:r>
        <w:t xml:space="preserve">poiché la dulaglutide è una proteina di fusione prodotta con tecniche di ingegneria genetica, i preparati di imitazione sarebbero biosimilari con una procedura di autorizzazione più complessa che per liraglutide o semaglutide. Al momento della stampa, secondo le migliori conoscenze, nell’UE non è in commercio alcun biosimilare (da verificare).</w:t>
      </w:r>
    </w:p>
    <w:p>
      <w:pPr>
        <w:numPr>
          <w:ilvl w:val="0"/>
          <w:numId w:val="1052"/>
        </w:numPr>
        <w:pStyle w:val="Compact"/>
      </w:pPr>
      <w:r>
        <w:rPr>
          <w:bCs/>
          <w:b/>
        </w:rPr>
        <w:t xml:space="preserve">Sport (WADA):</w:t>
      </w:r>
      <w:r>
        <w:t xml:space="preserve"> </w:t>
      </w:r>
      <w:r>
        <w:t xml:space="preserve">non elencata (aggiornato al 2026, da verificare).</w:t>
      </w:r>
    </w:p>
    <w:p>
      <w:pPr>
        <w:numPr>
          <w:ilvl w:val="0"/>
          <w:numId w:val="1052"/>
        </w:numPr>
        <w:pStyle w:val="Compact"/>
      </w:pPr>
      <w:r>
        <w:rPr>
          <w:bCs/>
          <w:b/>
        </w:rPr>
        <w:t xml:space="preserve">Mercato grigio:</w:t>
      </w:r>
      <w:r>
        <w:t xml:space="preserve"> </w:t>
      </w:r>
      <w:r>
        <w:t xml:space="preserve">la dulaglutide non ha praticamente alcun ruolo nel mercato grigio, perché una grande proteina di fusione non può essere prodotta per sintesi come i piccoli peptidi.</w:t>
      </w:r>
    </w:p>
    <w:bookmarkEnd w:id="177"/>
    <w:bookmarkStart w:id="178" w:name="studi-in-corso-e-prospettive-2"/>
    <w:p>
      <w:pPr>
        <w:pStyle w:val="Heading3"/>
      </w:pPr>
      <w:r>
        <w:t xml:space="preserve">Studi in corso e prospettive</w:t>
      </w:r>
    </w:p>
    <w:p>
      <w:pPr>
        <w:pStyle w:val="FirstParagraph"/>
      </w:pPr>
      <w:r>
        <w:rPr>
          <w:bCs/>
          <w:b/>
        </w:rPr>
        <w:t xml:space="preserve">Accertato (studi registrati):</w:t>
      </w:r>
    </w:p>
    <w:p>
      <w:pPr>
        <w:numPr>
          <w:ilvl w:val="0"/>
          <w:numId w:val="1053"/>
        </w:numPr>
        <w:pStyle w:val="Compact"/>
      </w:pPr>
      <w:r>
        <w:rPr>
          <w:bCs/>
          <w:b/>
        </w:rPr>
        <w:t xml:space="preserve">Bambini e adolescenti:</w:t>
      </w:r>
      <w:r>
        <w:t xml:space="preserve"> </w:t>
      </w:r>
      <w:r>
        <w:t xml:space="preserve">Lilly valuta le dosi più alte di 3,0 e 4,5 mg negli adolescenti con diabete di tipo 2 (NCT06739122) e confronta la compressa di orforglipron con la dulaglutide in questa fascia d’età (NCT07668336).</w:t>
      </w:r>
    </w:p>
    <w:p>
      <w:pPr>
        <w:numPr>
          <w:ilvl w:val="0"/>
          <w:numId w:val="1053"/>
        </w:numPr>
        <w:pStyle w:val="Compact"/>
      </w:pPr>
      <w:r>
        <w:rPr>
          <w:bCs/>
          <w:b/>
        </w:rPr>
        <w:t xml:space="preserve">Vasi e interventi chirurgici:</w:t>
      </w:r>
      <w:r>
        <w:t xml:space="preserve"> </w:t>
      </w:r>
      <w:r>
        <w:t xml:space="preserve">uno studio esamina la dulaglutide nella stenosi grave dei vasi cerebrali (NCT07282041), un altro se riduca i danni al muscolo cardiaco dopo interventi chirurgici non cardiaci (NCT06324461).</w:t>
      </w:r>
    </w:p>
    <w:p>
      <w:pPr>
        <w:numPr>
          <w:ilvl w:val="0"/>
          <w:numId w:val="1053"/>
        </w:numPr>
        <w:pStyle w:val="Compact"/>
      </w:pPr>
      <w:r>
        <w:rPr>
          <w:bCs/>
          <w:b/>
        </w:rPr>
        <w:t xml:space="preserve">Fibrosi cistica:</w:t>
      </w:r>
      <w:r>
        <w:t xml:space="preserve"> </w:t>
      </w:r>
      <w:r>
        <w:t xml:space="preserve">un piccolo studio di fase 2 esamina la dulaglutide in caso di alterata utilizzazione del glucosio dovuta alla malattia (NCT04731272).</w:t>
      </w:r>
    </w:p>
    <w:p>
      <w:pPr>
        <w:numPr>
          <w:ilvl w:val="0"/>
          <w:numId w:val="1053"/>
        </w:numPr>
        <w:pStyle w:val="Compact"/>
      </w:pPr>
      <w:r>
        <w:rPr>
          <w:bCs/>
          <w:b/>
        </w:rPr>
        <w:t xml:space="preserve">Come confronto:</w:t>
      </w:r>
      <w:r>
        <w:t xml:space="preserve"> </w:t>
      </w:r>
      <w:r>
        <w:t xml:space="preserve">numerosi nuovi principi attivi vengono valutati in studi di fase 3 contro la dulaglutide, tra cui la proteina di fusione dell’exendina-4 JY09 (NCT06257966).</w:t>
      </w:r>
    </w:p>
    <w:p>
      <w:pPr>
        <w:pStyle w:val="FirstParagraph"/>
      </w:pPr>
      <w:r>
        <w:rPr>
          <w:bCs/>
          <w:b/>
        </w:rPr>
        <w:t xml:space="preserve">Valutazione:</w:t>
      </w:r>
      <w:r>
        <w:t xml:space="preserve"> </w:t>
      </w:r>
      <w:r>
        <w:t xml:space="preserve">la dulaglutide è un principio attivo solido e ben studiato con un beneficio cardiovascolare dimostrato, ma viene superata da semaglutide e tirzepatide per glicemia e peso. Il suo ruolo dovrebbe spostarsi sempre più verso quello di standard di confronto negli studi. Poiché Lilly offre con tirzepatide e orforglipron i propri successori, un ulteriore sviluppo della dulaglutide per nuove indicazioni è poco probabile.</w:t>
      </w:r>
    </w:p>
    <w:bookmarkEnd w:id="178"/>
    <w:bookmarkStart w:id="179" w:name="conclusione-2"/>
    <w:p>
      <w:pPr>
        <w:pStyle w:val="Heading3"/>
      </w:pPr>
      <w:r>
        <w:t xml:space="preserve">Conclusione</w:t>
      </w:r>
    </w:p>
    <w:p>
      <w:pPr>
        <w:pStyle w:val="FirstParagraph"/>
      </w:pPr>
      <w:r>
        <w:t xml:space="preserve">La dulaglutide è una proteina di fusione GLP-1 iniettata settimanalmente, valutata nel programma AWARD contro quasi tutti gli antidiabetici comuni. Ha ridotto l’emoglobina glicata all’incirca quanto la liraglutide e più di exenatide, sitagliptin o metformina, ma è risultata inferiore alla semaglutide in SUSTAIN 7, soprattutto per il peso. In REWIND, con 9.901 partecipanti, tra cui molti senza malattia cardiovascolare nota, ha ridotto gli eventi cardiovascolari gravi del 12%. Gli effetti collaterali corrispondono a quelli della classe; gli anticorpi sono rari. Non è autorizzata per la riduzione del peso, e il trattamento va affidato al medico.</w:t>
      </w:r>
    </w:p>
    <w:bookmarkEnd w:id="179"/>
    <w:bookmarkEnd w:id="180"/>
    <w:bookmarkStart w:id="200" w:name="semaglutide"/>
    <w:p>
      <w:pPr>
        <w:pStyle w:val="Heading2"/>
      </w:pPr>
      <w:r>
        <w:t xml:space="preserve">Semaglutide</w:t>
      </w:r>
    </w:p>
    <w:bookmarkStart w:id="181" w:name="scheda-3"/>
    <w:p>
      <w:pPr>
        <w:pStyle w:val="Heading3"/>
      </w:pPr>
      <w:r>
        <w:t xml:space="preserve">Scheda</w:t>
      </w:r>
    </w:p>
    <w:p>
      <w:pPr>
        <w:numPr>
          <w:ilvl w:val="0"/>
          <w:numId w:val="1054"/>
        </w:numPr>
        <w:pStyle w:val="Compact"/>
      </w:pPr>
      <w:r>
        <w:rPr>
          <w:bCs/>
          <w:b/>
        </w:rPr>
        <w:t xml:space="preserve">Tipo/struttura:</w:t>
      </w:r>
      <w:r>
        <w:t xml:space="preserve"> </w:t>
      </w:r>
      <w:r>
        <w:t xml:space="preserve">GLP-1 umano modificato di 31 amminoacidi. Rispetto all’ormone endogeno sono sostituiti due amminoacidi; in un terzo punto è legata, tramite un elemento di collegamento, una catena di acido grasso che lega fortemente la molecola alla proteina del sangue albumina (Lau 2015, PMID 26308095).</w:t>
      </w:r>
    </w:p>
    <w:p>
      <w:pPr>
        <w:numPr>
          <w:ilvl w:val="0"/>
          <w:numId w:val="1054"/>
        </w:numPr>
        <w:pStyle w:val="Compact"/>
      </w:pPr>
      <w:r>
        <w:rPr>
          <w:bCs/>
          <w:b/>
        </w:rPr>
        <w:t xml:space="preserve">Origine:</w:t>
      </w:r>
      <w:r>
        <w:t xml:space="preserve"> </w:t>
      </w:r>
      <w:r>
        <w:t xml:space="preserve">sviluppata da Novo Nordisk come evoluzione della liraglutide.</w:t>
      </w:r>
    </w:p>
    <w:p>
      <w:pPr>
        <w:numPr>
          <w:ilvl w:val="0"/>
          <w:numId w:val="1054"/>
        </w:numPr>
        <w:pStyle w:val="Compact"/>
      </w:pPr>
      <w:r>
        <w:rPr>
          <w:bCs/>
          <w:b/>
        </w:rPr>
        <w:t xml:space="preserve">Meccanismo d’azione:</w:t>
      </w:r>
      <w:r>
        <w:t xml:space="preserve"> </w:t>
      </w:r>
      <w:r>
        <w:t xml:space="preserve">agonista del recettore del GLP-1 con durata d’azione molto lunga – un’iniezione alla settimana o una compressa al giorno.</w:t>
      </w:r>
    </w:p>
    <w:p>
      <w:pPr>
        <w:numPr>
          <w:ilvl w:val="0"/>
          <w:numId w:val="1054"/>
        </w:numPr>
        <w:pStyle w:val="Compact"/>
      </w:pPr>
      <w:r>
        <w:rPr>
          <w:bCs/>
          <w:b/>
        </w:rPr>
        <w:t xml:space="preserve">Preparati:</w:t>
      </w:r>
      <w:r>
        <w:t xml:space="preserve"> </w:t>
      </w:r>
      <w:r>
        <w:t xml:space="preserve">Ozempic (iniezione, diabete di tipo 2), Wegovy (iniezione, gestione del peso e riduzione del rischio cardiovascolare), Rybelsus (compressa, diabete di tipo 2). Negli Stati Uniti dalla fine del 2025 è autorizzata anche una compressa di Wegovy per la gestione del peso (da verificare).</w:t>
      </w:r>
    </w:p>
    <w:p>
      <w:pPr>
        <w:numPr>
          <w:ilvl w:val="0"/>
          <w:numId w:val="1054"/>
        </w:numPr>
        <w:pStyle w:val="Compact"/>
      </w:pPr>
      <w:r>
        <w:rPr>
          <w:bCs/>
          <w:b/>
        </w:rPr>
        <w:t xml:space="preserve">Autorizzazione UE:</w:t>
      </w:r>
      <w:r>
        <w:t xml:space="preserve"> </w:t>
      </w:r>
      <w:r>
        <w:t xml:space="preserve">sì – diabete di tipo 2 (iniezione dal 2018, compressa dal 2020), gestione del peso (dal 2022, anche per adolescenti dai 12 anni).</w:t>
      </w:r>
    </w:p>
    <w:p>
      <w:pPr>
        <w:numPr>
          <w:ilvl w:val="0"/>
          <w:numId w:val="1054"/>
        </w:numPr>
        <w:pStyle w:val="Compact"/>
      </w:pPr>
      <w:r>
        <w:rPr>
          <w:bCs/>
          <w:b/>
        </w:rPr>
        <w:t xml:space="preserve">Autorizzazione USA:</w:t>
      </w:r>
      <w:r>
        <w:t xml:space="preserve"> </w:t>
      </w:r>
      <w:r>
        <w:t xml:space="preserve">sì – diabete di tipo 2, gestione del peso, riduzione del rischio cardiovascolare nel sovrappeso con malattia cardiovascolare, protezione renale nel diabete di tipo 2 con malattia renale cronica e steatoepatite (MASH) con fibrosi (aggiornato al 2026, da verificare).</w:t>
      </w:r>
    </w:p>
    <w:p>
      <w:pPr>
        <w:numPr>
          <w:ilvl w:val="0"/>
          <w:numId w:val="1054"/>
        </w:numPr>
        <w:pStyle w:val="Compact"/>
      </w:pPr>
      <w:r>
        <w:rPr>
          <w:bCs/>
          <w:b/>
        </w:rPr>
        <w:t xml:space="preserve">WADA:</w:t>
      </w:r>
      <w:r>
        <w:t xml:space="preserve"> </w:t>
      </w:r>
      <w:r>
        <w:t xml:space="preserve">non elencata (aggiornato al 2026, da verificare).</w:t>
      </w:r>
    </w:p>
    <w:p>
      <w:pPr>
        <w:numPr>
          <w:ilvl w:val="0"/>
          <w:numId w:val="1054"/>
        </w:numPr>
        <w:pStyle w:val="Compact"/>
      </w:pPr>
      <w:r>
        <w:rPr>
          <w:bCs/>
          <w:b/>
        </w:rPr>
        <w:t xml:space="preserve">Livello di evidenza:</w:t>
      </w:r>
      <w:r>
        <w:t xml:space="preserve"> </w:t>
      </w:r>
      <w:r>
        <w:rPr>
          <w:bCs/>
          <w:b/>
        </w:rPr>
        <w:t xml:space="preserve">A</w:t>
      </w:r>
      <w:r>
        <w:t xml:space="preserve"> </w:t>
      </w:r>
      <w:r>
        <w:t xml:space="preserve">– quattro grandi programmi registrativi (SUSTAIN, PIONEER, STEP, OASIS), diversi studi di esito con complessivamente oltre 40.000 partecipanti.</w:t>
      </w:r>
    </w:p>
    <w:bookmarkEnd w:id="181"/>
    <w:bookmarkStart w:id="182" w:name="come-dovrebbe-agire-3"/>
    <w:p>
      <w:pPr>
        <w:pStyle w:val="Heading3"/>
      </w:pPr>
      <w:r>
        <w:t xml:space="preserve">Come dovrebbe agire</w:t>
      </w:r>
    </w:p>
    <w:p>
      <w:pPr>
        <w:pStyle w:val="FirstParagraph"/>
      </w:pPr>
      <w:r>
        <w:t xml:space="preserve">La semaglutide agisce come l’ormone intestinale GLP-1: potenzia la secrezione di insulina dipendente dal glucosio, inibisce il glucagone che innalza la glicemia, rallenta lo svuotamento gastrico e attenua nel cervello la fame e il desiderio di cibo. Il meccanismo di base della classe è spiegato nel capitolo Exenatide.</w:t>
      </w:r>
    </w:p>
    <w:p>
      <w:pPr>
        <w:pStyle w:val="BodyText"/>
      </w:pPr>
      <w:r>
        <w:t xml:space="preserve">La novità della semaglutide è la durata. Gli sviluppatori sono partiti dalla liraglutide e hanno modificato due cose (Lau 2015, PMID 26308095): la sostituzione di un amminoacido in posizione 8 rende la molecola del tutto insensibile all’enzima di degradazione DPP-4. E una catena di acido grasso più lunga con un diverso elemento di collegamento si lega molto più saldamente all’albumina. Così la semaglutide viene rilasciata ed eliminata solo lentamente. Nei minimaiali l’emivita dopo somministrazione endovenosa era di 46,1 ore; nell’uomo è ancora più lunga e consente un’iniezione alla settimana.</w:t>
      </w:r>
    </w:p>
    <w:p>
      <w:pPr>
        <w:pStyle w:val="BodyText"/>
      </w:pPr>
      <w:r>
        <w:t xml:space="preserve">Per la perdita di peso sono decisivi soprattutto gli effetti nel cervello. La semaglutide riduce l’apporto di cibo, la sensazione di fame e la voglia di cibi particolarmente ricchi di grassi e zuccheri. Un dispendio energetico apprezzabilmente maggiore non è dimostrato.</w:t>
      </w:r>
    </w:p>
    <w:p>
      <w:pPr>
        <w:pStyle w:val="BodyText"/>
      </w:pPr>
      <w:r>
        <w:rPr>
          <w:bCs/>
          <w:b/>
        </w:rPr>
        <w:t xml:space="preserve">La compressa:</w:t>
      </w:r>
      <w:r>
        <w:t xml:space="preserve"> </w:t>
      </w:r>
      <w:r>
        <w:t xml:space="preserve">normalmente i peptidi vengono digeriti nello stomaco e assorbiti a malapena. Per Rybelsus la semaglutide viene combinata con l’eccipiente SNAC. Questo tampona l’acido gastrico direttamente sulla superficie della compressa, protegge così dalla degradazione e facilita per breve tempo l’assorbimento attraverso la mucosa gastrica – negli studi sull’uomo e sui cani esclusivamente nello stomaco, non nell’intestino (Buckley 2018, PMID 30429357). Ciononostante solo una frazione molto piccola del principio attivo arriva nel sangue. La compressa contiene quindi un multiplo della dose iniettabile e deve essere assunta a digiuno con poca acqua; il Riassunto delle caratteristiche del prodotto ne regola i dettagli.</w:t>
      </w:r>
    </w:p>
    <w:bookmarkEnd w:id="182"/>
    <w:bookmarkStart w:id="193" w:name="studi-sulluomo-3"/>
    <w:p>
      <w:pPr>
        <w:pStyle w:val="Heading3"/>
      </w:pPr>
      <w:r>
        <w:t xml:space="preserve">Studi sull’uomo</w:t>
      </w:r>
    </w:p>
    <w:p>
      <w:pPr>
        <w:pStyle w:val="FirstParagraph"/>
      </w:pPr>
      <w:r>
        <w:t xml:space="preserve">La semaglutide è attualmente il principio attivo più studiato della sua classe. La ricerca su PubMed analizzata per questo libro (termine di ricerca „semaglutide“ nel titolo o nell’abstract, data della ricerca ottobre 2026) ha restituito 342 studi sull’uomo. Questo numero sottostima la reale quantità di ricerca, perché molte analisi dei grandi studi sono pubblicate con il nome di questi ultimi. Su ClinicalTrials.gov sono riportate 793 voci di registro – più che per qualsiasi altro peptide di questo libro.</w:t>
      </w:r>
    </w:p>
    <w:p>
      <w:pPr>
        <w:pStyle w:val="BodyText"/>
      </w:pPr>
      <w:r>
        <w:t xml:space="preserve">Gli studi si possono suddividere in quattro programmi: SUSTAIN (iniezione nel diabete di tipo 2), PIONEER (compressa nel diabete di tipo 2), STEP (iniezione nell’obesità) e OASIS (compressa nell’obesità). A questi si aggiungono grandi studi di esito su cuore (SUSTAIN 6, PIONEER 6, SOUL, SELECT), reni (FLOW), fegato (ESSENCE), scompenso cardiaco, articolazioni e cervello (evoke).</w:t>
      </w:r>
    </w:p>
    <w:bookmarkStart w:id="183" w:name="diabete-di-tipo-2-con-liniezione-sustain"/>
    <w:p>
      <w:pPr>
        <w:pStyle w:val="Heading4"/>
      </w:pPr>
      <w:r>
        <w:t xml:space="preserve">Diabete di tipo 2 con l’iniezione: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SUSTAIN 1 (Sorli 2017), PMID 28110911</w:t>
            </w:r>
          </w:p>
        </w:tc>
        <w:tc>
          <w:tcPr/>
          <w:p>
            <w:pPr>
              <w:pStyle w:val="Compact"/>
              <w:jc w:val="left"/>
            </w:pPr>
            <w:r>
              <w:t xml:space="preserve">388 persone, monoterapia vs. placebo</w:t>
            </w:r>
          </w:p>
        </w:tc>
        <w:tc>
          <w:tcPr/>
          <w:p>
            <w:pPr>
              <w:pStyle w:val="Compact"/>
              <w:jc w:val="left"/>
            </w:pPr>
            <w:r>
              <w:t xml:space="preserve">30 settimane</w:t>
            </w:r>
          </w:p>
        </w:tc>
        <w:tc>
          <w:tcPr/>
          <w:p>
            <w:pPr>
              <w:pStyle w:val="Compact"/>
              <w:jc w:val="left"/>
            </w:pPr>
            <w:r>
              <w:t xml:space="preserve">HbA1c −1,55 (1,0 mg) vs. −0,02 punti percentuali; peso −4,53 vs. −0,98 kg</w:t>
            </w:r>
          </w:p>
        </w:tc>
      </w:tr>
      <w:tr>
        <w:tc>
          <w:tcPr/>
          <w:p>
            <w:pPr>
              <w:pStyle w:val="Compact"/>
              <w:jc w:val="left"/>
            </w:pPr>
            <w:r>
              <w:t xml:space="preserve">SUSTAIN FORTE (Frías 2021), PMID 34293304</w:t>
            </w:r>
          </w:p>
        </w:tc>
        <w:tc>
          <w:tcPr/>
          <w:p>
            <w:pPr>
              <w:pStyle w:val="Compact"/>
              <w:jc w:val="left"/>
            </w:pPr>
            <w:r>
              <w:t xml:space="preserve">961 persone; 2,0 mg vs. 1,0 mg</w:t>
            </w:r>
          </w:p>
        </w:tc>
        <w:tc>
          <w:tcPr/>
          <w:p>
            <w:pPr>
              <w:pStyle w:val="Compact"/>
              <w:jc w:val="left"/>
            </w:pPr>
            <w:r>
              <w:t xml:space="preserve">40 settimane</w:t>
            </w:r>
          </w:p>
        </w:tc>
        <w:tc>
          <w:tcPr/>
          <w:p>
            <w:pPr>
              <w:pStyle w:val="Compact"/>
              <w:jc w:val="left"/>
            </w:pPr>
            <w:r>
              <w:t xml:space="preserve">HbA1c −2,2 vs. −1,9; peso −6,9 vs. −6,0 kg</w:t>
            </w:r>
          </w:p>
        </w:tc>
      </w:tr>
      <w:tr>
        <w:tc>
          <w:tcPr/>
          <w:p>
            <w:pPr>
              <w:pStyle w:val="Compact"/>
              <w:jc w:val="left"/>
            </w:pPr>
            <w:r>
              <w:t xml:space="preserve">SUSTAIN 6 (Marso 2016), PMID 27633186</w:t>
            </w:r>
          </w:p>
        </w:tc>
        <w:tc>
          <w:tcPr/>
          <w:p>
            <w:pPr>
              <w:pStyle w:val="Compact"/>
              <w:jc w:val="left"/>
            </w:pPr>
            <w:r>
              <w:t xml:space="preserve">3.297 persone ad alto rischio cardiovascolare, vs. placebo</w:t>
            </w:r>
          </w:p>
        </w:tc>
        <w:tc>
          <w:tcPr/>
          <w:p>
            <w:pPr>
              <w:pStyle w:val="Compact"/>
              <w:jc w:val="left"/>
            </w:pPr>
            <w:r>
              <w:t xml:space="preserve">104 settimane</w:t>
            </w:r>
          </w:p>
        </w:tc>
        <w:tc>
          <w:tcPr/>
          <w:p>
            <w:pPr>
              <w:pStyle w:val="Compact"/>
              <w:jc w:val="left"/>
            </w:pPr>
            <w:r>
              <w:t xml:space="preserve">Eventi cardiovascolari gravi 6,6% vs. 8,9%; HR 0,74</w:t>
            </w:r>
          </w:p>
        </w:tc>
      </w:tr>
    </w:tbl>
    <w:p>
      <w:pPr>
        <w:pStyle w:val="BodyText"/>
      </w:pPr>
      <w:r>
        <w:t xml:space="preserve">Già lo studio in monoterapia SUSTAIN 1 (Sorli 2017, PMID 28110911) ha mostrato che la semaglutide riduce l’emoglobina glicata HbA1c di circa 1,5 punti percentuali. In studi successivi con partecipanti che avevano valori di partenza più alti la riduzione è stata maggiore; con la dose di 2,0 mg ha raggiunto in SUSTAIN FORTE 2,2 punti percentuali (Frías 2021, PMID 34293304).</w:t>
      </w:r>
    </w:p>
    <w:p>
      <w:pPr>
        <w:pStyle w:val="BodyText"/>
      </w:pPr>
      <w:r>
        <w:rPr>
          <w:bCs/>
          <w:b/>
        </w:rPr>
        <w:t xml:space="preserve">SUSTAIN 6</w:t>
      </w:r>
      <w:r>
        <w:t xml:space="preserve"> </w:t>
      </w:r>
      <w:r>
        <w:t xml:space="preserve">(Marso 2016, PMID 27633186) era impostato come studio di sicurezza, ma ha mostrato un netto vantaggio: morte per cause cardiovascolari, infarto miocardico non fatale o ictus si sono verificati in 108 persone su 1.648 con semaglutide (6,6%) contro 146 su 1.649 con placebo (8,9%). Gli ictus sono stati significativamente più rari (1,6% vs. 2,7%). Al tempo stesso è emerso un segnale d’allarme: le complicanze della retinopatia diabetica – per esempio emorragie vitreali o reperti che richiedono trattamento – erano più frequenti con semaglutide (HR 1,76). Questo segnale è discusso nella sezione sui rischi.</w:t>
      </w:r>
    </w:p>
    <w:bookmarkEnd w:id="183"/>
    <w:bookmarkStart w:id="184" w:name="X0647a94c75a3b08c9671be01d0271b3f38a9a2f"/>
    <w:p>
      <w:pPr>
        <w:pStyle w:val="Heading4"/>
      </w:pPr>
      <w:r>
        <w:t xml:space="preserve">Confronti diretti all’interno della classe GLP-1</w:t>
      </w:r>
    </w:p>
    <w:p>
      <w:pPr>
        <w:pStyle w:val="FirstParagraph"/>
      </w:pPr>
      <w:r>
        <w:t xml:space="preserve">Negli studi di confronto diretto la semaglutide si è misurata con tutti gli agonisti del recettore del GLP-1 più vecchi e li ha superati tutti.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(semaglutide vs. confronto)</w:t>
            </w:r>
          </w:p>
        </w:tc>
      </w:tr>
      <w:tr>
        <w:tc>
          <w:tcPr/>
          <w:p>
            <w:pPr>
              <w:pStyle w:val="Compact"/>
              <w:jc w:val="left"/>
            </w:pPr>
            <w:r>
              <w:t xml:space="preserve">SUSTAIN 3 (Ahmann 2018), PMID 29246950</w:t>
            </w:r>
          </w:p>
        </w:tc>
        <w:tc>
          <w:tcPr/>
          <w:p>
            <w:pPr>
              <w:pStyle w:val="Compact"/>
              <w:jc w:val="left"/>
            </w:pPr>
            <w:r>
              <w:t xml:space="preserve">vs. exenatide settimanale, in aperto</w:t>
            </w:r>
          </w:p>
        </w:tc>
        <w:tc>
          <w:tcPr/>
          <w:p>
            <w:pPr>
              <w:pStyle w:val="Compact"/>
              <w:jc w:val="left"/>
            </w:pPr>
            <w:r>
              <w:t xml:space="preserve">56 settimane</w:t>
            </w:r>
          </w:p>
        </w:tc>
        <w:tc>
          <w:tcPr/>
          <w:p>
            <w:pPr>
              <w:pStyle w:val="Compact"/>
              <w:jc w:val="left"/>
            </w:pPr>
            <w:r>
              <w:t xml:space="preserve">HbA1c −1,5 vs. −0,9; peso −5,6 vs. −1,9 kg</w:t>
            </w:r>
          </w:p>
        </w:tc>
      </w:tr>
      <w:tr>
        <w:tc>
          <w:tcPr/>
          <w:p>
            <w:pPr>
              <w:pStyle w:val="Compact"/>
              <w:jc w:val="left"/>
            </w:pPr>
            <w:r>
              <w:t xml:space="preserve">SUSTAIN 7 (Pratley 2018), PMID 29397376</w:t>
            </w:r>
          </w:p>
        </w:tc>
        <w:tc>
          <w:tcPr/>
          <w:p>
            <w:pPr>
              <w:pStyle w:val="Compact"/>
              <w:jc w:val="left"/>
            </w:pPr>
            <w:r>
              <w:t xml:space="preserve">1.201 persone; 0,5/1,0 mg vs. dulaglutide 0,75/1,5 mg</w:t>
            </w:r>
          </w:p>
        </w:tc>
        <w:tc>
          <w:tcPr/>
          <w:p>
            <w:pPr>
              <w:pStyle w:val="Compact"/>
              <w:jc w:val="left"/>
            </w:pPr>
            <w:r>
              <w:t xml:space="preserve">40 settimane</w:t>
            </w:r>
          </w:p>
        </w:tc>
        <w:tc>
          <w:tcPr/>
          <w:p>
            <w:pPr>
              <w:pStyle w:val="Compact"/>
              <w:jc w:val="left"/>
            </w:pPr>
            <w:r>
              <w:t xml:space="preserve">HbA1c −1,8 vs. −1,4; peso −6,5 vs. −3,0 kg (dosi alte)</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settimane</w:t>
            </w:r>
          </w:p>
        </w:tc>
        <w:tc>
          <w:tcPr/>
          <w:p>
            <w:pPr>
              <w:pStyle w:val="Compact"/>
              <w:jc w:val="left"/>
            </w:pPr>
            <w:r>
              <w:t xml:space="preserve">HbA1c −1,7 vs. −1,0; peso −5,8 vs. −1,9 kg</w:t>
            </w:r>
          </w:p>
        </w:tc>
      </w:tr>
      <w:tr>
        <w:tc>
          <w:tcPr/>
          <w:p>
            <w:pPr>
              <w:pStyle w:val="Compact"/>
              <w:jc w:val="left"/>
            </w:pPr>
            <w:r>
              <w:t xml:space="preserve">PIONEER 4 (Pratley 2019), PMID 31186120</w:t>
            </w:r>
          </w:p>
        </w:tc>
        <w:tc>
          <w:tcPr/>
          <w:p>
            <w:pPr>
              <w:pStyle w:val="Compact"/>
              <w:jc w:val="left"/>
            </w:pPr>
            <w:r>
              <w:t xml:space="preserve">711 persone; compressa 14 mg vs. iniezione di liraglutide 1,8 mg vs. placebo</w:t>
            </w:r>
          </w:p>
        </w:tc>
        <w:tc>
          <w:tcPr/>
          <w:p>
            <w:pPr>
              <w:pStyle w:val="Compact"/>
              <w:jc w:val="left"/>
            </w:pPr>
            <w:r>
              <w:t xml:space="preserve">52 settimane (analisi principale dopo 26 settimane)</w:t>
            </w:r>
          </w:p>
        </w:tc>
        <w:tc>
          <w:tcPr/>
          <w:p>
            <w:pPr>
              <w:pStyle w:val="Compact"/>
              <w:jc w:val="left"/>
            </w:pPr>
            <w:r>
              <w:t xml:space="preserve">HbA1c −1,2 vs. −1,1 (non inferiore); peso −4,4 vs. −3,1 kg</w:t>
            </w:r>
          </w:p>
        </w:tc>
      </w:tr>
      <w:tr>
        <w:tc>
          <w:tcPr/>
          <w:p>
            <w:pPr>
              <w:pStyle w:val="Compact"/>
              <w:jc w:val="left"/>
            </w:pPr>
            <w:r>
              <w:t xml:space="preserve">STEP 8 (Rubino 2022), PMID 35015037</w:t>
            </w:r>
          </w:p>
        </w:tc>
        <w:tc>
          <w:tcPr/>
          <w:p>
            <w:pPr>
              <w:pStyle w:val="Compact"/>
              <w:jc w:val="left"/>
            </w:pPr>
            <w:r>
              <w:t xml:space="preserve">338 persone con obesità senza diabete; 2,4 mg vs. liraglutide 3,0 mg</w:t>
            </w:r>
          </w:p>
        </w:tc>
        <w:tc>
          <w:tcPr/>
          <w:p>
            <w:pPr>
              <w:pStyle w:val="Compact"/>
              <w:jc w:val="left"/>
            </w:pPr>
            <w:r>
              <w:t xml:space="preserve">68 settimane</w:t>
            </w:r>
          </w:p>
        </w:tc>
        <w:tc>
          <w:tcPr/>
          <w:p>
            <w:pPr>
              <w:pStyle w:val="Compact"/>
              <w:jc w:val="left"/>
            </w:pPr>
            <w:r>
              <w:t xml:space="preserve">Peso −15,8% vs. −6,4%</w:t>
            </w:r>
          </w:p>
        </w:tc>
      </w:tr>
    </w:tbl>
    <w:p>
      <w:pPr>
        <w:pStyle w:val="BodyText"/>
      </w:pPr>
      <w:r>
        <w:t xml:space="preserve">Le differenze nell’emoglobina glicata sono comprese tra 0,1 e 0,7 punti percentuali a favore della semaglutide, nel peso tra 1,2 e circa 4 kg nel diabete. Il distacco era più marcato nell’obesità: in STEP 8 (Rubino 2022, PMID 35015037) il 38,5% con semaglutide ha perso almeno il 20% del proprio peso, con liraglutide il 6,0%. Il prezzo in alcuni confronti è un tasso un po’ più alto di disturbi gastrointestinali: in SUSTAIN 10 l’11,4% contro il 6,6% ha interrotto il trattamento a causa di effetti collaterali (Capehorn 2020, PMID 31539622). In SUSTAIN 3, invece, le reazioni nel sito di iniezione si sono verificate molto più spesso con exenatide (22,0% vs. 1,2%) (Ahmann 2018, PMID 29246950).</w:t>
      </w:r>
    </w:p>
    <w:p>
      <w:pPr>
        <w:pStyle w:val="BodyText"/>
      </w:pPr>
      <w:r>
        <w:t xml:space="preserve">PIONEER 4 (Pratley 2019, PMID 31186120) è degno di nota perché qui una compressa si è confrontata con un’iniezione: per l’HbA1c la compressa di semaglutide non è risultata peggiore dell’iniezione di liraglutide, per il peso è stata superiore di 1,2 kg.</w:t>
      </w:r>
    </w:p>
    <w:p>
      <w:pPr>
        <w:pStyle w:val="BodyText"/>
      </w:pPr>
      <w:r>
        <w:t xml:space="preserve">Al di fuori della classe GLP-1 la semaglutide è stata a sua volta superata: nel confronto diretto con l’agonista duale GIP/GLP-1 tirzepatide in 751 persone con obesità, la perdita di peso dopo 72 settimane è stata del −13,7% contro il −20,2% (Aronne 2025, PMID 40353578). I dettagli si trovano nel capitolo Tirzepatide.</w:t>
      </w:r>
    </w:p>
    <w:bookmarkEnd w:id="184"/>
    <w:bookmarkStart w:id="185" w:name="Xa70ab07b2ece5210b2523d85296248646a96077"/>
    <w:p>
      <w:pPr>
        <w:pStyle w:val="Heading4"/>
      </w:pPr>
      <w:r>
        <w:t xml:space="preserve">Diabete di tipo 2 con la compressa: PIONEER e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PIONEER 1 (Aroda 2019), PMID 31186300</w:t>
            </w:r>
          </w:p>
        </w:tc>
        <w:tc>
          <w:tcPr/>
          <w:p>
            <w:pPr>
              <w:pStyle w:val="Compact"/>
              <w:jc w:val="left"/>
            </w:pPr>
            <w:r>
              <w:t xml:space="preserve">703 persone, monoterapia; 3/7/14 mg vs. placebo</w:t>
            </w:r>
          </w:p>
        </w:tc>
        <w:tc>
          <w:tcPr/>
          <w:p>
            <w:pPr>
              <w:pStyle w:val="Compact"/>
              <w:jc w:val="left"/>
            </w:pPr>
            <w:r>
              <w:t xml:space="preserve">26 settimane</w:t>
            </w:r>
          </w:p>
        </w:tc>
        <w:tc>
          <w:tcPr/>
          <w:p>
            <w:pPr>
              <w:pStyle w:val="Compact"/>
              <w:jc w:val="left"/>
            </w:pPr>
            <w:r>
              <w:t xml:space="preserve">HbA1c −1,1 punti percentuali (14 mg) rispetto al placebo; peso −2,3 kg rispetto al placebo</w:t>
            </w:r>
          </w:p>
        </w:tc>
      </w:tr>
      <w:tr>
        <w:tc>
          <w:tcPr/>
          <w:p>
            <w:pPr>
              <w:pStyle w:val="Compact"/>
              <w:jc w:val="left"/>
            </w:pPr>
            <w:r>
              <w:t xml:space="preserve">PIONEER 6 (Husain 2019), PMID 31185157</w:t>
            </w:r>
          </w:p>
        </w:tc>
        <w:tc>
          <w:tcPr/>
          <w:p>
            <w:pPr>
              <w:pStyle w:val="Compact"/>
              <w:jc w:val="left"/>
            </w:pPr>
            <w:r>
              <w:t xml:space="preserve">3.183 persone ad alto rischio; vs. placebo</w:t>
            </w:r>
          </w:p>
        </w:tc>
        <w:tc>
          <w:tcPr/>
          <w:p>
            <w:pPr>
              <w:pStyle w:val="Compact"/>
              <w:jc w:val="left"/>
            </w:pPr>
            <w:r>
              <w:t xml:space="preserve">mediana 15,9 mesi</w:t>
            </w:r>
          </w:p>
        </w:tc>
        <w:tc>
          <w:tcPr/>
          <w:p>
            <w:pPr>
              <w:pStyle w:val="Compact"/>
              <w:jc w:val="left"/>
            </w:pPr>
            <w:r>
              <w:t xml:space="preserve">Eventi 3,8% vs. 4,8%; HR 0,79, non inferiore</w:t>
            </w:r>
          </w:p>
        </w:tc>
      </w:tr>
      <w:tr>
        <w:tc>
          <w:tcPr/>
          <w:p>
            <w:pPr>
              <w:pStyle w:val="Compact"/>
              <w:jc w:val="left"/>
            </w:pPr>
            <w:r>
              <w:t xml:space="preserve">PIONEER PLUS (Aroda 2023), PMID 37385279</w:t>
            </w:r>
          </w:p>
        </w:tc>
        <w:tc>
          <w:tcPr/>
          <w:p>
            <w:pPr>
              <w:pStyle w:val="Compact"/>
              <w:jc w:val="left"/>
            </w:pPr>
            <w:r>
              <w:t xml:space="preserve">1.606 persone; 25 e 50 mg vs. 14 mg</w:t>
            </w:r>
          </w:p>
        </w:tc>
        <w:tc>
          <w:tcPr/>
          <w:p>
            <w:pPr>
              <w:pStyle w:val="Compact"/>
              <w:jc w:val="left"/>
            </w:pPr>
            <w:r>
              <w:t xml:space="preserve">52 settimane</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 con malattia vascolare e/o renale; vs. placebo</w:t>
            </w:r>
          </w:p>
        </w:tc>
        <w:tc>
          <w:tcPr/>
          <w:p>
            <w:pPr>
              <w:pStyle w:val="Compact"/>
              <w:jc w:val="left"/>
            </w:pPr>
            <w:r>
              <w:t xml:space="preserve">mediana 49,5 mesi</w:t>
            </w:r>
          </w:p>
        </w:tc>
        <w:tc>
          <w:tcPr/>
          <w:p>
            <w:pPr>
              <w:pStyle w:val="Compact"/>
              <w:jc w:val="left"/>
            </w:pPr>
            <w:r>
              <w:t xml:space="preserve">Eventi 12,0% vs. 13,8%; HR 0,86 (0,77–0,96)</w:t>
            </w:r>
          </w:p>
        </w:tc>
      </w:tr>
    </w:tbl>
    <w:p>
      <w:pPr>
        <w:pStyle w:val="BodyText"/>
      </w:pPr>
      <w:r>
        <w:t xml:space="preserve">Alla dose standard di 14 mg la compressa agisce un po’ meno dell’iniezione. PIONEER PLUS (Aroda 2023, PMID 37385279) ha mostrato che dosi più alte in compresse riducono il distacco. PIONEER 6 (Husain 2019, PMID 31185157) era un breve studio di sicurezza; ha dimostrato che la compressa non aumenta il rischio cardiovascolare, ma era troppo piccolo per dimostrare un beneficio.</w:t>
      </w:r>
    </w:p>
    <w:p>
      <w:pPr>
        <w:pStyle w:val="BodyText"/>
      </w:pPr>
      <w:r>
        <w:t xml:space="preserve">Questo è stato fornito da</w:t>
      </w:r>
      <w:r>
        <w:t xml:space="preserve"> </w:t>
      </w:r>
      <w:r>
        <w:rPr>
          <w:bCs/>
          <w:b/>
        </w:rPr>
        <w:t xml:space="preserve">SOUL</w:t>
      </w:r>
      <w:r>
        <w:t xml:space="preserve"> </w:t>
      </w:r>
      <w:r>
        <w:t xml:space="preserve">(McGuire 2025, PMID 40162642): in 9.650 persone con diabete di tipo 2 e malattia vascolare o renale, la compressa di semaglutide ha ridotto in circa quattro anni gli eventi cardiovascolari gravi del 14%. Gli endpoint secondari confermativi, tra cui gli esiti renali, non differivano in modo significativo. Gli eventi avversi gravi non sono stati più frequenti con semaglutide (47,9% vs. 50,3%).</w:t>
      </w:r>
    </w:p>
    <w:bookmarkEnd w:id="185"/>
    <w:bookmarkStart w:id="186" w:name="obesità-con-liniezione-step"/>
    <w:p>
      <w:pPr>
        <w:pStyle w:val="Heading4"/>
      </w:pPr>
      <w:r>
        <w:t xml:space="preserve">Obesità con l’iniezione: STEP</w:t>
      </w:r>
    </w:p>
    <w:p>
      <w:pPr>
        <w:pStyle w:val="FirstParagraph"/>
      </w:pPr>
      <w:r>
        <w:t xml:space="preserve">Con la dose di 2,4 mg alla settimana la semaglutide, come Wegovy, è diventata il primo farmaco con cui le persone con obesità hanno perso in grandi studi in media circa il 15% del proprio peso corporeo.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STEP 1 (Wilding 2021), PMID 33567185</w:t>
            </w:r>
          </w:p>
        </w:tc>
        <w:tc>
          <w:tcPr/>
          <w:p>
            <w:pPr>
              <w:pStyle w:val="Compact"/>
              <w:jc w:val="left"/>
            </w:pPr>
            <w:r>
              <w:t xml:space="preserve">1.961 adulti con obesità senza diabete, RCT contro placebo</w:t>
            </w:r>
          </w:p>
        </w:tc>
        <w:tc>
          <w:tcPr/>
          <w:p>
            <w:pPr>
              <w:pStyle w:val="Compact"/>
              <w:jc w:val="left"/>
            </w:pPr>
            <w:r>
              <w:t xml:space="preserve">68 settimane</w:t>
            </w:r>
          </w:p>
        </w:tc>
        <w:tc>
          <w:tcPr/>
          <w:p>
            <w:pPr>
              <w:pStyle w:val="Compact"/>
              <w:jc w:val="left"/>
            </w:pPr>
            <w:r>
              <w:t xml:space="preserve">−14,9% del peso corporeo vs. −2,4%</w:t>
            </w:r>
          </w:p>
        </w:tc>
      </w:tr>
      <w:tr>
        <w:tc>
          <w:tcPr/>
          <w:p>
            <w:pPr>
              <w:pStyle w:val="Compact"/>
              <w:jc w:val="left"/>
            </w:pPr>
            <w:r>
              <w:t xml:space="preserve">STEP 2 (Davies 2021), PMID 33667417</w:t>
            </w:r>
          </w:p>
        </w:tc>
        <w:tc>
          <w:tcPr/>
          <w:p>
            <w:pPr>
              <w:pStyle w:val="Compact"/>
              <w:jc w:val="left"/>
            </w:pPr>
            <w:r>
              <w:t xml:space="preserve">1.210 persone in sovrappeso con diabete di tipo 2</w:t>
            </w:r>
          </w:p>
        </w:tc>
        <w:tc>
          <w:tcPr/>
          <w:p>
            <w:pPr>
              <w:pStyle w:val="Compact"/>
              <w:jc w:val="left"/>
            </w:pPr>
            <w:r>
              <w:t xml:space="preserve">68 settimane</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persone, in aggiunta terapia comportamentale intensiva</w:t>
            </w:r>
          </w:p>
        </w:tc>
        <w:tc>
          <w:tcPr/>
          <w:p>
            <w:pPr>
              <w:pStyle w:val="Compact"/>
              <w:jc w:val="left"/>
            </w:pPr>
            <w:r>
              <w:t xml:space="preserve">68 settimane</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persone dopo 20 settimane di semaglutide: prosecuzione o passaggio al placebo</w:t>
            </w:r>
          </w:p>
        </w:tc>
        <w:tc>
          <w:tcPr/>
          <w:p>
            <w:pPr>
              <w:pStyle w:val="Compact"/>
              <w:jc w:val="left"/>
            </w:pPr>
            <w:r>
              <w:t xml:space="preserve">48 settimane</w:t>
            </w:r>
          </w:p>
        </w:tc>
        <w:tc>
          <w:tcPr/>
          <w:p>
            <w:pPr>
              <w:pStyle w:val="Compact"/>
              <w:jc w:val="left"/>
            </w:pPr>
            <w:r>
              <w:t xml:space="preserve">−7,9% (prosecuzione) vs. +6,9% (sospensione)</w:t>
            </w:r>
          </w:p>
        </w:tc>
      </w:tr>
      <w:tr>
        <w:tc>
          <w:tcPr/>
          <w:p>
            <w:pPr>
              <w:pStyle w:val="Compact"/>
              <w:jc w:val="left"/>
            </w:pPr>
            <w:r>
              <w:t xml:space="preserve">STEP 5 (Garvey 2022), PMID 36216945</w:t>
            </w:r>
          </w:p>
        </w:tc>
        <w:tc>
          <w:tcPr/>
          <w:p>
            <w:pPr>
              <w:pStyle w:val="Compact"/>
              <w:jc w:val="left"/>
            </w:pPr>
            <w:r>
              <w:t xml:space="preserve">304 persone</w:t>
            </w:r>
          </w:p>
        </w:tc>
        <w:tc>
          <w:tcPr/>
          <w:p>
            <w:pPr>
              <w:pStyle w:val="Compact"/>
              <w:jc w:val="left"/>
            </w:pPr>
            <w:r>
              <w:t xml:space="preserve">104 settimane</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persone in Asia orientale</w:t>
            </w:r>
          </w:p>
        </w:tc>
        <w:tc>
          <w:tcPr/>
          <w:p>
            <w:pPr>
              <w:pStyle w:val="Compact"/>
              <w:jc w:val="left"/>
            </w:pPr>
            <w:r>
              <w:t xml:space="preserve">68 settimane</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persone; 7,2 mg vs. 2,4 mg vs. placebo</w:t>
            </w:r>
          </w:p>
        </w:tc>
        <w:tc>
          <w:tcPr/>
          <w:p>
            <w:pPr>
              <w:pStyle w:val="Compact"/>
              <w:jc w:val="left"/>
            </w:pPr>
            <w:r>
              <w:t xml:space="preserve">72 settimane</w:t>
            </w:r>
          </w:p>
        </w:tc>
        <w:tc>
          <w:tcPr/>
          <w:p>
            <w:pPr>
              <w:pStyle w:val="Compact"/>
              <w:jc w:val="left"/>
            </w:pPr>
            <w:r>
              <w:t xml:space="preserve">−18,7% vs. −15,6% vs. −3,9%</w:t>
            </w:r>
          </w:p>
        </w:tc>
      </w:tr>
    </w:tbl>
    <w:p>
      <w:pPr>
        <w:pStyle w:val="BodyText"/>
      </w:pPr>
      <w:r>
        <w:t xml:space="preserve">In</w:t>
      </w:r>
      <w:r>
        <w:t xml:space="preserve"> </w:t>
      </w:r>
      <w:r>
        <w:rPr>
          <w:bCs/>
          <w:b/>
        </w:rPr>
        <w:t xml:space="preserve">STEP 1</w:t>
      </w:r>
      <w:r>
        <w:t xml:space="preserve"> </w:t>
      </w:r>
      <w:r>
        <w:t xml:space="preserve">(Wilding 2021, PMID 33567185) i partecipanti hanno perso in media 15,3 kg, contro 2,6 kg con placebo. La metà (50,5%) ha perso almeno il 15% del proprio peso. A causa di disturbi gastrointestinali il 4,5% ha interrotto il trattamento, contro lo 0,8% con placebo.</w:t>
      </w:r>
    </w:p>
    <w:p>
      <w:pPr>
        <w:pStyle w:val="BodyText"/>
      </w:pPr>
      <w:r>
        <w:t xml:space="preserve">Nelle persone con diabete di tipo 2 la perdita è stata minore (STEP 2, Davies 2021, PMID 33667417) – uno schema che si presenta con tutti i principi attivi di questa classe. In</w:t>
      </w:r>
      <w:r>
        <w:t xml:space="preserve"> </w:t>
      </w:r>
      <w:r>
        <w:rPr>
          <w:bCs/>
          <w:b/>
        </w:rPr>
        <w:t xml:space="preserve">STEP 5</w:t>
      </w:r>
      <w:r>
        <w:t xml:space="preserve"> </w:t>
      </w:r>
      <w:r>
        <w:t xml:space="preserve">(Garvey 2022, PMID 36216945) l’effetto è rimasto stabile per due anni.</w:t>
      </w:r>
    </w:p>
    <w:p>
      <w:pPr>
        <w:pStyle w:val="BodyText"/>
      </w:pPr>
      <w:r>
        <w:rPr>
          <w:bCs/>
          <w:b/>
        </w:rPr>
        <w:t xml:space="preserve">Che cosa succede dopo la sospensione?</w:t>
      </w:r>
      <w:r>
        <w:t xml:space="preserve"> </w:t>
      </w:r>
      <w:r>
        <w:t xml:space="preserve">Questa domanda è centrale per la pratica. In STEP 4 (Rubino 2021, PMID 33755728) tutti i partecipanti hanno ricevuto inizialmente semaglutide per 20 settimane, perdendo in media il 10,6%. Chi è poi passato al placebo ha ripreso nelle 48 settimane successive il 6,9%; chi ha continuato il trattamento ha perso un ulteriore 7,9%. Nell’estensione di STEP 1 (Wilding 2022, PMID 35441470) i partecipanti, un anno dopo la sospensione, avevano ripreso circa due terzi del peso perso; anche pressione arteriosa, lipidi ematici e glicemia si erano riavvicinati ai valori di partenza. Le autrici e gli autori concludono che l’obesità è una malattia cronica e che il trattamento dovrebbe probabilmente essere permanente.</w:t>
      </w:r>
    </w:p>
    <w:p>
      <w:pPr>
        <w:pStyle w:val="BodyText"/>
      </w:pPr>
      <w:r>
        <w:rPr>
          <w:bCs/>
          <w:b/>
        </w:rPr>
        <w:t xml:space="preserve">Dose più alta:</w:t>
      </w:r>
      <w:r>
        <w:t xml:space="preserve"> </w:t>
      </w:r>
      <w:r>
        <w:t xml:space="preserve">in STEP UP (Wharton 2025, PMID 40961952) la dose tripla di 7,2 mg ha portato a una perdita di peso del 18,7%. I disturbi gastrointestinali sono stati più frequenti (70,8% vs. 61,2% con 2,4 mg), e il 22,9% ha riferito alterazioni della sensibilità cutanea (disestesia), contro il 6,0% con 2,4 mg.</w:t>
      </w:r>
    </w:p>
    <w:bookmarkEnd w:id="186"/>
    <w:bookmarkStart w:id="187" w:name="obesità-con-la-compressa-oasis"/>
    <w:p>
      <w:pPr>
        <w:pStyle w:val="Heading4"/>
      </w:pPr>
      <w:r>
        <w:t xml:space="preserve">Obesità con la compressa: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OASIS 1 (Knop 2023), PMID 37385278</w:t>
            </w:r>
          </w:p>
        </w:tc>
        <w:tc>
          <w:tcPr/>
          <w:p>
            <w:pPr>
              <w:pStyle w:val="Compact"/>
              <w:jc w:val="left"/>
            </w:pPr>
            <w:r>
              <w:t xml:space="preserve">667 persone con obesità senza diabete; 50 mg al giorno vs. placebo</w:t>
            </w:r>
          </w:p>
        </w:tc>
        <w:tc>
          <w:tcPr/>
          <w:p>
            <w:pPr>
              <w:pStyle w:val="Compact"/>
              <w:jc w:val="left"/>
            </w:pPr>
            <w:r>
              <w:t xml:space="preserve">68 settimane</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persone; 25 mg al giorno vs. placebo</w:t>
            </w:r>
          </w:p>
        </w:tc>
        <w:tc>
          <w:tcPr/>
          <w:p>
            <w:pPr>
              <w:pStyle w:val="Compact"/>
              <w:jc w:val="left"/>
            </w:pPr>
            <w:r>
              <w:t xml:space="preserve">64 settimane</w:t>
            </w:r>
          </w:p>
        </w:tc>
        <w:tc>
          <w:tcPr/>
          <w:p>
            <w:pPr>
              <w:pStyle w:val="Compact"/>
              <w:jc w:val="left"/>
            </w:pPr>
            <w:r>
              <w:t xml:space="preserve">−13,6% vs. −2,2%</w:t>
            </w:r>
          </w:p>
        </w:tc>
      </w:tr>
    </w:tbl>
    <w:p>
      <w:pPr>
        <w:pStyle w:val="BodyText"/>
      </w:pPr>
      <w:r>
        <w:t xml:space="preserve">In questi studi le compresse hanno raggiunto valori simili a quelli dell’iniezione in STEP 1 (Knop 2023, PMID 37385278; Wharton 2025, PMID 40934115). Disturbi gastrointestinali si sono verificati nel 74–80%. La compressa da 25 mg di OASIS 4 è la base della compressa di Wegovy autorizzata negli Stati Uniti. Finora manca un confronto diretto con l’iniezione in un grande studio.</w:t>
      </w:r>
    </w:p>
    <w:bookmarkEnd w:id="187"/>
    <w:bookmarkStart w:id="188" w:name="bambini-e-adolescenti-2"/>
    <w:p>
      <w:pPr>
        <w:pStyle w:val="Heading4"/>
      </w:pPr>
      <w:r>
        <w:t xml:space="preserve">Bambini e adolescenti</w:t>
      </w:r>
    </w:p>
    <w:p>
      <w:pPr>
        <w:pStyle w:val="FirstParagraph"/>
      </w:pPr>
      <w:r>
        <w:t xml:space="preserve">In</w:t>
      </w:r>
      <w:r>
        <w:t xml:space="preserve"> </w:t>
      </w:r>
      <w:r>
        <w:rPr>
          <w:bCs/>
          <w:b/>
        </w:rPr>
        <w:t xml:space="preserve">STEP TEENS</w:t>
      </w:r>
      <w:r>
        <w:t xml:space="preserve">, con 201 adolescenti con obesità, l’indice di massa corporea (BMI) dopo 68 settimane è sceso del 16,1%, con placebo è salito dello 0,6% (Weghuber 2022, PMID 36322838). Il 73% ha perso almeno il 5% del proprio peso, contro il 18% con placebo. Cinque adolescenti (4%) con semaglutide hanno sviluppato calcoli biliari, nessuno con placebo. È in corso uno studio con bambini dai 6 anni (NCT05726227).</w:t>
      </w:r>
    </w:p>
    <w:bookmarkEnd w:id="188"/>
    <w:bookmarkStart w:id="189" w:name="X5b1656e595e60f19750a679cd9293c16321e61c"/>
    <w:p>
      <w:pPr>
        <w:pStyle w:val="Heading4"/>
      </w:pPr>
      <w:r>
        <w:t xml:space="preserve">SELECT: protezione cardiaca anche senza diabete</w:t>
      </w:r>
    </w:p>
    <w:p>
      <w:pPr>
        <w:pStyle w:val="FirstParagraph"/>
      </w:pPr>
      <w:r>
        <w:t xml:space="preserve">SELECT è stato una pietra miliare, perché ha mostrato per la prima volta che un farmaco per la riduzione del peso riduce infarti, ictus e decessi cardiovascolari nelle persone senza diabete.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SELECT (Lincoff 2023), PMID 37952131</w:t>
            </w:r>
          </w:p>
        </w:tc>
        <w:tc>
          <w:tcPr/>
          <w:p>
            <w:pPr>
              <w:pStyle w:val="Compact"/>
              <w:jc w:val="left"/>
            </w:pPr>
            <w:r>
              <w:t xml:space="preserve">17.604 persone in sovrappeso o con obesità e malattia cardiovascolare, senza diabete; 2,4 mg vs. placebo</w:t>
            </w:r>
          </w:p>
        </w:tc>
        <w:tc>
          <w:tcPr/>
          <w:p>
            <w:pPr>
              <w:pStyle w:val="Compact"/>
              <w:jc w:val="left"/>
            </w:pPr>
            <w:r>
              <w:t xml:space="preserve">osservazione media 39,8 mesi</w:t>
            </w:r>
          </w:p>
        </w:tc>
        <w:tc>
          <w:tcPr/>
          <w:p>
            <w:pPr>
              <w:pStyle w:val="Compact"/>
              <w:jc w:val="left"/>
            </w:pPr>
            <w:r>
              <w:t xml:space="preserve">Eventi cardiovascolari gravi 6,5% vs. 8,0%; HR 0,80 (0,72–0,90)</w:t>
            </w:r>
          </w:p>
        </w:tc>
      </w:tr>
    </w:tbl>
    <w:p>
      <w:pPr>
        <w:pStyle w:val="BodyText"/>
      </w:pPr>
      <w:r>
        <w:t xml:space="preserve">La riduzione relativa del rischio è stata del 20% (Lincoff 2023, PMID 37952131). In numeri assoluti, in poco più di tre anni circa 1,5 trattati su cento hanno avuto un evento di questo tipo in meno. Colpiva l’elevato tasso di interruzione: il 16,6% ha terminato definitivamente il trattamento a causa di effetti collaterali, contro l’8,2% con placebo. Se il beneficio dipenda solo dalla perdita di peso o anche da effetti diretti su vasi e infiammazione non è stato definitivamente chiarito.</w:t>
      </w:r>
    </w:p>
    <w:bookmarkEnd w:id="189"/>
    <w:bookmarkStart w:id="190" w:name="flow-protezione-dei-reni"/>
    <w:p>
      <w:pPr>
        <w:pStyle w:val="Heading4"/>
      </w:pPr>
      <w:r>
        <w:t xml:space="preserve">FLOW: protezione dei reni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FLOW (Perkovic 2024), PMID 38785209</w:t>
            </w:r>
          </w:p>
        </w:tc>
        <w:tc>
          <w:tcPr/>
          <w:p>
            <w:pPr>
              <w:pStyle w:val="Compact"/>
              <w:jc w:val="left"/>
            </w:pPr>
            <w:r>
              <w:t xml:space="preserve">3.533 persone con diabete di tipo 2 e malattia renale cronica; 1,0 mg vs. placebo</w:t>
            </w:r>
          </w:p>
        </w:tc>
        <w:tc>
          <w:tcPr/>
          <w:p>
            <w:pPr>
              <w:pStyle w:val="Compact"/>
              <w:jc w:val="left"/>
            </w:pPr>
            <w:r>
              <w:t xml:space="preserve">mediana 3,4 anni (interrotto anticipatamente per efficacia)</w:t>
            </w:r>
          </w:p>
        </w:tc>
        <w:tc>
          <w:tcPr/>
          <w:p>
            <w:pPr>
              <w:pStyle w:val="Compact"/>
              <w:jc w:val="left"/>
            </w:pPr>
            <w:r>
              <w:t xml:space="preserve">Endpoint renale 331 vs. 410 eventi; HR 0,76; mortalità totale HR 0,80</w:t>
            </w:r>
          </w:p>
        </w:tc>
      </w:tr>
    </w:tbl>
    <w:p>
      <w:pPr>
        <w:pStyle w:val="BodyText"/>
      </w:pPr>
      <w:r>
        <w:t xml:space="preserve">FLOW (Perkovic 2024, PMID 38785209) è stato il primo grande studio con un agonista del recettore del GLP-1 in cui l’obiettivo principale era un endpoint renale solido – insufficienza renale, forte perdita di funzione o morte per cause renali o cardiovascolari. È stato interrotto anticipatamente dopo un’analisi intermedia per chiara efficacia. La perdita annua di funzione renale (eGFR) era inferiore di 1,16 ml/min per 1,73 m² con semaglutide. Anche gli eventi cardiovascolari (HR 0,82) e la mortalità totale (HR 0,80) erano ridotti.</w:t>
      </w:r>
    </w:p>
    <w:bookmarkEnd w:id="190"/>
    <w:bookmarkStart w:id="191" w:name="X9c68d92fa33b730f51dc49a8f4b8331e924664c"/>
    <w:p>
      <w:pPr>
        <w:pStyle w:val="Heading4"/>
      </w:pPr>
      <w:r>
        <w:t xml:space="preserve">Altri organi: fegato, scompenso cardiaco, vasi, articolazioni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ESSENCE (Sanyal 2025), PMID 40305708</w:t>
            </w:r>
          </w:p>
        </w:tc>
        <w:tc>
          <w:tcPr/>
          <w:p>
            <w:pPr>
              <w:pStyle w:val="Compact"/>
              <w:jc w:val="left"/>
            </w:pPr>
            <w:r>
              <w:t xml:space="preserve">1.197 persone con steatoepatite (MASH) e fibrosi di stadio 2–3; analisi intermedia dei primi 800</w:t>
            </w:r>
          </w:p>
        </w:tc>
        <w:tc>
          <w:tcPr/>
          <w:p>
            <w:pPr>
              <w:pStyle w:val="Compact"/>
              <w:jc w:val="left"/>
            </w:pPr>
            <w:r>
              <w:t xml:space="preserve">72 settimane (prima parte)</w:t>
            </w:r>
          </w:p>
        </w:tc>
        <w:tc>
          <w:tcPr/>
          <w:p>
            <w:pPr>
              <w:pStyle w:val="Compact"/>
              <w:jc w:val="left"/>
            </w:pPr>
            <w:r>
              <w:t xml:space="preserve">Risoluzione dell’infiammazione 62,9% vs. 34,3%; meno fibrosi 36,8% vs. 22,4%</w:t>
            </w:r>
          </w:p>
        </w:tc>
      </w:tr>
      <w:tr>
        <w:tc>
          <w:tcPr/>
          <w:p>
            <w:pPr>
              <w:pStyle w:val="Compact"/>
              <w:jc w:val="left"/>
            </w:pPr>
            <w:r>
              <w:t xml:space="preserve">STEP-HFpEF (Kosiborod 2023), PMID 37622681</w:t>
            </w:r>
          </w:p>
        </w:tc>
        <w:tc>
          <w:tcPr/>
          <w:p>
            <w:pPr>
              <w:pStyle w:val="Compact"/>
              <w:jc w:val="left"/>
            </w:pPr>
            <w:r>
              <w:t xml:space="preserve">529 persone con scompenso cardiaco a funzione di pompa conservata e obesità; 2,4 mg vs. placebo</w:t>
            </w:r>
          </w:p>
        </w:tc>
        <w:tc>
          <w:tcPr/>
          <w:p>
            <w:pPr>
              <w:pStyle w:val="Compact"/>
              <w:jc w:val="left"/>
            </w:pPr>
            <w:r>
              <w:t xml:space="preserve">52 settimane</w:t>
            </w:r>
          </w:p>
        </w:tc>
        <w:tc>
          <w:tcPr/>
          <w:p>
            <w:pPr>
              <w:pStyle w:val="Compact"/>
              <w:jc w:val="left"/>
            </w:pPr>
            <w:r>
              <w:t xml:space="preserve">Punteggio dei sintomi +16,6 vs. +8,7 punti; distanza percorsa +21,5 vs. +1,2 m</w:t>
            </w:r>
          </w:p>
        </w:tc>
      </w:tr>
      <w:tr>
        <w:tc>
          <w:tcPr/>
          <w:p>
            <w:pPr>
              <w:pStyle w:val="Compact"/>
              <w:jc w:val="left"/>
            </w:pPr>
            <w:r>
              <w:t xml:space="preserve">STRIDE (Bonaca 2025), PMID 40169145</w:t>
            </w:r>
          </w:p>
        </w:tc>
        <w:tc>
          <w:tcPr/>
          <w:p>
            <w:pPr>
              <w:pStyle w:val="Compact"/>
              <w:jc w:val="left"/>
            </w:pPr>
            <w:r>
              <w:t xml:space="preserve">792 persone con claudicatio intermittens e diabete di tipo 2; 1,0 mg vs. placebo</w:t>
            </w:r>
          </w:p>
        </w:tc>
        <w:tc>
          <w:tcPr/>
          <w:p>
            <w:pPr>
              <w:pStyle w:val="Compact"/>
              <w:jc w:val="left"/>
            </w:pPr>
            <w:r>
              <w:t xml:space="preserve">52 settimane</w:t>
            </w:r>
          </w:p>
        </w:tc>
        <w:tc>
          <w:tcPr/>
          <w:p>
            <w:pPr>
              <w:pStyle w:val="Compact"/>
              <w:jc w:val="left"/>
            </w:pPr>
            <w:r>
              <w:t xml:space="preserve">distanza massima percorsa migliorata del 13% in più</w:t>
            </w:r>
          </w:p>
        </w:tc>
      </w:tr>
      <w:tr>
        <w:tc>
          <w:tcPr/>
          <w:p>
            <w:pPr>
              <w:pStyle w:val="Compact"/>
              <w:jc w:val="left"/>
            </w:pPr>
            <w:r>
              <w:t xml:space="preserve">STEP 9 (Bliddal 2024), PMID 39476339</w:t>
            </w:r>
          </w:p>
        </w:tc>
        <w:tc>
          <w:tcPr/>
          <w:p>
            <w:pPr>
              <w:pStyle w:val="Compact"/>
              <w:jc w:val="left"/>
            </w:pPr>
            <w:r>
              <w:t xml:space="preserve">407 persone con obesità e artrosi del ginocchio</w:t>
            </w:r>
          </w:p>
        </w:tc>
        <w:tc>
          <w:tcPr/>
          <w:p>
            <w:pPr>
              <w:pStyle w:val="Compact"/>
              <w:jc w:val="left"/>
            </w:pPr>
            <w:r>
              <w:t xml:space="preserve">68 settimane</w:t>
            </w:r>
          </w:p>
        </w:tc>
        <w:tc>
          <w:tcPr/>
          <w:p>
            <w:pPr>
              <w:pStyle w:val="Compact"/>
              <w:jc w:val="left"/>
            </w:pPr>
            <w:r>
              <w:t xml:space="preserve">Punteggio del dolore −41,7 vs. −27,5 punti; peso −13,7% vs. −3,2%</w:t>
            </w:r>
          </w:p>
        </w:tc>
      </w:tr>
    </w:tbl>
    <w:p>
      <w:pPr>
        <w:pStyle w:val="BodyText"/>
      </w:pPr>
      <w:r>
        <w:rPr>
          <w:bCs/>
          <w:b/>
        </w:rPr>
        <w:t xml:space="preserve">Fegato:</w:t>
      </w:r>
      <w:r>
        <w:t xml:space="preserve"> </w:t>
      </w:r>
      <w:r>
        <w:t xml:space="preserve">in ESSENCE (Sanyal 2025, PMID 40305708) la steatoepatite nel campione di tessuto è regredita in quasi due terzi dei trattati, senza aumento della cicatrizzazione. Una riduzione della fibrosi – l’obiettivo clinicamente più importante – è stata raggiunta dal 36,8% contro il 22,4%. La seconda parte dello studio, con endpoint epatici solidi come la cirrosi, prosegue fino al 2029 (NCT04822181).</w:t>
      </w:r>
    </w:p>
    <w:p>
      <w:pPr>
        <w:pStyle w:val="BodyText"/>
      </w:pPr>
      <w:r>
        <w:rPr>
          <w:bCs/>
          <w:b/>
        </w:rPr>
        <w:t xml:space="preserve">Scompenso cardiaco:</w:t>
      </w:r>
      <w:r>
        <w:t xml:space="preserve"> </w:t>
      </w:r>
      <w:r>
        <w:t xml:space="preserve">nello scompenso cardiaco con funzione di pompa conservata e obesità, disturbi e capacità di sforzo sono migliorati nettamente (Kosiborod 2023, PMID 37622681). Gli eventi avversi gravi sono stati più rari con semaglutide (13,3% vs. 26,7%). Se la semaglutide riduca anche i ricoveri o i decessi per scompenso cardiaco non era l’obiettivo principale di questo studio.</w:t>
      </w:r>
    </w:p>
    <w:p>
      <w:pPr>
        <w:pStyle w:val="BodyText"/>
      </w:pPr>
      <w:r>
        <w:rPr>
          <w:bCs/>
          <w:b/>
        </w:rPr>
        <w:t xml:space="preserve">Claudicatio intermittens:</w:t>
      </w:r>
      <w:r>
        <w:t xml:space="preserve"> </w:t>
      </w:r>
      <w:r>
        <w:t xml:space="preserve">nell’arteriopatia obliterante periferica la semaglutide ha allungato la distanza massima percorsa (Bonaca 2025, PMID 40169145).</w:t>
      </w:r>
    </w:p>
    <w:p>
      <w:pPr>
        <w:pStyle w:val="BodyText"/>
      </w:pPr>
      <w:r>
        <w:rPr>
          <w:bCs/>
          <w:b/>
        </w:rPr>
        <w:t xml:space="preserve">Artrosi del ginocchio:</w:t>
      </w:r>
      <w:r>
        <w:t xml:space="preserve"> </w:t>
      </w:r>
      <w:r>
        <w:t xml:space="preserve">in STEP 9 (Bliddal 2024, PMID 39476339) il dolore al ginocchio è diminuito più che con placebo. Se ciò dipenda solo dalla perdita di peso, lo studio lo lascia aperto.</w:t>
      </w:r>
    </w:p>
    <w:bookmarkEnd w:id="191"/>
    <w:bookmarkStart w:id="192" w:name="cervello-e-dipendenze"/>
    <w:p>
      <w:pPr>
        <w:pStyle w:val="Heading4"/>
      </w:pPr>
      <w:r>
        <w:t xml:space="preserve">Cervello e dipendenze</w:t>
      </w:r>
    </w:p>
    <w:p>
      <w:pPr>
        <w:pStyle w:val="FirstParagraph"/>
      </w:pPr>
      <w:r>
        <w:rPr>
          <w:bCs/>
          <w:b/>
        </w:rPr>
        <w:t xml:space="preserve">Malattia di Alzheimer:</w:t>
      </w:r>
      <w:r>
        <w:t xml:space="preserve"> </w:t>
      </w:r>
      <w:r>
        <w:t xml:space="preserve">la speranza che gli agonisti del recettore del GLP-1 potessero frenare il declino cognitivo si basava su esperimenti su animali e dati osservazionali. Novo Nordisk l’ha verificata in due grandi studi di fase 3, evoke ed evoke+, con complessivamente 3.808 persone con malattia di Alzheimer precoce, che per 104 settimane hanno ricevuto ogni giorno compresse di semaglutide o placebo (Cummings 2026, PMID 41865758). Il risultato è stato chiaramente negativo: la malattia è progredita con la stessa velocità in entrambi i gruppi (differenza sulla scala della demenza CDR-SB −0,08 e +0,10 punti, non significativa). La semaglutide come farmaco per l’Alzheimer è quindi, allo stato attuale, fallita; un commento sulla stessa rivista discute le conseguenze per il campo di ricerca (Schneider 2026, PMID 41865757).</w:t>
      </w:r>
    </w:p>
    <w:p>
      <w:pPr>
        <w:pStyle w:val="BodyText"/>
      </w:pPr>
      <w:r>
        <w:rPr>
          <w:bCs/>
          <w:b/>
        </w:rPr>
        <w:t xml:space="preserve">Alcol:</w:t>
      </w:r>
      <w:r>
        <w:t xml:space="preserve"> </w:t>
      </w:r>
      <w:r>
        <w:t xml:space="preserve">in un piccolo studio randomizzato con 48 persone con disturbo da uso di alcol, la semaglutide a basse dosi ha ridotto la quantità di alcol bevuta in un test di laboratorio, il desiderio di alcol e il numero di bevande nei giorni di consumo; il numero di giorni di consumo non è cambiato (Hendershot 2025, PMID 39937469). In uno studio di registro svedese la semaglutide era associata a un rischio inferiore del 36% di ricoveri ospedalieri correlati all’alcol (Lähteenvuo 2025, PMID 39535805). Sono in corso studi randomizzati più grandi.</w:t>
      </w:r>
    </w:p>
    <w:bookmarkEnd w:id="192"/>
    <w:bookmarkEnd w:id="193"/>
    <w:bookmarkStart w:id="194" w:name="studi-su-animali-e-in-laboratorio-3"/>
    <w:p>
      <w:pPr>
        <w:pStyle w:val="Heading3"/>
      </w:pPr>
      <w:r>
        <w:t xml:space="preserve">Studi su animali e in laboratorio</w:t>
      </w:r>
    </w:p>
    <w:p>
      <w:pPr>
        <w:pStyle w:val="FirstParagraph"/>
      </w:pPr>
      <w:r>
        <w:t xml:space="preserve">La semaglutide è stata progettata in modo mirato a tavolino: tra numerose varianti gli sviluppatori hanno scelto quella con la migliore combinazione di legame all’albumina, effetto sul recettore e stabilità (Lau 2015, PMID 26308095). L’emivita è stata determinata inizialmente nei minimaiali. L’assorbimento della compressa attraverso la mucosa gastrica è stato studiato nei cani e nell’uomo (Buckley 2018, PMID 30429357).</w:t>
      </w:r>
    </w:p>
    <w:p>
      <w:pPr>
        <w:pStyle w:val="BodyText"/>
      </w:pPr>
      <w:r>
        <w:t xml:space="preserve">Come per la liraglutide, esperimenti a lungo termine sui roditori hanno portato a tumori a cellule C della tiroide; la trasferibilità all’uomo è considerata dubbia a causa della bassa densità di recettori nelle cellule C umane (Bjerre Knudsen 2010, PMID 20203154). Gli esperimenti su animali su neuroprotezione, dipendenze e infiammazione hanno costituito la base degli studi sull’uomo descritti sopra – con esiti alterni, come mostra il fallimento di evoke.</w:t>
      </w:r>
    </w:p>
    <w:bookmarkEnd w:id="194"/>
    <w:bookmarkStart w:id="195" w:name="rischi-ed-effetti-collaterali-3"/>
    <w:p>
      <w:pPr>
        <w:pStyle w:val="Heading3"/>
      </w:pPr>
      <w:r>
        <w:t xml:space="preserve">Rischi ed effetti collaterali</w:t>
      </w:r>
    </w:p>
    <w:p>
      <w:pPr>
        <w:pStyle w:val="FirstParagraph"/>
      </w:pPr>
      <w:r>
        <w:rPr>
          <w:bCs/>
          <w:b/>
        </w:rPr>
        <w:t xml:space="preserve">Dimostrati da studi randomizzati:</w:t>
      </w:r>
    </w:p>
    <w:p>
      <w:pPr>
        <w:numPr>
          <w:ilvl w:val="0"/>
          <w:numId w:val="1055"/>
        </w:numPr>
        <w:pStyle w:val="Compact"/>
      </w:pPr>
      <w:r>
        <w:rPr>
          <w:bCs/>
          <w:b/>
        </w:rPr>
        <w:t xml:space="preserve">Disturbi gastrointestinali:</w:t>
      </w:r>
      <w:r>
        <w:t xml:space="preserve"> </w:t>
      </w:r>
      <w:r>
        <w:t xml:space="preserve">nausea, diarrea, vomito e stitichezza riguardano negli studi sull’obesità la maggioranza dei trattati, per lo più in forma lieve o moderata e transitoria, soprattutto durante l’aumento della dose (Wilding 2021, PMID 33567185). Sono il motivo più frequente di interruzione della terapia.</w:t>
      </w:r>
    </w:p>
    <w:p>
      <w:pPr>
        <w:numPr>
          <w:ilvl w:val="0"/>
          <w:numId w:val="1055"/>
        </w:numPr>
        <w:pStyle w:val="Compact"/>
      </w:pPr>
      <w:r>
        <w:rPr>
          <w:bCs/>
          <w:b/>
        </w:rPr>
        <w:t xml:space="preserve">Calcoli biliari e colecistite:</w:t>
      </w:r>
      <w:r>
        <w:t xml:space="preserve"> </w:t>
      </w:r>
      <w:r>
        <w:t xml:space="preserve">aumentati nella classe nel suo complesso, soprattutto a dosi alte e per la riduzione del peso (He 2022, PMID 35344001); in STEP TEENS nel 4% degli adolescenti (Weghuber 2022, PMID 36322838).</w:t>
      </w:r>
    </w:p>
    <w:p>
      <w:pPr>
        <w:numPr>
          <w:ilvl w:val="0"/>
          <w:numId w:val="1055"/>
        </w:numPr>
        <w:pStyle w:val="Compact"/>
      </w:pPr>
      <w:r>
        <w:rPr>
          <w:bCs/>
          <w:b/>
        </w:rPr>
        <w:t xml:space="preserve">Peggioramento di una retinopatia diabetica:</w:t>
      </w:r>
      <w:r>
        <w:t xml:space="preserve"> </w:t>
      </w:r>
      <w:r>
        <w:t xml:space="preserve">più frequente in SUSTAIN 6 (HR 1,76) (Marso 2016, PMID 27633186). Si ipotizza che una riduzione molto rapida della glicemia in presenza di una retinopatia già esistente sia temporaneamente dannosa – un effetto noto anche con l’insulina. È in corso uno studio dedicato a questa domanda con 1.500 partecipanti (NCT03811561). Le persone con retinopatia dovrebbero essere seguite dall’oculista.</w:t>
      </w:r>
    </w:p>
    <w:p>
      <w:pPr>
        <w:numPr>
          <w:ilvl w:val="0"/>
          <w:numId w:val="1055"/>
        </w:numPr>
        <w:pStyle w:val="Compact"/>
      </w:pPr>
      <w:r>
        <w:rPr>
          <w:bCs/>
          <w:b/>
        </w:rPr>
        <w:t xml:space="preserve">Perdita di massa muscolare:</w:t>
      </w:r>
      <w:r>
        <w:t xml:space="preserve"> </w:t>
      </w:r>
      <w:r>
        <w:t xml:space="preserve">con ogni forte perdita di peso si perde anche massa magra. Quanto ciò sia rilevante con la semaglutide, soprattutto nelle persone anziane, è ancora oggetto di studio; la Parte IV se ne occupa.</w:t>
      </w:r>
    </w:p>
    <w:p>
      <w:pPr>
        <w:pStyle w:val="FirstParagraph"/>
      </w:pPr>
      <w:r>
        <w:rPr>
          <w:bCs/>
          <w:b/>
        </w:rPr>
        <w:t xml:space="preserve">Dati osservazionali e segnali:</w:t>
      </w:r>
    </w:p>
    <w:p>
      <w:pPr>
        <w:numPr>
          <w:ilvl w:val="0"/>
          <w:numId w:val="1056"/>
        </w:numPr>
        <w:pStyle w:val="Compact"/>
      </w:pPr>
      <w:r>
        <w:rPr>
          <w:bCs/>
          <w:b/>
        </w:rPr>
        <w:t xml:space="preserve">NAION (disturbo della circolazione del nervo ottico):</w:t>
      </w:r>
      <w:r>
        <w:t xml:space="preserve"> </w:t>
      </w:r>
      <w:r>
        <w:t xml:space="preserve">nel 2024 uno studio statunitense di una clinica oculistica ha riferito un rischio nettamente aumentato di neuropatia ottica ischemica anteriore non arteritica, una perdita improvvisa della vista, per lo più indolore, in un occhio (Hathaway 2024, PMID 38958939). In questo studio l’hazard ratio era 4,28 (diabete) e 7,64 (obesità), ma con numeri di casi molto piccoli. Uno studio di registro danese-norvegese con oltre 60.000 persone con diabete di tipo 2 ha confermato un rischio relativo aumentato (HR 2,81), con un rischio assoluto basso: circa 1,4 casi aggiuntivi per 10.000 anni-persona (Simonsen 2025, PMID 40098249). Una meta-analisi del 2026 ha trovato il segnale solo negli studi osservazionali nel diabete (HR 1,85), non negli studi randomizzati né nell’obesità (Liu 2026, PMID 41475544). Nel 2025 l’Agenzia europea per i medicinali ha inserito la NAION come effetto collaterale molto raro nel Riassunto delle caratteristiche del prodotto (aggiornato al 2026, da verificare). Chi durante il trattamento con semaglutide vede improvvisamente peggio dovrebbe cercare immediatamente assistenza medica.</w:t>
      </w:r>
    </w:p>
    <w:p>
      <w:pPr>
        <w:numPr>
          <w:ilvl w:val="0"/>
          <w:numId w:val="1056"/>
        </w:numPr>
        <w:pStyle w:val="Compact"/>
      </w:pPr>
      <w:r>
        <w:rPr>
          <w:bCs/>
          <w:b/>
        </w:rPr>
        <w:t xml:space="preserve">Pancreatite e occlusione intestinale:</w:t>
      </w:r>
      <w:r>
        <w:t xml:space="preserve"> </w:t>
      </w:r>
      <w:r>
        <w:t xml:space="preserve">un’analisi di dati assicurativi ha rilevato con gli agonisti del recettore del GLP-1 usati per perdere peso un rischio aumentato di pancreatite, occlusione intestinale e gastroparesi (Sodhi 2023, PMID 37796527). Nei grandi studi randomizzati la pancreatite è stata rara. Il Riassunto delle caratteristiche del prodotto la indica come possibile effetto collaterale.</w:t>
      </w:r>
    </w:p>
    <w:p>
      <w:pPr>
        <w:numPr>
          <w:ilvl w:val="0"/>
          <w:numId w:val="1056"/>
        </w:numPr>
        <w:pStyle w:val="Compact"/>
      </w:pPr>
      <w:r>
        <w:rPr>
          <w:bCs/>
          <w:b/>
        </w:rPr>
        <w:t xml:space="preserve">Cancro della tiroide:</w:t>
      </w:r>
      <w:r>
        <w:t xml:space="preserve"> </w:t>
      </w:r>
      <w:r>
        <w:t xml:space="preserve">segnale in studi osservazionali e meta-analisi per la classe (Bezin 2023, PMID 36356111; Silverii 2025, PMID 40437949); vedi capitolo Liraglutide.</w:t>
      </w:r>
    </w:p>
    <w:p>
      <w:pPr>
        <w:numPr>
          <w:ilvl w:val="0"/>
          <w:numId w:val="1056"/>
        </w:numPr>
        <w:pStyle w:val="Compact"/>
      </w:pPr>
      <w:r>
        <w:rPr>
          <w:bCs/>
          <w:b/>
        </w:rPr>
        <w:t xml:space="preserve">Effetti collaterali psichici:</w:t>
      </w:r>
      <w:r>
        <w:t xml:space="preserve"> </w:t>
      </w:r>
      <w:r>
        <w:t xml:space="preserve">dopo segnalazioni di pensieri suicidari, nel 2023/2024 le autorità hanno svolto verifiche senza trovare prove di un rapporto causale. In una grande coorte statunitense con 240.618 persone in sovrappeso, la semaglutide era addirittura associata a meno pensieri suicidari di nuova insorgenza rispetto ad altri farmaci per la riduzione del peso (Wang 2024, PMID 38182782). I dati osservazionali non possono escludere con certezza le distorsioni.</w:t>
      </w:r>
    </w:p>
    <w:p>
      <w:pPr>
        <w:pStyle w:val="FirstParagraph"/>
      </w:pPr>
      <w:r>
        <w:rPr>
          <w:bCs/>
          <w:b/>
        </w:rPr>
        <w:t xml:space="preserve">Indicazioni per la pratica:</w:t>
      </w:r>
      <w:r>
        <w:t xml:space="preserve"> </w:t>
      </w:r>
      <w:r>
        <w:t xml:space="preserve">la semaglutide non è indicata in gravidanza; il Riassunto delle caratteristiche del prodotto raccomanda di sospenderla per tempo prima di una gravidanza pianificata. A causa del rallentato svuotamento gastrico, durante le anestesie può esserci un rischio aumentato che il contenuto gastrico finisca nei polmoni; i trattati dovrebbero segnalarlo prima di interventi chirurgici e gastroscopie. Per uso, aumento della dose e controindicazioni fanno fede il Riassunto delle caratteristiche del prodotto e l’accompagnamento medico.</w:t>
      </w:r>
    </w:p>
    <w:bookmarkEnd w:id="195"/>
    <w:bookmarkStart w:id="196" w:name="X866e778bcc319355388a4405a05957c7b336427"/>
    <w:p>
      <w:pPr>
        <w:pStyle w:val="Heading3"/>
      </w:pPr>
      <w:r>
        <w:t xml:space="preserve">Mercato grigio, compounding e contraffazioni</w:t>
      </w:r>
    </w:p>
    <w:p>
      <w:pPr>
        <w:pStyle w:val="FirstParagraph"/>
      </w:pPr>
      <w:r>
        <w:t xml:space="preserve">Nessun altro peptide di questo libro viene procurato così spesso al di fuori dei canali regolari come la semaglutide. Dal 2022 la domanda ha superato per anni l’offerta. Occorre distinguere tre problemi.</w:t>
      </w:r>
    </w:p>
    <w:p>
      <w:pPr>
        <w:pStyle w:val="BodyText"/>
      </w:pPr>
      <w:r>
        <w:rPr>
          <w:bCs/>
          <w:b/>
        </w:rPr>
        <w:t xml:space="preserve">Compounding (Stati Uniti):</w:t>
      </w:r>
      <w:r>
        <w:t xml:space="preserve"> </w:t>
      </w:r>
      <w:r>
        <w:t xml:space="preserve">durante le carenze ufficiali, le farmacie statunitensi potevano produrre semaglutide in proprio („compounding“), spesso come polvere o soluzione in flaconcini, in parte con altre forme saline del principio attivo. Dopo la fine della carenza, la FDA ha fortemente limitato questa pratica (aggiornato al 2026, da verificare). Una serie di casi di un centro antiveleni ha descritto sovradosaggi di dieci volte, perché i pazienti maneggiavano siringhe e flaconcini invece di penne preriempite e confondevano millilitri, unità e milligrammi (Lambson 2023, PMID 37392810). In un’analisi della banca dati statunitense degli effetti collaterali, per i prodotti allestiti in farmacia le segnalazioni di errori di produzione, contaminazione e ricoveri ospedalieri erano sproporzionatamente frequenti (McCall 2026, PMID 40285721).</w:t>
      </w:r>
    </w:p>
    <w:p>
      <w:pPr>
        <w:pStyle w:val="BodyText"/>
      </w:pPr>
      <w:r>
        <w:rPr>
          <w:bCs/>
          <w:b/>
        </w:rPr>
        <w:t xml:space="preserve">Negozi online illegali:</w:t>
      </w:r>
      <w:r>
        <w:t xml:space="preserve"> </w:t>
      </w:r>
      <w:r>
        <w:t xml:space="preserve">in un’indagine di mercato il 42,3% dei link a farmacie online trovati portava a venditori illegali che vendevano semaglutide senza ricetta (Ashraf 2024, PMID 39509151). Negli acquisti di prova le penne di Ozempic ordinate non sono mai arrivate. I flaconcini consegnati contenevano sì semaglutide, ma la purezza era solo dal 7,7% al 14,37% invece del 99% dichiarato, e in tutti i campioni sono state rilevate endotossine (componenti di batteri che possono provocare febbre e infiammazioni).</w:t>
      </w:r>
    </w:p>
    <w:p>
      <w:pPr>
        <w:pStyle w:val="BodyText"/>
      </w:pPr>
      <w:r>
        <w:rPr>
          <w:bCs/>
          <w:b/>
        </w:rPr>
        <w:t xml:space="preserve">Contraffazioni:</w:t>
      </w:r>
      <w:r>
        <w:t xml:space="preserve"> </w:t>
      </w:r>
      <w:r>
        <w:t xml:space="preserve">penne di Ozempic contraffatte sono comparse in Europa e negli Stati Uniti, in parte riempite di insulina o prive di principio attivo; le autorità per i farmaci e l’Organizzazione mondiale della sanità hanno lanciato più volte avvertimenti. Informazioni generali sui prodotti del mercato grigio si trovano nella Parte I e nella Parte IV. Sicura è solo la via regolare: prescrizione medica e dispensazione in farmacia.</w:t>
      </w:r>
    </w:p>
    <w:bookmarkEnd w:id="196"/>
    <w:bookmarkStart w:id="197" w:name="quadro-normativo-3"/>
    <w:p>
      <w:pPr>
        <w:pStyle w:val="Heading3"/>
      </w:pPr>
      <w:r>
        <w:t xml:space="preserve">Quadro normativo</w:t>
      </w:r>
    </w:p>
    <w:p>
      <w:pPr>
        <w:numPr>
          <w:ilvl w:val="0"/>
          <w:numId w:val="1057"/>
        </w:numPr>
        <w:pStyle w:val="Compact"/>
      </w:pPr>
      <w:r>
        <w:rPr>
          <w:bCs/>
          <w:b/>
        </w:rPr>
        <w:t xml:space="preserve">UE:</w:t>
      </w:r>
      <w:r>
        <w:t xml:space="preserve"> </w:t>
      </w:r>
      <w:r>
        <w:t xml:space="preserve">Ozempic (2018), Rybelsus (2020) e Wegovy (2022) sono autorizzati con procedura centralizzata e soggetti a prescrizione. Wegovy è autorizzato per la gestione del peso negli adulti e negli adolescenti dai 12 anni; il Riassunto delle caratteristiche del prodotto contiene ormai anche informazioni sulla riduzione del rischio cardiovascolare tratte da SELECT.</w:t>
      </w:r>
    </w:p>
    <w:p>
      <w:pPr>
        <w:numPr>
          <w:ilvl w:val="0"/>
          <w:numId w:val="1057"/>
        </w:numPr>
        <w:pStyle w:val="Compact"/>
      </w:pPr>
      <w:r>
        <w:rPr>
          <w:bCs/>
          <w:b/>
        </w:rPr>
        <w:t xml:space="preserve">Germania:</w:t>
      </w:r>
      <w:r>
        <w:t xml:space="preserve"> </w:t>
      </w:r>
      <w:r>
        <w:t xml:space="preserve">Ozempic e Rybelsus vengono rimborsati nel diabete di tipo 2. Wegovy è considerato un farmaco per la riduzione del peso ed è in linea di principio escluso dal rimborso dell’assicurazione sanitaria obbligatoria ai sensi del § 34 SGB V; una modifica è oggetto di dibattito politico (aggiornato al 2026, da verificare). La prescrizione di Ozempic per la sola perdita di peso è off-label ed è stata espressamente criticata dalle autorità durante le carenze.</w:t>
      </w:r>
    </w:p>
    <w:p>
      <w:pPr>
        <w:numPr>
          <w:ilvl w:val="0"/>
          <w:numId w:val="1057"/>
        </w:numPr>
        <w:pStyle w:val="Compact"/>
      </w:pPr>
      <w:r>
        <w:rPr>
          <w:bCs/>
          <w:b/>
        </w:rPr>
        <w:t xml:space="preserve">Austria:</w:t>
      </w:r>
      <w:r>
        <w:t xml:space="preserve"> </w:t>
      </w:r>
      <w:r>
        <w:t xml:space="preserve">soggetta a prescrizione; copertura dei costi per la gestione del peso solo limitata (da verificare).</w:t>
      </w:r>
    </w:p>
    <w:p>
      <w:pPr>
        <w:numPr>
          <w:ilvl w:val="0"/>
          <w:numId w:val="1057"/>
        </w:numPr>
        <w:pStyle w:val="Compact"/>
      </w:pPr>
      <w:r>
        <w:rPr>
          <w:bCs/>
          <w:b/>
        </w:rPr>
        <w:t xml:space="preserve">USA:</w:t>
      </w:r>
      <w:r>
        <w:t xml:space="preserve"> </w:t>
      </w:r>
      <w:r>
        <w:t xml:space="preserve">Ozempic, Rybelsus e Wegovy (iniezione e compressa) autorizzati, con indicazioni estese a cuore, reni e MASH.</w:t>
      </w:r>
    </w:p>
    <w:p>
      <w:pPr>
        <w:numPr>
          <w:ilvl w:val="0"/>
          <w:numId w:val="1057"/>
        </w:numPr>
        <w:pStyle w:val="Compact"/>
      </w:pPr>
      <w:r>
        <w:rPr>
          <w:bCs/>
          <w:b/>
        </w:rPr>
        <w:t xml:space="preserve">Brevetti e generici:</w:t>
      </w:r>
      <w:r>
        <w:t xml:space="preserve"> </w:t>
      </w:r>
      <w:r>
        <w:t xml:space="preserve">in diversi grandi mercati al di fuori di UE e Stati Uniti – tra cui Canada, Cina, India e Brasile – la protezione brevettuale della semaglutide scade nel 2026; lì i primi preparati di imitazione sono annunciati o già sul mercato. Nell’UE e negli Stati Uniti i generici sono attesi solo intorno al 2031/2032 (aggiornato al 2026, da verificare). Maggiori informazioni nella Parte V.</w:t>
      </w:r>
    </w:p>
    <w:p>
      <w:pPr>
        <w:numPr>
          <w:ilvl w:val="0"/>
          <w:numId w:val="1057"/>
        </w:numPr>
        <w:pStyle w:val="Compact"/>
      </w:pPr>
      <w:r>
        <w:rPr>
          <w:bCs/>
          <w:b/>
        </w:rPr>
        <w:t xml:space="preserve">Sport (WADA):</w:t>
      </w:r>
      <w:r>
        <w:t xml:space="preserve"> </w:t>
      </w:r>
      <w:r>
        <w:t xml:space="preserve">non elencata (aggiornato al 2026, da verificare).</w:t>
      </w:r>
    </w:p>
    <w:bookmarkEnd w:id="197"/>
    <w:bookmarkStart w:id="198" w:name="studi-in-corso-e-prospettive-3"/>
    <w:p>
      <w:pPr>
        <w:pStyle w:val="Heading3"/>
      </w:pPr>
      <w:r>
        <w:t xml:space="preserve">Studi in corso e prospettive</w:t>
      </w:r>
    </w:p>
    <w:p>
      <w:pPr>
        <w:pStyle w:val="FirstParagraph"/>
      </w:pPr>
      <w:r>
        <w:rPr>
          <w:bCs/>
          <w:b/>
        </w:rPr>
        <w:t xml:space="preserve">Accertato (studi registrati):</w:t>
      </w:r>
      <w:r>
        <w:t xml:space="preserve"> </w:t>
      </w:r>
      <w:r>
        <w:t xml:space="preserve">delle 793 voci di registro una gran parte riguarda combinazioni e successori. Esempi:</w:t>
      </w:r>
    </w:p>
    <w:p>
      <w:pPr>
        <w:numPr>
          <w:ilvl w:val="0"/>
          <w:numId w:val="1058"/>
        </w:numPr>
        <w:pStyle w:val="Compact"/>
      </w:pPr>
      <w:r>
        <w:rPr>
          <w:bCs/>
          <w:b/>
        </w:rPr>
        <w:t xml:space="preserve">Occhi:</w:t>
      </w:r>
      <w:r>
        <w:t xml:space="preserve"> </w:t>
      </w:r>
      <w:r>
        <w:t xml:space="preserve">uno studio con 1.500 partecipanti esamina in modo mirato l’effetto sulla retinopatia diabetica (NCT03811561).</w:t>
      </w:r>
    </w:p>
    <w:p>
      <w:pPr>
        <w:numPr>
          <w:ilvl w:val="0"/>
          <w:numId w:val="1058"/>
        </w:numPr>
        <w:pStyle w:val="Compact"/>
      </w:pPr>
      <w:r>
        <w:rPr>
          <w:bCs/>
          <w:b/>
        </w:rPr>
        <w:t xml:space="preserve">Fegato:</w:t>
      </w:r>
      <w:r>
        <w:t xml:space="preserve"> </w:t>
      </w:r>
      <w:r>
        <w:t xml:space="preserve">la seconda parte di ESSENCE, con 1.205 partecipanti, dovrà chiarire se la semaglutide prevenga la cirrosi epatica e le complicanze epatiche (NCT04822181).</w:t>
      </w:r>
    </w:p>
    <w:p>
      <w:pPr>
        <w:numPr>
          <w:ilvl w:val="0"/>
          <w:numId w:val="1058"/>
        </w:numPr>
        <w:pStyle w:val="Compact"/>
      </w:pPr>
      <w:r>
        <w:rPr>
          <w:bCs/>
          <w:b/>
        </w:rPr>
        <w:t xml:space="preserve">Bambini:</w:t>
      </w:r>
      <w:r>
        <w:t xml:space="preserve"> </w:t>
      </w:r>
      <w:r>
        <w:t xml:space="preserve">è in corso uno studio con 212 bambini e adolescenti (NCT05726227).</w:t>
      </w:r>
    </w:p>
    <w:p>
      <w:pPr>
        <w:numPr>
          <w:ilvl w:val="0"/>
          <w:numId w:val="1058"/>
        </w:numPr>
        <w:pStyle w:val="Compact"/>
      </w:pPr>
      <w:r>
        <w:rPr>
          <w:bCs/>
          <w:b/>
        </w:rPr>
        <w:t xml:space="preserve">Compressa:</w:t>
      </w:r>
      <w:r>
        <w:t xml:space="preserve"> </w:t>
      </w:r>
      <w:r>
        <w:t xml:space="preserve">sono stati avviati ulteriori studi di fase 3 sulla compressa nell’obesità (NCT07770841).</w:t>
      </w:r>
    </w:p>
    <w:p>
      <w:pPr>
        <w:numPr>
          <w:ilvl w:val="0"/>
          <w:numId w:val="1058"/>
        </w:numPr>
        <w:pStyle w:val="Compact"/>
      </w:pPr>
      <w:r>
        <w:rPr>
          <w:bCs/>
          <w:b/>
        </w:rPr>
        <w:t xml:space="preserve">Combinazione CagriSema:</w:t>
      </w:r>
      <w:r>
        <w:t xml:space="preserve"> </w:t>
      </w:r>
      <w:r>
        <w:t xml:space="preserve">la semaglutide in combinazione fissa con l’analogo dell’amilina cagrilintide viene valutata in uno studio cardiovascolare con 7.101 partecipanti (NCT05669755); dettagli nel capitolo Cagrilintide/CagriSema.</w:t>
      </w:r>
    </w:p>
    <w:p>
      <w:pPr>
        <w:pStyle w:val="FirstParagraph"/>
      </w:pPr>
      <w:r>
        <w:rPr>
          <w:bCs/>
          <w:b/>
        </w:rPr>
        <w:t xml:space="preserve">Valutazione:</w:t>
      </w:r>
      <w:r>
        <w:t xml:space="preserve"> </w:t>
      </w:r>
      <w:r>
        <w:t xml:space="preserve">nei prossimi anni la semaglutide sarà messa sotto pressione da due lati – da successori più efficaci come tirzepatide, CagriSema o retatrutide e dai generici in grandi mercati. Al tempo stesso è il principio attivo con la base di prove più ampia per endpoint solidi (cuore, reni, fegato). La forma in compresse potrebbe ampliare notevolmente l’accesso. Gli studi falliti sull’Alzheimer mostrano che non tutte le speranze derivate da esperimenti su animali e dati osservazionali reggono.</w:t>
      </w:r>
    </w:p>
    <w:bookmarkEnd w:id="198"/>
    <w:bookmarkStart w:id="199" w:name="conclusione-3"/>
    <w:p>
      <w:pPr>
        <w:pStyle w:val="Heading3"/>
      </w:pPr>
      <w:r>
        <w:t xml:space="preserve">Conclusione</w:t>
      </w:r>
    </w:p>
    <w:p>
      <w:pPr>
        <w:pStyle w:val="FirstParagraph"/>
      </w:pPr>
      <w:r>
        <w:t xml:space="preserve">La semaglutide è l’agonista del recettore del GLP-1 studiato in modo più completo e nei confronti diretti ha superato exenatide, liraglutide e dulaglutide. Alla dose di 2,4 mg alla settimana le persone con obesità in STEP 1 hanno perso in media il 14,9% del proprio peso; dopo la sospensione gran parte del peso ritorna. Grandi studi di esito hanno mostrato una riduzione degli eventi cardiovascolari gravi – anche senza diabete (SELECT, 20%) – nonché una protezione dei reni (FLOW) e miglioramenti nella steatoepatite. Gli effetti collaterali frequenti riguardano il tratto gastrointestinale e la colecisti; segnali rari come la NAION continuano a essere osservati, mentre gli studi sull’Alzheimer non hanno mostrato alcun beneficio. I prodotti del mercato grigio comportano rischi considerevoli – il trattamento va affidato al medico e alla farmacia.</w:t>
      </w:r>
    </w:p>
    <w:bookmarkEnd w:id="199"/>
    <w:bookmarkEnd w:id="200"/>
    <w:bookmarkStart w:id="218" w:name="tirzepatide"/>
    <w:p>
      <w:pPr>
        <w:pStyle w:val="Heading2"/>
      </w:pPr>
      <w:r>
        <w:t xml:space="preserve">Tirzepatide</w:t>
      </w:r>
    </w:p>
    <w:bookmarkStart w:id="201" w:name="scheda-4"/>
    <w:p>
      <w:pPr>
        <w:pStyle w:val="Heading3"/>
      </w:pPr>
      <w:r>
        <w:t xml:space="preserve">Scheda</w:t>
      </w:r>
    </w:p>
    <w:p>
      <w:pPr>
        <w:numPr>
          <w:ilvl w:val="0"/>
          <w:numId w:val="1059"/>
        </w:numPr>
        <w:pStyle w:val="Compact"/>
      </w:pPr>
      <w:r>
        <w:rPr>
          <w:bCs/>
          <w:b/>
        </w:rPr>
        <w:t xml:space="preserve">Tipo/struttura:</w:t>
      </w:r>
      <w:r>
        <w:t xml:space="preserve"> </w:t>
      </w:r>
      <w:r>
        <w:t xml:space="preserve">peptide di sintesi la cui struttura di base riprende l’ormone intestinale endogeno GIP; una catena di acido grasso legata lo fissa nel sangue all’albumina e ne prolunga la durata d’azione al punto che basta un’iniezione alla settimana.</w:t>
      </w:r>
    </w:p>
    <w:p>
      <w:pPr>
        <w:numPr>
          <w:ilvl w:val="0"/>
          <w:numId w:val="1059"/>
        </w:numPr>
        <w:pStyle w:val="Compact"/>
      </w:pPr>
      <w:r>
        <w:rPr>
          <w:bCs/>
          <w:b/>
        </w:rPr>
        <w:t xml:space="preserve">Origine:</w:t>
      </w:r>
      <w:r>
        <w:t xml:space="preserve"> </w:t>
      </w:r>
      <w:r>
        <w:t xml:space="preserve">sviluppata da Eli Lilly, negli studi iniziali indicata con il codice LY3298176.</w:t>
      </w:r>
    </w:p>
    <w:p>
      <w:pPr>
        <w:numPr>
          <w:ilvl w:val="0"/>
          <w:numId w:val="1059"/>
        </w:numPr>
        <w:pStyle w:val="Compact"/>
      </w:pPr>
      <w:r>
        <w:rPr>
          <w:bCs/>
          <w:b/>
        </w:rPr>
        <w:t xml:space="preserve">Meccanismo d’azione:</w:t>
      </w:r>
      <w:r>
        <w:t xml:space="preserve"> </w:t>
      </w:r>
      <w:r>
        <w:t xml:space="preserve">doppio agonista (attivatore) di due recettori: il recettore del GIP e il recettore del GLP-1. Per questo è chiamata anche „twincretin“ o „agonista incretinico duale“.</w:t>
      </w:r>
    </w:p>
    <w:p>
      <w:pPr>
        <w:numPr>
          <w:ilvl w:val="0"/>
          <w:numId w:val="1059"/>
        </w:numPr>
        <w:pStyle w:val="Compact"/>
      </w:pPr>
      <w:r>
        <w:rPr>
          <w:bCs/>
          <w:b/>
        </w:rPr>
        <w:t xml:space="preserve">Autorizzazione UE:</w:t>
      </w:r>
      <w:r>
        <w:t xml:space="preserve"> </w:t>
      </w:r>
      <w:r>
        <w:t xml:space="preserve">sì (Mounjaro) per il diabete di tipo 2 e per la gestione del peso nell’obesità e nel sovrappeso con comorbidità.</w:t>
      </w:r>
    </w:p>
    <w:p>
      <w:pPr>
        <w:numPr>
          <w:ilvl w:val="0"/>
          <w:numId w:val="1059"/>
        </w:numPr>
        <w:pStyle w:val="Compact"/>
      </w:pPr>
      <w:r>
        <w:rPr>
          <w:bCs/>
          <w:b/>
        </w:rPr>
        <w:t xml:space="preserve">Autorizzazione USA:</w:t>
      </w:r>
      <w:r>
        <w:t xml:space="preserve"> </w:t>
      </w:r>
      <w:r>
        <w:t xml:space="preserve">sì (Mounjaro per il diabete di tipo 2; Zepbound per l’obesità e per l’apnea ostruttiva del sonno da moderata a grave nell’obesità).</w:t>
      </w:r>
    </w:p>
    <w:p>
      <w:pPr>
        <w:numPr>
          <w:ilvl w:val="0"/>
          <w:numId w:val="1059"/>
        </w:numPr>
        <w:pStyle w:val="Compact"/>
      </w:pPr>
      <w:r>
        <w:rPr>
          <w:bCs/>
          <w:b/>
        </w:rPr>
        <w:t xml:space="preserve">WADA:</w:t>
      </w:r>
      <w:r>
        <w:t xml:space="preserve"> </w:t>
      </w:r>
      <w:r>
        <w:t xml:space="preserve">non figura nella Lista delle sostanze proibite (aggiornato al 2026, da verificare).</w:t>
      </w:r>
    </w:p>
    <w:p>
      <w:pPr>
        <w:numPr>
          <w:ilvl w:val="0"/>
          <w:numId w:val="1059"/>
        </w:numPr>
        <w:pStyle w:val="Compact"/>
      </w:pPr>
      <w:r>
        <w:rPr>
          <w:bCs/>
          <w:b/>
        </w:rPr>
        <w:t xml:space="preserve">Livello di evidenza:</w:t>
      </w:r>
      <w:r>
        <w:t xml:space="preserve"> </w:t>
      </w:r>
      <w:r>
        <w:rPr>
          <w:bCs/>
          <w:b/>
        </w:rPr>
        <w:t xml:space="preserve">A</w:t>
      </w:r>
      <w:r>
        <w:t xml:space="preserve"> </w:t>
      </w:r>
      <w:r>
        <w:t xml:space="preserve">– numerosi grandi studi randomizzati, studi di esito su cuore e scompenso cardiaco, autorizzazione in molti Paesi.</w:t>
      </w:r>
    </w:p>
    <w:bookmarkEnd w:id="201"/>
    <w:bookmarkStart w:id="202" w:name="come-dovrebbe-agire-4"/>
    <w:p>
      <w:pPr>
        <w:pStyle w:val="Heading3"/>
      </w:pPr>
      <w:r>
        <w:t xml:space="preserve">Come dovrebbe agire</w:t>
      </w:r>
    </w:p>
    <w:p>
      <w:pPr>
        <w:pStyle w:val="FirstParagraph"/>
      </w:pPr>
      <w:r>
        <w:t xml:space="preserve">Dopo un pasto l’intestino rilascia due ormoni chiamati incretine: GLP-1 (glucagon-like peptide-1) e GIP (polipeptide insulinotropico glucosio-dipendente). Entrambi segnalano al pancreas „sta arrivando cibo“ e potenziano la secrezione di insulina – ma solo finché la glicemia è elevata. È il motivo per cui i farmaci incretinici da soli provocano raramente ipoglicemie. Il GLP-1 inoltre frena lo svuotamento gastrico e agisce nel cervello sui centri della sazietà. Quale ruolo abbia il GIP sull’appetito è meno chiaro ed è stato a lungo controverso; in alcuni lavori meno recenti il GIP era considerato addirittura un „ormone che fa ingrassare“.</w:t>
      </w:r>
    </w:p>
    <w:p>
      <w:pPr>
        <w:pStyle w:val="BodyText"/>
      </w:pPr>
      <w:r>
        <w:t xml:space="preserve">La tirzepatide combina entrambi i segnali in un’unica molecola. Le analisi di laboratorio su linee cellulari hanno mostrato due particolarità (Willard 2020, PMID 32730231): in primo luogo la tirzepatide è „sbilanciata“ – alle concentrazioni raggiunte con le dosi terapeutiche occupa il recettore del GIP più di quello del GLP-1. In secondo luogo, sul recettore del GLP-1 attiva preferenzialmente una determinata via di segnalazione (cAMP) e provoca meno internalizzazione del recettore, processo in cui il recettore viene trascinato all’interno della cellula e quindi temporaneamente disattivato. Se questa segnalazione „distorta“ abbia un ruolo nell’uomo è un’ipotesi basata su dati di laboratorio.</w:t>
      </w:r>
    </w:p>
    <w:p>
      <w:pPr>
        <w:pStyle w:val="BodyText"/>
      </w:pPr>
      <w:r>
        <w:t xml:space="preserve">Nei topi in sovrappeso la tirzepatide ha migliorato la sensibilità all’insulina più di un agonista puro del GLP-1, e in parte indipendentemente dalla perdita di peso – tramite il recettore del GIP e un migliore assorbimento del glucosio nel tessuto adiposo (Samms 2021, PMID 34003802). Nell’uomo con la tirzepatide si riduce soprattutto l’apporto di cibo; in uno studio con 117 persone con diabete di tipo 2, con tirzepatide sono diminuiti appetito, apporto energetico e massa grassa rispetto al placebo. Per l’appetito, tuttavia, non si è differenziata in modo misurabile dalla semaglutide, benché la perdita di peso fosse maggiore – le autrici e gli autori ritengono quindi possibili ulteriori meccanismi (Heise 2023, PMID 36857477).</w:t>
      </w:r>
    </w:p>
    <w:p>
      <w:pPr>
        <w:pStyle w:val="BodyText"/>
      </w:pPr>
      <w:r>
        <w:t xml:space="preserve">In parole semplici: la tirzepatide agisce come un farmaco GLP-1 con un „amplificatore“ GIP aggiuntivo. Gli studi mostrano che questo pacchetto produce su peso e glicemia più degli agonisti puri del GLP-1 finora disponibili – perché esattamente non è ancora del tutto compreso.</w:t>
      </w:r>
    </w:p>
    <w:bookmarkEnd w:id="202"/>
    <w:bookmarkStart w:id="212" w:name="studi-sulluomo-4"/>
    <w:p>
      <w:pPr>
        <w:pStyle w:val="Heading3"/>
      </w:pPr>
      <w:r>
        <w:t xml:space="preserve">Studi sull’uomo</w:t>
      </w:r>
    </w:p>
    <w:p>
      <w:pPr>
        <w:pStyle w:val="FirstParagraph"/>
      </w:pPr>
      <w:r>
        <w:rPr>
          <w:bCs/>
          <w:b/>
        </w:rPr>
        <w:t xml:space="preserve">Ordine di grandezza dei dati:</w:t>
      </w:r>
      <w:r>
        <w:t xml:space="preserve"> </w:t>
      </w:r>
      <w:r>
        <w:t xml:space="preserve">la ricerca automatizzata su PubMed (ottobre 2026) ha restituito 144 pubblicazioni classificate come studi sull’uomo con „tirzepatide“ nel titolo o nell’abstract, oltre a moltissime revisioni e meta-analisi. Su ClinicalTrials.gov erano registrati 307 studi, di cui oltre 100 ancora in fase di reclutamento (una voce di esempio palesemente fittizia di uno sponsor sconosciuto non è stata conteggiata). La tirzepatide è quindi uno dei principi attivi meglio studiati di questo libro. Il peso principale è sostenuto da due programmi registrativi:</w:t>
      </w:r>
      <w:r>
        <w:t xml:space="preserve"> </w:t>
      </w:r>
      <w:r>
        <w:rPr>
          <w:bCs/>
          <w:b/>
        </w:rPr>
        <w:t xml:space="preserve">SURPASS</w:t>
      </w:r>
      <w:r>
        <w:t xml:space="preserve"> </w:t>
      </w:r>
      <w:r>
        <w:t xml:space="preserve">(diabete di tipo 2) e</w:t>
      </w:r>
      <w:r>
        <w:t xml:space="preserve"> </w:t>
      </w:r>
      <w:r>
        <w:rPr>
          <w:bCs/>
          <w:b/>
        </w:rPr>
        <w:t xml:space="preserve">SURMOUNT</w:t>
      </w:r>
      <w:r>
        <w:t xml:space="preserve"> </w:t>
      </w:r>
      <w:r>
        <w:t xml:space="preserve">(obesità), integrati da studi su scompenso cardiaco, apnea notturna e steatosi epatica.</w:t>
      </w:r>
    </w:p>
    <w:bookmarkStart w:id="203" w:name="dal-laboratorio-alla-clinica-fase-1-e-2"/>
    <w:p>
      <w:pPr>
        <w:pStyle w:val="Heading4"/>
      </w:pPr>
      <w:r>
        <w:t xml:space="preserve">Dal laboratorio alla clinica: fase 1 e 2</w:t>
      </w:r>
    </w:p>
    <w:p>
      <w:pPr>
        <w:pStyle w:val="FirstParagraph"/>
      </w:pPr>
      <w:r>
        <w:t xml:space="preserve">I primi dati sull’uomo provengono da uno studio combinato di fase 1 con 142 persone che hanno ricevuto tirzepatide, dulaglutide o placebo. Nelle persone con diabete di tipo 2 le dosi più alte hanno ridotto nettamente dopo quattro settimane la glicemia a digiuno; gli effetti collaterali più frequenti riguardavano il tratto gastrointestinale (Coskun 2018, PMID 30473097).</w:t>
      </w:r>
    </w:p>
    <w:p>
      <w:pPr>
        <w:pStyle w:val="BodyText"/>
      </w:pPr>
      <w:r>
        <w:t xml:space="preserve">Nello studio di fase 2, 318 persone con diabete di tipo 2 hanno ricevuto per 26 settimane una di quattro dosi di tirzepatide, dulaglutide o placebo. L’emoglobina glicata HbA1c si è ridotta in modo dose-dipendente fino a 1,94 punti percentuali (dulaglutide: −1,21; placebo: −0,06). Il peso corporeo è variato con tirzepatide da −0,9 a −11,3 kg, con dulaglutide di −2,7 kg (Frias 2018, PMID 30293770). Quest’ordine di grandezza della perdita di peso – in uno studio sul diabete – è stato il motivo del grande programma sull’obesità.</w:t>
      </w:r>
    </w:p>
    <w:bookmarkEnd w:id="203"/>
    <w:bookmarkStart w:id="204" w:name="surpass-diabete-di-tipo-2"/>
    <w:p>
      <w:pPr>
        <w:pStyle w:val="Heading4"/>
      </w:pPr>
      <w:r>
        <w:t xml:space="preserve">SURPASS: diabete di tipo 2</w:t>
      </w:r>
    </w:p>
    <w:p>
      <w:pPr>
        <w:pStyle w:val="FirstParagraph"/>
      </w:pPr>
      <w:r>
        <w:t xml:space="preserve">Il programma SURPASS ha valutato la tirzepatide a tre dosi (5, 10 e 15 mg alla settimana) contro placebo, contro semaglutide e contro insuline. Il valore di HbA1c rispecchia la glicemia media degli ultimi due-tre mesi; un valore inferiore al 7% è considerato per molte persone con diabete l’obiettivo terapeutico.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SURPASS-1 (Rosenstock 2021), PMID 34186022</w:t>
            </w:r>
          </w:p>
        </w:tc>
        <w:tc>
          <w:tcPr/>
          <w:p>
            <w:pPr>
              <w:pStyle w:val="Compact"/>
              <w:jc w:val="left"/>
            </w:pPr>
            <w:r>
              <w:t xml:space="preserve">478 adulti, solo dieta/attività fisica, contro placebo</w:t>
            </w:r>
          </w:p>
        </w:tc>
        <w:tc>
          <w:tcPr/>
          <w:p>
            <w:pPr>
              <w:pStyle w:val="Compact"/>
              <w:jc w:val="left"/>
            </w:pPr>
            <w:r>
              <w:t xml:space="preserve">40 settimane</w:t>
            </w:r>
          </w:p>
        </w:tc>
        <w:tc>
          <w:tcPr/>
          <w:p>
            <w:pPr>
              <w:pStyle w:val="Compact"/>
              <w:jc w:val="left"/>
            </w:pPr>
            <w:r>
              <w:t xml:space="preserve">HbA1c da −1,87 a −2,07 punti vs. +0,04; peso da −7,0 a −9,5 kg</w:t>
            </w:r>
          </w:p>
        </w:tc>
      </w:tr>
      <w:tr>
        <w:tc>
          <w:tcPr/>
          <w:p>
            <w:pPr>
              <w:pStyle w:val="Compact"/>
              <w:jc w:val="left"/>
            </w:pPr>
            <w:r>
              <w:t xml:space="preserve">SURPASS-2 (Frías 2021), PMID 34170647</w:t>
            </w:r>
          </w:p>
        </w:tc>
        <w:tc>
          <w:tcPr/>
          <w:p>
            <w:pPr>
              <w:pStyle w:val="Compact"/>
              <w:jc w:val="left"/>
            </w:pPr>
            <w:r>
              <w:t xml:space="preserve">1.879 adulti con metformina, in aperto contro semaglutide 1 mg</w:t>
            </w:r>
          </w:p>
        </w:tc>
        <w:tc>
          <w:tcPr/>
          <w:p>
            <w:pPr>
              <w:pStyle w:val="Compact"/>
              <w:jc w:val="left"/>
            </w:pPr>
            <w:r>
              <w:t xml:space="preserve">40 settimane</w:t>
            </w:r>
          </w:p>
        </w:tc>
        <w:tc>
          <w:tcPr/>
          <w:p>
            <w:pPr>
              <w:pStyle w:val="Compact"/>
              <w:jc w:val="left"/>
            </w:pPr>
            <w:r>
              <w:t xml:space="preserve">HbA1c da −2,01 a −2,30 vs. −1,86; peso ulteriore da −1,9 a −5,5 kg</w:t>
            </w:r>
          </w:p>
        </w:tc>
      </w:tr>
      <w:tr>
        <w:tc>
          <w:tcPr/>
          <w:p>
            <w:pPr>
              <w:pStyle w:val="Compact"/>
              <w:jc w:val="left"/>
            </w:pPr>
            <w:r>
              <w:t xml:space="preserve">SURPASS-3 (Ludvik 2021), PMID 34370970</w:t>
            </w:r>
          </w:p>
        </w:tc>
        <w:tc>
          <w:tcPr/>
          <w:p>
            <w:pPr>
              <w:pStyle w:val="Compact"/>
              <w:jc w:val="left"/>
            </w:pPr>
            <w:r>
              <w:t xml:space="preserve">1.444 adulti, in aperto contro insulina degludec</w:t>
            </w:r>
          </w:p>
        </w:tc>
        <w:tc>
          <w:tcPr/>
          <w:p>
            <w:pPr>
              <w:pStyle w:val="Compact"/>
              <w:jc w:val="left"/>
            </w:pPr>
            <w:r>
              <w:t xml:space="preserve">52 settimane</w:t>
            </w:r>
          </w:p>
        </w:tc>
        <w:tc>
          <w:tcPr/>
          <w:p>
            <w:pPr>
              <w:pStyle w:val="Compact"/>
              <w:jc w:val="left"/>
            </w:pPr>
            <w:r>
              <w:t xml:space="preserve">HbA1c da −1,93 a −2,37 vs. −1,34; peso da −7,5 a −12,9 kg vs. +2,3 kg</w:t>
            </w:r>
          </w:p>
        </w:tc>
      </w:tr>
      <w:tr>
        <w:tc>
          <w:tcPr/>
          <w:p>
            <w:pPr>
              <w:pStyle w:val="Compact"/>
              <w:jc w:val="left"/>
            </w:pPr>
            <w:r>
              <w:t xml:space="preserve">SURPASS-4 (Del Prato 2021), PMID 34672967</w:t>
            </w:r>
          </w:p>
        </w:tc>
        <w:tc>
          <w:tcPr/>
          <w:p>
            <w:pPr>
              <w:pStyle w:val="Compact"/>
              <w:jc w:val="left"/>
            </w:pPr>
            <w:r>
              <w:t xml:space="preserve">2.002 adulti ad alto rischio cardiovascolare, in aperto contro insulina glargine</w:t>
            </w:r>
          </w:p>
        </w:tc>
        <w:tc>
          <w:tcPr/>
          <w:p>
            <w:pPr>
              <w:pStyle w:val="Compact"/>
              <w:jc w:val="left"/>
            </w:pPr>
            <w:r>
              <w:t xml:space="preserve">da 52 a 104 settimane</w:t>
            </w:r>
          </w:p>
        </w:tc>
        <w:tc>
          <w:tcPr/>
          <w:p>
            <w:pPr>
              <w:pStyle w:val="Compact"/>
              <w:jc w:val="left"/>
            </w:pPr>
            <w:r>
              <w:t xml:space="preserve">HbA1c −2,43/−2,58 vs. −1,44; MACE-4 non aumentati (HR 0,74)</w:t>
            </w:r>
          </w:p>
        </w:tc>
      </w:tr>
      <w:tr>
        <w:tc>
          <w:tcPr/>
          <w:p>
            <w:pPr>
              <w:pStyle w:val="Compact"/>
              <w:jc w:val="left"/>
            </w:pPr>
            <w:r>
              <w:t xml:space="preserve">SURPASS-5 (Dahl 2022), PMID 35133415</w:t>
            </w:r>
          </w:p>
        </w:tc>
        <w:tc>
          <w:tcPr/>
          <w:p>
            <w:pPr>
              <w:pStyle w:val="Compact"/>
              <w:jc w:val="left"/>
            </w:pPr>
            <w:r>
              <w:t xml:space="preserve">475 adulti con insulina glargine, contro placebo</w:t>
            </w:r>
          </w:p>
        </w:tc>
        <w:tc>
          <w:tcPr/>
          <w:p>
            <w:pPr>
              <w:pStyle w:val="Compact"/>
              <w:jc w:val="left"/>
            </w:pPr>
            <w:r>
              <w:t xml:space="preserve">40 settimane</w:t>
            </w:r>
          </w:p>
        </w:tc>
        <w:tc>
          <w:tcPr/>
          <w:p>
            <w:pPr>
              <w:pStyle w:val="Compact"/>
              <w:jc w:val="left"/>
            </w:pPr>
            <w:r>
              <w:t xml:space="preserve">HbA1c da −2,11 a −2,40 vs. −0,86; peso da −5,4 a −8,8 kg vs. +1,6 kg</w:t>
            </w:r>
          </w:p>
        </w:tc>
      </w:tr>
      <w:tr>
        <w:tc>
          <w:tcPr/>
          <w:p>
            <w:pPr>
              <w:pStyle w:val="Compact"/>
              <w:jc w:val="left"/>
            </w:pPr>
            <w:r>
              <w:t xml:space="preserve">SURPASS-PEDS (Hannon 2025), PMID 40975112</w:t>
            </w:r>
          </w:p>
        </w:tc>
        <w:tc>
          <w:tcPr/>
          <w:p>
            <w:pPr>
              <w:pStyle w:val="Compact"/>
              <w:jc w:val="left"/>
            </w:pPr>
            <w:r>
              <w:t xml:space="preserve">99 adolescenti (10–17 anni) con diabete di tipo 2, contro placebo</w:t>
            </w:r>
          </w:p>
        </w:tc>
        <w:tc>
          <w:tcPr/>
          <w:p>
            <w:pPr>
              <w:pStyle w:val="Compact"/>
              <w:jc w:val="left"/>
            </w:pPr>
            <w:r>
              <w:t xml:space="preserve">30 settimane (+22 in aperto)</w:t>
            </w:r>
          </w:p>
        </w:tc>
        <w:tc>
          <w:tcPr/>
          <w:p>
            <w:pPr>
              <w:pStyle w:val="Compact"/>
              <w:jc w:val="left"/>
            </w:pPr>
            <w:r>
              <w:t xml:space="preserve">HbA1c −2,23 vs. +0,05; BMI da −7,4 a −11,2%</w:t>
            </w:r>
          </w:p>
        </w:tc>
      </w:tr>
    </w:tbl>
    <w:p>
      <w:pPr>
        <w:pStyle w:val="BodyText"/>
      </w:pPr>
      <w:r>
        <w:t xml:space="preserve">Alcuni punti meritano di essere evidenziati:</w:t>
      </w:r>
    </w:p>
    <w:p>
      <w:pPr>
        <w:numPr>
          <w:ilvl w:val="0"/>
          <w:numId w:val="1060"/>
        </w:numPr>
        <w:pStyle w:val="Compact"/>
      </w:pPr>
      <w:r>
        <w:rPr>
          <w:bCs/>
          <w:b/>
        </w:rPr>
        <w:t xml:space="preserve">Nel confronto diretto con la semaglutide</w:t>
      </w:r>
      <w:r>
        <w:t xml:space="preserve"> </w:t>
      </w:r>
      <w:r>
        <w:t xml:space="preserve">(SURPASS-2) la tirzepatide è risultata a tutte e tre le dosi non inferiore e superiore per l’HbA1c. Lo studio, tuttavia, usava la semaglutide alla dose di 1 mg; la dose per il diabete più alta, autorizzata in seguito, non era il comparatore. La frequenza di nausea (17–22% vs. 18%) e vomito (6–10% vs. 8%) era simile; eventi avversi gravi si sono verificati con tirzepatide nel 5–7% contro il 3% con semaglutide (Frías 2021, PMID 34170647).</w:t>
      </w:r>
    </w:p>
    <w:p>
      <w:pPr>
        <w:numPr>
          <w:ilvl w:val="0"/>
          <w:numId w:val="1060"/>
        </w:numPr>
        <w:pStyle w:val="Compact"/>
      </w:pPr>
      <w:r>
        <w:rPr>
          <w:bCs/>
          <w:b/>
        </w:rPr>
        <w:t xml:space="preserve">Rispetto all’insulina</w:t>
      </w:r>
      <w:r>
        <w:t xml:space="preserve"> </w:t>
      </w:r>
      <w:r>
        <w:t xml:space="preserve">la tirzepatide ha portato a una maggiore riduzione della glicemia e al tempo stesso a una perdita di peso invece che a un aumento. Le ipoglicemie (sotto 54 mg/dl o gravi) sono state in SURPASS-3 nettamente più rare: 1–2% contro il 7% con insulina degludec (Ludvik 2021, PMID 34370970).</w:t>
      </w:r>
    </w:p>
    <w:p>
      <w:pPr>
        <w:numPr>
          <w:ilvl w:val="0"/>
          <w:numId w:val="1060"/>
        </w:numPr>
        <w:pStyle w:val="Compact"/>
      </w:pPr>
      <w:r>
        <w:rPr>
          <w:bCs/>
          <w:b/>
        </w:rPr>
        <w:t xml:space="preserve">Bambini e adolescenti:</w:t>
      </w:r>
      <w:r>
        <w:t xml:space="preserve"> </w:t>
      </w:r>
      <w:r>
        <w:t xml:space="preserve">SURPASS-PEDS è uno dei pochi studi con incretine nel diabete di tipo 2 giovanile. L’effetto si è mantenuto nell’estensione in aperto fino alla settimana 52; il profilo degli effetti collaterali corrispondeva a quello degli adulti (Hannon 2025, PMID 40975112).</w:t>
      </w:r>
    </w:p>
    <w:p>
      <w:pPr>
        <w:numPr>
          <w:ilvl w:val="0"/>
          <w:numId w:val="1060"/>
        </w:numPr>
        <w:pStyle w:val="Compact"/>
      </w:pPr>
      <w:r>
        <w:rPr>
          <w:bCs/>
          <w:b/>
        </w:rPr>
        <w:t xml:space="preserve">Diabete di tipo 1:</w:t>
      </w:r>
      <w:r>
        <w:t xml:space="preserve"> </w:t>
      </w:r>
      <w:r>
        <w:t xml:space="preserve">un piccolo studio di fase 2 con 24 adulti con diabete di tipo 1 e obesità ha mostrato dopo dodici settimane una perdita di peso di 10,3 kg contro 0,7 kg con placebo e un fabbisogno di insulina inferiore del 35% (Snaith 2026, PMID 41264593). La tirzepatide non è autorizzata per il diabete di tipo 1; sono in corso studi più grandi (vedi prospettive).</w:t>
      </w:r>
    </w:p>
    <w:p>
      <w:pPr>
        <w:pStyle w:val="FirstParagraph"/>
      </w:pPr>
      <w:r>
        <w:t xml:space="preserve">Una meta-analisi pianificata in anticipo di tutti e sette gli studi SURPASS della durata di almeno 26 settimane (4.887 persone con tirzepatide, 2.328 nei gruppi di controllo) non ha trovato un rischio aumentato di eventi cardiovascolari gravi (MACE-4, hazard ratio 0,80; intervallo di confidenza al 95% 0,57–1,11) (Sattar 2022, PMID 35210595). È un’affermazione di sicurezza, non di beneficio – per quella era necessario lo studio di esito SURPASS-CVOT.</w:t>
      </w:r>
    </w:p>
    <w:bookmarkEnd w:id="204"/>
    <w:bookmarkStart w:id="205" w:name="surpass-cvot-endpoint-cardiovascolari"/>
    <w:p>
      <w:pPr>
        <w:pStyle w:val="Heading4"/>
      </w:pPr>
      <w:r>
        <w:t xml:space="preserve">SURPASS-CVOT: endpoint cardiovascolari</w:t>
      </w:r>
    </w:p>
    <w:p>
      <w:pPr>
        <w:pStyle w:val="FirstParagraph"/>
      </w:pPr>
      <w:r>
        <w:t xml:space="preserve">Per i farmaci antidiabetici le autorità chiedono la prova che non mettano in pericolo il cuore. SURPASS-CVOT è andato un passo oltre: invece che contro placebo, la tirzepatide si è confrontata con la dulaglutide, un farmaco GLP-1 che nello studio REWIND aveva a sua volta ridotto gli eventi cardiovascolari. Sono state randomizzate 13.299 persone con diabete di tipo 2 e malattia aterosclerotica in atto; ne sono state analizzate 13.165 (Nicholls 2025, PMID 41406444).</w:t>
      </w:r>
    </w:p>
    <w:p>
      <w:pPr>
        <w:pStyle w:val="BodyText"/>
      </w:pPr>
      <w:r>
        <w:t xml:space="preserve">L’endpoint principale – morte cardiovascolare, infarto o ictus – si è verificato in 801 persone (12,2%) con tirzepatide e in 862 (13,1%) con dulaglutide (hazard ratio 0,92; IC al 95,3% 0,83–1,01). La tirzepatide è risultata quindi</w:t>
      </w:r>
      <w:r>
        <w:t xml:space="preserve"> </w:t>
      </w:r>
      <w:r>
        <w:rPr>
          <w:bCs/>
          <w:b/>
        </w:rPr>
        <w:t xml:space="preserve">non inferiore</w:t>
      </w:r>
      <w:r>
        <w:t xml:space="preserve">; la superiorità formale è stata mancata di poco (p = 0,09). Gli effetti collaterali gastrointestinali sono stati più frequenti con tirzepatide.</w:t>
      </w:r>
    </w:p>
    <w:p>
      <w:pPr>
        <w:pStyle w:val="BodyText"/>
      </w:pPr>
      <w:r>
        <w:t xml:space="preserve">Un’analisi a posteriori (post hoc) con un endpoint più ampio composto da sei componenti – morte per qualsiasi causa, infarto, ictus, rivascolarizzazione, ricovero per scompenso cardiaco ed eventi renali – ha rilevato dopo una durata mediana di trattamento di quasi quattro anni eventi nel 23,7% contro il 27,4% (hazard ratio 0,84; IC al 95% 0,79–0,90) (Nissen 2026, PMID 41903177). Le analisi post hoc generano ipotesi; non possono sostituire un’analisi principale stabilita in anticipo.</w:t>
      </w:r>
    </w:p>
    <w:p>
      <w:pPr>
        <w:pStyle w:val="BodyText"/>
      </w:pPr>
      <w:r>
        <w:t xml:space="preserve">Quanto sia grande il beneficio rispetto a</w:t>
      </w:r>
      <w:r>
        <w:t xml:space="preserve"> </w:t>
      </w:r>
      <w:r>
        <w:rPr>
          <w:iCs/>
          <w:i/>
        </w:rPr>
        <w:t xml:space="preserve">nessun</w:t>
      </w:r>
      <w:r>
        <w:t xml:space="preserve"> </w:t>
      </w:r>
      <w:r>
        <w:t xml:space="preserve">trattamento non si può ricavare direttamente da un confronto con un farmaco efficace. Un’analisi pianificata in anticipo, ma indiretta, ha calcolato un „braccio placebo“ dai dati dello studio REWIND e ha ottenuto per la tirzepatide, rispetto a questo placebo calcolato, un hazard ratio di 0,72 (IC al 95% 0,55–0,94) per morte cardiovascolare, infarto o ictus (Sattar 2026, PMID 41940793). Tali calcoli modellistici si basano su ipotesi e non sostituiscono un vero confronto con placebo.</w:t>
      </w:r>
    </w:p>
    <w:bookmarkEnd w:id="205"/>
    <w:bookmarkStart w:id="206" w:name="surmount-obesità"/>
    <w:p>
      <w:pPr>
        <w:pStyle w:val="Heading4"/>
      </w:pPr>
      <w:r>
        <w:t xml:space="preserve">SURMOUNT: obesità</w:t>
      </w:r>
    </w:p>
    <w:p>
      <w:pPr>
        <w:pStyle w:val="FirstParagraph"/>
      </w:pPr>
      <w:r>
        <w:t xml:space="preserve">Nel programma sull’obesità la tirzepatide è stata studiata in persone con un indice di massa corporea (BMI) a partire da 30 o a partire da 27 con comorbidità, sempre in aggiunta a una consulenza su alimentazione e attività fisica.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SURMOUNT-1 (Jastreboff 2022), PMID 35658024</w:t>
            </w:r>
          </w:p>
        </w:tc>
        <w:tc>
          <w:tcPr/>
          <w:p>
            <w:pPr>
              <w:pStyle w:val="Compact"/>
              <w:jc w:val="left"/>
            </w:pPr>
            <w:r>
              <w:t xml:space="preserve">2.539 adulti senza diabete, contro placebo</w:t>
            </w:r>
          </w:p>
        </w:tc>
        <w:tc>
          <w:tcPr/>
          <w:p>
            <w:pPr>
              <w:pStyle w:val="Compact"/>
              <w:jc w:val="left"/>
            </w:pPr>
            <w:r>
              <w:t xml:space="preserve">72 settimane</w:t>
            </w:r>
          </w:p>
        </w:tc>
        <w:tc>
          <w:tcPr/>
          <w:p>
            <w:pPr>
              <w:pStyle w:val="Compact"/>
              <w:jc w:val="left"/>
            </w:pPr>
            <w:r>
              <w:t xml:space="preserve">−15,0 / −19,5 / −20,9% di peso (5/10/15 mg) vs. −3,1%</w:t>
            </w:r>
          </w:p>
        </w:tc>
      </w:tr>
      <w:tr>
        <w:tc>
          <w:tcPr/>
          <w:p>
            <w:pPr>
              <w:pStyle w:val="Compact"/>
              <w:jc w:val="left"/>
            </w:pPr>
            <w:r>
              <w:t xml:space="preserve">SURMOUNT-2 (Garvey 2023), PMID 37385275</w:t>
            </w:r>
          </w:p>
        </w:tc>
        <w:tc>
          <w:tcPr/>
          <w:p>
            <w:pPr>
              <w:pStyle w:val="Compact"/>
              <w:jc w:val="left"/>
            </w:pPr>
            <w:r>
              <w:t xml:space="preserve">938 adulti con diabete di tipo 2, contro placebo</w:t>
            </w:r>
          </w:p>
        </w:tc>
        <w:tc>
          <w:tcPr/>
          <w:p>
            <w:pPr>
              <w:pStyle w:val="Compact"/>
              <w:jc w:val="left"/>
            </w:pPr>
            <w:r>
              <w:t xml:space="preserve">72 settimane</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adulti dopo un intervento sullo stile di vita di 12 settimane riuscito</w:t>
            </w:r>
          </w:p>
        </w:tc>
        <w:tc>
          <w:tcPr/>
          <w:p>
            <w:pPr>
              <w:pStyle w:val="Compact"/>
              <w:jc w:val="left"/>
            </w:pPr>
            <w:r>
              <w:t xml:space="preserve">72 settimane</w:t>
            </w:r>
          </w:p>
        </w:tc>
        <w:tc>
          <w:tcPr/>
          <w:p>
            <w:pPr>
              <w:pStyle w:val="Compact"/>
              <w:jc w:val="left"/>
            </w:pPr>
            <w:r>
              <w:t xml:space="preserve">ulteriore −18,4% vs. +2,5%</w:t>
            </w:r>
          </w:p>
        </w:tc>
      </w:tr>
      <w:tr>
        <w:tc>
          <w:tcPr/>
          <w:p>
            <w:pPr>
              <w:pStyle w:val="Compact"/>
              <w:jc w:val="left"/>
            </w:pPr>
            <w:r>
              <w:t xml:space="preserve">SURMOUNT-4 (Aronne 2024), PMID 38078870</w:t>
            </w:r>
          </w:p>
        </w:tc>
        <w:tc>
          <w:tcPr/>
          <w:p>
            <w:pPr>
              <w:pStyle w:val="Compact"/>
              <w:jc w:val="left"/>
            </w:pPr>
            <w:r>
              <w:t xml:space="preserve">670 adulti dopo 36 settimane di tirzepatide, prosecuzione vs. sospensione</w:t>
            </w:r>
          </w:p>
        </w:tc>
        <w:tc>
          <w:tcPr/>
          <w:p>
            <w:pPr>
              <w:pStyle w:val="Compact"/>
              <w:jc w:val="left"/>
            </w:pPr>
            <w:r>
              <w:t xml:space="preserve">52 settimane (dopo la fase iniziale)</w:t>
            </w:r>
          </w:p>
        </w:tc>
        <w:tc>
          <w:tcPr/>
          <w:p>
            <w:pPr>
              <w:pStyle w:val="Compact"/>
              <w:jc w:val="left"/>
            </w:pPr>
            <w:r>
              <w:t xml:space="preserve">−5,5% con prosecuzione vs. +14,0% di ripresa</w:t>
            </w:r>
          </w:p>
        </w:tc>
      </w:tr>
      <w:tr>
        <w:tc>
          <w:tcPr/>
          <w:p>
            <w:pPr>
              <w:pStyle w:val="Compact"/>
              <w:jc w:val="left"/>
            </w:pPr>
            <w:r>
              <w:t xml:space="preserve">SURMOUNT-5 (Aronne 2025), PMID 40353578</w:t>
            </w:r>
          </w:p>
        </w:tc>
        <w:tc>
          <w:tcPr/>
          <w:p>
            <w:pPr>
              <w:pStyle w:val="Compact"/>
              <w:jc w:val="left"/>
            </w:pPr>
            <w:r>
              <w:t xml:space="preserve">751 adulti senza diabete, in aperto contro semaglutide 2,4 mg</w:t>
            </w:r>
          </w:p>
        </w:tc>
        <w:tc>
          <w:tcPr/>
          <w:p>
            <w:pPr>
              <w:pStyle w:val="Compact"/>
              <w:jc w:val="left"/>
            </w:pPr>
            <w:r>
              <w:t xml:space="preserve">72 settimane</w:t>
            </w:r>
          </w:p>
        </w:tc>
        <w:tc>
          <w:tcPr/>
          <w:p>
            <w:pPr>
              <w:pStyle w:val="Compact"/>
              <w:jc w:val="left"/>
            </w:pPr>
            <w:r>
              <w:t xml:space="preserve">−20,2% vs. −13,7%</w:t>
            </w:r>
          </w:p>
        </w:tc>
      </w:tr>
      <w:tr>
        <w:tc>
          <w:tcPr/>
          <w:p>
            <w:pPr>
              <w:pStyle w:val="Compact"/>
              <w:jc w:val="left"/>
            </w:pPr>
            <w:r>
              <w:t xml:space="preserve">SURMOUNT-1, dati a 3 anni (Jastreboff 2025), PMID 39536238</w:t>
            </w:r>
          </w:p>
        </w:tc>
        <w:tc>
          <w:tcPr/>
          <w:p>
            <w:pPr>
              <w:pStyle w:val="Compact"/>
              <w:jc w:val="left"/>
            </w:pPr>
            <w:r>
              <w:t xml:space="preserve">1.032 adulti con obesità e prediabete</w:t>
            </w:r>
          </w:p>
        </w:tc>
        <w:tc>
          <w:tcPr/>
          <w:p>
            <w:pPr>
              <w:pStyle w:val="Compact"/>
              <w:jc w:val="left"/>
            </w:pPr>
            <w:r>
              <w:t xml:space="preserve">176 settimane</w:t>
            </w:r>
          </w:p>
        </w:tc>
        <w:tc>
          <w:tcPr/>
          <w:p>
            <w:pPr>
              <w:pStyle w:val="Compact"/>
              <w:jc w:val="left"/>
            </w:pPr>
            <w:r>
              <w:t xml:space="preserve">da −12,3 a −19,7% vs. −1,3%; diabete di tipo 2 1,3% vs. 13,3%</w:t>
            </w:r>
          </w:p>
        </w:tc>
      </w:tr>
    </w:tbl>
    <w:p>
      <w:pPr>
        <w:pStyle w:val="BodyText"/>
      </w:pPr>
      <w:r>
        <w:rPr>
          <w:bCs/>
          <w:b/>
        </w:rPr>
        <w:t xml:space="preserve">SURMOUNT-1</w:t>
      </w:r>
      <w:r>
        <w:t xml:space="preserve"> </w:t>
      </w:r>
      <w:r>
        <w:t xml:space="preserve">è lo studio che ha reso nota la tirzepatide come farmaco per l’obesità. Con un peso di partenza medio di 104,8 kg, i partecipanti alla dose più alta hanno perso in media il 20,9% del loro peso corporeo. Il 57% nel gruppo 15 mg ha raggiunto una perdita di peso di almeno il 20%, con placebo il 3%. A causa di effetti collaterali hanno interrotto il trattamento il 4,3–7,1% con tirzepatide e il 2,6% con placebo (Jastreboff 2022, PMID 35658024).</w:t>
      </w:r>
    </w:p>
    <w:p>
      <w:pPr>
        <w:pStyle w:val="BodyText"/>
      </w:pPr>
      <w:r>
        <w:rPr>
          <w:bCs/>
          <w:b/>
        </w:rPr>
        <w:t xml:space="preserve">Le persone con diabete di tipo 2</w:t>
      </w:r>
      <w:r>
        <w:t xml:space="preserve"> </w:t>
      </w:r>
      <w:r>
        <w:t xml:space="preserve">perdono con tutti i farmaci incretinici meno peso delle persone senza diabete. Lo ha mostrato anche SURMOUNT-2: la differenza rispetto al placebo era di 9,6 e 11,6 punti percentuali rispettivamente (Garvey 2023, PMID 37385275).</w:t>
      </w:r>
    </w:p>
    <w:p>
      <w:pPr>
        <w:pStyle w:val="BodyText"/>
      </w:pPr>
      <w:r>
        <w:rPr>
          <w:bCs/>
          <w:b/>
        </w:rPr>
        <w:t xml:space="preserve">Che cosa succede dopo la sospensione?</w:t>
      </w:r>
      <w:r>
        <w:t xml:space="preserve"> </w:t>
      </w:r>
      <w:r>
        <w:t xml:space="preserve">SURMOUNT-4 ha risposto a questa domanda con un disegno di „randomized withdrawal“: tutti hanno ricevuto prima 36 settimane di tirzepatide, perdendo in media il 20,9%. Poi è stato sorteggiato chi avrebbe continuato a ricevere tirzepatide e chi, senza saperlo, placebo. Nelle 52 settimane successive il gruppo placebo ha ripreso il 14,0%, il gruppo tirzepatide ha perso un ulteriore 5,5%. Sull’intera durata dello studio la perdita di peso è stata del 25,3% contro il 9,9% (Aronne 2024, PMID 38078870). Il messaggio delle autrici e degli autori: l’obesità si comporta come una malattia cronica il cui trattamento deve per lo più essere permanente.</w:t>
      </w:r>
    </w:p>
    <w:p>
      <w:pPr>
        <w:pStyle w:val="BodyText"/>
      </w:pPr>
      <w:r>
        <w:rPr>
          <w:bCs/>
          <w:b/>
        </w:rPr>
        <w:t xml:space="preserve">Dose di mantenimento più bassa:</w:t>
      </w:r>
      <w:r>
        <w:t xml:space="preserve"> </w:t>
      </w:r>
      <w:r>
        <w:t xml:space="preserve">se dopo il dimagrimento si possa passare a una dose inferiore lo ha esaminato SURMOUNT-MAINTAIN con 378 persone randomizzate negli Stati Uniti. Dopo 60 settimane alla dose massima sono state suddivise in tre gruppi. Alla settimana 112 la perdita di peso dall’inizio dello studio era del −21,9% (prosecuzione della dose massima), del −16,6% (riduzione a 5 mg) e del −9,9% (placebo). Una terapia di salvataggio a causa di una ripresa di almeno il 50% è stata necessaria rispettivamente per l’8%, il 25% e il 67% (Horn 2026, PMID 42119587). La riduzione della dose è quindi una soluzione intermedia con un successo individualmente molto variabile.</w:t>
      </w:r>
    </w:p>
    <w:p>
      <w:pPr>
        <w:pStyle w:val="BodyText"/>
      </w:pPr>
      <w:r>
        <w:rPr>
          <w:bCs/>
          <w:b/>
        </w:rPr>
        <w:t xml:space="preserve">Prevenzione del diabete:</w:t>
      </w:r>
      <w:r>
        <w:t xml:space="preserve"> </w:t>
      </w:r>
      <w:r>
        <w:t xml:space="preserve">nell’analisi a tre anni di SURMOUNT-1 nelle persone con prediabete (stadio preliminare del diabete), l’1,3% con tirzepatide e il 13,3% con placebo hanno sviluppato un diabete di tipo 2. Anche 17 settimane dopo la sospensione la differenza è rimasta netta (2,4% vs. 13,7%). In questi tre anni non sono emersi nuovi segnali di sicurezza (Jastreboff 2025, PMID 39536238).</w:t>
      </w:r>
    </w:p>
    <w:bookmarkEnd w:id="206"/>
    <w:bookmarkStart w:id="207" w:name="X1d393af7fd36bdeec4bf1306d21b316c1447968"/>
    <w:p>
      <w:pPr>
        <w:pStyle w:val="Heading4"/>
      </w:pPr>
      <w:r>
        <w:t xml:space="preserve">SURMOUNT-5: tirzepatide contro semaglutide</w:t>
      </w:r>
    </w:p>
    <w:p>
      <w:pPr>
        <w:pStyle w:val="FirstParagraph"/>
      </w:pPr>
      <w:r>
        <w:t xml:space="preserve">Il confronto diretto atteso da molti nell’obesità senza diabete è stato fornito da SURMOUNT-5 (Aronne 2025, PMID 40353578). 751 adulti hanno ricevuto in aperto (cioè senza cecità) la rispettiva dose massima tollerata di tirzepatide (10 o 15 mg) o semaglutide (1,7 o 2,4 mg). Dopo 72 settimane:</w:t>
      </w:r>
    </w:p>
    <w:p>
      <w:pPr>
        <w:numPr>
          <w:ilvl w:val="0"/>
          <w:numId w:val="1061"/>
        </w:numPr>
        <w:pStyle w:val="Compact"/>
      </w:pPr>
      <w:r>
        <w:t xml:space="preserve">Variazione di peso: −20,2% con tirzepatide contro −13,7% con semaglutide.</w:t>
      </w:r>
    </w:p>
    <w:p>
      <w:pPr>
        <w:numPr>
          <w:ilvl w:val="0"/>
          <w:numId w:val="1061"/>
        </w:numPr>
        <w:pStyle w:val="Compact"/>
      </w:pPr>
      <w:r>
        <w:t xml:space="preserve">Circonferenza vita: −18,4 cm contro −13,0 cm.</w:t>
      </w:r>
    </w:p>
    <w:p>
      <w:pPr>
        <w:numPr>
          <w:ilvl w:val="0"/>
          <w:numId w:val="1061"/>
        </w:numPr>
        <w:pStyle w:val="Compact"/>
      </w:pPr>
      <w:r>
        <w:t xml:space="preserve">Più partecipanti con tirzepatide hanno raggiunto ciascuna delle soglie del 10, 15, 20 e 25%.</w:t>
      </w:r>
    </w:p>
    <w:p>
      <w:pPr>
        <w:numPr>
          <w:ilvl w:val="0"/>
          <w:numId w:val="1061"/>
        </w:numPr>
        <w:pStyle w:val="Compact"/>
      </w:pPr>
      <w:r>
        <w:t xml:space="preserve">Gli effetti collaterali erano in entrambi i gruppi prevalentemente disturbi gastrointestinali, per lo più lievi o moderati e soprattutto nella fase di aumento della dose.</w:t>
      </w:r>
    </w:p>
    <w:p>
      <w:pPr>
        <w:pStyle w:val="FirstParagraph"/>
      </w:pPr>
      <w:r>
        <w:t xml:space="preserve">Un’analisi successiva ha mostrato che il 44% con tirzepatide e il 21% con semaglutide avevano già perso almeno il 15% entro la settimana 24 („responder rapidi“). Questi hanno avuto un po’ più di eventi gastrointestinali e delle vie biliari, ma non hanno interrotto il trattamento più spesso (Aronne 2026, PMID 41865857).</w:t>
      </w:r>
    </w:p>
    <w:p>
      <w:pPr>
        <w:pStyle w:val="BodyText"/>
      </w:pPr>
      <w:r>
        <w:t xml:space="preserve">Per collocare il risultato: SURMOUNT-5 è stato finanziato dal produttore della tirzepatide e condotto in aperto. La differenza è comunque abbastanza grande da non poter essere spiegata solo da questi limiti. Un confronto di tutti i farmaci GLP-1 si trova nella Parte III.</w:t>
      </w:r>
    </w:p>
    <w:bookmarkEnd w:id="207"/>
    <w:bookmarkStart w:id="208" w:name="scompenso-cardiaco-summit"/>
    <w:p>
      <w:pPr>
        <w:pStyle w:val="Heading4"/>
      </w:pPr>
      <w:r>
        <w:t xml:space="preserve">Scompenso cardiaco: SUMMIT</w:t>
      </w:r>
    </w:p>
    <w:p>
      <w:pPr>
        <w:pStyle w:val="FirstParagraph"/>
      </w:pPr>
      <w:r>
        <w:t xml:space="preserve">Lo scompenso cardiaco con funzione di pompa conservata (HFpEF) è una forma frequente di insufficienza cardiaca in cui il cuore espelle normalmente il sangue, ma si riempie male. L’obesità ne è un importante fattore trainante. In SUMMIT 731 persone con HFpEF e BMI a partire da 30 sono state randomizzate a tirzepatide o placebo e osservate per una mediana di 104 settimane (Packer 2025, PMID 39555826).</w:t>
      </w:r>
    </w:p>
    <w:p>
      <w:pPr>
        <w:numPr>
          <w:ilvl w:val="0"/>
          <w:numId w:val="1062"/>
        </w:numPr>
        <w:pStyle w:val="Compact"/>
      </w:pPr>
      <w:r>
        <w:t xml:space="preserve">Morte cardiovascolare o peggioramento dello scompenso cardiaco: 9,9% con tirzepatide vs. 15,3% con placebo (hazard ratio 0,62; IC al 95% 0,41–0,95).</w:t>
      </w:r>
    </w:p>
    <w:p>
      <w:pPr>
        <w:numPr>
          <w:ilvl w:val="0"/>
          <w:numId w:val="1062"/>
        </w:numPr>
        <w:pStyle w:val="Compact"/>
      </w:pPr>
      <w:r>
        <w:t xml:space="preserve">Questa differenza era dovuta a meno eventi di peggioramento (8,0% vs. 14,2%). I decessi cardiovascolari erano rari e numericamente addirittura un po’ più frequenti con tirzepatide (2,2% vs. 1,4%), con un intervallo di incertezza molto ampio.</w:t>
      </w:r>
    </w:p>
    <w:p>
      <w:pPr>
        <w:numPr>
          <w:ilvl w:val="0"/>
          <w:numId w:val="1062"/>
        </w:numPr>
        <w:pStyle w:val="Compact"/>
      </w:pPr>
      <w:r>
        <w:t xml:space="preserve">La qualità della vita (questionario KCCQ) è migliorata di più: +19,5 contro +12,7 punti.</w:t>
      </w:r>
    </w:p>
    <w:p>
      <w:pPr>
        <w:numPr>
          <w:ilvl w:val="0"/>
          <w:numId w:val="1062"/>
        </w:numPr>
        <w:pStyle w:val="Compact"/>
      </w:pPr>
      <w:r>
        <w:t xml:space="preserve">Interruzioni a causa di effetti collaterali: 6,3% vs. 1,4%.</w:t>
      </w:r>
    </w:p>
    <w:p>
      <w:pPr>
        <w:pStyle w:val="FirstParagraph"/>
      </w:pPr>
      <w:r>
        <w:t xml:space="preserve">Un sottostudio con risonanza magnetica cardiaca ha mostrato una riduzione della massa muscolare del ventricolo sinistro e del tessuto adiposo intorno al cuore (Kramer 2025, PMID 39566869). Con 731 persone e 92 eventi di endpoint, SUMMIT è uno studio di esito relativamente piccolo; i risultati sono incoraggianti, ma non solidi quanto i dati di studi con migliaia di partecipanti.</w:t>
      </w:r>
    </w:p>
    <w:bookmarkEnd w:id="208"/>
    <w:bookmarkStart w:id="209" w:name="apnea-ostruttiva-del-sonno-surmount-osa"/>
    <w:p>
      <w:pPr>
        <w:pStyle w:val="Heading4"/>
      </w:pPr>
      <w:r>
        <w:t xml:space="preserve">Apnea ostruttiva del sonno: SURMOUNT-OSA</w:t>
      </w:r>
    </w:p>
    <w:p>
      <w:pPr>
        <w:pStyle w:val="FirstParagraph"/>
      </w:pPr>
      <w:r>
        <w:t xml:space="preserve">Nell’apnea ostruttiva del sonno le vie aeree superiori collassano ripetutamente durante il sonno; il respiro si interrompe (apnea) o diventa superficiale (ipopnea). L’indice di apnea-ipopnea (AHI) conta questi eventi per ora; a partire da 30 l’apnea notturna è considerata grave. Il sovrappeso è uno dei principali fattori di rischio.</w:t>
      </w:r>
    </w:p>
    <w:p>
      <w:pPr>
        <w:pStyle w:val="BodyText"/>
      </w:pPr>
      <w:r>
        <w:t xml:space="preserve">SURMOUNT-OSA era composto da due studi paralleli con persone con obesità e apnea notturna da moderata a grave: senza terapia con maschera respiratoria (studio 1) e con maschera (CPAP, studio 2). AHI di partenza circa 50 eventi all’ora. Dopo 52 settimane (Malhotra 2024, PMID 38912654):</w:t>
      </w:r>
    </w:p>
    <w:p>
      <w:pPr>
        <w:numPr>
          <w:ilvl w:val="0"/>
          <w:numId w:val="1063"/>
        </w:numPr>
        <w:pStyle w:val="Compact"/>
      </w:pPr>
      <w:r>
        <w:t xml:space="preserve">Studio 1: AHI −25,3 eventi/ora con tirzepatide vs. −5,3 con placebo.</w:t>
      </w:r>
    </w:p>
    <w:p>
      <w:pPr>
        <w:numPr>
          <w:ilvl w:val="0"/>
          <w:numId w:val="1063"/>
        </w:numPr>
        <w:pStyle w:val="Compact"/>
      </w:pPr>
      <w:r>
        <w:t xml:space="preserve">Studio 2: AHI −29,3 vs. −5,5.</w:t>
      </w:r>
    </w:p>
    <w:p>
      <w:pPr>
        <w:numPr>
          <w:ilvl w:val="0"/>
          <w:numId w:val="1063"/>
        </w:numPr>
        <w:pStyle w:val="Compact"/>
      </w:pPr>
      <w:r>
        <w:t xml:space="preserve">Sono inoltre migliorati il carico ipossico, i marcatori di infiammazione (hsCRP), la pressione arteriosa e i disturbi del sonno riferiti dai partecipanti.</w:t>
      </w:r>
    </w:p>
    <w:p>
      <w:pPr>
        <w:pStyle w:val="FirstParagraph"/>
      </w:pPr>
      <w:r>
        <w:t xml:space="preserve">Su questa base la tirzepatide è stata autorizzata negli Stati Uniti come primo farmaco per il trattamento dell’apnea notturna nell’obesità. Non sostituisce automaticamente una maschera respiratoria: anche dopo la riduzione, l’AHI di molti partecipanti restava nell’intervallo che richiede trattamento. La decisione sulla terapia spetta alla medicina del sonno.</w:t>
      </w:r>
    </w:p>
    <w:bookmarkEnd w:id="209"/>
    <w:bookmarkStart w:id="210" w:name="steatosi-epatica-mash"/>
    <w:p>
      <w:pPr>
        <w:pStyle w:val="Heading4"/>
      </w:pPr>
      <w:r>
        <w:t xml:space="preserve">Steatosi epatica (MASH)</w:t>
      </w:r>
    </w:p>
    <w:p>
      <w:pPr>
        <w:pStyle w:val="FirstParagraph"/>
      </w:pPr>
      <w:r>
        <w:t xml:space="preserve">La steatoepatite associata a disfunzione metabolica (MASH, in passato NASH) è una forma infiammatoria di steatosi epatica che può progredire verso cicatrizzazione (fibrosi) e cirrosi. Nello studio di fase 2 SYNERGY-NASH, 190 persone con MASH accertata con biopsia e fibrosi moderata o grave hanno ricevuto tirzepatide o placebo. Dopo 52 settimane la MASH è scomparsa senza peggioramento della fibrosi nel 44–62% con tirzepatide contro il 10% con placebo; un miglioramento della fibrosi di almeno uno stadio è stato osservato nel 51–55% contro il 30% (Loomba 2024, PMID 38856224). È in corso uno studio di fase 3 (vedi prospettive).</w:t>
      </w:r>
    </w:p>
    <w:bookmarkEnd w:id="210"/>
    <w:bookmarkStart w:id="211" w:name="altri-ambiti-dimpiego-e-meta-analisi"/>
    <w:p>
      <w:pPr>
        <w:pStyle w:val="Heading4"/>
      </w:pPr>
      <w:r>
        <w:t xml:space="preserve">Altri ambiti d’impiego e meta-analisi</w:t>
      </w:r>
    </w:p>
    <w:p>
      <w:pPr>
        <w:pStyle w:val="FirstParagraph"/>
      </w:pPr>
      <w:r>
        <w:t xml:space="preserve">La letteratura sulla tirzepatide cresce molto rapidamente. Accanto ai grandi programmi esistono studi su psoriasi e artrite psoriasica in combinazione con farmaci biologici: in uno studio di fase 3b in aperto con 274 persone, con ixekizumab più tirzepatide il 27,1% ha raggiunto contemporaneamente una guarigione completa delle lesioni cutanee (PASI 100) e una perdita di peso di almeno il 10%, con il solo ixekizumab il 5,8% (Lebwohl 2026, PMID 42139049). Altri lavori si occupano della sindrome dell’ovaio policistico, della funzione renale e di popolazioni specifiche asiatiche (SURMOUNT-J, SURMOUNT-CN, SURPASS-AP-Combo). Una presentazione complessiva di tutti i singoli studi andrebbe oltre lo scopo del libro; sono elencati nell’elenco degli studi in appendice.</w:t>
      </w:r>
    </w:p>
    <w:p>
      <w:pPr>
        <w:pStyle w:val="BodyText"/>
      </w:pPr>
      <w:r>
        <w:t xml:space="preserve">Sulla composizione corporea: in un sottostudio DXA di SURMOUNT-1 con 160 persone, circa il 75% del peso perso era costituito da grasso e circa il 25% da massa magra (di cui fa parte la muscolatura) – nello stesso rapporto del gruppo placebo (Look 2025, PMID 39996356). La preoccupazione per la perdita muscolare è quindi giustificata, ma non è un effetto specifico della tirzepatide, bensì tipico di ogni perdita di peso consistente.</w:t>
      </w:r>
    </w:p>
    <w:bookmarkEnd w:id="211"/>
    <w:bookmarkEnd w:id="212"/>
    <w:bookmarkStart w:id="213" w:name="studi-su-animali-e-in-laboratorio-4"/>
    <w:p>
      <w:pPr>
        <w:pStyle w:val="Heading3"/>
      </w:pPr>
      <w:r>
        <w:t xml:space="preserve">Studi su animali e in laboratorio</w:t>
      </w:r>
    </w:p>
    <w:p>
      <w:pPr>
        <w:pStyle w:val="FirstParagraph"/>
      </w:pPr>
      <w:r>
        <w:t xml:space="preserve">Lo sviluppo preclinico è pubblicato in modo insolitamente completo. In colture cellulari la tirzepatide attiva entrambi i recettori; nei topi ha ridotto peso e apporto di cibo più di un agonista puro del GLP-1 (Coskun 2018, PMID 30473097). Studi su topi privi di un recettore del GLP-1 funzionante hanno mostrato che la componente GIP migliora la sensibilità all’insulina nel tessuto adiposo (Samms 2021, PMID 34003802). Su distribuzione e degradazione nell’organismo esistono studi su uomo, ratti e scimmie: la molecola viene metabolizzata tramite scissione dello scheletro peptidico e degradazione della catena di acido grasso; nell’uomo circa il 66% della sostanza marcata è stato ritrovato nelle urine e circa il 33% nelle feci, mentre la tirzepatide immodificata non è stata trovata in nessuno dei due (Martin 2024, PMID 39243911).</w:t>
      </w:r>
    </w:p>
    <w:p>
      <w:pPr>
        <w:pStyle w:val="BodyText"/>
      </w:pPr>
      <w:r>
        <w:t xml:space="preserve">Come per tutti gli agonisti del GLP-1 a lunga durata d’azione, negli studi a lungo termine sui roditori si sono verificati tumori delle cellule C della tiroide. Se questo risultato sia trasferibile all’uomo non è chiaro, perché i roditori portano su queste cellule molti più recettori del GLP-1. Questo risultato sugli animali è la base delle avvertenze nel Riassunto delle caratteristiche del prodotto (vedi sotto).</w:t>
      </w:r>
    </w:p>
    <w:bookmarkEnd w:id="213"/>
    <w:bookmarkStart w:id="214" w:name="rischi-ed-effetti-collaterali-4"/>
    <w:p>
      <w:pPr>
        <w:pStyle w:val="Heading3"/>
      </w:pPr>
      <w:r>
        <w:t xml:space="preserve">Rischi ed effetti collaterali</w:t>
      </w:r>
    </w:p>
    <w:p>
      <w:pPr>
        <w:pStyle w:val="FirstParagraph"/>
      </w:pPr>
      <w:r>
        <w:rPr>
          <w:bCs/>
          <w:b/>
        </w:rPr>
        <w:t xml:space="preserve">Dimostrati dagli studi:</w:t>
      </w:r>
    </w:p>
    <w:p>
      <w:pPr>
        <w:numPr>
          <w:ilvl w:val="0"/>
          <w:numId w:val="1064"/>
        </w:numPr>
        <w:pStyle w:val="Compact"/>
      </w:pPr>
      <w:r>
        <w:t xml:space="preserve">I</w:t>
      </w:r>
      <w:r>
        <w:t xml:space="preserve"> </w:t>
      </w:r>
      <w:r>
        <w:rPr>
          <w:bCs/>
          <w:b/>
        </w:rPr>
        <w:t xml:space="preserve">disturbi gastrointestinali</w:t>
      </w:r>
      <w:r>
        <w:t xml:space="preserve"> </w:t>
      </w:r>
      <w:r>
        <w:t xml:space="preserve">sono di gran lunga i più frequenti: nausea, diarrea, vomito, stitichezza, appetito ridotto. In SURPASS-3 il 12–24% ha riferito nausea, il 15–17% diarrea e il 6–10% vomito (Ludvik 2021, PMID 34370970). I disturbi si verificano soprattutto nella fase di aumento della dose e per lo più si attenuano. Sono il motivo più frequente di interruzione della terapia.</w:t>
      </w:r>
    </w:p>
    <w:p>
      <w:pPr>
        <w:numPr>
          <w:ilvl w:val="0"/>
          <w:numId w:val="1064"/>
        </w:numPr>
        <w:pStyle w:val="Compact"/>
      </w:pPr>
      <w:r>
        <w:rPr>
          <w:bCs/>
          <w:b/>
        </w:rPr>
        <w:t xml:space="preserve">Colecisti e vie biliari:</w:t>
      </w:r>
      <w:r>
        <w:t xml:space="preserve"> </w:t>
      </w:r>
      <w:r>
        <w:t xml:space="preserve">una meta-analisi di nove studi con 9.871 partecipanti ha rilevato un rischio aumentato per la categoria complessiva delle malattie della colecisti o delle vie biliari rispetto a placebo o insulina (rischio relativo 1,97; IC al 95% 1,14–3,42), mentre per la pancreatite non ha trovato un aumento statisticamente significativo (Zeng 2023, PMID 37908750). La rapida perdita di peso favorisce di per sé i calcoli biliari.</w:t>
      </w:r>
    </w:p>
    <w:p>
      <w:pPr>
        <w:numPr>
          <w:ilvl w:val="0"/>
          <w:numId w:val="1064"/>
        </w:numPr>
        <w:pStyle w:val="Compact"/>
      </w:pPr>
      <w:r>
        <w:rPr>
          <w:bCs/>
          <w:b/>
        </w:rPr>
        <w:t xml:space="preserve">Ipoglicemia:</w:t>
      </w:r>
      <w:r>
        <w:t xml:space="preserve"> </w:t>
      </w:r>
      <w:r>
        <w:t xml:space="preserve">rara in monoterapia. Il rischio aumenta se si assumono contemporaneamente insulina o sulfoniluree – in SURPASS-4 le ipoglicemie senza sulfonilurea si sono verificate nell’1–3% (Del Prato 2021, PMID 34672967).</w:t>
      </w:r>
    </w:p>
    <w:p>
      <w:pPr>
        <w:numPr>
          <w:ilvl w:val="0"/>
          <w:numId w:val="1064"/>
        </w:numPr>
        <w:pStyle w:val="Compact"/>
      </w:pPr>
      <w:r>
        <w:rPr>
          <w:bCs/>
          <w:b/>
        </w:rPr>
        <w:t xml:space="preserve">Salute mentale:</w:t>
      </w:r>
      <w:r>
        <w:t xml:space="preserve"> </w:t>
      </w:r>
      <w:r>
        <w:t xml:space="preserve">un’analisi successiva di SURMOUNT-1–3 con 4.056 persone senza malattia psichica grave nota non ha trovato indizi di un aumento delle depressioni; pensieri suicidari sono stati riferiti nello 0,6% in entrambi i gruppi (Wadden 2026, PMID 41537305). Per le persone con gravi malattie psichiche mancano dati sufficienti.</w:t>
      </w:r>
    </w:p>
    <w:p>
      <w:pPr>
        <w:numPr>
          <w:ilvl w:val="0"/>
          <w:numId w:val="1064"/>
        </w:numPr>
        <w:pStyle w:val="Compact"/>
      </w:pPr>
      <w:r>
        <w:rPr>
          <w:bCs/>
          <w:b/>
        </w:rPr>
        <w:t xml:space="preserve">Perdita di massa magra:</w:t>
      </w:r>
      <w:r>
        <w:t xml:space="preserve"> </w:t>
      </w:r>
      <w:r>
        <w:t xml:space="preserve">circa un quarto del peso perso (Look 2025, PMID 39996356). Negli ambienti specialistici si raccomandano allenamento di forza e un adeguato apporto proteico per contrastarla; i dati solidi sul beneficio funzionale sono limitati.</w:t>
      </w:r>
    </w:p>
    <w:p>
      <w:pPr>
        <w:pStyle w:val="FirstParagraph"/>
      </w:pPr>
      <w:r>
        <w:rPr>
          <w:bCs/>
          <w:b/>
        </w:rPr>
        <w:t xml:space="preserve">Da dati successivi all’immissione in commercio:</w:t>
      </w:r>
      <w:r>
        <w:t xml:space="preserve"> </w:t>
      </w:r>
      <w:r>
        <w:t xml:space="preserve">un’analisi della banca dati statunitense degli effetti collaterali FAERS ha rilevato un numero sproporzionato di segnalazioni di nausea, pancreatite, retinopatia diabetica e cancro midollare della tiroide – rispetto ad altri agonisti del GLP-1, però, nessun rischio aumentato (Caruso 2024, PMID 39141075). Tali dati di segnalazione mostrano segnali, non cause: i rischi noti vengono segnalati più spesso. In un grande studio di coorte con oltre 46.000 coppie in trattamento di routine, il rischio di eventi gastrointestinali gravi (pancreatite, malattie delle vie biliari, occlusione intestinale, gastroparesi, stitichezza grave) non differiva sostanzialmente tra tirzepatide e semaglutide (hazard ratio 1,07; IC al 95% 0,90–1,26) (Crisafulli 2026, PMID 41183330).</w:t>
      </w:r>
    </w:p>
    <w:p>
      <w:pPr>
        <w:pStyle w:val="BodyText"/>
      </w:pPr>
      <w:r>
        <w:rPr>
          <w:bCs/>
          <w:b/>
        </w:rPr>
        <w:t xml:space="preserve">Teorici o derivati da dati su animali:</w:t>
      </w:r>
      <w:r>
        <w:t xml:space="preserve"> </w:t>
      </w:r>
      <w:r>
        <w:t xml:space="preserve">cancro midollare della tiroide (risultato sugli animali, vedi sopra). Per questo i Riassunti delle caratteristiche del prodotto prevedono un’avvertenza o una controindicazione in caso di carcinoma midollare della tiroide nella propria anamnesi o in quella familiare e di sindrome MEN 2.</w:t>
      </w:r>
    </w:p>
    <w:p>
      <w:pPr>
        <w:pStyle w:val="BodyText"/>
      </w:pPr>
      <w:r>
        <w:rPr>
          <w:bCs/>
          <w:b/>
        </w:rPr>
        <w:t xml:space="preserve">Importante per la pratica (secondo il Riassunto delle caratteristiche del prodotto, da non intendere come istruzioni):</w:t>
      </w:r>
      <w:r>
        <w:t xml:space="preserve"> </w:t>
      </w:r>
      <w:r>
        <w:t xml:space="preserve">il ritardato svuotamento gastrico può influenzare l’assorbimento delle compresse, il che è rilevante per esempio per la pillola contraccettiva. In gravidanza e allattamento la tirzepatide non viene usata. Prima di interventi chirurgici in anestesia va considerato il ritardato svuotamento gastrico. Su tutti i dettagli informano il Riassunto delle caratteristiche del prodotto e il medico curante.</w:t>
      </w:r>
    </w:p>
    <w:p>
      <w:pPr>
        <w:pStyle w:val="BodyText"/>
      </w:pPr>
      <w:r>
        <w:rPr>
          <w:bCs/>
          <w:b/>
        </w:rPr>
        <w:t xml:space="preserve">Prodotti di imitazione:</w:t>
      </w:r>
      <w:r>
        <w:t xml:space="preserve"> </w:t>
      </w:r>
      <w:r>
        <w:t xml:space="preserve">durante le carenze degli anni dal 2022 al 2024, negli Stati Uniti sono state prodotte in farmacia preparazioni di tirzepatide („compounding“), e parallelamente è nato un grande mercato grigio online. Un’indagine del 2025 ha trovato 33 preparazioni con semaglutide o tirzepatide in forme farmaceutiche non autorizzate – per esempio pastiglie da sciogliere in bocca o miscele con vitamine; per questi prodotti mancano dati su efficacia e sicurezza (Belcourt 2026, PMID 41689811). Per la merce „da ricerca“ senza autorizzazione come farmaco ciò vale in misura ancora maggiore (vedi Parte I e Parte IV).</w:t>
      </w:r>
    </w:p>
    <w:bookmarkEnd w:id="214"/>
    <w:bookmarkStart w:id="215" w:name="quadro-normativo-4"/>
    <w:p>
      <w:pPr>
        <w:pStyle w:val="Heading3"/>
      </w:pPr>
      <w:r>
        <w:t xml:space="preserve">Quadro normativo</w:t>
      </w:r>
    </w:p>
    <w:p>
      <w:pPr>
        <w:numPr>
          <w:ilvl w:val="0"/>
          <w:numId w:val="1065"/>
        </w:numPr>
        <w:pStyle w:val="Compact"/>
      </w:pPr>
      <w:r>
        <w:rPr>
          <w:bCs/>
          <w:b/>
        </w:rPr>
        <w:t xml:space="preserve">UE / Austria / Germania:</w:t>
      </w:r>
      <w:r>
        <w:t xml:space="preserve"> </w:t>
      </w:r>
      <w:r>
        <w:t xml:space="preserve">la tirzepatide è autorizzata con procedura centralizzata nell’UE come Mounjaro (nel 2022 per il diabete di tipo 2, dalla fine del 2023 anche per la gestione del peso). È soggetta a prescrizione. Se la cassa malattia copra i costi dipende dall’indicazione: per il diabete di tipo 2 un rimborso è in linea di principio possibile; i farmaci per la riduzione del peso sono in Germania per legge in gran parte esclusi dal rimborso, in Austria valgono regole proprie e restrittive. I dettagli cambiano – da verificare.</w:t>
      </w:r>
    </w:p>
    <w:p>
      <w:pPr>
        <w:numPr>
          <w:ilvl w:val="0"/>
          <w:numId w:val="1065"/>
        </w:numPr>
        <w:pStyle w:val="Compact"/>
      </w:pPr>
      <w:r>
        <w:rPr>
          <w:bCs/>
          <w:b/>
        </w:rPr>
        <w:t xml:space="preserve">USA:</w:t>
      </w:r>
      <w:r>
        <w:t xml:space="preserve"> </w:t>
      </w:r>
      <w:r>
        <w:t xml:space="preserve">autorizzata come Mounjaro (2022, diabete di tipo 2) e come Zepbound (2023, gestione cronica del peso; nel 2024 anche apnea ostruttiva del sonno nell’obesità). Dopo la fine della carenza ufficiale, la FDA ha fortemente limitato la produzione di copie nelle farmacie.</w:t>
      </w:r>
    </w:p>
    <w:p>
      <w:pPr>
        <w:numPr>
          <w:ilvl w:val="0"/>
          <w:numId w:val="1065"/>
        </w:numPr>
        <w:pStyle w:val="Compact"/>
      </w:pPr>
      <w:r>
        <w:rPr>
          <w:bCs/>
          <w:b/>
        </w:rPr>
        <w:t xml:space="preserve">Sport:</w:t>
      </w:r>
      <w:r>
        <w:t xml:space="preserve"> </w:t>
      </w:r>
      <w:r>
        <w:t xml:space="preserve">la tirzepatide non figura nella Lista delle sostanze proibite della WADA (aggiornato al 2026, da verificare).</w:t>
      </w:r>
    </w:p>
    <w:p>
      <w:pPr>
        <w:numPr>
          <w:ilvl w:val="0"/>
          <w:numId w:val="1065"/>
        </w:numPr>
        <w:pStyle w:val="Compact"/>
      </w:pPr>
      <w:r>
        <w:rPr>
          <w:bCs/>
          <w:b/>
        </w:rPr>
        <w:t xml:space="preserve">Mercato grigio:</w:t>
      </w:r>
      <w:r>
        <w:t xml:space="preserve"> </w:t>
      </w:r>
      <w:r>
        <w:t xml:space="preserve">il commercio di prodotti di tirzepatide non autorizzati („for research use only“) non è nell’UE una via legale per ottenere un farmaco; i prodotti non sono soggetti ad alcun controllo di qualità.</w:t>
      </w:r>
    </w:p>
    <w:bookmarkEnd w:id="215"/>
    <w:bookmarkStart w:id="216" w:name="studi-in-corso-e-prospettive-4"/>
    <w:p>
      <w:pPr>
        <w:pStyle w:val="Heading3"/>
      </w:pPr>
      <w:r>
        <w:t xml:space="preserve">Studi in corso e prospettive</w:t>
      </w:r>
    </w:p>
    <w:p>
      <w:pPr>
        <w:pStyle w:val="FirstParagraph"/>
      </w:pPr>
      <w:r>
        <w:rPr>
          <w:bCs/>
          <w:b/>
        </w:rPr>
        <w:t xml:space="preserve">Accertato (studi registrati, aggiornati a ottobre 2026):</w:t>
      </w:r>
    </w:p>
    <w:p>
      <w:pPr>
        <w:numPr>
          <w:ilvl w:val="0"/>
          <w:numId w:val="1066"/>
        </w:numPr>
        <w:pStyle w:val="Compact"/>
      </w:pPr>
      <w:r>
        <w:rPr>
          <w:bCs/>
          <w:b/>
        </w:rPr>
        <w:t xml:space="preserve">SURMOUNT-MMO</w:t>
      </w:r>
      <w:r>
        <w:t xml:space="preserve"> </w:t>
      </w:r>
      <w:r>
        <w:t xml:space="preserve">(NCT05556512): studio di esito con circa 15.000 persone con obesità senza diabete e alto rischio cardiovascolare, tirzepatide contro placebo. L’endpoint principale comprende infarto, ictus, rivascolarizzazione, eventi di scompenso cardiaco e morte per qualsiasi causa; conclusione prevista nel 2027. Secondo la pubblicazione sul disegno è il primo studio di esito con incretine che esamini sia la prevenzione primaria sia quella secondaria delle malattie cardiovascolari (Lam 2025, PMID 40545827).</w:t>
      </w:r>
    </w:p>
    <w:p>
      <w:pPr>
        <w:numPr>
          <w:ilvl w:val="0"/>
          <w:numId w:val="1066"/>
        </w:numPr>
        <w:pStyle w:val="Compact"/>
      </w:pPr>
      <w:r>
        <w:rPr>
          <w:bCs/>
          <w:b/>
        </w:rPr>
        <w:t xml:space="preserve">SYNERGY-Outcomes</w:t>
      </w:r>
      <w:r>
        <w:t xml:space="preserve"> </w:t>
      </w:r>
      <w:r>
        <w:t xml:space="preserve">(NCT07165028): protocollo master di fase 3 sulla steatosi epatica con 4.500 partecipanti previsti.</w:t>
      </w:r>
    </w:p>
    <w:p>
      <w:pPr>
        <w:numPr>
          <w:ilvl w:val="0"/>
          <w:numId w:val="1066"/>
        </w:numPr>
        <w:pStyle w:val="Compact"/>
      </w:pPr>
      <w:r>
        <w:rPr>
          <w:bCs/>
          <w:b/>
        </w:rPr>
        <w:t xml:space="preserve">Diabete di tipo 1 con obesità</w:t>
      </w:r>
      <w:r>
        <w:t xml:space="preserve"> </w:t>
      </w:r>
      <w:r>
        <w:t xml:space="preserve">(NCT06914895, NCT06962280): due studi di fase 3.</w:t>
      </w:r>
    </w:p>
    <w:p>
      <w:pPr>
        <w:numPr>
          <w:ilvl w:val="0"/>
          <w:numId w:val="1066"/>
        </w:numPr>
        <w:pStyle w:val="Compact"/>
      </w:pPr>
      <w:r>
        <w:rPr>
          <w:bCs/>
          <w:b/>
        </w:rPr>
        <w:t xml:space="preserve">Adolescenti con obesità</w:t>
      </w:r>
      <w:r>
        <w:t xml:space="preserve"> </w:t>
      </w:r>
      <w:r>
        <w:t xml:space="preserve">(NCT06439277, SURMOUNT-ADOLESCENTS-2) e bambini (NCT07817875).</w:t>
      </w:r>
    </w:p>
    <w:p>
      <w:pPr>
        <w:numPr>
          <w:ilvl w:val="0"/>
          <w:numId w:val="1066"/>
        </w:numPr>
        <w:pStyle w:val="Compact"/>
      </w:pPr>
      <w:r>
        <w:rPr>
          <w:bCs/>
          <w:b/>
        </w:rPr>
        <w:t xml:space="preserve">Confronto diretto con il successore retatrutide</w:t>
      </w:r>
      <w:r>
        <w:t xml:space="preserve"> </w:t>
      </w:r>
      <w:r>
        <w:t xml:space="preserve">(NCT06662383, vedi capitolo Retatrutide).</w:t>
      </w:r>
    </w:p>
    <w:p>
      <w:pPr>
        <w:numPr>
          <w:ilvl w:val="0"/>
          <w:numId w:val="1066"/>
        </w:numPr>
        <w:pStyle w:val="Compact"/>
      </w:pPr>
      <w:r>
        <w:t xml:space="preserve">Numerosi studi su artrosi del ginocchio, psoriasi, malattie renali e ictus.</w:t>
      </w:r>
    </w:p>
    <w:p>
      <w:pPr>
        <w:pStyle w:val="FirstParagraph"/>
      </w:pPr>
      <w:r>
        <w:rPr>
          <w:bCs/>
          <w:b/>
        </w:rPr>
        <w:t xml:space="preserve">Valutazione:</w:t>
      </w:r>
      <w:r>
        <w:t xml:space="preserve"> </w:t>
      </w:r>
      <w:r>
        <w:t xml:space="preserve">nel 2026 la tirzepatide è il metro di paragone con cui devono confrontarsi i nuovi farmaci dimagranti. La prossima grande domanda è se SURMOUNT-MMO mostrerà nelle persone senza diabete un beneficio cardiovascolare simile a quello dello studio SELECT per la semaglutide. La concorrenza arriva da tripli agonisti (retatrutide), combinazioni con amilina (CagriSema, amycretin) e compresse (orforglipron). Quando scadranno i brevetti e saranno possibili preparati di imitazione più economici è trattato nella Parte V.</w:t>
      </w:r>
    </w:p>
    <w:bookmarkEnd w:id="216"/>
    <w:bookmarkStart w:id="217" w:name="conclusione-4"/>
    <w:p>
      <w:pPr>
        <w:pStyle w:val="Heading3"/>
      </w:pPr>
      <w:r>
        <w:t xml:space="preserve">Conclusione</w:t>
      </w:r>
    </w:p>
    <w:p>
      <w:pPr>
        <w:pStyle w:val="FirstParagraph"/>
      </w:pPr>
      <w:r>
        <w:t xml:space="preserve">La tirzepatide è un doppio agonista GIP/GLP-1 studiato in uno dei più grandi programmi di studi della medicina del diabete e dell’obesità. In SURMOUNT-1 il peso corporeo si è ridotto alla dose più alta in media di circa il 21%, nel confronto diretto con la semaglutide (SURMOUNT-5) del 20,2% contro il 13,7%. Contro la dulaglutide non è risultata inferiore per gli eventi cardiovascolari, e nello scompenso cardiaco con funzione di pompa conservata e nell’apnea notturna ha mostrato effetti favorevoli. Gli effetti collaterali riguardano soprattutto il tratto gastrointestinale e la colecisti; dopo la sospensione gran parte del peso ritorna. Il trattamento va affidato al medico – con il preparato originale, non con merce del mercato grigio.</w:t>
      </w:r>
    </w:p>
    <w:bookmarkEnd w:id="217"/>
    <w:bookmarkEnd w:id="218"/>
    <w:bookmarkStart w:id="230" w:name="retatrutide"/>
    <w:p>
      <w:pPr>
        <w:pStyle w:val="Heading2"/>
      </w:pPr>
      <w:r>
        <w:t xml:space="preserve">Retatrutide</w:t>
      </w:r>
    </w:p>
    <w:bookmarkStart w:id="219" w:name="scheda-5"/>
    <w:p>
      <w:pPr>
        <w:pStyle w:val="Heading3"/>
      </w:pPr>
      <w:r>
        <w:t xml:space="preserve">Scheda</w:t>
      </w:r>
    </w:p>
    <w:p>
      <w:pPr>
        <w:numPr>
          <w:ilvl w:val="0"/>
          <w:numId w:val="1067"/>
        </w:numPr>
        <w:pStyle w:val="Compact"/>
      </w:pPr>
      <w:r>
        <w:rPr>
          <w:bCs/>
          <w:b/>
        </w:rPr>
        <w:t xml:space="preserve">Tipo/struttura:</w:t>
      </w:r>
      <w:r>
        <w:t xml:space="preserve"> </w:t>
      </w:r>
      <w:r>
        <w:t xml:space="preserve">peptide sintetico con una catena di acido grasso legata, per la somministrazione sottocutanea una volta alla settimana; codice di sviluppo LY3437943.</w:t>
      </w:r>
    </w:p>
    <w:p>
      <w:pPr>
        <w:numPr>
          <w:ilvl w:val="0"/>
          <w:numId w:val="1067"/>
        </w:numPr>
        <w:pStyle w:val="Compact"/>
      </w:pPr>
      <w:r>
        <w:rPr>
          <w:bCs/>
          <w:b/>
        </w:rPr>
        <w:t xml:space="preserve">Origine:</w:t>
      </w:r>
      <w:r>
        <w:t xml:space="preserve"> </w:t>
      </w:r>
      <w:r>
        <w:t xml:space="preserve">sviluppato da Eli Lilly come successore di tirzepatide.</w:t>
      </w:r>
    </w:p>
    <w:p>
      <w:pPr>
        <w:numPr>
          <w:ilvl w:val="0"/>
          <w:numId w:val="1067"/>
        </w:numPr>
        <w:pStyle w:val="Compact"/>
      </w:pPr>
      <w:r>
        <w:rPr>
          <w:bCs/>
          <w:b/>
        </w:rPr>
        <w:t xml:space="preserve">Principio d’azione:</w:t>
      </w:r>
      <w:r>
        <w:t xml:space="preserve"> </w:t>
      </w:r>
      <w:r>
        <w:t xml:space="preserve">«triplo agonista» su tre recettori: GIP, GLP-1 e glucagone. Nei media è spesso chiamato «Triple G».</w:t>
      </w:r>
    </w:p>
    <w:p>
      <w:pPr>
        <w:numPr>
          <w:ilvl w:val="0"/>
          <w:numId w:val="1067"/>
        </w:numPr>
        <w:pStyle w:val="Compact"/>
      </w:pPr>
      <w:r>
        <w:rPr>
          <w:bCs/>
          <w:b/>
        </w:rPr>
        <w:t xml:space="preserve">Autorizzazione UE:</w:t>
      </w:r>
      <w:r>
        <w:t xml:space="preserve"> </w:t>
      </w:r>
      <w:r>
        <w:t xml:space="preserve">no (aggiornato a ottobre 2026; programma di fase 3 TRIUMPH in parte concluso).</w:t>
      </w:r>
    </w:p>
    <w:p>
      <w:pPr>
        <w:numPr>
          <w:ilvl w:val="0"/>
          <w:numId w:val="1067"/>
        </w:numPr>
        <w:pStyle w:val="Compact"/>
      </w:pPr>
      <w:r>
        <w:rPr>
          <w:bCs/>
          <w:b/>
        </w:rPr>
        <w:t xml:space="preserve">Autorizzazione USA:</w:t>
      </w:r>
      <w:r>
        <w:t xml:space="preserve"> </w:t>
      </w:r>
      <w:r>
        <w:t xml:space="preserve">no (aggiornato a ottobre 2026, da verificare).</w:t>
      </w:r>
    </w:p>
    <w:p>
      <w:pPr>
        <w:numPr>
          <w:ilvl w:val="0"/>
          <w:numId w:val="1067"/>
        </w:numPr>
        <w:pStyle w:val="Compact"/>
      </w:pPr>
      <w:r>
        <w:rPr>
          <w:bCs/>
          <w:b/>
        </w:rPr>
        <w:t xml:space="preserve">WADA:</w:t>
      </w:r>
      <w:r>
        <w:t xml:space="preserve"> </w:t>
      </w:r>
      <w:r>
        <w:t xml:space="preserve">non elencato nominalmente; in quanto principio attivo non autorizzato in alcun Paese, retatrutide rientra però nella classe S0 «Sostanze non approvate» ed è quindi vietato nello sport in ogni momento (aggiornato al 2026, da verificare).</w:t>
      </w:r>
    </w:p>
    <w:p>
      <w:pPr>
        <w:numPr>
          <w:ilvl w:val="0"/>
          <w:numId w:val="1067"/>
        </w:numPr>
        <w:pStyle w:val="Compact"/>
      </w:pPr>
      <w:r>
        <w:rPr>
          <w:bCs/>
          <w:b/>
        </w:rPr>
        <w:t xml:space="preserve">Livello di evidenza:</w:t>
      </w:r>
      <w:r>
        <w:t xml:space="preserve"> </w:t>
      </w:r>
      <w:r>
        <w:rPr>
          <w:bCs/>
          <w:b/>
        </w:rPr>
        <w:t xml:space="preserve">B</w:t>
      </w:r>
      <w:r>
        <w:t xml:space="preserve"> </w:t>
      </w:r>
      <w:r>
        <w:t xml:space="preserve">– pubblicati diversi grandi studi di fase 3, ma ancora nessuna autorizzazione e nessun dato sugli esiti cardiaci e renali. Con un’autorizzazione si raggiungerebbe il livello A.</w:t>
      </w:r>
    </w:p>
    <w:bookmarkEnd w:id="219"/>
    <w:bookmarkStart w:id="220" w:name="come-dovrebbe-agire-5"/>
    <w:p>
      <w:pPr>
        <w:pStyle w:val="Heading3"/>
      </w:pPr>
      <w:r>
        <w:t xml:space="preserve">Come dovrebbe agire</w:t>
      </w:r>
    </w:p>
    <w:p>
      <w:pPr>
        <w:pStyle w:val="FirstParagraph"/>
      </w:pPr>
      <w:r>
        <w:t xml:space="preserve">Retatrutide si basa sul principio di tirzepatide (si veda il relativo capitolo) e aggiunge un terzo bersaglio: il recettore del glucagone. A prima vista sembra contraddittorio, perché il glucagone è l’«ormone antagonista» dell’insulina: induce il fegato a rilasciare zucchero e aumenta la glicemia. Il glucagone ha però anche altri effetti: aumenta il dispendio energetico, favorisce la degradazione dei grassi nel fegato e contribuisce alla sazietà. L’idea alla base di retatrutide è sfruttare questi effetti favorevoli, mentre la componente GLP-1 e GIP compensa l’effetto di aumento della glicemia.</w:t>
      </w:r>
    </w:p>
    <w:p>
      <w:pPr>
        <w:pStyle w:val="BodyText"/>
      </w:pPr>
      <w:r>
        <w:t xml:space="preserve">Negli esperimenti su cellule retatrutide agisce con intensità simile sul recettore del glucagone e su quello del GLP-1, e con maggiore intensità sul recettore del GIP. Nei topi obesi la componente glucagonica ha potenziato la perdita di peso attraverso un aumento del dispendio energetico, mentre GIP e GLP-1 hanno ridotto l’apporto calorico (Coskun 2022, PMID 35985340). Se il dispendio energetico aumenti in misura rilevante anche nell’uomo non è ancora stato studiato a sufficienza; uno studio di fase 1 in merito è registrato (NCT06313528).</w:t>
      </w:r>
    </w:p>
    <w:p>
      <w:pPr>
        <w:pStyle w:val="BodyText"/>
      </w:pPr>
      <w:r>
        <w:t xml:space="preserve">Nell’uomo, i partecipanti a uno studio di fase 2 hanno riferito, alle dosi più elevate, meno fame e una minore tendenza alla «perdita di controllo» durante i pasti; questi cambiamenti erano correlati alla perdita di peso (Kanu 2025, PMID 40916752).</w:t>
      </w:r>
    </w:p>
    <w:bookmarkEnd w:id="220"/>
    <w:bookmarkStart w:id="224" w:name="studi-sulluomo-5"/>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10 studi sull’uomo, integrati dalla ricerca mirata delle pubblicazioni di fase 1 e fase 3. Su ClinicalTrials.gov risultavano registrati 32 studi (una voce di esempio palesemente fittizia non è stata conteggiata), tra cui il programma registrativo TRIUMPH (obesità) e TRANSCEND (diabete di tipo 2). Per un principio attivo non autorizzato si tratta di una base di dati insolitamente solida, che però proviene quasi interamente da studi finanziati dal produttore.</w:t>
      </w:r>
    </w:p>
    <w:bookmarkStart w:id="221" w:name="primi-studi"/>
    <w:p>
      <w:pPr>
        <w:pStyle w:val="Heading4"/>
      </w:pPr>
      <w:r>
        <w:t xml:space="preserve">Primi studi</w:t>
      </w:r>
    </w:p>
    <w:p>
      <w:pPr>
        <w:pStyle w:val="FirstParagraph"/>
      </w:pPr>
      <w:r>
        <w:t xml:space="preserve">Dopo uno studio a dose singola su persone sane, in cui il peso corporeo è rimasto ridotto fino a 43 giorni dopo una sola iniezione (Coskun 2022, PMID 35985340), è seguito uno studio di fase 1b di dodici settimane su 72 persone con diabete di tipo 2. L’emivita era di circa sei giorni, il che consente la somministrazione settimanale. Nel gruppo con la dose più alta la perdita di peso rispetto al placebo è arrivata a poco meno di 9 kg (Urva 2022, PMID 36354040).</w:t>
      </w:r>
    </w:p>
    <w:bookmarkEnd w:id="221"/>
    <w:bookmarkStart w:id="222" w:name="fase-2-obesità-e-diabete-di-tipo-2"/>
    <w:p>
      <w:pPr>
        <w:pStyle w:val="Heading4"/>
      </w:pPr>
      <w:r>
        <w:t xml:space="preserve">Fase 2: obesità e diabete di tipo 2</w:t>
      </w:r>
    </w:p>
    <w:p>
      <w:pPr>
        <w:pStyle w:val="FirstParagraph"/>
      </w:pPr>
      <w:r>
        <w:t xml:space="preserve">Lo studio di fase 2 sull’obesità ha fatto notizia nel 2023 (Jastreboff 2023, PMID 37366315). 338 adulti hanno ricevuto per 48 settimane diverse dosi o placebo. Nel gruppo con la dose più alta il peso corporeo si è ridotto in media del 24,2% (placebo: −2,1%); l’83% di questo gruppo ha perso almeno il 15%. Erano i valori più alti fino ad allora misurati in uno studio farmacologico sull’obesità. Gli effetti collaterali gastrointestinali aumentavano con la dose ed erano minori con una titolazione più lenta. La frequenza cardiaca è aumentata in modo dose-dipendente, ha raggiunto il valore massimo dopo 24 settimane e poi è diminuita.</w:t>
      </w:r>
    </w:p>
    <w:p>
      <w:pPr>
        <w:pStyle w:val="BodyText"/>
      </w:pPr>
      <w:r>
        <w:t xml:space="preserve">Lo studio parallelo di fase 2 su 281 persone con diabete di tipo 2 ha mostrato dopo 24 settimane riduzioni dell’HbA1c fino a 2,02 punti percentuali (dulaglutide: −1,41) e dopo 36 settimane una perdita di peso fino al 16,94% (Rosenstock 2023, PMID 37385280). In un sottostudio con misurazione della composizione corporea (DXA) la massa grassa è diminuita del 23–26% con le dosi più alte (Coskun 2025, PMID 40609566).</w:t>
      </w:r>
    </w:p>
    <w:p>
      <w:pPr>
        <w:pStyle w:val="BodyText"/>
      </w:pPr>
      <w:r>
        <w:t xml:space="preserve">Un sottostudio su 98 partecipanti con steatosi epatica (almeno il 10% di grasso nel fegato) ha rilevato dopo 24 settimane una riduzione relativa del grasso epatico fino all’82,4%; con la dose più alta l’86% aveva successivamente valori normali di grasso epatico, con il placebo nessuno (Sanyal 2024, PMID 38858523). Il contenuto di grasso epatico è un parametro surrogato: non è ancora dimostrato che in questo modo si riducano infiammazione epatica, fibrosi e cirrosi.</w:t>
      </w:r>
    </w:p>
    <w:p>
      <w:pPr>
        <w:pStyle w:val="BodyText"/>
      </w:pPr>
      <w:r>
        <w:t xml:space="preserve">Le analisi successive degli studi di fase 2 hanno mostrato miglioramenti dei lipidi ematici e dei marcatori infiammatori, per esempio un colesterolo non-HDL inferiore fino al 26,9% e un valore di PCR inferiore del 54,8% nello studio sull’obesità (Ruotolo 2026, PMID 42608321). Anche questi sono valori di laboratorio, non esiti clinici «duri».</w:t>
      </w:r>
    </w:p>
    <w:bookmarkEnd w:id="222"/>
    <w:bookmarkStart w:id="223" w:name="fase-3-i-programmi-triumph-e-transcend"/>
    <w:p>
      <w:pPr>
        <w:pStyle w:val="Heading4"/>
      </w:pPr>
      <w:r>
        <w:t xml:space="preserve">Fase 3: i programmi TRIUMPH e TRANSCEND</w:t>
      </w:r>
    </w:p>
    <w:p>
      <w:pPr>
        <w:pStyle w:val="FirstParagraph"/>
      </w:pPr>
      <w:r>
        <w:t xml:space="preserve">Il programma registrativo per l’obesità, TRIUMPH, comprende quattro studi con complessivamente oltre 5.800 partecipanti. Una particolarità è il disegno «basket»: all’interno dei grandi studi sul peso sono stati valutati sottogruppi con artrosi del ginocchio o apnea del sonno, con propri endpoint primari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(Jastreboff 2023), PMID 37366315</w:t>
            </w:r>
          </w:p>
        </w:tc>
        <w:tc>
          <w:tcPr/>
          <w:p>
            <w:pPr>
              <w:pStyle w:val="Compact"/>
              <w:jc w:val="left"/>
            </w:pPr>
            <w:r>
              <w:t xml:space="preserve">338 adulti senza diabete, contro placebo</w:t>
            </w:r>
          </w:p>
        </w:tc>
        <w:tc>
          <w:tcPr/>
          <w:p>
            <w:pPr>
              <w:pStyle w:val="Compact"/>
              <w:jc w:val="left"/>
            </w:pPr>
            <w:r>
              <w:t xml:space="preserve">48 settimane</w:t>
            </w:r>
          </w:p>
        </w:tc>
        <w:tc>
          <w:tcPr/>
          <w:p>
            <w:pPr>
              <w:pStyle w:val="Compact"/>
              <w:jc w:val="left"/>
            </w:pPr>
            <w:r>
              <w:t xml:space="preserve">fino a −24,2% di peso vs. −2,1%</w:t>
            </w:r>
          </w:p>
        </w:tc>
      </w:tr>
      <w:tr>
        <w:tc>
          <w:tcPr/>
          <w:p>
            <w:pPr>
              <w:pStyle w:val="Compact"/>
              <w:jc w:val="left"/>
            </w:pPr>
            <w:r>
              <w:t xml:space="preserve">Fase 2 diabete di tipo 2 (Rosenstock 2023), PMID 37385280</w:t>
            </w:r>
          </w:p>
        </w:tc>
        <w:tc>
          <w:tcPr/>
          <w:p>
            <w:pPr>
              <w:pStyle w:val="Compact"/>
              <w:jc w:val="left"/>
            </w:pPr>
            <w:r>
              <w:t xml:space="preserve">281 adulti, contro placebo e dulaglutide</w:t>
            </w:r>
          </w:p>
        </w:tc>
        <w:tc>
          <w:tcPr/>
          <w:p>
            <w:pPr>
              <w:pStyle w:val="Compact"/>
              <w:jc w:val="left"/>
            </w:pPr>
            <w:r>
              <w:t xml:space="preserve">36 settimane</w:t>
            </w:r>
          </w:p>
        </w:tc>
        <w:tc>
          <w:tcPr/>
          <w:p>
            <w:pPr>
              <w:pStyle w:val="Compact"/>
              <w:jc w:val="left"/>
            </w:pPr>
            <w:r>
              <w:t xml:space="preserve">HbA1c fino a −2,02 punti; peso fino a −16,94%</w:t>
            </w:r>
          </w:p>
        </w:tc>
      </w:tr>
      <w:tr>
        <w:tc>
          <w:tcPr/>
          <w:p>
            <w:pPr>
              <w:pStyle w:val="Compact"/>
              <w:jc w:val="left"/>
            </w:pPr>
            <w:r>
              <w:t xml:space="preserve">TRIUMPH-1 (Jastreboff 2026), PMID 42814954</w:t>
            </w:r>
          </w:p>
        </w:tc>
        <w:tc>
          <w:tcPr/>
          <w:p>
            <w:pPr>
              <w:pStyle w:val="Compact"/>
              <w:jc w:val="left"/>
            </w:pPr>
            <w:r>
              <w:t xml:space="preserve">2.339 adulti con obesità senza diabete, contro placebo</w:t>
            </w:r>
          </w:p>
        </w:tc>
        <w:tc>
          <w:tcPr/>
          <w:p>
            <w:pPr>
              <w:pStyle w:val="Compact"/>
              <w:jc w:val="left"/>
            </w:pPr>
            <w:r>
              <w:t xml:space="preserve">80 settimane</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adulti con obesità e diabete di tipo 2, contro placebo</w:t>
            </w:r>
          </w:p>
        </w:tc>
        <w:tc>
          <w:tcPr/>
          <w:p>
            <w:pPr>
              <w:pStyle w:val="Compact"/>
              <w:jc w:val="left"/>
            </w:pPr>
            <w:r>
              <w:t xml:space="preserve">80 settimane</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adulti con diabete di tipo 2 senza farmaci, contro placebo</w:t>
            </w:r>
          </w:p>
        </w:tc>
        <w:tc>
          <w:tcPr/>
          <w:p>
            <w:pPr>
              <w:pStyle w:val="Compact"/>
              <w:jc w:val="left"/>
            </w:pPr>
            <w:r>
              <w:t xml:space="preserve">40 settimane</w:t>
            </w:r>
          </w:p>
        </w:tc>
        <w:tc>
          <w:tcPr/>
          <w:p>
            <w:pPr>
              <w:pStyle w:val="Compact"/>
              <w:jc w:val="left"/>
            </w:pPr>
            <w:r>
              <w:t xml:space="preserve">HbA1c da −1,69 a −1,94 vs. −0,81; peso fino a −15,3%</w:t>
            </w:r>
          </w:p>
        </w:tc>
      </w:tr>
    </w:tbl>
    <w:p>
      <w:pPr>
        <w:pStyle w:val="BodyText"/>
      </w:pPr>
      <w:r>
        <w:rPr>
          <w:bCs/>
          <w:b/>
        </w:rPr>
        <w:t xml:space="preserve">TRIUMPH-1</w:t>
      </w:r>
      <w:r>
        <w:t xml:space="preserve"> </w:t>
      </w:r>
      <w:r>
        <w:t xml:space="preserve">(Jastreboff 2026, PMID 42814954) è lo studio principale. In 2.339 adulti con obesità senza diabete il peso corporeo si è ridotto dopo 80 settimane, con la dose più alta, in media del 25,0%. Per confronto: in SURMOUNT-1 tirzepatide alla dose più alta ha raggiunto il 20,9% dopo 72 settimane. Un simile confronto incrociato tra studi con durata e popolazione diverse è però solo un orientamento approssimativo; il confronto diretto dovrebbe arrivare da uno studio in corso (si vedano le prospettive).</w:t>
      </w:r>
    </w:p>
    <w:p>
      <w:pPr>
        <w:pStyle w:val="BodyText"/>
      </w:pPr>
      <w:r>
        <w:t xml:space="preserve">Negli studi secondari integrati:</w:t>
      </w:r>
    </w:p>
    <w:p>
      <w:pPr>
        <w:numPr>
          <w:ilvl w:val="0"/>
          <w:numId w:val="1068"/>
        </w:numPr>
        <w:pStyle w:val="Compact"/>
      </w:pPr>
      <w:r>
        <w:rPr>
          <w:bCs/>
          <w:b/>
        </w:rPr>
        <w:t xml:space="preserve">Artrosi del ginocchio</w:t>
      </w:r>
      <w:r>
        <w:t xml:space="preserve"> </w:t>
      </w:r>
      <w:r>
        <w:t xml:space="preserve">(574 partecipanti): il punteggio del dolore (WOMAC, scala da 1 a 10) è diminuito rispettivamente di 3,5 e 3,6 punti con 9 e 12 mg, rispetto a 1,9 punti con il placebo.</w:t>
      </w:r>
    </w:p>
    <w:p>
      <w:pPr>
        <w:numPr>
          <w:ilvl w:val="0"/>
          <w:numId w:val="1068"/>
        </w:numPr>
        <w:pStyle w:val="Compact"/>
      </w:pPr>
      <w:r>
        <w:rPr>
          <w:bCs/>
          <w:b/>
        </w:rPr>
        <w:t xml:space="preserve">Apnea del sonno</w:t>
      </w:r>
      <w:r>
        <w:t xml:space="preserve"> </w:t>
      </w:r>
      <w:r>
        <w:t xml:space="preserve">(243 partecipanti): l’indice di apnea-ipopnea è diminuito di circa 32–34 eventi all’ora, con il placebo di poco meno di 10.</w:t>
      </w:r>
    </w:p>
    <w:p>
      <w:pPr>
        <w:pStyle w:val="FirstParagraph"/>
      </w:pPr>
      <w:r>
        <w:rPr>
          <w:bCs/>
          <w:b/>
        </w:rPr>
        <w:t xml:space="preserve">TRIUMPH-2</w:t>
      </w:r>
      <w:r>
        <w:t xml:space="preserve"> </w:t>
      </w:r>
      <w:r>
        <w:t xml:space="preserve">(Bellido 2026, PMID 42810372) ha confermato lo schema noto secondo cui le persone con diabete di tipo 2 perdono meno peso: −18,8% con la dose più alta rispetto a −5,1% con il placebo. Questo studio ha fornito anche i dati di sicurezza finora più precisi (si veda più avanti).</w:t>
      </w:r>
    </w:p>
    <w:p>
      <w:pPr>
        <w:pStyle w:val="BodyText"/>
      </w:pPr>
      <w:r>
        <w:rPr>
          <w:bCs/>
          <w:b/>
        </w:rPr>
        <w:t xml:space="preserve">TRANSCEND-T2D-1</w:t>
      </w:r>
      <w:r>
        <w:t xml:space="preserve"> </w:t>
      </w:r>
      <w:r>
        <w:t xml:space="preserve">(Bajaj 2026, PMID 42250575) ha valutato retatrutide come unico trattamento antidiabetico in persone con diabete di breve durata. L’HbA1c è diminuita fino a 1,94 punti percentuali, il peso fino al 15,3%; non si sono verificate ipoglicemie gravi.</w:t>
      </w:r>
    </w:p>
    <w:p>
      <w:pPr>
        <w:pStyle w:val="BodyText"/>
      </w:pPr>
      <w:r>
        <w:t xml:space="preserve">TRIUMPH-3 (obesità con malattia cardiovascolare, NCT05882045) e TRIUMPH-4 (artrosi del ginocchio, NCT05931367) risultano conclusi secondo il registro; alla chiusura redazionale di questi capitoli non era ancora disponibile una pubblicazione sottoposta a revisione paritaria.</w:t>
      </w:r>
    </w:p>
    <w:bookmarkEnd w:id="223"/>
    <w:bookmarkEnd w:id="224"/>
    <w:bookmarkStart w:id="225" w:name="studi-su-animali-e-in-laboratorio-5"/>
    <w:p>
      <w:pPr>
        <w:pStyle w:val="Heading3"/>
      </w:pPr>
      <w:r>
        <w:t xml:space="preserve">Studi su animali e in laboratorio</w:t>
      </w:r>
    </w:p>
    <w:p>
      <w:pPr>
        <w:pStyle w:val="FirstParagraph"/>
      </w:pPr>
      <w:r>
        <w:t xml:space="preserve">Le basi precliniche provengono in gran parte dal produttore. Nelle colture cellulari retatrutide attiva tutti e tre i recettori; nei topi obesi ha ridotto peso e glicemia, e la componente glucagonica ha aumentato il dispendio energetico (Coskun 2022, PMID 35985340). Un lavoro su topi obesi descrive che tumori pancreatici e polmonari trapiantati attecchivano meno spesso e crescevano più lentamente sotto retatrutide (Marathe 2025, PMID 40094000): un risultato su animali da cui non si può dedurre nulla per l’uomo.</w:t>
      </w:r>
    </w:p>
    <w:p>
      <w:pPr>
        <w:pStyle w:val="BodyText"/>
      </w:pPr>
      <w:r>
        <w:t xml:space="preserve">Per le analisi antidoping è stato sviluppato nel 2026 un metodo di rilevamento. A questo scopo sono stati analizzati campioni di sangue e di urina di quattro persone che si erano iniettate retatrutide da sole, al di fuori degli studi. Nelle urine non è stato trovato retatrutide intatto; nel sangue era rilevabile fino a circa 56 giorni dopo la prima iniezione (Carneiro 2026, PMID 42745421). Gli autori fanno riferimento a segnalazioni sull’uso tra sportivi amatoriali.</w:t>
      </w:r>
    </w:p>
    <w:bookmarkEnd w:id="225"/>
    <w:bookmarkStart w:id="226" w:name="rischi-ed-effetti-collaterali-5"/>
    <w:p>
      <w:pPr>
        <w:pStyle w:val="Heading3"/>
      </w:pPr>
      <w:r>
        <w:t xml:space="preserve">Rischi ed effetti collaterali</w:t>
      </w:r>
    </w:p>
    <w:p>
      <w:pPr>
        <w:pStyle w:val="FirstParagraph"/>
      </w:pPr>
      <w:r>
        <w:rPr>
          <w:bCs/>
          <w:b/>
        </w:rPr>
        <w:t xml:space="preserve">Documentati dagli studi:</w:t>
      </w:r>
    </w:p>
    <w:p>
      <w:pPr>
        <w:numPr>
          <w:ilvl w:val="0"/>
          <w:numId w:val="1069"/>
        </w:numPr>
        <w:pStyle w:val="Compact"/>
      </w:pPr>
      <w:r>
        <w:rPr>
          <w:bCs/>
          <w:b/>
        </w:rPr>
        <w:t xml:space="preserve">Disturbi gastrointestinali:</w:t>
      </w:r>
      <w:r>
        <w:t xml:space="preserve"> </w:t>
      </w:r>
      <w:r>
        <w:t xml:space="preserve">sono gli effetti collaterali più frequenti e nettamente dose-dipendenti. In TRIUMPH-2 la diarrea si è verificata nel 27–34% (placebo 13%) e la nausea nel 14–28% (placebo 8%) (Bellido 2026, PMID 42810372).</w:t>
      </w:r>
    </w:p>
    <w:p>
      <w:pPr>
        <w:numPr>
          <w:ilvl w:val="0"/>
          <w:numId w:val="1069"/>
        </w:numPr>
        <w:pStyle w:val="Compact"/>
      </w:pPr>
      <w:r>
        <w:rPr>
          <w:bCs/>
          <w:b/>
        </w:rPr>
        <w:t xml:space="preserve">Interruzioni del trattamento:</w:t>
      </w:r>
      <w:r>
        <w:t xml:space="preserve"> </w:t>
      </w:r>
      <w:r>
        <w:t xml:space="preserve">in TRIUMPH-2 il 12% (9 mg) e l’8% (12 mg) hanno interrotto il trattamento per effetti collaterali o decesso, con 4 mg il 4% e con il placebo il 5%.</w:t>
      </w:r>
    </w:p>
    <w:p>
      <w:pPr>
        <w:numPr>
          <w:ilvl w:val="0"/>
          <w:numId w:val="1069"/>
        </w:numPr>
        <w:pStyle w:val="Compact"/>
      </w:pPr>
      <w:r>
        <w:rPr>
          <w:bCs/>
          <w:b/>
        </w:rPr>
        <w:t xml:space="preserve">Disestesia</w:t>
      </w:r>
      <w:r>
        <w:t xml:space="preserve"> </w:t>
      </w:r>
      <w:r>
        <w:t xml:space="preserve">– sensazioni cutanee sgradevoli come formicolio, bruciore o ipersensibilità al tatto – si è verificata in TRIUMPH-2 in modo dose-dipendente nel 4–7% rispetto all’1% con il placebo. Questo segnale è relativamente nuovo per retatrutide; la causa non è chiarita.</w:t>
      </w:r>
    </w:p>
    <w:p>
      <w:pPr>
        <w:numPr>
          <w:ilvl w:val="0"/>
          <w:numId w:val="1069"/>
        </w:numPr>
        <w:pStyle w:val="Compact"/>
      </w:pPr>
      <w:r>
        <w:rPr>
          <w:bCs/>
          <w:b/>
        </w:rPr>
        <w:t xml:space="preserve">Pressione bassa</w:t>
      </w:r>
      <w:r>
        <w:t xml:space="preserve"> </w:t>
      </w:r>
      <w:r>
        <w:t xml:space="preserve">(ipotensione): 1–6% rispetto a meno dell’1% con il placebo (TRIUMPH-2).</w:t>
      </w:r>
    </w:p>
    <w:p>
      <w:pPr>
        <w:numPr>
          <w:ilvl w:val="0"/>
          <w:numId w:val="1069"/>
        </w:numPr>
        <w:pStyle w:val="Compact"/>
      </w:pPr>
      <w:r>
        <w:rPr>
          <w:bCs/>
          <w:b/>
        </w:rPr>
        <w:t xml:space="preserve">Frequenza cardiaca:</w:t>
      </w:r>
      <w:r>
        <w:t xml:space="preserve"> </w:t>
      </w:r>
      <w:r>
        <w:t xml:space="preserve">nello studio di fase 2 il polso è aumentato in modo dose-dipendente ed è poi diminuito dopo 24 settimane (Jastreboff 2023, PMID 37366315). Una frequenza a riposo più alta è nota per tutti i farmaci GLP-1; se nel triplo agonista sia clinicamente rilevante dovranno chiarirlo gli studi sugli esiti.</w:t>
      </w:r>
    </w:p>
    <w:p>
      <w:pPr>
        <w:numPr>
          <w:ilvl w:val="0"/>
          <w:numId w:val="1069"/>
        </w:numPr>
        <w:pStyle w:val="Compact"/>
      </w:pPr>
      <w:r>
        <w:rPr>
          <w:bCs/>
          <w:b/>
        </w:rPr>
        <w:t xml:space="preserve">Perdita di massa magra:</w:t>
      </w:r>
      <w:r>
        <w:t xml:space="preserve"> </w:t>
      </w:r>
      <w:r>
        <w:t xml:space="preserve">come per ogni forte calo di peso (si veda tirzepatide).</w:t>
      </w:r>
    </w:p>
    <w:p>
      <w:pPr>
        <w:pStyle w:val="FirstParagraph"/>
      </w:pPr>
      <w:r>
        <w:rPr>
          <w:bCs/>
          <w:b/>
        </w:rPr>
        <w:t xml:space="preserve">Teorici o ancora studiati in modo insufficiente:</w:t>
      </w:r>
      <w:r>
        <w:t xml:space="preserve"> </w:t>
      </w:r>
      <w:r>
        <w:t xml:space="preserve">la componente glucagonica potrebbe avere a lungo termine effetti sul metabolismo degli aminoacidi, sul ritmo cardiaco e sulle ossa; non esistono in merito dati affidabili a lungo termine. Per i rischi di classe dei farmaci GLP-1 (colecisti, pancreas, cellule C della tiroide negli esperimenti sugli animali) per retatrutide ci sono ancora troppo pochi anni-paziente per formulare valutazioni proprie.</w:t>
      </w:r>
    </w:p>
    <w:p>
      <w:pPr>
        <w:pStyle w:val="BodyText"/>
      </w:pPr>
      <w:r>
        <w:rPr>
          <w:bCs/>
          <w:b/>
        </w:rPr>
        <w:t xml:space="preserve">Mercato grigio:</w:t>
      </w:r>
      <w:r>
        <w:t xml:space="preserve"> </w:t>
      </w:r>
      <w:r>
        <w:t xml:space="preserve">dalla pubblicazione della fase 2 retatrutide viene offerto su internet come «research peptide»; la rivista JAMA ha riferito nel 2026 di un crescente mercato nero di retatrutide e zenagamtide (Rubin 2026, PMID 42853576). Questi prodotti non sono medicinali, il loro contenuto non è verificato e con essi non è possibile riprodurre in modo affidabile gli schemi di titolazione usati negli studi. La concentrazione di effetti collaterali in caso di rapido aumento della dose negli studi mostra che proprio questo aspetto è decisivo per la tollerabilità. Si vedano in proposito la Parte I e la Parte IV.</w:t>
      </w:r>
    </w:p>
    <w:bookmarkEnd w:id="226"/>
    <w:bookmarkStart w:id="227" w:name="quadro-normativo-5"/>
    <w:p>
      <w:pPr>
        <w:pStyle w:val="Heading3"/>
      </w:pPr>
      <w:r>
        <w:t xml:space="preserve">Quadro normativo</w:t>
      </w:r>
    </w:p>
    <w:p>
      <w:pPr>
        <w:numPr>
          <w:ilvl w:val="0"/>
          <w:numId w:val="1070"/>
        </w:numPr>
        <w:pStyle w:val="Compact"/>
      </w:pPr>
      <w:r>
        <w:rPr>
          <w:bCs/>
          <w:b/>
        </w:rPr>
        <w:t xml:space="preserve">UE / Austria / Germania:</w:t>
      </w:r>
      <w:r>
        <w:t xml:space="preserve"> </w:t>
      </w:r>
      <w:r>
        <w:t xml:space="preserve">non autorizzato. Retatrutide può essere usato solo nell’ambito di studi clinici. La vendita come «sostanza chimica per la ricerca» destinata all’uso sull’uomo non è consentita dalla normativa sui medicinali.</w:t>
      </w:r>
    </w:p>
    <w:p>
      <w:pPr>
        <w:numPr>
          <w:ilvl w:val="0"/>
          <w:numId w:val="1070"/>
        </w:numPr>
        <w:pStyle w:val="Compact"/>
      </w:pPr>
      <w:r>
        <w:rPr>
          <w:bCs/>
          <w:b/>
        </w:rPr>
        <w:t xml:space="preserve">USA:</w:t>
      </w:r>
      <w:r>
        <w:t xml:space="preserve"> </w:t>
      </w:r>
      <w:r>
        <w:t xml:space="preserve">non autorizzato (aggiornato a ottobre 2026). Nel registro è iscritto un programma di accesso allargato prima dell’autorizzazione («Expanded Access») (NCT07629401). Se e quando venga o sia stata presentata una domanda di autorizzazione: da verificare.</w:t>
      </w:r>
    </w:p>
    <w:p>
      <w:pPr>
        <w:numPr>
          <w:ilvl w:val="0"/>
          <w:numId w:val="1070"/>
        </w:numPr>
        <w:pStyle w:val="Compact"/>
      </w:pPr>
      <w:r>
        <w:rPr>
          <w:bCs/>
          <w:b/>
        </w:rPr>
        <w:t xml:space="preserve">Sport:</w:t>
      </w:r>
      <w:r>
        <w:t xml:space="preserve"> </w:t>
      </w:r>
      <w:r>
        <w:t xml:space="preserve">in quanto principio attivo non autorizzato, retatrutide rientra nella classe WADA S0 (aggiornato al 2026, da verificare). È descritto un metodo specifico di rilevamento nel sangue.</w:t>
      </w:r>
    </w:p>
    <w:bookmarkEnd w:id="227"/>
    <w:bookmarkStart w:id="228" w:name="studi-in-corso-e-prospettive-5"/>
    <w:p>
      <w:pPr>
        <w:pStyle w:val="Heading3"/>
      </w:pPr>
      <w:r>
        <w:t xml:space="preserve">Studi in corso e prospettive</w:t>
      </w:r>
    </w:p>
    <w:p>
      <w:pPr>
        <w:pStyle w:val="FirstParagraph"/>
      </w:pPr>
      <w:r>
        <w:rPr>
          <w:bCs/>
          <w:b/>
        </w:rPr>
        <w:t xml:space="preserve">Certo (studi registrati, aggiornato a ottobre 2026):</w:t>
      </w:r>
    </w:p>
    <w:p>
      <w:pPr>
        <w:numPr>
          <w:ilvl w:val="0"/>
          <w:numId w:val="1071"/>
        </w:numPr>
        <w:pStyle w:val="Compact"/>
      </w:pPr>
      <w:r>
        <w:rPr>
          <w:bCs/>
          <w:b/>
        </w:rPr>
        <w:t xml:space="preserve">TRIUMPH-Outcomes</w:t>
      </w:r>
      <w:r>
        <w:t xml:space="preserve"> </w:t>
      </w:r>
      <w:r>
        <w:t xml:space="preserve">(NCT06383390): studio sugli esiti cardiovascolari e renali con circa 10.000 partecipanti con obesità, conclusione prevista nel 2029.</w:t>
      </w:r>
    </w:p>
    <w:p>
      <w:pPr>
        <w:numPr>
          <w:ilvl w:val="0"/>
          <w:numId w:val="1071"/>
        </w:numPr>
        <w:pStyle w:val="Compact"/>
      </w:pPr>
      <w:r>
        <w:rPr>
          <w:bCs/>
          <w:b/>
        </w:rPr>
        <w:t xml:space="preserve">Retatrutide contro tirzepatide</w:t>
      </w:r>
      <w:r>
        <w:t xml:space="preserve"> </w:t>
      </w:r>
      <w:r>
        <w:t xml:space="preserve">(NCT06662383): confronto diretto su 800 adulti con obesità, fine dello studio prevista a dicembre 2026.</w:t>
      </w:r>
    </w:p>
    <w:p>
      <w:pPr>
        <w:numPr>
          <w:ilvl w:val="0"/>
          <w:numId w:val="1071"/>
        </w:numPr>
        <w:pStyle w:val="Compact"/>
      </w:pPr>
      <w:r>
        <w:rPr>
          <w:bCs/>
          <w:b/>
        </w:rPr>
        <w:t xml:space="preserve">Retatrutide contro semaglutide</w:t>
      </w:r>
      <w:r>
        <w:t xml:space="preserve"> </w:t>
      </w:r>
      <w:r>
        <w:t xml:space="preserve">nel diabete di tipo 2 (NCT06260722).</w:t>
      </w:r>
    </w:p>
    <w:p>
      <w:pPr>
        <w:numPr>
          <w:ilvl w:val="0"/>
          <w:numId w:val="1071"/>
        </w:numPr>
        <w:pStyle w:val="Compact"/>
      </w:pPr>
      <w:r>
        <w:rPr>
          <w:bCs/>
          <w:b/>
        </w:rPr>
        <w:t xml:space="preserve">Mantenimento del peso</w:t>
      </w:r>
      <w:r>
        <w:t xml:space="preserve"> </w:t>
      </w:r>
      <w:r>
        <w:t xml:space="preserve">dopo il calo (NCT06859268),</w:t>
      </w:r>
      <w:r>
        <w:t xml:space="preserve"> </w:t>
      </w:r>
      <w:r>
        <w:rPr>
          <w:bCs/>
          <w:b/>
        </w:rPr>
        <w:t xml:space="preserve">funzione renale</w:t>
      </w:r>
      <w:r>
        <w:t xml:space="preserve"> </w:t>
      </w:r>
      <w:r>
        <w:t xml:space="preserve">nel diabete di tipo 2 con insufficienza renale (NCT06297603),</w:t>
      </w:r>
      <w:r>
        <w:t xml:space="preserve"> </w:t>
      </w:r>
      <w:r>
        <w:rPr>
          <w:bCs/>
          <w:b/>
        </w:rPr>
        <w:t xml:space="preserve">lombalgia cronica</w:t>
      </w:r>
      <w:r>
        <w:t xml:space="preserve"> </w:t>
      </w:r>
      <w:r>
        <w:t xml:space="preserve">nell’obesità (NCT07035093).</w:t>
      </w:r>
    </w:p>
    <w:p>
      <w:pPr>
        <w:numPr>
          <w:ilvl w:val="0"/>
          <w:numId w:val="1071"/>
        </w:numPr>
        <w:pStyle w:val="Compact"/>
      </w:pPr>
      <w:r>
        <w:t xml:space="preserve">Retatrutide fa inoltre parte di un protocollo master di fase 3 sulla steatosi epatica (NCT07165028).</w:t>
      </w:r>
    </w:p>
    <w:p>
      <w:pPr>
        <w:pStyle w:val="FirstParagraph"/>
      </w:pPr>
      <w:r>
        <w:rPr>
          <w:bCs/>
          <w:b/>
        </w:rPr>
        <w:t xml:space="preserve">Valutazione:</w:t>
      </w:r>
      <w:r>
        <w:t xml:space="preserve"> </w:t>
      </w:r>
      <w:r>
        <w:t xml:space="preserve">dopo i dati di TRIUMPH-1 e TRIUMPH-2 sono da attendersi domande di autorizzazione negli USA e nell’UE; un’introduzione sul mercato nel 2027 o nel 2028 appare plausibile, ma non è certa. Se una perdita di peso aggiuntiva rispetto a tirzepatide compensi i tassi di interruzione un po’ più alti e il nuovo segnale della disestesia lo mostrerà il confronto diretto. Per molte persone una perdita di peso media e ben tollerata è più importante di un valore record.</w:t>
      </w:r>
    </w:p>
    <w:bookmarkEnd w:id="228"/>
    <w:bookmarkStart w:id="229" w:name="conclusione-5"/>
    <w:p>
      <w:pPr>
        <w:pStyle w:val="Heading3"/>
      </w:pPr>
      <w:r>
        <w:t xml:space="preserve">Conclusione</w:t>
      </w:r>
    </w:p>
    <w:p>
      <w:pPr>
        <w:pStyle w:val="FirstParagraph"/>
      </w:pPr>
      <w:r>
        <w:t xml:space="preserve">Retatrutide è un triplo agonista dei recettori GIP, GLP-1 e del glucagone e nello studio di fase 3 TRIUMPH-1 ha ottenuto una perdita di peso media del 25,0% dopo 80 settimane: il valore più alto finora misurato in un grande studio farmacologico. Effetti netti si sono osservati anche nel diabete di tipo 2, nell’artrosi del ginocchio e nell’apnea del sonno. Gli effetti collaterali riguardano soprattutto il tratto gastrointestinale; nuove sono le sensazioni cutanee anomale, e i tassi di interruzione aumentano alle dosi alte. Mancano ancora i dati sugli eventi cardiovascolari e un’autorizzazione. I prodotti del mercato grigio con la scritta «Retatrutide» non sono una scorciatoia sicura verso questo farmaco.</w:t>
      </w:r>
    </w:p>
    <w:bookmarkEnd w:id="229"/>
    <w:bookmarkEnd w:id="230"/>
    <w:bookmarkStart w:id="241" w:name="survodutide"/>
    <w:p>
      <w:pPr>
        <w:pStyle w:val="Heading2"/>
      </w:pPr>
      <w:r>
        <w:t xml:space="preserve">Survodutide</w:t>
      </w:r>
    </w:p>
    <w:bookmarkStart w:id="231" w:name="scheda-6"/>
    <w:p>
      <w:pPr>
        <w:pStyle w:val="Heading3"/>
      </w:pPr>
      <w:r>
        <w:t xml:space="preserve">Scheda</w:t>
      </w:r>
    </w:p>
    <w:p>
      <w:pPr>
        <w:numPr>
          <w:ilvl w:val="0"/>
          <w:numId w:val="1072"/>
        </w:numPr>
        <w:pStyle w:val="Compact"/>
      </w:pPr>
      <w:r>
        <w:rPr>
          <w:bCs/>
          <w:b/>
        </w:rPr>
        <w:t xml:space="preserve">Tipo/struttura:</w:t>
      </w:r>
      <w:r>
        <w:t xml:space="preserve"> </w:t>
      </w:r>
      <w:r>
        <w:t xml:space="preserve">peptide sintetico modificato con acido grasso, per la somministrazione sottocutanea una volta alla settimana; codice di sviluppo BI 456906.</w:t>
      </w:r>
    </w:p>
    <w:p>
      <w:pPr>
        <w:numPr>
          <w:ilvl w:val="0"/>
          <w:numId w:val="1072"/>
        </w:numPr>
        <w:pStyle w:val="Compact"/>
      </w:pPr>
      <w:r>
        <w:rPr>
          <w:bCs/>
          <w:b/>
        </w:rPr>
        <w:t xml:space="preserve">Origine:</w:t>
      </w:r>
      <w:r>
        <w:t xml:space="preserve"> </w:t>
      </w:r>
      <w:r>
        <w:t xml:space="preserve">sviluppato da Boehringer Ingelheim in collaborazione con l’azienda danese Zealand Pharma.</w:t>
      </w:r>
    </w:p>
    <w:p>
      <w:pPr>
        <w:numPr>
          <w:ilvl w:val="0"/>
          <w:numId w:val="1072"/>
        </w:numPr>
        <w:pStyle w:val="Compact"/>
      </w:pPr>
      <w:r>
        <w:rPr>
          <w:bCs/>
          <w:b/>
        </w:rPr>
        <w:t xml:space="preserve">Principio d’azione:</w:t>
      </w:r>
      <w:r>
        <w:t xml:space="preserve"> </w:t>
      </w:r>
      <w:r>
        <w:t xml:space="preserve">doppio agonista dei recettori del glucagone e del GLP-1 (senza componente GIP).</w:t>
      </w:r>
    </w:p>
    <w:p>
      <w:pPr>
        <w:numPr>
          <w:ilvl w:val="0"/>
          <w:numId w:val="1072"/>
        </w:numPr>
        <w:pStyle w:val="Compact"/>
      </w:pPr>
      <w:r>
        <w:rPr>
          <w:bCs/>
          <w:b/>
        </w:rPr>
        <w:t xml:space="preserve">Autorizzazione UE:</w:t>
      </w:r>
      <w:r>
        <w:t xml:space="preserve"> </w:t>
      </w:r>
      <w:r>
        <w:t xml:space="preserve">no (aggiornato a ottobre 2026).</w:t>
      </w:r>
    </w:p>
    <w:p>
      <w:pPr>
        <w:numPr>
          <w:ilvl w:val="0"/>
          <w:numId w:val="1072"/>
        </w:numPr>
        <w:pStyle w:val="Compact"/>
      </w:pPr>
      <w:r>
        <w:rPr>
          <w:bCs/>
          <w:b/>
        </w:rPr>
        <w:t xml:space="preserve">Autorizzazione USA:</w:t>
      </w:r>
      <w:r>
        <w:t xml:space="preserve"> </w:t>
      </w:r>
      <w:r>
        <w:t xml:space="preserve">no (aggiornato a ottobre 2026).</w:t>
      </w:r>
    </w:p>
    <w:p>
      <w:pPr>
        <w:numPr>
          <w:ilvl w:val="0"/>
          <w:numId w:val="1072"/>
        </w:numPr>
        <w:pStyle w:val="Compact"/>
      </w:pPr>
      <w:r>
        <w:rPr>
          <w:bCs/>
          <w:b/>
        </w:rPr>
        <w:t xml:space="preserve">WADA:</w:t>
      </w:r>
      <w:r>
        <w:t xml:space="preserve"> </w:t>
      </w:r>
      <w:r>
        <w:t xml:space="preserve">in quanto principio attivo non autorizzato in alcun Paese, vietato in base alla classe S0 «Sostanze non approvate» (aggiornato al 2026, da verificare).</w:t>
      </w:r>
    </w:p>
    <w:p>
      <w:pPr>
        <w:numPr>
          <w:ilvl w:val="0"/>
          <w:numId w:val="1072"/>
        </w:numPr>
        <w:pStyle w:val="Compact"/>
      </w:pPr>
      <w:r>
        <w:rPr>
          <w:bCs/>
          <w:b/>
        </w:rPr>
        <w:t xml:space="preserve">Livello di evidenza:</w:t>
      </w:r>
      <w:r>
        <w:t xml:space="preserve"> </w:t>
      </w:r>
      <w:r>
        <w:rPr>
          <w:bCs/>
          <w:b/>
        </w:rPr>
        <w:t xml:space="preserve">B</w:t>
      </w:r>
      <w:r>
        <w:t xml:space="preserve"> </w:t>
      </w:r>
      <w:r>
        <w:t xml:space="preserve">– pubblicati studi randomizzati di fase 2 e i primi studi di fase 3, nessuna autorizzazione.</w:t>
      </w:r>
    </w:p>
    <w:bookmarkEnd w:id="231"/>
    <w:bookmarkStart w:id="232" w:name="come-dovrebbe-agire-6"/>
    <w:p>
      <w:pPr>
        <w:pStyle w:val="Heading3"/>
      </w:pPr>
      <w:r>
        <w:t xml:space="preserve">Come dovrebbe agire</w:t>
      </w:r>
    </w:p>
    <w:p>
      <w:pPr>
        <w:pStyle w:val="FirstParagraph"/>
      </w:pPr>
      <w:r>
        <w:t xml:space="preserve">Survodutide combina due ormoni dell’intestino e del pancreas: il GLP-1, che favorisce la sazietà e potenzia la secrezione di insulina, e il glucagone, che aumenta il dispendio energetico e stimola il fegato a degradare i grassi. Mentre tirzepatide punta su GIP più GLP-1 e retatrutide riunisce tutti e tre i segnali, survodutide rinuncia alla componente GIP e accentua invece l’effetto del glucagone. Il produttore mira così soprattutto al fegato: la steatoepatite MASH è, accanto all’obesità, la seconda principale area di sviluppo.</w:t>
      </w:r>
    </w:p>
    <w:p>
      <w:pPr>
        <w:pStyle w:val="BodyText"/>
      </w:pPr>
      <w:r>
        <w:t xml:space="preserve">Survodutide è stato scelto tra 19 candidati simili perché negli esperimenti sugli animali agiva in modo bilanciato su entrambi i recettori. Nei topi obesi il peso corporeo si è ridotto di circa un quarto (Thomas 2024, PMID 38560764). Studi sui topi indicano che l’effetto di riduzione dell’appetito nel cervello passa soprattutto attraverso il recettore del GLP-1; la componente glucagonica agisce piuttosto nel resto dell’organismo, per esempio nel fegato (Zimmermann 2026, PMID 41638399). Sono risultati su animali; nell’uomo l’effetto sul dispendio energetico viene attualmente misurato in uno studio dedicato (NCT06745284).</w:t>
      </w:r>
    </w:p>
    <w:bookmarkEnd w:id="232"/>
    <w:bookmarkStart w:id="235" w:name="studi-sulluomo-6"/>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10 studi sull’uomo; a questi si aggiunge la pubblicazione dello studio di fase 3 SYNCHRONIZE-2, reperita con una ricerca mirata. Su ClinicalTrials.gov risultavano registrati 29 studi, tra cui il programma di fase 3 SYNCHRONIZE (obesità) e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diabete di tipo 2 (Blüher 2024), PMID 38095657</w:t>
            </w:r>
          </w:p>
        </w:tc>
        <w:tc>
          <w:tcPr/>
          <w:p>
            <w:pPr>
              <w:pStyle w:val="Compact"/>
              <w:jc w:val="left"/>
            </w:pPr>
            <w:r>
              <w:t xml:space="preserve">413 adulti in terapia con metformina, contro placebo e semaglutide in aperto</w:t>
            </w:r>
          </w:p>
        </w:tc>
        <w:tc>
          <w:tcPr/>
          <w:p>
            <w:pPr>
              <w:pStyle w:val="Compact"/>
              <w:jc w:val="left"/>
            </w:pPr>
            <w:r>
              <w:t xml:space="preserve">16 settimane</w:t>
            </w:r>
          </w:p>
        </w:tc>
        <w:tc>
          <w:tcPr/>
          <w:p>
            <w:pPr>
              <w:pStyle w:val="Compact"/>
              <w:jc w:val="left"/>
            </w:pPr>
            <w:r>
              <w:t xml:space="preserve">HbA1c fino a −1,71 punti; peso fino a −8,7% (semaglutide −5,3%)</w:t>
            </w:r>
          </w:p>
        </w:tc>
      </w:tr>
      <w:tr>
        <w:tc>
          <w:tcPr/>
          <w:p>
            <w:pPr>
              <w:pStyle w:val="Compact"/>
              <w:jc w:val="left"/>
            </w:pPr>
            <w:r>
              <w:t xml:space="preserve">Fase 2 obesità (le Roux 2024), PMID 38330987</w:t>
            </w:r>
          </w:p>
        </w:tc>
        <w:tc>
          <w:tcPr/>
          <w:p>
            <w:pPr>
              <w:pStyle w:val="Compact"/>
              <w:jc w:val="left"/>
            </w:pPr>
            <w:r>
              <w:t xml:space="preserve">387 adulti senza diabete, contro placebo</w:t>
            </w:r>
          </w:p>
        </w:tc>
        <w:tc>
          <w:tcPr/>
          <w:p>
            <w:pPr>
              <w:pStyle w:val="Compact"/>
              <w:jc w:val="left"/>
            </w:pPr>
            <w:r>
              <w:t xml:space="preserve">46 settimane</w:t>
            </w:r>
          </w:p>
        </w:tc>
        <w:tc>
          <w:tcPr/>
          <w:p>
            <w:pPr>
              <w:pStyle w:val="Compact"/>
              <w:jc w:val="left"/>
            </w:pPr>
            <w:r>
              <w:t xml:space="preserve">da −6,2 a −14,9% di peso vs. −2,8%</w:t>
            </w:r>
          </w:p>
        </w:tc>
      </w:tr>
      <w:tr>
        <w:tc>
          <w:tcPr/>
          <w:p>
            <w:pPr>
              <w:pStyle w:val="Compact"/>
              <w:jc w:val="left"/>
            </w:pPr>
            <w:r>
              <w:t xml:space="preserve">Fase 2 MASH (Sanyal 2024), PMID 38847460</w:t>
            </w:r>
          </w:p>
        </w:tc>
        <w:tc>
          <w:tcPr/>
          <w:p>
            <w:pPr>
              <w:pStyle w:val="Compact"/>
              <w:jc w:val="left"/>
            </w:pPr>
            <w:r>
              <w:t xml:space="preserve">293 adulti con MASH confermata da biopsia e fibrosi F1–F3</w:t>
            </w:r>
          </w:p>
        </w:tc>
        <w:tc>
          <w:tcPr/>
          <w:p>
            <w:pPr>
              <w:pStyle w:val="Compact"/>
              <w:jc w:val="left"/>
            </w:pPr>
            <w:r>
              <w:t xml:space="preserve">48 settimane</w:t>
            </w:r>
          </w:p>
        </w:tc>
        <w:tc>
          <w:tcPr/>
          <w:p>
            <w:pPr>
              <w:pStyle w:val="Compact"/>
              <w:jc w:val="left"/>
            </w:pPr>
            <w:r>
              <w:t xml:space="preserve">miglioramento della MASH nel 43–62% vs. 14%</w:t>
            </w:r>
          </w:p>
        </w:tc>
      </w:tr>
      <w:tr>
        <w:tc>
          <w:tcPr/>
          <w:p>
            <w:pPr>
              <w:pStyle w:val="Compact"/>
              <w:jc w:val="left"/>
            </w:pPr>
            <w:r>
              <w:t xml:space="preserve">SYNCHRONIZE-1 (le Roux 2026), PMID 42253238</w:t>
            </w:r>
          </w:p>
        </w:tc>
        <w:tc>
          <w:tcPr/>
          <w:p>
            <w:pPr>
              <w:pStyle w:val="Compact"/>
              <w:jc w:val="left"/>
            </w:pPr>
            <w:r>
              <w:t xml:space="preserve">725 adulti con obesità senza diabete, contro placebo</w:t>
            </w:r>
          </w:p>
        </w:tc>
        <w:tc>
          <w:tcPr/>
          <w:p>
            <w:pPr>
              <w:pStyle w:val="Compact"/>
              <w:jc w:val="left"/>
            </w:pPr>
            <w:r>
              <w:t xml:space="preserve">76 settimane</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adulti con obesità e diabete di tipo 2, contro placebo</w:t>
            </w:r>
          </w:p>
        </w:tc>
        <w:tc>
          <w:tcPr/>
          <w:p>
            <w:pPr>
              <w:pStyle w:val="Compact"/>
              <w:jc w:val="left"/>
            </w:pPr>
            <w:r>
              <w:t xml:space="preserve">76 settimane</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adulti con obesità e steatosi epatica con segni di rischio</w:t>
            </w:r>
          </w:p>
        </w:tc>
        <w:tc>
          <w:tcPr/>
          <w:p>
            <w:pPr>
              <w:pStyle w:val="Compact"/>
              <w:jc w:val="left"/>
            </w:pPr>
            <w:r>
              <w:t xml:space="preserve">48 settimane</w:t>
            </w:r>
          </w:p>
        </w:tc>
        <w:tc>
          <w:tcPr/>
          <w:p>
            <w:pPr>
              <w:pStyle w:val="Compact"/>
              <w:jc w:val="left"/>
            </w:pPr>
            <w:r>
              <w:t xml:space="preserve">grasso epatico −30% o più nell’84,2% vs. 24,3%</w:t>
            </w:r>
          </w:p>
        </w:tc>
      </w:tr>
    </w:tbl>
    <w:bookmarkStart w:id="233" w:name="obesità-e-diabete-di-tipo-2"/>
    <w:p>
      <w:pPr>
        <w:pStyle w:val="Heading4"/>
      </w:pPr>
      <w:r>
        <w:t xml:space="preserve">Obesità e diabete di tipo 2</w:t>
      </w:r>
    </w:p>
    <w:p>
      <w:pPr>
        <w:pStyle w:val="FirstParagraph"/>
      </w:pPr>
      <w:r>
        <w:t xml:space="preserve">Lo studio di fase 2 sull’obesità (le Roux 2024, PMID 38330987) ha mostrato dopo 46 settimane una perdita di peso dose-dipendente fino al 14,9%. Colpiva l’alto tasso di interruzione: solo il 61% dei partecipanti trattati con survodutide ha completato le 46 settimane di trattamento, ma anche solo il 60% di quelli con placebo. Effetti collaterali gastrointestinali si sono verificati nel 75% con survodutide e nel 42% con placebo. In questo studio la titolazione era relativamente rapida.</w:t>
      </w:r>
    </w:p>
    <w:p>
      <w:pPr>
        <w:pStyle w:val="BodyText"/>
      </w:pPr>
      <w:r>
        <w:t xml:space="preserve">Nello studio di fase 3</w:t>
      </w:r>
      <w:r>
        <w:t xml:space="preserve"> </w:t>
      </w:r>
      <w:r>
        <w:rPr>
          <w:bCs/>
          <w:b/>
        </w:rPr>
        <w:t xml:space="preserve">SYNCHRONIZE-1</w:t>
      </w:r>
      <w:r>
        <w:t xml:space="preserve"> </w:t>
      </w:r>
      <w:r>
        <w:t xml:space="preserve">(le Roux 2026, PMID 42253238) la titolazione è stata più lenta. Dopo 76 settimane i partecipanti con la dose più alta hanno perso il 13,0% del loro peso corporeo, con il placebo il 5,4%. Si tratta di valori inferiori a quelli raggiunti da tirzepatide o retatrutide in studi di impostazione simile. Va considerato che l’analisi principale includeva tutte le persone, anche quelle che avevano interrotto il trattamento o per le quali la titolazione era stata prolungata. I disturbi gastrointestinali hanno riguardato rispettivamente l’80,9% e l’89,7% rispetto al 47,9% con il placebo; non si sono verificati decessi.</w:t>
      </w:r>
    </w:p>
    <w:p>
      <w:pPr>
        <w:pStyle w:val="BodyText"/>
      </w:pPr>
      <w:r>
        <w:rPr>
          <w:bCs/>
          <w:b/>
        </w:rPr>
        <w:t xml:space="preserve">SYNCHRONIZE-2</w:t>
      </w:r>
      <w:r>
        <w:t xml:space="preserve"> </w:t>
      </w:r>
      <w:r>
        <w:t xml:space="preserve">(Wharton 2026, PMID 42820639) ha studiato 752 persone con obesità e diabete di tipo 2. La perdita di peso dopo 76 settimane è stata rispettivamente dell’8,2% e del 9,8% rispetto al 3,9% con il placebo; l’HbA1c è diminuita, partendo dal 7,4%, di 0,8–0,9 punti percentuali.</w:t>
      </w:r>
    </w:p>
    <w:p>
      <w:pPr>
        <w:pStyle w:val="BodyText"/>
      </w:pPr>
      <w:r>
        <w:t xml:space="preserve">Nello studio di fase 2 sul diabete di tipo 2 survodutide a bassa dose ha ridotto l’HbA1c dopo 16 settimane in misura simile a semaglutide 1 mg (circa −1,46 e −1,47 punti rispettivamente); le dosi più alte hanno portato a una perdita di peso maggiore rispetto a semaglutide (Blüher 2024, PMID 38095657). Il braccio con semaglutide era però in aperto e lo studio breve.</w:t>
      </w:r>
    </w:p>
    <w:bookmarkEnd w:id="233"/>
    <w:bookmarkStart w:id="234" w:name="steatosi-epatica-masld-e-mash"/>
    <w:p>
      <w:pPr>
        <w:pStyle w:val="Heading4"/>
      </w:pPr>
      <w:r>
        <w:t xml:space="preserve">Steatosi epatica (MASLD e MASH)</w:t>
      </w:r>
    </w:p>
    <w:p>
      <w:pPr>
        <w:pStyle w:val="FirstParagraph"/>
      </w:pPr>
      <w:r>
        <w:t xml:space="preserve">Qui risiede il vero punto di forza dei dati finora disponibili. Nello studio di fase 2 sulla MASH con fibrosi confermata da biopsia (Sanyal 2024, PMID 38847460) l’infiammazione epatica è migliorata senza peggioramento della fibrosi nel 47%, 62% e 43% dei tre gruppi di dose rispetto al 14% con il placebo. Un miglioramento della fibrosi di almeno uno stadio si è osservato nel 34–36% rispetto al 22%. La curva dose-risposta non era lineare: la dose intermedia ha dato i risultati migliori.</w:t>
      </w:r>
    </w:p>
    <w:p>
      <w:pPr>
        <w:pStyle w:val="BodyText"/>
      </w:pPr>
      <w:r>
        <w:t xml:space="preserve">Lo studio di fase 3</w:t>
      </w:r>
      <w:r>
        <w:t xml:space="preserve"> </w:t>
      </w:r>
      <w:r>
        <w:rPr>
          <w:bCs/>
          <w:b/>
        </w:rPr>
        <w:t xml:space="preserve">SYNCHRONIZE-MASLD</w:t>
      </w:r>
      <w:r>
        <w:t xml:space="preserve"> </w:t>
      </w:r>
      <w:r>
        <w:t xml:space="preserve">(Kaplan 2026, PMID 42252333) su 216 adulti ha mostrato dopo 48 settimane, nell’84,2% dei trattati con survodutide, una riduzione del grasso epatico di almeno il 30% (placebo 24,3%), misurata con risonanza magnetica. Secondo l’analisi più rigorosa, che tiene conto anche delle interruzioni del trattamento, si trattava del 68,5% rispetto al 28,6%. Gli autori stessi indicano come limiti la breve durata e il reclutamento solo negli USA e in Spagna.</w:t>
      </w:r>
    </w:p>
    <w:p>
      <w:pPr>
        <w:pStyle w:val="BodyText"/>
      </w:pPr>
      <w:r>
        <w:t xml:space="preserve">In uno studio di fase 1 in aperto survodutide è stato studiato anche in persone con cirrosi epatica, compresi gli stadi avanzati. I livelli nel sangue non differivano sostanzialmente da quelli di persone con fegato sano; grasso epatico, rigidità epatica e peso corporeo sono diminuiti nell’arco di 28 settimane (Lawitz 2024, PMID 38857788). Questo studio era piccolo e non controllato.</w:t>
      </w:r>
    </w:p>
    <w:bookmarkEnd w:id="234"/>
    <w:bookmarkEnd w:id="235"/>
    <w:bookmarkStart w:id="236" w:name="studi-su-animali-e-in-laboratorio-6"/>
    <w:p>
      <w:pPr>
        <w:pStyle w:val="Heading3"/>
      </w:pPr>
      <w:r>
        <w:t xml:space="preserve">Studi su animali e in laboratorio</w:t>
      </w:r>
    </w:p>
    <w:p>
      <w:pPr>
        <w:pStyle w:val="FirstParagraph"/>
      </w:pPr>
      <w:r>
        <w:t xml:space="preserve">I dati preclinici provengono in gran parte dai laboratori del produttore: profili recettoriali in linee cellulari, perdita di peso in topi con obesità indotta dalla dieta e riduzione della glicemia in topi diabetici (Thomas 2024, PMID 38560764). Sul sito d’azione nel cervello esistono studi su topi e su tessuto umano (Zimmermann 2026, PMID 41638399). Gli studi indipendenti sugli animali sono rari.</w:t>
      </w:r>
    </w:p>
    <w:bookmarkEnd w:id="236"/>
    <w:bookmarkStart w:id="237" w:name="rischi-ed-effetti-collaterali-6"/>
    <w:p>
      <w:pPr>
        <w:pStyle w:val="Heading3"/>
      </w:pPr>
      <w:r>
        <w:t xml:space="preserve">Rischi ed effetti collaterali</w:t>
      </w:r>
    </w:p>
    <w:p>
      <w:pPr>
        <w:pStyle w:val="FirstParagraph"/>
      </w:pPr>
      <w:r>
        <w:rPr>
          <w:bCs/>
          <w:b/>
        </w:rPr>
        <w:t xml:space="preserve">Documentati dagli studi:</w:t>
      </w:r>
    </w:p>
    <w:p>
      <w:pPr>
        <w:numPr>
          <w:ilvl w:val="0"/>
          <w:numId w:val="1073"/>
        </w:numPr>
        <w:pStyle w:val="Compact"/>
      </w:pPr>
      <w:r>
        <w:rPr>
          <w:bCs/>
          <w:b/>
        </w:rPr>
        <w:t xml:space="preserve">Disturbi gastrointestinali:</w:t>
      </w:r>
      <w:r>
        <w:t xml:space="preserve"> </w:t>
      </w:r>
      <w:r>
        <w:t xml:space="preserve">con survodutide sono particolarmente frequenti. Nello studio sulla MASH si sono verificati nausea nel 66% (placebo 23%), diarrea nel 49% (23%) e vomito nel 41% (4%) (Sanyal 2024, PMID 38847460). In SYNCHRONIZE-1 fino all’89,7% ha riferito disturbi gastrointestinali (le Roux 2026, PMID 42253238). La frequenza è alta rispetto ad altri farmaci incretinici, anche se la maggior parte dei disturbi era da lieve a moderata.</w:t>
      </w:r>
    </w:p>
    <w:p>
      <w:pPr>
        <w:numPr>
          <w:ilvl w:val="0"/>
          <w:numId w:val="1073"/>
        </w:numPr>
        <w:pStyle w:val="Compact"/>
      </w:pPr>
      <w:r>
        <w:rPr>
          <w:bCs/>
          <w:b/>
        </w:rPr>
        <w:t xml:space="preserve">Eventi avversi gravi:</w:t>
      </w:r>
      <w:r>
        <w:t xml:space="preserve"> </w:t>
      </w:r>
      <w:r>
        <w:t xml:space="preserve">nello studio sulla MASH erano altrettanto frequenti con survodutide (8%) e con il placebo (7%).</w:t>
      </w:r>
    </w:p>
    <w:p>
      <w:pPr>
        <w:numPr>
          <w:ilvl w:val="0"/>
          <w:numId w:val="1073"/>
        </w:numPr>
        <w:pStyle w:val="Compact"/>
      </w:pPr>
      <w:r>
        <w:rPr>
          <w:bCs/>
          <w:b/>
        </w:rPr>
        <w:t xml:space="preserve">Interruzioni:</w:t>
      </w:r>
      <w:r>
        <w:t xml:space="preserve"> </w:t>
      </w:r>
      <w:r>
        <w:t xml:space="preserve">nello studio di fase 2 sull’obesità solo circa il 60% ha completato la fase di trattamento, in entrambi i gruppi.</w:t>
      </w:r>
    </w:p>
    <w:p>
      <w:pPr>
        <w:pStyle w:val="FirstParagraph"/>
      </w:pPr>
      <w:r>
        <w:rPr>
          <w:bCs/>
          <w:b/>
        </w:rPr>
        <w:t xml:space="preserve">Ancora aperto:</w:t>
      </w:r>
      <w:r>
        <w:t xml:space="preserve"> </w:t>
      </w:r>
      <w:r>
        <w:t xml:space="preserve">aumenti della frequenza cardiaca sono noti per gli agonisti del glucagone e del GLP-1; è stato condotto uno studio dedicato alla sicurezza cardiaca (NCT06200467). Il grande studio di sicurezza cardiovascolare SYNCHRONIZE-CVOT risulta concluso secondo il registro; alla chiusura redazionale i risultati non erano ancora pubblicati in una rivista con revisione paritaria. Gli effetti a lungo termine della componente glucagonica su muscoli, ossa e metabolismo degli aminoacidi non sono stati studiati.</w:t>
      </w:r>
    </w:p>
    <w:bookmarkEnd w:id="237"/>
    <w:bookmarkStart w:id="238" w:name="quadro-normativo-6"/>
    <w:p>
      <w:pPr>
        <w:pStyle w:val="Heading3"/>
      </w:pPr>
      <w:r>
        <w:t xml:space="preserve">Quadro normativo</w:t>
      </w:r>
    </w:p>
    <w:p>
      <w:pPr>
        <w:numPr>
          <w:ilvl w:val="0"/>
          <w:numId w:val="1074"/>
        </w:numPr>
        <w:pStyle w:val="Compact"/>
      </w:pPr>
      <w:r>
        <w:rPr>
          <w:bCs/>
          <w:b/>
        </w:rPr>
        <w:t xml:space="preserve">UE / Austria / Germania:</w:t>
      </w:r>
      <w:r>
        <w:t xml:space="preserve"> </w:t>
      </w:r>
      <w:r>
        <w:t xml:space="preserve">non autorizzato; uso solo in studi clinici. Le offerte del mercato grigio non sono medicinali legali.</w:t>
      </w:r>
    </w:p>
    <w:p>
      <w:pPr>
        <w:numPr>
          <w:ilvl w:val="0"/>
          <w:numId w:val="1074"/>
        </w:numPr>
        <w:pStyle w:val="Compact"/>
      </w:pPr>
      <w:r>
        <w:rPr>
          <w:bCs/>
          <w:b/>
        </w:rPr>
        <w:t xml:space="preserve">USA:</w:t>
      </w:r>
      <w:r>
        <w:t xml:space="preserve"> </w:t>
      </w:r>
      <w:r>
        <w:t xml:space="preserve">non autorizzato. La FDA ha classificato survodutide come «Breakthrough Therapy» per il trattamento della MASH, il che può accelerare la procedura di valutazione (aggiornato al 2026, da verificare).</w:t>
      </w:r>
    </w:p>
    <w:p>
      <w:pPr>
        <w:numPr>
          <w:ilvl w:val="0"/>
          <w:numId w:val="1074"/>
        </w:numPr>
        <w:pStyle w:val="Compact"/>
      </w:pPr>
      <w:r>
        <w:rPr>
          <w:bCs/>
          <w:b/>
        </w:rPr>
        <w:t xml:space="preserve">Sport:</w:t>
      </w:r>
      <w:r>
        <w:t xml:space="preserve"> </w:t>
      </w:r>
      <w:r>
        <w:t xml:space="preserve">classe WADA S0 (sostanza non approvata), aggiornato al 2026, da verificare.</w:t>
      </w:r>
    </w:p>
    <w:bookmarkEnd w:id="238"/>
    <w:bookmarkStart w:id="239" w:name="studi-in-corso-e-prospettive-6"/>
    <w:p>
      <w:pPr>
        <w:pStyle w:val="Heading3"/>
      </w:pPr>
      <w:r>
        <w:t xml:space="preserve">Studi in corso e prospettive</w:t>
      </w:r>
    </w:p>
    <w:p>
      <w:pPr>
        <w:pStyle w:val="FirstParagraph"/>
      </w:pPr>
      <w:r>
        <w:rPr>
          <w:bCs/>
          <w:b/>
        </w:rPr>
        <w:t xml:space="preserve">Certo (studi registrati, aggiornato a ottobre 2026):</w:t>
      </w:r>
    </w:p>
    <w:p>
      <w:pPr>
        <w:numPr>
          <w:ilvl w:val="0"/>
          <w:numId w:val="1075"/>
        </w:numPr>
        <w:pStyle w:val="Compact"/>
      </w:pPr>
      <w:r>
        <w:rPr>
          <w:bCs/>
          <w:b/>
        </w:rPr>
        <w:t xml:space="preserve">SYNCHRONIZE-CVOT</w:t>
      </w:r>
      <w:r>
        <w:t xml:space="preserve"> </w:t>
      </w:r>
      <w:r>
        <w:t xml:space="preserve">(NCT06077864): studio di sicurezza cardiovascolare con 5.531 partecipanti, concluso secondo il registro; disegno descritto in Kosiborod 2024 (PMID 39453356).</w:t>
      </w:r>
    </w:p>
    <w:p>
      <w:pPr>
        <w:numPr>
          <w:ilvl w:val="0"/>
          <w:numId w:val="1075"/>
        </w:numPr>
        <w:pStyle w:val="Compact"/>
      </w:pPr>
      <w:r>
        <w:rPr>
          <w:bCs/>
          <w:b/>
        </w:rPr>
        <w:t xml:space="preserve">LIVERAGE</w:t>
      </w:r>
      <w:r>
        <w:t xml:space="preserve"> </w:t>
      </w:r>
      <w:r>
        <w:t xml:space="preserve">(NCT06632444) con 1.800 partecipanti con MASH e fibrosi e</w:t>
      </w:r>
      <w:r>
        <w:t xml:space="preserve"> </w:t>
      </w:r>
      <w:r>
        <w:rPr>
          <w:bCs/>
          <w:b/>
        </w:rPr>
        <w:t xml:space="preserve">LIVERAGE-Cirrhosis</w:t>
      </w:r>
      <w:r>
        <w:t xml:space="preserve"> </w:t>
      </w:r>
      <w:r>
        <w:t xml:space="preserve">(NCT06632457) con 1.590 partecipanti con cirrosi da MASH: gli studi decisivi per un’autorizzazione in epatologia, con date di conclusione previste tra il 2029 e il 2031.</w:t>
      </w:r>
    </w:p>
    <w:p>
      <w:pPr>
        <w:numPr>
          <w:ilvl w:val="0"/>
          <w:numId w:val="1075"/>
        </w:numPr>
        <w:pStyle w:val="Compact"/>
      </w:pPr>
      <w:r>
        <w:t xml:space="preserve">Altri studi di fase 3: diabete di tipo 2 (NCT07754461), donne con obesità (NCT07850050), struttura cardiaca nell’obesità (NCT07850063), persone senza trattamento precedente (NCT07855900).</w:t>
      </w:r>
    </w:p>
    <w:p>
      <w:pPr>
        <w:numPr>
          <w:ilvl w:val="0"/>
          <w:numId w:val="1075"/>
        </w:numPr>
        <w:pStyle w:val="Compact"/>
      </w:pPr>
      <w:r>
        <w:t xml:space="preserve">Gli studi di fase 3 in Cina (NCT06214741) e in Giappone (NCT06176365) sono conclusi.</w:t>
      </w:r>
    </w:p>
    <w:p>
      <w:pPr>
        <w:pStyle w:val="FirstParagraph"/>
      </w:pPr>
      <w:r>
        <w:rPr>
          <w:bCs/>
          <w:b/>
        </w:rPr>
        <w:t xml:space="preserve">Valutazione:</w:t>
      </w:r>
      <w:r>
        <w:t xml:space="preserve"> </w:t>
      </w:r>
      <w:r>
        <w:t xml:space="preserve">come semplice farmaco dimagrante survodutide avrà probabilmente vita difficile contro tirzepatide, semaglutide e i tripli agonisti in arrivo: la perdita di peso in SYNCHRONIZE-1 è stata minore e gli effetti collaterali gastrointestinali frequenti. La sua nicchia potrebbe diventare la steatosi epatica, in particolare gli stadi avanzati fino alla cirrosi, per i quali le opzioni di trattamento sono scarse. Se ci riuscirà lo decideranno gli studi LIVERAGE.</w:t>
      </w:r>
    </w:p>
    <w:bookmarkEnd w:id="239"/>
    <w:bookmarkStart w:id="240" w:name="conclusione-6"/>
    <w:p>
      <w:pPr>
        <w:pStyle w:val="Heading3"/>
      </w:pPr>
      <w:r>
        <w:t xml:space="preserve">Conclusione</w:t>
      </w:r>
    </w:p>
    <w:p>
      <w:pPr>
        <w:pStyle w:val="FirstParagraph"/>
      </w:pPr>
      <w:r>
        <w:t xml:space="preserve">Survodutide è un doppio agonista del glucagone e del GLP-1 che negli studi di fase 3 ha ridotto il peso corporeo dopo 76 settimane fino al 13,0% (senza diabete) e al 9,8% (con diabete di tipo 2). Più netti sono stati gli effetti sul fegato: nello studio di fase 2 l’infiammazione epatica è migliorata fino al 62% rispetto al 14% con il placebo. I disturbi gastrointestinali sono molto frequenti. Survodutide non è autorizzato; se abbia un futuro come farmaco per il fegato lo mostreranno gli studi di fase 3 in corso.</w:t>
      </w:r>
    </w:p>
    <w:bookmarkEnd w:id="240"/>
    <w:bookmarkEnd w:id="241"/>
    <w:bookmarkStart w:id="254" w:name="mazdutide"/>
    <w:p>
      <w:pPr>
        <w:pStyle w:val="Heading2"/>
      </w:pPr>
      <w:r>
        <w:t xml:space="preserve">Mazdutide</w:t>
      </w:r>
    </w:p>
    <w:bookmarkStart w:id="242" w:name="scheda-7"/>
    <w:p>
      <w:pPr>
        <w:pStyle w:val="Heading3"/>
      </w:pPr>
      <w:r>
        <w:t xml:space="preserve">Scheda</w:t>
      </w:r>
    </w:p>
    <w:p>
      <w:pPr>
        <w:numPr>
          <w:ilvl w:val="0"/>
          <w:numId w:val="1076"/>
        </w:numPr>
        <w:pStyle w:val="Compact"/>
      </w:pPr>
      <w:r>
        <w:rPr>
          <w:bCs/>
          <w:b/>
        </w:rPr>
        <w:t xml:space="preserve">Tipo/struttura:</w:t>
      </w:r>
      <w:r>
        <w:t xml:space="preserve"> </w:t>
      </w:r>
      <w:r>
        <w:t xml:space="preserve">peptide sintetico modificato con acido grasso, derivato dall’ormone intestinale ossintomodulina; somministrazione sottocutanea una volta alla settimana. Codici di sviluppo LY3305677 (Eli Lilly) e IBI362 (Innovent Biologics).</w:t>
      </w:r>
    </w:p>
    <w:p>
      <w:pPr>
        <w:numPr>
          <w:ilvl w:val="0"/>
          <w:numId w:val="1076"/>
        </w:numPr>
        <w:pStyle w:val="Compact"/>
      </w:pPr>
      <w:r>
        <w:rPr>
          <w:bCs/>
          <w:b/>
        </w:rPr>
        <w:t xml:space="preserve">Origine:</w:t>
      </w:r>
      <w:r>
        <w:t xml:space="preserve"> </w:t>
      </w:r>
      <w:r>
        <w:t xml:space="preserve">sviluppato originariamente da Eli Lilly; in Cina portato fino all’autorizzazione da Innovent Biologics, al di fuori della Cina ulteriormente studiato da Lilly.</w:t>
      </w:r>
    </w:p>
    <w:p>
      <w:pPr>
        <w:numPr>
          <w:ilvl w:val="0"/>
          <w:numId w:val="1076"/>
        </w:numPr>
        <w:pStyle w:val="Compact"/>
      </w:pPr>
      <w:r>
        <w:rPr>
          <w:bCs/>
          <w:b/>
        </w:rPr>
        <w:t xml:space="preserve">Principio d’azione:</w:t>
      </w:r>
      <w:r>
        <w:t xml:space="preserve"> </w:t>
      </w:r>
      <w:r>
        <w:t xml:space="preserve">doppio agonista dei recettori del GLP-1 e del glucagone, come survodutide, ma si tratta di una molecola distinta.</w:t>
      </w:r>
    </w:p>
    <w:p>
      <w:pPr>
        <w:numPr>
          <w:ilvl w:val="0"/>
          <w:numId w:val="1076"/>
        </w:numPr>
        <w:pStyle w:val="Compact"/>
      </w:pPr>
      <w:r>
        <w:rPr>
          <w:bCs/>
          <w:b/>
        </w:rPr>
        <w:t xml:space="preserve">Autorizzazione UE:</w:t>
      </w:r>
      <w:r>
        <w:t xml:space="preserve"> </w:t>
      </w:r>
      <w:r>
        <w:t xml:space="preserve">no.</w:t>
      </w:r>
    </w:p>
    <w:p>
      <w:pPr>
        <w:numPr>
          <w:ilvl w:val="0"/>
          <w:numId w:val="1076"/>
        </w:numPr>
        <w:pStyle w:val="Compact"/>
      </w:pPr>
      <w:r>
        <w:rPr>
          <w:bCs/>
          <w:b/>
        </w:rPr>
        <w:t xml:space="preserve">Autorizzazione USA:</w:t>
      </w:r>
      <w:r>
        <w:t xml:space="preserve"> </w:t>
      </w:r>
      <w:r>
        <w:t xml:space="preserve">no.</w:t>
      </w:r>
    </w:p>
    <w:p>
      <w:pPr>
        <w:numPr>
          <w:ilvl w:val="0"/>
          <w:numId w:val="1076"/>
        </w:numPr>
        <w:pStyle w:val="Compact"/>
      </w:pPr>
      <w:r>
        <w:rPr>
          <w:bCs/>
          <w:b/>
        </w:rPr>
        <w:t xml:space="preserve">Autorizzazione Cina:</w:t>
      </w:r>
      <w:r>
        <w:t xml:space="preserve"> </w:t>
      </w:r>
      <w:r>
        <w:t xml:space="preserve">sì, da giugno 2025 per la gestione del peso, da settembre 2025 anche per il diabete di tipo 2 (nome commerciale Xinermei).</w:t>
      </w:r>
    </w:p>
    <w:p>
      <w:pPr>
        <w:numPr>
          <w:ilvl w:val="0"/>
          <w:numId w:val="1076"/>
        </w:numPr>
        <w:pStyle w:val="Compact"/>
      </w:pPr>
      <w:r>
        <w:rPr>
          <w:bCs/>
          <w:b/>
        </w:rPr>
        <w:t xml:space="preserve">WADA:</w:t>
      </w:r>
      <w:r>
        <w:t xml:space="preserve"> </w:t>
      </w:r>
      <w:r>
        <w:t xml:space="preserve">non elencato nominalmente. Poiché mazdutide è autorizzato da un’autorità sanitaria statale (Cina), secondo la lettera del regolamento non rientra più nella classe S0; un uso nello sport senza indicazione medica resta comunque problematico (aggiornato al 2026, da verificare).</w:t>
      </w:r>
    </w:p>
    <w:p>
      <w:pPr>
        <w:numPr>
          <w:ilvl w:val="0"/>
          <w:numId w:val="1076"/>
        </w:numPr>
        <w:pStyle w:val="Compact"/>
      </w:pPr>
      <w:r>
        <w:rPr>
          <w:bCs/>
          <w:b/>
        </w:rPr>
        <w:t xml:space="preserve">Livello di evidenza:</w:t>
      </w:r>
      <w:r>
        <w:t xml:space="preserve"> </w:t>
      </w:r>
      <w:r>
        <w:rPr>
          <w:bCs/>
          <w:b/>
        </w:rPr>
        <w:t xml:space="preserve">A</w:t>
      </w:r>
      <w:r>
        <w:t xml:space="preserve"> </w:t>
      </w:r>
      <w:r>
        <w:t xml:space="preserve">– diversi grandi studi di fase 3 e un’autorizzazione, però quasi esclusivamente con partecipanti cinesi.</w:t>
      </w:r>
    </w:p>
    <w:bookmarkEnd w:id="242"/>
    <w:bookmarkStart w:id="243" w:name="come-dovrebbe-agire-7"/>
    <w:p>
      <w:pPr>
        <w:pStyle w:val="Heading3"/>
      </w:pPr>
      <w:r>
        <w:t xml:space="preserve">Come dovrebbe agire</w:t>
      </w:r>
    </w:p>
    <w:p>
      <w:pPr>
        <w:pStyle w:val="FirstParagraph"/>
      </w:pPr>
      <w:r>
        <w:t xml:space="preserve">L’ossintomodulina è un ormone naturale dell’intestino che, come il GLP-1, viene secreto dopo i pasti. Attiva sia il recettore del GLP-1 sia quello del glucagone, ma solo debolmente e per pochissimo tempo. Mazdutide è una versione stabilizzata e a lunga durata d’azione di questo principio.</w:t>
      </w:r>
    </w:p>
    <w:p>
      <w:pPr>
        <w:pStyle w:val="BodyText"/>
      </w:pPr>
      <w:r>
        <w:t xml:space="preserve">La componente GLP-1 attenua l’appetito, rallenta lo svuotamento gastrico e favorisce la secrezione di insulina dipendente dalla glicemia. La componente glucagonica dovrebbe aumentare il dispendio energetico e favorire la degradazione dei grassi nel fegato (si veda anche il capitolo Survodutide). Nell’uomo il contributo della componente glucagonica alla perdita di peso non è stato misurato direttamente; l’ipotesi si basa soprattutto su dati animali.</w:t>
      </w:r>
    </w:p>
    <w:bookmarkEnd w:id="243"/>
    <w:bookmarkStart w:id="248" w:name="studi-sulluomo-7"/>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9 studi sull’uomo, integrati da uno studio di fase 1 ad alte dosi e da un caso clinico. Su ClinicalTrials.gov risultavano registrati 44 studi, la maggior parte in Cina. Gli studi registrativi si chiamano</w:t>
      </w:r>
      <w:r>
        <w:t xml:space="preserve"> </w:t>
      </w:r>
      <w:r>
        <w:rPr>
          <w:bCs/>
          <w:b/>
        </w:rPr>
        <w:t xml:space="preserve">GLORY</w:t>
      </w:r>
      <w:r>
        <w:t xml:space="preserve"> </w:t>
      </w:r>
      <w:r>
        <w:t xml:space="preserve">(obesità) e</w:t>
      </w:r>
      <w:r>
        <w:t xml:space="preserve"> </w:t>
      </w:r>
      <w:r>
        <w:rPr>
          <w:bCs/>
          <w:b/>
        </w:rPr>
        <w:t xml:space="preserve">DREAMS</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(Ji 2023), PMID 38092790</w:t>
            </w:r>
          </w:p>
        </w:tc>
        <w:tc>
          <w:tcPr/>
          <w:p>
            <w:pPr>
              <w:pStyle w:val="Compact"/>
              <w:jc w:val="left"/>
            </w:pPr>
            <w:r>
              <w:t xml:space="preserve">248 adulti cinesi con sovrappeso/obesità</w:t>
            </w:r>
          </w:p>
        </w:tc>
        <w:tc>
          <w:tcPr/>
          <w:p>
            <w:pPr>
              <w:pStyle w:val="Compact"/>
              <w:jc w:val="left"/>
            </w:pPr>
            <w:r>
              <w:t xml:space="preserve">24 settimane</w:t>
            </w:r>
          </w:p>
        </w:tc>
        <w:tc>
          <w:tcPr/>
          <w:p>
            <w:pPr>
              <w:pStyle w:val="Compact"/>
              <w:jc w:val="left"/>
            </w:pPr>
            <w:r>
              <w:t xml:space="preserve">da −6,7 a −11,3% di peso vs. +1,0%</w:t>
            </w:r>
          </w:p>
        </w:tc>
      </w:tr>
      <w:tr>
        <w:tc>
          <w:tcPr/>
          <w:p>
            <w:pPr>
              <w:pStyle w:val="Compact"/>
              <w:jc w:val="left"/>
            </w:pPr>
            <w:r>
              <w:t xml:space="preserve">Fase 2 diabete di tipo 2 (Zhang 2024), PMID 37943529</w:t>
            </w:r>
          </w:p>
        </w:tc>
        <w:tc>
          <w:tcPr/>
          <w:p>
            <w:pPr>
              <w:pStyle w:val="Compact"/>
              <w:jc w:val="left"/>
            </w:pPr>
            <w:r>
              <w:t xml:space="preserve">250 adulti cinesi, contro placebo e dulaglutide in aperto</w:t>
            </w:r>
          </w:p>
        </w:tc>
        <w:tc>
          <w:tcPr/>
          <w:p>
            <w:pPr>
              <w:pStyle w:val="Compact"/>
              <w:jc w:val="left"/>
            </w:pPr>
            <w:r>
              <w:t xml:space="preserve">20 settimane</w:t>
            </w:r>
          </w:p>
        </w:tc>
        <w:tc>
          <w:tcPr/>
          <w:p>
            <w:pPr>
              <w:pStyle w:val="Compact"/>
              <w:jc w:val="left"/>
            </w:pPr>
            <w:r>
              <w:t xml:space="preserve">HbA1c da −1,41 a −1,67 (dulaglutide −1,35)</w:t>
            </w:r>
          </w:p>
        </w:tc>
      </w:tr>
      <w:tr>
        <w:tc>
          <w:tcPr/>
          <w:p>
            <w:pPr>
              <w:pStyle w:val="Compact"/>
              <w:jc w:val="left"/>
            </w:pPr>
            <w:r>
              <w:t xml:space="preserve">GLORY-1 (Ji 2025), PMID 40421736</w:t>
            </w:r>
          </w:p>
        </w:tc>
        <w:tc>
          <w:tcPr/>
          <w:p>
            <w:pPr>
              <w:pStyle w:val="Compact"/>
              <w:jc w:val="left"/>
            </w:pPr>
            <w:r>
              <w:t xml:space="preserve">610 adulti cinesi con sovrappeso/obesità, contro placebo</w:t>
            </w:r>
          </w:p>
        </w:tc>
        <w:tc>
          <w:tcPr/>
          <w:p>
            <w:pPr>
              <w:pStyle w:val="Compact"/>
              <w:jc w:val="left"/>
            </w:pPr>
            <w:r>
              <w:t xml:space="preserve">48 settimane</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adulti cinesi con obesità, dose più alta contro placebo</w:t>
            </w:r>
          </w:p>
        </w:tc>
        <w:tc>
          <w:tcPr/>
          <w:p>
            <w:pPr>
              <w:pStyle w:val="Compact"/>
              <w:jc w:val="left"/>
            </w:pPr>
            <w:r>
              <w:t xml:space="preserve">60 settimane</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adulti cinesi con diabete di tipo 2, contro placebo</w:t>
            </w:r>
          </w:p>
        </w:tc>
        <w:tc>
          <w:tcPr/>
          <w:p>
            <w:pPr>
              <w:pStyle w:val="Compact"/>
              <w:jc w:val="left"/>
            </w:pPr>
            <w:r>
              <w:t xml:space="preserve">24 settimane</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adulti cinesi con diabete di tipo 2, contro dulaglutide</w:t>
            </w:r>
          </w:p>
        </w:tc>
        <w:tc>
          <w:tcPr/>
          <w:p>
            <w:pPr>
              <w:pStyle w:val="Compact"/>
              <w:jc w:val="left"/>
            </w:pPr>
            <w:r>
              <w:t xml:space="preserve">28 settimane</w:t>
            </w:r>
          </w:p>
        </w:tc>
        <w:tc>
          <w:tcPr/>
          <w:p>
            <w:pPr>
              <w:pStyle w:val="Compact"/>
              <w:jc w:val="left"/>
            </w:pPr>
            <w:r>
              <w:t xml:space="preserve">HbA1c ulteriori −0,24 / −0,30; peso ulteriori −3,78 / −5,76%</w:t>
            </w:r>
          </w:p>
        </w:tc>
      </w:tr>
      <w:tr>
        <w:tc>
          <w:tcPr/>
          <w:p>
            <w:pPr>
              <w:pStyle w:val="Compact"/>
              <w:jc w:val="left"/>
            </w:pPr>
            <w:r>
              <w:t xml:space="preserve">Fase 2 USA (Hsia 2026), PMID 42628555</w:t>
            </w:r>
          </w:p>
        </w:tc>
        <w:tc>
          <w:tcPr/>
          <w:p>
            <w:pPr>
              <w:pStyle w:val="Compact"/>
              <w:jc w:val="left"/>
            </w:pPr>
            <w:r>
              <w:t xml:space="preserve">179 adulti con sovrappeso/obesità, contro placebo</w:t>
            </w:r>
          </w:p>
        </w:tc>
        <w:tc>
          <w:tcPr/>
          <w:p>
            <w:pPr>
              <w:pStyle w:val="Compact"/>
              <w:jc w:val="left"/>
            </w:pPr>
            <w:r>
              <w:t xml:space="preserve">48 settimane (endpoint primario 32)</w:t>
            </w:r>
          </w:p>
        </w:tc>
        <w:tc>
          <w:tcPr/>
          <w:p>
            <w:pPr>
              <w:pStyle w:val="Compact"/>
              <w:jc w:val="left"/>
            </w:pPr>
            <w:r>
              <w:t xml:space="preserve">da −7,3 a −18,1% dopo 32 settimane vs. −0,9%</w:t>
            </w:r>
          </w:p>
        </w:tc>
      </w:tr>
    </w:tbl>
    <w:bookmarkStart w:id="244" w:name="obesità-glory-1-e-glory-2"/>
    <w:p>
      <w:pPr>
        <w:pStyle w:val="Heading4"/>
      </w:pPr>
      <w:r>
        <w:t xml:space="preserve">Obesità: GLORY-1 e GLORY-2</w:t>
      </w:r>
    </w:p>
    <w:p>
      <w:pPr>
        <w:pStyle w:val="FirstParagraph"/>
      </w:pPr>
      <w:r>
        <w:rPr>
          <w:bCs/>
          <w:b/>
        </w:rPr>
        <w:t xml:space="preserve">GLORY-1</w:t>
      </w:r>
      <w:r>
        <w:t xml:space="preserve"> </w:t>
      </w:r>
      <w:r>
        <w:t xml:space="preserve">(Ji 2025, PMID 40421736) è stato lo studio registrativo per la Cina. I criteri di inclusione si basavano sui valori soglia cinesi: BMI da 28 o da 24 con una malattia concomitante. Con un peso iniziale di 87,2 kg il peso si è ridotto dopo 48 settimane dell’11,0% (4 mg) e del 14,0% (6 mg); con il placebo è rimasto praticamente invariato. Almeno il 15% lo hanno perso rispettivamente il 35,7% e il 49,5% dei partecipanti. Le interruzioni per effetti collaterali sono state molto rare, con lo 0,5–1,5%.</w:t>
      </w:r>
    </w:p>
    <w:p>
      <w:pPr>
        <w:pStyle w:val="BodyText"/>
      </w:pPr>
      <w:r>
        <w:rPr>
          <w:bCs/>
          <w:b/>
        </w:rPr>
        <w:t xml:space="preserve">GLORY-2</w:t>
      </w:r>
      <w:r>
        <w:t xml:space="preserve"> </w:t>
      </w:r>
      <w:r>
        <w:t xml:space="preserve">(Gao 2026, PMID 42251595) ha valutato una dose più alta in persone con BMI da 30 in su. I partecipanti erano sorprendentemente giovani, con un’età media di 33,9 anni. Dopo 60 settimane la perdita di peso era del 16,65% rispetto all’1,50% con il placebo. Il prezzo è stato un numero nettamente maggiore di disturbi gastrointestinali: vomito nel 53,1% (placebo 1,3%), nausea nel 46,9% (3,2%) e diarrea nel 39,4% (6,5%). Ciononostante solo il 2,9% ha interrotto il trattamento per effetti collaterali.</w:t>
      </w:r>
    </w:p>
    <w:bookmarkEnd w:id="244"/>
    <w:bookmarkStart w:id="245" w:name="diabete-di-tipo-2-dreams-1-e-dreams-2"/>
    <w:p>
      <w:pPr>
        <w:pStyle w:val="Heading4"/>
      </w:pPr>
      <w:r>
        <w:t xml:space="preserve">Diabete di tipo 2: DREAMS-1 e DREAMS-2</w:t>
      </w:r>
    </w:p>
    <w:p>
      <w:pPr>
        <w:pStyle w:val="FirstParagraph"/>
      </w:pPr>
      <w:r>
        <w:t xml:space="preserve">In</w:t>
      </w:r>
      <w:r>
        <w:t xml:space="preserve"> </w:t>
      </w:r>
      <w:r>
        <w:rPr>
          <w:bCs/>
          <w:b/>
        </w:rPr>
        <w:t xml:space="preserve">DREAMS-1</w:t>
      </w:r>
      <w:r>
        <w:t xml:space="preserve"> </w:t>
      </w:r>
      <w:r>
        <w:t xml:space="preserve">(Zhu 2026, PMID 41407859) persone con diabete di tipo 2 non sufficientemente controllato con sola dieta e attività fisica (durata media del diabete 1,9 anni) hanno ricevuto mazdutide senza altri farmaci antidiabetici. Con la dose più alta l’HbA1c è diminuita dopo 24 settimane di 2,15 punti percentuali (placebo −0,14), il peso del 7,81%.</w:t>
      </w:r>
    </w:p>
    <w:p>
      <w:pPr>
        <w:pStyle w:val="BodyText"/>
      </w:pPr>
      <w:r>
        <w:rPr>
          <w:bCs/>
          <w:b/>
        </w:rPr>
        <w:t xml:space="preserve">DREAMS-2</w:t>
      </w:r>
      <w:r>
        <w:t xml:space="preserve"> </w:t>
      </w:r>
      <w:r>
        <w:t xml:space="preserve">(Guo 2026, PMID 41407860) è finora lo studio di confronto più importante: rispetto al farmaco GLP-1 consolidato dulaglutide, mazdutide è risultato non inferiore e superiore per l’HbA1c, anche se con un piccolo margine (rispettivamente −0,24 e −0,30 punti percentuali in più). Più marcata è stata la differenza sul peso (rispettivamente −3,78 e −5,76% in più). Gli effetti collaterali gastrointestinali erano più frequenti con mazdutide che con dulaglutide.</w:t>
      </w:r>
    </w:p>
    <w:p>
      <w:pPr>
        <w:pStyle w:val="BodyText"/>
      </w:pPr>
      <w:r>
        <w:t xml:space="preserve">Uno studio di confronto con semaglutide in persone con diabete di tipo 2 precoce e obesità (DREAMS-3) risulta concluso secondo il registro (NCT06184568); il disegno e i dati iniziali dei 349 partecipanti sono pubblicati (Luo 2026, PMID 41260459), i risultati non ancora.</w:t>
      </w:r>
    </w:p>
    <w:bookmarkEnd w:id="245"/>
    <w:bookmarkStart w:id="246" w:name="Xda0d399d6a731469ebd9f51929d6a1bd64f50b3"/>
    <w:p>
      <w:pPr>
        <w:pStyle w:val="Heading4"/>
      </w:pPr>
      <w:r>
        <w:t xml:space="preserve">Studi al di fuori della Cina e dosi più alte</w:t>
      </w:r>
    </w:p>
    <w:p>
      <w:pPr>
        <w:pStyle w:val="FirstParagraph"/>
      </w:pPr>
      <w:r>
        <w:t xml:space="preserve">Lilly studia mazdutide al di fuori della Cina a dosi più alte. In un piccolo studio di fase 1 con 32 adulti negli USA il peso corporeo con la dose più alta si è ridotto dopo 20 settimane rispettivamente del 20,0% e del 21,0% (due schemi di titolazione) rispetto allo 0,1% con il placebo; non si sono verificati effetti collaterali gravi (Bhattachar 2025, PMID 40832785).</w:t>
      </w:r>
    </w:p>
    <w:p>
      <w:pPr>
        <w:pStyle w:val="BodyText"/>
      </w:pPr>
      <w:r>
        <w:t xml:space="preserve">Nello studio statunitense di fase 2 con 179 partecipanti (Hsia 2026, PMID 42628555) la perdita di peso dopo 32 settimane è arrivata al 18,1% con la dose più alta. Tuttavia, con la dose più alta il 20% ha interrotto il trattamento per effetti collaterali, soprattutto per disturbi gastrointestinali. L’analisi principale utilizzava inoltre lo «stimatore di efficacia», che dopo un’interruzione non considera più le persone e quindi tende a rappresentare l’effetto in modo più favorevole.</w:t>
      </w:r>
    </w:p>
    <w:bookmarkEnd w:id="246"/>
    <w:bookmarkStart w:id="247" w:name="casi-singoli"/>
    <w:p>
      <w:pPr>
        <w:pStyle w:val="Heading4"/>
      </w:pPr>
      <w:r>
        <w:t xml:space="preserve">Casi singoli</w:t>
      </w:r>
    </w:p>
    <w:p>
      <w:pPr>
        <w:pStyle w:val="FirstParagraph"/>
      </w:pPr>
      <w:r>
        <w:t xml:space="preserve">Un caso clinico descrive un paziente quindicenne con obesità, diabete di tipo 2 e acido urico elevato che ha ricevuto mazdutide in aggiunta a metformina e insulina e ha perso 16,8 kg in 36 settimane (Cheng 2025, PMID 41030857). Un singolo caso non consente conclusioni sull’efficacia o sulla sicurezza negli adolescenti; uno studio in merito è in corso (NCT07255209).</w:t>
      </w:r>
    </w:p>
    <w:bookmarkEnd w:id="247"/>
    <w:bookmarkEnd w:id="248"/>
    <w:bookmarkStart w:id="249" w:name="studi-su-animali-e-in-laboratorio-7"/>
    <w:p>
      <w:pPr>
        <w:pStyle w:val="Heading3"/>
      </w:pPr>
      <w:r>
        <w:t xml:space="preserve">Studi su animali e in laboratorio</w:t>
      </w:r>
    </w:p>
    <w:p>
      <w:pPr>
        <w:pStyle w:val="FirstParagraph"/>
      </w:pPr>
      <w:r>
        <w:t xml:space="preserve">Nei topi diabetici (modello db/db) mazdutide ha ottenuto risultati migliori di dulaglutide nei test di memoria e di comportamento; nel tessuto cerebrale si sono osservati meno danni (Dong 2025, PMID 40479843). Nei topi con steatosi epatica indotta dalla dieta e in colture di cellule epatiche mazdutide ha ridotto l’accumulo di grasso e i segni di infiammazione (Gan 2026, PMID 41901218). Se ne derivino vantaggi per l’uomo è una questione aperta; in Cina è registrato uno studio sul diabete di tipo 2 con deterioramento cognitivo iniziale (NCT07083154).</w:t>
      </w:r>
    </w:p>
    <w:bookmarkEnd w:id="249"/>
    <w:bookmarkStart w:id="250" w:name="rischi-ed-effetti-collaterali-7"/>
    <w:p>
      <w:pPr>
        <w:pStyle w:val="Heading3"/>
      </w:pPr>
      <w:r>
        <w:t xml:space="preserve">Rischi ed effetti collaterali</w:t>
      </w:r>
    </w:p>
    <w:p>
      <w:pPr>
        <w:pStyle w:val="FirstParagraph"/>
      </w:pPr>
      <w:r>
        <w:rPr>
          <w:bCs/>
          <w:b/>
        </w:rPr>
        <w:t xml:space="preserve">Documentati dagli studi:</w:t>
      </w:r>
    </w:p>
    <w:p>
      <w:pPr>
        <w:numPr>
          <w:ilvl w:val="0"/>
          <w:numId w:val="1077"/>
        </w:numPr>
        <w:pStyle w:val="Compact"/>
      </w:pPr>
      <w:r>
        <w:rPr>
          <w:bCs/>
          <w:b/>
        </w:rPr>
        <w:t xml:space="preserve">Disturbi gastrointestinali:</w:t>
      </w:r>
      <w:r>
        <w:t xml:space="preserve"> </w:t>
      </w:r>
      <w:r>
        <w:t xml:space="preserve">sono gli effetti collaterali più frequenti; la loro frequenza aumenta con la dose. Nello studio di fase 2 sul diabete si sono verificati diarrea nel 36%, riduzione dell’appetito nel 29%, nausea nel 23% e vomito nel 14% (Zhang 2024, PMID 37943529). In GLORY-2 più della metà dei partecipanti ha vomitato almeno una volta (Gao 2026, PMID 42251595).</w:t>
      </w:r>
    </w:p>
    <w:p>
      <w:pPr>
        <w:numPr>
          <w:ilvl w:val="0"/>
          <w:numId w:val="1077"/>
        </w:numPr>
        <w:pStyle w:val="Compact"/>
      </w:pPr>
      <w:r>
        <w:rPr>
          <w:bCs/>
          <w:b/>
        </w:rPr>
        <w:t xml:space="preserve">Ipoglicemia:</w:t>
      </w:r>
      <w:r>
        <w:t xml:space="preserve"> </w:t>
      </w:r>
      <w:r>
        <w:t xml:space="preserve">nello studio di fase 2 sul diabete sono state segnalate ipoglicemie nel 10% con mazdutide e nell’8% con placebo (Zhang 2024, PMID 37943529).</w:t>
      </w:r>
    </w:p>
    <w:p>
      <w:pPr>
        <w:numPr>
          <w:ilvl w:val="0"/>
          <w:numId w:val="1077"/>
        </w:numPr>
        <w:pStyle w:val="Compact"/>
      </w:pPr>
      <w:r>
        <w:rPr>
          <w:bCs/>
          <w:b/>
        </w:rPr>
        <w:t xml:space="preserve">Interruzioni alle dosi alte:</w:t>
      </w:r>
      <w:r>
        <w:t xml:space="preserve"> </w:t>
      </w:r>
      <w:r>
        <w:t xml:space="preserve">fino al 20% nello studio statunitense di fase 2 (Hsia 2026, PMID 42628555).</w:t>
      </w:r>
    </w:p>
    <w:p>
      <w:pPr>
        <w:pStyle w:val="FirstParagraph"/>
      </w:pPr>
      <w:r>
        <w:rPr>
          <w:bCs/>
          <w:b/>
        </w:rPr>
        <w:t xml:space="preserve">Ancora aperto:</w:t>
      </w:r>
      <w:r>
        <w:t xml:space="preserve"> </w:t>
      </w:r>
      <w:r>
        <w:t xml:space="preserve">non esiste uno studio sugli esiti cardiovascolari. Mancano dati a lungo termine oltre le 60 settimane. Gli studi hanno incluso quasi esclusivamente persone di origine cinese, che a parità di perdita di peso avevano valori iniziali diversi (peso corporeo più basso) rispetto alle popolazioni degli studi europei. I rischi di classe noti per i farmaci GLP-1 (colecisti, pancreas, cellule C della tiroide negli esperimenti sugli animali) per mazdutide non sono ancora stati valutati in modo autonomo per mancanza di anni-paziente.</w:t>
      </w:r>
    </w:p>
    <w:bookmarkEnd w:id="250"/>
    <w:bookmarkStart w:id="251" w:name="quadro-normativo-7"/>
    <w:p>
      <w:pPr>
        <w:pStyle w:val="Heading3"/>
      </w:pPr>
      <w:r>
        <w:t xml:space="preserve">Quadro normativo</w:t>
      </w:r>
    </w:p>
    <w:p>
      <w:pPr>
        <w:numPr>
          <w:ilvl w:val="0"/>
          <w:numId w:val="1078"/>
        </w:numPr>
        <w:pStyle w:val="Compact"/>
      </w:pPr>
      <w:r>
        <w:rPr>
          <w:bCs/>
          <w:b/>
        </w:rPr>
        <w:t xml:space="preserve">Cina:</w:t>
      </w:r>
      <w:r>
        <w:t xml:space="preserve"> </w:t>
      </w:r>
      <w:r>
        <w:t xml:space="preserve">autorizzato (giugno 2025 per la gestione del peso, settembre 2025 per il diabete di tipo 2) (Shirley 2025, PMID 41028652).</w:t>
      </w:r>
    </w:p>
    <w:p>
      <w:pPr>
        <w:numPr>
          <w:ilvl w:val="0"/>
          <w:numId w:val="1078"/>
        </w:numPr>
        <w:pStyle w:val="Compact"/>
      </w:pPr>
      <w:r>
        <w:rPr>
          <w:bCs/>
          <w:b/>
        </w:rPr>
        <w:t xml:space="preserve">UE / Austria / Germania:</w:t>
      </w:r>
      <w:r>
        <w:t xml:space="preserve"> </w:t>
      </w:r>
      <w:r>
        <w:t xml:space="preserve">non autorizzato. Un’importazione per l’uso non è legale senza autorizzazione; i prodotti «Mazdutide» offerti sul mercato grigio non sono medicinali verificati.</w:t>
      </w:r>
    </w:p>
    <w:p>
      <w:pPr>
        <w:numPr>
          <w:ilvl w:val="0"/>
          <w:numId w:val="1078"/>
        </w:numPr>
        <w:pStyle w:val="Compact"/>
      </w:pPr>
      <w:r>
        <w:rPr>
          <w:bCs/>
          <w:b/>
        </w:rPr>
        <w:t xml:space="preserve">USA:</w:t>
      </w:r>
      <w:r>
        <w:t xml:space="preserve"> </w:t>
      </w:r>
      <w:r>
        <w:t xml:space="preserve">non autorizzato; Lilly conduce propri studi.</w:t>
      </w:r>
    </w:p>
    <w:p>
      <w:pPr>
        <w:numPr>
          <w:ilvl w:val="0"/>
          <w:numId w:val="1078"/>
        </w:numPr>
        <w:pStyle w:val="Compact"/>
      </w:pPr>
      <w:r>
        <w:rPr>
          <w:bCs/>
          <w:b/>
        </w:rPr>
        <w:t xml:space="preserve">Sport:</w:t>
      </w:r>
      <w:r>
        <w:t xml:space="preserve"> </w:t>
      </w:r>
      <w:r>
        <w:t xml:space="preserve">non elencato nominalmente; lo status rispetto alla classe S0 non è chiaro a causa dell’autorizzazione cinese (aggiornato al 2026, da verificare).</w:t>
      </w:r>
    </w:p>
    <w:bookmarkEnd w:id="251"/>
    <w:bookmarkStart w:id="252" w:name="studi-in-corso-e-prospettive-7"/>
    <w:p>
      <w:pPr>
        <w:pStyle w:val="Heading3"/>
      </w:pPr>
      <w:r>
        <w:t xml:space="preserve">Studi in corso e prospettive</w:t>
      </w:r>
    </w:p>
    <w:p>
      <w:pPr>
        <w:pStyle w:val="FirstParagraph"/>
      </w:pPr>
      <w:r>
        <w:rPr>
          <w:bCs/>
          <w:b/>
        </w:rPr>
        <w:t xml:space="preserve">Certo (studi registrati, aggiornato a ottobre 2026):</w:t>
      </w:r>
    </w:p>
    <w:p>
      <w:pPr>
        <w:numPr>
          <w:ilvl w:val="0"/>
          <w:numId w:val="1079"/>
        </w:numPr>
        <w:pStyle w:val="Compact"/>
      </w:pPr>
      <w:r>
        <w:t xml:space="preserve">Confronto con semaglutide nella steatosi epatica (NCT06884293) e nel diabete di tipo 2 precoce (NCT06184568, concluso).</w:t>
      </w:r>
    </w:p>
    <w:p>
      <w:pPr>
        <w:numPr>
          <w:ilvl w:val="0"/>
          <w:numId w:val="1079"/>
        </w:numPr>
        <w:pStyle w:val="Compact"/>
      </w:pPr>
      <w:r>
        <w:t xml:space="preserve">Apnea del sonno (NCT06931028), ipertensione con obesità (NCT07469800), adolescenti (NCT07255209).</w:t>
      </w:r>
    </w:p>
    <w:p>
      <w:pPr>
        <w:numPr>
          <w:ilvl w:val="0"/>
          <w:numId w:val="1079"/>
        </w:numPr>
        <w:pStyle w:val="Compact"/>
      </w:pPr>
      <w:r>
        <w:t xml:space="preserve">Studi di fase 2 su MASH (NCT06937749), insufficienza cardiaca con obesità (NCT06862908) e disturbo da uso di alcol (NCT06817356, concluso, sponsor Lilly).</w:t>
      </w:r>
    </w:p>
    <w:p>
      <w:pPr>
        <w:numPr>
          <w:ilvl w:val="0"/>
          <w:numId w:val="1079"/>
        </w:numPr>
        <w:pStyle w:val="Compact"/>
      </w:pPr>
      <w:r>
        <w:t xml:space="preserve">Lilly valuta mazdutide inoltre in un protocollo master di fase 2 (NCT06143956).</w:t>
      </w:r>
    </w:p>
    <w:p>
      <w:pPr>
        <w:pStyle w:val="FirstParagraph"/>
      </w:pPr>
      <w:r>
        <w:rPr>
          <w:bCs/>
          <w:b/>
        </w:rPr>
        <w:t xml:space="preserve">Valutazione:</w:t>
      </w:r>
      <w:r>
        <w:t xml:space="preserve"> </w:t>
      </w:r>
      <w:r>
        <w:t xml:space="preserve">mazdutide è il primo farmaco doppio glucagone/GLP-1 con un’autorizzazione, però solo in Cina. Se Lilly punterà a un’autorizzazione negli USA e in Europa dipende probabilmente dalla possibilità di differenziare la molecola rispetto a tirzepatide e retatrutide della stessa azienda, per esempio nella steatosi epatica o nel disturbo da uso di alcol. Si tratta di una valutazione; non sono note domande di autorizzazione concrete al di fuori della Cina.</w:t>
      </w:r>
    </w:p>
    <w:bookmarkEnd w:id="252"/>
    <w:bookmarkStart w:id="253" w:name="conclusione-7"/>
    <w:p>
      <w:pPr>
        <w:pStyle w:val="Heading3"/>
      </w:pPr>
      <w:r>
        <w:t xml:space="preserve">Conclusione</w:t>
      </w:r>
    </w:p>
    <w:p>
      <w:pPr>
        <w:pStyle w:val="FirstParagraph"/>
      </w:pPr>
      <w:r>
        <w:t xml:space="preserve">Mazdutide è un derivato a lunga durata d’azione dell’ormone intestinale ossintomodulina, che attiva contemporaneamente i recettori del GLP-1 e del glucagone. Negli studi cinesi di fase 3 il peso corporeo si è ridotto dell’11–14% dopo 48 settimane e del 16,65% dopo 60 settimane con la dose più alta; nel diabete di tipo 2 è risultato leggermente superiore a dulaglutide. Gli effetti collaterali più frequenti sono i disturbi gastrointestinali, che alle dosi più alte diventano molto frequenti. Mazdutide è autorizzato solo in Cina; mancano in larga parte dati sugli esiti cardiovascolari e su popolazioni non asiatiche.</w:t>
      </w:r>
    </w:p>
    <w:bookmarkEnd w:id="253"/>
    <w:bookmarkEnd w:id="254"/>
    <w:bookmarkStart w:id="266" w:name="cagrilintide-e-cagrisema"/>
    <w:p>
      <w:pPr>
        <w:pStyle w:val="Heading2"/>
      </w:pPr>
      <w:r>
        <w:t xml:space="preserve">Cagrilintide e CagriSema</w:t>
      </w:r>
    </w:p>
    <w:bookmarkStart w:id="255" w:name="scheda-8"/>
    <w:p>
      <w:pPr>
        <w:pStyle w:val="Heading3"/>
      </w:pPr>
      <w:r>
        <w:t xml:space="preserve">Scheda</w:t>
      </w:r>
    </w:p>
    <w:p>
      <w:pPr>
        <w:numPr>
          <w:ilvl w:val="0"/>
          <w:numId w:val="1080"/>
        </w:numPr>
        <w:pStyle w:val="Compact"/>
      </w:pPr>
      <w:r>
        <w:rPr>
          <w:bCs/>
          <w:b/>
        </w:rPr>
        <w:t xml:space="preserve">Tipo/struttura:</w:t>
      </w:r>
      <w:r>
        <w:t xml:space="preserve"> </w:t>
      </w:r>
      <w:r>
        <w:t xml:space="preserve">cagrilintide è un analogo sintetico dell’ormone amilina modificato con acido grasso, per la somministrazione sottocutanea una volta alla settimana.</w:t>
      </w:r>
      <w:r>
        <w:t xml:space="preserve"> </w:t>
      </w:r>
      <w:r>
        <w:rPr>
          <w:bCs/>
          <w:b/>
        </w:rPr>
        <w:t xml:space="preserve">CagriSema</w:t>
      </w:r>
      <w:r>
        <w:t xml:space="preserve"> </w:t>
      </w:r>
      <w:r>
        <w:t xml:space="preserve">è la combinazione fissa di cagrilintide e semaglutide in un unico dispositivo per iniezione.</w:t>
      </w:r>
    </w:p>
    <w:p>
      <w:pPr>
        <w:numPr>
          <w:ilvl w:val="0"/>
          <w:numId w:val="1080"/>
        </w:numPr>
        <w:pStyle w:val="Compact"/>
      </w:pPr>
      <w:r>
        <w:rPr>
          <w:bCs/>
          <w:b/>
        </w:rPr>
        <w:t xml:space="preserve">Origine:</w:t>
      </w:r>
      <w:r>
        <w:t xml:space="preserve"> </w:t>
      </w:r>
      <w:r>
        <w:t xml:space="preserve">sviluppato da Novo Nordisk, il produttore di semaglutide.</w:t>
      </w:r>
    </w:p>
    <w:p>
      <w:pPr>
        <w:numPr>
          <w:ilvl w:val="0"/>
          <w:numId w:val="1080"/>
        </w:numPr>
        <w:pStyle w:val="Compact"/>
      </w:pPr>
      <w:r>
        <w:rPr>
          <w:bCs/>
          <w:b/>
        </w:rPr>
        <w:t xml:space="preserve">Principio d’azione:</w:t>
      </w:r>
      <w:r>
        <w:t xml:space="preserve"> </w:t>
      </w:r>
      <w:r>
        <w:t xml:space="preserve">cagrilintide attiva i recettori dell’amilina e inoltre il recettore affine della calcitonina (un «agonista duale dei recettori dell’amilina e della calcitonina»). In CagriSema si aggiunge l’effetto GLP-1 di semaglutide.</w:t>
      </w:r>
    </w:p>
    <w:p>
      <w:pPr>
        <w:numPr>
          <w:ilvl w:val="0"/>
          <w:numId w:val="1080"/>
        </w:numPr>
        <w:pStyle w:val="Compact"/>
      </w:pPr>
      <w:r>
        <w:rPr>
          <w:bCs/>
          <w:b/>
        </w:rPr>
        <w:t xml:space="preserve">Autorizzazione UE:</w:t>
      </w:r>
      <w:r>
        <w:t xml:space="preserve"> </w:t>
      </w:r>
      <w:r>
        <w:t xml:space="preserve">no (aggiornato a ottobre 2026).</w:t>
      </w:r>
    </w:p>
    <w:p>
      <w:pPr>
        <w:numPr>
          <w:ilvl w:val="0"/>
          <w:numId w:val="1080"/>
        </w:numPr>
        <w:pStyle w:val="Compact"/>
      </w:pPr>
      <w:r>
        <w:rPr>
          <w:bCs/>
          <w:b/>
        </w:rPr>
        <w:t xml:space="preserve">Autorizzazione USA:</w:t>
      </w:r>
      <w:r>
        <w:t xml:space="preserve"> </w:t>
      </w:r>
      <w:r>
        <w:t xml:space="preserve">no (aggiornato a ottobre 2026; una procedura di autorizzazione per CagriSema è annunciata o potrebbe essere già in corso – da verificare).</w:t>
      </w:r>
    </w:p>
    <w:p>
      <w:pPr>
        <w:numPr>
          <w:ilvl w:val="0"/>
          <w:numId w:val="1080"/>
        </w:numPr>
        <w:pStyle w:val="Compact"/>
      </w:pPr>
      <w:r>
        <w:rPr>
          <w:bCs/>
          <w:b/>
        </w:rPr>
        <w:t xml:space="preserve">WADA:</w:t>
      </w:r>
      <w:r>
        <w:t xml:space="preserve"> </w:t>
      </w:r>
      <w:r>
        <w:t xml:space="preserve">in quanto sostanza non approvata, vietata in base alla classe S0 (aggiornato al 2026, da verificare).</w:t>
      </w:r>
    </w:p>
    <w:p>
      <w:pPr>
        <w:numPr>
          <w:ilvl w:val="0"/>
          <w:numId w:val="1080"/>
        </w:numPr>
        <w:pStyle w:val="Compact"/>
      </w:pPr>
      <w:r>
        <w:rPr>
          <w:bCs/>
          <w:b/>
        </w:rPr>
        <w:t xml:space="preserve">Livello di evidenza:</w:t>
      </w:r>
      <w:r>
        <w:t xml:space="preserve"> </w:t>
      </w:r>
      <w:r>
        <w:rPr>
          <w:bCs/>
          <w:b/>
        </w:rPr>
        <w:t xml:space="preserve">B</w:t>
      </w:r>
      <w:r>
        <w:t xml:space="preserve"> </w:t>
      </w:r>
      <w:r>
        <w:t xml:space="preserve">– pubblicati diversi grandi studi di fase 3, ma ancora nessuna autorizzazione. Con l’autorizzazione CagriSema raggiungerebbe il livello A.</w:t>
      </w:r>
    </w:p>
    <w:bookmarkEnd w:id="255"/>
    <w:bookmarkStart w:id="256" w:name="come-dovrebbe-agire-8"/>
    <w:p>
      <w:pPr>
        <w:pStyle w:val="Heading3"/>
      </w:pPr>
      <w:r>
        <w:t xml:space="preserve">Come dovrebbe agire</w:t>
      </w:r>
    </w:p>
    <w:p>
      <w:pPr>
        <w:pStyle w:val="FirstParagraph"/>
      </w:pPr>
      <w:r>
        <w:t xml:space="preserve">L’amilina è un ormone che le cellule beta del pancreas secernono insieme all’insulina. Agisce soprattutto nel tronco encefalico: favorisce il senso di sazietà, rallenta lo svuotamento gastrico e frena la secrezione di glucagone dopo i pasti. Alle persone con diabete di tipo 1 manca, oltre all’insulina, anche l’amilina.</w:t>
      </w:r>
    </w:p>
    <w:p>
      <w:pPr>
        <w:pStyle w:val="BodyText"/>
      </w:pPr>
      <w:r>
        <w:t xml:space="preserve">L’amilina naturale non è adatta come farmaco, perché tende ad aggregarsi (forma le cosiddette fibrille amiloidi) e rimane nel sangue solo pochi minuti. Il primo farmaco a base di amilina, pramlintide (si veda il capitolo dedicato), deve quindi essere iniettato più volte al giorno. Cagrilintide è stato modificato in modo mirato per restare stabile e, grazie a una catena di acido grasso, agire per una settimana (Kruse 2021, PMID 34288673). Nei dati di fase 1 l’emivita era di 159–195 ore, cioè circa una settimana (Enebo 2021, PMID 33894838).</w:t>
      </w:r>
    </w:p>
    <w:p>
      <w:pPr>
        <w:pStyle w:val="BodyText"/>
      </w:pPr>
      <w:r>
        <w:t xml:space="preserve">La combinazione con semaglutide segue un’idea semplice: amilina e GLP-1 agiscono sulla sazietà attraverso recettori diversi e in parte attraverso regioni cerebrali diverse, quindi gli effetti potrebbero sommarsi. Studi su topi geneticamente modificati mostrano che cagrilintide, per il suo effetto di riduzione del peso, ha bisogno dei sottotipi 1 e 3 del recettore dell’amilina nel cervello (Carvas 2025, PMID 40609154). Nei ratti CagriSema ha ridotto soprattutto l’apporto energetico, mentre il dispendio energetico è rimasto in gran parte invariato (Jacobsen 2025, PMID 40629149).</w:t>
      </w:r>
    </w:p>
    <w:bookmarkEnd w:id="256"/>
    <w:bookmarkStart w:id="260" w:name="studi-sulluomo-8"/>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15 studi sull’uomo su cagrilintide o CagriSema. Su ClinicalTrials.gov risultavano registrati 44 studi. Il programma registrativo si chiama</w:t>
      </w:r>
      <w:r>
        <w:t xml:space="preserve"> </w:t>
      </w:r>
      <w:r>
        <w:rPr>
          <w:bCs/>
          <w:b/>
        </w:rPr>
        <w:t xml:space="preserve">REDEFINE</w:t>
      </w:r>
      <w:r>
        <w:t xml:space="preserve"> </w:t>
      </w:r>
      <w:r>
        <w:t xml:space="preserve">(gestione del peso) e</w:t>
      </w:r>
      <w:r>
        <w:t xml:space="preserve"> </w:t>
      </w:r>
      <w:r>
        <w:rPr>
          <w:bCs/>
          <w:b/>
        </w:rPr>
        <w:t xml:space="preserve">REIMAGINE</w:t>
      </w:r>
      <w:r>
        <w:t xml:space="preserve"> </w:t>
      </w:r>
      <w:r>
        <w:t xml:space="preserve">(diabete di tipo 2).</w:t>
      </w:r>
    </w:p>
    <w:bookmarkStart w:id="257" w:name="cagrilintide-da-solo"/>
    <w:p>
      <w:pPr>
        <w:pStyle w:val="Heading4"/>
      </w:pPr>
      <w:r>
        <w:t xml:space="preserve">Cagrilintide da solo</w:t>
      </w:r>
    </w:p>
    <w:p>
      <w:pPr>
        <w:pStyle w:val="FirstParagraph"/>
      </w:pPr>
      <w:r>
        <w:t xml:space="preserve">Nello studio di fase 2 per la ricerca della dose (Lau 2021, PMID 34798060) 706 adulti con sovrappeso o obesità hanno ricevuto per 26 settimane cagrilintide in cinque dosi, 99 liraglutide e 101 placebo. Il peso è diminuito in modo dose-dipendente del 6,0–10,8% (placebo 3,0%). La dose più alta è risultata leggermente superiore a liraglutide 3,0 mg (10,8% vs. 9,0%). La nausea si è verificata nel 20–47% (placebo 18%). Da solo, cagrilintide raggiunge quindi circa l’ordine di grandezza dei farmaci GLP-1 più datati, non quello di semaglutide o tirzepatide. Nel frattempo viene valutato in fase 3 anche come sostanza singola (NCT07220642).</w:t>
      </w:r>
    </w:p>
    <w:bookmarkEnd w:id="257"/>
    <w:bookmarkStart w:id="258" w:name="cagrisema-primi-studi"/>
    <w:p>
      <w:pPr>
        <w:pStyle w:val="Heading4"/>
      </w:pPr>
      <w:r>
        <w:t xml:space="preserve">CagriSema: primi studi</w:t>
      </w:r>
    </w:p>
    <w:p>
      <w:pPr>
        <w:pStyle w:val="FirstParagraph"/>
      </w:pPr>
      <w:r>
        <w:t xml:space="preserve">In uno studio di fase 1b su 95 persone sane in sovrappeso, i partecipanti trattati con semaglutide più cagrilintide hanno perso dopo 20 settimane fino al 17,1% del loro peso, quelli con semaglutide più placebo il 9,8% (Enebo 2021, PMID 33894838). Cagrilintide non ha modificato i livelli ematici di semaglutide.</w:t>
      </w:r>
    </w:p>
    <w:p>
      <w:pPr>
        <w:pStyle w:val="BodyText"/>
      </w:pPr>
      <w:r>
        <w:t xml:space="preserve">Un piccolo studio di fase 2 su 92 persone con diabete di tipo 2 ha confrontato direttamente CagriSema con le due sostanze singole (Frias 2023, PMID 37364590). Dopo 32 settimane la perdita di peso era del 15,6% con CagriSema, del 5,1% con semaglutide e dell’8,1% con cagrilintide. Per l’HbA1c, CagriSema con −2,2 punti percentuali non è risultato statisticamente superiore a semaglutide (−1,8).</w:t>
      </w:r>
    </w:p>
    <w:bookmarkEnd w:id="258"/>
    <w:bookmarkStart w:id="259" w:name="cagrisema-fase-3-redefine-e-reimagine"/>
    <w:p>
      <w:pPr>
        <w:pStyle w:val="Heading4"/>
      </w:pPr>
      <w:r>
        <w:t xml:space="preserve">CagriSema: fase 3 (REDEFINE e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REDEFINE 1 (Garvey 2025), PMID 40544433</w:t>
            </w:r>
          </w:p>
        </w:tc>
        <w:tc>
          <w:tcPr/>
          <w:p>
            <w:pPr>
              <w:pStyle w:val="Compact"/>
              <w:jc w:val="left"/>
            </w:pPr>
            <w:r>
              <w:t xml:space="preserve">3.417 adulti con sovrappeso/obesità senza diabete; contro placebo e sostanze singole</w:t>
            </w:r>
          </w:p>
        </w:tc>
        <w:tc>
          <w:tcPr/>
          <w:p>
            <w:pPr>
              <w:pStyle w:val="Compact"/>
              <w:jc w:val="left"/>
            </w:pPr>
            <w:r>
              <w:t xml:space="preserve">68 settimane</w:t>
            </w:r>
          </w:p>
        </w:tc>
        <w:tc>
          <w:tcPr/>
          <w:p>
            <w:pPr>
              <w:pStyle w:val="Compact"/>
              <w:jc w:val="left"/>
            </w:pPr>
            <w:r>
              <w:t xml:space="preserve">−20,4% di peso vs. −3,0%</w:t>
            </w:r>
          </w:p>
        </w:tc>
      </w:tr>
      <w:tr>
        <w:tc>
          <w:tcPr/>
          <w:p>
            <w:pPr>
              <w:pStyle w:val="Compact"/>
              <w:jc w:val="left"/>
            </w:pPr>
            <w:r>
              <w:t xml:space="preserve">REDEFINE 2 (Davies 2025), PMID 40544432</w:t>
            </w:r>
          </w:p>
        </w:tc>
        <w:tc>
          <w:tcPr/>
          <w:p>
            <w:pPr>
              <w:pStyle w:val="Compact"/>
              <w:jc w:val="left"/>
            </w:pPr>
            <w:r>
              <w:t xml:space="preserve">1.206 adulti con obesità e diabete di tipo 2, contro placebo</w:t>
            </w:r>
          </w:p>
        </w:tc>
        <w:tc>
          <w:tcPr/>
          <w:p>
            <w:pPr>
              <w:pStyle w:val="Compact"/>
              <w:jc w:val="left"/>
            </w:pPr>
            <w:r>
              <w:t xml:space="preserve">68 settimane</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adulti in Giappone e Taiwan, contro semaglutide</w:t>
            </w:r>
          </w:p>
        </w:tc>
        <w:tc>
          <w:tcPr/>
          <w:p>
            <w:pPr>
              <w:pStyle w:val="Compact"/>
              <w:jc w:val="left"/>
            </w:pPr>
            <w:r>
              <w:t xml:space="preserve">68 settimane</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adulti con diabete di tipo 2 senza farmaci, contro placebo</w:t>
            </w:r>
          </w:p>
        </w:tc>
        <w:tc>
          <w:tcPr/>
          <w:p>
            <w:pPr>
              <w:pStyle w:val="Compact"/>
              <w:jc w:val="left"/>
            </w:pPr>
            <w:r>
              <w:t xml:space="preserve">40 settimane</w:t>
            </w:r>
          </w:p>
        </w:tc>
        <w:tc>
          <w:tcPr/>
          <w:p>
            <w:pPr>
              <w:pStyle w:val="Compact"/>
              <w:jc w:val="left"/>
            </w:pPr>
            <w:r>
              <w:t xml:space="preserve">HbA1c −1,8 vs. −0,1; peso −13,8% vs. −1,4%</w:t>
            </w:r>
          </w:p>
        </w:tc>
      </w:tr>
      <w:tr>
        <w:tc>
          <w:tcPr/>
          <w:p>
            <w:pPr>
              <w:pStyle w:val="Compact"/>
              <w:jc w:val="left"/>
            </w:pPr>
            <w:r>
              <w:t xml:space="preserve">REIMAGINE 2 (Buse 2026), PMID 42251859</w:t>
            </w:r>
          </w:p>
        </w:tc>
        <w:tc>
          <w:tcPr/>
          <w:p>
            <w:pPr>
              <w:pStyle w:val="Compact"/>
              <w:jc w:val="left"/>
            </w:pPr>
            <w:r>
              <w:t xml:space="preserve">2.713 adulti con diabete di tipo 2, contro semaglutide, cagrilintide e placebo</w:t>
            </w:r>
          </w:p>
        </w:tc>
        <w:tc>
          <w:tcPr/>
          <w:p>
            <w:pPr>
              <w:pStyle w:val="Compact"/>
              <w:jc w:val="left"/>
            </w:pPr>
            <w:r>
              <w:t xml:space="preserve">68 settimane</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adulti con diabete di tipo 2 e insulina basale, contro placebo</w:t>
            </w:r>
          </w:p>
        </w:tc>
        <w:tc>
          <w:tcPr/>
          <w:p>
            <w:pPr>
              <w:pStyle w:val="Compact"/>
              <w:jc w:val="left"/>
            </w:pPr>
            <w:r>
              <w:t xml:space="preserve">40 settimane</w:t>
            </w:r>
          </w:p>
        </w:tc>
        <w:tc>
          <w:tcPr/>
          <w:p>
            <w:pPr>
              <w:pStyle w:val="Compact"/>
              <w:jc w:val="left"/>
            </w:pPr>
            <w:r>
              <w:t xml:space="preserve">HbA1c −2,33 vs. −0,66; peso da −10 a −12%</w:t>
            </w:r>
          </w:p>
        </w:tc>
      </w:tr>
    </w:tbl>
    <w:p>
      <w:pPr>
        <w:pStyle w:val="BodyText"/>
      </w:pPr>
      <w:r>
        <w:rPr>
          <w:bCs/>
          <w:b/>
        </w:rPr>
        <w:t xml:space="preserve">REDEFINE 1</w:t>
      </w:r>
      <w:r>
        <w:t xml:space="preserve"> </w:t>
      </w:r>
      <w:r>
        <w:t xml:space="preserve">(Garvey 2025, PMID 40544433) è lo studio principale. In 3.417 adulti senza diabete il peso corporeo si è ridotto dopo 68 settimane in media del 20,4% rispetto al 3,0% con il placebo. Lo studio comprendeva anche gruppi più piccoli con solo semaglutide e solo cagrilintide. In un’analisi successiva, il 30,3% con CagriSema, il 19,1% con semaglutide, il 9,0% con cagrilintide e il 3,3% con placebo hanno raggiunto sia un BMI inferiore a 27 sia un rapporto favorevole tra circonferenza vita e statura (Busetto 2026, PMID 42503495). La pressione sistolica è diminuita con CagriSema di 10,9 mmHg (placebo −2,8) (Verma 2026, PMID 41328546).</w:t>
      </w:r>
    </w:p>
    <w:p>
      <w:pPr>
        <w:pStyle w:val="BodyText"/>
      </w:pPr>
      <w:r>
        <w:t xml:space="preserve">Per inquadrare il dato: il 20,4% raggiunto è dell’ordine di grandezza di tirzepatide in SURMOUNT-1 (20,9% dopo 72 settimane alla dose più alta). Un simile confronto incrociato tra studi diversi è solo un orientamento approssimativo; il confronto diretto è ancora in attesa (si veda più avanti).</w:t>
      </w:r>
    </w:p>
    <w:p>
      <w:pPr>
        <w:pStyle w:val="BodyText"/>
      </w:pPr>
      <w:r>
        <w:rPr>
          <w:bCs/>
          <w:b/>
        </w:rPr>
        <w:t xml:space="preserve">REDEFINE 2</w:t>
      </w:r>
      <w:r>
        <w:t xml:space="preserve"> </w:t>
      </w:r>
      <w:r>
        <w:t xml:space="preserve">(Davies 2025, PMID 40544432) ha confermato lo schema nelle persone con diabete di tipo 2: −13,7% rispetto a −3,4%. Il 73,5% ha raggiunto un valore di HbA1c non superiore al 6,5% (placebo 15,9%).</w:t>
      </w:r>
    </w:p>
    <w:p>
      <w:pPr>
        <w:pStyle w:val="BodyText"/>
      </w:pPr>
      <w:r>
        <w:rPr>
          <w:bCs/>
          <w:b/>
        </w:rPr>
        <w:t xml:space="preserve">REDEFINE 5</w:t>
      </w:r>
      <w:r>
        <w:t xml:space="preserve"> </w:t>
      </w:r>
      <w:r>
        <w:t xml:space="preserve">(Yamauchi 2026, PMID 42009015) è il primo studio di fase 3 in cieco pubblicato a confronto diretto con semaglutide 2,4 mg: in Giappone e Taiwan i partecipanti hanno perso il 18,4% con CagriSema rispetto all’11,9% con semaglutide da solo. I disturbi gastrointestinali sono stati altrettanto frequenti, 53% contro 51%.</w:t>
      </w:r>
    </w:p>
    <w:p>
      <w:pPr>
        <w:pStyle w:val="BodyText"/>
      </w:pPr>
      <w:r>
        <w:rPr>
          <w:bCs/>
          <w:b/>
        </w:rPr>
        <w:t xml:space="preserve">REIMAGINE 2</w:t>
      </w:r>
      <w:r>
        <w:t xml:space="preserve"> </w:t>
      </w:r>
      <w:r>
        <w:t xml:space="preserve">(Buse 2026, PMID 42251859) ha mostrato nel diabete di tipo 2 che CagriSema riduce l’HbA1c solo di poco più di semaglutide 2,4 mg da solo (−1,91 vs. −1,75 punti percentuali). Il beneficio aggiuntivo di cagrilintide riguarda quindi soprattutto il peso, poco la glicemia.</w:t>
      </w:r>
    </w:p>
    <w:p>
      <w:pPr>
        <w:pStyle w:val="BodyText"/>
      </w:pPr>
      <w:r>
        <w:t xml:space="preserve">Lo studio di confronto diretto con tirzepatide nell’obesità (REDEFINE 4, NCT06131437) e due studi di confronto con tirzepatide nel diabete di tipo 2 (NCT06221969, NCT06534411) risultano conclusi secondo il registro; al momento della ricerca non erano ancora disponibili pubblicazioni sottoposte a revisione paritaria.</w:t>
      </w:r>
    </w:p>
    <w:bookmarkEnd w:id="259"/>
    <w:bookmarkEnd w:id="260"/>
    <w:bookmarkStart w:id="261" w:name="studi-su-animali-e-in-laboratorio-8"/>
    <w:p>
      <w:pPr>
        <w:pStyle w:val="Heading3"/>
      </w:pPr>
      <w:r>
        <w:t xml:space="preserve">Studi su animali e in laboratorio</w:t>
      </w:r>
    </w:p>
    <w:p>
      <w:pPr>
        <w:pStyle w:val="FirstParagraph"/>
      </w:pPr>
      <w:r>
        <w:t xml:space="preserve">Studi di biologia strutturale mostrano come cagrilintide si lega ai recettori dell’amilina e della calcitonina (Cao 2025, PMID 40204768). Nei topi privi dei sottotipi 1 e 3 del recettore dell’amilina l’effetto era fortemente attenuato (Carvas 2025, PMID 40609154). Nei ratti CagriSema ha ridotto l’assunzione di cibo del 39%; secondo i calcoli degli autori, circa un terzo della perdita di peso era dovuto al fatto che il dispendio energetico non si riduceva nella misura abituale (Jacobsen 2025, PMID 40629149). In un altro studio sui ratti la combinazione di cagrilintide con retatrutide ha potenziato la perdita di peso (Petersen 2026, PMID 42744908): un indizio che in futuro i principi attivi a base di amilina potrebbero essere combinati anche con altri farmaci incretinici. Tutti questi risultati provengono da esperimenti sugli animali.</w:t>
      </w:r>
    </w:p>
    <w:bookmarkEnd w:id="261"/>
    <w:bookmarkStart w:id="262" w:name="rischi-ed-effetti-collaterali-8"/>
    <w:p>
      <w:pPr>
        <w:pStyle w:val="Heading3"/>
      </w:pPr>
      <w:r>
        <w:t xml:space="preserve">Rischi ed effetti collaterali</w:t>
      </w:r>
    </w:p>
    <w:p>
      <w:pPr>
        <w:pStyle w:val="FirstParagraph"/>
      </w:pPr>
      <w:r>
        <w:rPr>
          <w:bCs/>
          <w:b/>
        </w:rPr>
        <w:t xml:space="preserve">Documentati dagli studi:</w:t>
      </w:r>
    </w:p>
    <w:p>
      <w:pPr>
        <w:numPr>
          <w:ilvl w:val="0"/>
          <w:numId w:val="1081"/>
        </w:numPr>
        <w:pStyle w:val="Compact"/>
      </w:pPr>
      <w:r>
        <w:rPr>
          <w:bCs/>
          <w:b/>
        </w:rPr>
        <w:t xml:space="preserve">Disturbi gastrointestinali</w:t>
      </w:r>
      <w:r>
        <w:t xml:space="preserve"> </w:t>
      </w:r>
      <w:r>
        <w:t xml:space="preserve">– nausea, vomito, diarrea, stitichezza, dolori addominali – hanno riguardato in REDEFINE 1 il 79,6% con CagriSema rispetto al 39,9% con placebo; erano per lo più transitori e da lievi a moderati (Garvey 2025, PMID 40544433). In REDEFINE 2 erano il 72,5% rispetto al 34,4% (Davies 2025, PMID 40544432).</w:t>
      </w:r>
    </w:p>
    <w:p>
      <w:pPr>
        <w:numPr>
          <w:ilvl w:val="0"/>
          <w:numId w:val="1081"/>
        </w:numPr>
        <w:pStyle w:val="Compact"/>
      </w:pPr>
      <w:r>
        <w:rPr>
          <w:bCs/>
          <w:b/>
        </w:rPr>
        <w:t xml:space="preserve">Ipoglicemia:</w:t>
      </w:r>
      <w:r>
        <w:t xml:space="preserve"> </w:t>
      </w:r>
      <w:r>
        <w:t xml:space="preserve">in REIMAGINE 3, nonostante il contemporaneo trattamento insulinico, non si sono verificate ipoglicemie gravi (Rosenstock 2026, PMID 42251856). In combinazione con insulina o sulfoniluree il rischio rimane però in linea di principio.</w:t>
      </w:r>
    </w:p>
    <w:p>
      <w:pPr>
        <w:numPr>
          <w:ilvl w:val="0"/>
          <w:numId w:val="1081"/>
        </w:numPr>
        <w:pStyle w:val="Compact"/>
      </w:pPr>
      <w:r>
        <w:rPr>
          <w:bCs/>
          <w:b/>
        </w:rPr>
        <w:t xml:space="preserve">Ritmo cardiaco:</w:t>
      </w:r>
      <w:r>
        <w:t xml:space="preserve"> </w:t>
      </w:r>
      <w:r>
        <w:t xml:space="preserve">in uno studio dedicato con 105 persone sane cagrilintide non ha prolungato l’intervallo QT all’ECG in misura clinicamente rilevante (Gabe 2024, PMID 39279639).</w:t>
      </w:r>
    </w:p>
    <w:p>
      <w:pPr>
        <w:numPr>
          <w:ilvl w:val="0"/>
          <w:numId w:val="1081"/>
        </w:numPr>
        <w:pStyle w:val="Compact"/>
      </w:pPr>
      <w:r>
        <w:rPr>
          <w:bCs/>
          <w:b/>
        </w:rPr>
        <w:t xml:space="preserve">Funzione renale ed epatica:</w:t>
      </w:r>
      <w:r>
        <w:t xml:space="preserve"> </w:t>
      </w:r>
      <w:r>
        <w:t xml:space="preserve">i livelli ematici di cagrilintide non si sono modificati sostanzialmente in caso di ridotta funzione renale o epatica (Nielsen 2026, PMID 42228334).</w:t>
      </w:r>
    </w:p>
    <w:p>
      <w:pPr>
        <w:pStyle w:val="FirstParagraph"/>
      </w:pPr>
      <w:r>
        <w:rPr>
          <w:bCs/>
          <w:b/>
        </w:rPr>
        <w:t xml:space="preserve">Teorici o ancora non sufficientemente studiati:</w:t>
      </w:r>
      <w:r>
        <w:t xml:space="preserve"> </w:t>
      </w:r>
      <w:r>
        <w:t xml:space="preserve">il recettore della calcitonina è presente anche nelle ossa; come la stimolazione continua influisca sul metabolismo osseo è attualmente oggetto di studio (NCT07010432). Altrettanto non chiarito è se la combinazione influenzi la perdita di massa muscolare (NCT07527195). Per i rischi di classe di semaglutide (colecisti, pancreas, cellule C della tiroide negli esperimenti sugli animali) si veda il capitolo Semaglutide.</w:t>
      </w:r>
    </w:p>
    <w:bookmarkEnd w:id="262"/>
    <w:bookmarkStart w:id="263" w:name="quadro-normativo-8"/>
    <w:p>
      <w:pPr>
        <w:pStyle w:val="Heading3"/>
      </w:pPr>
      <w:r>
        <w:t xml:space="preserve">Quadro normativo</w:t>
      </w:r>
    </w:p>
    <w:p>
      <w:pPr>
        <w:numPr>
          <w:ilvl w:val="0"/>
          <w:numId w:val="1082"/>
        </w:numPr>
        <w:pStyle w:val="Compact"/>
      </w:pPr>
      <w:r>
        <w:rPr>
          <w:bCs/>
          <w:b/>
        </w:rPr>
        <w:t xml:space="preserve">UE / Austria / Germania:</w:t>
      </w:r>
      <w:r>
        <w:t xml:space="preserve"> </w:t>
      </w:r>
      <w:r>
        <w:t xml:space="preserve">né cagrilintide né CagriSema sono autorizzati; uso solo negli studi. Le offerte di «Cagrilintide» sul mercato grigio non sono medicinali e non sono verificate.</w:t>
      </w:r>
    </w:p>
    <w:p>
      <w:pPr>
        <w:numPr>
          <w:ilvl w:val="0"/>
          <w:numId w:val="1082"/>
        </w:numPr>
        <w:pStyle w:val="Compact"/>
      </w:pPr>
      <w:r>
        <w:rPr>
          <w:bCs/>
          <w:b/>
        </w:rPr>
        <w:t xml:space="preserve">USA:</w:t>
      </w:r>
      <w:r>
        <w:t xml:space="preserve"> </w:t>
      </w:r>
      <w:r>
        <w:t xml:space="preserve">non autorizzato (aggiornato a ottobre 2026, da verificare).</w:t>
      </w:r>
    </w:p>
    <w:p>
      <w:pPr>
        <w:numPr>
          <w:ilvl w:val="0"/>
          <w:numId w:val="1082"/>
        </w:numPr>
        <w:pStyle w:val="Compact"/>
      </w:pPr>
      <w:r>
        <w:rPr>
          <w:bCs/>
          <w:b/>
        </w:rPr>
        <w:t xml:space="preserve">Sport:</w:t>
      </w:r>
      <w:r>
        <w:t xml:space="preserve"> </w:t>
      </w:r>
      <w:r>
        <w:t xml:space="preserve">classe WADA S0 (non approvata), aggiornato al 2026, da verificare.</w:t>
      </w:r>
    </w:p>
    <w:bookmarkEnd w:id="263"/>
    <w:bookmarkStart w:id="264" w:name="studi-in-corso-e-prospettive-8"/>
    <w:p>
      <w:pPr>
        <w:pStyle w:val="Heading3"/>
      </w:pPr>
      <w:r>
        <w:t xml:space="preserve">Studi in corso e prospettive</w:t>
      </w:r>
    </w:p>
    <w:p>
      <w:pPr>
        <w:pStyle w:val="FirstParagraph"/>
      </w:pPr>
      <w:r>
        <w:rPr>
          <w:bCs/>
          <w:b/>
        </w:rPr>
        <w:t xml:space="preserve">Certo (studi registrati, aggiornato a ottobre 2026):</w:t>
      </w:r>
    </w:p>
    <w:p>
      <w:pPr>
        <w:numPr>
          <w:ilvl w:val="0"/>
          <w:numId w:val="1083"/>
        </w:numPr>
        <w:pStyle w:val="Compact"/>
      </w:pPr>
      <w:r>
        <w:rPr>
          <w:bCs/>
          <w:b/>
        </w:rPr>
        <w:t xml:space="preserve">REDEFINE 3</w:t>
      </w:r>
      <w:r>
        <w:t xml:space="preserve"> </w:t>
      </w:r>
      <w:r>
        <w:t xml:space="preserve">(NCT05669755): studio sugli esiti cardiovascolari con 7.076 persone randomizzate con malattia cardiovascolare accertata e sovrappeso; conclusione prevista nel 2027. Disegno e dati iniziali sono pubblicati (Cavender 2026, PMID 42838477).</w:t>
      </w:r>
    </w:p>
    <w:p>
      <w:pPr>
        <w:numPr>
          <w:ilvl w:val="0"/>
          <w:numId w:val="1083"/>
        </w:numPr>
        <w:pStyle w:val="Compact"/>
      </w:pPr>
      <w:r>
        <w:rPr>
          <w:bCs/>
          <w:b/>
        </w:rPr>
        <w:t xml:space="preserve">Confronti con tirzepatide</w:t>
      </w:r>
      <w:r>
        <w:t xml:space="preserve"> </w:t>
      </w:r>
      <w:r>
        <w:t xml:space="preserve">(NCT06131437, NCT06221969, NCT06534411): conclusi, pubblicazione in attesa.</w:t>
      </w:r>
    </w:p>
    <w:p>
      <w:pPr>
        <w:numPr>
          <w:ilvl w:val="0"/>
          <w:numId w:val="1083"/>
        </w:numPr>
        <w:pStyle w:val="Compact"/>
      </w:pPr>
      <w:r>
        <w:rPr>
          <w:bCs/>
          <w:b/>
        </w:rPr>
        <w:t xml:space="preserve">Dosi più alte di CagriSema</w:t>
      </w:r>
      <w:r>
        <w:t xml:space="preserve"> </w:t>
      </w:r>
      <w:r>
        <w:t xml:space="preserve">contro semaglutide (NCT07564414) e studio a lungo termine sul mantenimento del peso (NCT06780449).</w:t>
      </w:r>
    </w:p>
    <w:p>
      <w:pPr>
        <w:numPr>
          <w:ilvl w:val="0"/>
          <w:numId w:val="1083"/>
        </w:numPr>
        <w:pStyle w:val="Compact"/>
      </w:pPr>
      <w:r>
        <w:rPr>
          <w:bCs/>
          <w:b/>
        </w:rPr>
        <w:t xml:space="preserve">Bambini e adolescenti</w:t>
      </w:r>
      <w:r>
        <w:t xml:space="preserve"> </w:t>
      </w:r>
      <w:r>
        <w:t xml:space="preserve">(NCT07253285) e cagrilintide da solo (NCT07220642).</w:t>
      </w:r>
    </w:p>
    <w:p>
      <w:pPr>
        <w:numPr>
          <w:ilvl w:val="0"/>
          <w:numId w:val="1083"/>
        </w:numPr>
        <w:pStyle w:val="Compact"/>
      </w:pPr>
      <w:r>
        <w:t xml:space="preserve">Studi più piccoli su ossa (NCT07010432), muscoli (NCT07527195) e persone che non tollerano i farmaci GLP-1 (NCT07607587).</w:t>
      </w:r>
    </w:p>
    <w:p>
      <w:pPr>
        <w:pStyle w:val="FirstParagraph"/>
      </w:pPr>
      <w:r>
        <w:rPr>
          <w:bCs/>
          <w:b/>
        </w:rPr>
        <w:t xml:space="preserve">Valutazione:</w:t>
      </w:r>
      <w:r>
        <w:t xml:space="preserve"> </w:t>
      </w:r>
      <w:r>
        <w:t xml:space="preserve">CagriSema dovrebbe arrivare sul mercato come prima combinazione amilina-GLP-1. Se si affermerà contro tirzepatide e i tripli agonisti in arrivo dipende dagli studi di confronto e dalla tollerabilità. L’aspetto scientificamente più interessante è l’ampliamento degli strumenti disponibili: dopo GLP-1, GIP e glucagone, l’amilina è la quarta via ormonale sfruttata per il trattamento dell’obesità (si veda anche Amycretin).</w:t>
      </w:r>
    </w:p>
    <w:bookmarkEnd w:id="264"/>
    <w:bookmarkStart w:id="265" w:name="conclusione-8"/>
    <w:p>
      <w:pPr>
        <w:pStyle w:val="Heading3"/>
      </w:pPr>
      <w:r>
        <w:t xml:space="preserve">Conclusione</w:t>
      </w:r>
    </w:p>
    <w:p>
      <w:pPr>
        <w:pStyle w:val="FirstParagraph"/>
      </w:pPr>
      <w:r>
        <w:t xml:space="preserve">Cagrilintide è un analogo dell’amilina a lunga durata d’azione che da solo ha ridotto il peso in fase 2 fino al 10,8%. In combinazione con semaglutide (CagriSema) ha raggiunto in REDEFINE 1 una perdita di peso del 20,4% dopo 68 settimane e in Asia orientale è risultato nettamente superiore a semaglutide da solo (18,4% vs. 11,9%). I disturbi gastrointestinali riguardano circa quattro trattati su cinque. CagriSema non è ancora autorizzato; mancano dati sugli eventi cardiovascolari e sul confronto diretto con tirzepatide.</w:t>
      </w:r>
    </w:p>
    <w:bookmarkEnd w:id="265"/>
    <w:bookmarkEnd w:id="266"/>
    <w:bookmarkStart w:id="278" w:name="amycretin-zenagamtide"/>
    <w:p>
      <w:pPr>
        <w:pStyle w:val="Heading2"/>
      </w:pPr>
      <w:r>
        <w:t xml:space="preserve">Amycretin (zenagamtide)</w:t>
      </w:r>
    </w:p>
    <w:bookmarkStart w:id="267" w:name="scheda-9"/>
    <w:p>
      <w:pPr>
        <w:pStyle w:val="Heading3"/>
      </w:pPr>
      <w:r>
        <w:t xml:space="preserve">Scheda</w:t>
      </w:r>
    </w:p>
    <w:p>
      <w:pPr>
        <w:numPr>
          <w:ilvl w:val="0"/>
          <w:numId w:val="1084"/>
        </w:numPr>
        <w:pStyle w:val="Compact"/>
      </w:pPr>
      <w:r>
        <w:rPr>
          <w:bCs/>
          <w:b/>
        </w:rPr>
        <w:t xml:space="preserve">Tipo/struttura:</w:t>
      </w:r>
      <w:r>
        <w:t xml:space="preserve"> </w:t>
      </w:r>
      <w:r>
        <w:t xml:space="preserve">peptide sintetico che riunisce in un’unica molecola l’effetto GLP-1 e quello dell’amilina («unimolecolare»). Dal 2026 porta la denominazione comune internazionale</w:t>
      </w:r>
      <w:r>
        <w:t xml:space="preserve"> </w:t>
      </w:r>
      <w:r>
        <w:rPr>
          <w:bCs/>
          <w:b/>
        </w:rPr>
        <w:t xml:space="preserve">zenagamtide</w:t>
      </w:r>
      <w:r>
        <w:t xml:space="preserve"> </w:t>
      </w:r>
      <w:r>
        <w:t xml:space="preserve">(in inglese zenagamtide); codice di sviluppo NNC0487-0111. Viene sviluppato in due forme: come iniezione settimanale e come compressa giornaliera.</w:t>
      </w:r>
    </w:p>
    <w:p>
      <w:pPr>
        <w:numPr>
          <w:ilvl w:val="0"/>
          <w:numId w:val="1084"/>
        </w:numPr>
        <w:pStyle w:val="Compact"/>
      </w:pPr>
      <w:r>
        <w:rPr>
          <w:bCs/>
          <w:b/>
        </w:rPr>
        <w:t xml:space="preserve">Origine:</w:t>
      </w:r>
      <w:r>
        <w:t xml:space="preserve"> </w:t>
      </w:r>
      <w:r>
        <w:t xml:space="preserve">sviluppato da Novo Nordisk.</w:t>
      </w:r>
    </w:p>
    <w:p>
      <w:pPr>
        <w:numPr>
          <w:ilvl w:val="0"/>
          <w:numId w:val="1084"/>
        </w:numPr>
        <w:pStyle w:val="Compact"/>
      </w:pPr>
      <w:r>
        <w:rPr>
          <w:bCs/>
          <w:b/>
        </w:rPr>
        <w:t xml:space="preserve">Principio d’azione:</w:t>
      </w:r>
      <w:r>
        <w:t xml:space="preserve"> </w:t>
      </w:r>
      <w:r>
        <w:t xml:space="preserve">agonista dei recettori del GLP-1, dell’amilina e della calcitonina.</w:t>
      </w:r>
    </w:p>
    <w:p>
      <w:pPr>
        <w:numPr>
          <w:ilvl w:val="0"/>
          <w:numId w:val="1084"/>
        </w:numPr>
        <w:pStyle w:val="Compact"/>
      </w:pPr>
      <w:r>
        <w:rPr>
          <w:bCs/>
          <w:b/>
        </w:rPr>
        <w:t xml:space="preserve">Autorizzazione UE:</w:t>
      </w:r>
      <w:r>
        <w:t xml:space="preserve"> </w:t>
      </w:r>
      <w:r>
        <w:t xml:space="preserve">no.</w:t>
      </w:r>
    </w:p>
    <w:p>
      <w:pPr>
        <w:numPr>
          <w:ilvl w:val="0"/>
          <w:numId w:val="1084"/>
        </w:numPr>
        <w:pStyle w:val="Compact"/>
      </w:pPr>
      <w:r>
        <w:rPr>
          <w:bCs/>
          <w:b/>
        </w:rPr>
        <w:t xml:space="preserve">Autorizzazione USA:</w:t>
      </w:r>
      <w:r>
        <w:t xml:space="preserve"> </w:t>
      </w:r>
      <w:r>
        <w:t xml:space="preserve">no.</w:t>
      </w:r>
    </w:p>
    <w:p>
      <w:pPr>
        <w:numPr>
          <w:ilvl w:val="0"/>
          <w:numId w:val="1084"/>
        </w:numPr>
        <w:pStyle w:val="Compact"/>
      </w:pPr>
      <w:r>
        <w:rPr>
          <w:bCs/>
          <w:b/>
        </w:rPr>
        <w:t xml:space="preserve">WADA:</w:t>
      </w:r>
      <w:r>
        <w:t xml:space="preserve"> </w:t>
      </w:r>
      <w:r>
        <w:t xml:space="preserve">in quanto sostanza non approvata, vietata in base alla classe S0 (aggiornato al 2026, da verificare).</w:t>
      </w:r>
    </w:p>
    <w:p>
      <w:pPr>
        <w:numPr>
          <w:ilvl w:val="0"/>
          <w:numId w:val="1084"/>
        </w:numPr>
        <w:pStyle w:val="Compact"/>
      </w:pPr>
      <w:r>
        <w:rPr>
          <w:bCs/>
          <w:b/>
        </w:rPr>
        <w:t xml:space="preserve">Livello di evidenza:</w:t>
      </w:r>
      <w:r>
        <w:t xml:space="preserve"> </w:t>
      </w:r>
      <w:r>
        <w:rPr>
          <w:bCs/>
          <w:b/>
        </w:rPr>
        <w:t xml:space="preserve">B</w:t>
      </w:r>
      <w:r>
        <w:t xml:space="preserve"> </w:t>
      </w:r>
      <w:r>
        <w:t xml:space="preserve">– pubblicati studi randomizzati di fase 1 e fase 2; la fase 3 è iniziata nel 2026.</w:t>
      </w:r>
    </w:p>
    <w:bookmarkEnd w:id="267"/>
    <w:bookmarkStart w:id="268" w:name="come-dovrebbe-agire-9"/>
    <w:p>
      <w:pPr>
        <w:pStyle w:val="Heading3"/>
      </w:pPr>
      <w:r>
        <w:t xml:space="preserve">Come dovrebbe agire</w:t>
      </w:r>
    </w:p>
    <w:p>
      <w:pPr>
        <w:pStyle w:val="FirstParagraph"/>
      </w:pPr>
      <w:r>
        <w:t xml:space="preserve">CagriSema (si veda il capitolo precedente) combina due principi attivi separati – l’analogo dell’amilina cagrilintide e l’agonista del GLP-1 semaglutide – in un’unica iniezione. Amycretin fa un passo in più: un solo peptide attiva entrambi i sistemi recettoriali. Questo semplifica produzione e dosaggio e consente in linea di principio una forma in compresse, come già esiste con semaglutide orale.</w:t>
      </w:r>
    </w:p>
    <w:p>
      <w:pPr>
        <w:pStyle w:val="BodyText"/>
      </w:pPr>
      <w:r>
        <w:t xml:space="preserve">GLP-1 e amilina favoriscono entrambi il senso di sazietà, rallentano lo svuotamento gastrico e attenuano la secrezione di glucagone, ma agiscono attraverso recettori e vie nervose diversi nel tronco encefalico. Negli esperimenti su cellule amycretin ha attivato i recettori umani, murini e di ratto del GLP-1, dell’amilina e della calcitonina. Nei ratti con obesità indotta dalla dieta ha ridotto in 21 giorni l’apporto energetico del 47% e il peso corporeo del 18%, mentre il dispendio energetico è rimasto invariato; la sensibilità all’insulina è migliorata e la steatosi epatica è diminuita (Kuhre 2025, PMID 40706446). Sono dati su animali.</w:t>
      </w:r>
    </w:p>
    <w:bookmarkEnd w:id="268"/>
    <w:bookmarkStart w:id="272" w:name="studi-sulluomo-9"/>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4 studi sull’uomo. La ricerca automatica nel registro con il nome «amycretin» ha trovato una sola voce; con il nuovo nome zenagamtide e il codice di sviluppo NNC0487-0111 risultano però registrati su ClinicalTrials.gov circa 30 studi, tra cui il programma di fase 3 avviato nel 2026</w:t>
      </w:r>
      <w:r>
        <w:t xml:space="preserve"> </w:t>
      </w:r>
      <w:r>
        <w:rPr>
          <w:bCs/>
          <w:b/>
        </w:rPr>
        <w:t xml:space="preserve">AMAZE</w:t>
      </w:r>
      <w:r>
        <w:t xml:space="preserve"> </w:t>
      </w:r>
      <w:r>
        <w:t xml:space="preserve">(peso) e</w:t>
      </w:r>
      <w:r>
        <w:t xml:space="preserve"> </w:t>
      </w:r>
      <w:r>
        <w:rPr>
          <w:bCs/>
          <w:b/>
        </w:rPr>
        <w:t xml:space="preserve">AMBITION</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compressa (Gasiorek 2025), PMID 40550229</w:t>
            </w:r>
          </w:p>
        </w:tc>
        <w:tc>
          <w:tcPr/>
          <w:p>
            <w:pPr>
              <w:pStyle w:val="Compact"/>
              <w:jc w:val="left"/>
            </w:pPr>
            <w:r>
              <w:t xml:space="preserve">144 adulti con sovrappeso/obesità, contro placebo</w:t>
            </w:r>
          </w:p>
        </w:tc>
        <w:tc>
          <w:tcPr/>
          <w:p>
            <w:pPr>
              <w:pStyle w:val="Compact"/>
              <w:jc w:val="left"/>
            </w:pPr>
            <w:r>
              <w:t xml:space="preserve">fino a 12 settimane</w:t>
            </w:r>
          </w:p>
        </w:tc>
        <w:tc>
          <w:tcPr/>
          <w:p>
            <w:pPr>
              <w:pStyle w:val="Compact"/>
              <w:jc w:val="left"/>
            </w:pPr>
            <w:r>
              <w:t xml:space="preserve">sicurezza; effetti collaterali dose-dipendenti, tutti da lievi a moderati</w:t>
            </w:r>
          </w:p>
        </w:tc>
      </w:tr>
      <w:tr>
        <w:tc>
          <w:tcPr/>
          <w:p>
            <w:pPr>
              <w:pStyle w:val="Compact"/>
              <w:jc w:val="left"/>
            </w:pPr>
            <w:r>
              <w:t xml:space="preserve">Fase 1b/2a, iniezione (Dahl 2025), PMID 40550231</w:t>
            </w:r>
          </w:p>
        </w:tc>
        <w:tc>
          <w:tcPr/>
          <w:p>
            <w:pPr>
              <w:pStyle w:val="Compact"/>
              <w:jc w:val="left"/>
            </w:pPr>
            <w:r>
              <w:t xml:space="preserve">125 adulti con sovrappeso/obesità, contro placebo</w:t>
            </w:r>
          </w:p>
        </w:tc>
        <w:tc>
          <w:tcPr/>
          <w:p>
            <w:pPr>
              <w:pStyle w:val="Compact"/>
              <w:jc w:val="left"/>
            </w:pPr>
            <w:r>
              <w:t xml:space="preserve">fino a 36 settimane</w:t>
            </w:r>
          </w:p>
        </w:tc>
        <w:tc>
          <w:tcPr/>
          <w:p>
            <w:pPr>
              <w:pStyle w:val="Compact"/>
              <w:jc w:val="left"/>
            </w:pPr>
            <w:r>
              <w:t xml:space="preserve">fino a −24,3% di peso vs. −1,1%</w:t>
            </w:r>
          </w:p>
        </w:tc>
      </w:tr>
      <w:tr>
        <w:tc>
          <w:tcPr/>
          <w:p>
            <w:pPr>
              <w:pStyle w:val="Compact"/>
              <w:jc w:val="left"/>
            </w:pPr>
            <w:r>
              <w:t xml:space="preserve">Fase 2, compressa (Mora 2026), PMID 42532079</w:t>
            </w:r>
          </w:p>
        </w:tc>
        <w:tc>
          <w:tcPr/>
          <w:p>
            <w:pPr>
              <w:pStyle w:val="Compact"/>
              <w:jc w:val="left"/>
            </w:pPr>
            <w:r>
              <w:t xml:space="preserve">186 adulti con diabete di tipo 2, contro placebo</w:t>
            </w:r>
          </w:p>
        </w:tc>
        <w:tc>
          <w:tcPr/>
          <w:p>
            <w:pPr>
              <w:pStyle w:val="Compact"/>
              <w:jc w:val="left"/>
            </w:pPr>
            <w:r>
              <w:t xml:space="preserve">36 settimane</w:t>
            </w:r>
          </w:p>
        </w:tc>
        <w:tc>
          <w:tcPr/>
          <w:p>
            <w:pPr>
              <w:pStyle w:val="Compact"/>
              <w:jc w:val="left"/>
            </w:pPr>
            <w:r>
              <w:t xml:space="preserve">HbA1c da −0,9 a −1,4</w:t>
            </w:r>
          </w:p>
        </w:tc>
      </w:tr>
      <w:tr>
        <w:tc>
          <w:tcPr/>
          <w:p>
            <w:pPr>
              <w:pStyle w:val="Compact"/>
              <w:jc w:val="left"/>
            </w:pPr>
            <w:r>
              <w:t xml:space="preserve">Fase 2, iniezione (Mora 2026), PMID 42532080</w:t>
            </w:r>
          </w:p>
        </w:tc>
        <w:tc>
          <w:tcPr/>
          <w:p>
            <w:pPr>
              <w:pStyle w:val="Compact"/>
              <w:jc w:val="left"/>
            </w:pPr>
            <w:r>
              <w:t xml:space="preserve">262 adulti con diabete di tipo 2, contro placebo</w:t>
            </w:r>
          </w:p>
        </w:tc>
        <w:tc>
          <w:tcPr/>
          <w:p>
            <w:pPr>
              <w:pStyle w:val="Compact"/>
              <w:jc w:val="left"/>
            </w:pPr>
            <w:r>
              <w:t xml:space="preserve">36 settimane</w:t>
            </w:r>
          </w:p>
        </w:tc>
        <w:tc>
          <w:tcPr/>
          <w:p>
            <w:pPr>
              <w:pStyle w:val="Compact"/>
              <w:jc w:val="left"/>
            </w:pPr>
            <w:r>
              <w:t xml:space="preserve">HbA1c da −0,9 a −1,7</w:t>
            </w:r>
          </w:p>
        </w:tc>
      </w:tr>
    </w:tbl>
    <w:bookmarkStart w:id="269" w:name="forma-in-compresse-primo-studio-sulluomo"/>
    <w:p>
      <w:pPr>
        <w:pStyle w:val="Heading4"/>
      </w:pPr>
      <w:r>
        <w:t xml:space="preserve">Forma in compresse: primo studio sull’uomo</w:t>
      </w:r>
    </w:p>
    <w:p>
      <w:pPr>
        <w:pStyle w:val="FirstParagraph"/>
      </w:pPr>
      <w:r>
        <w:t xml:space="preserve">Il primo studio sull’uomo ha valutato amycretin in compresse (Gasiorek 2025, PMID 40550229). 144 adulti con sovrappeso o obesità hanno ricevuto dosi singole o multiple per un massimo di dodici settimane. Il 62% ha riferito almeno un evento avverso; tutti erano lievi o moderati e aumentavano con la dose. Circa la metà degli eventi riguardava il tratto gastrointestinale. I livelli ematici aumentavano in proporzione alla dose. I dati sul peso erano solo un endpoint secondario ed esplorativo di questo studio di sicurezza.</w:t>
      </w:r>
    </w:p>
    <w:bookmarkEnd w:id="269"/>
    <w:bookmarkStart w:id="270" w:name="forma-iniettabile-fase-1b2a"/>
    <w:p>
      <w:pPr>
        <w:pStyle w:val="Heading4"/>
      </w:pPr>
      <w:r>
        <w:t xml:space="preserve">Forma iniettabile: fase 1b/2a</w:t>
      </w:r>
    </w:p>
    <w:p>
      <w:pPr>
        <w:pStyle w:val="FirstParagraph"/>
      </w:pPr>
      <w:r>
        <w:t xml:space="preserve">Nello studio con l’iniezione settimanale (Dahl 2025, PMID 40550231) 125 persone hanno ricevuto amycretin o placebo in diverse parti dello studio con dosi target e durate di trattamento differenti. La perdita di peso è stata notevole per uno studio precoce:</w:t>
      </w:r>
    </w:p>
    <w:p>
      <w:pPr>
        <w:numPr>
          <w:ilvl w:val="0"/>
          <w:numId w:val="1085"/>
        </w:numPr>
        <w:pStyle w:val="Compact"/>
      </w:pPr>
      <w:r>
        <w:t xml:space="preserve">dose più alta, 36 settimane: −24,3% rispetto a −1,1% con il placebo</w:t>
      </w:r>
    </w:p>
    <w:p>
      <w:pPr>
        <w:numPr>
          <w:ilvl w:val="0"/>
          <w:numId w:val="1085"/>
        </w:numPr>
        <w:pStyle w:val="Compact"/>
      </w:pPr>
      <w:r>
        <w:t xml:space="preserve">seconda dose più alta, 36 settimane: −22,0% rispetto a +1,9%</w:t>
      </w:r>
    </w:p>
    <w:p>
      <w:pPr>
        <w:numPr>
          <w:ilvl w:val="0"/>
          <w:numId w:val="1085"/>
        </w:numPr>
        <w:pStyle w:val="Compact"/>
      </w:pPr>
      <w:r>
        <w:t xml:space="preserve">dose intermedia, 28 settimane: −16,2% rispetto a +2,3%</w:t>
      </w:r>
    </w:p>
    <w:p>
      <w:pPr>
        <w:numPr>
          <w:ilvl w:val="0"/>
          <w:numId w:val="1085"/>
        </w:numPr>
        <w:pStyle w:val="Compact"/>
      </w:pPr>
      <w:r>
        <w:t xml:space="preserve">dose bassa, 20 settimane: −9,7% rispetto a +2,0%</w:t>
      </w:r>
    </w:p>
    <w:p>
      <w:pPr>
        <w:pStyle w:val="FirstParagraph"/>
      </w:pPr>
      <w:r>
        <w:t xml:space="preserve">Questi numeri vanno letti con cautela: i gruppi erano piccoli, lo studio si è svolto in un unico centro e gli autori stessi riferiscono che molti partecipanti hanno lasciato lo studio anticipatamente, in buona parte per motivi non legati agli effetti collaterali. Una perdita di peso superiore al 20% dopo 36 settimane è un segnale forte, ma non ancora una stima affidabile per l’uso su larga scala.</w:t>
      </w:r>
    </w:p>
    <w:bookmarkEnd w:id="270"/>
    <w:bookmarkStart w:id="271" w:name="diabete-di-tipo-2-due-studi-di-fase-2"/>
    <w:p>
      <w:pPr>
        <w:pStyle w:val="Heading4"/>
      </w:pPr>
      <w:r>
        <w:t xml:space="preserve">Diabete di tipo 2: due studi di fase 2</w:t>
      </w:r>
    </w:p>
    <w:p>
      <w:pPr>
        <w:pStyle w:val="FirstParagraph"/>
      </w:pPr>
      <w:r>
        <w:t xml:space="preserve">Nel 2026 sono stati pubblicati due studi paralleli per la ricerca della dose in persone con diabete di tipo 2 che assumevano metformina (con o senza inibitori di SGLT2):</w:t>
      </w:r>
    </w:p>
    <w:p>
      <w:pPr>
        <w:numPr>
          <w:ilvl w:val="0"/>
          <w:numId w:val="1086"/>
        </w:numPr>
        <w:pStyle w:val="Compact"/>
      </w:pPr>
      <w:r>
        <w:rPr>
          <w:bCs/>
          <w:b/>
        </w:rPr>
        <w:t xml:space="preserve">Compressa</w:t>
      </w:r>
      <w:r>
        <w:t xml:space="preserve"> </w:t>
      </w:r>
      <w:r>
        <w:t xml:space="preserve">(Mora 2026, PMID 42532079): dopo 36 settimane l’HbA1c è diminuita di 0,9–1,4 punti percentuali (valore iniziale circa 8%). Disturbi gastrointestinali si sono verificati nel 26–47% (placebo 23%). Eventi avversi gravi hanno riguardato il 4% con zenagamtide e nessuno con il placebo.</w:t>
      </w:r>
    </w:p>
    <w:p>
      <w:pPr>
        <w:numPr>
          <w:ilvl w:val="0"/>
          <w:numId w:val="1086"/>
        </w:numPr>
        <w:pStyle w:val="Compact"/>
      </w:pPr>
      <w:r>
        <w:rPr>
          <w:bCs/>
          <w:b/>
        </w:rPr>
        <w:t xml:space="preserve">Iniezione</w:t>
      </w:r>
      <w:r>
        <w:t xml:space="preserve"> </w:t>
      </w:r>
      <w:r>
        <w:t xml:space="preserve">(Mora 2026, PMID 42532080): l’HbA1c è diminuita, a seconda della dose, di 0,9–1,7 punti percentuali. Eventi avversi gravi si sono verificati nell’8% dei partecipanti, distribuiti su tutti i gruppi di dose e sul placebo.</w:t>
      </w:r>
    </w:p>
    <w:p>
      <w:pPr>
        <w:pStyle w:val="FirstParagraph"/>
      </w:pPr>
      <w:r>
        <w:t xml:space="preserve">I risultati sul peso di questi studi sul diabete non sono quantificati negli abstract e per questo non vengono riportati qui.</w:t>
      </w:r>
    </w:p>
    <w:bookmarkEnd w:id="271"/>
    <w:bookmarkEnd w:id="272"/>
    <w:bookmarkStart w:id="273" w:name="studi-su-animali-e-in-laboratorio-9"/>
    <w:p>
      <w:pPr>
        <w:pStyle w:val="Heading3"/>
      </w:pPr>
      <w:r>
        <w:t xml:space="preserve">Studi su animali e in laboratorio</w:t>
      </w:r>
    </w:p>
    <w:p>
      <w:pPr>
        <w:pStyle w:val="FirstParagraph"/>
      </w:pPr>
      <w:r>
        <w:t xml:space="preserve">I dati preclinici provengono dal produttore (Kuhre 2025, PMID 40706446): attivazione dei recettori in colture cellulari, perdita di peso e migliore sensibilità all’insulina in ratti obesi, minore steatosi epatica e un accumulo nelle regioni cerebrali che regolano l’appetito nei topi. Studi indipendenti sugli animali sono quasi assenti.</w:t>
      </w:r>
    </w:p>
    <w:bookmarkEnd w:id="273"/>
    <w:bookmarkStart w:id="274" w:name="rischi-ed-effetti-collaterali-9"/>
    <w:p>
      <w:pPr>
        <w:pStyle w:val="Heading3"/>
      </w:pPr>
      <w:r>
        <w:t xml:space="preserve">Rischi ed effetti collaterali</w:t>
      </w:r>
    </w:p>
    <w:p>
      <w:pPr>
        <w:pStyle w:val="FirstParagraph"/>
      </w:pPr>
      <w:r>
        <w:rPr>
          <w:bCs/>
          <w:b/>
        </w:rPr>
        <w:t xml:space="preserve">Documentati dagli studi:</w:t>
      </w:r>
    </w:p>
    <w:p>
      <w:pPr>
        <w:numPr>
          <w:ilvl w:val="0"/>
          <w:numId w:val="1087"/>
        </w:numPr>
        <w:pStyle w:val="Compact"/>
      </w:pPr>
      <w:r>
        <w:rPr>
          <w:bCs/>
          <w:b/>
        </w:rPr>
        <w:t xml:space="preserve">Disturbi gastrointestinali:</w:t>
      </w:r>
      <w:r>
        <w:t xml:space="preserve"> </w:t>
      </w:r>
      <w:r>
        <w:t xml:space="preserve">sono gli effetti collaterali più frequenti, nei primi studi nella maggioranza dei trattati; erano per lo più da lievi a moderati e dose-dipendenti (Gasiorek 2025, PMID 40550229; Dahl 2025, PMID 40550231).</w:t>
      </w:r>
    </w:p>
    <w:p>
      <w:pPr>
        <w:numPr>
          <w:ilvl w:val="0"/>
          <w:numId w:val="1087"/>
        </w:numPr>
        <w:pStyle w:val="Compact"/>
      </w:pPr>
      <w:r>
        <w:rPr>
          <w:bCs/>
          <w:b/>
        </w:rPr>
        <w:t xml:space="preserve">Eventi avversi gravi:</w:t>
      </w:r>
      <w:r>
        <w:t xml:space="preserve"> </w:t>
      </w:r>
      <w:r>
        <w:t xml:space="preserve">negli studi di fase 2 erano rari; nello studio con la compressa si sono verificati solo con zenagamtide (4% vs. 0%), nello studio con l’iniezione erano distribuiti in modo uniforme (Mora 2026, PMID 42532079; PMID 42532080).</w:t>
      </w:r>
    </w:p>
    <w:p>
      <w:pPr>
        <w:numPr>
          <w:ilvl w:val="0"/>
          <w:numId w:val="1087"/>
        </w:numPr>
        <w:pStyle w:val="Compact"/>
      </w:pPr>
      <w:r>
        <w:rPr>
          <w:bCs/>
          <w:b/>
        </w:rPr>
        <w:t xml:space="preserve">Funzione renale:</w:t>
      </w:r>
      <w:r>
        <w:t xml:space="preserve"> </w:t>
      </w:r>
      <w:r>
        <w:t xml:space="preserve">in caso di ridotta funzione renale fino all’insufficienza renale terminale i livelli ematici dopo una dose singola non si sono modificati in modo clinicamente rilevante (Oldenburg 2026, PMID 42443140).</w:t>
      </w:r>
    </w:p>
    <w:p>
      <w:pPr>
        <w:pStyle w:val="FirstParagraph"/>
      </w:pPr>
      <w:r>
        <w:rPr>
          <w:bCs/>
          <w:b/>
        </w:rPr>
        <w:t xml:space="preserve">Ancora aperto:</w:t>
      </w:r>
      <w:r>
        <w:t xml:space="preserve"> </w:t>
      </w:r>
      <w:r>
        <w:t xml:space="preserve">sicurezza a lungo termine, effetti su ossa (recettore della calcitonina), massa muscolare e sistema cardiovascolare. Per i rischi di classe dei farmaci GLP-1 (colecisti, pancreas) ci sono ancora troppo pochi anni di trattamento.</w:t>
      </w:r>
    </w:p>
    <w:p>
      <w:pPr>
        <w:pStyle w:val="BodyText"/>
      </w:pPr>
      <w:r>
        <w:rPr>
          <w:bCs/>
          <w:b/>
        </w:rPr>
        <w:t xml:space="preserve">Mercato grigio:</w:t>
      </w:r>
      <w:r>
        <w:t xml:space="preserve"> </w:t>
      </w:r>
      <w:r>
        <w:t xml:space="preserve">già prima dell’inizio della fase 3 zenagamtide viene offerto su internet come «research peptide». Un articolo sulla rivista JAMA descrive un crescente mercato nero dei due principi attivi non autorizzati retatrutide e zenagamtide e i rischi connessi (Rubin 2026, PMID 42853576). Chi usa questi prodotti non ne conosce né il contenuto né la purezza né un dosaggio sperimentato (si vedano la Parte I e la Parte IV).</w:t>
      </w:r>
    </w:p>
    <w:bookmarkEnd w:id="274"/>
    <w:bookmarkStart w:id="275" w:name="quadro-normativo-9"/>
    <w:p>
      <w:pPr>
        <w:pStyle w:val="Heading3"/>
      </w:pPr>
      <w:r>
        <w:t xml:space="preserve">Quadro normativo</w:t>
      </w:r>
    </w:p>
    <w:p>
      <w:pPr>
        <w:numPr>
          <w:ilvl w:val="0"/>
          <w:numId w:val="1088"/>
        </w:numPr>
        <w:pStyle w:val="Compact"/>
      </w:pPr>
      <w:r>
        <w:rPr>
          <w:bCs/>
          <w:b/>
        </w:rPr>
        <w:t xml:space="preserve">UE / Austria / Germania:</w:t>
      </w:r>
      <w:r>
        <w:t xml:space="preserve"> </w:t>
      </w:r>
      <w:r>
        <w:t xml:space="preserve">non autorizzato; uso solo in studi clinici.</w:t>
      </w:r>
    </w:p>
    <w:p>
      <w:pPr>
        <w:numPr>
          <w:ilvl w:val="0"/>
          <w:numId w:val="1088"/>
        </w:numPr>
        <w:pStyle w:val="Compact"/>
      </w:pPr>
      <w:r>
        <w:rPr>
          <w:bCs/>
          <w:b/>
        </w:rPr>
        <w:t xml:space="preserve">USA:</w:t>
      </w:r>
      <w:r>
        <w:t xml:space="preserve"> </w:t>
      </w:r>
      <w:r>
        <w:t xml:space="preserve">non autorizzato.</w:t>
      </w:r>
    </w:p>
    <w:p>
      <w:pPr>
        <w:numPr>
          <w:ilvl w:val="0"/>
          <w:numId w:val="1088"/>
        </w:numPr>
        <w:pStyle w:val="Compact"/>
      </w:pPr>
      <w:r>
        <w:rPr>
          <w:bCs/>
          <w:b/>
        </w:rPr>
        <w:t xml:space="preserve">Sport:</w:t>
      </w:r>
      <w:r>
        <w:t xml:space="preserve"> </w:t>
      </w:r>
      <w:r>
        <w:t xml:space="preserve">classe WADA S0 (sostanza non approvata), aggiornato al 2026, da verificare.</w:t>
      </w:r>
    </w:p>
    <w:bookmarkEnd w:id="275"/>
    <w:bookmarkStart w:id="276" w:name="studi-in-corso-e-prospettive-9"/>
    <w:p>
      <w:pPr>
        <w:pStyle w:val="Heading3"/>
      </w:pPr>
      <w:r>
        <w:t xml:space="preserve">Studi in corso e prospettive</w:t>
      </w:r>
    </w:p>
    <w:p>
      <w:pPr>
        <w:pStyle w:val="FirstParagraph"/>
      </w:pPr>
      <w:r>
        <w:rPr>
          <w:bCs/>
          <w:b/>
        </w:rPr>
        <w:t xml:space="preserve">Certo (studi registrati, aggiornato a ottobre 2026):</w:t>
      </w:r>
    </w:p>
    <w:p>
      <w:pPr>
        <w:numPr>
          <w:ilvl w:val="0"/>
          <w:numId w:val="1089"/>
        </w:numPr>
        <w:pStyle w:val="Compact"/>
      </w:pPr>
      <w:r>
        <w:rPr>
          <w:bCs/>
          <w:b/>
        </w:rPr>
        <w:t xml:space="preserve">AMAZE 1</w:t>
      </w:r>
      <w:r>
        <w:t xml:space="preserve"> </w:t>
      </w:r>
      <w:r>
        <w:t xml:space="preserve">(NCT07339423): fase 3 con 1.150 adulti con sovrappeso/obesità, forma iniettabile.</w:t>
      </w:r>
    </w:p>
    <w:p>
      <w:pPr>
        <w:numPr>
          <w:ilvl w:val="0"/>
          <w:numId w:val="1089"/>
        </w:numPr>
        <w:pStyle w:val="Compact"/>
      </w:pPr>
      <w:r>
        <w:rPr>
          <w:bCs/>
          <w:b/>
        </w:rPr>
        <w:t xml:space="preserve">AMAZE 2</w:t>
      </w:r>
      <w:r>
        <w:t xml:space="preserve"> </w:t>
      </w:r>
      <w:r>
        <w:t xml:space="preserve">(NCT07533175): sovrappeso con diabete di tipo 2.</w:t>
      </w:r>
    </w:p>
    <w:p>
      <w:pPr>
        <w:numPr>
          <w:ilvl w:val="0"/>
          <w:numId w:val="1089"/>
        </w:numPr>
        <w:pStyle w:val="Compact"/>
      </w:pPr>
      <w:r>
        <w:rPr>
          <w:bCs/>
          <w:b/>
        </w:rPr>
        <w:t xml:space="preserve">AMAZE 3 e 4</w:t>
      </w:r>
      <w:r>
        <w:t xml:space="preserve"> </w:t>
      </w:r>
      <w:r>
        <w:t xml:space="preserve">(NCT07571005, NCT07571109): apnea del sonno senza e con terapia con maschera respiratoria.</w:t>
      </w:r>
    </w:p>
    <w:p>
      <w:pPr>
        <w:numPr>
          <w:ilvl w:val="0"/>
          <w:numId w:val="1089"/>
        </w:numPr>
        <w:pStyle w:val="Compact"/>
      </w:pPr>
      <w:r>
        <w:rPr>
          <w:bCs/>
          <w:b/>
        </w:rPr>
        <w:t xml:space="preserve">AMAZE 6</w:t>
      </w:r>
      <w:r>
        <w:t xml:space="preserve"> </w:t>
      </w:r>
      <w:r>
        <w:t xml:space="preserve">(NCT07509307) e un altro studio (NCT07481630): artrosi del ginocchio.</w:t>
      </w:r>
    </w:p>
    <w:p>
      <w:pPr>
        <w:numPr>
          <w:ilvl w:val="0"/>
          <w:numId w:val="1089"/>
        </w:numPr>
        <w:pStyle w:val="Compact"/>
      </w:pPr>
      <w:r>
        <w:rPr>
          <w:bCs/>
          <w:b/>
        </w:rPr>
        <w:t xml:space="preserve">AMAZE 9</w:t>
      </w:r>
      <w:r>
        <w:t xml:space="preserve"> </w:t>
      </w:r>
      <w:r>
        <w:t xml:space="preserve">(NCT07720271): forma in compresse nel sovrappeso.</w:t>
      </w:r>
    </w:p>
    <w:p>
      <w:pPr>
        <w:numPr>
          <w:ilvl w:val="0"/>
          <w:numId w:val="1089"/>
        </w:numPr>
        <w:pStyle w:val="Compact"/>
      </w:pPr>
      <w:r>
        <w:rPr>
          <w:bCs/>
          <w:b/>
        </w:rPr>
        <w:t xml:space="preserve">AMAZE 12</w:t>
      </w:r>
      <w:r>
        <w:t xml:space="preserve"> </w:t>
      </w:r>
      <w:r>
        <w:t xml:space="preserve">(NCT07503210): mantenimento del peso dopo il calo.</w:t>
      </w:r>
    </w:p>
    <w:p>
      <w:pPr>
        <w:numPr>
          <w:ilvl w:val="0"/>
          <w:numId w:val="1089"/>
        </w:numPr>
        <w:pStyle w:val="Compact"/>
      </w:pPr>
      <w:r>
        <w:t xml:space="preserve">Confronto con semaglutide (NCT07668414; nel diabete di tipo 2 NCT07400107) e con insulina glargine nel diabete di tipo 2 (NCT07797335, AMBITION 7).</w:t>
      </w:r>
    </w:p>
    <w:p>
      <w:pPr>
        <w:numPr>
          <w:ilvl w:val="0"/>
          <w:numId w:val="1089"/>
        </w:numPr>
        <w:pStyle w:val="Compact"/>
      </w:pPr>
      <w:r>
        <w:t xml:space="preserve">Studi sugli esiti: insufficienza cardiaca con obesità (NCT07567001, 5.610 partecipanti) ed eventi cardiovascolari nell’aterosclerosi (NCT07861100, 8.500 partecipanti previsti).</w:t>
      </w:r>
    </w:p>
    <w:p>
      <w:pPr>
        <w:pStyle w:val="FirstParagraph"/>
      </w:pPr>
      <w:r>
        <w:rPr>
          <w:bCs/>
          <w:b/>
        </w:rPr>
        <w:t xml:space="preserve">Valutazione:</w:t>
      </w:r>
      <w:r>
        <w:t xml:space="preserve"> </w:t>
      </w:r>
      <w:r>
        <w:t xml:space="preserve">con questo ampio programma di fase 3 Novo Nordisk punta chiaramente a fare di amycretin/zenagamtide il successore di semaglutide. I risultati dei primi studi di fase 3 sono attesi non prima del 2027, un’autorizzazione difficilmente prima del 2028. Se i numeri impressionanti del piccolo studio di fase 1b/2a reggeranno in grandi studi è una questione aperta.</w:t>
      </w:r>
    </w:p>
    <w:bookmarkEnd w:id="276"/>
    <w:bookmarkStart w:id="277" w:name="conclusione-9"/>
    <w:p>
      <w:pPr>
        <w:pStyle w:val="Heading3"/>
      </w:pPr>
      <w:r>
        <w:t xml:space="preserve">Conclusione</w:t>
      </w:r>
    </w:p>
    <w:p>
      <w:pPr>
        <w:pStyle w:val="FirstParagraph"/>
      </w:pPr>
      <w:r>
        <w:t xml:space="preserve">Amycretin – dal 2026 zenagamtide – è un unico peptide che attiva contemporaneamente i recettori del GLP-1 e dell’amilina e viene sviluppato come iniezione e come compressa. In un piccolo studio di fase 1b/2a il peso è diminuito dopo 36 settimane fino al 24,3%; negli studi di fase 2 sul diabete di tipo 2 l’HbA1c è diminuita fino a 1,7 punti percentuali. Gli effetti collaterali più frequenti riguardano il tratto gastrointestinale. Gli studi di fase 3 sono iniziati nel 2026; fino a un’eventuale autorizzazione zenagamtide è un farmaco puramente sperimentale, e i prodotti del mercato grigio non sono un sostituto.</w:t>
      </w:r>
    </w:p>
    <w:bookmarkEnd w:id="277"/>
    <w:bookmarkEnd w:id="278"/>
    <w:bookmarkStart w:id="289" w:name="maridebart-cafraglutide-maritide"/>
    <w:p>
      <w:pPr>
        <w:pStyle w:val="Heading2"/>
      </w:pPr>
      <w:r>
        <w:t xml:space="preserve">Maridebart cafraglutide (MariTide)</w:t>
      </w:r>
    </w:p>
    <w:bookmarkStart w:id="279" w:name="scheda-10"/>
    <w:p>
      <w:pPr>
        <w:pStyle w:val="Heading3"/>
      </w:pPr>
      <w:r>
        <w:t xml:space="preserve">Scheda</w:t>
      </w:r>
    </w:p>
    <w:p>
      <w:pPr>
        <w:numPr>
          <w:ilvl w:val="0"/>
          <w:numId w:val="1090"/>
        </w:numPr>
        <w:pStyle w:val="Compact"/>
      </w:pPr>
      <w:r>
        <w:rPr>
          <w:bCs/>
          <w:b/>
        </w:rPr>
        <w:t xml:space="preserve">Tipo/struttura:</w:t>
      </w:r>
      <w:r>
        <w:t xml:space="preserve"> </w:t>
      </w:r>
      <w:r>
        <w:t xml:space="preserve">un cosiddetto coniugato anticorpo-peptide. Un anticorpo monoclonale completamente umano è collegato, tramite brevi segmenti di aminoacidi, a due peptidi simili al GLP-1. A rigore MariTide non è quindi un peptide puro, ma un ibrido di anticorpo e peptide. Codice di sviluppo AMG 133, nome breve MariTide.</w:t>
      </w:r>
    </w:p>
    <w:p>
      <w:pPr>
        <w:numPr>
          <w:ilvl w:val="0"/>
          <w:numId w:val="1090"/>
        </w:numPr>
        <w:pStyle w:val="Compact"/>
      </w:pPr>
      <w:r>
        <w:rPr>
          <w:bCs/>
          <w:b/>
        </w:rPr>
        <w:t xml:space="preserve">Origine:</w:t>
      </w:r>
      <w:r>
        <w:t xml:space="preserve"> </w:t>
      </w:r>
      <w:r>
        <w:t xml:space="preserve">sviluppato da Amgen.</w:t>
      </w:r>
    </w:p>
    <w:p>
      <w:pPr>
        <w:numPr>
          <w:ilvl w:val="0"/>
          <w:numId w:val="1090"/>
        </w:numPr>
        <w:pStyle w:val="Compact"/>
      </w:pPr>
      <w:r>
        <w:rPr>
          <w:bCs/>
          <w:b/>
        </w:rPr>
        <w:t xml:space="preserve">Principio d’azione:</w:t>
      </w:r>
      <w:r>
        <w:t xml:space="preserve"> </w:t>
      </w:r>
      <w:r>
        <w:t xml:space="preserve">la componente GLP-1</w:t>
      </w:r>
      <w:r>
        <w:t xml:space="preserve"> </w:t>
      </w:r>
      <w:r>
        <w:rPr>
          <w:bCs/>
          <w:b/>
        </w:rPr>
        <w:t xml:space="preserve">attiva</w:t>
      </w:r>
      <w:r>
        <w:t xml:space="preserve"> </w:t>
      </w:r>
      <w:r>
        <w:t xml:space="preserve">il recettore del GLP-1, l’anticorpo</w:t>
      </w:r>
      <w:r>
        <w:t xml:space="preserve"> </w:t>
      </w:r>
      <w:r>
        <w:rPr>
          <w:bCs/>
          <w:b/>
        </w:rPr>
        <w:t xml:space="preserve">blocca</w:t>
      </w:r>
      <w:r>
        <w:t xml:space="preserve"> </w:t>
      </w:r>
      <w:r>
        <w:t xml:space="preserve">il recettore del GIP (antagonista del GIPR). È l’opposto di tirzepatide, che attiva il recettore del GIP.</w:t>
      </w:r>
    </w:p>
    <w:p>
      <w:pPr>
        <w:numPr>
          <w:ilvl w:val="0"/>
          <w:numId w:val="1090"/>
        </w:numPr>
        <w:pStyle w:val="Compact"/>
      </w:pPr>
      <w:r>
        <w:rPr>
          <w:bCs/>
          <w:b/>
        </w:rPr>
        <w:t xml:space="preserve">Particolarità:</w:t>
      </w:r>
      <w:r>
        <w:t xml:space="preserve"> </w:t>
      </w:r>
      <w:r>
        <w:t xml:space="preserve">grazie alla componente anticorpale MariTide agisce molto a lungo; viene studiata una somministrazione ogni quattro settimane o meno frequente.</w:t>
      </w:r>
    </w:p>
    <w:p>
      <w:pPr>
        <w:numPr>
          <w:ilvl w:val="0"/>
          <w:numId w:val="1090"/>
        </w:numPr>
        <w:pStyle w:val="Compact"/>
      </w:pPr>
      <w:r>
        <w:rPr>
          <w:bCs/>
          <w:b/>
        </w:rPr>
        <w:t xml:space="preserve">Autorizzazione UE / USA:</w:t>
      </w:r>
      <w:r>
        <w:t xml:space="preserve"> </w:t>
      </w:r>
      <w:r>
        <w:t xml:space="preserve">no (aggiornato a ottobre 2026).</w:t>
      </w:r>
    </w:p>
    <w:p>
      <w:pPr>
        <w:numPr>
          <w:ilvl w:val="0"/>
          <w:numId w:val="1090"/>
        </w:numPr>
        <w:pStyle w:val="Compact"/>
      </w:pPr>
      <w:r>
        <w:rPr>
          <w:bCs/>
          <w:b/>
        </w:rPr>
        <w:t xml:space="preserve">WADA:</w:t>
      </w:r>
      <w:r>
        <w:t xml:space="preserve"> </w:t>
      </w:r>
      <w:r>
        <w:t xml:space="preserve">in quanto sostanza non approvata, vietata in base alla classe S0 (aggiornato al 2026, da verificare).</w:t>
      </w:r>
    </w:p>
    <w:p>
      <w:pPr>
        <w:numPr>
          <w:ilvl w:val="0"/>
          <w:numId w:val="1090"/>
        </w:numPr>
        <w:pStyle w:val="Compact"/>
      </w:pPr>
      <w:r>
        <w:rPr>
          <w:bCs/>
          <w:b/>
        </w:rPr>
        <w:t xml:space="preserve">Livello di evidenza:</w:t>
      </w:r>
      <w:r>
        <w:t xml:space="preserve"> </w:t>
      </w:r>
      <w:r>
        <w:rPr>
          <w:bCs/>
          <w:b/>
        </w:rPr>
        <w:t xml:space="preserve">B</w:t>
      </w:r>
      <w:r>
        <w:t xml:space="preserve"> </w:t>
      </w:r>
      <w:r>
        <w:t xml:space="preserve">– un grande studio randomizzato di fase 2, fase 3 in corso.</w:t>
      </w:r>
    </w:p>
    <w:bookmarkEnd w:id="279"/>
    <w:bookmarkStart w:id="280" w:name="come-dovrebbe-agire-10"/>
    <w:p>
      <w:pPr>
        <w:pStyle w:val="Heading3"/>
      </w:pPr>
      <w:r>
        <w:t xml:space="preserve">Come dovrebbe agire</w:t>
      </w:r>
    </w:p>
    <w:p>
      <w:pPr>
        <w:pStyle w:val="FirstParagraph"/>
      </w:pPr>
      <w:r>
        <w:t xml:space="preserve">Con il GIP esiste un notevole paradosso. Tirzepatide</w:t>
      </w:r>
      <w:r>
        <w:t xml:space="preserve"> </w:t>
      </w:r>
      <w:r>
        <w:rPr>
          <w:iCs/>
          <w:i/>
        </w:rPr>
        <w:t xml:space="preserve">attiva</w:t>
      </w:r>
      <w:r>
        <w:t xml:space="preserve"> </w:t>
      </w:r>
      <w:r>
        <w:t xml:space="preserve">il recettore del GIP e, insieme al GLP-1, ottiene così una forte perdita di peso. Allo stesso tempo studi genetici ed esperimenti sui topi hanno mostrato che anche</w:t>
      </w:r>
      <w:r>
        <w:t xml:space="preserve"> </w:t>
      </w:r>
      <w:r>
        <w:rPr>
          <w:iCs/>
          <w:i/>
        </w:rPr>
        <w:t xml:space="preserve">bloccare</w:t>
      </w:r>
      <w:r>
        <w:t xml:space="preserve"> </w:t>
      </w:r>
      <w:r>
        <w:t xml:space="preserve">il recettore del GIP può proteggere dal sovrappeso. Una possibile spiegazione: un’attivazione continua del recettore porta la cellula a disattivarlo, e alla fine la situazione assomiglia a un blocco. La questione non è definitivamente chiarita; uno studio comparativo sui topi ha rilevato che entrambi gli approcci riducevano in caso di sovrappeso l’assunzione di cibo e il peso, ma differivano negli effetti metabolici: l’agonista del GIP migliorava la tolleranza al glucosio, l’antagonista tendeva invece a ridurre la sensibilità all’insulina (Davies 2026, PMID 41287212).</w:t>
      </w:r>
    </w:p>
    <w:p>
      <w:pPr>
        <w:pStyle w:val="BodyText"/>
      </w:pPr>
      <w:r>
        <w:t xml:space="preserve">Amgen punta sul blocco. L’anticorpo contro il recettore del GIP fa sì al tempo stesso che la molecola resti molto a lungo nel sangue: gli anticorpi vengono degradati lentamente. Nei topi e nelle scimmie obesi AMG 133 ha ridotto il peso corporeo e migliorato i parametri metabolici (Véniant 2024, PMID 38316982). Lo sviluppo chimico fino alla molecola definitiva è stato descritto nel 2026 (Wu 2026, PMID 41941715).</w:t>
      </w:r>
    </w:p>
    <w:bookmarkEnd w:id="280"/>
    <w:bookmarkStart w:id="283" w:name="studi-sulluomo-10"/>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2 studi sull’uomo: uno di fase 1 e uno di fase 2. Su ClinicalTrials.gov risultavano registrati 28 studi, tra cui il programma di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(Véniant 2024), PMID 38316982</w:t>
            </w:r>
          </w:p>
        </w:tc>
        <w:tc>
          <w:tcPr/>
          <w:p>
            <w:pPr>
              <w:pStyle w:val="Compact"/>
              <w:jc w:val="left"/>
            </w:pPr>
            <w:r>
              <w:t xml:space="preserve">adulti con obesità, dosi singole e multiple contro placebo</w:t>
            </w:r>
          </w:p>
        </w:tc>
        <w:tc>
          <w:tcPr/>
          <w:p>
            <w:pPr>
              <w:pStyle w:val="Compact"/>
              <w:jc w:val="left"/>
            </w:pPr>
            <w:r>
              <w:t xml:space="preserve">somministrazione singola e multipla con follow-up</w:t>
            </w:r>
          </w:p>
        </w:tc>
        <w:tc>
          <w:tcPr/>
          <w:p>
            <w:pPr>
              <w:pStyle w:val="Compact"/>
              <w:jc w:val="left"/>
            </w:pPr>
            <w:r>
              <w:t xml:space="preserve">perdita di peso dose-dipendente, persistente fino a 150 giorni dopo l’ultima dose</w:t>
            </w:r>
          </w:p>
        </w:tc>
      </w:tr>
      <w:tr>
        <w:tc>
          <w:tcPr/>
          <w:p>
            <w:pPr>
              <w:pStyle w:val="Compact"/>
              <w:jc w:val="left"/>
            </w:pPr>
            <w:r>
              <w:t xml:space="preserve">Fase 2 (Jastreboff 2025), PMID 40549887</w:t>
            </w:r>
          </w:p>
        </w:tc>
        <w:tc>
          <w:tcPr/>
          <w:p>
            <w:pPr>
              <w:pStyle w:val="Compact"/>
              <w:jc w:val="left"/>
            </w:pPr>
            <w:r>
              <w:t xml:space="preserve">592 adulti con obesità, con o senza diabete di tipo 2; contro placebo</w:t>
            </w:r>
          </w:p>
        </w:tc>
        <w:tc>
          <w:tcPr/>
          <w:p>
            <w:pPr>
              <w:pStyle w:val="Compact"/>
              <w:jc w:val="left"/>
            </w:pPr>
            <w:r>
              <w:t xml:space="preserve">52 settimane</w:t>
            </w:r>
          </w:p>
        </w:tc>
        <w:tc>
          <w:tcPr/>
          <w:p>
            <w:pPr>
              <w:pStyle w:val="Compact"/>
              <w:jc w:val="left"/>
            </w:pPr>
            <w:r>
              <w:t xml:space="preserve">senza diabete da −12,3 a −16,2% vs. −2,5%; con diabete da −8,4 a −12,3% vs. −1,7%</w:t>
            </w:r>
          </w:p>
        </w:tc>
      </w:tr>
    </w:tbl>
    <w:bookmarkStart w:id="281" w:name="fase-1"/>
    <w:p>
      <w:pPr>
        <w:pStyle w:val="Heading4"/>
      </w:pPr>
      <w:r>
        <w:t xml:space="preserve">Fase 1</w:t>
      </w:r>
    </w:p>
    <w:p>
      <w:pPr>
        <w:pStyle w:val="FirstParagraph"/>
      </w:pPr>
      <w:r>
        <w:t xml:space="preserve">Nel primo studio sull’uomo (Véniant 2024, PMID 38316982; NCT04478708) AMG 133 ha mostrato una perdita di peso dose-dipendente con una tollerabilità accettabile. Colpiva la lunga durata d’azione: nei gruppi con somministrazione multipla la perdita di peso è persistita fino a 150 giorni dopo l’ultima dose.</w:t>
      </w:r>
    </w:p>
    <w:bookmarkEnd w:id="281"/>
    <w:bookmarkStart w:id="282" w:name="fase-2"/>
    <w:p>
      <w:pPr>
        <w:pStyle w:val="Heading4"/>
      </w:pPr>
      <w:r>
        <w:t xml:space="preserve">Fase 2</w:t>
      </w:r>
    </w:p>
    <w:p>
      <w:pPr>
        <w:pStyle w:val="FirstParagraph"/>
      </w:pPr>
      <w:r>
        <w:t xml:space="preserve">Lo studio di fase 2 (Jastreboff 2025, PMID 40549887) aveva un’impostazione ampia: undici gruppi in due coorti con dosi diverse, intervalli di somministrazione diversi (ogni quattro o otto settimane) e con o senza titolazione lenta.</w:t>
      </w:r>
    </w:p>
    <w:p>
      <w:pPr>
        <w:numPr>
          <w:ilvl w:val="0"/>
          <w:numId w:val="1091"/>
        </w:numPr>
        <w:pStyle w:val="Compact"/>
      </w:pPr>
      <w:r>
        <w:rPr>
          <w:bCs/>
          <w:b/>
        </w:rPr>
        <w:t xml:space="preserve">Senza diabete</w:t>
      </w:r>
      <w:r>
        <w:t xml:space="preserve"> </w:t>
      </w:r>
      <w:r>
        <w:t xml:space="preserve">(465 partecipanti, BMI medio 37,9): dopo 52 settimane la perdita di peso, a seconda del gruppo, era del 12,3–16,2%, con il placebo del 2,5%. Questa analisi considera tutti i partecipanti indipendentemente dalle interruzioni del trattamento.</w:t>
      </w:r>
    </w:p>
    <w:p>
      <w:pPr>
        <w:numPr>
          <w:ilvl w:val="0"/>
          <w:numId w:val="1091"/>
        </w:numPr>
        <w:pStyle w:val="Compact"/>
      </w:pPr>
      <w:r>
        <w:rPr>
          <w:bCs/>
          <w:b/>
        </w:rPr>
        <w:t xml:space="preserve">Con diabete di tipo 2</w:t>
      </w:r>
      <w:r>
        <w:t xml:space="preserve"> </w:t>
      </w:r>
      <w:r>
        <w:t xml:space="preserve">(127 partecipanti): perdita di peso dell’8,4–12,3% rispetto all’1,7%; l’HbA1c è diminuita di 1,2–1,6 punti percentuali (placebo +0,1).</w:t>
      </w:r>
    </w:p>
    <w:p>
      <w:pPr>
        <w:pStyle w:val="FirstParagraph"/>
      </w:pPr>
      <w:r>
        <w:t xml:space="preserve">Gli effetti collaterali gastrointestinali erano frequenti, ma più rari quando si iniziava con una dose più bassa e la si aumentava lentamente. Secondo gli autori non sono emersi segnali di sicurezza inattesi. Una perdita di peso di circa il 16% dopo un anno è nell’ordine di semaglutide, ma inferiore a quella di tirzepatide. Il possibile vantaggio di MariTide è quindi meno l’entità del calo che la somministrazione poco frequente.</w:t>
      </w:r>
    </w:p>
    <w:bookmarkEnd w:id="282"/>
    <w:bookmarkEnd w:id="283"/>
    <w:bookmarkStart w:id="284" w:name="studi-su-animali-e-in-laboratorio-10"/>
    <w:p>
      <w:pPr>
        <w:pStyle w:val="Heading3"/>
      </w:pPr>
      <w:r>
        <w:t xml:space="preserve">Studi su animali e in laboratorio</w:t>
      </w:r>
    </w:p>
    <w:p>
      <w:pPr>
        <w:pStyle w:val="FirstParagraph"/>
      </w:pPr>
      <w:r>
        <w:t xml:space="preserve">In sistemi cellulari è stato confermato che AMG 133 blocca il recettore del GIP e attiva il recettore del GLP-1. Nei topi obesi e nei macachi cinomolghi ha ridotto il peso corporeo e migliorato i marcatori metabolici (Véniant 2024, PMID 38316982; Wu 2026, PMID 41941715). Studi comparativi sui topi tra blocco e attivazione del GIP mostrano effetti diversi su sensibilità all’insulina e tessuto adiposo (Davies 2026, PMID 41287212). Tutti questi risultati provengono da esperimenti sugli animali.</w:t>
      </w:r>
    </w:p>
    <w:bookmarkEnd w:id="284"/>
    <w:bookmarkStart w:id="285" w:name="rischi-ed-effetti-collaterali-10"/>
    <w:p>
      <w:pPr>
        <w:pStyle w:val="Heading3"/>
      </w:pPr>
      <w:r>
        <w:t xml:space="preserve">Rischi ed effetti collaterali</w:t>
      </w:r>
    </w:p>
    <w:p>
      <w:pPr>
        <w:pStyle w:val="FirstParagraph"/>
      </w:pPr>
      <w:r>
        <w:rPr>
          <w:bCs/>
          <w:b/>
        </w:rPr>
        <w:t xml:space="preserve">Documentati dagli studi:</w:t>
      </w:r>
    </w:p>
    <w:p>
      <w:pPr>
        <w:numPr>
          <w:ilvl w:val="0"/>
          <w:numId w:val="1092"/>
        </w:numPr>
        <w:pStyle w:val="Compact"/>
      </w:pPr>
      <w:r>
        <w:rPr>
          <w:bCs/>
          <w:b/>
        </w:rPr>
        <w:t xml:space="preserve">Disturbi gastrointestinali</w:t>
      </w:r>
      <w:r>
        <w:t xml:space="preserve"> </w:t>
      </w:r>
      <w:r>
        <w:t xml:space="preserve">(nausea, vomito): erano frequenti nello studio di fase 2, soprattutto con una dose iniziale alta senza titolazione (Jastreboff 2025, PMID 40549887). L’abstract non riporta percentuali precise.</w:t>
      </w:r>
    </w:p>
    <w:p>
      <w:pPr>
        <w:pStyle w:val="FirstParagraph"/>
      </w:pPr>
      <w:r>
        <w:rPr>
          <w:bCs/>
          <w:b/>
        </w:rPr>
        <w:t xml:space="preserve">Domande aperte specifiche:</w:t>
      </w:r>
    </w:p>
    <w:p>
      <w:pPr>
        <w:numPr>
          <w:ilvl w:val="0"/>
          <w:numId w:val="1093"/>
        </w:numPr>
        <w:pStyle w:val="Compact"/>
      </w:pPr>
      <w:r>
        <w:rPr>
          <w:bCs/>
          <w:b/>
        </w:rPr>
        <w:t xml:space="preserve">Lunga durata d’azione:</w:t>
      </w:r>
      <w:r>
        <w:t xml:space="preserve"> </w:t>
      </w:r>
      <w:r>
        <w:t xml:space="preserve">ciò che per molti pazienti è considerato un vantaggio diventa uno svantaggio in caso di effetti collaterali: un farmaco che rimane nell’organismo per mesi non può essere sospeso rapidamente. Nello studio di fase 1 l’effetto è persistito fino a 150 giorni dopo l’ultima dose (Véniant 2024, PMID 38316982). Questo è rilevante per esempio in caso di gravidanza non pianificata o prima di interventi chirurgici.</w:t>
      </w:r>
    </w:p>
    <w:p>
      <w:pPr>
        <w:numPr>
          <w:ilvl w:val="0"/>
          <w:numId w:val="1093"/>
        </w:numPr>
        <w:pStyle w:val="Compact"/>
      </w:pPr>
      <w:r>
        <w:rPr>
          <w:bCs/>
          <w:b/>
        </w:rPr>
        <w:t xml:space="preserve">Blocco del GIP:</w:t>
      </w:r>
      <w:r>
        <w:t xml:space="preserve"> </w:t>
      </w:r>
      <w:r>
        <w:t xml:space="preserve">quali conseguenze a lungo termine abbia un blocco permanente del recettore del GIP – per esempio su ossa, tessuto adiposo o sensibilità all’insulina – non è noto nell’uomo. Negli studi sui topi un antagonista del GIP ha ridotto la sensibilità all’insulina rispetto ad animali di controllo con la stessa quantità di cibo (Davies 2026, PMID 41287212).</w:t>
      </w:r>
    </w:p>
    <w:p>
      <w:pPr>
        <w:numPr>
          <w:ilvl w:val="0"/>
          <w:numId w:val="1093"/>
        </w:numPr>
        <w:pStyle w:val="Compact"/>
      </w:pPr>
      <w:r>
        <w:rPr>
          <w:bCs/>
          <w:b/>
        </w:rPr>
        <w:t xml:space="preserve">Formazione di anticorpi:</w:t>
      </w:r>
      <w:r>
        <w:t xml:space="preserve"> </w:t>
      </w:r>
      <w:r>
        <w:t xml:space="preserve">con i farmaci a base di anticorpi il sistema immunitario può sviluppare anticorpi contro il farmaco. I dati in merito da grandi studi sono ancora in attesa.</w:t>
      </w:r>
    </w:p>
    <w:p>
      <w:pPr>
        <w:numPr>
          <w:ilvl w:val="0"/>
          <w:numId w:val="1093"/>
        </w:numPr>
        <w:pStyle w:val="Compact"/>
      </w:pPr>
      <w:r>
        <w:t xml:space="preserve">I rischi di classe noti dei farmaci GLP-1 (colecisti, pancreas) non sono ancora stati studiati a sufficienza per MariTide.</w:t>
      </w:r>
    </w:p>
    <w:bookmarkEnd w:id="285"/>
    <w:bookmarkStart w:id="286" w:name="quadro-normativo-10"/>
    <w:p>
      <w:pPr>
        <w:pStyle w:val="Heading3"/>
      </w:pPr>
      <w:r>
        <w:t xml:space="preserve">Quadro normativo</w:t>
      </w:r>
    </w:p>
    <w:p>
      <w:pPr>
        <w:numPr>
          <w:ilvl w:val="0"/>
          <w:numId w:val="1094"/>
        </w:numPr>
        <w:pStyle w:val="Compact"/>
      </w:pPr>
      <w:r>
        <w:rPr>
          <w:bCs/>
          <w:b/>
        </w:rPr>
        <w:t xml:space="preserve">UE / Austria / Germania:</w:t>
      </w:r>
      <w:r>
        <w:t xml:space="preserve"> </w:t>
      </w:r>
      <w:r>
        <w:t xml:space="preserve">non autorizzato; uso solo in studi clinici. Trattandosi di un prodotto biotecnologico complesso, un’imitazione sul mercato grigio è molto più difficile che per i piccoli peptidi.</w:t>
      </w:r>
    </w:p>
    <w:p>
      <w:pPr>
        <w:numPr>
          <w:ilvl w:val="0"/>
          <w:numId w:val="1094"/>
        </w:numPr>
        <w:pStyle w:val="Compact"/>
      </w:pPr>
      <w:r>
        <w:rPr>
          <w:bCs/>
          <w:b/>
        </w:rPr>
        <w:t xml:space="preserve">USA:</w:t>
      </w:r>
      <w:r>
        <w:t xml:space="preserve"> </w:t>
      </w:r>
      <w:r>
        <w:t xml:space="preserve">non autorizzato.</w:t>
      </w:r>
    </w:p>
    <w:p>
      <w:pPr>
        <w:numPr>
          <w:ilvl w:val="0"/>
          <w:numId w:val="1094"/>
        </w:numPr>
        <w:pStyle w:val="Compact"/>
      </w:pPr>
      <w:r>
        <w:rPr>
          <w:bCs/>
          <w:b/>
        </w:rPr>
        <w:t xml:space="preserve">Sport:</w:t>
      </w:r>
      <w:r>
        <w:t xml:space="preserve"> </w:t>
      </w:r>
      <w:r>
        <w:t xml:space="preserve">classe WADA S0 (sostanza non approvata), aggiornato al 2026, da verificare.</w:t>
      </w:r>
    </w:p>
    <w:bookmarkEnd w:id="286"/>
    <w:bookmarkStart w:id="287" w:name="studi-in-corso-e-prospettive-10"/>
    <w:p>
      <w:pPr>
        <w:pStyle w:val="Heading3"/>
      </w:pPr>
      <w:r>
        <w:t xml:space="preserve">Studi in corso e prospettive</w:t>
      </w:r>
    </w:p>
    <w:p>
      <w:pPr>
        <w:pStyle w:val="FirstParagraph"/>
      </w:pPr>
      <w:r>
        <w:rPr>
          <w:bCs/>
          <w:b/>
        </w:rPr>
        <w:t xml:space="preserve">Certo (studi registrati, aggiornato a ottobre 2026):</w:t>
      </w:r>
    </w:p>
    <w:p>
      <w:pPr>
        <w:numPr>
          <w:ilvl w:val="0"/>
          <w:numId w:val="1095"/>
        </w:numPr>
        <w:pStyle w:val="Compact"/>
      </w:pPr>
      <w:r>
        <w:rPr>
          <w:bCs/>
          <w:b/>
        </w:rPr>
        <w:t xml:space="preserve">Gestione del peso senza diabete</w:t>
      </w:r>
      <w:r>
        <w:t xml:space="preserve"> </w:t>
      </w:r>
      <w:r>
        <w:t xml:space="preserve">(NCT06858839): fase 3 con 3.853 partecipanti, conclusione prevista nel 2027.</w:t>
      </w:r>
    </w:p>
    <w:p>
      <w:pPr>
        <w:numPr>
          <w:ilvl w:val="0"/>
          <w:numId w:val="1095"/>
        </w:numPr>
        <w:pStyle w:val="Compact"/>
      </w:pPr>
      <w:r>
        <w:rPr>
          <w:bCs/>
          <w:b/>
        </w:rPr>
        <w:t xml:space="preserve">Gestione del peso con diabete di tipo 2</w:t>
      </w:r>
      <w:r>
        <w:t xml:space="preserve"> </w:t>
      </w:r>
      <w:r>
        <w:t xml:space="preserve">(NCT06858878): fase 3 con 1.105 partecipanti.</w:t>
      </w:r>
    </w:p>
    <w:p>
      <w:pPr>
        <w:numPr>
          <w:ilvl w:val="0"/>
          <w:numId w:val="1095"/>
        </w:numPr>
        <w:pStyle w:val="Compact"/>
      </w:pPr>
      <w:r>
        <w:rPr>
          <w:bCs/>
          <w:b/>
        </w:rPr>
        <w:t xml:space="preserve">Studio sugli esiti cardiovascolari</w:t>
      </w:r>
      <w:r>
        <w:t xml:space="preserve"> </w:t>
      </w:r>
      <w:r>
        <w:t xml:space="preserve">(NCT07037433) con 12.800 partecipanti e</w:t>
      </w:r>
      <w:r>
        <w:t xml:space="preserve"> </w:t>
      </w:r>
      <w:r>
        <w:rPr>
          <w:bCs/>
          <w:b/>
        </w:rPr>
        <w:t xml:space="preserve">studio sull’insufficienza cardiaca</w:t>
      </w:r>
      <w:r>
        <w:t xml:space="preserve"> </w:t>
      </w:r>
      <w:r>
        <w:t xml:space="preserve">(NCT07037459) con 5.056 partecipanti, entrambi fino al 2030.</w:t>
      </w:r>
    </w:p>
    <w:p>
      <w:pPr>
        <w:numPr>
          <w:ilvl w:val="0"/>
          <w:numId w:val="1095"/>
        </w:numPr>
        <w:pStyle w:val="Compact"/>
      </w:pPr>
      <w:r>
        <w:rPr>
          <w:bCs/>
          <w:b/>
        </w:rPr>
        <w:t xml:space="preserve">Apnea del sonno</w:t>
      </w:r>
      <w:r>
        <w:t xml:space="preserve"> </w:t>
      </w:r>
      <w:r>
        <w:t xml:space="preserve">senza e con maschera respiratoria (NCT07226765, NCT07225686).</w:t>
      </w:r>
    </w:p>
    <w:p>
      <w:pPr>
        <w:numPr>
          <w:ilvl w:val="0"/>
          <w:numId w:val="1095"/>
        </w:numPr>
        <w:pStyle w:val="Compact"/>
      </w:pPr>
      <w:r>
        <w:rPr>
          <w:bCs/>
          <w:b/>
        </w:rPr>
        <w:t xml:space="preserve">Confronto con semaglutide</w:t>
      </w:r>
      <w:r>
        <w:t xml:space="preserve"> </w:t>
      </w:r>
      <w:r>
        <w:t xml:space="preserve">nel diabete di tipo 2 (NCT07866066), passaggio da altri farmaci GLP-1 (NCT07575399), Giappone (NCT06987695), steatosi epatica (NCT07441252, fase 2).</w:t>
      </w:r>
    </w:p>
    <w:p>
      <w:pPr>
        <w:numPr>
          <w:ilvl w:val="0"/>
          <w:numId w:val="1095"/>
        </w:numPr>
        <w:pStyle w:val="Compact"/>
      </w:pPr>
      <w:r>
        <w:t xml:space="preserve">Studi di fase 1 su svuotamento gastrico (NCT07429032), ritmo cardiaco (NCT07229157) e interazioni con la pillola anticoncezionale (NCT07523711).</w:t>
      </w:r>
    </w:p>
    <w:p>
      <w:pPr>
        <w:pStyle w:val="FirstParagraph"/>
      </w:pPr>
      <w:r>
        <w:rPr>
          <w:bCs/>
          <w:b/>
        </w:rPr>
        <w:t xml:space="preserve">Valutazione:</w:t>
      </w:r>
      <w:r>
        <w:t xml:space="preserve"> </w:t>
      </w:r>
      <w:r>
        <w:t xml:space="preserve">MariTide rappresenta un concetto diverso dalla famiglia di tirzepatide: meno iniezioni anziché la massima perdita di peso. Per le persone che necessitano di un trattamento continuativo, una somministrazione mensile o ancora meno frequente potrebbe migliorare l’aderenza alla terapia. Se il concetto del blocco del GIP sia sicuro a lungo termine dovranno dimostrarlo i grandi studi di fase 3. Un’autorizzazione è realistica non prima del 2028.</w:t>
      </w:r>
    </w:p>
    <w:bookmarkEnd w:id="287"/>
    <w:bookmarkStart w:id="288" w:name="conclusione-10"/>
    <w:p>
      <w:pPr>
        <w:pStyle w:val="Heading3"/>
      </w:pPr>
      <w:r>
        <w:t xml:space="preserve">Conclusione</w:t>
      </w:r>
    </w:p>
    <w:p>
      <w:pPr>
        <w:pStyle w:val="FirstParagraph"/>
      </w:pPr>
      <w:r>
        <w:t xml:space="preserve">Maridebart cafraglutide è un coniugato anticorpo-peptide che attiva il recettore del GLP-1 e blocca il recettore del GIP, e viene somministrato solo una volta al mese o meno spesso. Nello studio di fase 2 il peso corporeo è diminuito dopo 52 settimane fino al 16,2% senza diabete e fino al 12,3% con diabete di tipo 2. I disturbi gastrointestinali sono frequenti e dipendono fortemente dalla titolazione; la lunga durata d’azione è al tempo stesso un vantaggio e un rischio. Il programma di fase 3, con studi sugli esiti cardiovascolari e sull’insufficienza cardiaca, è in corso.</w:t>
      </w:r>
    </w:p>
    <w:bookmarkEnd w:id="288"/>
    <w:bookmarkEnd w:id="289"/>
    <w:bookmarkStart w:id="302" w:name="pramlintide"/>
    <w:p>
      <w:pPr>
        <w:pStyle w:val="Heading2"/>
      </w:pPr>
      <w:r>
        <w:t xml:space="preserve">Pramlintide</w:t>
      </w:r>
    </w:p>
    <w:bookmarkStart w:id="290" w:name="scheda-11"/>
    <w:p>
      <w:pPr>
        <w:pStyle w:val="Heading3"/>
      </w:pPr>
      <w:r>
        <w:t xml:space="preserve">Scheda</w:t>
      </w:r>
    </w:p>
    <w:p>
      <w:pPr>
        <w:numPr>
          <w:ilvl w:val="0"/>
          <w:numId w:val="1096"/>
        </w:numPr>
        <w:pStyle w:val="Compact"/>
      </w:pPr>
      <w:r>
        <w:rPr>
          <w:bCs/>
          <w:b/>
        </w:rPr>
        <w:t xml:space="preserve">Tipo/struttura:</w:t>
      </w:r>
      <w:r>
        <w:t xml:space="preserve"> </w:t>
      </w:r>
      <w:r>
        <w:t xml:space="preserve">analogo sintetico dell’ormone umano amilina, composto da 37 aminoacidi. In tre posizioni gli aminoacidi sono stati sostituiti (sul modello dell’amilina di ratto), in modo che la molecola non si aggreghi come l’amilina umana naturale. Agisce solo per breve tempo e viene iniettato prima dei pasti principali.</w:t>
      </w:r>
    </w:p>
    <w:p>
      <w:pPr>
        <w:numPr>
          <w:ilvl w:val="0"/>
          <w:numId w:val="1096"/>
        </w:numPr>
        <w:pStyle w:val="Compact"/>
      </w:pPr>
      <w:r>
        <w:rPr>
          <w:bCs/>
          <w:b/>
        </w:rPr>
        <w:t xml:space="preserve">Origine:</w:t>
      </w:r>
      <w:r>
        <w:t xml:space="preserve"> </w:t>
      </w:r>
      <w:r>
        <w:t xml:space="preserve">sviluppato da Amylin Pharmaceuticals; oggi fa parte del portafoglio di AstraZeneca. Nome commerciale negli USA: Symlin.</w:t>
      </w:r>
    </w:p>
    <w:p>
      <w:pPr>
        <w:numPr>
          <w:ilvl w:val="0"/>
          <w:numId w:val="1096"/>
        </w:numPr>
        <w:pStyle w:val="Compact"/>
      </w:pPr>
      <w:r>
        <w:rPr>
          <w:bCs/>
          <w:b/>
        </w:rPr>
        <w:t xml:space="preserve">Principio d’azione:</w:t>
      </w:r>
      <w:r>
        <w:t xml:space="preserve"> </w:t>
      </w:r>
      <w:r>
        <w:t xml:space="preserve">agonista dei recettori dell’amilina: rallenta lo svuotamento gastrico, attenua la secrezione di glucagone dopo i pasti e favorisce il senso di sazietà.</w:t>
      </w:r>
    </w:p>
    <w:p>
      <w:pPr>
        <w:numPr>
          <w:ilvl w:val="0"/>
          <w:numId w:val="1096"/>
        </w:numPr>
        <w:pStyle w:val="Compact"/>
      </w:pPr>
      <w:r>
        <w:rPr>
          <w:bCs/>
          <w:b/>
        </w:rPr>
        <w:t xml:space="preserve">Autorizzazione UE:</w:t>
      </w:r>
      <w:r>
        <w:t xml:space="preserve"> </w:t>
      </w:r>
      <w:r>
        <w:t xml:space="preserve">no – pramlintide non è mai stato autorizzato nell’UE.</w:t>
      </w:r>
    </w:p>
    <w:p>
      <w:pPr>
        <w:numPr>
          <w:ilvl w:val="0"/>
          <w:numId w:val="1096"/>
        </w:numPr>
        <w:pStyle w:val="Compact"/>
      </w:pPr>
      <w:r>
        <w:rPr>
          <w:bCs/>
          <w:b/>
        </w:rPr>
        <w:t xml:space="preserve">Autorizzazione USA:</w:t>
      </w:r>
      <w:r>
        <w:t xml:space="preserve"> </w:t>
      </w:r>
      <w:r>
        <w:t xml:space="preserve">sì, dal 2005 come aggiunta all’insulina prandiale nel diabete di tipo 1 e di tipo 2.</w:t>
      </w:r>
    </w:p>
    <w:p>
      <w:pPr>
        <w:numPr>
          <w:ilvl w:val="0"/>
          <w:numId w:val="1096"/>
        </w:numPr>
        <w:pStyle w:val="Compact"/>
      </w:pPr>
      <w:r>
        <w:rPr>
          <w:bCs/>
          <w:b/>
        </w:rPr>
        <w:t xml:space="preserve">WADA:</w:t>
      </w:r>
      <w:r>
        <w:t xml:space="preserve"> </w:t>
      </w:r>
      <w:r>
        <w:t xml:space="preserve">non elencato nominalmente; a causa dell’autorizzazione statunitense non rientra nella classe S0 (aggiornato al 2026, da verificare).</w:t>
      </w:r>
    </w:p>
    <w:p>
      <w:pPr>
        <w:numPr>
          <w:ilvl w:val="0"/>
          <w:numId w:val="1096"/>
        </w:numPr>
        <w:pStyle w:val="Compact"/>
      </w:pPr>
      <w:r>
        <w:rPr>
          <w:bCs/>
          <w:b/>
        </w:rPr>
        <w:t xml:space="preserve">Livello di evidenza:</w:t>
      </w:r>
      <w:r>
        <w:t xml:space="preserve"> </w:t>
      </w:r>
      <w:r>
        <w:rPr>
          <w:bCs/>
          <w:b/>
        </w:rPr>
        <w:t xml:space="preserve">A</w:t>
      </w:r>
      <w:r>
        <w:t xml:space="preserve"> </w:t>
      </w:r>
      <w:r>
        <w:t xml:space="preserve">– diversi grandi studi randomizzati, autorizzazione negli USA.</w:t>
      </w:r>
    </w:p>
    <w:bookmarkEnd w:id="290"/>
    <w:bookmarkStart w:id="291" w:name="come-dovrebbe-agire-11"/>
    <w:p>
      <w:pPr>
        <w:pStyle w:val="Heading3"/>
      </w:pPr>
      <w:r>
        <w:t xml:space="preserve">Come dovrebbe agire</w:t>
      </w:r>
    </w:p>
    <w:p>
      <w:pPr>
        <w:pStyle w:val="FirstParagraph"/>
      </w:pPr>
      <w:r>
        <w:t xml:space="preserve">Le cellule beta del pancreas non secernono solo insulina, ma allo stesso ritmo anche amilina. Nel diabete di tipo 1 le cellule beta sono distrutte: mancano quindi entrambi gli ormoni, ma di norma viene sostituita solo l’insulina. Anche nel diabete di tipo 2 avanzato la secrezione di amilina è ridotta.</w:t>
      </w:r>
    </w:p>
    <w:p>
      <w:pPr>
        <w:pStyle w:val="BodyText"/>
      </w:pPr>
      <w:r>
        <w:t xml:space="preserve">Dopo i pasti l’amilina agisce in tre direzioni: rallenta lo svuotamento gastrico, così che lo zucchero passi più lentamente nel sangue; attenua la secrezione di glucagone, che nel diabete dopo i pasti è spesso inappropriatamente alta; e, attraverso il tronco encefalico, favorisce il senso di sazietà. Pramlintide doveva sostituire questo effetto mancante e così appiattire i picchi glicemici dopo i pasti. Che ritardi lo svuotamento gastrico è stato dimostrato, tra l’altro, in un piccolo studio su dodici persone con diabete di tipo 1 e di tipo 2: il tempo necessario perché metà di un pasto solido lasciasse lo stomaco si è allungato da 91 a 268–329 minuti (Vella 2002, PMID 11975712).</w:t>
      </w:r>
    </w:p>
    <w:p>
      <w:pPr>
        <w:pStyle w:val="BodyText"/>
      </w:pPr>
      <w:r>
        <w:t xml:space="preserve">Pramlintide ha un’importanza storica: è stato il primo farmaco a base di amilina ed è considerato il precursore degli attuali principi attivi a base di amilina a lunga durata d’azione come cagrilintide e amycretin (si vedano i relativi capitoli). Il suo grande svantaggio pratico è la breve durata d’azione, che richiede più iniezioni al giorno.</w:t>
      </w:r>
    </w:p>
    <w:bookmarkEnd w:id="291"/>
    <w:bookmarkStart w:id="296" w:name="studi-sulluomo-11"/>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76 studi sull’uomo, per lo più degli anni dal 1996 al 2010, oltre ad alcune meta-analisi. Su ClinicalTrials.gov risultavano registrati 64 studi, quasi tutti conclusi; i nuovi studi riguardano soprattutto il «pancreas artificiale» e la ricerca sull’emicrania.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Whitehouse 2002, PMID 11919132</w:t>
            </w:r>
          </w:p>
        </w:tc>
        <w:tc>
          <w:tcPr/>
          <w:p>
            <w:pPr>
              <w:pStyle w:val="Compact"/>
              <w:jc w:val="left"/>
            </w:pPr>
            <w:r>
              <w:t xml:space="preserve">480 adulti con diabete di tipo 1, contro placebo</w:t>
            </w:r>
          </w:p>
        </w:tc>
        <w:tc>
          <w:tcPr/>
          <w:p>
            <w:pPr>
              <w:pStyle w:val="Compact"/>
              <w:jc w:val="left"/>
            </w:pPr>
            <w:r>
              <w:t xml:space="preserve">52 settimane (+1 anno in aperto)</w:t>
            </w:r>
          </w:p>
        </w:tc>
        <w:tc>
          <w:tcPr/>
          <w:p>
            <w:pPr>
              <w:pStyle w:val="Compact"/>
              <w:jc w:val="left"/>
            </w:pPr>
            <w:r>
              <w:t xml:space="preserve">HbA1c −0,67 vs. −0,16 dopo 13 settimane; calo di peso anziché aumento</w:t>
            </w:r>
          </w:p>
        </w:tc>
      </w:tr>
      <w:tr>
        <w:tc>
          <w:tcPr/>
          <w:p>
            <w:pPr>
              <w:pStyle w:val="Compact"/>
              <w:jc w:val="left"/>
            </w:pPr>
            <w:r>
              <w:t xml:space="preserve">Ratner 2004, PMID 15498087</w:t>
            </w:r>
          </w:p>
        </w:tc>
        <w:tc>
          <w:tcPr/>
          <w:p>
            <w:pPr>
              <w:pStyle w:val="Compact"/>
              <w:jc w:val="left"/>
            </w:pPr>
            <w:r>
              <w:t xml:space="preserve">651 adulti con diabete di tipo 1, contro placebo</w:t>
            </w:r>
          </w:p>
        </w:tc>
        <w:tc>
          <w:tcPr/>
          <w:p>
            <w:pPr>
              <w:pStyle w:val="Compact"/>
              <w:jc w:val="left"/>
            </w:pPr>
            <w:r>
              <w:t xml:space="preserve">52 settimane</w:t>
            </w:r>
          </w:p>
        </w:tc>
        <w:tc>
          <w:tcPr/>
          <w:p>
            <w:pPr>
              <w:pStyle w:val="Compact"/>
              <w:jc w:val="left"/>
            </w:pPr>
            <w:r>
              <w:t xml:space="preserve">HbA1c da −0,29 a −0,34 vs. −0,04; peso −0,4 kg vs. +0,8 kg</w:t>
            </w:r>
          </w:p>
        </w:tc>
      </w:tr>
      <w:tr>
        <w:tc>
          <w:tcPr/>
          <w:p>
            <w:pPr>
              <w:pStyle w:val="Compact"/>
              <w:jc w:val="left"/>
            </w:pPr>
            <w:r>
              <w:t xml:space="preserve">Hollander 2003, PMID 12610038</w:t>
            </w:r>
          </w:p>
        </w:tc>
        <w:tc>
          <w:tcPr/>
          <w:p>
            <w:pPr>
              <w:pStyle w:val="Compact"/>
              <w:jc w:val="left"/>
            </w:pPr>
            <w:r>
              <w:t xml:space="preserve">656 adulti con diabete di tipo 2 in terapia insulinica, contro placebo</w:t>
            </w:r>
          </w:p>
        </w:tc>
        <w:tc>
          <w:tcPr/>
          <w:p>
            <w:pPr>
              <w:pStyle w:val="Compact"/>
              <w:jc w:val="left"/>
            </w:pPr>
            <w:r>
              <w:t xml:space="preserve">52 settimane</w:t>
            </w:r>
          </w:p>
        </w:tc>
        <w:tc>
          <w:tcPr/>
          <w:p>
            <w:pPr>
              <w:pStyle w:val="Compact"/>
              <w:jc w:val="left"/>
            </w:pPr>
            <w:r>
              <w:t xml:space="preserve">HbA1c −0,62 (settimana 52); peso −1,4 kg vs. +0,7 kg</w:t>
            </w:r>
          </w:p>
        </w:tc>
      </w:tr>
      <w:tr>
        <w:tc>
          <w:tcPr/>
          <w:p>
            <w:pPr>
              <w:pStyle w:val="Compact"/>
              <w:jc w:val="left"/>
            </w:pPr>
            <w:r>
              <w:t xml:space="preserve">Edelman 2006, PMID 17003291</w:t>
            </w:r>
          </w:p>
        </w:tc>
        <w:tc>
          <w:tcPr/>
          <w:p>
            <w:pPr>
              <w:pStyle w:val="Compact"/>
              <w:jc w:val="left"/>
            </w:pPr>
            <w:r>
              <w:t xml:space="preserve">296 adulti con diabete di tipo 1, terapia insulinica intensiva</w:t>
            </w:r>
          </w:p>
        </w:tc>
        <w:tc>
          <w:tcPr/>
          <w:p>
            <w:pPr>
              <w:pStyle w:val="Compact"/>
              <w:jc w:val="left"/>
            </w:pPr>
            <w:r>
              <w:t xml:space="preserve">29 settimane</w:t>
            </w:r>
          </w:p>
        </w:tc>
        <w:tc>
          <w:tcPr/>
          <w:p>
            <w:pPr>
              <w:pStyle w:val="Compact"/>
              <w:jc w:val="left"/>
            </w:pPr>
            <w:r>
              <w:t xml:space="preserve">HbA1c uguale (−0,5 entrambi); peso −1,3 vs. +1,2 kg; insulina −28%</w:t>
            </w:r>
          </w:p>
        </w:tc>
      </w:tr>
      <w:tr>
        <w:tc>
          <w:tcPr/>
          <w:p>
            <w:pPr>
              <w:pStyle w:val="Compact"/>
              <w:jc w:val="left"/>
            </w:pPr>
            <w:r>
              <w:t xml:space="preserve">Riddle 2007, PMID 17698615</w:t>
            </w:r>
          </w:p>
        </w:tc>
        <w:tc>
          <w:tcPr/>
          <w:p>
            <w:pPr>
              <w:pStyle w:val="Compact"/>
              <w:jc w:val="left"/>
            </w:pPr>
            <w:r>
              <w:t xml:space="preserve">212 adulti con diabete di tipo 2 e insulina basale, contro placebo</w:t>
            </w:r>
          </w:p>
        </w:tc>
        <w:tc>
          <w:tcPr/>
          <w:p>
            <w:pPr>
              <w:pStyle w:val="Compact"/>
              <w:jc w:val="left"/>
            </w:pPr>
            <w:r>
              <w:t xml:space="preserve">16 settimane</w:t>
            </w:r>
          </w:p>
        </w:tc>
        <w:tc>
          <w:tcPr/>
          <w:p>
            <w:pPr>
              <w:pStyle w:val="Compact"/>
              <w:jc w:val="left"/>
            </w:pPr>
            <w:r>
              <w:t xml:space="preserve">HbA1c −0,70 vs. −0,36; peso −1,6 vs. +0,7 kg</w:t>
            </w:r>
          </w:p>
        </w:tc>
      </w:tr>
      <w:tr>
        <w:tc>
          <w:tcPr/>
          <w:p>
            <w:pPr>
              <w:pStyle w:val="Compact"/>
              <w:jc w:val="left"/>
            </w:pPr>
            <w:r>
              <w:t xml:space="preserve">Smith 2008, PMID 18753666</w:t>
            </w:r>
          </w:p>
        </w:tc>
        <w:tc>
          <w:tcPr/>
          <w:p>
            <w:pPr>
              <w:pStyle w:val="Compact"/>
              <w:jc w:val="left"/>
            </w:pPr>
            <w:r>
              <w:t xml:space="preserve">411 adulti con obesità, con programma sullo stile di vita</w:t>
            </w:r>
          </w:p>
        </w:tc>
        <w:tc>
          <w:tcPr/>
          <w:p>
            <w:pPr>
              <w:pStyle w:val="Compact"/>
              <w:jc w:val="left"/>
            </w:pPr>
            <w:r>
              <w:t xml:space="preserve">4 mesi (+8 mesi)</w:t>
            </w:r>
          </w:p>
        </w:tc>
        <w:tc>
          <w:tcPr/>
          <w:p>
            <w:pPr>
              <w:pStyle w:val="Compact"/>
              <w:jc w:val="left"/>
            </w:pPr>
            <w:r>
              <w:t xml:space="preserve">dopo 12 mesi, corretto per il placebo, fino a −7,2 kg</w:t>
            </w:r>
          </w:p>
        </w:tc>
      </w:tr>
    </w:tbl>
    <w:bookmarkStart w:id="292" w:name="diabete-di-tipo-1"/>
    <w:p>
      <w:pPr>
        <w:pStyle w:val="Heading4"/>
      </w:pPr>
      <w:r>
        <w:t xml:space="preserve">Diabete di tipo 1</w:t>
      </w:r>
    </w:p>
    <w:p>
      <w:pPr>
        <w:pStyle w:val="FirstParagraph"/>
      </w:pPr>
      <w:r>
        <w:t xml:space="preserve">I grandi studi registrativi sono durati un anno. Nello studio di Whitehouse (2002, PMID 11919132) su 480 persone con diabete di tipo 1 l’HbA1c è diminuita dopo 13 settimane di 0,67 punti percentuali rispetto a 0,16 con il placebo; la differenza è rimasta statisticamente significativa fino alla settimana 52. In media i partecipanti hanno perso peso invece di aumentarlo, e il tasso complessivo di ipoglicemie gravi non era aumentato. Nello studio di Ratner (2004, PMID 15498087) su 651 partecipanti l’effetto è stato minore: −0,29 e −0,34 punti percentuali rispetto a −0,04.</w:t>
      </w:r>
    </w:p>
    <w:p>
      <w:pPr>
        <w:pStyle w:val="BodyText"/>
      </w:pPr>
      <w:r>
        <w:t xml:space="preserve">Questi effetti sono modesti. Una meta-analisi di rete di tutti i farmaci aggiuntivi nel diabete di tipo 1, con 58 studi, ha valutato l’affidabilità delle evidenze per lo più da moderata a molto bassa e ha rilevato che pramlintide, come gli agonisti del GLP-1 e la metformina, rende la nausea più frequente (Avgerinos 2021, PMID 33300282).</w:t>
      </w:r>
    </w:p>
    <w:p>
      <w:pPr>
        <w:pStyle w:val="BodyText"/>
      </w:pPr>
      <w:r>
        <w:t xml:space="preserve">Un insegnamento importante è venuto dallo studio di Edelman (2006, PMID 17003291): quando all’inizio del trattamento con pramlintide la dose di insulina prandiale veniva ridotta preventivamente del 30–50%, l’HbA1c dopo 29 settimane era diminuita in modo uguale in entrambi i gruppi (−0,5 ciascuno). Con pramlintide però i picchi glicemici dopo i pasti erano più bassi, il peso è diminuito di 1,3 kg (placebo +1,2 kg) ed è servita il 28% di insulina in meno. La nausea si è verificata nel 63% (placebo 36%).</w:t>
      </w:r>
    </w:p>
    <w:bookmarkEnd w:id="292"/>
    <w:bookmarkStart w:id="293" w:name="diabete-di-tipo-2"/>
    <w:p>
      <w:pPr>
        <w:pStyle w:val="Heading4"/>
      </w:pPr>
      <w:r>
        <w:t xml:space="preserve">Diabete di tipo 2</w:t>
      </w:r>
    </w:p>
    <w:p>
      <w:pPr>
        <w:pStyle w:val="FirstParagraph"/>
      </w:pPr>
      <w:r>
        <w:t xml:space="preserve">Nel diabete di tipo 2 trattato con insulina pramlintide ha ridotto l’HbA1c dopo un anno di 0,62 punti percentuali, con una perdita di peso di 1,4 kg rispetto a un aumento di 0,7 kg con il placebo (Hollander 2003, PMID 12610038). In aggiunta all’insulina basale, in uno studio in aperto su 113 partecipanti, era efficace in modo simile a un’insulina prandiale ad azione rapida, ma non ha causato aumento di peso (0,0 kg vs. +4,7 kg) e ha portato a meno ipoglicemie da lievi a moderate; in compenso il 21% ha lamentato nausea (Riddle 2009, PMID 19502544).</w:t>
      </w:r>
    </w:p>
    <w:p>
      <w:pPr>
        <w:pStyle w:val="BodyText"/>
      </w:pPr>
      <w:r>
        <w:t xml:space="preserve">Una meta-analisi di otto studi randomizzati ha rilevato nel diabete di tipo 2 una riduzione dell’HbA1c di 0,33 punti percentuali e una perdita di peso di 2,57 kg rispetto al controllo; la nausea si è verificata 1,8 volte più spesso (Singh-Franco 2011, PMID 21199269).</w:t>
      </w:r>
    </w:p>
    <w:bookmarkEnd w:id="293"/>
    <w:bookmarkStart w:id="294" w:name="obesità"/>
    <w:p>
      <w:pPr>
        <w:pStyle w:val="Heading4"/>
      </w:pPr>
      <w:r>
        <w:t xml:space="preserve">Obesità</w:t>
      </w:r>
    </w:p>
    <w:p>
      <w:pPr>
        <w:pStyle w:val="FirstParagraph"/>
      </w:pPr>
      <w:r>
        <w:t xml:space="preserve">Tra il 2005 e il 2010 pramlintide è stato valutato anche come farmaco dimagrante. In uno studio di 16 settimane su 204 persone con obesità la perdita di peso corretta per il placebo era del 3,7% (Aronne 2007, PMID 17504894). In combinazione con un programma sullo stile di vita quasi tutti i gruppi di dose hanno mantenuto la perdita di peso per dodici mesi; corretta per il placebo era fino a 7,2 kg ovvero 6,8% (Smith 2008, PMID 18753666). Una combinazione con metreleptina (un analogo della leptina) ha raggiunto dopo 20 settimane una perdita di peso del 12,7% rispetto all’8,4% con il solo pramlintide (Ravussin 2009, PMID 19521351). Questo sviluppo non è stato portato avanti fino all’autorizzazione.</w:t>
      </w:r>
    </w:p>
    <w:bookmarkEnd w:id="294"/>
    <w:bookmarkStart w:id="295" w:name="X7bae650b19af3227bda9a5884ba08000120a179"/>
    <w:p>
      <w:pPr>
        <w:pStyle w:val="Heading4"/>
      </w:pPr>
      <w:r>
        <w:t xml:space="preserve">Applicazioni più recenti: il pancreas artificiale</w:t>
      </w:r>
    </w:p>
    <w:p>
      <w:pPr>
        <w:pStyle w:val="FirstParagraph"/>
      </w:pPr>
      <w:r>
        <w:t xml:space="preserve">Dal 2015 circa pramlintide sta vivendo una piccola rinascita nella ricerca sui sistemi automatizzati con microinfusore di insulina. In uno studio crossover randomizzato il tempo nell’intervallo target è salito dal 74% all’84% con un sistema che rilascia, oltre all’insulina ad azione rapida, anche pramlintide (Haidar 2020, PMID 31974099). Un piccolo studio pilota ha valutato se un simile sistema possa rendere superfluo il conteggio dei carboidrati; le differenze rispetto al trattamento standard non erano statisticamente significative (Odabassian 2025, PMID 41174925). Una miscela fissa di pramlintide e un’insulina (ADO09) ha portato, in uno studio di 16 settimane su 80 persone con diabete di tipo 1, a una perdita di peso di 2,1 kg superiore rispetto all’insulina lispro, con HbA1c invariata (Andersen 2024, PMID 39109464).</w:t>
      </w:r>
    </w:p>
    <w:bookmarkEnd w:id="295"/>
    <w:bookmarkEnd w:id="296"/>
    <w:bookmarkStart w:id="297" w:name="studi-su-animali-e-in-laboratorio-11"/>
    <w:p>
      <w:pPr>
        <w:pStyle w:val="Heading3"/>
      </w:pPr>
      <w:r>
        <w:t xml:space="preserve">Studi su animali e in laboratorio</w:t>
      </w:r>
    </w:p>
    <w:p>
      <w:pPr>
        <w:pStyle w:val="FirstParagraph"/>
      </w:pPr>
      <w:r>
        <w:t xml:space="preserve">Le basi della ricerca sull’amilina provengono da studi su animali e in laboratorio che qui non vengono descritti nel dettaglio. Nei roditori la combinazione di amilina e leptina ha portato a una perdita di peso più che additiva (descritta come punto di partenza in Ravussin 2009, PMID 19521351). In modelli murini l’amilina, analogamente al peptide messaggero dell’emicrania CGRP, ha provocato ipersensibilità e fotofobia (Ghanizada 2021, PMID 33772845).</w:t>
      </w:r>
    </w:p>
    <w:bookmarkEnd w:id="297"/>
    <w:bookmarkStart w:id="298" w:name="rischi-ed-effetti-collaterali-11"/>
    <w:p>
      <w:pPr>
        <w:pStyle w:val="Heading3"/>
      </w:pPr>
      <w:r>
        <w:t xml:space="preserve">Rischi ed effetti collaterali</w:t>
      </w:r>
    </w:p>
    <w:p>
      <w:pPr>
        <w:pStyle w:val="FirstParagraph"/>
      </w:pPr>
      <w:r>
        <w:rPr>
          <w:bCs/>
          <w:b/>
        </w:rPr>
        <w:t xml:space="preserve">Documentati dagli studi:</w:t>
      </w:r>
    </w:p>
    <w:p>
      <w:pPr>
        <w:numPr>
          <w:ilvl w:val="0"/>
          <w:numId w:val="1097"/>
        </w:numPr>
        <w:pStyle w:val="Compact"/>
      </w:pPr>
      <w:r>
        <w:rPr>
          <w:bCs/>
          <w:b/>
        </w:rPr>
        <w:t xml:space="preserve">Nausea:</w:t>
      </w:r>
      <w:r>
        <w:t xml:space="preserve"> </w:t>
      </w:r>
      <w:r>
        <w:t xml:space="preserve">è l’effetto collaterale più frequente, soprattutto nelle prime settimane; a seconda dello studio tra il 9% e il 63% (Smith 2008, PMID 18753666; Edelman 2006, PMID 17003291).</w:t>
      </w:r>
    </w:p>
    <w:p>
      <w:pPr>
        <w:numPr>
          <w:ilvl w:val="0"/>
          <w:numId w:val="1097"/>
        </w:numPr>
        <w:pStyle w:val="Compact"/>
      </w:pPr>
      <w:r>
        <w:rPr>
          <w:bCs/>
          <w:b/>
        </w:rPr>
        <w:t xml:space="preserve">Ipoglicemia grave:</w:t>
      </w:r>
      <w:r>
        <w:t xml:space="preserve"> </w:t>
      </w:r>
      <w:r>
        <w:t xml:space="preserve">è il rischio più importante. Pramlintide di per sé abbassa poco la glicemia, ma potenzia l’effetto dell’insulina iniettata contemporaneamente, perché lo zucchero del pasto arriva in ritardo. Nello studio di Edelman le ipoglicemie gravi sono state più frequenti con pramlintide che con il placebo (0,57 vs. 0,30 eventi per anno-paziente), in particolare nei partecipanti rimasti a una dose bassa (Edelman 2006, PMID 17003291). Negli USA il farmaco riporta perciò un’avvertenza evidente; prima dell’inizio del trattamento è prevista una riduzione della dose di insulina prandiale – i dettagli sono stabiliti dal riassunto delle caratteristiche del prodotto, e l’attuazione spetta al medico.</w:t>
      </w:r>
    </w:p>
    <w:p>
      <w:pPr>
        <w:numPr>
          <w:ilvl w:val="0"/>
          <w:numId w:val="1097"/>
        </w:numPr>
        <w:pStyle w:val="Compact"/>
      </w:pPr>
      <w:r>
        <w:rPr>
          <w:bCs/>
          <w:b/>
        </w:rPr>
        <w:t xml:space="preserve">Cefalea ed emicrania:</w:t>
      </w:r>
      <w:r>
        <w:t xml:space="preserve"> </w:t>
      </w:r>
      <w:r>
        <w:t xml:space="preserve">in uno studio sperimentale su 36 persone con emicrania, dopo un’infusione di pramlintide l’88% ha avuto cefalea e il 41% un attacco simil-emicranico (Ghanizada 2021, PMID 33772845). Questo studio ha usato un’infusione a scopo di ricerca; mostra però che i recettori dell’amilina hanno un ruolo nell’emicrania. Il risultato è rilevante anche per i nuovi farmaci a base di amilina a lunga durata d’azione.</w:t>
      </w:r>
    </w:p>
    <w:p>
      <w:pPr>
        <w:numPr>
          <w:ilvl w:val="0"/>
          <w:numId w:val="1097"/>
        </w:numPr>
        <w:pStyle w:val="Compact"/>
      </w:pPr>
      <w:r>
        <w:rPr>
          <w:bCs/>
          <w:b/>
        </w:rPr>
        <w:t xml:space="preserve">Interazioni:</w:t>
      </w:r>
      <w:r>
        <w:t xml:space="preserve"> </w:t>
      </w:r>
      <w:r>
        <w:t xml:space="preserve">poiché pramlintide ritarda lo svuotamento gastrico, le compresse per le quali è importante un rapido inizio d’azione possono essere assorbite in ritardo (riassunto delle caratteristiche del prodotto).</w:t>
      </w:r>
    </w:p>
    <w:bookmarkEnd w:id="298"/>
    <w:bookmarkStart w:id="299" w:name="quadro-normativo-11"/>
    <w:p>
      <w:pPr>
        <w:pStyle w:val="Heading3"/>
      </w:pPr>
      <w:r>
        <w:t xml:space="preserve">Quadro normativo</w:t>
      </w:r>
    </w:p>
    <w:p>
      <w:pPr>
        <w:numPr>
          <w:ilvl w:val="0"/>
          <w:numId w:val="1098"/>
        </w:numPr>
        <w:pStyle w:val="Compact"/>
      </w:pPr>
      <w:r>
        <w:rPr>
          <w:bCs/>
          <w:b/>
        </w:rPr>
        <w:t xml:space="preserve">UE / Austria / Germania:</w:t>
      </w:r>
      <w:r>
        <w:t xml:space="preserve"> </w:t>
      </w:r>
      <w:r>
        <w:t xml:space="preserve">non autorizzato. In Europa pramlintide è ipotizzabile solo tramite importazione individuale per determinati pazienti e in pratica non ha alcun ruolo.</w:t>
      </w:r>
    </w:p>
    <w:p>
      <w:pPr>
        <w:numPr>
          <w:ilvl w:val="0"/>
          <w:numId w:val="1098"/>
        </w:numPr>
        <w:pStyle w:val="Compact"/>
      </w:pPr>
      <w:r>
        <w:rPr>
          <w:bCs/>
          <w:b/>
        </w:rPr>
        <w:t xml:space="preserve">USA:</w:t>
      </w:r>
      <w:r>
        <w:t xml:space="preserve"> </w:t>
      </w:r>
      <w:r>
        <w:t xml:space="preserve">autorizzato dal 2005 (Symlin) come aggiunta all’insulina prandiale nel diabete di tipo 1 e di tipo 2; soggetto a prescrizione medica. Non è autorizzato per l’obesità senza diabete.</w:t>
      </w:r>
    </w:p>
    <w:p>
      <w:pPr>
        <w:numPr>
          <w:ilvl w:val="0"/>
          <w:numId w:val="1098"/>
        </w:numPr>
        <w:pStyle w:val="Compact"/>
      </w:pPr>
      <w:r>
        <w:rPr>
          <w:bCs/>
          <w:b/>
        </w:rPr>
        <w:t xml:space="preserve">Sport:</w:t>
      </w:r>
      <w:r>
        <w:t xml:space="preserve"> </w:t>
      </w:r>
      <w:r>
        <w:t xml:space="preserve">non citato nella lista WADA (aggiornato al 2026, da verificare).</w:t>
      </w:r>
    </w:p>
    <w:bookmarkEnd w:id="299"/>
    <w:bookmarkStart w:id="300" w:name="studi-in-corso-e-prospettive-11"/>
    <w:p>
      <w:pPr>
        <w:pStyle w:val="Heading3"/>
      </w:pPr>
      <w:r>
        <w:t xml:space="preserve">Studi in corso e prospettive</w:t>
      </w:r>
    </w:p>
    <w:p>
      <w:pPr>
        <w:pStyle w:val="FirstParagraph"/>
      </w:pPr>
      <w:r>
        <w:rPr>
          <w:bCs/>
          <w:b/>
        </w:rPr>
        <w:t xml:space="preserve">Certo (studi registrati, aggiornato a ottobre 2026):</w:t>
      </w:r>
      <w:r>
        <w:t xml:space="preserve"> </w:t>
      </w:r>
      <w:r>
        <w:t xml:space="preserve">i nuovi studi con pramlintide sono per lo più piccoli studi di base, per esempio sul ruolo dell’amilina nell’emicrania senza aura (NCT07340788), nella cefalea dopo traumi cranici (NCT07340775) e sulla sazietà (NCT07506369). Gli autori dello studio pilota sul microinfusore con pramlintide e insulina annunciano uno studio più ampio (Odabassian 2025, PMID 41174925).</w:t>
      </w:r>
    </w:p>
    <w:p>
      <w:pPr>
        <w:pStyle w:val="BodyText"/>
      </w:pPr>
      <w:r>
        <w:rPr>
          <w:bCs/>
          <w:b/>
        </w:rPr>
        <w:t xml:space="preserve">Valutazione:</w:t>
      </w:r>
      <w:r>
        <w:t xml:space="preserve"> </w:t>
      </w:r>
      <w:r>
        <w:t xml:space="preserve">come farmaco pramlintide è rimasto un prodotto di nicchia: troppe iniezioni, troppa nausea, effetto troppo scarso sull’HbA1c. Il suo ruolo più importante è probabilmente quello di apripista: gli analoghi dell’amilina a lunga durata d’azione di nuova generazione (cagrilintide, amycretin, eloralintide e altri) si basano sulla sua esperienza. Nella ricerca sui sistemi a due ormoni nel diabete di tipo 1 potrebbe mantenere un piccolo ruolo.</w:t>
      </w:r>
    </w:p>
    <w:bookmarkEnd w:id="300"/>
    <w:bookmarkStart w:id="301" w:name="conclusione-11"/>
    <w:p>
      <w:pPr>
        <w:pStyle w:val="Heading3"/>
      </w:pPr>
      <w:r>
        <w:t xml:space="preserve">Conclusione</w:t>
      </w:r>
    </w:p>
    <w:p>
      <w:pPr>
        <w:pStyle w:val="FirstParagraph"/>
      </w:pPr>
      <w:r>
        <w:t xml:space="preserve">Pramlintide è il primo farmaco a base di amilina ed è autorizzato dal 2005 negli USA, ma non nell’UE, come aggiunta all’insulina. Nei grandi studi ha ridotto l’HbA1c solo di circa 0,3–0,7 punti percentuali, ma ha impedito l’aumento di peso tipico dell’insulina e appiattito i picchi glicemici dopo i pasti. La nausea è frequente e, in combinazione con l’insulina, esiste un rischio rilevante di ipoglicemie gravi. Oggi pramlintide è importante soprattutto come precursore dei nuovi farmaci a base di amilina a lunga durata d’azione.</w:t>
      </w:r>
    </w:p>
    <w:bookmarkEnd w:id="301"/>
    <w:bookmarkEnd w:id="302"/>
    <w:bookmarkStart w:id="316" w:name="setmelanotide"/>
    <w:p>
      <w:pPr>
        <w:pStyle w:val="Heading2"/>
      </w:pPr>
      <w:r>
        <w:t xml:space="preserve">Setmelanotide</w:t>
      </w:r>
    </w:p>
    <w:bookmarkStart w:id="303" w:name="scheda-12"/>
    <w:p>
      <w:pPr>
        <w:pStyle w:val="Heading3"/>
      </w:pPr>
      <w:r>
        <w:t xml:space="preserve">Scheda</w:t>
      </w:r>
    </w:p>
    <w:p>
      <w:pPr>
        <w:numPr>
          <w:ilvl w:val="0"/>
          <w:numId w:val="1099"/>
        </w:numPr>
        <w:pStyle w:val="Compact"/>
      </w:pPr>
      <w:r>
        <w:rPr>
          <w:bCs/>
          <w:b/>
        </w:rPr>
        <w:t xml:space="preserve">Tipo/struttura:</w:t>
      </w:r>
      <w:r>
        <w:t xml:space="preserve"> </w:t>
      </w:r>
      <w:r>
        <w:t xml:space="preserve">piccolo peptide sintetico chiuso ad anello (ciclico) che imita il messaggero endogeno alfa-MSH. Somministrazione sottocutanea una volta al giorno. Precedente codice di sviluppo RM-493.</w:t>
      </w:r>
    </w:p>
    <w:p>
      <w:pPr>
        <w:numPr>
          <w:ilvl w:val="0"/>
          <w:numId w:val="1099"/>
        </w:numPr>
        <w:pStyle w:val="Compact"/>
      </w:pPr>
      <w:r>
        <w:rPr>
          <w:bCs/>
          <w:b/>
        </w:rPr>
        <w:t xml:space="preserve">Origine:</w:t>
      </w:r>
      <w:r>
        <w:t xml:space="preserve"> </w:t>
      </w:r>
      <w:r>
        <w:t xml:space="preserve">sviluppato da Rhythm Pharmaceuticals; nome commerciale Imcivree.</w:t>
      </w:r>
    </w:p>
    <w:p>
      <w:pPr>
        <w:numPr>
          <w:ilvl w:val="0"/>
          <w:numId w:val="1099"/>
        </w:numPr>
        <w:pStyle w:val="Compact"/>
      </w:pPr>
      <w:r>
        <w:rPr>
          <w:bCs/>
          <w:b/>
        </w:rPr>
        <w:t xml:space="preserve">Principio d’azione:</w:t>
      </w:r>
      <w:r>
        <w:t xml:space="preserve"> </w:t>
      </w:r>
      <w:r>
        <w:t xml:space="preserve">agonista del recettore della melanocortina 4 (MC4R) nell’ipotalamo, un centro di controllo fondamentale per fame e sazietà.</w:t>
      </w:r>
    </w:p>
    <w:p>
      <w:pPr>
        <w:numPr>
          <w:ilvl w:val="0"/>
          <w:numId w:val="1099"/>
        </w:numPr>
        <w:pStyle w:val="Compact"/>
      </w:pPr>
      <w:r>
        <w:rPr>
          <w:bCs/>
          <w:b/>
        </w:rPr>
        <w:t xml:space="preserve">Autorizzazione UE:</w:t>
      </w:r>
      <w:r>
        <w:t xml:space="preserve"> </w:t>
      </w:r>
      <w:r>
        <w:t xml:space="preserve">sì (Imcivree) per l’obesità con deficit geneticamente confermato di POMC, PCSK1 o del recettore della leptina e per la sindrome di Bardet-Biedl.</w:t>
      </w:r>
    </w:p>
    <w:p>
      <w:pPr>
        <w:numPr>
          <w:ilvl w:val="0"/>
          <w:numId w:val="1099"/>
        </w:numPr>
        <w:pStyle w:val="Compact"/>
      </w:pPr>
      <w:r>
        <w:rPr>
          <w:bCs/>
          <w:b/>
        </w:rPr>
        <w:t xml:space="preserve">Autorizzazione USA:</w:t>
      </w:r>
      <w:r>
        <w:t xml:space="preserve"> </w:t>
      </w:r>
      <w:r>
        <w:t xml:space="preserve">sì (Imcivree), per la prima volta nel 2020, per le stesse rare forme genetiche (Markham 2021, PMID 33638809).</w:t>
      </w:r>
    </w:p>
    <w:p>
      <w:pPr>
        <w:numPr>
          <w:ilvl w:val="0"/>
          <w:numId w:val="1099"/>
        </w:numPr>
        <w:pStyle w:val="Compact"/>
      </w:pPr>
      <w:r>
        <w:rPr>
          <w:bCs/>
          <w:b/>
        </w:rPr>
        <w:t xml:space="preserve">WADA:</w:t>
      </w:r>
      <w:r>
        <w:t xml:space="preserve"> </w:t>
      </w:r>
      <w:r>
        <w:t xml:space="preserve">non elencato nominalmente; in quanto medicinale autorizzato non rientra nella classe S0 (aggiornato al 2026, da verificare).</w:t>
      </w:r>
    </w:p>
    <w:p>
      <w:pPr>
        <w:numPr>
          <w:ilvl w:val="0"/>
          <w:numId w:val="1099"/>
        </w:numPr>
        <w:pStyle w:val="Compact"/>
      </w:pPr>
      <w:r>
        <w:rPr>
          <w:bCs/>
          <w:b/>
        </w:rPr>
        <w:t xml:space="preserve">Livello di evidenza:</w:t>
      </w:r>
      <w:r>
        <w:t xml:space="preserve"> </w:t>
      </w:r>
      <w:r>
        <w:rPr>
          <w:bCs/>
          <w:b/>
        </w:rPr>
        <w:t xml:space="preserve">A</w:t>
      </w:r>
      <w:r>
        <w:t xml:space="preserve"> </w:t>
      </w:r>
      <w:r>
        <w:t xml:space="preserve">– autorizzazione basata su studi di fase 3; a causa della rarità delle malattie gli studi sono però piccoli e in parte non controllati.</w:t>
      </w:r>
    </w:p>
    <w:bookmarkEnd w:id="303"/>
    <w:bookmarkStart w:id="304" w:name="come-dovrebbe-agire-12"/>
    <w:p>
      <w:pPr>
        <w:pStyle w:val="Heading3"/>
      </w:pPr>
      <w:r>
        <w:t xml:space="preserve">Come dovrebbe agire</w:t>
      </w:r>
    </w:p>
    <w:p>
      <w:pPr>
        <w:pStyle w:val="FirstParagraph"/>
      </w:pPr>
      <w:r>
        <w:t xml:space="preserve">Setmelanotide si distingue radicalmente da tutti gli altri principi attivi di questa parte. Non è un farmaco dimagrante generico, ma un trattamento mirato per persone in cui una determinata catena di segnali nel cervello è difettosa.</w:t>
      </w:r>
    </w:p>
    <w:p>
      <w:pPr>
        <w:pStyle w:val="BodyText"/>
      </w:pPr>
      <w:r>
        <w:t xml:space="preserve">Questa catena si chiama via di segnalazione leptina-melanocortina. In modo semplificato: il tessuto adiposo secerne l’ormone leptina. La leptina agisce nell’ipotalamo su cellule nervose che, a partire da una molecola precursore chiamata POMC, producono il messaggero alfa-MSH. Per questa produzione serve un enzima chiamato PCSK1. L’alfa-MSH attiva infine il recettore MC4, e il segnale è: «Si è mangiato abbastanza».</w:t>
      </w:r>
    </w:p>
    <w:p>
      <w:pPr>
        <w:pStyle w:val="BodyText"/>
      </w:pPr>
      <w:r>
        <w:t xml:space="preserve">Se uno di questi anelli viene a mancare a causa di un’alterazione genetica congenita, si sviluppa una fame tormentosa e insaziabile (iperfagia) che già nella prima infanzia porta a una grave obesità. Dieta e attività fisica da sole possono fare poco. Setmelanotide agisce alla fine della catena e attiva direttamente il recettore MC4: per così dire, scavalca gli anelli difettosi che lo precedono.</w:t>
      </w:r>
    </w:p>
    <w:p>
      <w:pPr>
        <w:pStyle w:val="BodyText"/>
      </w:pPr>
      <w:r>
        <w:t xml:space="preserve">Setmelanotide agisce inoltre sul recettore della melanocortina 1, strettamente affine, nella pelle. Questo spiega l’effetto collaterale più frequente: un’abbronzatura della pelle (si veda più avanti), e collega setmelanotide ai peptidi abbronzanti come Melanotan II e afamelanotide (Parte II, gruppo E).</w:t>
      </w:r>
    </w:p>
    <w:bookmarkEnd w:id="304"/>
    <w:bookmarkStart w:id="310" w:name="studi-sulluomo-12"/>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15 studi sull’uomo. Su ClinicalTrials.gov risultavano registrati 27 studi. A causa della rarità delle malattie bersaglio gli studi comprendono spesso solo 10–40 partecipanti; il più grande studio randomizzato pubblicato (sull’obesità ipotalamica) ha incluso 120 persone.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Kühnen 2016, PMID 27468060</w:t>
            </w:r>
          </w:p>
        </w:tc>
        <w:tc>
          <w:tcPr/>
          <w:p>
            <w:pPr>
              <w:pStyle w:val="Compact"/>
              <w:jc w:val="left"/>
            </w:pPr>
            <w:r>
              <w:t xml:space="preserve">2 persone con deficit di POMC, in aperto</w:t>
            </w:r>
          </w:p>
        </w:tc>
        <w:tc>
          <w:tcPr/>
          <w:p>
            <w:pPr>
              <w:pStyle w:val="Compact"/>
              <w:jc w:val="left"/>
            </w:pPr>
            <w:r>
              <w:t xml:space="preserve">12 e 42 settimane</w:t>
            </w:r>
          </w:p>
        </w:tc>
        <w:tc>
          <w:tcPr/>
          <w:p>
            <w:pPr>
              <w:pStyle w:val="Compact"/>
              <w:jc w:val="left"/>
            </w:pPr>
            <w:r>
              <w:t xml:space="preserve">−20,5 kg e −51,0 kg; meno fame</w:t>
            </w:r>
          </w:p>
        </w:tc>
      </w:tr>
      <w:tr>
        <w:tc>
          <w:tcPr/>
          <w:p>
            <w:pPr>
              <w:pStyle w:val="Compact"/>
              <w:jc w:val="left"/>
            </w:pPr>
            <w:r>
              <w:t xml:space="preserve">Clément 2020 (POMC/LEPR), PMID 33137293</w:t>
            </w:r>
          </w:p>
        </w:tc>
        <w:tc>
          <w:tcPr/>
          <w:p>
            <w:pPr>
              <w:pStyle w:val="Compact"/>
              <w:jc w:val="left"/>
            </w:pPr>
            <w:r>
              <w:t xml:space="preserve">10 persone con deficit di POMC e 11 con deficit di LEPR; a braccio singolo, con fase di sospensione</w:t>
            </w:r>
          </w:p>
        </w:tc>
        <w:tc>
          <w:tcPr/>
          <w:p>
            <w:pPr>
              <w:pStyle w:val="Compact"/>
              <w:jc w:val="left"/>
            </w:pPr>
            <w:r>
              <w:t xml:space="preserve">circa 1 anno</w:t>
            </w:r>
          </w:p>
        </w:tc>
        <w:tc>
          <w:tcPr/>
          <w:p>
            <w:pPr>
              <w:pStyle w:val="Compact"/>
              <w:jc w:val="left"/>
            </w:pPr>
            <w:r>
              <w:t xml:space="preserve">perdita di peso ≥10% nell’80% (POMC) e nel 45% (LEPR)</w:t>
            </w:r>
          </w:p>
        </w:tc>
      </w:tr>
      <w:tr>
        <w:tc>
          <w:tcPr/>
          <w:p>
            <w:pPr>
              <w:pStyle w:val="Compact"/>
              <w:jc w:val="left"/>
            </w:pPr>
            <w:r>
              <w:t xml:space="preserve">Haqq 2022 (BBS/Alström), PMID 36356613</w:t>
            </w:r>
          </w:p>
        </w:tc>
        <w:tc>
          <w:tcPr/>
          <w:p>
            <w:pPr>
              <w:pStyle w:val="Compact"/>
              <w:jc w:val="left"/>
            </w:pPr>
            <w:r>
              <w:t xml:space="preserve">38 persone con sindrome di Bardet-Biedl o di Alström; 14 settimane contro placebo, poi in aperto</w:t>
            </w:r>
          </w:p>
        </w:tc>
        <w:tc>
          <w:tcPr/>
          <w:p>
            <w:pPr>
              <w:pStyle w:val="Compact"/>
              <w:jc w:val="left"/>
            </w:pPr>
            <w:r>
              <w:t xml:space="preserve">66 settimane</w:t>
            </w:r>
          </w:p>
        </w:tc>
        <w:tc>
          <w:tcPr/>
          <w:p>
            <w:pPr>
              <w:pStyle w:val="Compact"/>
              <w:jc w:val="left"/>
            </w:pPr>
            <w:r>
              <w:t xml:space="preserve">perdita di peso ≥10% nel 32,3% dei pazienti BBS dai 12 anni in su</w:t>
            </w:r>
          </w:p>
        </w:tc>
      </w:tr>
      <w:tr>
        <w:tc>
          <w:tcPr/>
          <w:p>
            <w:pPr>
              <w:pStyle w:val="Compact"/>
              <w:jc w:val="left"/>
            </w:pPr>
            <w:r>
              <w:t xml:space="preserve">VENTURE (Argente 2025), PMID 39549719</w:t>
            </w:r>
          </w:p>
        </w:tc>
        <w:tc>
          <w:tcPr/>
          <w:p>
            <w:pPr>
              <w:pStyle w:val="Compact"/>
              <w:jc w:val="left"/>
            </w:pPr>
            <w:r>
              <w:t xml:space="preserve">12 bambini da 2 a 5 anni, in aperto</w:t>
            </w:r>
          </w:p>
        </w:tc>
        <w:tc>
          <w:tcPr/>
          <w:p>
            <w:pPr>
              <w:pStyle w:val="Compact"/>
              <w:jc w:val="left"/>
            </w:pPr>
            <w:r>
              <w:t xml:space="preserve">52 settimane</w:t>
            </w:r>
          </w:p>
        </w:tc>
        <w:tc>
          <w:tcPr/>
          <w:p>
            <w:pPr>
              <w:pStyle w:val="Compact"/>
              <w:jc w:val="left"/>
            </w:pPr>
            <w:r>
              <w:t xml:space="preserve">BMI −18% in media</w:t>
            </w:r>
          </w:p>
        </w:tc>
      </w:tr>
      <w:tr>
        <w:tc>
          <w:tcPr/>
          <w:p>
            <w:pPr>
              <w:pStyle w:val="Compact"/>
              <w:jc w:val="left"/>
            </w:pPr>
            <w:r>
              <w:t xml:space="preserve">Roth 2024 (obesità ipotalamica), PMID 38697184</w:t>
            </w:r>
          </w:p>
        </w:tc>
        <w:tc>
          <w:tcPr/>
          <w:p>
            <w:pPr>
              <w:pStyle w:val="Compact"/>
              <w:jc w:val="left"/>
            </w:pPr>
            <w:r>
              <w:t xml:space="preserve">18 persone, in aperto</w:t>
            </w:r>
          </w:p>
        </w:tc>
        <w:tc>
          <w:tcPr/>
          <w:p>
            <w:pPr>
              <w:pStyle w:val="Compact"/>
              <w:jc w:val="left"/>
            </w:pPr>
            <w:r>
              <w:t xml:space="preserve">16 settimane</w:t>
            </w:r>
          </w:p>
        </w:tc>
        <w:tc>
          <w:tcPr/>
          <w:p>
            <w:pPr>
              <w:pStyle w:val="Compact"/>
              <w:jc w:val="left"/>
            </w:pPr>
            <w:r>
              <w:t xml:space="preserve">BMI −15% in media</w:t>
            </w:r>
          </w:p>
        </w:tc>
      </w:tr>
      <w:tr>
        <w:tc>
          <w:tcPr/>
          <w:p>
            <w:pPr>
              <w:pStyle w:val="Compact"/>
              <w:jc w:val="left"/>
            </w:pPr>
            <w:r>
              <w:t xml:space="preserve">TRANSCEND (Miller 2026), PMID 42418774</w:t>
            </w:r>
          </w:p>
        </w:tc>
        <w:tc>
          <w:tcPr/>
          <w:p>
            <w:pPr>
              <w:pStyle w:val="Compact"/>
              <w:jc w:val="left"/>
            </w:pPr>
            <w:r>
              <w:t xml:space="preserve">120 persone con obesità ipotalamica acquisita, contro placebo</w:t>
            </w:r>
          </w:p>
        </w:tc>
        <w:tc>
          <w:tcPr/>
          <w:p>
            <w:pPr>
              <w:pStyle w:val="Compact"/>
              <w:jc w:val="left"/>
            </w:pPr>
            <w:r>
              <w:t xml:space="preserve">52 settimane</w:t>
            </w:r>
          </w:p>
        </w:tc>
        <w:tc>
          <w:tcPr/>
          <w:p>
            <w:pPr>
              <w:pStyle w:val="Compact"/>
              <w:jc w:val="left"/>
            </w:pPr>
            <w:r>
              <w:t xml:space="preserve">BMI −16,5% vs. +3,3%</w:t>
            </w:r>
          </w:p>
        </w:tc>
      </w:tr>
    </w:tbl>
    <w:bookmarkStart w:id="305" w:name="Xd56ad11aecd485e7d3ffe904eb4dab870a532e9"/>
    <w:p>
      <w:pPr>
        <w:pStyle w:val="Heading4"/>
      </w:pPr>
      <w:r>
        <w:t xml:space="preserve">Deficit di POMC, PCSK1 e del recettore della leptina</w:t>
      </w:r>
    </w:p>
    <w:p>
      <w:pPr>
        <w:pStyle w:val="FirstParagraph"/>
      </w:pPr>
      <w:r>
        <w:t xml:space="preserve">Le prime segnalazioni erano casi singoli: due pazienti con deficit di POMC, in uno studio promosso da medici, hanno perso 51,0 kg in 42 settimane e 20,5 kg in 12 settimane, e la loro fame si è ridotta in modo duraturo (Kühnen 2016, PMID 27468060). Risultati simili sono stati descritti per tre persone con deficit del recettore della leptina (Clément 2018, PMID 29736023).</w:t>
      </w:r>
    </w:p>
    <w:p>
      <w:pPr>
        <w:pStyle w:val="BodyText"/>
      </w:pPr>
      <w:r>
        <w:t xml:space="preserve">Gli studi registrativi (Clément 2020, PMID 33137293) erano a braccio singolo – non c’era quindi un gruppo placebo per tutta la durata – ma comprendevano una breve fase di sospensione in cieco. Dopo circa un anno 8 persone su 10 con deficit di POMC e 5 su 11 con deficit del recettore della leptina avevano perso almeno il 10% del loro peso. La fame, su una scala da 0 a 10, è diminuita rispettivamente del 27,1% e del 43,7%. Per malattie così rare, studi piccoli e non controllati sono spesso l’unica opzione praticabile. In una malattia in cui senza trattamento non ci si può aspettare praticamente alcuna perdita di peso, i risultati sono comunque significativi.</w:t>
      </w:r>
    </w:p>
    <w:bookmarkEnd w:id="305"/>
    <w:bookmarkStart w:id="306" w:name="sindrome-di-bardet-biedl"/>
    <w:p>
      <w:pPr>
        <w:pStyle w:val="Heading4"/>
      </w:pPr>
      <w:r>
        <w:t xml:space="preserve">Sindrome di Bardet-Biedl</w:t>
      </w:r>
    </w:p>
    <w:p>
      <w:pPr>
        <w:pStyle w:val="FirstParagraph"/>
      </w:pPr>
      <w:r>
        <w:t xml:space="preserve">La sindrome di Bardet-Biedl (BBS) è una rara malattia ereditaria in cui le sottili estroflessioni cellulari (ciglia) sono alterate; oltre a danni alla retina, problemi renali e dita delle mani o dei piedi soprannumerarie, ne fanno parte una fame intensa e l’obesità. Nello studio di fase 3 (Haqq 2022, PMID 36356613) dopo 52 settimane il 32,3% delle persone con BBS dai 12 anni in su ha raggiunto una perdita di peso di almeno il 10%. Nella sindrome affine di Alström i risultati non sono stati univoci. Un confronto con un gruppo di controllo appropriato tratto da un registro BBS ha mostrato che il 58,6% dei pazienti trattati rispetto al 6,9% dei non trattati ha raggiunto il rispettivo criterio di successo (Argente 2026, PMID 41703984): un inquadramento indiretto, ma utile.</w:t>
      </w:r>
    </w:p>
    <w:bookmarkEnd w:id="306"/>
    <w:bookmarkStart w:id="307" w:name="bambini-piccoli"/>
    <w:p>
      <w:pPr>
        <w:pStyle w:val="Heading4"/>
      </w:pPr>
      <w:r>
        <w:t xml:space="preserve">Bambini piccoli</w:t>
      </w:r>
    </w:p>
    <w:p>
      <w:pPr>
        <w:pStyle w:val="FirstParagraph"/>
      </w:pPr>
      <w:r>
        <w:t xml:space="preserve">Nello studio in aperto VENTURE su 12 bambini tra i 2 e i 5 anni il BMI è diminuito dopo un anno in media del 18%: del 26% nel deficit di POMC o del recettore della leptina e del 10% nella BBS. Il 91% delle persone che si prendevano cura dei bambini ha riferito che i bambini avevano meno fame (Argente 2025, PMID 39549719).</w:t>
      </w:r>
    </w:p>
    <w:bookmarkEnd w:id="307"/>
    <w:bookmarkStart w:id="308" w:name="obesità-ipotalamica"/>
    <w:p>
      <w:pPr>
        <w:pStyle w:val="Heading4"/>
      </w:pPr>
      <w:r>
        <w:t xml:space="preserve">Obesità ipotalamica</w:t>
      </w:r>
    </w:p>
    <w:p>
      <w:pPr>
        <w:pStyle w:val="FirstParagraph"/>
      </w:pPr>
      <w:r>
        <w:t xml:space="preserve">Un secondo gruppo bersaglio, più numeroso, sono le persone il cui ipotalamo è stato danneggiato da un tumore (spesso un craniofaringioma), da un intervento chirurgico o da radioterapia. Spesso sviluppano un’obesità difficile da trattare. Dopo uno studio di fase 2 in aperto su 18 persone, in cui il BMI è diminuito dopo 16 settimane in media del 15% (Roth 2024, PMID 38697184), è seguito lo studio randomizzato di fase 3 TRANSCEND (Miller 2026, PMID 42418774):</w:t>
      </w:r>
    </w:p>
    <w:p>
      <w:pPr>
        <w:numPr>
          <w:ilvl w:val="0"/>
          <w:numId w:val="1100"/>
        </w:numPr>
        <w:pStyle w:val="Compact"/>
      </w:pPr>
      <w:r>
        <w:t xml:space="preserve">120 persone tra i 4 e i 66 anni, rapporto 2:1 setmelanotide/placebo.</w:t>
      </w:r>
    </w:p>
    <w:p>
      <w:pPr>
        <w:numPr>
          <w:ilvl w:val="0"/>
          <w:numId w:val="1100"/>
        </w:numPr>
        <w:pStyle w:val="Compact"/>
      </w:pPr>
      <w:r>
        <w:t xml:space="preserve">Dopo 52 settimane: BMI −16,5% con setmelanotide, +3,3% con placebo.</w:t>
      </w:r>
    </w:p>
    <w:p>
      <w:pPr>
        <w:numPr>
          <w:ilvl w:val="0"/>
          <w:numId w:val="1100"/>
        </w:numPr>
        <w:pStyle w:val="Compact"/>
      </w:pPr>
      <w:r>
        <w:t xml:space="preserve">Punteggio della fame: −2,73 rispetto a −1,45 punti.</w:t>
      </w:r>
    </w:p>
    <w:p>
      <w:pPr>
        <w:numPr>
          <w:ilvl w:val="0"/>
          <w:numId w:val="1100"/>
        </w:numPr>
        <w:pStyle w:val="Compact"/>
      </w:pPr>
      <w:r>
        <w:t xml:space="preserve">Eventi avversi gravi: 28% rispetto all’8%.</w:t>
      </w:r>
    </w:p>
    <w:bookmarkEnd w:id="308"/>
    <w:bookmarkStart w:id="309" w:name="varianti-genetiche-più-frequenti"/>
    <w:p>
      <w:pPr>
        <w:pStyle w:val="Heading4"/>
      </w:pPr>
      <w:r>
        <w:t xml:space="preserve">Varianti genetiche più frequenti</w:t>
      </w:r>
    </w:p>
    <w:p>
      <w:pPr>
        <w:pStyle w:val="FirstParagraph"/>
      </w:pPr>
      <w:r>
        <w:t xml:space="preserve">Meno convincenti sono i dati nelle persone con una sola copia alterata del gene MC4R, una delle cause genetiche più frequenti di obesità grave. In un piccolo studio di 28 giorni queste persone hanno sì perso peso, ma molto meno delle persone con difetti di POMC (Collet 2017, PMID 29031731). Lo studio di fase 3 più ampio EMANATE su diverse varianti della via MC4R risulta concluso secondo il registro (NCT05093634); al momento della ricerca non era ancora disponibile una pubblicazione sottoposta a revisione paritaria.</w:t>
      </w:r>
    </w:p>
    <w:bookmarkEnd w:id="309"/>
    <w:bookmarkEnd w:id="310"/>
    <w:bookmarkStart w:id="311" w:name="studi-su-animali-e-in-laboratorio-12"/>
    <w:p>
      <w:pPr>
        <w:pStyle w:val="Heading3"/>
      </w:pPr>
      <w:r>
        <w:t xml:space="preserve">Studi su animali e in laboratorio</w:t>
      </w:r>
    </w:p>
    <w:p>
      <w:pPr>
        <w:pStyle w:val="FirstParagraph"/>
      </w:pPr>
      <w:r>
        <w:t xml:space="preserve">Negli esperimenti su cellule setmelanotide è nettamente più efficace dell’alfa-MSH endogeno sul recettore MC4 e può riattivare in parte una parte delle varianti recettoriali difettose. Nei roditori normali ha portato a una perdita di peso, mentre nei topi completamente privi del recettore MC4 no (Collet 2017, PMID 29031731). Ciò conferma che l’effetto passa effettivamente attraverso questo recettore.</w:t>
      </w:r>
    </w:p>
    <w:bookmarkEnd w:id="311"/>
    <w:bookmarkStart w:id="312" w:name="rischi-ed-effetti-collaterali-12"/>
    <w:p>
      <w:pPr>
        <w:pStyle w:val="Heading3"/>
      </w:pPr>
      <w:r>
        <w:t xml:space="preserve">Rischi ed effetti collaterali</w:t>
      </w:r>
    </w:p>
    <w:p>
      <w:pPr>
        <w:pStyle w:val="FirstParagraph"/>
      </w:pPr>
      <w:r>
        <w:rPr>
          <w:bCs/>
          <w:b/>
        </w:rPr>
        <w:t xml:space="preserve">Documentati dagli studi:</w:t>
      </w:r>
    </w:p>
    <w:p>
      <w:pPr>
        <w:numPr>
          <w:ilvl w:val="0"/>
          <w:numId w:val="1101"/>
        </w:numPr>
        <w:pStyle w:val="Compact"/>
      </w:pPr>
      <w:r>
        <w:rPr>
          <w:bCs/>
          <w:b/>
        </w:rPr>
        <w:t xml:space="preserve">Reazioni cutanee nel sito di iniezione</w:t>
      </w:r>
      <w:r>
        <w:t xml:space="preserve"> </w:t>
      </w:r>
      <w:r>
        <w:t xml:space="preserve">(arrossamento, gonfiore): in una meta-analisi di sette studi con 185 persone nel 96% (Sridharan 2026, PMID 39924461).</w:t>
      </w:r>
    </w:p>
    <w:p>
      <w:pPr>
        <w:numPr>
          <w:ilvl w:val="0"/>
          <w:numId w:val="1101"/>
        </w:numPr>
        <w:pStyle w:val="Compact"/>
      </w:pPr>
      <w:r>
        <w:rPr>
          <w:bCs/>
          <w:b/>
        </w:rPr>
        <w:t xml:space="preserve">Pelle più scura (iperpigmentazione):</w:t>
      </w:r>
      <w:r>
        <w:t xml:space="preserve"> </w:t>
      </w:r>
      <w:r>
        <w:t xml:space="preserve">nel 62% nella stessa meta-analisi. Attraverso l’effetto sul recettore della melanocortina 1 la pelle si abbronza, labbra e nei diventano più scuri, i capelli rossi possono diventare castani. In un’osservazione fino a 46 mesi l’abbronzatura si è stabilizzata nel tempo; non si sono verificate alterazioni cutanee maligne (Kanti 2021, PMID 34058738). Gli specialisti raccomandano controlli dermatologici regolari.</w:t>
      </w:r>
    </w:p>
    <w:p>
      <w:pPr>
        <w:numPr>
          <w:ilvl w:val="0"/>
          <w:numId w:val="1101"/>
        </w:numPr>
        <w:pStyle w:val="Compact"/>
      </w:pPr>
      <w:r>
        <w:rPr>
          <w:bCs/>
          <w:b/>
        </w:rPr>
        <w:t xml:space="preserve">Nausea e vomito:</w:t>
      </w:r>
      <w:r>
        <w:t xml:space="preserve"> </w:t>
      </w:r>
      <w:r>
        <w:t xml:space="preserve">rispettivamente nel 36% e nel 26%; diarrea nel 21% (Sridharan 2026, PMID 39924461).</w:t>
      </w:r>
    </w:p>
    <w:p>
      <w:pPr>
        <w:numPr>
          <w:ilvl w:val="0"/>
          <w:numId w:val="1101"/>
        </w:numPr>
        <w:pStyle w:val="Compact"/>
      </w:pPr>
      <w:r>
        <w:rPr>
          <w:bCs/>
          <w:b/>
        </w:rPr>
        <w:t xml:space="preserve">Eventi avversi gravi:</w:t>
      </w:r>
      <w:r>
        <w:t xml:space="preserve"> </w:t>
      </w:r>
      <w:r>
        <w:t xml:space="preserve">in TRANSCEND più frequenti con setmelanotide (28% vs. 8%) (Miller 2026, PMID 42418774); l’abstract non li dettaglia singolarmente.</w:t>
      </w:r>
    </w:p>
    <w:p>
      <w:pPr>
        <w:numPr>
          <w:ilvl w:val="0"/>
          <w:numId w:val="1101"/>
        </w:numPr>
        <w:pStyle w:val="Compact"/>
      </w:pPr>
      <w:r>
        <w:t xml:space="preserve">Nello studio sulla BBS sono stati riferiti come eventi gravi, tra l’altro, pensieri suicidi, che non sono stati classificati come correlati al trattamento (Haqq 2022, PMID 36356613). Il riassunto delle caratteristiche del prodotto contiene avvertenze su depressione e pensieri suicidi e sulle erezioni spontanee negli uomini.</w:t>
      </w:r>
    </w:p>
    <w:p>
      <w:pPr>
        <w:pStyle w:val="FirstParagraph"/>
      </w:pPr>
      <w:r>
        <w:rPr>
          <w:bCs/>
          <w:b/>
        </w:rPr>
        <w:t xml:space="preserve">Teorici:</w:t>
      </w:r>
      <w:r>
        <w:t xml:space="preserve"> </w:t>
      </w:r>
      <w:r>
        <w:t xml:space="preserve">se la stimolazione prolungata delle cellule pigmentate influenzi a lungo termine il rischio di tumori cutanei non è chiarito; le osservazioni finora disponibili su alcuni anni non mostrano segnali.</w:t>
      </w:r>
    </w:p>
    <w:p>
      <w:pPr>
        <w:pStyle w:val="BodyText"/>
      </w:pPr>
      <w:r>
        <w:rPr>
          <w:bCs/>
          <w:b/>
        </w:rPr>
        <w:t xml:space="preserve">Potenziale di abuso:</w:t>
      </w:r>
      <w:r>
        <w:t xml:space="preserve"> </w:t>
      </w:r>
      <w:r>
        <w:t xml:space="preserve">a causa dell’effetto abbronzante, setmelanotide viene talvolta associato a Melanotan II nei forum su internet. Per persone senza un difetto genetico accertato non è un farmaco dimagrante adatto e non è stato studiato a questo scopo.</w:t>
      </w:r>
    </w:p>
    <w:bookmarkEnd w:id="312"/>
    <w:bookmarkStart w:id="313" w:name="quadro-normativo-12"/>
    <w:p>
      <w:pPr>
        <w:pStyle w:val="Heading3"/>
      </w:pPr>
      <w:r>
        <w:t xml:space="preserve">Quadro normativo</w:t>
      </w:r>
    </w:p>
    <w:p>
      <w:pPr>
        <w:numPr>
          <w:ilvl w:val="0"/>
          <w:numId w:val="1102"/>
        </w:numPr>
        <w:pStyle w:val="Compact"/>
      </w:pPr>
      <w:r>
        <w:rPr>
          <w:bCs/>
          <w:b/>
        </w:rPr>
        <w:t xml:space="preserve">UE / Austria / Germania:</w:t>
      </w:r>
      <w:r>
        <w:t xml:space="preserve"> </w:t>
      </w:r>
      <w:r>
        <w:t xml:space="preserve">autorizzato (Imcivree), soggetto a prescrizione medica, solo per forme geneticamente confermate (deficit di POMC, PCSK1, del recettore della leptina, sindrome di Bardet-Biedl). La diagnosi richiede un esame genetico; avvio e monitoraggio spettano a centri specializzati. Dettagli sull’estensione all’obesità ipotalamica: aggiornato al 2026, da verificare.</w:t>
      </w:r>
    </w:p>
    <w:p>
      <w:pPr>
        <w:numPr>
          <w:ilvl w:val="0"/>
          <w:numId w:val="1102"/>
        </w:numPr>
        <w:pStyle w:val="Compact"/>
      </w:pPr>
      <w:r>
        <w:rPr>
          <w:bCs/>
          <w:b/>
        </w:rPr>
        <w:t xml:space="preserve">USA:</w:t>
      </w:r>
      <w:r>
        <w:t xml:space="preserve"> </w:t>
      </w:r>
      <w:r>
        <w:t xml:space="preserve">autorizzato dal 2020 (POMC, PCSK1, LEPR), successivamente esteso alla sindrome di Bardet-Biedl e ai bambini più piccoli; una domanda per l’obesità ipotalamica è stata presentata sulla base di TRANSCEND (aggiornato al 2026, da verificare).</w:t>
      </w:r>
    </w:p>
    <w:p>
      <w:pPr>
        <w:numPr>
          <w:ilvl w:val="0"/>
          <w:numId w:val="1102"/>
        </w:numPr>
        <w:pStyle w:val="Compact"/>
      </w:pPr>
      <w:r>
        <w:rPr>
          <w:bCs/>
          <w:b/>
        </w:rPr>
        <w:t xml:space="preserve">Sport:</w:t>
      </w:r>
      <w:r>
        <w:t xml:space="preserve"> </w:t>
      </w:r>
      <w:r>
        <w:t xml:space="preserve">non citato nella lista WADA (aggiornato al 2026, da verificare).</w:t>
      </w:r>
    </w:p>
    <w:bookmarkEnd w:id="313"/>
    <w:bookmarkStart w:id="314" w:name="studi-in-corso-e-prospettive-12"/>
    <w:p>
      <w:pPr>
        <w:pStyle w:val="Heading3"/>
      </w:pPr>
      <w:r>
        <w:t xml:space="preserve">Studi in corso e prospettive</w:t>
      </w:r>
    </w:p>
    <w:p>
      <w:pPr>
        <w:pStyle w:val="FirstParagraph"/>
      </w:pPr>
      <w:r>
        <w:rPr>
          <w:bCs/>
          <w:b/>
        </w:rPr>
        <w:t xml:space="preserve">Certo (studi registrati, aggiornato a ottobre 2026):</w:t>
      </w:r>
    </w:p>
    <w:p>
      <w:pPr>
        <w:numPr>
          <w:ilvl w:val="0"/>
          <w:numId w:val="1103"/>
        </w:numPr>
        <w:pStyle w:val="Compact"/>
      </w:pPr>
      <w:r>
        <w:rPr>
          <w:bCs/>
          <w:b/>
        </w:rPr>
        <w:t xml:space="preserve">TRANSCEND</w:t>
      </w:r>
      <w:r>
        <w:t xml:space="preserve"> </w:t>
      </w:r>
      <w:r>
        <w:t xml:space="preserve">(NCT05774756) prosegue in un’estensione; un sottostudio valuta l’obesità ipotalamica congenita (NCT06760546).</w:t>
      </w:r>
    </w:p>
    <w:p>
      <w:pPr>
        <w:numPr>
          <w:ilvl w:val="0"/>
          <w:numId w:val="1103"/>
        </w:numPr>
        <w:pStyle w:val="Compact"/>
      </w:pPr>
      <w:r>
        <w:rPr>
          <w:bCs/>
          <w:b/>
        </w:rPr>
        <w:t xml:space="preserve">Sindrome di Prader-Willi</w:t>
      </w:r>
      <w:r>
        <w:t xml:space="preserve"> </w:t>
      </w:r>
      <w:r>
        <w:t xml:space="preserve">(NCT06772597): fase 2 con 18 partecipanti.</w:t>
      </w:r>
    </w:p>
    <w:p>
      <w:pPr>
        <w:numPr>
          <w:ilvl w:val="0"/>
          <w:numId w:val="1103"/>
        </w:numPr>
        <w:pStyle w:val="Compact"/>
      </w:pPr>
      <w:r>
        <w:rPr>
          <w:bCs/>
          <w:b/>
        </w:rPr>
        <w:t xml:space="preserve">Osservazione a lungo termine</w:t>
      </w:r>
      <w:r>
        <w:t xml:space="preserve"> </w:t>
      </w:r>
      <w:r>
        <w:t xml:space="preserve">nella BBS e nell’obesità genetica grave nella pratica clinica (NCT07674290).</w:t>
      </w:r>
    </w:p>
    <w:p>
      <w:pPr>
        <w:numPr>
          <w:ilvl w:val="0"/>
          <w:numId w:val="1103"/>
        </w:numPr>
        <w:pStyle w:val="Compact"/>
      </w:pPr>
      <w:r>
        <w:rPr>
          <w:bCs/>
          <w:b/>
        </w:rPr>
        <w:t xml:space="preserve">EMANATE</w:t>
      </w:r>
      <w:r>
        <w:t xml:space="preserve"> </w:t>
      </w:r>
      <w:r>
        <w:t xml:space="preserve">(NCT05093634) e</w:t>
      </w:r>
      <w:r>
        <w:t xml:space="preserve"> </w:t>
      </w:r>
      <w:r>
        <w:rPr>
          <w:bCs/>
          <w:b/>
        </w:rPr>
        <w:t xml:space="preserve">DAYBREAK</w:t>
      </w:r>
      <w:r>
        <w:t xml:space="preserve"> </w:t>
      </w:r>
      <w:r>
        <w:t xml:space="preserve">(NCT04963231) su ulteriori varianti genetiche: conclusi, pubblicazione in attesa.</w:t>
      </w:r>
    </w:p>
    <w:p>
      <w:pPr>
        <w:pStyle w:val="FirstParagraph"/>
      </w:pPr>
      <w:r>
        <w:rPr>
          <w:bCs/>
          <w:b/>
        </w:rPr>
        <w:t xml:space="preserve">Valutazione:</w:t>
      </w:r>
      <w:r>
        <w:t xml:space="preserve"> </w:t>
      </w:r>
      <w:r>
        <w:t xml:space="preserve">setmelanotide ha dimostrato che la medicina di precisione nell’obesità è possibile: chi conosce la causa può trattare in modo mirato. Il gruppo bersaglio resta piccolo; con l’obesità ipotalamica potrebbe però ampliarsi in modo significativo. Per la grande maggioranza delle persone con obesità, in cui non è presente un simile difetto genetico, i farmaci basati sul GLP-1 sono più efficaci e meglio studiati.</w:t>
      </w:r>
    </w:p>
    <w:bookmarkEnd w:id="314"/>
    <w:bookmarkStart w:id="315" w:name="conclusione-12"/>
    <w:p>
      <w:pPr>
        <w:pStyle w:val="Heading3"/>
      </w:pPr>
      <w:r>
        <w:t xml:space="preserve">Conclusione</w:t>
      </w:r>
    </w:p>
    <w:p>
      <w:pPr>
        <w:pStyle w:val="FirstParagraph"/>
      </w:pPr>
      <w:r>
        <w:t xml:space="preserve">Setmelanotide è un piccolo peptide ciclico che attiva il recettore MC4 nel cervello e così scavalca gli anelli difettosi della via leptina-melanocortina. Nei piccoli studi registrativi l’80% delle persone con deficit di POMC e il 45% con deficit del recettore della leptina hanno perso almeno il 10% del loro peso; nell’obesità ipotalamica il BMI è diminuito dopo un anno del 16,5% rispetto a un aumento con il placebo. Quasi tutti i trattati sviluppano reazioni cutanee nel sito di iniezione, la maggioranza una pelle più scura. Setmelanotide è autorizzato nell’UE e negli USA per rare forme genetiche di obesità e non è un farmaco per la perdita di peso in generale.</w:t>
      </w:r>
    </w:p>
    <w:bookmarkEnd w:id="315"/>
    <w:bookmarkEnd w:id="316"/>
    <w:bookmarkStart w:id="325" w:name="aod-9604"/>
    <w:p>
      <w:pPr>
        <w:pStyle w:val="Heading2"/>
      </w:pPr>
      <w:r>
        <w:t xml:space="preserve">AOD-9604</w:t>
      </w:r>
    </w:p>
    <w:bookmarkStart w:id="317" w:name="scheda-13"/>
    <w:p>
      <w:pPr>
        <w:pStyle w:val="Heading3"/>
      </w:pPr>
      <w:r>
        <w:t xml:space="preserve">Scheda</w:t>
      </w:r>
    </w:p>
    <w:p>
      <w:pPr>
        <w:numPr>
          <w:ilvl w:val="0"/>
          <w:numId w:val="1104"/>
        </w:numPr>
        <w:pStyle w:val="Compact"/>
      </w:pPr>
      <w:r>
        <w:rPr>
          <w:bCs/>
          <w:b/>
        </w:rPr>
        <w:t xml:space="preserve">Tipo/struttura:</w:t>
      </w:r>
      <w:r>
        <w:t xml:space="preserve"> </w:t>
      </w:r>
      <w:r>
        <w:t xml:space="preserve">peptide sintetico ricavato dall’estremità posteriore (C-terminale) dell’ormone della crescita umano: gli aminoacidi da 177 a 191, con l’aggiunta di una tirosina all’inizio (Cox 2015, PMID 25208511). Su internet è spesso offerto con denominazioni come «hGH Fragment 176-191» o «Frag 176-191». Il nome sta per «Anti-Obesity Drug 9604».</w:t>
      </w:r>
    </w:p>
    <w:p>
      <w:pPr>
        <w:numPr>
          <w:ilvl w:val="0"/>
          <w:numId w:val="1104"/>
        </w:numPr>
        <w:pStyle w:val="Compact"/>
      </w:pPr>
      <w:r>
        <w:rPr>
          <w:bCs/>
          <w:b/>
        </w:rPr>
        <w:t xml:space="preserve">Origine:</w:t>
      </w:r>
      <w:r>
        <w:t xml:space="preserve"> </w:t>
      </w:r>
      <w:r>
        <w:t xml:space="preserve">sviluppato negli anni Novanta presso la Monash University di Melbourne e portato avanti come farmaco dimagrante dall’azienda australiana Metabolic Pharmaceuticals.</w:t>
      </w:r>
    </w:p>
    <w:p>
      <w:pPr>
        <w:numPr>
          <w:ilvl w:val="0"/>
          <w:numId w:val="1104"/>
        </w:numPr>
        <w:pStyle w:val="Compact"/>
      </w:pPr>
      <w:r>
        <w:rPr>
          <w:bCs/>
          <w:b/>
        </w:rPr>
        <w:t xml:space="preserve">Principio d’azione (ipotesi):</w:t>
      </w:r>
      <w:r>
        <w:t xml:space="preserve"> </w:t>
      </w:r>
      <w:r>
        <w:t xml:space="preserve">dovrebbe imitare l’effetto lipolitico dell’ormone della crescita, senza i suoi effetti su glicemia e crescita.</w:t>
      </w:r>
    </w:p>
    <w:p>
      <w:pPr>
        <w:numPr>
          <w:ilvl w:val="0"/>
          <w:numId w:val="1104"/>
        </w:numPr>
        <w:pStyle w:val="Compact"/>
      </w:pPr>
      <w:r>
        <w:rPr>
          <w:bCs/>
          <w:b/>
        </w:rPr>
        <w:t xml:space="preserve">Autorizzazione UE / USA:</w:t>
      </w:r>
      <w:r>
        <w:t xml:space="preserve"> </w:t>
      </w:r>
      <w:r>
        <w:t xml:space="preserve">no. Lo sviluppo come medicinale è stato interrotto dopo studi di fase 2.</w:t>
      </w:r>
    </w:p>
    <w:p>
      <w:pPr>
        <w:numPr>
          <w:ilvl w:val="0"/>
          <w:numId w:val="1104"/>
        </w:numPr>
        <w:pStyle w:val="Compact"/>
      </w:pPr>
      <w:r>
        <w:rPr>
          <w:bCs/>
          <w:b/>
        </w:rPr>
        <w:t xml:space="preserve">WADA:</w:t>
      </w:r>
      <w:r>
        <w:t xml:space="preserve"> </w:t>
      </w:r>
      <w:r>
        <w:t xml:space="preserve">vietato – i frammenti dell’ormone della crescita come AOD-9604 sono citati espressamente nella lista delle sostanze proibite, classe S2 (aggiornato al 2026, da verificare).</w:t>
      </w:r>
    </w:p>
    <w:p>
      <w:pPr>
        <w:numPr>
          <w:ilvl w:val="0"/>
          <w:numId w:val="1104"/>
        </w:numPr>
        <w:pStyle w:val="Compact"/>
      </w:pPr>
      <w:r>
        <w:rPr>
          <w:bCs/>
          <w:b/>
        </w:rPr>
        <w:t xml:space="preserve">Livello di evidenza:</w:t>
      </w:r>
      <w:r>
        <w:t xml:space="preserve"> </w:t>
      </w:r>
      <w:r>
        <w:rPr>
          <w:bCs/>
          <w:b/>
        </w:rPr>
        <w:t xml:space="preserve">D</w:t>
      </w:r>
      <w:r>
        <w:t xml:space="preserve"> </w:t>
      </w:r>
      <w:r>
        <w:t xml:space="preserve">– nessun risultato pubblicato di studi sull’uomo reperibile su PubMed; dati da studi su animali e in laboratorio.</w:t>
      </w:r>
    </w:p>
    <w:bookmarkEnd w:id="317"/>
    <w:bookmarkStart w:id="318" w:name="come-dovrebbe-agire-13"/>
    <w:p>
      <w:pPr>
        <w:pStyle w:val="Heading3"/>
      </w:pPr>
      <w:r>
        <w:t xml:space="preserve">Come dovrebbe agire</w:t>
      </w:r>
    </w:p>
    <w:p>
      <w:pPr>
        <w:pStyle w:val="FirstParagraph"/>
      </w:pPr>
      <w:r>
        <w:t xml:space="preserve">L’ormone della crescita (hGH) ha molti effetti: favorisce la crescita in altezza, agisce su muscoli e ossa, stimola la combustione dei grassi e aumenta la glicemia, attenuando l’effetto dell’insulina. Già negli anni Settanta e Ottanta i ricercatori studiarono sugli animali se singole sezioni dell’ormone fossero responsabili di effetti parziali diversi. Degno di nota: in uno studio sui ratti, versioni chimicamente modificate proprio di questa sezione (aminoacidi da 177 a 191) hanno provocato un aumento della glicemia e un’insulino-resistenza (Wade 1982, PMID 6751009), cioè proprio l’effetto che AOD-9604 avrebbe poi dovuto evitare. I risultati dipendono evidentemente in modo marcato dalla forma chimica esatta del peptide.</w:t>
      </w:r>
    </w:p>
    <w:p>
      <w:pPr>
        <w:pStyle w:val="BodyText"/>
      </w:pPr>
      <w:r>
        <w:t xml:space="preserve">L’idea alla base di AOD-9604: un breve tratto dell’estremità dell’ormone dovrebbe conservare solo l’effetto lipolitico. Le analisi di laboratorio hanno mostrato che AOD-9604 non si lega al recettore dell’ormone della crescita e lì non stimola nemmeno la divisione cellulare (Heffernan 2001, PMID 11673763). Non sarebbe quindi un «piccolo ormone della crescita», ma una molecola con un proprio meccanismo d’azione non ancora del tutto compreso. Negli esperimenti su topi privi del recettore adrenergico beta-3 (un recettore importante per la degradazione dei grassi) l’effetto di riduzione del peso a lungo termine è venuto meno; gli autori ne hanno concluso che il recettore è coinvolto, ma non è il bersaglio diretto (Heffernan 2001, PMID 11713213).</w:t>
      </w:r>
    </w:p>
    <w:bookmarkEnd w:id="318"/>
    <w:bookmarkStart w:id="319" w:name="studi-sulluomo-13"/>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w:t>
      </w:r>
      <w:r>
        <w:t xml:space="preserve"> </w:t>
      </w:r>
      <w:r>
        <w:rPr>
          <w:bCs/>
          <w:b/>
        </w:rPr>
        <w:t xml:space="preserve">non</w:t>
      </w:r>
      <w:r>
        <w:t xml:space="preserve"> </w:t>
      </w:r>
      <w:r>
        <w:t xml:space="preserve">ha individuato alcuno studio sull’uomo pubblicato. Su ClinicalTrials.gov non è registrato alcuno studio con «AOD9604» o «AOD-9604».</w:t>
      </w:r>
    </w:p>
    <w:p>
      <w:pPr>
        <w:pStyle w:val="BodyText"/>
      </w:pPr>
      <w:r>
        <w:t xml:space="preserve">Ciò non significa che AOD-9604 non sia mai stato testato sull’uomo. Lavori di revisione degli anni 2004–2006 riferiscono che AOD-9604 si trovava in studi di fase 2 per il trattamento dell’obesità (Wilding 2004, PMID 15134286; Halford 2006, PMID 16625817). I risultati di questi studi non sono però stati pubblicati in una rivista con revisione paritaria indicizzata su PubMed. Secondo informazioni pubblicamente accessibili, lo sviluppatore interruppe il programma per la perdita di peso nella seconda metà degli anni Duemila perché non emergeva un effetto sufficiente. Poiché queste informazioni non provengono da una pubblicazione verificabile, questo libro non riporta cifre in merito.</w:t>
      </w:r>
    </w:p>
    <w:p>
      <w:pPr>
        <w:pStyle w:val="BodyText"/>
      </w:pPr>
      <w:r>
        <w:t xml:space="preserve">Per i lettori ciò significa: chi oggi si vede offrire AOD-9604 come peptide dimagrante o «brucia grassi» non può fare riferimento ad alcuno studio sull’uomo pubblicato che ne dimostri un effetto.</w:t>
      </w:r>
    </w:p>
    <w:bookmarkEnd w:id="319"/>
    <w:bookmarkStart w:id="320" w:name="studi-su-animali-e-in-laboratorio-13"/>
    <w:p>
      <w:pPr>
        <w:pStyle w:val="Heading3"/>
      </w:pPr>
      <w:r>
        <w:t xml:space="preserve">Studi su animali e in laboratorio</w:t>
      </w:r>
    </w:p>
    <w:p>
      <w:pPr>
        <w:pStyle w:val="FirstParagraph"/>
      </w:pPr>
      <w:r>
        <w:t xml:space="preserve">Tutti i risultati che seguono provengono da esperimenti sugli animali o da analisi di laboratorio:</w:t>
      </w:r>
    </w:p>
    <w:p>
      <w:pPr>
        <w:numPr>
          <w:ilvl w:val="0"/>
          <w:numId w:val="1105"/>
        </w:numPr>
        <w:pStyle w:val="Compact"/>
      </w:pPr>
      <w:r>
        <w:rPr>
          <w:bCs/>
          <w:b/>
        </w:rPr>
        <w:t xml:space="preserve">Nei ratti obesi</w:t>
      </w:r>
      <w:r>
        <w:t xml:space="preserve"> </w:t>
      </w:r>
      <w:r>
        <w:t xml:space="preserve">(ratti Zucker) AOD-9604, somministrato con il mangime per 19 giorni, ha ridotto l’aumento di peso di oltre la metà; il tessuto adiposo mostrava una maggiore attività lipolitica. A differenza dell’ormone della crescita completo, la sensibilità all’insulina non è peggiorata (Ng 2000, PMID 11146367).</w:t>
      </w:r>
    </w:p>
    <w:p>
      <w:pPr>
        <w:numPr>
          <w:ilvl w:val="0"/>
          <w:numId w:val="1105"/>
        </w:numPr>
        <w:pStyle w:val="Compact"/>
      </w:pPr>
      <w:r>
        <w:rPr>
          <w:bCs/>
          <w:b/>
        </w:rPr>
        <w:t xml:space="preserve">Nei topi obesi</w:t>
      </w:r>
      <w:r>
        <w:t xml:space="preserve"> </w:t>
      </w:r>
      <w:r>
        <w:t xml:space="preserve">sia l’ormone della crescita sia AOD-9604 hanno ridotto in 14 giorni l’aumento di peso e incrementato la combustione dei grassi. A differenza dell’ormone della crescita, AOD-9604 non ha provocato un aumento della glicemia (Heffernan 2001, PMID 11673763).</w:t>
      </w:r>
    </w:p>
    <w:p>
      <w:pPr>
        <w:numPr>
          <w:ilvl w:val="0"/>
          <w:numId w:val="1105"/>
        </w:numPr>
        <w:pStyle w:val="Compact"/>
      </w:pPr>
      <w:r>
        <w:rPr>
          <w:bCs/>
          <w:b/>
        </w:rPr>
        <w:t xml:space="preserve">Lavori preliminari più datati</w:t>
      </w:r>
      <w:r>
        <w:t xml:space="preserve"> </w:t>
      </w:r>
      <w:r>
        <w:t xml:space="preserve">su topi con il peptide affine hGH 177–191 hanno mostrato un minore aumento del peso corporeo e del tessuto adiposo (Natera 1994, PMID 7987248).</w:t>
      </w:r>
    </w:p>
    <w:p>
      <w:pPr>
        <w:numPr>
          <w:ilvl w:val="0"/>
          <w:numId w:val="1105"/>
        </w:numPr>
        <w:pStyle w:val="Compact"/>
      </w:pPr>
      <w:r>
        <w:rPr>
          <w:bCs/>
          <w:b/>
        </w:rPr>
        <w:t xml:space="preserve">Nei conigli</w:t>
      </w:r>
      <w:r>
        <w:t xml:space="preserve"> </w:t>
      </w:r>
      <w:r>
        <w:t xml:space="preserve">con artrosi del ginocchio indotta artificialmente, le iniezioni di AOD-9604 nell’articolazione – da solo o insieme ad acido ialuronico – hanno migliorato lo stato della cartilagine (Kwon 2015, PMID 26275694). Questo risultato viene spesso citato su internet come prova di un effetto «rigenerante delle articolazioni» nell’uomo; uno studio del genere sull’uomo non esiste.</w:t>
      </w:r>
    </w:p>
    <w:p>
      <w:pPr>
        <w:pStyle w:val="FirstParagraph"/>
      </w:pPr>
      <w:r>
        <w:t xml:space="preserve">Gli studi sugli animali sono piccoli, in parte datati e per lo più provenienti dall’ambiente degli sviluppatori.</w:t>
      </w:r>
    </w:p>
    <w:bookmarkEnd w:id="320"/>
    <w:bookmarkStart w:id="321" w:name="rischi-ed-effetti-collaterali-13"/>
    <w:p>
      <w:pPr>
        <w:pStyle w:val="Heading3"/>
      </w:pPr>
      <w:r>
        <w:t xml:space="preserve">Rischi ed effetti collaterali</w:t>
      </w:r>
    </w:p>
    <w:p>
      <w:pPr>
        <w:pStyle w:val="FirstParagraph"/>
      </w:pPr>
      <w:r>
        <w:rPr>
          <w:bCs/>
          <w:b/>
        </w:rPr>
        <w:t xml:space="preserve">Documentati:</w:t>
      </w:r>
      <w:r>
        <w:t xml:space="preserve"> </w:t>
      </w:r>
      <w:r>
        <w:t xml:space="preserve">in mancanza di studi pubblicati sull’uomo non esistono dati affidabili sugli effetti collaterali nell’uomo.</w:t>
      </w:r>
    </w:p>
    <w:p>
      <w:pPr>
        <w:pStyle w:val="BodyText"/>
      </w:pPr>
      <w:r>
        <w:rPr>
          <w:bCs/>
          <w:b/>
        </w:rPr>
        <w:t xml:space="preserve">Da analisi di prodotti del mercato grigio e dai controlli antidoping:</w:t>
      </w:r>
    </w:p>
    <w:p>
      <w:pPr>
        <w:numPr>
          <w:ilvl w:val="0"/>
          <w:numId w:val="1106"/>
        </w:numPr>
        <w:pStyle w:val="Compact"/>
      </w:pPr>
      <w:r>
        <w:t xml:space="preserve">AOD-9604 viene offerto da anni su siti internet ed è stato trovato in flaconi sequestrati, tra l’altro negli USA (Cox 2015, PMID 25208511) e in Belgio, dove le autorità hanno analizzato preparati peptidici sconosciuti (Vanhee 2014, PMID 24976118).</w:t>
      </w:r>
    </w:p>
    <w:p>
      <w:pPr>
        <w:numPr>
          <w:ilvl w:val="0"/>
          <w:numId w:val="1106"/>
        </w:numPr>
        <w:pStyle w:val="Compact"/>
      </w:pPr>
      <w:r>
        <w:t xml:space="preserve">Lavori di revisione sui peptidi nello sport e nel mercato grigio sottolineano che per AOD-9604 e principi attivi simili non esistono quasi dati di sicurezza affidabili sull’uomo e che composizione, dose e purezza dei prodotti sono incerte (Mendias 2026, PMID 41966639; Dominikowski 2026, PMID 42395176). Un’altra revisione segnala prodotti con etichettatura errata o contaminati nel commercio non regolamentato (Coutinho 2026, PMID 41880199).</w:t>
      </w:r>
    </w:p>
    <w:p>
      <w:pPr>
        <w:pStyle w:val="FirstParagraph"/>
      </w:pPr>
      <w:r>
        <w:rPr>
          <w:bCs/>
          <w:b/>
        </w:rPr>
        <w:t xml:space="preserve">Teorici:</w:t>
      </w:r>
      <w:r>
        <w:t xml:space="preserve"> </w:t>
      </w:r>
      <w:r>
        <w:t xml:space="preserve">per ogni prodotto iniettabile di produzione non controllata esistono rischi dovuti a contaminazioni, batteri o ingredienti errati (si vedano la Parte I e la Parte IV). Se AOD-9604, come l’ormone della crescita, influenzi a lungo termine il metabolismo o la crescita cellulare non è stato studiato nell’uomo. I dati di laboratorio depongono contro un effetto diretto sul recettore dell’ormone della crescita (Heffernan 2001, PMID 11673763).</w:t>
      </w:r>
    </w:p>
    <w:bookmarkEnd w:id="321"/>
    <w:bookmarkStart w:id="322" w:name="quadro-normativo-13"/>
    <w:p>
      <w:pPr>
        <w:pStyle w:val="Heading3"/>
      </w:pPr>
      <w:r>
        <w:t xml:space="preserve">Quadro normativo</w:t>
      </w:r>
    </w:p>
    <w:p>
      <w:pPr>
        <w:numPr>
          <w:ilvl w:val="0"/>
          <w:numId w:val="1107"/>
        </w:numPr>
        <w:pStyle w:val="Compact"/>
      </w:pPr>
      <w:r>
        <w:rPr>
          <w:bCs/>
          <w:b/>
        </w:rPr>
        <w:t xml:space="preserve">UE / Austria / Germania:</w:t>
      </w:r>
      <w:r>
        <w:t xml:space="preserve"> </w:t>
      </w:r>
      <w:r>
        <w:t xml:space="preserve">non autorizzato come medicinale. I prodotti offerti per l’uso sull’uomo non sono commerciabili secondo la normativa sui medicinali; le diciture «for research use only» non cambiano nulla.</w:t>
      </w:r>
    </w:p>
    <w:p>
      <w:pPr>
        <w:numPr>
          <w:ilvl w:val="0"/>
          <w:numId w:val="1107"/>
        </w:numPr>
        <w:pStyle w:val="Compact"/>
      </w:pPr>
      <w:r>
        <w:rPr>
          <w:bCs/>
          <w:b/>
        </w:rPr>
        <w:t xml:space="preserve">USA:</w:t>
      </w:r>
      <w:r>
        <w:t xml:space="preserve"> </w:t>
      </w:r>
      <w:r>
        <w:t xml:space="preserve">non autorizzato come medicinale. La FDA ha inserito AOD-9604 nell’elenco delle sostanze che, per motivi di sicurezza, non possono essere liberamente trasformate in medicinali dalle farmacie (aggiornato al 2026, da verificare).</w:t>
      </w:r>
    </w:p>
    <w:p>
      <w:pPr>
        <w:numPr>
          <w:ilvl w:val="0"/>
          <w:numId w:val="1107"/>
        </w:numPr>
        <w:pStyle w:val="Compact"/>
      </w:pPr>
      <w:r>
        <w:rPr>
          <w:bCs/>
          <w:b/>
        </w:rPr>
        <w:t xml:space="preserve">Sport:</w:t>
      </w:r>
      <w:r>
        <w:t xml:space="preserve"> </w:t>
      </w:r>
      <w:r>
        <w:t xml:space="preserve">espressamente vietato (lista WADA delle sostanze proibite, classe S2 – ormoni peptidici, fattori di crescita e sostanze correlate; frammenti dell’ormone della crescita). AOD-9604 è diventato noto a un pubblico più ampio con lo scandalo doping del club australiano di football Essendon nel 2013. Per i controlli antidoping sono stati sviluppati metodi di rilevamento specifici nelle urine (Cox 2015, PMID 25208511). Il test abituale per l’ormone della crescita non è influenzato da AOD-9604 (Orlovius 2013, PMID 24124033): il frammento deve quindi essere cercato in modo mirato. Aggiornato al 2026, da verificare.</w:t>
      </w:r>
    </w:p>
    <w:bookmarkEnd w:id="322"/>
    <w:bookmarkStart w:id="323" w:name="studi-in-corso-e-prospettive-13"/>
    <w:p>
      <w:pPr>
        <w:pStyle w:val="Heading3"/>
      </w:pPr>
      <w:r>
        <w:t xml:space="preserve">Studi in corso e prospettive</w:t>
      </w:r>
    </w:p>
    <w:p>
      <w:pPr>
        <w:pStyle w:val="FirstParagraph"/>
      </w:pPr>
      <w:r>
        <w:rPr>
          <w:bCs/>
          <w:b/>
        </w:rPr>
        <w:t xml:space="preserve">Certo:</w:t>
      </w:r>
      <w:r>
        <w:t xml:space="preserve"> </w:t>
      </w:r>
      <w:r>
        <w:t xml:space="preserve">su ClinicalTrials.gov non è registrato alcuno studio in corso su AOD-9604 (ricerca di ottobre 2026).</w:t>
      </w:r>
    </w:p>
    <w:p>
      <w:pPr>
        <w:pStyle w:val="BodyText"/>
      </w:pPr>
      <w:r>
        <w:rPr>
          <w:bCs/>
          <w:b/>
        </w:rPr>
        <w:t xml:space="preserve">Valutazione:</w:t>
      </w:r>
      <w:r>
        <w:t xml:space="preserve"> </w:t>
      </w:r>
      <w:r>
        <w:t xml:space="preserve">non si vede alcuna strada attraverso cui AOD-9604 possa diventare in tempi prevedibili un medicinale autorizzato. Con i principi attivi basati sul GLP-1 esistono oggi farmaci dimagranti con un’efficacia elevata e ben documentata; un peptide il cui stesso sviluppo come dimagrante non ha avuto successo difficilmente susciterà nuovo interesse da parte degli investitori. AOD-9604 resterà quindi presumibilmente un prodotto del mercato grigio.</w:t>
      </w:r>
    </w:p>
    <w:bookmarkEnd w:id="323"/>
    <w:bookmarkStart w:id="324" w:name="conclusione-13"/>
    <w:p>
      <w:pPr>
        <w:pStyle w:val="Heading3"/>
      </w:pPr>
      <w:r>
        <w:t xml:space="preserve">Conclusione</w:t>
      </w:r>
    </w:p>
    <w:p>
      <w:pPr>
        <w:pStyle w:val="FirstParagraph"/>
      </w:pPr>
      <w:r>
        <w:t xml:space="preserve">AOD-9604 è un breve frammento dell’ormone della crescita che nei ratti e nei topi ha stimolato la degradazione dei grassi senza aumentare la glicemia. Studi sull’uomo sono stati sì condotti negli anni Duemila, ma i loro risultati non sono stati pubblicati in riviste con revisione paritaria, e lo sviluppo come farmaco dimagrante è stato interrotto. Mancano quindi del tutto dati affidabili su efficacia e sicurezza nell’uomo. AOD-9604 non è autorizzato come medicinale in alcun Paese ed è espressamente vietato nello sport.</w:t>
      </w:r>
    </w:p>
    <w:bookmarkEnd w:id="324"/>
    <w:bookmarkEnd w:id="325"/>
    <w:bookmarkStart w:id="337" w:name="orforglipron-per-confronto"/>
    <w:p>
      <w:pPr>
        <w:pStyle w:val="Heading2"/>
      </w:pPr>
      <w:r>
        <w:t xml:space="preserve">Orforglipron (per confronto)</w:t>
      </w:r>
    </w:p>
    <w:bookmarkStart w:id="326" w:name="scheda-14"/>
    <w:p>
      <w:pPr>
        <w:pStyle w:val="Heading3"/>
      </w:pPr>
      <w:r>
        <w:t xml:space="preserve">Scheda</w:t>
      </w:r>
    </w:p>
    <w:p>
      <w:pPr>
        <w:numPr>
          <w:ilvl w:val="0"/>
          <w:numId w:val="1108"/>
        </w:numPr>
        <w:pStyle w:val="Compact"/>
      </w:pPr>
      <w:r>
        <w:rPr>
          <w:bCs/>
          <w:b/>
        </w:rPr>
        <w:t xml:space="preserve">Tipo/struttura:</w:t>
      </w:r>
      <w:r>
        <w:t xml:space="preserve"> </w:t>
      </w:r>
      <w:r>
        <w:rPr>
          <w:bCs/>
          <w:b/>
        </w:rPr>
        <w:t xml:space="preserve">non è un peptide</w:t>
      </w:r>
      <w:r>
        <w:t xml:space="preserve">, ma una piccola molecola prodotta per via chimica («small molecule») che sul recettore del GLP-1 agisce come un peptide. Codice di sviluppo LY3502970. Assunzione una volta al giorno come compressa o capsula.</w:t>
      </w:r>
    </w:p>
    <w:p>
      <w:pPr>
        <w:numPr>
          <w:ilvl w:val="0"/>
          <w:numId w:val="1108"/>
        </w:numPr>
        <w:pStyle w:val="Compact"/>
      </w:pPr>
      <w:r>
        <w:rPr>
          <w:bCs/>
          <w:b/>
        </w:rPr>
        <w:t xml:space="preserve">Origine:</w:t>
      </w:r>
      <w:r>
        <w:t xml:space="preserve"> </w:t>
      </w:r>
      <w:r>
        <w:t xml:space="preserve">scoperto originariamente da Chugai Pharmaceutical, concesso in licenza a Eli Lilly e sviluppato da quest’ultima.</w:t>
      </w:r>
    </w:p>
    <w:p>
      <w:pPr>
        <w:numPr>
          <w:ilvl w:val="0"/>
          <w:numId w:val="1108"/>
        </w:numPr>
        <w:pStyle w:val="Compact"/>
      </w:pPr>
      <w:r>
        <w:rPr>
          <w:bCs/>
          <w:b/>
        </w:rPr>
        <w:t xml:space="preserve">Principio d’azione:</w:t>
      </w:r>
      <w:r>
        <w:t xml:space="preserve"> </w:t>
      </w:r>
      <w:r>
        <w:t xml:space="preserve">agonista del recettore del GLP-1 – lo stesso bersaglio di semaglutide o liraglutide, ma con una struttura chimica completamente diversa.</w:t>
      </w:r>
    </w:p>
    <w:p>
      <w:pPr>
        <w:numPr>
          <w:ilvl w:val="0"/>
          <w:numId w:val="1108"/>
        </w:numPr>
        <w:pStyle w:val="Compact"/>
      </w:pPr>
      <w:r>
        <w:rPr>
          <w:bCs/>
          <w:b/>
        </w:rPr>
        <w:t xml:space="preserve">Autorizzazione UE / USA:</w:t>
      </w:r>
      <w:r>
        <w:t xml:space="preserve"> </w:t>
      </w:r>
      <w:r>
        <w:t xml:space="preserve">secondo lo stato della ricerca per questo libro (ottobre 2026) non risulta autorizzato; sulla base degli studi di fase 3 sono state presentate o annunciate domande di autorizzazione – da verificare.</w:t>
      </w:r>
    </w:p>
    <w:p>
      <w:pPr>
        <w:numPr>
          <w:ilvl w:val="0"/>
          <w:numId w:val="1108"/>
        </w:numPr>
        <w:pStyle w:val="Compact"/>
      </w:pPr>
      <w:r>
        <w:rPr>
          <w:bCs/>
          <w:b/>
        </w:rPr>
        <w:t xml:space="preserve">WADA:</w:t>
      </w:r>
      <w:r>
        <w:t xml:space="preserve"> </w:t>
      </w:r>
      <w:r>
        <w:t xml:space="preserve">non elencato nominalmente; finché non è autorizzato in alcun Paese, vietato in base alla classe S0 (aggiornato al 2026, da verificare).</w:t>
      </w:r>
    </w:p>
    <w:p>
      <w:pPr>
        <w:numPr>
          <w:ilvl w:val="0"/>
          <w:numId w:val="1108"/>
        </w:numPr>
        <w:pStyle w:val="Compact"/>
      </w:pPr>
      <w:r>
        <w:rPr>
          <w:bCs/>
          <w:b/>
        </w:rPr>
        <w:t xml:space="preserve">Livello di evidenza:</w:t>
      </w:r>
      <w:r>
        <w:t xml:space="preserve"> </w:t>
      </w:r>
      <w:r>
        <w:rPr>
          <w:bCs/>
          <w:b/>
        </w:rPr>
        <w:t xml:space="preserve">A</w:t>
      </w:r>
      <w:r>
        <w:t xml:space="preserve"> </w:t>
      </w:r>
      <w:r>
        <w:t xml:space="preserve">in base ai dati (diversi grandi studi di fase 3, compreso uno studio di sicurezza cardiovascolare); l’autorizzazione formale è ancora in attesa o da verificare.</w:t>
      </w:r>
    </w:p>
    <w:bookmarkEnd w:id="326"/>
    <w:bookmarkStart w:id="327" w:name="X1f27ae3410ffbc7c1fc77f437b760e5c479a459"/>
    <w:p>
      <w:pPr>
        <w:pStyle w:val="Heading3"/>
      </w:pPr>
      <w:r>
        <w:t xml:space="preserve">Perché questo capitolo è in un libro sui peptidi</w:t>
      </w:r>
    </w:p>
    <w:p>
      <w:pPr>
        <w:pStyle w:val="FirstParagraph"/>
      </w:pPr>
      <w:r>
        <w:t xml:space="preserve">Tutti i farmaci GLP-1 fino al 2025 erano peptidi. I peptidi vengono in gran parte digeriti nel tratto gastrointestinale e assorbiti pochissimo: per questo devono essere iniettati. L’unica eccezione, semaglutide in compresse, ha bisogno di un eccipiente che faciliti l’assorbimento attraverso la mucosa gastrica e di regole di assunzione rigorose: a digiuno, con poca acqua e a distanza dalla colazione (si vedano il capitolo Semaglutide e la Parte I sulla questione di come i peptidi entrano nell’organismo).</w:t>
      </w:r>
    </w:p>
    <w:p>
      <w:pPr>
        <w:pStyle w:val="BodyText"/>
      </w:pPr>
      <w:r>
        <w:t xml:space="preserve">Orforglipron aggira questo problema alla radice: in quanto piccola molecola viene assorbito dall’intestino come una compressa tradizionale. Secondo gli studi può essere assunto senza tenere conto dei pasti o della quantità d’acqua (Rosenstock 2026, PMID 41765029). Orforglipron è quindi il caso di confronto più importante per la domanda se il futuro dei farmaci dimagranti stia davvero nei peptidi (si veda la Parte V).</w:t>
      </w:r>
    </w:p>
    <w:bookmarkEnd w:id="327"/>
    <w:bookmarkStart w:id="328" w:name="come-dovrebbe-agire-14"/>
    <w:p>
      <w:pPr>
        <w:pStyle w:val="Heading3"/>
      </w:pPr>
      <w:r>
        <w:t xml:space="preserve">Come dovrebbe agire</w:t>
      </w:r>
    </w:p>
    <w:p>
      <w:pPr>
        <w:pStyle w:val="FirstParagraph"/>
      </w:pPr>
      <w:r>
        <w:t xml:space="preserve">Orforglipron si lega al recettore del GLP-1 e provoca effetti simili a quelli degli agonisti peptidici: meno appetito, svuotamento gastrico ritardato, più insulina in funzione della glicemia. Attiva solo il recettore del GLP-1, non i recettori del GIP o del glucagone. Studi in persone con diabete di tipo 2 hanno mostrato miglioramenti dei marcatori della funzione delle cellule beta e della sensibilità all’insulina (Rosenstock 2025, PMID 40808573).</w:t>
      </w:r>
    </w:p>
    <w:bookmarkEnd w:id="328"/>
    <w:bookmarkStart w:id="331" w:name="studi-sulluomo-14"/>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20 studi sull’uomo. Su ClinicalTrials.gov risultavano registrati 53 studi. I programmi registrativi si chiamano</w:t>
      </w:r>
      <w:r>
        <w:t xml:space="preserve"> </w:t>
      </w:r>
      <w:r>
        <w:rPr>
          <w:bCs/>
          <w:b/>
        </w:rPr>
        <w:t xml:space="preserve">ATTAIN</w:t>
      </w:r>
      <w:r>
        <w:t xml:space="preserve"> </w:t>
      </w:r>
      <w:r>
        <w:t xml:space="preserve">(obesità) e</w:t>
      </w:r>
      <w:r>
        <w:t xml:space="preserve"> </w:t>
      </w:r>
      <w:r>
        <w:rPr>
          <w:bCs/>
          <w:b/>
        </w:rPr>
        <w:t xml:space="preserve">ACHIEVE</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(Wharton 2023), PMID 37351564</w:t>
            </w:r>
          </w:p>
        </w:tc>
        <w:tc>
          <w:tcPr/>
          <w:p>
            <w:pPr>
              <w:pStyle w:val="Compact"/>
              <w:jc w:val="left"/>
            </w:pPr>
            <w:r>
              <w:t xml:space="preserve">272 adulti senza diabete, contro placebo</w:t>
            </w:r>
          </w:p>
        </w:tc>
        <w:tc>
          <w:tcPr/>
          <w:p>
            <w:pPr>
              <w:pStyle w:val="Compact"/>
              <w:jc w:val="left"/>
            </w:pPr>
            <w:r>
              <w:t xml:space="preserve">36 settimane</w:t>
            </w:r>
          </w:p>
        </w:tc>
        <w:tc>
          <w:tcPr/>
          <w:p>
            <w:pPr>
              <w:pStyle w:val="Compact"/>
              <w:jc w:val="left"/>
            </w:pPr>
            <w:r>
              <w:t xml:space="preserve">da −9,4 a −14,7% di peso vs. −2,3%</w:t>
            </w:r>
          </w:p>
        </w:tc>
      </w:tr>
      <w:tr>
        <w:tc>
          <w:tcPr/>
          <w:p>
            <w:pPr>
              <w:pStyle w:val="Compact"/>
              <w:jc w:val="left"/>
            </w:pPr>
            <w:r>
              <w:t xml:space="preserve">ATTAIN-1 (Wharton 2025), PMID 40960239</w:t>
            </w:r>
          </w:p>
        </w:tc>
        <w:tc>
          <w:tcPr/>
          <w:p>
            <w:pPr>
              <w:pStyle w:val="Compact"/>
              <w:jc w:val="left"/>
            </w:pPr>
            <w:r>
              <w:t xml:space="preserve">3.127 adulti con obesità senza diabete, contro placebo</w:t>
            </w:r>
          </w:p>
        </w:tc>
        <w:tc>
          <w:tcPr/>
          <w:p>
            <w:pPr>
              <w:pStyle w:val="Compact"/>
              <w:jc w:val="left"/>
            </w:pPr>
            <w:r>
              <w:t xml:space="preserve">72 settimane</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adulti con obesità e diabete di tipo 2</w:t>
            </w:r>
          </w:p>
        </w:tc>
        <w:tc>
          <w:tcPr/>
          <w:p>
            <w:pPr>
              <w:pStyle w:val="Compact"/>
              <w:jc w:val="left"/>
            </w:pPr>
            <w:r>
              <w:t xml:space="preserve">72 settimane</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adulti dopo tirzepatide o semaglutide, passaggio vs. placebo</w:t>
            </w:r>
          </w:p>
        </w:tc>
        <w:tc>
          <w:tcPr/>
          <w:p>
            <w:pPr>
              <w:pStyle w:val="Compact"/>
              <w:jc w:val="left"/>
            </w:pPr>
            <w:r>
              <w:t xml:space="preserve">52 settimane</w:t>
            </w:r>
          </w:p>
        </w:tc>
        <w:tc>
          <w:tcPr/>
          <w:p>
            <w:pPr>
              <w:pStyle w:val="Compact"/>
              <w:jc w:val="left"/>
            </w:pPr>
            <w:r>
              <w:t xml:space="preserve">mantenuto rispettivamente il 74,7% e il 79,3% della perdita di peso (placebo 49,2% e 37,6%)</w:t>
            </w:r>
          </w:p>
        </w:tc>
      </w:tr>
      <w:tr>
        <w:tc>
          <w:tcPr/>
          <w:p>
            <w:pPr>
              <w:pStyle w:val="Compact"/>
              <w:jc w:val="left"/>
            </w:pPr>
            <w:r>
              <w:t xml:space="preserve">ACHIEVE-1 (Rosenstock 2025), PMID 40544435</w:t>
            </w:r>
          </w:p>
        </w:tc>
        <w:tc>
          <w:tcPr/>
          <w:p>
            <w:pPr>
              <w:pStyle w:val="Compact"/>
              <w:jc w:val="left"/>
            </w:pPr>
            <w:r>
              <w:t xml:space="preserve">559 adulti con diabete di tipo 2 precoce</w:t>
            </w:r>
          </w:p>
        </w:tc>
        <w:tc>
          <w:tcPr/>
          <w:p>
            <w:pPr>
              <w:pStyle w:val="Compact"/>
              <w:jc w:val="left"/>
            </w:pPr>
            <w:r>
              <w:t xml:space="preserve">40 settimane</w:t>
            </w:r>
          </w:p>
        </w:tc>
        <w:tc>
          <w:tcPr/>
          <w:p>
            <w:pPr>
              <w:pStyle w:val="Compact"/>
              <w:jc w:val="left"/>
            </w:pPr>
            <w:r>
              <w:t xml:space="preserve">HbA1c da −1,24 a −1,48 vs. −0,41</w:t>
            </w:r>
          </w:p>
        </w:tc>
      </w:tr>
      <w:tr>
        <w:tc>
          <w:tcPr/>
          <w:p>
            <w:pPr>
              <w:pStyle w:val="Compact"/>
              <w:jc w:val="left"/>
            </w:pPr>
            <w:r>
              <w:t xml:space="preserve">ACHIEVE-3 (Rosenstock 2026), PMID 41765029</w:t>
            </w:r>
          </w:p>
        </w:tc>
        <w:tc>
          <w:tcPr/>
          <w:p>
            <w:pPr>
              <w:pStyle w:val="Compact"/>
              <w:jc w:val="left"/>
            </w:pPr>
            <w:r>
              <w:t xml:space="preserve">1.698 adulti con diabete di tipo 2, in aperto contro semaglutide in compresse</w:t>
            </w:r>
          </w:p>
        </w:tc>
        <w:tc>
          <w:tcPr/>
          <w:p>
            <w:pPr>
              <w:pStyle w:val="Compact"/>
              <w:jc w:val="left"/>
            </w:pPr>
            <w:r>
              <w:t xml:space="preserve">52 settimane</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adulti con diabete di tipo 2 e alto rischio cardiovascolare, contro insulina glargine</w:t>
            </w:r>
          </w:p>
        </w:tc>
        <w:tc>
          <w:tcPr/>
          <w:p>
            <w:pPr>
              <w:pStyle w:val="Compact"/>
              <w:jc w:val="left"/>
            </w:pPr>
            <w:r>
              <w:t xml:space="preserve">mediana 2 anni</w:t>
            </w:r>
          </w:p>
        </w:tc>
        <w:tc>
          <w:tcPr/>
          <w:p>
            <w:pPr>
              <w:pStyle w:val="Compact"/>
              <w:jc w:val="left"/>
            </w:pPr>
            <w:r>
              <w:t xml:space="preserve">MACE-4: 4,2% vs. 5,0% (non inferiore)</w:t>
            </w:r>
          </w:p>
        </w:tc>
      </w:tr>
    </w:tbl>
    <w:bookmarkStart w:id="329" w:name="obesità-attain"/>
    <w:p>
      <w:pPr>
        <w:pStyle w:val="Heading4"/>
      </w:pPr>
      <w:r>
        <w:t xml:space="preserve">Obesità: ATTAIN</w:t>
      </w:r>
    </w:p>
    <w:p>
      <w:pPr>
        <w:pStyle w:val="FirstParagraph"/>
      </w:pPr>
      <w:r>
        <w:rPr>
          <w:bCs/>
          <w:b/>
        </w:rPr>
        <w:t xml:space="preserve">ATTAIN-1</w:t>
      </w:r>
      <w:r>
        <w:t xml:space="preserve"> </w:t>
      </w:r>
      <w:r>
        <w:t xml:space="preserve">(Wharton 2025, PMID 40960239) è lo studio principale. Dopo 72 settimane i 3.127 partecipanti con la dose più alta hanno perso in media l’11,2% del loro peso, con il placebo il 2,1%. Con la dose più alta il 54,6% ha raggiunto una perdita di peso di almeno il 10% e il 18,4% di almeno il 20%. Per effetti collaterali ha interrotto il 5,3–10,3% (placebo 2,7%).</w:t>
      </w:r>
    </w:p>
    <w:p>
      <w:pPr>
        <w:pStyle w:val="BodyText"/>
      </w:pPr>
      <w:r>
        <w:t xml:space="preserve">Per inquadrare il dato: è nettamente meno di quanto ottenuto con semaglutide o tirzepatide iniettabili nei rispettivi studi registrativi, e meno di quanto lasciasse sperare lo studio di fase 2 con fino al 14,7% dopo 36 settimane (Wharton 2023, PMID 37351564). I confronti incrociati tra studi sono però solo un orientamento approssimativo.</w:t>
      </w:r>
    </w:p>
    <w:p>
      <w:pPr>
        <w:pStyle w:val="BodyText"/>
      </w:pPr>
      <w:r>
        <w:rPr>
          <w:bCs/>
          <w:b/>
        </w:rPr>
        <w:t xml:space="preserve">ATTAIN-2</w:t>
      </w:r>
      <w:r>
        <w:t xml:space="preserve"> </w:t>
      </w:r>
      <w:r>
        <w:t xml:space="preserve">(Horn 2026, PMID 41275875) ha mostrato nelle persone con diabete di tipo 2 una perdita di peso fino al 9,6% rispetto al 2,5% con il placebo.</w:t>
      </w:r>
    </w:p>
    <w:p>
      <w:pPr>
        <w:pStyle w:val="BodyText"/>
      </w:pPr>
      <w:r>
        <w:rPr>
          <w:bCs/>
          <w:b/>
        </w:rPr>
        <w:t xml:space="preserve">ATTAIN-MAINTAIN</w:t>
      </w:r>
      <w:r>
        <w:t xml:space="preserve"> </w:t>
      </w:r>
      <w:r>
        <w:t xml:space="preserve">(Aronne 2026, PMID 42120723) è particolarmente interessante per la pratica. Partecipanti che avevano in precedenza perso peso nello studio SURMOUNT-5 con tirzepatide o semaglutide iniettabili sono passati a orforglipron o placebo. Dopo 52 settimane, chi era stato trattato con tirzepatide ha mantenuto con orforglipron il 74,7% della perdita di peso (placebo 49,2%), chi era stato trattato con semaglutide il 79,3% (placebo 37,6%). Non c’era un gruppo di confronto che continuasse semplicemente con l’iniezione, e gli autori stessi lo indicano come limite. Il concetto «dimagrire con l’iniezione, mantenere con la compressa» viene così documentato per la prima volta, ma non ancora confrontato con l’alternativa «continuare l’iniezione».</w:t>
      </w:r>
    </w:p>
    <w:bookmarkEnd w:id="329"/>
    <w:bookmarkStart w:id="330" w:name="diabete-di-tipo-2-achieve"/>
    <w:p>
      <w:pPr>
        <w:pStyle w:val="Heading4"/>
      </w:pPr>
      <w:r>
        <w:t xml:space="preserve">Diabete di tipo 2: ACHIEVE</w:t>
      </w:r>
    </w:p>
    <w:p>
      <w:pPr>
        <w:numPr>
          <w:ilvl w:val="0"/>
          <w:numId w:val="1109"/>
        </w:numPr>
        <w:pStyle w:val="Compact"/>
      </w:pPr>
      <w:r>
        <w:rPr>
          <w:bCs/>
          <w:b/>
        </w:rPr>
        <w:t xml:space="preserve">ACHIEVE-1</w:t>
      </w:r>
      <w:r>
        <w:t xml:space="preserve"> </w:t>
      </w:r>
      <w:r>
        <w:t xml:space="preserve">(Rosenstock 2025, PMID 40544435): nel diabete di tipo 2 precoce senza altri farmaci l’HbA1c è diminuita dopo 40 settimane fino a 1,48 punti percentuali (placebo −0,41), il peso fino al 7,6%. Non si sono verificate ipoglicemie gravi.</w:t>
      </w:r>
    </w:p>
    <w:p>
      <w:pPr>
        <w:numPr>
          <w:ilvl w:val="0"/>
          <w:numId w:val="1109"/>
        </w:numPr>
        <w:pStyle w:val="Compact"/>
      </w:pPr>
      <w:r>
        <w:rPr>
          <w:bCs/>
          <w:b/>
        </w:rPr>
        <w:t xml:space="preserve">ACHIEVE-2</w:t>
      </w:r>
      <w:r>
        <w:t xml:space="preserve"> </w:t>
      </w:r>
      <w:r>
        <w:t xml:space="preserve">(Welch 2026, PMID 42259339): rispetto all’inibitore di SGLT2 dapagliflozin, orforglipron è risultato non inferiore per l’HbA1c e più efficace a tutte le dosi (fino a −1,56 vs. −0,81 punti percentuali).</w:t>
      </w:r>
    </w:p>
    <w:p>
      <w:pPr>
        <w:numPr>
          <w:ilvl w:val="0"/>
          <w:numId w:val="1109"/>
        </w:numPr>
        <w:pStyle w:val="Compact"/>
      </w:pPr>
      <w:r>
        <w:rPr>
          <w:bCs/>
          <w:b/>
        </w:rPr>
        <w:t xml:space="preserve">ACHIEVE-3</w:t>
      </w:r>
      <w:r>
        <w:t xml:space="preserve"> </w:t>
      </w:r>
      <w:r>
        <w:t xml:space="preserve">(Rosenstock 2026, PMID 41765029): nel confronto diretto con semaglutide in compresse orforglipron ha ridotto maggiormente l’HbA1c (−1,91 vs. −1,47 punti percentuali alle rispettive dosi più alte). Lo studio era in aperto, quindi non in cieco. I disturbi gastrointestinali erano più frequenti con orforglipron (58–59% vs. 37–45%), così come le interruzioni per effetti collaterali (9–10% vs. 4–5%).</w:t>
      </w:r>
    </w:p>
    <w:p>
      <w:pPr>
        <w:numPr>
          <w:ilvl w:val="0"/>
          <w:numId w:val="1109"/>
        </w:numPr>
        <w:pStyle w:val="Compact"/>
      </w:pPr>
      <w:r>
        <w:rPr>
          <w:bCs/>
          <w:b/>
        </w:rPr>
        <w:t xml:space="preserve">ACHIEVE-4</w:t>
      </w:r>
      <w:r>
        <w:t xml:space="preserve"> </w:t>
      </w:r>
      <w:r>
        <w:t xml:space="preserve">(Klein 2026, PMID 42815506): lo studio di sicurezza cardiovascolare (si veda più avanti).</w:t>
      </w:r>
    </w:p>
    <w:bookmarkEnd w:id="330"/>
    <w:bookmarkEnd w:id="331"/>
    <w:bookmarkStart w:id="332" w:name="studi-su-animali-e-in-laboratorio-14"/>
    <w:p>
      <w:pPr>
        <w:pStyle w:val="Heading3"/>
      </w:pPr>
      <w:r>
        <w:t xml:space="preserve">Studi su animali e in laboratorio</w:t>
      </w:r>
    </w:p>
    <w:p>
      <w:pPr>
        <w:pStyle w:val="FirstParagraph"/>
      </w:pPr>
      <w:r>
        <w:t xml:space="preserve">Per questo capitolo di confronto i dati preclinici non vengono descritti nel dettaglio. Importante è una differenza farmacologica: in quanto piccola molecola orforglipron viene metabolizzato dagli enzimi epatici. Per questo sono stati condotti numerosi studi sulle interazioni con altri farmaci, per esempio con claritromicina, ciclosporina, carbamazepina o chinidina (NCT05469126, NCT05573230, NCT06370728, NCT06704763). Gli agonisti peptidici, invece, vengono degradati come le proteine e non presentano quasi interazioni di questo tipo.</w:t>
      </w:r>
    </w:p>
    <w:bookmarkEnd w:id="332"/>
    <w:bookmarkStart w:id="333" w:name="rischi-ed-effetti-collaterali-14"/>
    <w:p>
      <w:pPr>
        <w:pStyle w:val="Heading3"/>
      </w:pPr>
      <w:r>
        <w:t xml:space="preserve">Rischi ed effetti collaterali</w:t>
      </w:r>
    </w:p>
    <w:p>
      <w:pPr>
        <w:pStyle w:val="FirstParagraph"/>
      </w:pPr>
      <w:r>
        <w:rPr>
          <w:bCs/>
          <w:b/>
        </w:rPr>
        <w:t xml:space="preserve">Documentati dagli studi:</w:t>
      </w:r>
    </w:p>
    <w:p>
      <w:pPr>
        <w:numPr>
          <w:ilvl w:val="0"/>
          <w:numId w:val="1110"/>
        </w:numPr>
        <w:pStyle w:val="Compact"/>
      </w:pPr>
      <w:r>
        <w:rPr>
          <w:bCs/>
          <w:b/>
        </w:rPr>
        <w:t xml:space="preserve">Disturbi gastrointestinali:</w:t>
      </w:r>
      <w:r>
        <w:t xml:space="preserve"> </w:t>
      </w:r>
      <w:r>
        <w:t xml:space="preserve">come per tutti gli agonisti del GLP-1, per lo più da lievi a moderati e durante la titolazione. In ACHIEVE-4 il 62,1% con orforglipron ha riferito disturbi gastrointestinali rispetto al 14,2% con insulina glargine (Klein 2026, PMID 42815506).</w:t>
      </w:r>
    </w:p>
    <w:p>
      <w:pPr>
        <w:numPr>
          <w:ilvl w:val="0"/>
          <w:numId w:val="1110"/>
        </w:numPr>
        <w:pStyle w:val="Compact"/>
      </w:pPr>
      <w:r>
        <w:rPr>
          <w:bCs/>
          <w:b/>
        </w:rPr>
        <w:t xml:space="preserve">Interruzioni per effetti collaterali:</w:t>
      </w:r>
      <w:r>
        <w:t xml:space="preserve"> </w:t>
      </w:r>
      <w:r>
        <w:t xml:space="preserve">in ATTAIN-1 fino al 10,3% (Wharton 2025, PMID 40960239), circa il doppio rispetto a semaglutide in compresse (Rosenstock 2026, PMID 41765029).</w:t>
      </w:r>
    </w:p>
    <w:p>
      <w:pPr>
        <w:numPr>
          <w:ilvl w:val="0"/>
          <w:numId w:val="1110"/>
        </w:numPr>
        <w:pStyle w:val="Compact"/>
      </w:pPr>
      <w:r>
        <w:rPr>
          <w:bCs/>
          <w:b/>
        </w:rPr>
        <w:t xml:space="preserve">Polso:</w:t>
      </w:r>
      <w:r>
        <w:t xml:space="preserve"> </w:t>
      </w:r>
      <w:r>
        <w:t xml:space="preserve">in ACHIEVE-3 la frequenza cardiaca è aumentata con orforglipron di 3,7–4,7 battiti al minuto, con semaglutide in compresse di 1,0–1,5 (Rosenstock 2026, PMID 41765029).</w:t>
      </w:r>
    </w:p>
    <w:p>
      <w:pPr>
        <w:numPr>
          <w:ilvl w:val="0"/>
          <w:numId w:val="1110"/>
        </w:numPr>
        <w:pStyle w:val="Compact"/>
      </w:pPr>
      <w:r>
        <w:rPr>
          <w:bCs/>
          <w:b/>
        </w:rPr>
        <w:t xml:space="preserve">Sicurezza cardiovascolare:</w:t>
      </w:r>
      <w:r>
        <w:t xml:space="preserve"> </w:t>
      </w:r>
      <w:r>
        <w:t xml:space="preserve">in ACHIEVE-4 eventi cardiovascolari gravi si sono verificati nel 4,2% con orforglipron e nel 5,0% con insulina glargine (hazard ratio 0,84; IC 95% 0,59–1,20): orforglipron è risultato quindi non inferiore. Le ipoglicemie clinicamente significative o gravi sono state più rare (6,8% vs. 19,2%) (Klein 2026, PMID 42815506). Se orforglipron, come alcuni agonisti peptidici,</w:t>
      </w:r>
      <w:r>
        <w:t xml:space="preserve"> </w:t>
      </w:r>
      <w:r>
        <w:rPr>
          <w:iCs/>
          <w:i/>
        </w:rPr>
        <w:t xml:space="preserve">riduca</w:t>
      </w:r>
      <w:r>
        <w:t xml:space="preserve"> </w:t>
      </w:r>
      <w:r>
        <w:t xml:space="preserve">gli eventi cardiovascolari dovrà mostrarlo uno studio sugli esiti dedicato (NCT07241390).</w:t>
      </w:r>
    </w:p>
    <w:p>
      <w:pPr>
        <w:numPr>
          <w:ilvl w:val="0"/>
          <w:numId w:val="1110"/>
        </w:numPr>
        <w:pStyle w:val="Compact"/>
      </w:pPr>
      <w:r>
        <w:rPr>
          <w:bCs/>
          <w:b/>
        </w:rPr>
        <w:t xml:space="preserve">Fegato:</w:t>
      </w:r>
      <w:r>
        <w:t xml:space="preserve"> </w:t>
      </w:r>
      <w:r>
        <w:t xml:space="preserve">con piccole molecole GLP-1 di altri produttori gli aumenti degli enzimi epatici erano stati un problema. Un’analisi aggregata di sette studi di fase 3 con 11.220 partecipanti non ha rilevato per orforglipron alcun caso di danno epatico da farmaci; gli enzimi epatici sono anzi diminuiti in media (Wharton 2026, PMID 42338042).</w:t>
      </w:r>
    </w:p>
    <w:bookmarkEnd w:id="333"/>
    <w:bookmarkStart w:id="334" w:name="quadro-normativo-14"/>
    <w:p>
      <w:pPr>
        <w:pStyle w:val="Heading3"/>
      </w:pPr>
      <w:r>
        <w:t xml:space="preserve">Quadro normativo</w:t>
      </w:r>
    </w:p>
    <w:p>
      <w:pPr>
        <w:numPr>
          <w:ilvl w:val="0"/>
          <w:numId w:val="1111"/>
        </w:numPr>
        <w:pStyle w:val="Compact"/>
      </w:pPr>
      <w:r>
        <w:rPr>
          <w:bCs/>
          <w:b/>
        </w:rPr>
        <w:t xml:space="preserve">UE / Austria / Germania:</w:t>
      </w:r>
      <w:r>
        <w:t xml:space="preserve"> </w:t>
      </w:r>
      <w:r>
        <w:t xml:space="preserve">a ottobre 2026 risulta non autorizzato; è da attendersi una procedura di autorizzazione, o potrebbe essere già in corso – da verificare.</w:t>
      </w:r>
    </w:p>
    <w:p>
      <w:pPr>
        <w:numPr>
          <w:ilvl w:val="0"/>
          <w:numId w:val="1111"/>
        </w:numPr>
        <w:pStyle w:val="Compact"/>
      </w:pPr>
      <w:r>
        <w:rPr>
          <w:bCs/>
          <w:b/>
        </w:rPr>
        <w:t xml:space="preserve">USA:</w:t>
      </w:r>
      <w:r>
        <w:t xml:space="preserve"> </w:t>
      </w:r>
      <w:r>
        <w:t xml:space="preserve">sulla base dei dati ATTAIN e ACHIEVE sono state presentate o annunciate domande di autorizzazione per obesità e diabete di tipo 2; stato della decisione da verificare.</w:t>
      </w:r>
    </w:p>
    <w:p>
      <w:pPr>
        <w:numPr>
          <w:ilvl w:val="0"/>
          <w:numId w:val="1111"/>
        </w:numPr>
        <w:pStyle w:val="Compact"/>
      </w:pPr>
      <w:r>
        <w:rPr>
          <w:bCs/>
          <w:b/>
        </w:rPr>
        <w:t xml:space="preserve">Sport:</w:t>
      </w:r>
      <w:r>
        <w:t xml:space="preserve"> </w:t>
      </w:r>
      <w:r>
        <w:t xml:space="preserve">finché non è autorizzato in alcun Paese, classe WADA S0 (aggiornato al 2026, da verificare).</w:t>
      </w:r>
    </w:p>
    <w:p>
      <w:pPr>
        <w:numPr>
          <w:ilvl w:val="0"/>
          <w:numId w:val="1111"/>
        </w:numPr>
        <w:pStyle w:val="Compact"/>
      </w:pPr>
      <w:r>
        <w:t xml:space="preserve">Le offerte di «Orforglipron» non autorizzato su internet non sono medicinali verificati.</w:t>
      </w:r>
    </w:p>
    <w:bookmarkEnd w:id="334"/>
    <w:bookmarkStart w:id="335" w:name="studi-in-corso-e-prospettive-14"/>
    <w:p>
      <w:pPr>
        <w:pStyle w:val="Heading3"/>
      </w:pPr>
      <w:r>
        <w:t xml:space="preserve">Studi in corso e prospettive</w:t>
      </w:r>
    </w:p>
    <w:p>
      <w:pPr>
        <w:pStyle w:val="FirstParagraph"/>
      </w:pPr>
      <w:r>
        <w:rPr>
          <w:bCs/>
          <w:b/>
        </w:rPr>
        <w:t xml:space="preserve">Certo (studi registrati, aggiornato a ottobre 2026):</w:t>
      </w:r>
    </w:p>
    <w:p>
      <w:pPr>
        <w:numPr>
          <w:ilvl w:val="0"/>
          <w:numId w:val="1112"/>
        </w:numPr>
        <w:pStyle w:val="Compact"/>
      </w:pPr>
      <w:r>
        <w:rPr>
          <w:bCs/>
          <w:b/>
        </w:rPr>
        <w:t xml:space="preserve">Studio sugli esiti cardiovascolari</w:t>
      </w:r>
      <w:r>
        <w:t xml:space="preserve"> </w:t>
      </w:r>
      <w:r>
        <w:t xml:space="preserve">nell’aterosclerosi (NCT07241390, 7.140 partecipanti, fino al 2031).</w:t>
      </w:r>
    </w:p>
    <w:p>
      <w:pPr>
        <w:numPr>
          <w:ilvl w:val="0"/>
          <w:numId w:val="1112"/>
        </w:numPr>
        <w:pStyle w:val="Compact"/>
      </w:pPr>
      <w:r>
        <w:rPr>
          <w:bCs/>
          <w:b/>
        </w:rPr>
        <w:t xml:space="preserve">Arteriopatia periferica</w:t>
      </w:r>
      <w:r>
        <w:t xml:space="preserve"> </w:t>
      </w:r>
      <w:r>
        <w:t xml:space="preserve">(NCT07223593),</w:t>
      </w:r>
      <w:r>
        <w:t xml:space="preserve"> </w:t>
      </w:r>
      <w:r>
        <w:rPr>
          <w:bCs/>
          <w:b/>
        </w:rPr>
        <w:t xml:space="preserve">ipertensione</w:t>
      </w:r>
      <w:r>
        <w:t xml:space="preserve"> </w:t>
      </w:r>
      <w:r>
        <w:t xml:space="preserve">(NCT06948422, NCT06948435, NCT06952530),</w:t>
      </w:r>
      <w:r>
        <w:t xml:space="preserve"> </w:t>
      </w:r>
      <w:r>
        <w:rPr>
          <w:bCs/>
          <w:b/>
        </w:rPr>
        <w:t xml:space="preserve">artrosi del ginocchio</w:t>
      </w:r>
      <w:r>
        <w:t xml:space="preserve"> </w:t>
      </w:r>
      <w:r>
        <w:t xml:space="preserve">(NCT07153471),</w:t>
      </w:r>
      <w:r>
        <w:t xml:space="preserve"> </w:t>
      </w:r>
      <w:r>
        <w:rPr>
          <w:bCs/>
          <w:b/>
        </w:rPr>
        <w:t xml:space="preserve">incontinenza da sforzo</w:t>
      </w:r>
      <w:r>
        <w:t xml:space="preserve"> </w:t>
      </w:r>
      <w:r>
        <w:t xml:space="preserve">in donne con obesità (NCT07202884).</w:t>
      </w:r>
    </w:p>
    <w:p>
      <w:pPr>
        <w:numPr>
          <w:ilvl w:val="0"/>
          <w:numId w:val="1112"/>
        </w:numPr>
        <w:pStyle w:val="Compact"/>
      </w:pPr>
      <w:r>
        <w:rPr>
          <w:bCs/>
          <w:b/>
        </w:rPr>
        <w:t xml:space="preserve">Adolescenti</w:t>
      </w:r>
      <w:r>
        <w:t xml:space="preserve"> </w:t>
      </w:r>
      <w:r>
        <w:t xml:space="preserve">(NCT06672939) e</w:t>
      </w:r>
      <w:r>
        <w:t xml:space="preserve"> </w:t>
      </w:r>
      <w:r>
        <w:rPr>
          <w:bCs/>
          <w:b/>
        </w:rPr>
        <w:t xml:space="preserve">bambini con diabete di tipo 2</w:t>
      </w:r>
      <w:r>
        <w:t xml:space="preserve"> </w:t>
      </w:r>
      <w:r>
        <w:t xml:space="preserve">a confronto con dulaglutide (NCT07668336).</w:t>
      </w:r>
    </w:p>
    <w:p>
      <w:pPr>
        <w:numPr>
          <w:ilvl w:val="0"/>
          <w:numId w:val="1112"/>
        </w:numPr>
        <w:pStyle w:val="Compact"/>
      </w:pPr>
      <w:r>
        <w:t xml:space="preserve">Studio sull’</w:t>
      </w:r>
      <w:r>
        <w:rPr>
          <w:bCs/>
          <w:b/>
        </w:rPr>
        <w:t xml:space="preserve">apnea del sonno</w:t>
      </w:r>
      <w:r>
        <w:t xml:space="preserve"> </w:t>
      </w:r>
      <w:r>
        <w:t xml:space="preserve">(NCT06649045) concluso, pubblicazione in attesa.</w:t>
      </w:r>
    </w:p>
    <w:p>
      <w:pPr>
        <w:pStyle w:val="FirstParagraph"/>
      </w:pPr>
      <w:r>
        <w:rPr>
          <w:bCs/>
          <w:b/>
        </w:rPr>
        <w:t xml:space="preserve">Valutazione:</w:t>
      </w:r>
      <w:r>
        <w:t xml:space="preserve"> </w:t>
      </w:r>
      <w:r>
        <w:t xml:space="preserve">orforglipron diventerà presumibilmente il primo farmaco GLP-1 non peptidico ampiamente disponibile. Il suo punto di forza non è la massima perdita di peso – qui i peptidi iniettabili sono in vantaggio – ma l’assunzione semplice, la produzione probabilmente più economica e l’idoneità al trattamento a lungo termine dopo una fase con iniezioni. Per il mercato dei peptidi ciò significa una concorrenza seria, in particolare nella terapia a lungo termine e di mantenimento (si veda la Parte V).</w:t>
      </w:r>
    </w:p>
    <w:bookmarkEnd w:id="335"/>
    <w:bookmarkStart w:id="336" w:name="conclusione-14"/>
    <w:p>
      <w:pPr>
        <w:pStyle w:val="Heading3"/>
      </w:pPr>
      <w:r>
        <w:t xml:space="preserve">Conclusione</w:t>
      </w:r>
    </w:p>
    <w:p>
      <w:pPr>
        <w:pStyle w:val="FirstParagraph"/>
      </w:pPr>
      <w:r>
        <w:t xml:space="preserve">Orforglipron non è un peptide, ma una piccola molecola che in forma di compressa attiva il recettore del GLP-1 e può essere deglutita senza regole di assunzione. In ATTAIN-1 il peso è diminuito dopo 72 settimane fino all’11,2% – meno che con semaglutide o tirzepatide iniettabili – e dopo il passaggio da un’iniezione i partecipanti hanno mantenuto circa tre quarti della perdita di peso. Nel diabete di tipo 2 ha ridotto l’HbA1c più di semaglutide in compresse e si è dimostrato sicuro dal punto di vista cardiovascolare rispetto all’insulina. Disturbi gastrointestinali e interruzioni della terapia sono un po’ più frequenti che con semaglutide in compresse.</w:t>
      </w:r>
    </w:p>
    <w:bookmarkEnd w:id="336"/>
    <w:bookmarkEnd w:id="337"/>
    <w:bookmarkEnd w:id="338"/>
    <w:bookmarkStart w:id="461" w:name="X43ee7a3851e4853a7fd0b18d24a3214786dfb49"/>
    <w:p>
      <w:pPr>
        <w:pStyle w:val="Heading1"/>
      </w:pPr>
      <w:r>
        <w:t xml:space="preserve">Parte II · B – Guarigione, rigenerazione e sistema immunitario</w:t>
      </w:r>
    </w:p>
    <w:p>
      <w:pPr>
        <w:pStyle w:val="FirstParagraph"/>
      </w:pPr>
      <w:r>
        <w:t xml:space="preserve">I peptidi di questo gruppo promettono ciò che molti desiderano: una guarigione più rapida di tendini e muscoli, una parete intestinale più compatta, un sistema immunitario più forte, meno infiammazione. Nei negozi online, nei forum di fitness e nelle cliniche della longevità BPC-157, TB-500 e timosina alfa 1 sono tra i «peptidi per la ricerca» più venduti in assoluto.</w:t>
      </w:r>
    </w:p>
    <w:bookmarkStart w:id="339" w:name="che-cosa-accomuna-questi-peptidi"/>
    <w:p>
      <w:pPr>
        <w:pStyle w:val="Heading3"/>
      </w:pPr>
      <w:r>
        <w:t xml:space="preserve">Che cosa accomuna questi peptidi</w:t>
      </w:r>
    </w:p>
    <w:p>
      <w:pPr>
        <w:pStyle w:val="FirstParagraph"/>
      </w:pPr>
      <w:r>
        <w:t xml:space="preserve">Tutti e otto i principi attivi non dovrebbero modificare un singolo obiettivo chiaramente misurabile – come la glicemia o il peso corporeo – ma «stimolare» o «normalizzare» i processi di riparazione e di difesa dell’organismo. Ciò ha due conseguenze che attraversano tutti i capitoli:</w:t>
      </w:r>
    </w:p>
    <w:p>
      <w:pPr>
        <w:numPr>
          <w:ilvl w:val="0"/>
          <w:numId w:val="1113"/>
        </w:numPr>
        <w:pStyle w:val="Compact"/>
      </w:pPr>
      <w:r>
        <w:rPr>
          <w:bCs/>
          <w:b/>
        </w:rPr>
        <w:t xml:space="preserve">L’effetto è difficile da misurare.</w:t>
      </w:r>
      <w:r>
        <w:t xml:space="preserve"> </w:t>
      </w:r>
      <w:r>
        <w:t xml:space="preserve">Guarigione, dolore e funzione immunitaria variano molto, dipendono da molti fattori e sono soggetti agli effetti placebo. Piccoli studi senza gruppo di controllo sono quindi particolarmente poco significativi.</w:t>
      </w:r>
    </w:p>
    <w:p>
      <w:pPr>
        <w:numPr>
          <w:ilvl w:val="0"/>
          <w:numId w:val="1113"/>
        </w:numPr>
        <w:pStyle w:val="Compact"/>
      </w:pPr>
      <w:r>
        <w:rPr>
          <w:bCs/>
          <w:b/>
        </w:rPr>
        <w:t xml:space="preserve">La plausibilità sostituisce spesso le prove.</w:t>
      </w:r>
      <w:r>
        <w:t xml:space="preserve"> </w:t>
      </w:r>
      <w:r>
        <w:t xml:space="preserve">Quasi tutti i peptidi di questo gruppo derivano da sostanze endogene: dal succo gastrico (BPC-157), dal timo (timosina alfa 1, timalina), dalle difese della pelle (LL-37), dall’ormone alfa-MSH (KPV) o dall’eritropoietina (ARA-290). «Endogeno» suona innocuo, ma non dice nulla su utilità e sicurezza di una somministrazione dall’esterno ad alte dosi.</w:t>
      </w:r>
    </w:p>
    <w:p>
      <w:pPr>
        <w:pStyle w:val="FirstParagraph"/>
      </w:pPr>
      <w:r>
        <w:t xml:space="preserve">Colpisce inoltre uno schema ricorrente: piccoli studi iniziali sembrano promettenti, studi più grandi e condotti in cieco con maggiore rigore non li confermano. Lo si vede con la timosina alfa 1 nella sepsi, con la timosina beta 4 come collirio, con LL-37 nelle ulcere delle gambe e con larazotide nella celiachia.</w:t>
      </w:r>
    </w:p>
    <w:bookmarkEnd w:id="339"/>
    <w:bookmarkStart w:id="340" w:name="il-gruppo-in-sintesi"/>
    <w:p>
      <w:pPr>
        <w:pStyle w:val="Heading3"/>
      </w:pPr>
      <w:r>
        <w:t xml:space="preserve">Il gruppo in sintesi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centinaia di studi sugli animali, quasi tutti di un unico gruppo; sull’uomo tre mini-studi pilota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valutata in RCT, grandi studi oculistici senza un chiaro beneficio; TB-500 mai sull’uomo</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Cina e altri, non UE/USA</w:t>
            </w:r>
          </w:p>
        </w:tc>
        <w:tc>
          <w:tcPr/>
          <w:p>
            <w:pPr>
              <w:pStyle w:val="Compact"/>
              <w:jc w:val="left"/>
            </w:pPr>
            <w:r>
              <w:t xml:space="preserve">molti RCT; grande studio sulla sepsi senza differenze rispetto al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efficace nei topi con colite; nessuno studio sull’uomo</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peptide di difesa endogeno; studio sulle ferite con 148 persone senza vantaggi</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piccoli RCT su danni nervosi da sarcoidosi; dal 2015 nessun nuovo studio</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candidato per la celiachia; fase 3 interrotta</w:t>
            </w:r>
          </w:p>
        </w:tc>
      </w:tr>
      <w:tr>
        <w:tc>
          <w:tcPr/>
          <w:p>
            <w:pPr>
              <w:pStyle w:val="Compact"/>
              <w:jc w:val="left"/>
            </w:pPr>
            <w:r>
              <w:t xml:space="preserve">Timalina / timogeno</w:t>
            </w:r>
          </w:p>
        </w:tc>
        <w:tc>
          <w:tcPr/>
          <w:p>
            <w:pPr>
              <w:pStyle w:val="Compact"/>
              <w:jc w:val="left"/>
            </w:pPr>
            <w:r>
              <w:t xml:space="preserve">C</w:t>
            </w:r>
          </w:p>
        </w:tc>
        <w:tc>
          <w:tcPr/>
          <w:p>
            <w:pPr>
              <w:pStyle w:val="Compact"/>
              <w:jc w:val="left"/>
            </w:pPr>
            <w:r>
              <w:t xml:space="preserve">Russia</w:t>
            </w:r>
          </w:p>
        </w:tc>
        <w:tc>
          <w:tcPr/>
          <w:p>
            <w:pPr>
              <w:pStyle w:val="Compact"/>
              <w:jc w:val="left"/>
            </w:pPr>
            <w:r>
              <w:t xml:space="preserve">quasi solo studi russi di un’unica scuola, raramente randomizzati</w:t>
            </w:r>
          </w:p>
        </w:tc>
      </w:tr>
    </w:tbl>
    <w:p>
      <w:pPr>
        <w:pStyle w:val="BodyText"/>
      </w:pPr>
      <w:r>
        <w:t xml:space="preserve">Livelli di evidenza:</w:t>
      </w:r>
      <w:r>
        <w:t xml:space="preserve"> </w:t>
      </w:r>
      <w:r>
        <w:rPr>
          <w:bCs/>
          <w:b/>
        </w:rPr>
        <w:t xml:space="preserve">A</w:t>
      </w:r>
      <w:r>
        <w:t xml:space="preserve"> </w:t>
      </w:r>
      <w:r>
        <w:t xml:space="preserve">diversi grandi RCT o autorizzazione ·</w:t>
      </w:r>
      <w:r>
        <w:t xml:space="preserve"> </w:t>
      </w:r>
      <w:r>
        <w:rPr>
          <w:bCs/>
          <w:b/>
        </w:rPr>
        <w:t xml:space="preserve">B</w:t>
      </w:r>
      <w:r>
        <w:t xml:space="preserve"> </w:t>
      </w:r>
      <w:r>
        <w:t xml:space="preserve">singoli RCT ·</w:t>
      </w:r>
      <w:r>
        <w:t xml:space="preserve"> </w:t>
      </w:r>
      <w:r>
        <w:rPr>
          <w:bCs/>
          <w:b/>
        </w:rPr>
        <w:t xml:space="preserve">C</w:t>
      </w:r>
      <w:r>
        <w:t xml:space="preserve"> </w:t>
      </w:r>
      <w:r>
        <w:t xml:space="preserve">solo studi sull’uomo piccoli o non controllati ·</w:t>
      </w:r>
      <w:r>
        <w:t xml:space="preserve"> </w:t>
      </w:r>
      <w:r>
        <w:rPr>
          <w:bCs/>
          <w:b/>
        </w:rPr>
        <w:t xml:space="preserve">D</w:t>
      </w:r>
      <w:r>
        <w:t xml:space="preserve"> </w:t>
      </w:r>
      <w:r>
        <w:t xml:space="preserve">solo studi su animali e in laboratorio. L’autorizzazione si riferisce all’autorizzazione come medicinale, aggiornata al 2026.</w:t>
      </w:r>
    </w:p>
    <w:p>
      <w:pPr>
        <w:pStyle w:val="BodyText"/>
      </w:pPr>
      <w:r>
        <w:t xml:space="preserve">Nessun peptide di questo gruppo è autorizzato come medicinale nell’UE o negli USA. I due principi attivi con autorizzazioni al di fuori dell’Occidente – timosina alfa 1 e timalina – sono stati autorizzati sulla base di studi che reggono solo in parte agli standard odierni.</w:t>
      </w:r>
    </w:p>
    <w:bookmarkEnd w:id="340"/>
    <w:bookmarkStart w:id="341" w:name="indicazioni-per-la-lettura-1"/>
    <w:p>
      <w:pPr>
        <w:pStyle w:val="Heading3"/>
      </w:pPr>
      <w:r>
        <w:t xml:space="preserve">Indicazioni per la lettura</w:t>
      </w:r>
    </w:p>
    <w:p>
      <w:pPr>
        <w:pStyle w:val="FirstParagraph"/>
      </w:pPr>
      <w:r>
        <w:t xml:space="preserve">I capitoli seguono la struttura uniforme di questo libro. In questo gruppo presti particolare attenzione a tre distinzioni:</w:t>
      </w:r>
    </w:p>
    <w:p>
      <w:pPr>
        <w:numPr>
          <w:ilvl w:val="0"/>
          <w:numId w:val="1114"/>
        </w:numPr>
        <w:pStyle w:val="Compact"/>
      </w:pPr>
      <w:r>
        <w:rPr>
          <w:bCs/>
          <w:b/>
        </w:rPr>
        <w:t xml:space="preserve">Uomo o animale?</w:t>
      </w:r>
      <w:r>
        <w:t xml:space="preserve"> </w:t>
      </w:r>
      <w:r>
        <w:t xml:space="preserve">Per BPC-157, KPV e TB-500 quasi tutto ciò che viene affermato su internet si basa su esperimenti con ratti, topi o colture cellulari. I capitoli lo indicano ogni volta espressamente.</w:t>
      </w:r>
    </w:p>
    <w:p>
      <w:pPr>
        <w:numPr>
          <w:ilvl w:val="0"/>
          <w:numId w:val="1114"/>
        </w:numPr>
        <w:pStyle w:val="Compact"/>
      </w:pPr>
      <w:r>
        <w:rPr>
          <w:bCs/>
          <w:b/>
        </w:rPr>
        <w:t xml:space="preserve">Principio attivo o valore misurato?</w:t>
      </w:r>
      <w:r>
        <w:t xml:space="preserve"> </w:t>
      </w:r>
      <w:r>
        <w:t xml:space="preserve">Per LL-37 esistono molti studi che</w:t>
      </w:r>
      <w:r>
        <w:t xml:space="preserve"> </w:t>
      </w:r>
      <w:r>
        <w:rPr>
          <w:iCs/>
          <w:i/>
        </w:rPr>
        <w:t xml:space="preserve">misurano</w:t>
      </w:r>
      <w:r>
        <w:t xml:space="preserve"> </w:t>
      </w:r>
      <w:r>
        <w:t xml:space="preserve">la sostanza nel sangue, ma pochi che la</w:t>
      </w:r>
      <w:r>
        <w:t xml:space="preserve"> </w:t>
      </w:r>
      <w:r>
        <w:rPr>
          <w:iCs/>
          <w:i/>
        </w:rPr>
        <w:t xml:space="preserve">somministrano</w:t>
      </w:r>
      <w:r>
        <w:t xml:space="preserve"> </w:t>
      </w:r>
      <w:r>
        <w:t xml:space="preserve">come farmaco. Solo questi ultimi dicono qualcosa su un trattamento.</w:t>
      </w:r>
    </w:p>
    <w:p>
      <w:pPr>
        <w:numPr>
          <w:ilvl w:val="0"/>
          <w:numId w:val="1114"/>
        </w:numPr>
        <w:pStyle w:val="Compact"/>
      </w:pPr>
      <w:r>
        <w:rPr>
          <w:bCs/>
          <w:b/>
        </w:rPr>
        <w:t xml:space="preserve">Originale o derivato?</w:t>
      </w:r>
      <w:r>
        <w:t xml:space="preserve"> </w:t>
      </w:r>
      <w:r>
        <w:t xml:space="preserve">TB-500 non è la timosina beta 4, il timogeno non è la timalina, e il prodotto venduto su internet non è la forma farmaceutica usata negli studi.</w:t>
      </w:r>
    </w:p>
    <w:p>
      <w:pPr>
        <w:pStyle w:val="FirstParagraph"/>
      </w:pPr>
      <w:r>
        <w:t xml:space="preserve">Due capitoli contengono indicazioni su voci di registro la cui autenticità è dubbia: uno sponsor ha iscritto su ClinicalTrials.gov sia uno studio di fase 2 su BPC-157 sia uno studio su TB-500, uno dei quali si definisce esso stesso «esempio fittizio». Anche una voce di registro, quindi, non è una prova che uno studio si svolga davvero.</w:t>
      </w:r>
    </w:p>
    <w:p>
      <w:pPr>
        <w:pStyle w:val="BodyText"/>
      </w:pPr>
      <w:r>
        <w:t xml:space="preserve">Le questioni relative ai prodotti del mercato grigio, alle contaminazioni e al rischio teorico di cancro dovuto ai segnali di crescita e vascolari sono trattate in modo più approfondito e trasversale a tutti i peptidi nel capitolo I.5 e nella Parte IV. Per sportive e sportivi vale quanto segue: BPC-157, TB-500 e ARA-290 sono espressamente vietati dalla WADA; per gli altri, prima di qualsiasi uso, si rivolga alla Sua agenzia nazionale antidoping.</w:t>
      </w:r>
    </w:p>
    <w:bookmarkEnd w:id="341"/>
    <w:bookmarkStart w:id="359" w:name="bpc-157"/>
    <w:p>
      <w:pPr>
        <w:pStyle w:val="Heading2"/>
      </w:pPr>
      <w:r>
        <w:t xml:space="preserve">BPC-157</w:t>
      </w:r>
    </w:p>
    <w:p>
      <w:pPr>
        <w:pStyle w:val="FirstParagraph"/>
      </w:pPr>
      <w:r>
        <w:t xml:space="preserve">Pochi peptidi vengono cercati, consigliati e venduti su internet con la stessa frequenza di BPC-157. Nei forum e nei video è considerato un rimedio miracoloso per tendini, legamenti, muscoli, intestino e persino cervello. Chi legge la letteratura scientifica trova effettivamente ben oltre duecento pubblicazioni. Il quadro cambia però non appena ci si chiede quante di queste abbiano studiato esseri umani: sono solo una manciata, piccole, non controllate e provenienti da un unico studio medico privato. Questo capitolo chiarisce che cosa è documentato, che cosa è stato dimostrato solo nei ratti e dove si trovano i rischi.</w:t>
      </w:r>
    </w:p>
    <w:bookmarkStart w:id="342" w:name="scheda-15"/>
    <w:p>
      <w:pPr>
        <w:pStyle w:val="Heading3"/>
      </w:pPr>
      <w:r>
        <w:t xml:space="preserve">Scheda</w:t>
      </w:r>
    </w:p>
    <w:p>
      <w:pPr>
        <w:numPr>
          <w:ilvl w:val="0"/>
          <w:numId w:val="1115"/>
        </w:numPr>
        <w:pStyle w:val="Compact"/>
      </w:pPr>
      <w:r>
        <w:rPr>
          <w:bCs/>
          <w:b/>
        </w:rPr>
        <w:t xml:space="preserve">Tipo e struttura:</w:t>
      </w:r>
      <w:r>
        <w:t xml:space="preserve"> </w:t>
      </w:r>
      <w:r>
        <w:t xml:space="preserve">peptide sintetico di 15 aminoacidi (pentadecapeptide) con la sequenza GEPPPGKPADDAGLV (Cox 2017, PMID 28035768).</w:t>
      </w:r>
    </w:p>
    <w:p>
      <w:pPr>
        <w:numPr>
          <w:ilvl w:val="0"/>
          <w:numId w:val="1115"/>
        </w:numPr>
        <w:pStyle w:val="Compact"/>
      </w:pPr>
      <w:r>
        <w:rPr>
          <w:bCs/>
          <w:b/>
        </w:rPr>
        <w:t xml:space="preserve">Origine:</w:t>
      </w:r>
      <w:r>
        <w:t xml:space="preserve"> </w:t>
      </w:r>
      <w:r>
        <w:t xml:space="preserve">derivato da una proteina più grande descritta negli anni Novanta nel succo gastrico umano («Body Protection Compound», da cui BPC). Il BPC-157 in commercio è un prodotto di laboratorio; se la sequenza in questa forma sia presente nell’organismo non è stato verificato in modo indipendente.</w:t>
      </w:r>
    </w:p>
    <w:p>
      <w:pPr>
        <w:numPr>
          <w:ilvl w:val="0"/>
          <w:numId w:val="1115"/>
        </w:numPr>
        <w:pStyle w:val="Compact"/>
      </w:pPr>
      <w:r>
        <w:rPr>
          <w:bCs/>
          <w:b/>
        </w:rPr>
        <w:t xml:space="preserve">Precedenti nomi di sviluppo:</w:t>
      </w:r>
      <w:r>
        <w:t xml:space="preserve"> </w:t>
      </w:r>
      <w:r>
        <w:t xml:space="preserve">PL 14736, PL-10, PLD-116 (azienda Pliva, Croazia), in seguito «Bepecin» o PCO-02.</w:t>
      </w:r>
    </w:p>
    <w:p>
      <w:pPr>
        <w:numPr>
          <w:ilvl w:val="0"/>
          <w:numId w:val="1115"/>
        </w:numPr>
        <w:pStyle w:val="Compact"/>
      </w:pPr>
      <w:r>
        <w:rPr>
          <w:bCs/>
          <w:b/>
        </w:rPr>
        <w:t xml:space="preserve">Principio d’azione (ipotizzato, da studi sugli animali):</w:t>
      </w:r>
      <w:r>
        <w:t xml:space="preserve"> </w:t>
      </w:r>
      <w:r>
        <w:t xml:space="preserve">promozione della formazione di nuovi vasi (angiogenesi) tramite il recettore 2 del VEGF e il sistema dell’ossido nitrico, effetto sulla migrazione delle cellule del tessuto connettivo.</w:t>
      </w:r>
    </w:p>
    <w:p>
      <w:pPr>
        <w:numPr>
          <w:ilvl w:val="0"/>
          <w:numId w:val="1115"/>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nel 2023 classificato dalla FDA come principio attivo con problemi di sicurezza per le preparazioni galeniche (categoria 2).</w:t>
      </w:r>
    </w:p>
    <w:p>
      <w:pPr>
        <w:numPr>
          <w:ilvl w:val="0"/>
          <w:numId w:val="1115"/>
        </w:numPr>
        <w:pStyle w:val="Compact"/>
      </w:pPr>
      <w:r>
        <w:rPr>
          <w:bCs/>
          <w:b/>
        </w:rPr>
        <w:t xml:space="preserve">WADA:</w:t>
      </w:r>
      <w:r>
        <w:t xml:space="preserve"> </w:t>
      </w:r>
      <w:r>
        <w:t xml:space="preserve">vietato, gruppo S0 «sostanze non approvate» (citato espressamente).</w:t>
      </w:r>
    </w:p>
    <w:p>
      <w:pPr>
        <w:numPr>
          <w:ilvl w:val="0"/>
          <w:numId w:val="1115"/>
        </w:numPr>
        <w:pStyle w:val="Compact"/>
      </w:pPr>
      <w:r>
        <w:rPr>
          <w:bCs/>
          <w:b/>
        </w:rPr>
        <w:t xml:space="preserve">Livello di evidenza: C</w:t>
      </w:r>
      <w:r>
        <w:t xml:space="preserve"> </w:t>
      </w:r>
      <w:r>
        <w:t xml:space="preserve">– solo tre indagini molto piccole e non controllate sull’uomo, con complessivamente circa 30 persone; nessuno studio randomizzato concluso.</w:t>
      </w:r>
    </w:p>
    <w:bookmarkEnd w:id="342"/>
    <w:bookmarkStart w:id="343" w:name="come-dovrebbe-agire-15"/>
    <w:p>
      <w:pPr>
        <w:pStyle w:val="Heading3"/>
      </w:pPr>
      <w:r>
        <w:t xml:space="preserve">Come dovrebbe agire</w:t>
      </w:r>
    </w:p>
    <w:p>
      <w:pPr>
        <w:pStyle w:val="FirstParagraph"/>
      </w:pPr>
      <w:r>
        <w:t xml:space="preserve">L’idea di base viene dalla ricerca sullo stomaco. La mucosa gastrica è esposta ogni giorno ad acido, enzimi e farmaci come gli analgesici, eppure si ripara con sorprendente rapidità. Negli anni Novanta alcuni ricercatori di Zagabria ipotizzarono che sostanze protettive nel succo gastrico mediassero questa capacità e isolarono un peptide che chiamarono «Body Protection Compound». BPC-157 ne è un breve frammento.</w:t>
      </w:r>
    </w:p>
    <w:p>
      <w:pPr>
        <w:pStyle w:val="BodyText"/>
      </w:pPr>
      <w:r>
        <w:t xml:space="preserve">Insolito è il fatto che BPC-157 resti stabile nel succo gastrico. La maggior parte dei peptidi viene lì rapidamente scomposta. I sostenitori ne deducono che potrebbe agire anche in compresse; nell’uomo questo non è dimostrato.</w:t>
      </w:r>
    </w:p>
    <w:p>
      <w:pPr>
        <w:pStyle w:val="BodyText"/>
      </w:pPr>
      <w:r>
        <w:t xml:space="preserve">Per l’effetto dichiarato si discutono soprattutto tre meccanismi, tutti provenienti da esperimenti su animali e cellule:</w:t>
      </w:r>
    </w:p>
    <w:p>
      <w:pPr>
        <w:numPr>
          <w:ilvl w:val="0"/>
          <w:numId w:val="1116"/>
        </w:numPr>
        <w:pStyle w:val="Compact"/>
      </w:pPr>
      <w:r>
        <w:rPr>
          <w:bCs/>
          <w:b/>
        </w:rPr>
        <w:t xml:space="preserve">Formazione di nuovi vasi:</w:t>
      </w:r>
      <w:r>
        <w:t xml:space="preserve"> </w:t>
      </w:r>
      <w:r>
        <w:t xml:space="preserve">in colture di cellule umane del rivestimento interno dei vasi, BPC-157 ha aumentato la quantità del recettore 2 del VEGF (un interruttore centrale per la crescita di nuovi vasi sanguigni) e attivato la via di segnalazione a valle Akt-eNOS; nei ratti con un’arteria della gamba legata la circolazione si è ripristinata più rapidamente (Hsieh 2017, PMID 27847966). Un lavoro cinese ha descritto nel 2026, in esperimenti su cellule, un’ulteriore via attraverso le proteine FBXO22 e BACH1 (Zhang 2026, PMID 41606641).</w:t>
      </w:r>
    </w:p>
    <w:p>
      <w:pPr>
        <w:numPr>
          <w:ilvl w:val="0"/>
          <w:numId w:val="1116"/>
        </w:numPr>
        <w:pStyle w:val="Compact"/>
      </w:pPr>
      <w:r>
        <w:rPr>
          <w:bCs/>
          <w:b/>
        </w:rPr>
        <w:t xml:space="preserve">Migrazione e sopravvivenza cellulare:</w:t>
      </w:r>
      <w:r>
        <w:t xml:space="preserve"> </w:t>
      </w:r>
      <w:r>
        <w:t xml:space="preserve">in colture di cellule tendinee di ratto BPC-157 ha accelerato la fuoriuscita delle cellule da frammenti di tendine, migliorato la loro sopravvivenza sotto stress ossidativo e favorito la loro migrazione; la divisione cellulare in sé non è stata aumentata direttamente (Chang 2011, PMID 21030672).</w:t>
      </w:r>
    </w:p>
    <w:p>
      <w:pPr>
        <w:numPr>
          <w:ilvl w:val="0"/>
          <w:numId w:val="1116"/>
        </w:numPr>
        <w:pStyle w:val="Compact"/>
      </w:pPr>
      <w:r>
        <w:rPr>
          <w:bCs/>
          <w:b/>
        </w:rPr>
        <w:t xml:space="preserve">Sensibilità all’ormone della crescita:</w:t>
      </w:r>
      <w:r>
        <w:t xml:space="preserve"> </w:t>
      </w:r>
      <w:r>
        <w:t xml:space="preserve">nelle stesse cellule tendinee di ratto BPC-157 ha aumentato il numero dei recettori dell’ormone della crescita (Chang 2014, PMID 25415472).</w:t>
      </w:r>
    </w:p>
    <w:p>
      <w:pPr>
        <w:pStyle w:val="FirstParagraph"/>
      </w:pPr>
      <w:r>
        <w:t xml:space="preserve">A ciò si aggiunge una moltitudine di altri effetti su ossido nitrico, coagulazione del sangue e neurotrasmettitori, descritti soprattutto in lavori di revisione del gruppo di Zagabria (Sikiric 2025, PMID 40573323). Un recettore univoco a cui BPC-157 si leghi non è noto ancora oggi.</w:t>
      </w:r>
    </w:p>
    <w:p>
      <w:pPr>
        <w:pStyle w:val="BodyText"/>
      </w:pPr>
      <w:r>
        <w:t xml:space="preserve">Colpisce una contraddizione segnalata da una revisione farmaceutica: nell’animale BPC-157 ha un’emivita inferiore a 30 minuti, ma gli effetti descritti dovrebbero durare da ore a giorni (Mateescu 2026, PMID 42198317). Come le due cose si concilino non è chiarito.</w:t>
      </w:r>
    </w:p>
    <w:bookmarkEnd w:id="343"/>
    <w:bookmarkStart w:id="346" w:name="studi-sulluomo-15"/>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w:t>
      </w:r>
      <w:r>
        <w:t xml:space="preserve"> </w:t>
      </w:r>
      <w:r>
        <w:rPr>
          <w:bCs/>
          <w:b/>
        </w:rPr>
        <w:t xml:space="preserve">non</w:t>
      </w:r>
      <w:r>
        <w:t xml:space="preserve"> </w:t>
      </w:r>
      <w:r>
        <w:t xml:space="preserve">ha trovato su PubMed alcuno studio che soddisfi i criteri di filtro per uno studio sull’uomo (</w:t>
      </w:r>
      <w:r>
        <w:rPr>
          <w:rStyle w:val="VerbatimChar"/>
        </w:rPr>
        <w:t xml:space="preserve">humanstudien_alle</w:t>
      </w:r>
      <w:r>
        <w:t xml:space="preserve">: 0), e</w:t>
      </w:r>
      <w:r>
        <w:t xml:space="preserve"> </w:t>
      </w:r>
      <w:r>
        <w:rPr>
          <w:bCs/>
          <w:b/>
        </w:rPr>
        <w:t xml:space="preserve">4</w:t>
      </w:r>
      <w:r>
        <w:t xml:space="preserve"> </w:t>
      </w:r>
      <w:r>
        <w:t xml:space="preserve">voci nel registro degli studi ClinicalTrials.gov. In totale PubMed elenca per BPC-157 circa 230 pubblicazioni, quasi esclusivamente esperimenti sugli animali, lavori di laboratorio e articoli di revisione.</w:t>
      </w:r>
    </w:p>
    <w:p>
      <w:pPr>
        <w:pStyle w:val="BodyText"/>
      </w:pPr>
      <w:r>
        <w:t xml:space="preserve">Una ricerca mirata successiva ha individuato tre piccole indagini sull’uomo. Tutte e tre provengono dallo stesso primo autore, di uno studio medico privato in Florida, e sono state pubblicate in una rivista di medicina alternativa. Una revisione sistematica pubblicata nel 2026 ha trovato proprio questi tre lavori, con complessivamente 30 persone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Articolazione del ginocchio (Lee 2021), PMID 34324435</w:t>
            </w:r>
          </w:p>
        </w:tc>
        <w:tc>
          <w:tcPr/>
          <w:p>
            <w:pPr>
              <w:pStyle w:val="Compact"/>
              <w:jc w:val="left"/>
            </w:pPr>
            <w:r>
              <w:t xml:space="preserve">16 persone con dolore al ginocchio di varia origine, analisi retrospettiva delle cartelle con intervista telefonica, nessun gruppo di controllo</w:t>
            </w:r>
          </w:p>
        </w:tc>
        <w:tc>
          <w:tcPr/>
          <w:p>
            <w:pPr>
              <w:pStyle w:val="Compact"/>
              <w:jc w:val="left"/>
            </w:pPr>
            <w:r>
              <w:t xml:space="preserve">retrospettiva 6–12 mesi</w:t>
            </w:r>
          </w:p>
        </w:tc>
        <w:tc>
          <w:tcPr/>
          <w:p>
            <w:pPr>
              <w:pStyle w:val="Compact"/>
              <w:jc w:val="left"/>
            </w:pPr>
            <w:r>
              <w:t xml:space="preserve">14 su 16 hanno riferito sollievo dal dolore; 12 hanno ricevuto solo BPC-157, 4 anche timosina beta 4</w:t>
            </w:r>
          </w:p>
        </w:tc>
      </w:tr>
      <w:tr>
        <w:tc>
          <w:tcPr/>
          <w:p>
            <w:pPr>
              <w:pStyle w:val="Compact"/>
              <w:jc w:val="left"/>
            </w:pPr>
            <w:r>
              <w:t xml:space="preserve">Cistite interstiziale (Lee 2024), PMID 39325560</w:t>
            </w:r>
          </w:p>
        </w:tc>
        <w:tc>
          <w:tcPr/>
          <w:p>
            <w:pPr>
              <w:pStyle w:val="Compact"/>
              <w:jc w:val="left"/>
            </w:pPr>
            <w:r>
              <w:t xml:space="preserve">12 donne con malattia cronica dolorosa della vescica, iniezioni nella parete vescicale durante una cistoscopia, nessun gruppo di controllo</w:t>
            </w:r>
          </w:p>
        </w:tc>
        <w:tc>
          <w:tcPr/>
          <w:p>
            <w:pPr>
              <w:pStyle w:val="Compact"/>
              <w:jc w:val="left"/>
            </w:pPr>
            <w:r>
              <w:t xml:space="preserve">un trattamento</w:t>
            </w:r>
          </w:p>
        </w:tc>
        <w:tc>
          <w:tcPr/>
          <w:p>
            <w:pPr>
              <w:pStyle w:val="Compact"/>
              <w:jc w:val="left"/>
            </w:pPr>
            <w:r>
              <w:t xml:space="preserve">10 su 12 hanno indicato un miglioramento completo, 2 un miglioramento prevalente; nessun effetto collaterale riferito</w:t>
            </w:r>
          </w:p>
        </w:tc>
      </w:tr>
      <w:tr>
        <w:tc>
          <w:tcPr/>
          <w:p>
            <w:pPr>
              <w:pStyle w:val="Compact"/>
              <w:jc w:val="left"/>
            </w:pPr>
            <w:r>
              <w:t xml:space="preserve">Infusione endovenosa (Lee 2025), PMID 40131143</w:t>
            </w:r>
          </w:p>
        </w:tc>
        <w:tc>
          <w:tcPr/>
          <w:p>
            <w:pPr>
              <w:pStyle w:val="Compact"/>
              <w:jc w:val="left"/>
            </w:pPr>
            <w:r>
              <w:t xml:space="preserve">2 persone, verifica della sicurezza in due giorni</w:t>
            </w:r>
          </w:p>
        </w:tc>
        <w:tc>
          <w:tcPr/>
          <w:p>
            <w:pPr>
              <w:pStyle w:val="Compact"/>
              <w:jc w:val="left"/>
            </w:pPr>
            <w:r>
              <w:t xml:space="preserve">3 giorni</w:t>
            </w:r>
          </w:p>
        </w:tc>
        <w:tc>
          <w:tcPr/>
          <w:p>
            <w:pPr>
              <w:pStyle w:val="Compact"/>
              <w:jc w:val="left"/>
            </w:pPr>
            <w:r>
              <w:t xml:space="preserve">nessuna variazione misurabile dei valori ematici esaminati, nessun disturbo</w:t>
            </w:r>
          </w:p>
        </w:tc>
      </w:tr>
    </w:tbl>
    <w:bookmarkStart w:id="344" w:name="quanto-sono-significativi-questi-dati"/>
    <w:p>
      <w:pPr>
        <w:pStyle w:val="Heading4"/>
      </w:pPr>
      <w:r>
        <w:t xml:space="preserve">Quanto sono significativi questi dati?</w:t>
      </w:r>
    </w:p>
    <w:p>
      <w:pPr>
        <w:pStyle w:val="FirstParagraph"/>
      </w:pPr>
      <w:r>
        <w:t xml:space="preserve">Poco. L’indagine sul ginocchio non era uno studio pianificato, ma un sondaggio telefonico a posteriori tra pazienti che avevano già pagato il trattamento. Non c’erano un gruppo di confronto, una procedura in cieco, strumenti di misura per funzione o qualità di vita né esami di imaging. Le cause del dolore al ginocchio andavano dall’artrosi alle lesioni del menisco. Secondo l’abstract non sono stati usati questionari standardizzati sulla funzione (Lee 2021, PMID 34324435).</w:t>
      </w:r>
    </w:p>
    <w:p>
      <w:pPr>
        <w:pStyle w:val="BodyText"/>
      </w:pPr>
      <w:r>
        <w:t xml:space="preserve">Il lavoro sulla cistite ha rilevato il risultato con un unico questionario globale. Che tutte e dodici le donne abbiano dato la valutazione migliore possibile è insolito per una malattia cronica, spesso difficile da trattare, e senza gruppo di controllo non si distingue da un effetto placebo o dalla naturale fluttuazione dei disturbi. È inoltre degno di nota che il BPC-157 usato provenisse da una farmacia galenica statunitense (Lee 2024, PMID 39325560).</w:t>
      </w:r>
    </w:p>
    <w:p>
      <w:pPr>
        <w:pStyle w:val="BodyText"/>
      </w:pPr>
      <w:r>
        <w:t xml:space="preserve">Lo studio sull’infusione comprendeva due persone che avevano già ricevuto BPC-157 in precedenza. Da due persone non si può ricavare alcuna conclusione sulla sicurezza: effetti collaterali rari o tardivi restano così invisibili (Lee 2025, PMID 40131143).</w:t>
      </w:r>
    </w:p>
    <w:p>
      <w:pPr>
        <w:pStyle w:val="BodyText"/>
      </w:pPr>
      <w:r>
        <w:t xml:space="preserve">La revisione sistematica ha giudicato scarsa la qualità metodologica di tutti e tre i lavori e «molto bassa» l’affidabilità delle evidenze secondo il sistema GRADE. La sua conclusione: BPC-157 non dovrebbe essere usato sull’uomo al di fuori di studi clinici di alta qualità approvati da un comitato etico (Poolton 2026, PMID 42885452). Un’altra revisione sistematica di ortopedia dello sport, con ricerca fino a giugno 2024, ha trovato tra 36 lavori inclusi un solo studio clinico (Vasireddi 2025, PMID 40756949). Diverse revisioni recenti di ortopedia e medicina dello sport giungono alla stessa conclusione: un uso di routine non può essere raccomandato al momento (Tham 2026, PMID 42937313; Tewari 2026, PMID 42578445).</w:t>
      </w:r>
    </w:p>
    <w:bookmarkEnd w:id="344"/>
    <w:bookmarkStart w:id="345" w:name="Xbc88bc7d136472e34e184ebac469b9557f1dd96"/>
    <w:p>
      <w:pPr>
        <w:pStyle w:val="Heading4"/>
      </w:pPr>
      <w:r>
        <w:t xml:space="preserve">Che fine hanno fatto i precedenti studi aziendali</w:t>
      </w:r>
    </w:p>
    <w:p>
      <w:pPr>
        <w:pStyle w:val="FirstParagraph"/>
      </w:pPr>
      <w:r>
        <w:t xml:space="preserve">Negli anni Duemila l’azienda farmaceutica croata Pliva sviluppò BPC-157 con il codice PL 14736 per le malattie infiammatorie croniche intestinali. Gli studi sugli animali di quel periodo annotano che la sostanza era «attualmente in fase di studi clinici» (Staresinic 2003, PMID 14554208). Un lavoro di revisione del gruppo di Zagabria menziona studi sulla colite ulcerosa e sulla sclerosi multipla (Seiwerth 2021, PMID 34267654). I risultati completi di questi studi non sono reperibili su PubMed come lavori originali. Nel 2015 è stato inoltre registrato uno studio di fase 1 con compresse («Bepecin», PCO-02) su 42 volontari sani (NCT02637284); il suo stato è «sconosciuto» da anni e i risultati non sono stati pubblicati.</w:t>
      </w:r>
    </w:p>
    <w:p>
      <w:pPr>
        <w:pStyle w:val="BodyText"/>
      </w:pPr>
      <w:r>
        <w:t xml:space="preserve">Per i lettori ciò significa: quando siti web affermano che BPC-157 è stato «sicuro negli studi clinici», si riferiscono a studi i cui dati nessuno può verificare in modo indipendente.</w:t>
      </w:r>
    </w:p>
    <w:bookmarkEnd w:id="345"/>
    <w:bookmarkEnd w:id="346"/>
    <w:bookmarkStart w:id="350" w:name="studi-su-animali-e-in-laboratorio-15"/>
    <w:p>
      <w:pPr>
        <w:pStyle w:val="Heading3"/>
      </w:pPr>
      <w:r>
        <w:t xml:space="preserve">Studi su animali e in laboratorio</w:t>
      </w:r>
    </w:p>
    <w:p>
      <w:pPr>
        <w:pStyle w:val="FirstParagraph"/>
      </w:pPr>
      <w:r>
        <w:t xml:space="preserve">La ricerca preclinica è il motivo per cui BPC-157 è diventato così noto. È ampia, ma insolitamente unilaterale nella sua provenienza.</w:t>
      </w:r>
    </w:p>
    <w:bookmarkStart w:id="347" w:name="un-gruppo-di-ricerca-domina"/>
    <w:p>
      <w:pPr>
        <w:pStyle w:val="Heading4"/>
      </w:pPr>
      <w:r>
        <w:t xml:space="preserve">Un gruppo di ricerca domina</w:t>
      </w:r>
    </w:p>
    <w:p>
      <w:pPr>
        <w:pStyle w:val="FirstParagraph"/>
      </w:pPr>
      <w:r>
        <w:t xml:space="preserve">Dei circa 230 risultati su PubMed (ricerca di ottobre 2026), circa 175 indicano come autore il farmacologo di Zagabria Predrag Sikirić, cioè circa tre quarti. Una revisione sulla guarigione di tendini e muscoli ha osservato che in due decenni solo una manciata di gruppi di ricerca ha studiato a fondo BPC-157 (Gwyer 2019, PMID 30915550). Questo è importante per la valutazione: i risultati scientifici sono considerati solidi solo quando gruppi indipendenti li replicano. Una revisione critica del 2026 sui disturbi circolatori nei roditori lamenta tempi di osservazione brevi, esperimenti a dose singola, rischi di distorsione descritti in modo incompleto e chiede repliche indipendenti e in cieco (Demirtaş 2026, PMID 42794771). Una breve presa di posizione sulla rivista Inflammopharmacology si è confrontata nel 2025 specificamente con un lungo lavoro di revisione di questo gruppo (Whitehouse 2025, PMID 40759852).</w:t>
      </w:r>
    </w:p>
    <w:p>
      <w:pPr>
        <w:pStyle w:val="BodyText"/>
      </w:pPr>
      <w:r>
        <w:t xml:space="preserve">Lavori indipendenti esistono, soprattutto da Taiwan (cellule tendinee, vasi), Corea del Sud e Cina, ma sono molto più rari e per lo più esperimenti di laboratorio o su cellule.</w:t>
      </w:r>
    </w:p>
    <w:bookmarkEnd w:id="347"/>
    <w:bookmarkStart w:id="348" w:name="panoramica-per-apparato"/>
    <w:p>
      <w:pPr>
        <w:pStyle w:val="Heading4"/>
      </w:pPr>
      <w:r>
        <w:t xml:space="preserve">Panoramica per apparato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Ambito</w:t>
            </w:r>
          </w:p>
        </w:tc>
        <w:tc>
          <w:tcPr/>
          <w:p>
            <w:pPr>
              <w:pStyle w:val="Compact"/>
              <w:jc w:val="left"/>
            </w:pPr>
            <w:r>
              <w:t xml:space="preserve">Modello tipico</w:t>
            </w:r>
          </w:p>
        </w:tc>
        <w:tc>
          <w:tcPr/>
          <w:p>
            <w:pPr>
              <w:pStyle w:val="Compact"/>
              <w:jc w:val="left"/>
            </w:pPr>
            <w:r>
              <w:t xml:space="preserve">Risultato riferito</w:t>
            </w:r>
          </w:p>
        </w:tc>
        <w:tc>
          <w:tcPr/>
          <w:p>
            <w:pPr>
              <w:pStyle w:val="Compact"/>
              <w:jc w:val="left"/>
            </w:pPr>
            <w:r>
              <w:t xml:space="preserve">Esempio</w:t>
            </w:r>
          </w:p>
        </w:tc>
      </w:tr>
      <w:tr>
        <w:tc>
          <w:tcPr/>
          <w:p>
            <w:pPr>
              <w:pStyle w:val="Compact"/>
              <w:jc w:val="left"/>
            </w:pPr>
            <w:r>
              <w:t xml:space="preserve">Tendine</w:t>
            </w:r>
          </w:p>
        </w:tc>
        <w:tc>
          <w:tcPr/>
          <w:p>
            <w:pPr>
              <w:pStyle w:val="Compact"/>
              <w:jc w:val="left"/>
            </w:pPr>
            <w:r>
              <w:t xml:space="preserve">tendine d’Achille reciso nei ratti</w:t>
            </w:r>
          </w:p>
        </w:tc>
        <w:tc>
          <w:tcPr/>
          <w:p>
            <w:pPr>
              <w:pStyle w:val="Compact"/>
              <w:jc w:val="left"/>
            </w:pPr>
            <w:r>
              <w:t xml:space="preserve">migliore resistenza al carico, funzione e struttura tissutale</w:t>
            </w:r>
          </w:p>
        </w:tc>
        <w:tc>
          <w:tcPr/>
          <w:p>
            <w:pPr>
              <w:pStyle w:val="Compact"/>
              <w:jc w:val="left"/>
            </w:pPr>
            <w:r>
              <w:t xml:space="preserve">Staresinic 2003, PMID 14554208</w:t>
            </w:r>
          </w:p>
        </w:tc>
      </w:tr>
      <w:tr>
        <w:tc>
          <w:tcPr/>
          <w:p>
            <w:pPr>
              <w:pStyle w:val="Compact"/>
              <w:jc w:val="left"/>
            </w:pPr>
            <w:r>
              <w:t xml:space="preserve">Legamento</w:t>
            </w:r>
          </w:p>
        </w:tc>
        <w:tc>
          <w:tcPr/>
          <w:p>
            <w:pPr>
              <w:pStyle w:val="Compact"/>
              <w:jc w:val="left"/>
            </w:pPr>
            <w:r>
              <w:t xml:space="preserve">legamento interno del ginocchio lesionato nei ratti</w:t>
            </w:r>
          </w:p>
        </w:tc>
        <w:tc>
          <w:tcPr/>
          <w:p>
            <w:pPr>
              <w:pStyle w:val="Compact"/>
              <w:jc w:val="left"/>
            </w:pPr>
            <w:r>
              <w:t xml:space="preserve">migliore guarigione</w:t>
            </w:r>
          </w:p>
        </w:tc>
        <w:tc>
          <w:tcPr/>
          <w:p>
            <w:pPr>
              <w:pStyle w:val="Compact"/>
              <w:jc w:val="left"/>
            </w:pPr>
            <w:r>
              <w:t xml:space="preserve">Cerovecki 2010, PMID 20225319</w:t>
            </w:r>
          </w:p>
        </w:tc>
      </w:tr>
      <w:tr>
        <w:tc>
          <w:tcPr/>
          <w:p>
            <w:pPr>
              <w:pStyle w:val="Compact"/>
              <w:jc w:val="left"/>
            </w:pPr>
            <w:r>
              <w:t xml:space="preserve">Muscolo</w:t>
            </w:r>
          </w:p>
        </w:tc>
        <w:tc>
          <w:tcPr/>
          <w:p>
            <w:pPr>
              <w:pStyle w:val="Compact"/>
              <w:jc w:val="left"/>
            </w:pPr>
            <w:r>
              <w:t xml:space="preserve">muscolo della coscia reciso nei ratti</w:t>
            </w:r>
          </w:p>
        </w:tc>
        <w:tc>
          <w:tcPr/>
          <w:p>
            <w:pPr>
              <w:pStyle w:val="Compact"/>
              <w:jc w:val="left"/>
            </w:pPr>
            <w:r>
              <w:t xml:space="preserve">migliore funzione</w:t>
            </w:r>
          </w:p>
        </w:tc>
        <w:tc>
          <w:tcPr/>
          <w:p>
            <w:pPr>
              <w:pStyle w:val="Compact"/>
              <w:jc w:val="left"/>
            </w:pPr>
            <w:r>
              <w:t xml:space="preserve">Staresinic 2006, PMID 16609979</w:t>
            </w:r>
          </w:p>
        </w:tc>
      </w:tr>
      <w:tr>
        <w:tc>
          <w:tcPr/>
          <w:p>
            <w:pPr>
              <w:pStyle w:val="Compact"/>
              <w:jc w:val="left"/>
            </w:pPr>
            <w:r>
              <w:t xml:space="preserve">Osso</w:t>
            </w:r>
          </w:p>
        </w:tc>
        <w:tc>
          <w:tcPr/>
          <w:p>
            <w:pPr>
              <w:pStyle w:val="Compact"/>
              <w:jc w:val="left"/>
            </w:pPr>
            <w:r>
              <w:t xml:space="preserve">difetto osseo nei conigli</w:t>
            </w:r>
          </w:p>
        </w:tc>
        <w:tc>
          <w:tcPr/>
          <w:p>
            <w:pPr>
              <w:pStyle w:val="Compact"/>
              <w:jc w:val="left"/>
            </w:pPr>
            <w:r>
              <w:t xml:space="preserve">guarigione del difetto nettamente migliore alla radiografia e nel tessuto</w:t>
            </w:r>
          </w:p>
        </w:tc>
        <w:tc>
          <w:tcPr/>
          <w:p>
            <w:pPr>
              <w:pStyle w:val="Compact"/>
              <w:jc w:val="left"/>
            </w:pPr>
            <w:r>
              <w:t xml:space="preserve">Sebecić 1999, PMID 10071911</w:t>
            </w:r>
          </w:p>
        </w:tc>
      </w:tr>
      <w:tr>
        <w:tc>
          <w:tcPr/>
          <w:p>
            <w:pPr>
              <w:pStyle w:val="Compact"/>
              <w:jc w:val="left"/>
            </w:pPr>
            <w:r>
              <w:t xml:space="preserve">Pelle</w:t>
            </w:r>
          </w:p>
        </w:tc>
        <w:tc>
          <w:tcPr/>
          <w:p>
            <w:pPr>
              <w:pStyle w:val="Compact"/>
              <w:jc w:val="left"/>
            </w:pPr>
            <w:r>
              <w:t xml:space="preserve">ferite da taglio, ustioni e ferite diabetiche nei ratti</w:t>
            </w:r>
          </w:p>
        </w:tc>
        <w:tc>
          <w:tcPr/>
          <w:p>
            <w:pPr>
              <w:pStyle w:val="Compact"/>
              <w:jc w:val="left"/>
            </w:pPr>
            <w:r>
              <w:t xml:space="preserve">guarigione delle ferite più rapida</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fistole, colite, anastomosi nei ratti</w:t>
            </w:r>
          </w:p>
        </w:tc>
        <w:tc>
          <w:tcPr/>
          <w:p>
            <w:pPr>
              <w:pStyle w:val="Compact"/>
              <w:jc w:val="left"/>
            </w:pPr>
            <w:r>
              <w:t xml:space="preserve">guarigione di fistole e suture</w:t>
            </w:r>
          </w:p>
        </w:tc>
        <w:tc>
          <w:tcPr/>
          <w:p>
            <w:pPr>
              <w:pStyle w:val="Compact"/>
              <w:jc w:val="left"/>
            </w:pPr>
            <w:r>
              <w:t xml:space="preserve">Sikiric 2020, PMID 32329684</w:t>
            </w:r>
          </w:p>
        </w:tc>
      </w:tr>
      <w:tr>
        <w:tc>
          <w:tcPr/>
          <w:p>
            <w:pPr>
              <w:pStyle w:val="Compact"/>
              <w:jc w:val="left"/>
            </w:pPr>
            <w:r>
              <w:t xml:space="preserve">Stomaco</w:t>
            </w:r>
          </w:p>
        </w:tc>
        <w:tc>
          <w:tcPr/>
          <w:p>
            <w:pPr>
              <w:pStyle w:val="Compact"/>
              <w:jc w:val="left"/>
            </w:pPr>
            <w:r>
              <w:t xml:space="preserve">danni da analgesici e alcol</w:t>
            </w:r>
          </w:p>
        </w:tc>
        <w:tc>
          <w:tcPr/>
          <w:p>
            <w:pPr>
              <w:pStyle w:val="Compact"/>
              <w:jc w:val="left"/>
            </w:pPr>
            <w:r>
              <w:t xml:space="preserve">protezione della mucosa</w:t>
            </w:r>
          </w:p>
        </w:tc>
        <w:tc>
          <w:tcPr/>
          <w:p>
            <w:pPr>
              <w:pStyle w:val="Compact"/>
              <w:jc w:val="left"/>
            </w:pPr>
            <w:r>
              <w:t xml:space="preserve">Ilic 2011, PMID 21295044</w:t>
            </w:r>
          </w:p>
        </w:tc>
      </w:tr>
      <w:tr>
        <w:tc>
          <w:tcPr/>
          <w:p>
            <w:pPr>
              <w:pStyle w:val="Compact"/>
              <w:jc w:val="left"/>
            </w:pPr>
            <w:r>
              <w:t xml:space="preserve">Vasi</w:t>
            </w:r>
          </w:p>
        </w:tc>
        <w:tc>
          <w:tcPr/>
          <w:p>
            <w:pPr>
              <w:pStyle w:val="Compact"/>
              <w:jc w:val="left"/>
            </w:pPr>
            <w:r>
              <w:t xml:space="preserve">arterie e vene legate</w:t>
            </w:r>
          </w:p>
        </w:tc>
        <w:tc>
          <w:tcPr/>
          <w:p>
            <w:pPr>
              <w:pStyle w:val="Compact"/>
              <w:jc w:val="left"/>
            </w:pPr>
            <w:r>
              <w:t xml:space="preserve">circoli collaterali, migliore circolazione</w:t>
            </w:r>
          </w:p>
        </w:tc>
        <w:tc>
          <w:tcPr/>
          <w:p>
            <w:pPr>
              <w:pStyle w:val="Compact"/>
              <w:jc w:val="left"/>
            </w:pPr>
            <w:r>
              <w:t xml:space="preserve">Sikiric 2022, PMID 35125818</w:t>
            </w:r>
          </w:p>
        </w:tc>
      </w:tr>
    </w:tbl>
    <w:p>
      <w:pPr>
        <w:pStyle w:val="BodyText"/>
      </w:pPr>
      <w:r>
        <w:t xml:space="preserve">A questi si aggiungono lavori su cervello, occhio, cuore, vescica, avvelenamenti e squilibri metabolici, in ratti e topi. Questa enorme ampiezza viene letta dai sostenitori come un punto di forza. Dal punto di vista metodologico è piuttosto un segnale d’allarme: una sostanza che in quasi ogni modello testato migliora quasi ogni disturbo richiede una verifica indipendente particolarmente accurata.</w:t>
      </w:r>
    </w:p>
    <w:bookmarkEnd w:id="348"/>
    <w:bookmarkStart w:id="349" w:name="farmacocinetica-e-tossicologia"/>
    <w:p>
      <w:pPr>
        <w:pStyle w:val="Heading4"/>
      </w:pPr>
      <w:r>
        <w:t xml:space="preserve">Farmacocinetica e tossicologia</w:t>
      </w:r>
    </w:p>
    <w:p>
      <w:pPr>
        <w:pStyle w:val="FirstParagraph"/>
      </w:pPr>
      <w:r>
        <w:t xml:space="preserve">Un gruppo di lavoro cinese ha studiato BPC-157 secondo le consuete regole dello sviluppo dei farmaci. Nei ratti e nei cani beagle l’emivita del peptide immodificato era inferiore a 30 minuti; dopo iniezione nel muscolo, nei ratti ne arrivava in circolo circa il 14–19%, nei cani il 45–51%. BPC-157 veniva rapidamente scomposto in piccoli frammenti e aminoacidi ed eliminato attraverso urina e bile (He 2022, PMID 36588717). Nei test di tossicità su topi, ratti, conigli e cani gli stessi ricercatori non hanno riscontrato danni gravi, né danni al patrimonio genetico né danni agli embrioni; nei cani, alla dose più alta, la creatinina è diminuita temporaneamente (Xu 2020, PMID 32334036). Questi dati sugli animali sono un prerequisito per gli studi sull’uomo, ma non li sostituiscono.</w:t>
      </w:r>
    </w:p>
    <w:bookmarkEnd w:id="349"/>
    <w:bookmarkEnd w:id="350"/>
    <w:bookmarkStart w:id="355" w:name="rischi-ed-effetti-collaterali-15"/>
    <w:p>
      <w:pPr>
        <w:pStyle w:val="Heading3"/>
      </w:pPr>
      <w:r>
        <w:t xml:space="preserve">Rischi ed effetti collaterali</w:t>
      </w:r>
    </w:p>
    <w:bookmarkStart w:id="351" w:name="documentati"/>
    <w:p>
      <w:pPr>
        <w:pStyle w:val="Heading4"/>
      </w:pPr>
      <w:r>
        <w:t xml:space="preserve">Documentati</w:t>
      </w:r>
    </w:p>
    <w:p>
      <w:pPr>
        <w:pStyle w:val="FirstParagraph"/>
      </w:pPr>
      <w:r>
        <w:t xml:space="preserve">Effetti collaterali documentati nell’uomo praticamente non esistono, ma non perché BPC-157 sia dimostratamente sicuro, bensì perché quasi nessuno li ha cercati in modo sistematico. Le tre indagini pilota, con complessivamente circa 30 persone, non hanno riferito effetti collaterali (Poolton 2026, PMID 42885452). Con 30 persone si possono riconoscere solo problemi frequenti e immediati. Un effetto collaterale che riguarda una persona su mille resterebbe invisibile.</w:t>
      </w:r>
    </w:p>
    <w:bookmarkEnd w:id="351"/>
    <w:bookmarkStart w:id="352" w:name="Xeac99b9f1a83e4d297ecf4167082fc73462f36f"/>
    <w:p>
      <w:pPr>
        <w:pStyle w:val="Heading4"/>
      </w:pPr>
      <w:r>
        <w:t xml:space="preserve">Teorici: formazione di nuovi vasi e crescita tumorale</w:t>
      </w:r>
    </w:p>
    <w:p>
      <w:pPr>
        <w:pStyle w:val="FirstParagraph"/>
      </w:pPr>
      <w:r>
        <w:t xml:space="preserve">Il rischio teorico più discusso deriva direttamente dal meccanismo d’azione ipotizzato. Se BPC-157 favorisce la formazione di nuovi vasi sanguigni, potrebbe – questo il timore – migliorare anche l’afflusso di sangue a tumori già presenti, magari non ancora scoperti. I tumori a partire da pochi millimetri di dimensione hanno bisogno di vasi sanguigni propri per continuare a crescere. Per questo gli inibitori della via del VEGF sono farmaci antitumorali consolidati. Una sostanza che nelle colture cellulari aumenta l’espressione del recettore 2 del VEGF (Hsieh 2017, PMID 27847966) merita cautela. Diverse revisioni citano espressamente la formazione patologica di vasi e una possibile promozione del cancro come rischio non chiarito (Moiz 2026, PMID 42757290).</w:t>
      </w:r>
    </w:p>
    <w:p>
      <w:pPr>
        <w:pStyle w:val="BodyText"/>
      </w:pPr>
      <w:r>
        <w:t xml:space="preserve">Il gruppo di Zagabria contesta questa ipotesi: BPC-157 regolerebbe la formazione dei vasi invece di stimolarla alla cieca, impedirebbe per esempio sulla cornea dell’occhio una crescita patologica di vasi e mostrerebbe in esperimenti su animali e cellule persino effetti antitumorali (Sikiric 2025, PMID 40573323). Anche questi dati provengono per lo più dallo stesso gruppo. Studi a lungo termine sulla cancerogenesi (studi di cancerogenicità), consueti per i medicinali autorizzati, non sono stati pubblicati per BPC-157. La questione è quindi aperta: né confermata né smentita. La Parte IV di questo libro tratta in modo approfondito il tema dei segnali di crescita e del rischio di cancro.</w:t>
      </w:r>
    </w:p>
    <w:bookmarkEnd w:id="352"/>
    <w:bookmarkStart w:id="353" w:name="rischi-del-mercato-grigio"/>
    <w:p>
      <w:pPr>
        <w:pStyle w:val="Heading4"/>
      </w:pPr>
      <w:r>
        <w:t xml:space="preserve">Rischi del mercato grigio</w:t>
      </w:r>
    </w:p>
    <w:p>
      <w:pPr>
        <w:pStyle w:val="FirstParagraph"/>
      </w:pPr>
      <w:r>
        <w:t xml:space="preserve">Il rischio pratico più grande probabilmente non risiede nel principio attivo in sé, ma nei prodotti. BPC-157 viene venduto per lo più come «research chemical» senza qualità farmaceutica. Le revisioni citano contaminazioni, concentrazioni errate, mancanza di sterilità e qualità di produzione variabile come pericoli concreti (Tham 2026, PMID 42937313; Mendias 2026, PMID 41966639). Già nel 2017 un laboratorio antidoping descrisse BPC-157 da flaconi sequestrati (Cox 2017, PMID 28035768). Con le iniezioni si aggiungono rischi di infezione da soluzioni non sterili. Il capitolo I.5 e la Parte IV trattano in modo approfondito le analisi di laboratorio dei peptidi del mercato grigio.</w:t>
      </w:r>
    </w:p>
    <w:bookmarkEnd w:id="353"/>
    <w:bookmarkStart w:id="354" w:name="altre-questioni-aperte"/>
    <w:p>
      <w:pPr>
        <w:pStyle w:val="Heading4"/>
      </w:pPr>
      <w:r>
        <w:t xml:space="preserve">Altre questioni aperte</w:t>
      </w:r>
    </w:p>
    <w:p>
      <w:pPr>
        <w:numPr>
          <w:ilvl w:val="0"/>
          <w:numId w:val="1117"/>
        </w:numPr>
        <w:pStyle w:val="Compact"/>
      </w:pPr>
      <w:r>
        <w:rPr>
          <w:bCs/>
          <w:b/>
        </w:rPr>
        <w:t xml:space="preserve">Interazioni:</w:t>
      </w:r>
      <w:r>
        <w:t xml:space="preserve"> </w:t>
      </w:r>
      <w:r>
        <w:t xml:space="preserve">negli esperimenti sugli animali BPC-157 ha influenzato coagulazione del sangue, pressione arteriosa e neurotrasmettitori (Sikiric 2025, PMID 40573323). Se ciò sia rilevante nell’uomo per persone in terapia con anticoagulanti, con malattie cardiovascolari o con farmaci psichiatrici, nessuno lo sa.</w:t>
      </w:r>
    </w:p>
    <w:p>
      <w:pPr>
        <w:numPr>
          <w:ilvl w:val="0"/>
          <w:numId w:val="1117"/>
        </w:numPr>
        <w:pStyle w:val="Compact"/>
      </w:pPr>
      <w:r>
        <w:rPr>
          <w:bCs/>
          <w:b/>
        </w:rPr>
        <w:t xml:space="preserve">Gravidanza e allattamento, bambini e adolescenti:</w:t>
      </w:r>
      <w:r>
        <w:t xml:space="preserve"> </w:t>
      </w:r>
      <w:r>
        <w:t xml:space="preserve">nessun dato sull’uomo.</w:t>
      </w:r>
    </w:p>
    <w:p>
      <w:pPr>
        <w:numPr>
          <w:ilvl w:val="0"/>
          <w:numId w:val="1117"/>
        </w:numPr>
        <w:pStyle w:val="Compact"/>
      </w:pPr>
      <w:r>
        <w:rPr>
          <w:bCs/>
          <w:b/>
        </w:rPr>
        <w:t xml:space="preserve">Effetto placebo:</w:t>
      </w:r>
      <w:r>
        <w:t xml:space="preserve"> </w:t>
      </w:r>
      <w:r>
        <w:t xml:space="preserve">una revisione di medicina dello sport fa notare che i social media possono amplificare l’effetto placebo con questi peptidi (Mendias 2026, PMID 41966639). Le testimonianze personali di successo non sono quindi una prova di efficacia.</w:t>
      </w:r>
    </w:p>
    <w:bookmarkEnd w:id="354"/>
    <w:bookmarkEnd w:id="355"/>
    <w:bookmarkStart w:id="356" w:name="quadro-normativo-15"/>
    <w:p>
      <w:pPr>
        <w:pStyle w:val="Heading3"/>
      </w:pPr>
      <w:r>
        <w:t xml:space="preserve">Quadro normativo</w:t>
      </w:r>
    </w:p>
    <w:p>
      <w:pPr>
        <w:pStyle w:val="FirstParagraph"/>
      </w:pPr>
      <w:r>
        <w:rPr>
          <w:iCs/>
          <w:i/>
        </w:rPr>
        <w:t xml:space="preserve">Aggiornato al 2026, da verificare.</w:t>
      </w:r>
    </w:p>
    <w:p>
      <w:pPr>
        <w:numPr>
          <w:ilvl w:val="0"/>
          <w:numId w:val="1118"/>
        </w:numPr>
        <w:pStyle w:val="Compact"/>
      </w:pPr>
      <w:r>
        <w:rPr>
          <w:bCs/>
          <w:b/>
        </w:rPr>
        <w:t xml:space="preserve">UE:</w:t>
      </w:r>
      <w:r>
        <w:t xml:space="preserve"> </w:t>
      </w:r>
      <w:r>
        <w:t xml:space="preserve">BPC-157 non è autorizzato come medicinale in alcuno Stato membro. Una sostanza offerta per il trattamento di malattie nell’uomo è giuridicamente un medicinale; senza autorizzazione non può essere immessa in commercio. La dicitura «solo per scopi di ricerca» non cambia nulla se il prodotto è chiaramente destinato all’uso sull’uomo.</w:t>
      </w:r>
    </w:p>
    <w:p>
      <w:pPr>
        <w:numPr>
          <w:ilvl w:val="0"/>
          <w:numId w:val="1118"/>
        </w:numPr>
        <w:pStyle w:val="Compact"/>
      </w:pPr>
      <w:r>
        <w:rPr>
          <w:bCs/>
          <w:b/>
        </w:rPr>
        <w:t xml:space="preserve">Germania e Austria:</w:t>
      </w:r>
      <w:r>
        <w:t xml:space="preserve"> </w:t>
      </w:r>
      <w:r>
        <w:t xml:space="preserve">nessuna autorizzazione, nemmeno una base per preparazioni galeniche. La cessione per l’uso sull’uomo non è consentita secondo la rispettiva legge sui medicinali. Nello sport si applicano inoltre le regole antidoping.</w:t>
      </w:r>
    </w:p>
    <w:p>
      <w:pPr>
        <w:numPr>
          <w:ilvl w:val="0"/>
          <w:numId w:val="1118"/>
        </w:numPr>
        <w:pStyle w:val="Compact"/>
      </w:pPr>
      <w:r>
        <w:rPr>
          <w:bCs/>
          <w:b/>
        </w:rPr>
        <w:t xml:space="preserve">USA:</w:t>
      </w:r>
      <w:r>
        <w:t xml:space="preserve"> </w:t>
      </w:r>
      <w:r>
        <w:t xml:space="preserve">nessuna autorizzazione FDA. Nel 2023 la FDA ha assegnato BPC-157, tra le sostanze di partenza per le preparazioni galeniche (il cosiddetto compounding), alla categoria 2, cioè sostanze per le quali esistono rilevanti problemi di sicurezza. Secondo l’autorità, le farmacie galeniche non possono quindi lavorarlo. La classificazione dei peptidi è stata da allora discussa in modo controverso nel comitato consultivo della FDA per le preparazioni galeniche (PCAC) e negli ambienti specialistici (Willis 2026, PMID 42752426); sono possibili modifiche.</w:t>
      </w:r>
    </w:p>
    <w:p>
      <w:pPr>
        <w:numPr>
          <w:ilvl w:val="0"/>
          <w:numId w:val="1118"/>
        </w:numPr>
        <w:pStyle w:val="Compact"/>
      </w:pPr>
      <w:r>
        <w:rPr>
          <w:bCs/>
          <w:b/>
        </w:rPr>
        <w:t xml:space="preserve">WADA:</w:t>
      </w:r>
      <w:r>
        <w:t xml:space="preserve"> </w:t>
      </w:r>
      <w:r>
        <w:t xml:space="preserve">BPC-157 figura nominalmente dal 2022 nel gruppo S0 (sostanze non approvate) della lista delle sostanze proibite ed è quindi vietato in gara e fuori gara. Una revisione del 2025 indica invece che BPC-157 non sarebbe attualmente elencato (Józwiak 2025, PMID 40005999); secondo le conoscenze dell’autore ciò non è corretto per la lista attuale. I laboratori antidoping hanno sviluppato metodi di rilevamento nelle urine (Tian 2023, PMID 37959764).</w:t>
      </w:r>
    </w:p>
    <w:bookmarkEnd w:id="356"/>
    <w:bookmarkStart w:id="357" w:name="studi-in-corso-e-prospettive-15"/>
    <w:p>
      <w:pPr>
        <w:pStyle w:val="Heading3"/>
      </w:pPr>
      <w:r>
        <w:t xml:space="preserve">Studi in corso e prospettive</w:t>
      </w:r>
    </w:p>
    <w:p>
      <w:pPr>
        <w:pStyle w:val="FirstParagraph"/>
      </w:pPr>
      <w:r>
        <w:t xml:space="preserve">A ottobre 2026 su ClinicalTrials.gov sono iscritti quattro studi con BPC-157: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Stato</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randomizzato, in doppio cieco, placebo, previste 120 persone</w:t>
            </w:r>
          </w:p>
        </w:tc>
        <w:tc>
          <w:tcPr/>
          <w:p>
            <w:pPr>
              <w:pStyle w:val="Compact"/>
              <w:jc w:val="left"/>
            </w:pPr>
            <w:r>
              <w:t xml:space="preserve">secondo il registro in reclutamento da febbraio 2026; autenticità dubbia (si veda il testo)</w:t>
            </w:r>
          </w:p>
        </w:tc>
        <w:tc>
          <w:tcPr/>
          <w:p>
            <w:pPr>
              <w:pStyle w:val="Compact"/>
              <w:jc w:val="left"/>
            </w:pPr>
            <w:r>
              <w:t xml:space="preserve">stiramento acuto dei muscoli posteriori della coscia; tempo di ritorno allo sport, reperto RM</w:t>
            </w:r>
          </w:p>
        </w:tc>
      </w:tr>
      <w:tr>
        <w:tc>
          <w:tcPr/>
          <w:p>
            <w:pPr>
              <w:pStyle w:val="Compact"/>
              <w:jc w:val="left"/>
            </w:pPr>
            <w:r>
              <w:t xml:space="preserve">NCT07803250</w:t>
            </w:r>
          </w:p>
        </w:tc>
        <w:tc>
          <w:tcPr/>
          <w:p>
            <w:pPr>
              <w:pStyle w:val="Compact"/>
              <w:jc w:val="left"/>
            </w:pPr>
            <w:r>
              <w:t xml:space="preserve">fase 1, randomizzato, previste 30 persone</w:t>
            </w:r>
          </w:p>
        </w:tc>
        <w:tc>
          <w:tcPr/>
          <w:p>
            <w:pPr>
              <w:pStyle w:val="Compact"/>
              <w:jc w:val="left"/>
            </w:pPr>
            <w:r>
              <w:t xml:space="preserve">non ancora in reclutamento, inizio previsto nel 2027</w:t>
            </w:r>
          </w:p>
        </w:tc>
        <w:tc>
          <w:tcPr/>
          <w:p>
            <w:pPr>
              <w:pStyle w:val="Compact"/>
              <w:jc w:val="left"/>
            </w:pPr>
            <w:r>
              <w:t xml:space="preserve">guarigione dopo intervento sulla cuffia dei rotatori (spalla)</w:t>
            </w:r>
          </w:p>
        </w:tc>
      </w:tr>
      <w:tr>
        <w:tc>
          <w:tcPr/>
          <w:p>
            <w:pPr>
              <w:pStyle w:val="Compact"/>
              <w:jc w:val="left"/>
            </w:pPr>
            <w:r>
              <w:t xml:space="preserve">NCT07752381</w:t>
            </w:r>
          </w:p>
        </w:tc>
        <w:tc>
          <w:tcPr/>
          <w:p>
            <w:pPr>
              <w:pStyle w:val="Compact"/>
              <w:jc w:val="left"/>
            </w:pPr>
            <w:r>
              <w:t xml:space="preserve">un solo gruppo senza controllo, 40 persone</w:t>
            </w:r>
          </w:p>
        </w:tc>
        <w:tc>
          <w:tcPr/>
          <w:p>
            <w:pPr>
              <w:pStyle w:val="Compact"/>
              <w:jc w:val="left"/>
            </w:pPr>
            <w:r>
              <w:t xml:space="preserve">concluso nel 2025, nessun risultato nel registro</w:t>
            </w:r>
          </w:p>
        </w:tc>
        <w:tc>
          <w:tcPr/>
          <w:p>
            <w:pPr>
              <w:pStyle w:val="Compact"/>
              <w:jc w:val="left"/>
            </w:pPr>
            <w:r>
              <w:t xml:space="preserve">caramelle gommose di un produttore; marcatori infiammatori e autovalutazione</w:t>
            </w:r>
          </w:p>
        </w:tc>
      </w:tr>
      <w:tr>
        <w:tc>
          <w:tcPr/>
          <w:p>
            <w:pPr>
              <w:pStyle w:val="Compact"/>
              <w:jc w:val="left"/>
            </w:pPr>
            <w:r>
              <w:t xml:space="preserve">NCT02637284</w:t>
            </w:r>
          </w:p>
        </w:tc>
        <w:tc>
          <w:tcPr/>
          <w:p>
            <w:pPr>
              <w:pStyle w:val="Compact"/>
              <w:jc w:val="left"/>
            </w:pPr>
            <w:r>
              <w:t xml:space="preserve">fase 1, compresse, previsti 42 sani</w:t>
            </w:r>
          </w:p>
        </w:tc>
        <w:tc>
          <w:tcPr/>
          <w:p>
            <w:pPr>
              <w:pStyle w:val="Compact"/>
              <w:jc w:val="left"/>
            </w:pPr>
            <w:r>
              <w:t xml:space="preserve">stato sconosciuto dal 2016</w:t>
            </w:r>
          </w:p>
        </w:tc>
        <w:tc>
          <w:tcPr/>
          <w:p>
            <w:pPr>
              <w:pStyle w:val="Compact"/>
              <w:jc w:val="left"/>
            </w:pPr>
            <w:r>
              <w:t xml:space="preserve">sicurezza e farmacocinetica</w:t>
            </w:r>
          </w:p>
        </w:tc>
      </w:tr>
    </w:tbl>
    <w:p>
      <w:pPr>
        <w:pStyle w:val="BodyText"/>
      </w:pPr>
      <w:r>
        <w:rPr>
          <w:bCs/>
          <w:b/>
        </w:rPr>
        <w:t xml:space="preserve">Certo</w:t>
      </w:r>
      <w:r>
        <w:t xml:space="preserve"> </w:t>
      </w:r>
      <w:r>
        <w:t xml:space="preserve">è ben poco. Sulla carta lo studio di fase 2 sugli stiramenti dei muscoli posteriori della coscia (NCT07437547) sarebbe il primo studio randomizzato, controllato con placebo, con un endpoint oggettivo (RM) e dimensioni sufficienti. Durante la verifica per questo libro è però emerso che lo stesso sponsor («Hudson Biotech»), con identico centro di studio e identica persona di contatto, ha creato una seconda voce su TB-500 (NCT07487363) che nella sua stessa descrizione si definisce espressamente un esempio «fittizio» di voce di registro. Se lo studio su BPC-157 venga effettivamente condotto non si può quindi affermare con certezza. ClinicalTrials.gov verifica le voci solo formalmente, non nel contenuto: una registrazione da sola non dimostra che uno studio si svolga.</w:t>
      </w:r>
    </w:p>
    <w:p>
      <w:pPr>
        <w:pStyle w:val="BodyText"/>
      </w:pPr>
      <w:r>
        <w:t xml:space="preserve">Lo studio sulla spalla della University of Arkansas (NCT07803250) è randomizzato e in cieco, ma piccolo e non ancora iniziato. Lo studio sulle caramelle gommose di un produttore (NCT07752381) non ha gruppo di controllo e misura per lo più dati autoriferiti; non risponderà alle questioni aperte.</w:t>
      </w:r>
    </w:p>
    <w:p>
      <w:pPr>
        <w:pStyle w:val="BodyText"/>
      </w:pPr>
      <w:r>
        <w:rPr>
          <w:bCs/>
          <w:b/>
        </w:rPr>
        <w:t xml:space="preserve">Valutazione dell’autore:</w:t>
      </w:r>
      <w:r>
        <w:t xml:space="preserve"> </w:t>
      </w:r>
      <w:r>
        <w:t xml:space="preserve">prima del 2028 non sono da attendersi dati affidabili di efficacia nell’uomo. Anche un risultato positivo di un piccolo studio pilota sarebbe solo un primo indizio, non ancora una base per un’autorizzazione, che richiede diversi studi più ampi e dati di sicurezza a lungo termine. Un risultato negativo cambierebbe probabilmente poco la reputazione del peptide su internet. Una revisione farmaceutica sottolinea che ancora oggi non esiste una forma farmaceutica standardizzata e validata (Mateescu 2026, PMID 42198317): anche questo deve essere risolto prima di un’autorizzazione.</w:t>
      </w:r>
    </w:p>
    <w:bookmarkEnd w:id="357"/>
    <w:bookmarkStart w:id="358" w:name="conclusione-15"/>
    <w:p>
      <w:pPr>
        <w:pStyle w:val="Heading3"/>
      </w:pPr>
      <w:r>
        <w:t xml:space="preserve">Conclusione</w:t>
      </w:r>
    </w:p>
    <w:p>
      <w:pPr>
        <w:pStyle w:val="FirstParagraph"/>
      </w:pPr>
      <w:r>
        <w:t xml:space="preserve">BPC-157 è un peptide con un numero insolitamente elevato di studi sugli animali, quasi tutti con risultati positivi, provenienti per lo più da un unico gruppo di ricerca di Zagabria e senza sufficienti repliche indipendenti. Sull’uomo esistono solo tre piccole indagini non controllate con complessivamente circa 30 persone, la cui qualità è giudicata molto bassa (Poolton 2026, PMID 42885452). La sicurezza a lungo termine, in particolare la questione teorica di una promozione della crescita tumorale attraverso la formazione di nuovi vasi, non è stata studiata, e i prodotti del mercato grigio comportano rischi propri. Gli studi randomizzati sono solo registrati o pianificati (NCT07803250); finché non saranno disponibili risultati affidabili, BPC-157 resta una sostanza sperimentale il cui beneficio nell’uomo non è dimostrato. Per sportive e sportivi è vietato secondo le regole WADA.</w:t>
      </w:r>
    </w:p>
    <w:bookmarkEnd w:id="358"/>
    <w:bookmarkEnd w:id="359"/>
    <w:bookmarkStart w:id="375" w:name="tb-500-e-timosina-beta-4"/>
    <w:p>
      <w:pPr>
        <w:pStyle w:val="Heading2"/>
      </w:pPr>
      <w:r>
        <w:t xml:space="preserve">TB-500 e timosina beta 4</w:t>
      </w:r>
    </w:p>
    <w:p>
      <w:pPr>
        <w:pStyle w:val="FirstParagraph"/>
      </w:pPr>
      <w:r>
        <w:t xml:space="preserve">Su internet «TB-500» e «timosina beta 4» vengono per lo più vendute come la stessa cosa. È sbagliato, e la differenza è decisiva per la valutazione. La timosina beta 4 è una proteina endogena di 43 aminoacidi, studiata in diversi studi clinici, soprattutto come collirio e come infusione dopo un infarto. TB-500, invece, è un breve frammento di essa, modificato artificialmente, che non è mai stato testato in uno studio pubblicato sull’uomo. Questo capitolo separa nettamente le due cose.</w:t>
      </w:r>
    </w:p>
    <w:bookmarkStart w:id="360" w:name="scheda-16"/>
    <w:p>
      <w:pPr>
        <w:pStyle w:val="Heading3"/>
      </w:pPr>
      <w:r>
        <w:t xml:space="preserve">Scheda</w:t>
      </w:r>
    </w:p>
    <w:p>
      <w:pPr>
        <w:numPr>
          <w:ilvl w:val="0"/>
          <w:numId w:val="1119"/>
        </w:numPr>
        <w:pStyle w:val="Compact"/>
      </w:pPr>
      <w:r>
        <w:rPr>
          <w:bCs/>
          <w:b/>
        </w:rPr>
        <w:t xml:space="preserve">Timosina beta 4 (Tβ4):</w:t>
      </w:r>
      <w:r>
        <w:t xml:space="preserve"> </w:t>
      </w:r>
      <w:r>
        <w:t xml:space="preserve">peptide endogeno di 43 aminoacidi, presente in quasi tutte le cellule; funzione principale: lega la proteina strutturale actina e regola così forma e movimento delle cellule. Per gli studi viene prodotta per via sintetica o con ingegneria genetica (ricombinante); nomi di sviluppo RGN-259 (collirio), RGN-352 (iniezione), NL005 (ricombinante, Cina).</w:t>
      </w:r>
    </w:p>
    <w:p>
      <w:pPr>
        <w:numPr>
          <w:ilvl w:val="0"/>
          <w:numId w:val="1119"/>
        </w:numPr>
        <w:pStyle w:val="Compact"/>
      </w:pPr>
      <w:r>
        <w:rPr>
          <w:bCs/>
          <w:b/>
        </w:rPr>
        <w:t xml:space="preserve">TB-500:</w:t>
      </w:r>
      <w:r>
        <w:t xml:space="preserve"> </w:t>
      </w:r>
      <w:r>
        <w:t xml:space="preserve">il frammento degli aminoacidi da 17 a 23 della Tβ4, modificato chimicamente all’inizio (acetilato), sequenza Ac-LKKTETQ (Esposito 2012, PMID 22962027). Comparso originariamente come farmaco veterinario negli sport equestri.</w:t>
      </w:r>
    </w:p>
    <w:p>
      <w:pPr>
        <w:numPr>
          <w:ilvl w:val="0"/>
          <w:numId w:val="1119"/>
        </w:numPr>
        <w:pStyle w:val="Compact"/>
      </w:pPr>
      <w:r>
        <w:rPr>
          <w:bCs/>
          <w:b/>
        </w:rPr>
        <w:t xml:space="preserve">Principio d’azione (ipotizzato):</w:t>
      </w:r>
      <w:r>
        <w:t xml:space="preserve"> </w:t>
      </w:r>
      <w:r>
        <w:t xml:space="preserve">promozione della migrazione cellulare, della formazione di nuovi vasi e della guarigione delle ferite, attenuazione dell’infiammazione.</w:t>
      </w:r>
    </w:p>
    <w:p>
      <w:pPr>
        <w:numPr>
          <w:ilvl w:val="0"/>
          <w:numId w:val="1119"/>
        </w:numPr>
        <w:pStyle w:val="Compact"/>
      </w:pPr>
      <w:r>
        <w:rPr>
          <w:bCs/>
          <w:b/>
        </w:rPr>
        <w:t xml:space="preserve">Autorizzazione UE/USA:</w:t>
      </w:r>
      <w:r>
        <w:t xml:space="preserve"> </w:t>
      </w:r>
      <w:r>
        <w:t xml:space="preserve">né la Tβ4 né TB-500 sono autorizzati.</w:t>
      </w:r>
    </w:p>
    <w:p>
      <w:pPr>
        <w:numPr>
          <w:ilvl w:val="0"/>
          <w:numId w:val="1119"/>
        </w:numPr>
        <w:pStyle w:val="Compact"/>
      </w:pPr>
      <w:r>
        <w:rPr>
          <w:bCs/>
          <w:b/>
        </w:rPr>
        <w:t xml:space="preserve">WADA:</w:t>
      </w:r>
      <w:r>
        <w:t xml:space="preserve"> </w:t>
      </w:r>
      <w:r>
        <w:t xml:space="preserve">vietato (S2, fattori di crescita; «timosina-β4 e i suoi derivati, ad es. TB-500» sono citati espressamente).</w:t>
      </w:r>
    </w:p>
    <w:p>
      <w:pPr>
        <w:numPr>
          <w:ilvl w:val="0"/>
          <w:numId w:val="1119"/>
        </w:numPr>
        <w:pStyle w:val="Compact"/>
      </w:pPr>
      <w:r>
        <w:rPr>
          <w:bCs/>
          <w:b/>
        </w:rPr>
        <w:t xml:space="preserve">Livello di evidenza:</w:t>
      </w:r>
      <w:r>
        <w:t xml:space="preserve"> </w:t>
      </w:r>
      <w:r>
        <w:rPr>
          <w:bCs/>
          <w:b/>
        </w:rPr>
        <w:t xml:space="preserve">B</w:t>
      </w:r>
      <w:r>
        <w:t xml:space="preserve"> </w:t>
      </w:r>
      <w:r>
        <w:t xml:space="preserve">per la timosina beta 4 (studi randomizzati, per lo più piccoli; grandi studi di fase 3 sull’occhio secco senza un chiaro beneficio) ·</w:t>
      </w:r>
      <w:r>
        <w:t xml:space="preserve"> </w:t>
      </w:r>
      <w:r>
        <w:rPr>
          <w:bCs/>
          <w:b/>
        </w:rPr>
        <w:t xml:space="preserve">D</w:t>
      </w:r>
      <w:r>
        <w:t xml:space="preserve"> </w:t>
      </w:r>
      <w:r>
        <w:t xml:space="preserve">per TB-500 (nessuno studio sull’uomo pubblicato).</w:t>
      </w:r>
    </w:p>
    <w:bookmarkEnd w:id="360"/>
    <w:bookmarkStart w:id="361" w:name="come-dovrebbe-agire-16"/>
    <w:p>
      <w:pPr>
        <w:pStyle w:val="Heading3"/>
      </w:pPr>
      <w:r>
        <w:t xml:space="preserve">Come dovrebbe agire</w:t>
      </w:r>
    </w:p>
    <w:p>
      <w:pPr>
        <w:pStyle w:val="FirstParagraph"/>
      </w:pPr>
      <w:r>
        <w:t xml:space="preserve">Nelle cellule la Tβ4 è la proteina più importante che lega e «parcheggia» singole unità di actina. L’actina forma l’impalcatura interna della cellula; quando una cellula deve muoversi – per esempio per chiudere una ferita – questa impalcatura deve essere rimodellata rapidamente. La Tβ4 mette a disposizione le unità necessarie.</w:t>
      </w:r>
    </w:p>
    <w:p>
      <w:pPr>
        <w:pStyle w:val="BodyText"/>
      </w:pPr>
      <w:r>
        <w:t xml:space="preserve">Al di fuori della cellula la Tβ4 ha inoltre, a quanto pare, propri effetti di segnalazione. Un lavoro di revisione descrive diverse sezioni attive nella molecola: il breve tratto iniziale (Ac-SDKP) agisce negli esperimenti di laboratorio come antinfiammatorio e contro la formazione di cicatrici, la sezione da 17 a 23 (LKKTETQ) favorisce la formazione di nuovi vasi, la guarigione delle ferite e la migrazione cellulare (Sosne 2010, PMID 20179146). In esperimenti su cellule il motivo di legame all’actina, lungo sette aminoacidi, ha mostrato lo stesso effetto sulla migrazione delle cellule vascolari dell’intera molecola (Philp 2003, PMID 14500546).</w:t>
      </w:r>
    </w:p>
    <w:p>
      <w:pPr>
        <w:pStyle w:val="BodyText"/>
      </w:pPr>
      <w:r>
        <w:t xml:space="preserve">Su questo risultato di laboratorio si basa l’idea di TB-500: se il breve frammento porta l’effetto, basta produrre solo quello, in modo più economico e semplice dell’intera proteina. Tuttavia non è stata usata esattamente la sequenza naturale, ma una forma acetilata all’inizio. Uno studio sulla degradazione ha rilevato che TB-500 viene scomposto rapidamente e che negli esperimenti su cellule non era il peptide di partenza, ma un prodotto di degradazione (Ac-LKKTE), a favorire la guarigione delle ferite (Rahaman 2024, PMID 38382158). Che TB-500 nell’organismo faccia lo stesso della Tβ4 non è quindi dimostrato. Una revisione ortopedica del 2026 sottolinea che TB-500 viene spesso equiparato alla Tβ4, anche se non è documentata alcuna equivalenza biologica o clinica (Tham 2026, PMID 42937313).</w:t>
      </w:r>
    </w:p>
    <w:bookmarkEnd w:id="361"/>
    <w:bookmarkStart w:id="366" w:name="studi-sulluomo-16"/>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w:t>
      </w:r>
      <w:r>
        <w:t xml:space="preserve"> </w:t>
      </w:r>
      <w:r>
        <w:t xml:space="preserve">pubblicazioni classificate come studio sull’uomo e</w:t>
      </w:r>
      <w:r>
        <w:t xml:space="preserve"> </w:t>
      </w:r>
      <w:r>
        <w:rPr>
          <w:bCs/>
          <w:b/>
        </w:rPr>
        <w:t xml:space="preserve">18</w:t>
      </w:r>
      <w:r>
        <w:t xml:space="preserve"> </w:t>
      </w:r>
      <w:r>
        <w:t xml:space="preserve">voci su ClinicalTrials.gov. Delle nove pubblicazioni, solo sei studiano effettivamente la Tβ4 come principio attivo; le altre misurano la Tβ4 nel sangue o riguardano altre questioni.</w:t>
      </w:r>
      <w:r>
        <w:t xml:space="preserve"> </w:t>
      </w:r>
      <w:r>
        <w:rPr>
          <w:bCs/>
          <w:b/>
        </w:rPr>
        <w:t xml:space="preserve">Nessuno</w:t>
      </w:r>
      <w:r>
        <w:t xml:space="preserve"> </w:t>
      </w:r>
      <w:r>
        <w:t xml:space="preserve">studio pubblicato ha studiato TB-500 sull’uomo.</w:t>
      </w:r>
    </w:p>
    <w:bookmarkStart w:id="362" w:name="collirio-rgn-259"/>
    <w:p>
      <w:pPr>
        <w:pStyle w:val="Heading4"/>
      </w:pPr>
      <w:r>
        <w:t xml:space="preserve">Collirio (RGN-259)</w:t>
      </w:r>
    </w:p>
    <w:p>
      <w:pPr>
        <w:pStyle w:val="FirstParagraph"/>
      </w:pPr>
      <w:r>
        <w:t xml:space="preserve">La Tβ4 è più avanzata come collirio. L’azienda RegeneRx e il suo partner ReGenTree l’hanno valutata nell’occhio secco e nella cheratopatia neurotrofica, una malattia rara in cui la cornea guarisce male a causa di nervi danneggiati.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Occhio secco grave (Sosne 2015, PMID 25826322; NCT01393132)</w:t>
            </w:r>
          </w:p>
        </w:tc>
        <w:tc>
          <w:tcPr/>
          <w:p>
            <w:pPr>
              <w:pStyle w:val="Compact"/>
              <w:jc w:val="left"/>
            </w:pPr>
            <w:r>
              <w:t xml:space="preserve">9 persone, randomizzato contro soluzione veicolo</w:t>
            </w:r>
          </w:p>
        </w:tc>
        <w:tc>
          <w:tcPr/>
          <w:p>
            <w:pPr>
              <w:pStyle w:val="Compact"/>
              <w:jc w:val="left"/>
            </w:pPr>
            <w:r>
              <w:t xml:space="preserve">28 giorni più 28 giorni di follow-up</w:t>
            </w:r>
          </w:p>
        </w:tc>
        <w:tc>
          <w:tcPr/>
          <w:p>
            <w:pPr>
              <w:pStyle w:val="Compact"/>
              <w:jc w:val="left"/>
            </w:pPr>
            <w:r>
              <w:t xml:space="preserve">al giorno 56 disturbi inferiori del 35,1% e colorazione corneale inferiore del 59,1% rispetto alla soluzione veicolo</w:t>
            </w:r>
          </w:p>
        </w:tc>
      </w:tr>
      <w:tr>
        <w:tc>
          <w:tcPr/>
          <w:p>
            <w:pPr>
              <w:pStyle w:val="Compact"/>
              <w:jc w:val="left"/>
            </w:pPr>
            <w:r>
              <w:t xml:space="preserve">Occhio secco, modello di provocazione (Sosne 2015, PMID 26056426)</w:t>
            </w:r>
          </w:p>
        </w:tc>
        <w:tc>
          <w:tcPr/>
          <w:p>
            <w:pPr>
              <w:pStyle w:val="Compact"/>
              <w:jc w:val="left"/>
            </w:pPr>
            <w:r>
              <w:t xml:space="preserve">72 persone, RCT</w:t>
            </w:r>
          </w:p>
        </w:tc>
        <w:tc>
          <w:tcPr/>
          <w:p>
            <w:pPr>
              <w:pStyle w:val="Compact"/>
              <w:jc w:val="left"/>
            </w:pPr>
            <w:r>
              <w:t xml:space="preserve">28 giorni</w:t>
            </w:r>
          </w:p>
        </w:tc>
        <w:tc>
          <w:tcPr/>
          <w:p>
            <w:pPr>
              <w:pStyle w:val="Compact"/>
              <w:jc w:val="left"/>
            </w:pPr>
            <w:r>
              <w:t xml:space="preserve">entrambi gli endpoint primari non significativi; singoli endpoint secondari migliori</w:t>
            </w:r>
          </w:p>
        </w:tc>
      </w:tr>
      <w:tr>
        <w:tc>
          <w:tcPr/>
          <w:p>
            <w:pPr>
              <w:pStyle w:val="Compact"/>
              <w:jc w:val="left"/>
            </w:pPr>
            <w:r>
              <w:t xml:space="preserve">ARISE-2 (NCT02974907)</w:t>
            </w:r>
          </w:p>
        </w:tc>
        <w:tc>
          <w:tcPr/>
          <w:p>
            <w:pPr>
              <w:pStyle w:val="Compact"/>
              <w:jc w:val="left"/>
            </w:pPr>
            <w:r>
              <w:t xml:space="preserve">601 persone, fase 3, RCT</w:t>
            </w:r>
          </w:p>
        </w:tc>
        <w:tc>
          <w:tcPr/>
          <w:p>
            <w:pPr>
              <w:pStyle w:val="Compact"/>
              <w:jc w:val="left"/>
            </w:pPr>
            <w:r>
              <w:t xml:space="preserve">28 giorni</w:t>
            </w:r>
          </w:p>
        </w:tc>
        <w:tc>
          <w:tcPr/>
          <w:p>
            <w:pPr>
              <w:pStyle w:val="Compact"/>
              <w:jc w:val="left"/>
            </w:pPr>
            <w:r>
              <w:t xml:space="preserve">endpoint primari, secondo i risultati del registro, praticamente uguali nei due gruppi</w:t>
            </w:r>
          </w:p>
        </w:tc>
      </w:tr>
      <w:tr>
        <w:tc>
          <w:tcPr/>
          <w:p>
            <w:pPr>
              <w:pStyle w:val="Compact"/>
              <w:jc w:val="left"/>
            </w:pPr>
            <w:r>
              <w:t xml:space="preserve">ARISE-3 (NCT03937882)</w:t>
            </w:r>
          </w:p>
        </w:tc>
        <w:tc>
          <w:tcPr/>
          <w:p>
            <w:pPr>
              <w:pStyle w:val="Compact"/>
              <w:jc w:val="left"/>
            </w:pPr>
            <w:r>
              <w:t xml:space="preserve">700 persone, fase 3, RCT</w:t>
            </w:r>
          </w:p>
        </w:tc>
        <w:tc>
          <w:tcPr/>
          <w:p>
            <w:pPr>
              <w:pStyle w:val="Compact"/>
              <w:jc w:val="left"/>
            </w:pPr>
            <w:r>
              <w:t xml:space="preserve">14 giorni</w:t>
            </w:r>
          </w:p>
        </w:tc>
        <w:tc>
          <w:tcPr/>
          <w:p>
            <w:pPr>
              <w:pStyle w:val="Compact"/>
              <w:jc w:val="left"/>
            </w:pPr>
            <w:r>
              <w:t xml:space="preserve">colorazione corneale −0,41 vs. −0,46 punti, disturbi −0,4 vs. −0,4 punti (Tβ4 vs. placebo)</w:t>
            </w:r>
          </w:p>
        </w:tc>
      </w:tr>
      <w:tr>
        <w:tc>
          <w:tcPr/>
          <w:p>
            <w:pPr>
              <w:pStyle w:val="Compact"/>
              <w:jc w:val="left"/>
            </w:pPr>
            <w:r>
              <w:t xml:space="preserve">SEER-1, cheratopatia neurotrofica (Sosne 2022, PMID 36613994)</w:t>
            </w:r>
          </w:p>
        </w:tc>
        <w:tc>
          <w:tcPr/>
          <w:p>
            <w:pPr>
              <w:pStyle w:val="Compact"/>
              <w:jc w:val="left"/>
            </w:pPr>
            <w:r>
              <w:t xml:space="preserve">18 persone, fase 3, RCT</w:t>
            </w:r>
          </w:p>
        </w:tc>
        <w:tc>
          <w:tcPr/>
          <w:p>
            <w:pPr>
              <w:pStyle w:val="Compact"/>
              <w:jc w:val="left"/>
            </w:pPr>
            <w:r>
              <w:t xml:space="preserve">4 settimane più 2 settimane</w:t>
            </w:r>
          </w:p>
        </w:tc>
        <w:tc>
          <w:tcPr/>
          <w:p>
            <w:pPr>
              <w:pStyle w:val="Compact"/>
              <w:jc w:val="left"/>
            </w:pPr>
            <w:r>
              <w:t xml:space="preserve">guarigione completa in 6 su 10 vs. 1 su 8 (p = 0,0656, non significativo)</w:t>
            </w:r>
          </w:p>
        </w:tc>
      </w:tr>
    </w:tbl>
    <w:p>
      <w:pPr>
        <w:pStyle w:val="BodyText"/>
      </w:pPr>
      <w:r>
        <w:t xml:space="preserve">Lo schema è tipico di un farmaco con beneficio incerto: piccoli studi mostrano segnali favorevoli, grandi studi non li confermano. Il piccolo studio con nove persone ha trovato miglioramenti netti (Sosne 2015, PMID 25826322). Già lo studio con 72 persone ha però mancato entrambi gli endpoint primari stabiliti in anticipo; gli autori hanno sottolineato invece i miglioramenti degli endpoint secondari (Sosne 2015, PMID 26056426). Nei due grandi studi di fase 3 ARISE-2 e ARISE-3, con complessivamente circa 1.300 partecipanti, i valori degli endpoint primari erano, secondo i risultati pubblicati nel registro, quasi alla pari nel gruppo Tβ4 e nel gruppo placebo (NCT02974907; NCT03937882). Una pubblicazione su rivista di questi risultati non è stata trovata su PubMed.</w:t>
      </w:r>
    </w:p>
    <w:p>
      <w:pPr>
        <w:pStyle w:val="BodyText"/>
      </w:pPr>
      <w:r>
        <w:t xml:space="preserve">Nella cheratopatia neurotrofica, nel piccolo studio di fase 3 SEER-1, sono guariti più occhi con la Tβ4 che con il placebo; la differenza ha però mancato di poco la significatività statistica, e lo studio comprendeva solo 18 persone (Sosne 2022, PMID 36613994). Una revisione Cochrane del 2025 ha valutato lo studio con «bassa affidabilità» e non ha trovato una differenza certa (Kruoch 2025, PMID 41347649). Uno studio successivo più ampio (SEER-2) è in corso.</w:t>
      </w:r>
    </w:p>
    <w:bookmarkEnd w:id="362"/>
    <w:bookmarkStart w:id="363" w:name="cuore"/>
    <w:p>
      <w:pPr>
        <w:pStyle w:val="Heading4"/>
      </w:pPr>
      <w:r>
        <w:t xml:space="preserve">Cuore</w:t>
      </w:r>
    </w:p>
    <w:p>
      <w:pPr>
        <w:pStyle w:val="FirstParagraph"/>
      </w:pPr>
      <w:r>
        <w:t xml:space="preserve">La Tβ4 è stata sviluppata come farmaco per il cuore sulla base di spettacolari esperimenti sui topi (si vedano gli studi su animali e in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Sicurezza, infusione (Ruff 2010, PMID 20536472)</w:t>
            </w:r>
          </w:p>
        </w:tc>
        <w:tc>
          <w:tcPr/>
          <w:p>
            <w:pPr>
              <w:pStyle w:val="Compact"/>
              <w:jc w:val="left"/>
            </w:pPr>
            <w:r>
              <w:t xml:space="preserve">40 sani in 4 gruppi di dose, RCT</w:t>
            </w:r>
          </w:p>
        </w:tc>
        <w:tc>
          <w:tcPr/>
          <w:p>
            <w:pPr>
              <w:pStyle w:val="Compact"/>
              <w:jc w:val="left"/>
            </w:pPr>
            <w:r>
              <w:t xml:space="preserve">una volta, poi 14 giorni ogni giorno</w:t>
            </w:r>
          </w:p>
        </w:tc>
        <w:tc>
          <w:tcPr/>
          <w:p>
            <w:pPr>
              <w:pStyle w:val="Compact"/>
              <w:jc w:val="left"/>
            </w:pPr>
            <w:r>
              <w:t xml:space="preserve">nessuna tossicità dose-limitante, nessun effetto collaterale grave</w:t>
            </w:r>
          </w:p>
        </w:tc>
      </w:tr>
      <w:tr>
        <w:tc>
          <w:tcPr/>
          <w:p>
            <w:pPr>
              <w:pStyle w:val="Compact"/>
              <w:jc w:val="left"/>
            </w:pPr>
            <w:r>
              <w:t xml:space="preserve">Tβ4 ricombinante NL005, fase 1 (Wang 2021, PMID 34346165)</w:t>
            </w:r>
          </w:p>
        </w:tc>
        <w:tc>
          <w:tcPr/>
          <w:p>
            <w:pPr>
              <w:pStyle w:val="Compact"/>
              <w:jc w:val="left"/>
            </w:pPr>
            <w:r>
              <w:t xml:space="preserve">54 sani (dose singola) e 30 sani (dose multipla), RCT</w:t>
            </w:r>
          </w:p>
        </w:tc>
        <w:tc>
          <w:tcPr/>
          <w:p>
            <w:pPr>
              <w:pStyle w:val="Compact"/>
              <w:jc w:val="left"/>
            </w:pPr>
            <w:r>
              <w:t xml:space="preserve">fino a 10 giorni più 28 giorni</w:t>
            </w:r>
          </w:p>
        </w:tc>
        <w:tc>
          <w:tcPr/>
          <w:p>
            <w:pPr>
              <w:pStyle w:val="Compact"/>
              <w:jc w:val="left"/>
            </w:pPr>
            <w:r>
              <w:t xml:space="preserve">effetti collaterali da lievi a moderati, nessuno grave</w:t>
            </w:r>
          </w:p>
        </w:tc>
      </w:tr>
      <w:tr>
        <w:tc>
          <w:tcPr/>
          <w:p>
            <w:pPr>
              <w:pStyle w:val="Compact"/>
              <w:jc w:val="left"/>
            </w:pPr>
            <w:r>
              <w:t xml:space="preserve">NL005 nell’infarto (Zhang 2025, PMID 41229390)</w:t>
            </w:r>
          </w:p>
        </w:tc>
        <w:tc>
          <w:tcPr/>
          <w:p>
            <w:pPr>
              <w:pStyle w:val="Compact"/>
              <w:jc w:val="left"/>
            </w:pPr>
            <w:r>
              <w:t xml:space="preserve">96 persone con STEMI dopo trattamento con catetere, RCT contro placebo</w:t>
            </w:r>
          </w:p>
        </w:tc>
        <w:tc>
          <w:tcPr/>
          <w:p>
            <w:pPr>
              <w:pStyle w:val="Compact"/>
              <w:jc w:val="left"/>
            </w:pPr>
            <w:r>
              <w:t xml:space="preserve">90 giorni</w:t>
            </w:r>
          </w:p>
        </w:tc>
        <w:tc>
          <w:tcPr/>
          <w:p>
            <w:pPr>
              <w:pStyle w:val="Compact"/>
              <w:jc w:val="left"/>
            </w:pPr>
            <w:r>
              <w:t xml:space="preserve">nel complesso nessuna differenza significativa nelle dimensioni dell’infarto; vantaggio solo nel sottogruppo trattato entro 8 ore (n = 43)</w:t>
            </w:r>
          </w:p>
        </w:tc>
      </w:tr>
      <w:tr>
        <w:tc>
          <w:tcPr/>
          <w:p>
            <w:pPr>
              <w:pStyle w:val="Compact"/>
              <w:jc w:val="left"/>
            </w:pPr>
            <w:r>
              <w:t xml:space="preserve">Cellule staminali pretrattate con Tβ4 (Zhu 2016, PMID 27288307)</w:t>
            </w:r>
          </w:p>
        </w:tc>
        <w:tc>
          <w:tcPr/>
          <w:p>
            <w:pPr>
              <w:pStyle w:val="Compact"/>
              <w:jc w:val="left"/>
            </w:pPr>
            <w:r>
              <w:t xml:space="preserve">10 persone con infarto, studio pilota randomizzato</w:t>
            </w:r>
          </w:p>
        </w:tc>
        <w:tc>
          <w:tcPr/>
          <w:p>
            <w:pPr>
              <w:pStyle w:val="Compact"/>
              <w:jc w:val="left"/>
            </w:pPr>
            <w:r>
              <w:t xml:space="preserve">6 mesi</w:t>
            </w:r>
          </w:p>
        </w:tc>
        <w:tc>
          <w:tcPr/>
          <w:p>
            <w:pPr>
              <w:pStyle w:val="Compact"/>
              <w:jc w:val="left"/>
            </w:pPr>
            <w:r>
              <w:t xml:space="preserve">distanza percorsa a piedi migliorata maggiormente; la Tβ4 è stata aggiunta solo alle cellule in laboratorio, non somministrata ai pazienti</w:t>
            </w:r>
          </w:p>
        </w:tc>
      </w:tr>
    </w:tbl>
    <w:p>
      <w:pPr>
        <w:pStyle w:val="BodyText"/>
      </w:pPr>
      <w:r>
        <w:t xml:space="preserve">Lo studio cardiaco più importante è lo studio cinese su 96 pazienti con infarto. Considerando tutti i partecipanti, la Tβ4 ricombinante non ha ridotto in modo significativo le dimensioni dell’infarto dopo 90 giorni; un vantaggio è emerso solo nel sottogruppo che ha ricevuto la prima dose entro otto ore (Zhang 2025, PMID 41229390). I risultati di sottogruppo sono considerati un indizio, non una prova. Gli autori stessi chiedono ulteriori studi randomizzati.</w:t>
      </w:r>
    </w:p>
    <w:bookmarkEnd w:id="363"/>
    <w:bookmarkStart w:id="364" w:name="pelle-e-ferite"/>
    <w:p>
      <w:pPr>
        <w:pStyle w:val="Heading4"/>
      </w:pPr>
      <w:r>
        <w:t xml:space="preserve">Pelle e ferite</w:t>
      </w:r>
    </w:p>
    <w:p>
      <w:pPr>
        <w:pStyle w:val="FirstParagraph"/>
      </w:pPr>
      <w:r>
        <w:t xml:space="preserve">Negli anni Duemila RegeneRx valutò un gel di Tβ4 nelle ulcere venose delle gambe, nelle ulcere da decubito e nella malattia bollosa ereditaria epidermolisi bollosa. Lo studio sulle ulcere venose ha randomizzato 73 persone; la sicurezza era paragonabile al placebo, un effetto si poteva descrivere solo come tendenza per la concentrazione dello 0,03% (Guarnera 2010, PMID 20536470). Lo studio sull’epidermolisi bollosa è stato interrotto anticipatamente (NCT00311766). Nessuno di questi studi ha portato a un’autorizzazione.</w:t>
      </w:r>
    </w:p>
    <w:bookmarkEnd w:id="364"/>
    <w:bookmarkStart w:id="365" w:name="tb-500-sulluomo"/>
    <w:p>
      <w:pPr>
        <w:pStyle w:val="Heading4"/>
      </w:pPr>
      <w:r>
        <w:t xml:space="preserve">TB-500 sull’uomo</w:t>
      </w:r>
    </w:p>
    <w:p>
      <w:pPr>
        <w:pStyle w:val="FirstParagraph"/>
      </w:pPr>
      <w:r>
        <w:t xml:space="preserve">Per il frammento TB-500 non esiste alcuno studio sull’uomo pubblicato. Una voce di registro su TB-500 nelle malattie cardiovascolari iscritta nel 2026 (NCT07487363) si definisce nella sua stessa descrizione un esempio «fittizio» di voce di registro; non va quindi considerata uno studio reale. L’unica pubblicazione sull’uomo che menziona la Tβ4 per disturbi articolari è un sondaggio telefonico retrospettivo in cui a quattro persone era stato iniettato nel ginocchio BPC-157 insieme a Tβ4 (Lee 2021, PMID 34324435): troppo poco per qualsiasi conclusione.</w:t>
      </w:r>
    </w:p>
    <w:bookmarkEnd w:id="365"/>
    <w:bookmarkEnd w:id="366"/>
    <w:bookmarkStart w:id="367" w:name="studi-su-animali-e-in-laboratorio-16"/>
    <w:p>
      <w:pPr>
        <w:pStyle w:val="Heading3"/>
      </w:pPr>
      <w:r>
        <w:t xml:space="preserve">Studi su animali e in laboratorio</w:t>
      </w:r>
    </w:p>
    <w:p>
      <w:pPr>
        <w:pStyle w:val="FirstParagraph"/>
      </w:pPr>
      <w:r>
        <w:t xml:space="preserve">La reputazione della Tβ4 come «peptide riparatore» deriva soprattutto da due lavori pubblicati sulla rivista Nature. Nei topi con infarto indotto artificialmente la Tβ4 ha migliorato la sopravvivenza delle cellule del muscolo cardiaco e la funzione cardiaca (Bock-Marquette 2004, PMID 15565145). Un lavoro successivo ha mostrato nei topi che la Tβ4 attiva le cellule progenitrici dell’epicardio e stimola la formazione di nuovi vasi (Smart 2007, PMID 17108969). Un gruppo indipendente non ha però potuto confermare che la Tβ4, dopo un infarto, faccia nascere da queste cellule nuove cellule muscolari cardiache (Kispert 2012, PMID 22019445): un esempio di quanto siano importanti le repliche indipendenti.</w:t>
      </w:r>
    </w:p>
    <w:p>
      <w:pPr>
        <w:pStyle w:val="BodyText"/>
      </w:pPr>
      <w:r>
        <w:t xml:space="preserve">Altri risultati su animali e in laboratorio riguardano pelle, cornea, cervello, rene e fegato. Nei ratti la Tβ4 ha migliorato la sopravvivenza dei lembi cutanei (Tao 2024, PMID 38757041), nei topi la guarigione delle fratture ossee (Brady 2014, PMID 25042765). Per tendini, legamenti e muscoli – cioè proprio gli ambiti per cui TB-500 viene pubblicizzato su internet – esistono solo dati su cellule e roditori (Tham 2026, PMID 42937313). Uno studio sui ratti del 2026 ha trovato, dopo la recisione del tendine d’Achille in 32 animali, una maggiore resistenza alla rottura e una migliore struttura tissutale nel gruppo TB-500 rispetto al gruppo di controllo (Biçer 2026, PMID 42542926). È uno dei pochi studi sugli animali con il frammento effettivamente venduto.</w:t>
      </w:r>
    </w:p>
    <w:bookmarkEnd w:id="367"/>
    <w:bookmarkStart w:id="371" w:name="rischi-ed-effetti-collaterali-16"/>
    <w:p>
      <w:pPr>
        <w:pStyle w:val="Heading3"/>
      </w:pPr>
      <w:r>
        <w:t xml:space="preserve">Rischi ed effetti collaterali</w:t>
      </w:r>
    </w:p>
    <w:bookmarkStart w:id="368" w:name="documentati-timosina-beta-4"/>
    <w:p>
      <w:pPr>
        <w:pStyle w:val="Heading4"/>
      </w:pPr>
      <w:r>
        <w:t xml:space="preserve">Documentati (timosina beta 4)</w:t>
      </w:r>
    </w:p>
    <w:p>
      <w:pPr>
        <w:pStyle w:val="FirstParagraph"/>
      </w:pPr>
      <w:r>
        <w:t xml:space="preserve">Negli studi randomizzati con collirio, gel e infusione la Tβ4 è stata ben tollerata. In 40 persone sane, con infusioni fino a 1.260 mg al giorno per 14 giorni, non si sono verificati effetti collaterali dose-limitanti (Ruff 2010, PMID 20536472). Nello studio cinese di fase 1 gli effetti collaterali erano da lievi a moderati (Wang 2021, PMID 34346165). Questi studi sono però brevi e riguardano l’intera proteina di qualità farmaceutica, non i prodotti del mercato grigio.</w:t>
      </w:r>
    </w:p>
    <w:bookmarkEnd w:id="368"/>
    <w:bookmarkStart w:id="369" w:name="teorici-cancro"/>
    <w:p>
      <w:pPr>
        <w:pStyle w:val="Heading4"/>
      </w:pPr>
      <w:r>
        <w:t xml:space="preserve">Teorici: cancro</w:t>
      </w:r>
    </w:p>
    <w:p>
      <w:pPr>
        <w:pStyle w:val="FirstParagraph"/>
      </w:pPr>
      <w:r>
        <w:t xml:space="preserve">La Tβ4 favorisce la migrazione cellulare e la formazione di nuovi vasi, due proprietà che anche i tumori sfruttano per crescere e diffondersi. In campioni di tessuto di 138 pazienti con cancro della vescica una forte produzione di Tβ4 era associata a stadio avanzato, coinvolgimento linfonodale e sopravvivenza più breve (Wang 2016, PMID 27596300). In colture di cellule di cancro al seno l’aggiunta di Tβ4 ha aumentato il numero di cellule (Larsson 2007, PMID 17495241). Simili associazioni non dimostrano che la Tβ4 somministrata dall’esterno provochi il cancro. Sono però un motivo per cui gli specialisti raccomandano cautela nelle persone con una malattia tumorale o con un rischio di cancro aumentato. Mancano dati a lungo termine. La Parte IV tratta il tema in modo approfondito.</w:t>
      </w:r>
    </w:p>
    <w:bookmarkEnd w:id="369"/>
    <w:bookmarkStart w:id="370" w:name="mercato-grigio"/>
    <w:p>
      <w:pPr>
        <w:pStyle w:val="Heading4"/>
      </w:pPr>
      <w:r>
        <w:t xml:space="preserve">Mercato grigio</w:t>
      </w:r>
    </w:p>
    <w:p>
      <w:pPr>
        <w:pStyle w:val="FirstParagraph"/>
      </w:pPr>
      <w:r>
        <w:t xml:space="preserve">Ciò che viene venduto come «TB-500» non contiene in modo affidabile ciò che è scritto sull’etichetta. Un laboratorio antidoping equino ha analizzato prodotti offerti su internet e ha rilevato che il contenuto di «TB500» e «TB1000» non corrispondeva sempre alla composizione dichiarata (Delcourt 2023, PMID 36482504). Alcuni prodotti contengono il frammento, altri forse l’intera Tβ4, altri ancora contaminanti. A ciò si aggiungono i noti rischi delle iniezioni non sterili. Il fatto che i laboratori antidoping equini avessero sviluppato metodi di rilevamento per TB-500 già nel 2012 (Ho 2012, PMID 23084823) mostra da quale ambito provenga il prodotto: da quello veterinario, non dalla medicina umana.</w:t>
      </w:r>
    </w:p>
    <w:bookmarkEnd w:id="370"/>
    <w:bookmarkEnd w:id="371"/>
    <w:bookmarkStart w:id="372" w:name="quadro-normativo-16"/>
    <w:p>
      <w:pPr>
        <w:pStyle w:val="Heading3"/>
      </w:pPr>
      <w:r>
        <w:t xml:space="preserve">Quadro normativo</w:t>
      </w:r>
    </w:p>
    <w:p>
      <w:pPr>
        <w:pStyle w:val="FirstParagraph"/>
      </w:pPr>
      <w:r>
        <w:rPr>
          <w:iCs/>
          <w:i/>
        </w:rPr>
        <w:t xml:space="preserve">Aggiornato al 2026, da verificare.</w:t>
      </w:r>
    </w:p>
    <w:p>
      <w:pPr>
        <w:numPr>
          <w:ilvl w:val="0"/>
          <w:numId w:val="1120"/>
        </w:numPr>
        <w:pStyle w:val="Compact"/>
      </w:pPr>
      <w:r>
        <w:rPr>
          <w:bCs/>
          <w:b/>
        </w:rPr>
        <w:t xml:space="preserve">UE, Germania, Austria:</w:t>
      </w:r>
      <w:r>
        <w:t xml:space="preserve"> </w:t>
      </w:r>
      <w:r>
        <w:t xml:space="preserve">né la Tβ4 né TB-500 sono autorizzati come medicinali. La cessione per l’uso sull’uomo non è consentita; i prodotti con la dicitura «solo per scopi di ricerca» non cambiano nulla.</w:t>
      </w:r>
    </w:p>
    <w:p>
      <w:pPr>
        <w:numPr>
          <w:ilvl w:val="0"/>
          <w:numId w:val="1120"/>
        </w:numPr>
        <w:pStyle w:val="Compact"/>
      </w:pPr>
      <w:r>
        <w:rPr>
          <w:bCs/>
          <w:b/>
        </w:rPr>
        <w:t xml:space="preserve">USA:</w:t>
      </w:r>
      <w:r>
        <w:t xml:space="preserve"> </w:t>
      </w:r>
      <w:r>
        <w:t xml:space="preserve">nessuna autorizzazione FDA. Secondo le conoscenze dell’autore, nel 2023 la FDA ha assegnato il frammento di Tβ4 (TB-500), come BPC-157, alla categoria 2 delle sostanze di partenza per preparazioni galeniche, cioè alle sostanze con rilevanti problemi di sicurezza; la valutazione dei peptidi per le preparazioni galeniche è attualmente oggetto di un dibattito controverso (Willis 2026, PMID 42752426).</w:t>
      </w:r>
    </w:p>
    <w:p>
      <w:pPr>
        <w:numPr>
          <w:ilvl w:val="0"/>
          <w:numId w:val="1120"/>
        </w:numPr>
        <w:pStyle w:val="Compact"/>
      </w:pPr>
      <w:r>
        <w:rPr>
          <w:bCs/>
          <w:b/>
        </w:rPr>
        <w:t xml:space="preserve">WADA:</w:t>
      </w:r>
      <w:r>
        <w:t xml:space="preserve"> </w:t>
      </w:r>
      <w:r>
        <w:t xml:space="preserve">la Tβ4 e i suoi derivati come TB-500 sono espressamente vietati nella classe S2 (ormoni peptidici, fattori di crescita), in gara e fuori gara. È vietata anche negli sport equestri (Delcourt 2025, PMID 39314109).</w:t>
      </w:r>
    </w:p>
    <w:bookmarkEnd w:id="372"/>
    <w:bookmarkStart w:id="373" w:name="studi-in-corso-e-prospettive-16"/>
    <w:p>
      <w:pPr>
        <w:pStyle w:val="Heading3"/>
      </w:pPr>
      <w:r>
        <w:t xml:space="preserve">Studi in corso e prospettive</w:t>
      </w:r>
    </w:p>
    <w:p>
      <w:pPr>
        <w:pStyle w:val="FirstParagraph"/>
      </w:pPr>
      <w:r>
        <w:rPr>
          <w:bCs/>
          <w:b/>
        </w:rPr>
        <w:t xml:space="preserve">Certo (secondo il registro):</w:t>
      </w:r>
    </w:p>
    <w:p>
      <w:pPr>
        <w:numPr>
          <w:ilvl w:val="0"/>
          <w:numId w:val="1121"/>
        </w:numPr>
        <w:pStyle w:val="Compact"/>
      </w:pPr>
      <w:r>
        <w:rPr>
          <w:bCs/>
          <w:b/>
        </w:rPr>
        <w:t xml:space="preserve">SEER-2 (NCT05555589):</w:t>
      </w:r>
      <w:r>
        <w:t xml:space="preserve"> </w:t>
      </w:r>
      <w:r>
        <w:t xml:space="preserve">studio di fase 3 con collirio RGN-259 nella cheratopatia neurotrofica, previste 70 persone, in reclutamento, fine dello studio stimata dal registro a maggio 2026. A ottobre 2026 i risultati non erano pubblicati.</w:t>
      </w:r>
    </w:p>
    <w:p>
      <w:pPr>
        <w:numPr>
          <w:ilvl w:val="0"/>
          <w:numId w:val="1121"/>
        </w:numPr>
        <w:pStyle w:val="Compact"/>
      </w:pPr>
      <w:r>
        <w:rPr>
          <w:bCs/>
          <w:b/>
        </w:rPr>
        <w:t xml:space="preserve">NL005 nell’infarto (NCT07586865):</w:t>
      </w:r>
      <w:r>
        <w:t xml:space="preserve"> </w:t>
      </w:r>
      <w:r>
        <w:t xml:space="preserve">studio cinese di fase 2c con Tβ4 ricombinante, previste 189 persone, endpoint primario dimensioni dell’infarto alla RM cardiaca dopo 90 giorni; non ancora in reclutamento, fine stimata nel 2028. Due precedenti studi di fase 2 dello stesso produttore con 62 e 90 persone risultano conclusi secondo il registro (NCT05485818; NCT05984134).</w:t>
      </w:r>
    </w:p>
    <w:p>
      <w:pPr>
        <w:numPr>
          <w:ilvl w:val="0"/>
          <w:numId w:val="1121"/>
        </w:numPr>
        <w:pStyle w:val="Compact"/>
      </w:pPr>
      <w:r>
        <w:rPr>
          <w:bCs/>
          <w:b/>
        </w:rPr>
        <w:t xml:space="preserve">TB-500:</w:t>
      </w:r>
      <w:r>
        <w:t xml:space="preserve"> </w:t>
      </w:r>
      <w:r>
        <w:t xml:space="preserve">nessuno studio sull’uomo registrato credibile.</w:t>
      </w:r>
    </w:p>
    <w:p>
      <w:pPr>
        <w:pStyle w:val="FirstParagraph"/>
      </w:pPr>
      <w:r>
        <w:rPr>
          <w:bCs/>
          <w:b/>
        </w:rPr>
        <w:t xml:space="preserve">Valutazione dell’autore:</w:t>
      </w:r>
      <w:r>
        <w:t xml:space="preserve"> </w:t>
      </w:r>
      <w:r>
        <w:t xml:space="preserve">la possibilità più realistica di un’autorizzazione la ha la Tβ4 come collirio nella rara cheratopatia neurotrofica, dove già piccoli studi possono bastare per un’autorizzazione come medicinale per malattie rare, se SEER-2 darà esito positivo. Nell’occhio secco i grandi dati di fase 3 depongono contro un beneficio clinicamente rilevante. Nell’infarto tutto dipende dallo studio cinese in corso. Per TB-500 come rimedio per la guarigione di tendini e muscoli non si vede, in tempi prevedibili, alcuna ricerca seria sull’uomo.</w:t>
      </w:r>
    </w:p>
    <w:bookmarkEnd w:id="373"/>
    <w:bookmarkStart w:id="374" w:name="conclusione-16"/>
    <w:p>
      <w:pPr>
        <w:pStyle w:val="Heading3"/>
      </w:pPr>
      <w:r>
        <w:t xml:space="preserve">Conclusione</w:t>
      </w:r>
    </w:p>
    <w:p>
      <w:pPr>
        <w:pStyle w:val="FirstParagraph"/>
      </w:pPr>
      <w:r>
        <w:t xml:space="preserve">La timosina beta 4 è un peptide endogeno che negli studi randomizzati come collirio e infusione è stato ben tollerato, ma il cui beneficio non è stato confermato nei grandi studi sull’occhio secco e nell’infarto si è finora intravisto solo in un sottogruppo (Zhang 2025, PMID 41229390). TB-500 è un’altra cosa: un frammento modificato che non è mai stato valutato in uno studio sull’uomo pubblicato e i cui prodotti del mercato grigio, come è stato dimostrato, non sempre contengono ciò che dichiarano. La pubblicità per TB-500 si basa su studi con l’intera proteina, e anche questi riguardano appena tendini, legamenti o muscoli. Per sportive e sportivi entrambe le sostanze sono vietate.</w:t>
      </w:r>
    </w:p>
    <w:bookmarkEnd w:id="374"/>
    <w:bookmarkEnd w:id="375"/>
    <w:bookmarkStart w:id="392" w:name="timosina-alfa-1-timalfasina"/>
    <w:p>
      <w:pPr>
        <w:pStyle w:val="Heading2"/>
      </w:pPr>
      <w:r>
        <w:t xml:space="preserve">Timosina alfa 1 (timalfasina)</w:t>
      </w:r>
    </w:p>
    <w:p>
      <w:pPr>
        <w:pStyle w:val="FirstParagraph"/>
      </w:pPr>
      <w:r>
        <w:t xml:space="preserve">La timosina alfa 1 è un caso particolare in questo gruppo. A differenza di BPC-157 o TB-500, in una serie di Paesi è un medicinale autorizzato (nome commerciale Zadaxin), è stata valutata in decine di studi randomizzati su migliaia di persone e in Cina, in alcune cliniche, fa parte della pratica quotidiana. Allo stesso tempo proprio questo peptide mostra come un quadro cambi quando piccoli studi più datati vengono sostituiti da studi grandi e condotti con cura. In Europa e negli USA non è autorizzata, ma viene commercializzata negli ambienti della «longevity» e del biohacking come stimolante immunitario.</w:t>
      </w:r>
    </w:p>
    <w:bookmarkStart w:id="376" w:name="scheda-17"/>
    <w:p>
      <w:pPr>
        <w:pStyle w:val="Heading3"/>
      </w:pPr>
      <w:r>
        <w:t xml:space="preserve">Scheda</w:t>
      </w:r>
    </w:p>
    <w:p>
      <w:pPr>
        <w:numPr>
          <w:ilvl w:val="0"/>
          <w:numId w:val="1122"/>
        </w:numPr>
        <w:pStyle w:val="Compact"/>
      </w:pPr>
      <w:r>
        <w:rPr>
          <w:bCs/>
          <w:b/>
        </w:rPr>
        <w:t xml:space="preserve">Tipo e struttura:</w:t>
      </w:r>
      <w:r>
        <w:t xml:space="preserve"> </w:t>
      </w:r>
      <w:r>
        <w:t xml:space="preserve">peptide di 28 aminoacidi, acetilato all’inizio (Iino 2005, PMID 15850471); frammento della proteina più grande protimosina alfa.</w:t>
      </w:r>
    </w:p>
    <w:p>
      <w:pPr>
        <w:numPr>
          <w:ilvl w:val="0"/>
          <w:numId w:val="1122"/>
        </w:numPr>
        <w:pStyle w:val="Compact"/>
      </w:pPr>
      <w:r>
        <w:rPr>
          <w:bCs/>
          <w:b/>
        </w:rPr>
        <w:t xml:space="preserve">Origine:</w:t>
      </w:r>
      <w:r>
        <w:t xml:space="preserve"> </w:t>
      </w:r>
      <w:r>
        <w:t xml:space="preserve">isolata negli anni Settanta da un estratto della ghiandola del timo («frazione 5 della timosina»); oggi sintetizzata chimicamente. Denominazione del principio attivo: timalfasina.</w:t>
      </w:r>
    </w:p>
    <w:p>
      <w:pPr>
        <w:numPr>
          <w:ilvl w:val="0"/>
          <w:numId w:val="1122"/>
        </w:numPr>
        <w:pStyle w:val="Compact"/>
      </w:pPr>
      <w:r>
        <w:rPr>
          <w:bCs/>
          <w:b/>
        </w:rPr>
        <w:t xml:space="preserve">Principio d’azione:</w:t>
      </w:r>
      <w:r>
        <w:t xml:space="preserve"> </w:t>
      </w:r>
      <w:r>
        <w:t xml:space="preserve">immunomodulatore – dovrebbe favorire la maturazione e l’attività dei linfociti T e delle cellule dendritiche.</w:t>
      </w:r>
    </w:p>
    <w:p>
      <w:pPr>
        <w:numPr>
          <w:ilvl w:val="0"/>
          <w:numId w:val="1122"/>
        </w:numPr>
        <w:pStyle w:val="Compact"/>
      </w:pPr>
      <w:r>
        <w:rPr>
          <w:bCs/>
          <w:b/>
        </w:rPr>
        <w:t xml:space="preserve">Autorizzazione UE:</w:t>
      </w:r>
      <w:r>
        <w:t xml:space="preserve"> </w:t>
      </w:r>
      <w:r>
        <w:t xml:space="preserve">nessuna autorizzazione centralizzata.</w:t>
      </w:r>
      <w:r>
        <w:t xml:space="preserve"> </w:t>
      </w:r>
      <w:r>
        <w:rPr>
          <w:bCs/>
          <w:b/>
        </w:rPr>
        <w:t xml:space="preserve">USA:</w:t>
      </w:r>
      <w:r>
        <w:t xml:space="preserve"> </w:t>
      </w:r>
      <w:r>
        <w:t xml:space="preserve">non autorizzata; nel 2023 la FDA ne ha limitato l’uso nelle farmacie galeniche (Dinetz 2024, PMID 38308608).</w:t>
      </w:r>
      <w:r>
        <w:t xml:space="preserve"> </w:t>
      </w:r>
      <w:r>
        <w:rPr>
          <w:bCs/>
          <w:b/>
        </w:rPr>
        <w:t xml:space="preserve">Altri Paesi:</w:t>
      </w:r>
      <w:r>
        <w:t xml:space="preserve"> </w:t>
      </w:r>
      <w:r>
        <w:t xml:space="preserve">autorizzata come Zadaxin, soprattutto in Cina e in altri Stati asiatici, per lo più per l’epatite B cronica e come terapia di supporto per il rafforzamento del sistema immunitario.</w:t>
      </w:r>
    </w:p>
    <w:p>
      <w:pPr>
        <w:numPr>
          <w:ilvl w:val="0"/>
          <w:numId w:val="1122"/>
        </w:numPr>
        <w:pStyle w:val="Compact"/>
      </w:pPr>
      <w:r>
        <w:rPr>
          <w:bCs/>
          <w:b/>
        </w:rPr>
        <w:t xml:space="preserve">WADA:</w:t>
      </w:r>
      <w:r>
        <w:t xml:space="preserve"> </w:t>
      </w:r>
      <w:r>
        <w:t xml:space="preserve">non elencata espressamente (aggiornato al 2026, da verificare).</w:t>
      </w:r>
    </w:p>
    <w:p>
      <w:pPr>
        <w:numPr>
          <w:ilvl w:val="0"/>
          <w:numId w:val="1122"/>
        </w:numPr>
        <w:pStyle w:val="Compact"/>
      </w:pPr>
      <w:r>
        <w:rPr>
          <w:bCs/>
          <w:b/>
        </w:rPr>
        <w:t xml:space="preserve">Livello di evidenza: B</w:t>
      </w:r>
      <w:r>
        <w:t xml:space="preserve"> </w:t>
      </w:r>
      <w:r>
        <w:t xml:space="preserve">– formalmente esistono molti studi randomizzati; i grandi studi metodologicamente migliori hanno però mancato i loro endpoint primari, e i risultati positivi provengono per lo più da piccoli studi con un alto rischio di distorsione.</w:t>
      </w:r>
    </w:p>
    <w:bookmarkEnd w:id="376"/>
    <w:bookmarkStart w:id="377" w:name="come-dovrebbe-agire-17"/>
    <w:p>
      <w:pPr>
        <w:pStyle w:val="Heading3"/>
      </w:pPr>
      <w:r>
        <w:t xml:space="preserve">Come dovrebbe agire</w:t>
      </w:r>
    </w:p>
    <w:p>
      <w:pPr>
        <w:pStyle w:val="FirstParagraph"/>
      </w:pPr>
      <w:r>
        <w:t xml:space="preserve">Il timo, dietro lo sterno, è la «scuola» dei linfociti T: qui questi globuli bianchi imparano a distinguere l’estraneo dal proprio. Con l’età il timo si riduce. Già presto si ipotizzò che messaggeri del timo regolassero le difese, e li si cercò negli estratti di timo. La timosina alfa 1 fu una delle prime sostanze identificate in questo modo.</w:t>
      </w:r>
    </w:p>
    <w:p>
      <w:pPr>
        <w:pStyle w:val="BodyText"/>
      </w:pPr>
      <w:r>
        <w:t xml:space="preserve">Negli esperimenti di laboratorio e sugli animali la timosina alfa 1 attiva le cellule dendritiche – le «sentinelle» del sistema immunitario – attraverso i cosiddetti recettori Toll-like, aumenta l’espressione di molecole di riconoscimento sulle cellule e potenzia l’effetto dell’interferone (Garaci 2007, PMID 17600290). Da qui derivarono le tre grandi idee di impiego:</w:t>
      </w:r>
    </w:p>
    <w:p>
      <w:pPr>
        <w:numPr>
          <w:ilvl w:val="0"/>
          <w:numId w:val="1123"/>
        </w:numPr>
        <w:pStyle w:val="Compact"/>
      </w:pPr>
      <w:r>
        <w:rPr>
          <w:bCs/>
          <w:b/>
        </w:rPr>
        <w:t xml:space="preserve">Infezioni virali croniche</w:t>
      </w:r>
      <w:r>
        <w:t xml:space="preserve"> </w:t>
      </w:r>
      <w:r>
        <w:t xml:space="preserve">(epatite B e C), in cui il sistema immunitario non elimina il virus con le proprie forze.</w:t>
      </w:r>
    </w:p>
    <w:p>
      <w:pPr>
        <w:numPr>
          <w:ilvl w:val="0"/>
          <w:numId w:val="1123"/>
        </w:numPr>
        <w:pStyle w:val="Compact"/>
      </w:pPr>
      <w:r>
        <w:rPr>
          <w:bCs/>
          <w:b/>
        </w:rPr>
        <w:t xml:space="preserve">Sepsi e infezioni gravi</w:t>
      </w:r>
      <w:r>
        <w:t xml:space="preserve">, in cui a una reazione eccessiva iniziale segue spesso una fase di immunodepressione.</w:t>
      </w:r>
    </w:p>
    <w:p>
      <w:pPr>
        <w:numPr>
          <w:ilvl w:val="0"/>
          <w:numId w:val="1123"/>
        </w:numPr>
        <w:pStyle w:val="Compact"/>
      </w:pPr>
      <w:r>
        <w:rPr>
          <w:bCs/>
          <w:b/>
        </w:rPr>
        <w:t xml:space="preserve">Cancro</w:t>
      </w:r>
      <w:r>
        <w:t xml:space="preserve">, come integrazione a chemioterapia, radioterapia e immunoterapia.</w:t>
      </w:r>
    </w:p>
    <w:p>
      <w:pPr>
        <w:pStyle w:val="FirstParagraph"/>
      </w:pPr>
      <w:r>
        <w:t xml:space="preserve">L’emivita nel sangue è di circa due ore; dopo 24 ore il livello è tornato al valore iniziale (Ancell 2001, PMID 11381492).</w:t>
      </w:r>
    </w:p>
    <w:bookmarkEnd w:id="377"/>
    <w:bookmarkStart w:id="384" w:name="studi-sulluomo-17"/>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90</w:t>
      </w:r>
      <w:r>
        <w:t xml:space="preserve"> </w:t>
      </w:r>
      <w:r>
        <w:t xml:space="preserve">studi sull’uomo su PubMed e</w:t>
      </w:r>
      <w:r>
        <w:t xml:space="preserve"> </w:t>
      </w:r>
      <w:r>
        <w:rPr>
          <w:bCs/>
          <w:b/>
        </w:rPr>
        <w:t xml:space="preserve">66</w:t>
      </w:r>
      <w:r>
        <w:t xml:space="preserve"> </w:t>
      </w:r>
      <w:r>
        <w:t xml:space="preserve">voci su ClinicalTrials.gov, oltre a 15 meta-analisi e revisioni sistematiche. Gran parte degli studi proviene dalla Cina ed è piccola. Una revisione del 2024 che riassume oltre 30 studi con più di 11.000 persone è stata scritta espressamente per argomentare contro la limitazione della FDA (Dinetz 2024, PMID 38308608); non va quindi letta come una valutazione neutrale.</w:t>
      </w:r>
    </w:p>
    <w:bookmarkStart w:id="378" w:name="i-grandi-studi-più-importanti"/>
    <w:p>
      <w:pPr>
        <w:pStyle w:val="Heading4"/>
      </w:pPr>
      <w:r>
        <w:t xml:space="preserve">I grandi studi più importanti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TESTS, sepsi (Wu 2025, PMID 39814420)</w:t>
            </w:r>
          </w:p>
        </w:tc>
        <w:tc>
          <w:tcPr/>
          <w:p>
            <w:pPr>
              <w:pStyle w:val="Compact"/>
              <w:jc w:val="left"/>
            </w:pPr>
            <w:r>
              <w:t xml:space="preserve">1.106 adulti con sepsi, 22 centri in Cina, RCT in doppio cieco contro placebo</w:t>
            </w:r>
          </w:p>
        </w:tc>
        <w:tc>
          <w:tcPr/>
          <w:p>
            <w:pPr>
              <w:pStyle w:val="Compact"/>
              <w:jc w:val="left"/>
            </w:pPr>
            <w:r>
              <w:t xml:space="preserve">7 giorni di trattamento, 28 giorni di osservazione</w:t>
            </w:r>
          </w:p>
        </w:tc>
        <w:tc>
          <w:tcPr/>
          <w:p>
            <w:pPr>
              <w:pStyle w:val="Compact"/>
              <w:jc w:val="left"/>
            </w:pPr>
            <w:r>
              <w:t xml:space="preserve">mortalità 23,4% vs. 24,1%; nessuna differenza</w:t>
            </w:r>
          </w:p>
        </w:tc>
      </w:tr>
      <w:tr>
        <w:tc>
          <w:tcPr/>
          <w:p>
            <w:pPr>
              <w:pStyle w:val="Compact"/>
              <w:jc w:val="left"/>
            </w:pPr>
            <w:r>
              <w:t xml:space="preserve">Pancreatite necrotizzante (Ke 2022, PMID 35713670)</w:t>
            </w:r>
          </w:p>
        </w:tc>
        <w:tc>
          <w:tcPr/>
          <w:p>
            <w:pPr>
              <w:pStyle w:val="Compact"/>
              <w:jc w:val="left"/>
            </w:pPr>
            <w:r>
              <w:t xml:space="preserve">508 persone, RCT in doppio cieco contro placebo</w:t>
            </w:r>
          </w:p>
        </w:tc>
        <w:tc>
          <w:tcPr/>
          <w:p>
            <w:pPr>
              <w:pStyle w:val="Compact"/>
              <w:jc w:val="left"/>
            </w:pPr>
            <w:r>
              <w:t xml:space="preserve">14 giorni di trattamento</w:t>
            </w:r>
          </w:p>
        </w:tc>
        <w:tc>
          <w:tcPr/>
          <w:p>
            <w:pPr>
              <w:pStyle w:val="Compact"/>
              <w:jc w:val="left"/>
            </w:pPr>
            <w:r>
              <w:t xml:space="preserve">necrosi infette 15,7% vs. 18,1%; nessuna differenza significativa</w:t>
            </w:r>
          </w:p>
        </w:tc>
      </w:tr>
      <w:tr>
        <w:tc>
          <w:tcPr/>
          <w:p>
            <w:pPr>
              <w:pStyle w:val="Compact"/>
              <w:jc w:val="left"/>
            </w:pPr>
            <w:r>
              <w:t xml:space="preserve">Melanoma (Maio 2010, PMID 20194853)</w:t>
            </w:r>
          </w:p>
        </w:tc>
        <w:tc>
          <w:tcPr/>
          <w:p>
            <w:pPr>
              <w:pStyle w:val="Compact"/>
              <w:jc w:val="left"/>
            </w:pPr>
            <w:r>
              <w:t xml:space="preserve">488 persone con melanoma metastatico, RCT con 5 gruppi</w:t>
            </w:r>
          </w:p>
        </w:tc>
        <w:tc>
          <w:tcPr/>
          <w:p>
            <w:pPr>
              <w:pStyle w:val="Compact"/>
              <w:jc w:val="left"/>
            </w:pPr>
            <w:r>
              <w:t xml:space="preserve">fino a 24 mesi</w:t>
            </w:r>
          </w:p>
        </w:tc>
        <w:tc>
          <w:tcPr/>
          <w:p>
            <w:pPr>
              <w:pStyle w:val="Compact"/>
              <w:jc w:val="left"/>
            </w:pPr>
            <w:r>
              <w:t xml:space="preserve">più risposte tumorali in due gruppi Tα1; sopravvivenza globale 9,4 vs. 6,6 mesi, non significativa (p = 0,08)</w:t>
            </w:r>
          </w:p>
        </w:tc>
      </w:tr>
      <w:tr>
        <w:tc>
          <w:tcPr/>
          <w:p>
            <w:pPr>
              <w:pStyle w:val="Compact"/>
              <w:jc w:val="left"/>
            </w:pPr>
            <w:r>
              <w:t xml:space="preserve">Cirrosi da epatite B (Wu 2018, PMID 30063860)</w:t>
            </w:r>
          </w:p>
        </w:tc>
        <w:tc>
          <w:tcPr/>
          <w:p>
            <w:pPr>
              <w:pStyle w:val="Compact"/>
              <w:jc w:val="left"/>
            </w:pPr>
            <w:r>
              <w:t xml:space="preserve">690 persone, RCT in aperto, Tα1 più entecavir vs. solo entecavir</w:t>
            </w:r>
          </w:p>
        </w:tc>
        <w:tc>
          <w:tcPr/>
          <w:p>
            <w:pPr>
              <w:pStyle w:val="Compact"/>
              <w:jc w:val="left"/>
            </w:pPr>
            <w:r>
              <w:t xml:space="preserve">mediana 38,2 mesi</w:t>
            </w:r>
          </w:p>
        </w:tc>
        <w:tc>
          <w:tcPr/>
          <w:p>
            <w:pPr>
              <w:pStyle w:val="Compact"/>
              <w:jc w:val="left"/>
            </w:pPr>
            <w:r>
              <w:t xml:space="preserve">nessuna differenza per insufficienza epatica, cancro del fegato o decesso</w:t>
            </w:r>
          </w:p>
        </w:tc>
      </w:tr>
      <w:tr>
        <w:tc>
          <w:tcPr/>
          <w:p>
            <w:pPr>
              <w:pStyle w:val="Compact"/>
              <w:jc w:val="left"/>
            </w:pPr>
            <w:r>
              <w:t xml:space="preserve">Epatite B, Giappone (Iino 2005, PMID 15850471)</w:t>
            </w:r>
          </w:p>
        </w:tc>
        <w:tc>
          <w:tcPr/>
          <w:p>
            <w:pPr>
              <w:pStyle w:val="Compact"/>
              <w:jc w:val="left"/>
            </w:pPr>
            <w:r>
              <w:t xml:space="preserve">316 persone, confronto tra due dosi, nessun gruppo placebo</w:t>
            </w:r>
          </w:p>
        </w:tc>
        <w:tc>
          <w:tcPr/>
          <w:p>
            <w:pPr>
              <w:pStyle w:val="Compact"/>
              <w:jc w:val="left"/>
            </w:pPr>
            <w:r>
              <w:t xml:space="preserve">24 settimane più 48 settimane</w:t>
            </w:r>
          </w:p>
        </w:tc>
        <w:tc>
          <w:tcPr/>
          <w:p>
            <w:pPr>
              <w:pStyle w:val="Compact"/>
              <w:jc w:val="left"/>
            </w:pPr>
            <w:r>
              <w:t xml:space="preserve">perdita dell’antigene HBe nel 22,8% con la dose più alta</w:t>
            </w:r>
          </w:p>
        </w:tc>
      </w:tr>
      <w:tr>
        <w:tc>
          <w:tcPr/>
          <w:p>
            <w:pPr>
              <w:pStyle w:val="Compact"/>
              <w:jc w:val="left"/>
            </w:pPr>
            <w:r>
              <w:t xml:space="preserve">Epatite B, fase 3 (Mutchnick 1999, PMID 10607256)</w:t>
            </w:r>
          </w:p>
        </w:tc>
        <w:tc>
          <w:tcPr/>
          <w:p>
            <w:pPr>
              <w:pStyle w:val="Compact"/>
              <w:jc w:val="left"/>
            </w:pPr>
            <w:r>
              <w:t xml:space="preserve">97 persone, RCT in doppio cieco contro placebo</w:t>
            </w:r>
          </w:p>
        </w:tc>
        <w:tc>
          <w:tcPr/>
          <w:p>
            <w:pPr>
              <w:pStyle w:val="Compact"/>
              <w:jc w:val="left"/>
            </w:pPr>
            <w:r>
              <w:t xml:space="preserve">12 mesi</w:t>
            </w:r>
          </w:p>
        </w:tc>
        <w:tc>
          <w:tcPr/>
          <w:p>
            <w:pPr>
              <w:pStyle w:val="Compact"/>
              <w:jc w:val="left"/>
            </w:pPr>
            <w:r>
              <w:t xml:space="preserve">risposta completa 14% vs. 4%, non significativa</w:t>
            </w:r>
          </w:p>
        </w:tc>
      </w:tr>
    </w:tbl>
    <w:bookmarkEnd w:id="378"/>
    <w:bookmarkStart w:id="379" w:name="epatite-b-e-c"/>
    <w:p>
      <w:pPr>
        <w:pStyle w:val="Heading4"/>
      </w:pPr>
      <w:r>
        <w:t xml:space="preserve">Epatite B e C</w:t>
      </w:r>
    </w:p>
    <w:p>
      <w:pPr>
        <w:pStyle w:val="FirstParagraph"/>
      </w:pPr>
      <w:r>
        <w:t xml:space="preserve">Le autorizzazioni in Asia si basano soprattutto su studi sull’epatite B cronica degli anni Novanta. Uno studio randomizzato su 98 persone ha trovato, 18 mesi dopo l’inizio, una risposta virologica completa nel 40,6% dopo un trattamento di sei mesi rispetto al 9,4% nel gruppo di controllo non trattato (Chien 1998, PMID 9581695). Lo studio di fase 3 in doppio cieco controllato con placebo non ha potuto confermarlo: 14% vs. 4%, statisticamente non significativo; gli autori stessi scrivono che i risultati non confermavano le osservazioni precedenti (Mutchnick 1999, PMID 10607256).</w:t>
      </w:r>
    </w:p>
    <w:p>
      <w:pPr>
        <w:pStyle w:val="BodyText"/>
      </w:pPr>
      <w:r>
        <w:t xml:space="preserve">Una meta-analisi di quattro piccoli studi con 199 persone ha rilevato che la timosina alfa 1 dava risultati peggiori dell’interferone alfa alla fine del trattamento, ma migliori sei mesi dopo (Yang 2008, PMID 18078676). Oggi la questione è in gran parte superata: le moderne compresse contro l’epatite B (per esempio entecavir) sopprimono il virus in modo affidabile. Nel grande studio su 690 persone con cirrosi epatica l’aggiunta di timosina alfa 1 a entecavir non ha portato alcun vantaggio sull’endpoint primario composto da scompenso epatico, cancro del fegato o decesso (Wu 2018, PMID 30063860). Una meta-analisi di studi cinesi sulla stessa combinazione ha sì trovato tassi di risposta migliori dopo 24 settimane, ma nessuna differenza dopo 48–52 settimane (Peng 2020, PMID 33076834).</w:t>
      </w:r>
    </w:p>
    <w:p>
      <w:pPr>
        <w:pStyle w:val="BodyText"/>
      </w:pPr>
      <w:r>
        <w:t xml:space="preserve">In una forma di decorso particolarmente grave – l’insufficienza epatica acuta su cronica nell’epatite B – la sopravvivenza a 90 giorni senza trapianto in uno studio in aperto su 120 persone era del 75,0% con la timosina alfa 1 rispetto al 53,4%; le nuove infezioni erano più rare (Chen 2022, PMID 35616850). Lo studio non era in cieco, e in un’analisi che teneva conto dei rischi competitivi la differenza di sopravvivenza non era significativa.</w:t>
      </w:r>
    </w:p>
    <w:p>
      <w:pPr>
        <w:pStyle w:val="BodyText"/>
      </w:pPr>
      <w:r>
        <w:t xml:space="preserve">Nell’epatite C la combinazione con interferone ha migliorato in studi più piccoli i valori alla fine del trattamento (Sherman 1998, PMID 9537454; Andreone 2004, PMID 14738560), ma la risposta duratura non differiva sostanzialmente. Da quando esistono compresse ad azione diretta che eliminano l’epatite C nella stragrande maggioranza dei casi, la timosina alfa 1 qui non ha più alcun ruolo.</w:t>
      </w:r>
    </w:p>
    <w:bookmarkEnd w:id="379"/>
    <w:bookmarkStart w:id="380" w:name="sepsi"/>
    <w:p>
      <w:pPr>
        <w:pStyle w:val="Heading4"/>
      </w:pPr>
      <w:r>
        <w:t xml:space="preserve">Sepsi</w:t>
      </w:r>
    </w:p>
    <w:p>
      <w:pPr>
        <w:pStyle w:val="FirstParagraph"/>
      </w:pPr>
      <w:r>
        <w:t xml:space="preserve">Nella sepsi l’evoluzione delle evidenze si mostra particolarmente bene. Le prime meta-analisi di studi cinesi per lo più piccoli trovavano una mortalità nettamente inferiore (Li 2015, PMID 25532482: rischio relativo 0,68 in 12 studi con 1.480 persone), ma segnalavano esse stesse la scarsa qualità degli studi. Il primo studio randomizzato più ampio (ETASS) con 361 persone ha trovato una mortalità a 28 giorni del 26,0% vs. 35,0%, appena al limite della significatività statistica, in singolo cieco (Wu 2013, PMID 23327199).</w:t>
      </w:r>
    </w:p>
    <w:p>
      <w:pPr>
        <w:pStyle w:val="BodyText"/>
      </w:pPr>
      <w:r>
        <w:t xml:space="preserve">In seguito lo stesso gruppo di lavoro ha pianificato lo studio finora più grande e migliore: TESTS, in doppio cieco, controllato con placebo, 1.106 adulti in 22 centri. Risultato: la mortalità a 28 giorni era del 23,4% con la timosina alfa 1 e del 24,1% con il placebo, nessuna differenza. Anche nessun endpoint secondario differiva (Wu 2025, PMID 39814420). Nei sottogruppi si intravedevano vantaggi negli ultrasessantenni e nelle persone con diabete, ma negli under 60 addirittura svantaggi; simili risultati di sottogruppo sono incerti.</w:t>
      </w:r>
    </w:p>
    <w:p>
      <w:pPr>
        <w:pStyle w:val="BodyText"/>
      </w:pPr>
      <w:r>
        <w:t xml:space="preserve">Una meta-analisi del 2025 con 11 studi randomizzati ha trovato nel complesso una mortalità inferiore, ma non considerando solo gli studi di alta qualità o solo quelli multicentrici; la quantità di dati disponibile sarebbe troppo piccola per una conclusione definitiva (Gu 2025, PMID 40969554). Molti studi cinesi combinano inoltre la timosina alfa 1 con l’ulinastatina, un altro farmaco usato in Cina; le meta-analisi di rete valutano l’affidabilità di questi risultati per lo più come bassa (Luo 2026, PMID 42205841).</w:t>
      </w:r>
    </w:p>
    <w:bookmarkEnd w:id="380"/>
    <w:bookmarkStart w:id="381" w:name="covid-19"/>
    <w:p>
      <w:pPr>
        <w:pStyle w:val="Heading4"/>
      </w:pPr>
      <w:r>
        <w:t xml:space="preserve">COVID-19</w:t>
      </w:r>
    </w:p>
    <w:p>
      <w:pPr>
        <w:pStyle w:val="FirstParagraph"/>
      </w:pPr>
      <w:r>
        <w:t xml:space="preserve">Durante la pandemia la timosina alfa 1 è stata ampiamente usata in Cina. Una prima analisi retrospettiva di 76 malati gravi a Wuhan riferiva una mortalità dell’11,1% vs. 30,0% (Liu 2020, PMID 32442287). Uno studio retrospettivo più ampio in cinque ospedali con oltre 2.200 persone ha trovato il contrario: dopo aver tenuto conto dei fattori confondenti, il trattamento era associato a un tasso più alto di mancata guarigione (Liu 2021, PMID 34408744). Un piccolo studio pilota randomizzato con 49 persone ha trovato aumenti più rapidi dei linfociti T helper, ma nessuna differenza significativa nella guarigione (Shehadeh 2023, PMID 36056913).</w:t>
      </w:r>
    </w:p>
    <w:p>
      <w:pPr>
        <w:pStyle w:val="BodyText"/>
      </w:pPr>
      <w:r>
        <w:t xml:space="preserve">Due meta-analisi sono giunte a conclusioni opposte: una con 9 studi e 5.352 persone non ha trovato alcun effetto sulla mortalità e sconsiglia l’uso negli adulti ospedalizzati (Shang 2023, PMID 36527881); un’altra con 8 studi ha trovato una mortalità inferiore, con però un’eterogeneità molto marcata tra gli studi (Soeroto 2023, PMID 37845598). Quasi tutti i dati provengono da studi osservazionali non randomizzati. Un beneficio nel COVID-19 non è quindi dimostrato.</w:t>
      </w:r>
    </w:p>
    <w:bookmarkEnd w:id="381"/>
    <w:bookmarkStart w:id="382" w:name="cancro"/>
    <w:p>
      <w:pPr>
        <w:pStyle w:val="Heading4"/>
      </w:pPr>
      <w:r>
        <w:t xml:space="preserve">Cancro</w:t>
      </w:r>
    </w:p>
    <w:p>
      <w:pPr>
        <w:pStyle w:val="FirstParagraph"/>
      </w:pPr>
      <w:r>
        <w:t xml:space="preserve">Il più grande studio oncologico randomizzato ha valutato la timosina alfa 1 nel melanoma metastatico in aggiunta alla chemioterapia con dacarbazina. In due gruppi Tα1 hanno risposto più tumori che nel gruppo di controllo (10 e 12 vs. 4 risposte); la sopravvivenza globale mediana era di 9,4 rispetto a 6,6 mesi, ma la differenza non era significativa (Maio 2010, PMID 20194853). Non è seguita alcuna autorizzazione, e la terapia del melanoma è da allora cambiata radicalmente grazie agli inibitori dei checkpoint immunitari.</w:t>
      </w:r>
    </w:p>
    <w:p>
      <w:pPr>
        <w:pStyle w:val="BodyText"/>
      </w:pPr>
      <w:r>
        <w:t xml:space="preserve">Meta-analisi di studi cinesi sul cancro del polmone e dello stomaco riferiscono tassi di risposta migliori, migliore qualità di vita e meno effetti collaterali della chemioterapia quando venivano aggiunti peptidi timici (Zeng 2019, PMID 31326719: 27 studi, 1.925 persone; Wang 2026, PMID 42827862: 20 studi, 1.704 persone). Entrambi i lavori valutano però la qualità delle evidenze da moderata a molto bassa, e i dati sulla sopravvivenza a lungo termine mancano in gran parte. Una revisione degli studi oncologici dal 2016 al 2026 ha trovato per lo più studi osservazionali retrospettivi e casi clinici dalla Cina e una rilevazione non uniforme degli effetti collaterali (Kim 2026, PMID 42797537). Studi di fase 2 più recenti combinano la timosina alfa 1 con inibitori dei checkpoint immunitari, per esempio prima dell’intervento chirurgico per cancro dello stomaco con 30 persone (Xu 2026, PMID 41749205); senza gruppo di controllo non è possibile ricavarne il contributo della timosina alfa 1.</w:t>
      </w:r>
    </w:p>
    <w:bookmarkEnd w:id="382"/>
    <w:bookmarkStart w:id="383" w:name="potenziamento-dei-vaccini"/>
    <w:p>
      <w:pPr>
        <w:pStyle w:val="Heading4"/>
      </w:pPr>
      <w:r>
        <w:t xml:space="preserve">Potenziamento dei vaccini</w:t>
      </w:r>
    </w:p>
    <w:p>
      <w:pPr>
        <w:pStyle w:val="FirstParagraph"/>
      </w:pPr>
      <w:r>
        <w:t xml:space="preserve">Già nel 1989 90 uomini tra i 65 e i 99 anni ricevettero, oltre al vaccino antinfluenzale, timosina alfa 1 o placebo; non furono osservati effetti collaterali (Gravenstein 1989, PMID 2642497). Questa idea viene oggi ripresa, per esempio nei pazienti in dialisi in relazione al COVID-19 (Tuthill 2023, PMID 36881981) e in uno studio in corso sulla dose di richiamo negli anziani (NCT06821100). Mancano dati affidabili sugli esiti, cioè meno malattie o decessi.</w:t>
      </w:r>
    </w:p>
    <w:bookmarkEnd w:id="383"/>
    <w:bookmarkEnd w:id="384"/>
    <w:bookmarkStart w:id="385" w:name="studi-su-animali-e-in-laboratorio-17"/>
    <w:p>
      <w:pPr>
        <w:pStyle w:val="Heading3"/>
      </w:pPr>
      <w:r>
        <w:t xml:space="preserve">Studi su animali e in laboratorio</w:t>
      </w:r>
    </w:p>
    <w:p>
      <w:pPr>
        <w:pStyle w:val="FirstParagraph"/>
      </w:pPr>
      <w:r>
        <w:t xml:space="preserve">Poiché la timosina alfa 1 viene studiata sull’uomo da decenni, gli studi sugli animali hanno un ruolo minore nella valutazione. Sono stati importanti per l’idea oncologica: in modelli murini di cancro del polmone, leucemia e melanoma e in un modello di ratto di metastasi epatiche, la combinazione di timosina alfa 1 con interferone o interleuchina 2 e chemioterapia ha funzionato meglio dei trattamenti singoli (Garaci 2007, PMID 17600290). Questi risultati non si sono finora potuti replicare in modo convincente nell’uomo.</w:t>
      </w:r>
    </w:p>
    <w:bookmarkEnd w:id="385"/>
    <w:bookmarkStart w:id="388" w:name="rischi-ed-effetti-collaterali-17"/>
    <w:p>
      <w:pPr>
        <w:pStyle w:val="Heading3"/>
      </w:pPr>
      <w:r>
        <w:t xml:space="preserve">Rischi ed effetti collaterali</w:t>
      </w:r>
    </w:p>
    <w:bookmarkStart w:id="386" w:name="documentati-1"/>
    <w:p>
      <w:pPr>
        <w:pStyle w:val="Heading4"/>
      </w:pPr>
      <w:r>
        <w:t xml:space="preserve">Documentati</w:t>
      </w:r>
    </w:p>
    <w:p>
      <w:pPr>
        <w:pStyle w:val="FirstParagraph"/>
      </w:pPr>
      <w:r>
        <w:t xml:space="preserve">Negli studi la timosina alfa 1 è considerata ben tollerata. Negli studi più datati è stata osservata per lo più solo un’irritazione locale nel sito di iniezione (Ancell 2001, PMID 11381492). Nel grande studio sulla sepsi TESTS gli endpoint di sicurezza non differivano dal placebo (Wu 2025, PMID 39814420). Nell’epatite B si sono verificate in parte oscillazioni degli enzimi epatici, interpretate come espressione della reazione immunitaria (Iino 2005, PMID 15850471).</w:t>
      </w:r>
    </w:p>
    <w:bookmarkEnd w:id="386"/>
    <w:bookmarkStart w:id="387" w:name="da-considerare"/>
    <w:p>
      <w:pPr>
        <w:pStyle w:val="Heading4"/>
      </w:pPr>
      <w:r>
        <w:t xml:space="preserve">Da considerare</w:t>
      </w:r>
    </w:p>
    <w:p>
      <w:pPr>
        <w:numPr>
          <w:ilvl w:val="0"/>
          <w:numId w:val="1124"/>
        </w:numPr>
        <w:pStyle w:val="Compact"/>
      </w:pPr>
      <w:r>
        <w:rPr>
          <w:bCs/>
          <w:b/>
        </w:rPr>
        <w:t xml:space="preserve">Sottogruppi con possibile danno:</w:t>
      </w:r>
      <w:r>
        <w:t xml:space="preserve"> </w:t>
      </w:r>
      <w:r>
        <w:t xml:space="preserve">in TESTS la mortalità negli under 60 era più alta con la timosina alfa 1 che con il placebo (hazard ratio 1,67) (Wu 2025, PMID 39814420); nel COVID-19 il trattamento era associato, in un grande studio osservazionale, a un decorso peggiore (Liu 2021, PMID 34408744). Entrambe le cose possono essere dovute al caso o a distorsioni, ma mostrano che «innocuo stimolante immunitario» non è una descrizione certa.</w:t>
      </w:r>
    </w:p>
    <w:p>
      <w:pPr>
        <w:numPr>
          <w:ilvl w:val="0"/>
          <w:numId w:val="1124"/>
        </w:numPr>
        <w:pStyle w:val="Compact"/>
      </w:pPr>
      <w:r>
        <w:rPr>
          <w:bCs/>
          <w:b/>
        </w:rPr>
        <w:t xml:space="preserve">Malattie autoimmuni e trapianti:</w:t>
      </w:r>
      <w:r>
        <w:t xml:space="preserve"> </w:t>
      </w:r>
      <w:r>
        <w:t xml:space="preserve">una sostanza che dovrebbe stimolare il sistema immunitario potrebbe in teoria aggravare malattie autoimmuni o favorire il rigetto di organi trapiantati. Mancano dati sistematici in merito.</w:t>
      </w:r>
    </w:p>
    <w:p>
      <w:pPr>
        <w:numPr>
          <w:ilvl w:val="0"/>
          <w:numId w:val="1124"/>
        </w:numPr>
        <w:pStyle w:val="Compact"/>
      </w:pPr>
      <w:r>
        <w:rPr>
          <w:bCs/>
          <w:b/>
        </w:rPr>
        <w:t xml:space="preserve">Combinazione con immunoterapia:</w:t>
      </w:r>
      <w:r>
        <w:t xml:space="preserve"> </w:t>
      </w:r>
      <w:r>
        <w:t xml:space="preserve">un lavoro di revisione rimanda a un caso clinico in cui, durante un trattamento combinato, si è verificata una grave reazione immunitaria a carico di più organi, senza che la timosina alfa 1 fosse stata identificata con certezza come causa (Kim 2026, PMID 42797537).</w:t>
      </w:r>
    </w:p>
    <w:p>
      <w:pPr>
        <w:numPr>
          <w:ilvl w:val="0"/>
          <w:numId w:val="1124"/>
        </w:numPr>
        <w:pStyle w:val="Compact"/>
      </w:pPr>
      <w:r>
        <w:rPr>
          <w:bCs/>
          <w:b/>
        </w:rPr>
        <w:t xml:space="preserve">Mercato grigio:</w:t>
      </w:r>
      <w:r>
        <w:t xml:space="preserve"> </w:t>
      </w:r>
      <w:r>
        <w:t xml:space="preserve">al di fuori dei Paesi con autorizzazione, la timosina alfa 1 viene venduta come «peptide per la ricerca». Per questi prodotti gli studi su Zadaxin non valgono: purezza, contenuto e sterilità sono sconosciuti.</w:t>
      </w:r>
    </w:p>
    <w:bookmarkEnd w:id="387"/>
    <w:bookmarkEnd w:id="388"/>
    <w:bookmarkStart w:id="389" w:name="quadro-normativo-17"/>
    <w:p>
      <w:pPr>
        <w:pStyle w:val="Heading3"/>
      </w:pPr>
      <w:r>
        <w:t xml:space="preserve">Quadro normativo</w:t>
      </w:r>
    </w:p>
    <w:p>
      <w:pPr>
        <w:pStyle w:val="FirstParagraph"/>
      </w:pPr>
      <w:r>
        <w:rPr>
          <w:iCs/>
          <w:i/>
        </w:rPr>
        <w:t xml:space="preserve">Aggiornato al 2026, da verificare.</w:t>
      </w:r>
    </w:p>
    <w:p>
      <w:pPr>
        <w:numPr>
          <w:ilvl w:val="0"/>
          <w:numId w:val="1125"/>
        </w:numPr>
        <w:pStyle w:val="Compact"/>
      </w:pPr>
      <w:r>
        <w:rPr>
          <w:bCs/>
          <w:b/>
        </w:rPr>
        <w:t xml:space="preserve">UE, Germania, Austria:</w:t>
      </w:r>
      <w:r>
        <w:t xml:space="preserve"> </w:t>
      </w:r>
      <w:r>
        <w:t xml:space="preserve">nessuna autorizzazione come medicinale. Una prescrizione nel singolo caso tramite importazione individuale da un Paese con autorizzazione può essere possibile secondo il diritto nazionale a condizioni rigorose; la vendita come «research peptide» per l’uso sull’uomo non è consentita.</w:t>
      </w:r>
    </w:p>
    <w:p>
      <w:pPr>
        <w:numPr>
          <w:ilvl w:val="0"/>
          <w:numId w:val="1125"/>
        </w:numPr>
        <w:pStyle w:val="Compact"/>
      </w:pPr>
      <w:r>
        <w:rPr>
          <w:bCs/>
          <w:b/>
        </w:rPr>
        <w:t xml:space="preserve">USA:</w:t>
      </w:r>
      <w:r>
        <w:t xml:space="preserve"> </w:t>
      </w:r>
      <w:r>
        <w:t xml:space="preserve">nessuna autorizzazione FDA. Nel 2023 la FDA ha inserito la timosina alfa 1, insieme ad altri peptidi, nell’elenco delle sostanze con problemi di sicurezza per le preparazioni galeniche; i sostenitori lo criticano (Dinetz 2024, PMID 38308608). La classificazione dei peptidi continua a essere discussa nel comitato consultivo della FDA (Willis 2026, PMID 42752426).</w:t>
      </w:r>
    </w:p>
    <w:p>
      <w:pPr>
        <w:numPr>
          <w:ilvl w:val="0"/>
          <w:numId w:val="1125"/>
        </w:numPr>
        <w:pStyle w:val="Compact"/>
      </w:pPr>
      <w:r>
        <w:rPr>
          <w:bCs/>
          <w:b/>
        </w:rPr>
        <w:t xml:space="preserve">Cina e altri Paesi:</w:t>
      </w:r>
      <w:r>
        <w:t xml:space="preserve"> </w:t>
      </w:r>
      <w:r>
        <w:t xml:space="preserve">autorizzata come Zadaxin o timalfasina; in Cina esiste anche una serie di preparati equivalenti.</w:t>
      </w:r>
    </w:p>
    <w:p>
      <w:pPr>
        <w:numPr>
          <w:ilvl w:val="0"/>
          <w:numId w:val="1125"/>
        </w:numPr>
        <w:pStyle w:val="Compact"/>
      </w:pPr>
      <w:r>
        <w:rPr>
          <w:bCs/>
          <w:b/>
        </w:rPr>
        <w:t xml:space="preserve">WADA:</w:t>
      </w:r>
      <w:r>
        <w:t xml:space="preserve"> </w:t>
      </w:r>
      <w:r>
        <w:t xml:space="preserve">non presente espressamente nella lista delle sostanze proibite. Sportive e sportivi dovrebbero comunque informarsi presso la propria agenzia nazionale antidoping prima di un uso.</w:t>
      </w:r>
    </w:p>
    <w:bookmarkEnd w:id="389"/>
    <w:bookmarkStart w:id="390" w:name="studi-in-corso-e-prospettive-17"/>
    <w:p>
      <w:pPr>
        <w:pStyle w:val="Heading3"/>
      </w:pPr>
      <w:r>
        <w:t xml:space="preserve">Studi in corso e prospettive</w:t>
      </w:r>
    </w:p>
    <w:p>
      <w:pPr>
        <w:pStyle w:val="FirstParagraph"/>
      </w:pPr>
      <w:r>
        <w:rPr>
          <w:bCs/>
          <w:b/>
        </w:rPr>
        <w:t xml:space="preserve">Certo (secondo il registro):</w:t>
      </w:r>
    </w:p>
    <w:p>
      <w:pPr>
        <w:numPr>
          <w:ilvl w:val="0"/>
          <w:numId w:val="1126"/>
        </w:numPr>
        <w:pStyle w:val="Compact"/>
      </w:pPr>
      <w:r>
        <w:rPr>
          <w:bCs/>
          <w:b/>
        </w:rPr>
        <w:t xml:space="preserve">Cancro del colon-retto dopo l’intervento (NCT05086614):</w:t>
      </w:r>
      <w:r>
        <w:t xml:space="preserve"> </w:t>
      </w:r>
      <w:r>
        <w:t xml:space="preserve">studio di fase 3 dell’Università Fudan di Shanghai, previste 2.500 persone con cancro del colon-retto in stadio II o III, endpoint primario sopravvivenza libera da malattia dopo tre anni; fine stimata a marzo 2027. Lo studio è solo in singolo cieco.</w:t>
      </w:r>
    </w:p>
    <w:p>
      <w:pPr>
        <w:numPr>
          <w:ilvl w:val="0"/>
          <w:numId w:val="1126"/>
        </w:numPr>
        <w:pStyle w:val="Compact"/>
      </w:pPr>
      <w:r>
        <w:rPr>
          <w:bCs/>
          <w:b/>
        </w:rPr>
        <w:t xml:space="preserve">Cancro e immunoterapia:</w:t>
      </w:r>
      <w:r>
        <w:t xml:space="preserve"> </w:t>
      </w:r>
      <w:r>
        <w:t xml:space="preserve">numerosi studi cinesi di fase 2 più piccoli che combinano la timosina alfa 1 con inibitori dei checkpoint immunitari e chemioterapia o radioterapia, per esempio nel cancro al seno triplo negativo con 572 persone previste (NCT07884201).</w:t>
      </w:r>
    </w:p>
    <w:p>
      <w:pPr>
        <w:numPr>
          <w:ilvl w:val="0"/>
          <w:numId w:val="1126"/>
        </w:numPr>
        <w:pStyle w:val="Compact"/>
      </w:pPr>
      <w:r>
        <w:rPr>
          <w:bCs/>
          <w:b/>
        </w:rPr>
        <w:t xml:space="preserve">Sepsi:</w:t>
      </w:r>
      <w:r>
        <w:t xml:space="preserve"> </w:t>
      </w:r>
      <w:r>
        <w:t xml:space="preserve">uno studio più piccolo sul recupero della funzione immunitaria in 60 persone (NCT07866118).</w:t>
      </w:r>
    </w:p>
    <w:p>
      <w:pPr>
        <w:numPr>
          <w:ilvl w:val="0"/>
          <w:numId w:val="1126"/>
        </w:numPr>
        <w:pStyle w:val="Compact"/>
      </w:pPr>
      <w:r>
        <w:rPr>
          <w:bCs/>
          <w:b/>
        </w:rPr>
        <w:t xml:space="preserve">Risposta vaccinale negli anziani (NCT06821100):</w:t>
      </w:r>
      <w:r>
        <w:t xml:space="preserve"> </w:t>
      </w:r>
      <w:r>
        <w:t xml:space="preserve">fase 1, previste 75 persone.</w:t>
      </w:r>
    </w:p>
    <w:p>
      <w:pPr>
        <w:pStyle w:val="FirstParagraph"/>
      </w:pPr>
      <w:r>
        <w:rPr>
          <w:bCs/>
          <w:b/>
        </w:rPr>
        <w:t xml:space="preserve">Valutazione dell’autore:</w:t>
      </w:r>
      <w:r>
        <w:t xml:space="preserve"> </w:t>
      </w:r>
      <w:r>
        <w:t xml:space="preserve">il grande studio sul cancro del colon-retto è la questione aperta più importante. Se darà esito positivo, sarebbe la prima grande prova di un beneficio in una malattia tumorale, ma con riserva per la mancanza del doppio cieco. Nella sepsi TESTS dovrebbe aver risposto per ora alla domanda sull’uso su larga scala; gli studi futuri si concentreranno su sottogruppi con immunodepressione dimostrata. Un’autorizzazione nell’UE o negli USA non è da attendersi nei prossimi anni.</w:t>
      </w:r>
    </w:p>
    <w:bookmarkEnd w:id="390"/>
    <w:bookmarkStart w:id="391" w:name="conclusione-17"/>
    <w:p>
      <w:pPr>
        <w:pStyle w:val="Heading3"/>
      </w:pPr>
      <w:r>
        <w:t xml:space="preserve">Conclusione</w:t>
      </w:r>
    </w:p>
    <w:p>
      <w:pPr>
        <w:pStyle w:val="FirstParagraph"/>
      </w:pPr>
      <w:r>
        <w:t xml:space="preserve">La timosina alfa 1 è il peptide meglio studiato di questo gruppo e in alcuni Paesi un medicinale autorizzato. I primi piccoli studi sembravano promettenti, ma i grandi studi condotti accuratamente in cieco non hanno mostrato alcun vantaggio sui loro endpoint primari nella sepsi (Wu 2025, PMID 39814420), nella pancreatite grave (Ke 2022, PMID 35713670) e nella cirrosi da epatite B (Wu 2018, PMID 30063860). Nel COVID-19 e nel cancro le affermazioni positive si basano per lo più su studi osservazionali e su studi di bassa qualità. Negli studi il peptide è ben tollerato, ma un beneficio dimostrato come «stimolante immunitario» generico per persone sane non esiste.</w:t>
      </w:r>
    </w:p>
    <w:bookmarkEnd w:id="391"/>
    <w:bookmarkEnd w:id="392"/>
    <w:bookmarkStart w:id="403" w:name="kpv"/>
    <w:p>
      <w:pPr>
        <w:pStyle w:val="Heading2"/>
      </w:pPr>
      <w:r>
        <w:t xml:space="preserve">KPV</w:t>
      </w:r>
    </w:p>
    <w:p>
      <w:pPr>
        <w:pStyle w:val="FirstParagraph"/>
      </w:pPr>
      <w:r>
        <w:t xml:space="preserve">KPV è il peptide più piccolo di questo libro: lungo solo tre aminoacidi. Su internet viene offerto come antinfiammatorio per intestino e pelle, spesso in capsule o crema, a volte per iniezione. La base scientifica sono esperimenti su cellule e modelli murini: studi sull’uomo non esistono.</w:t>
      </w:r>
    </w:p>
    <w:bookmarkStart w:id="393" w:name="scheda-18"/>
    <w:p>
      <w:pPr>
        <w:pStyle w:val="Heading3"/>
      </w:pPr>
      <w:r>
        <w:t xml:space="preserve">Scheda</w:t>
      </w:r>
    </w:p>
    <w:p>
      <w:pPr>
        <w:numPr>
          <w:ilvl w:val="0"/>
          <w:numId w:val="1127"/>
        </w:numPr>
        <w:pStyle w:val="Compact"/>
      </w:pPr>
      <w:r>
        <w:rPr>
          <w:bCs/>
          <w:b/>
        </w:rPr>
        <w:t xml:space="preserve">Tipo e struttura:</w:t>
      </w:r>
      <w:r>
        <w:t xml:space="preserve"> </w:t>
      </w:r>
      <w:r>
        <w:t xml:space="preserve">tripeptide formato dagli aminoacidi lisina, prolina e valina (Lys-Pro-Val, da cui KPV).</w:t>
      </w:r>
    </w:p>
    <w:p>
      <w:pPr>
        <w:numPr>
          <w:ilvl w:val="0"/>
          <w:numId w:val="1127"/>
        </w:numPr>
        <w:pStyle w:val="Compact"/>
      </w:pPr>
      <w:r>
        <w:rPr>
          <w:bCs/>
          <w:b/>
        </w:rPr>
        <w:t xml:space="preserve">Origine:</w:t>
      </w:r>
      <w:r>
        <w:t xml:space="preserve"> </w:t>
      </w:r>
      <w:r>
        <w:t xml:space="preserve">corrisponde agli ultimi tre aminoacidi (posizioni da 11 a 13) dell’ormone endogeno alfa-MSH (ormone alfa-melanocita-stimolante), coinvolto tra l’altro nell’abbronzatura della pelle e nella regolazione dell’infiammazione (Cutuli 2000, PMID 10670585).</w:t>
      </w:r>
    </w:p>
    <w:p>
      <w:pPr>
        <w:numPr>
          <w:ilvl w:val="0"/>
          <w:numId w:val="1127"/>
        </w:numPr>
        <w:pStyle w:val="Compact"/>
      </w:pPr>
      <w:r>
        <w:rPr>
          <w:bCs/>
          <w:b/>
        </w:rPr>
        <w:t xml:space="preserve">Principio d’azione (ipotizzato, da studi di laboratorio e sugli animali):</w:t>
      </w:r>
      <w:r>
        <w:t xml:space="preserve"> </w:t>
      </w:r>
      <w:r>
        <w:t xml:space="preserve">inibizione delle vie di segnalazione pro-infiammatorie nelle cellule intestinali e immunitarie dopo l’assorbimento tramite il trasportatore di peptidi PepT1.</w:t>
      </w:r>
    </w:p>
    <w:p>
      <w:pPr>
        <w:numPr>
          <w:ilvl w:val="0"/>
          <w:numId w:val="1127"/>
        </w:numPr>
        <w:pStyle w:val="Compact"/>
      </w:pPr>
      <w:r>
        <w:rPr>
          <w:bCs/>
          <w:b/>
        </w:rPr>
        <w:t xml:space="preserve">Autorizzazione UE/USA:</w:t>
      </w:r>
      <w:r>
        <w:t xml:space="preserve"> </w:t>
      </w:r>
      <w:r>
        <w:t xml:space="preserve">no.</w:t>
      </w:r>
    </w:p>
    <w:p>
      <w:pPr>
        <w:numPr>
          <w:ilvl w:val="0"/>
          <w:numId w:val="1127"/>
        </w:numPr>
        <w:pStyle w:val="Compact"/>
      </w:pPr>
      <w:r>
        <w:rPr>
          <w:bCs/>
          <w:b/>
        </w:rPr>
        <w:t xml:space="preserve">WADA:</w:t>
      </w:r>
      <w:r>
        <w:t xml:space="preserve"> </w:t>
      </w:r>
      <w:r>
        <w:t xml:space="preserve">non elencato espressamente; in quanto sostanza non approvata rientra, secondo l’autore, nel gruppo S0 (aggiornato al 2026, da verificare).</w:t>
      </w:r>
    </w:p>
    <w:p>
      <w:pPr>
        <w:numPr>
          <w:ilvl w:val="0"/>
          <w:numId w:val="1127"/>
        </w:numPr>
        <w:pStyle w:val="Compact"/>
      </w:pPr>
      <w:r>
        <w:rPr>
          <w:bCs/>
          <w:b/>
        </w:rPr>
        <w:t xml:space="preserve">Livello di evidenza: D</w:t>
      </w:r>
      <w:r>
        <w:t xml:space="preserve"> </w:t>
      </w:r>
      <w:r>
        <w:t xml:space="preserve">– nessuno studio pubblicato sull’uomo.</w:t>
      </w:r>
    </w:p>
    <w:bookmarkEnd w:id="393"/>
    <w:bookmarkStart w:id="394" w:name="come-dovrebbe-agire-18"/>
    <w:p>
      <w:pPr>
        <w:pStyle w:val="Heading3"/>
      </w:pPr>
      <w:r>
        <w:t xml:space="preserve">Come dovrebbe agire</w:t>
      </w:r>
    </w:p>
    <w:p>
      <w:pPr>
        <w:pStyle w:val="FirstParagraph"/>
      </w:pPr>
      <w:r>
        <w:t xml:space="preserve">L’alfa-MSH è noto soprattutto come ormone dell’abbronzatura, ma ha anche effetti antinfiammatori. Già negli anni Novanta i ricercatori notarono che una parte di questo effetto dipende dagli ultimi tre aminoacidi. Nel sangue umano di persone con infezione da HIV, l’alfa-MSH e il suo frammento terminale KPV hanno ridotto in provetta la produzione dei messaggeri dell’infiammazione interleuchina 1 e TNF-alfa (Catania 1998, PMID 9700761).</w:t>
      </w:r>
    </w:p>
    <w:p>
      <w:pPr>
        <w:pStyle w:val="BodyText"/>
      </w:pPr>
      <w:r>
        <w:t xml:space="preserve">A differenza dell’ormone completo, KPV a quanto pare non agisce attraverso i classici recettori della melanocortina. Nei topi con peritonite KPV ha inibito l’afflusso di cellule infiammatorie senza aumentare il tipico messaggero cAMP; gli autori ipotizzano un’inibizione dell’azione dell’interleuchina 1 (Getting 2003, PMID 12750433). Questo ha un vantaggio pratico: KPV non dovrebbe abbronzare la pelle, a differenza di Melanotan o dei derivati dell’alfa-MSH.</w:t>
      </w:r>
    </w:p>
    <w:p>
      <w:pPr>
        <w:pStyle w:val="BodyText"/>
      </w:pPr>
      <w:r>
        <w:t xml:space="preserve">Un secondo meccanismo riguarda l’intestino. Lì si trova il trasportatore PepT1, che normalmente assorbe piccoli frammenti proteici dal cibo. Nelle malattie infiammatorie croniche intestinali PepT1 viene prodotto in maggiore quantità anche nel colon. In colture di cellule intestinali e immunitarie umane KPV è stato assorbito tramite PepT1 e a concentrazioni molto basse ha inibito gli interruttori dell’infiammazione NF-kappaB e MAP chinasi (Dalmasso 2008, PMID 18061177). Da qui è nata l’idea di usare KPV in compresse contro le infiammazioni intestinali.</w:t>
      </w:r>
    </w:p>
    <w:p>
      <w:pPr>
        <w:pStyle w:val="BodyText"/>
      </w:pPr>
      <w:r>
        <w:t xml:space="preserve">Inoltre in laboratorio l’alfa-MSH e KPV hanno inibito la crescita del batterio Staphylococcus aureus e del lievito Candida albicans (Cutuli 2000, PMID 10670585).</w:t>
      </w:r>
    </w:p>
    <w:bookmarkEnd w:id="394"/>
    <w:bookmarkStart w:id="395" w:name="studi-sulluomo-18"/>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0</w:t>
      </w:r>
      <w:r>
        <w:t xml:space="preserve"> </w:t>
      </w:r>
      <w:r>
        <w:t xml:space="preserve">studi sull’uomo su PubMed e</w:t>
      </w:r>
      <w:r>
        <w:t xml:space="preserve"> </w:t>
      </w:r>
      <w:r>
        <w:rPr>
          <w:bCs/>
          <w:b/>
        </w:rPr>
        <w:t xml:space="preserve">0</w:t>
      </w:r>
      <w:r>
        <w:t xml:space="preserve"> </w:t>
      </w:r>
      <w:r>
        <w:t xml:space="preserve">voci su ClinicalTrials.gov. Anche una ricerca mirata di studi pilota, casi clinici o segnalazioni di effetti collaterali non ha prodotto alcuna pubblicazione in cui delle persone abbiano ricevuto KPV.</w:t>
      </w:r>
    </w:p>
    <w:p>
      <w:pPr>
        <w:pStyle w:val="BodyText"/>
      </w:pPr>
      <w:r>
        <w:t xml:space="preserve">Ciò che esiste sono esperimenti di laboratorio con cellule o tessuti umani, per esempio:</w:t>
      </w:r>
    </w:p>
    <w:p>
      <w:pPr>
        <w:numPr>
          <w:ilvl w:val="0"/>
          <w:numId w:val="1128"/>
        </w:numPr>
        <w:pStyle w:val="Compact"/>
      </w:pPr>
      <w:r>
        <w:t xml:space="preserve">campioni di sangue di persone con infezione da HIV, in cui KPV ha ridotto la produzione di messaggeri dell’infiammazione (Catania 1998, PMID 9700761),</w:t>
      </w:r>
    </w:p>
    <w:p>
      <w:pPr>
        <w:numPr>
          <w:ilvl w:val="0"/>
          <w:numId w:val="1128"/>
        </w:numPr>
        <w:pStyle w:val="Compact"/>
      </w:pPr>
      <w:r>
        <w:t xml:space="preserve">linee cellulari di pelle umana (Elliott 2004, PMID 15102092),</w:t>
      </w:r>
    </w:p>
    <w:p>
      <w:pPr>
        <w:numPr>
          <w:ilvl w:val="0"/>
          <w:numId w:val="1128"/>
        </w:numPr>
        <w:pStyle w:val="Compact"/>
      </w:pPr>
      <w:r>
        <w:t xml:space="preserve">pelle umana donata, su cui è stato testato se KPV attraversa la pelle con microaghi e una debole corrente: senza ausili non penetrava in misura misurabile (Pawar 2017, PMID 28343991).</w:t>
      </w:r>
    </w:p>
    <w:p>
      <w:pPr>
        <w:pStyle w:val="FirstParagraph"/>
      </w:pPr>
      <w:r>
        <w:t xml:space="preserve">Questi lavori dicono qualcosa sui meccanismi e sulle forme farmaceutiche, ma nulla su efficacia o sicurezza nell’uomo.</w:t>
      </w:r>
    </w:p>
    <w:p>
      <w:pPr>
        <w:pStyle w:val="BodyText"/>
      </w:pPr>
      <w:r>
        <w:t xml:space="preserve">Un parente stretto, la molecola doppia artificiale (CKPV)2, è stata studiata clinicamente a metà degli anni Duemila come rimedio contro le infezioni fungine; un lavoro del 2006 menziona che si trovava «attualmente in sperimentazione clinica» (Gatti 2006, PMID 16413580). I risultati di questi studi non sono pubblicati su PubMed. (CKPV)2 è inoltre una sostanza diversa dal KPV venduto su internet.</w:t>
      </w:r>
    </w:p>
    <w:bookmarkEnd w:id="395"/>
    <w:bookmarkStart w:id="396" w:name="studi-su-animali-e-in-laboratorio-18"/>
    <w:p>
      <w:pPr>
        <w:pStyle w:val="Heading3"/>
      </w:pPr>
      <w:r>
        <w:t xml:space="preserve">Studi su animali e in laboratorio</w:t>
      </w:r>
    </w:p>
    <w:p>
      <w:pPr>
        <w:pStyle w:val="FirstParagraph"/>
      </w:pPr>
      <w:r>
        <w:t xml:space="preserve">Il fulcro della ricerca sono le malattie infiammatorie croniche intestinali. Tutti i risultati seguenti provengono da esperimenti sui topi: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Modello</w:t>
            </w:r>
          </w:p>
        </w:tc>
        <w:tc>
          <w:tcPr/>
          <w:p>
            <w:pPr>
              <w:pStyle w:val="Compact"/>
              <w:jc w:val="left"/>
            </w:pPr>
            <w:r>
              <w:t xml:space="preserve">Risultato</w:t>
            </w:r>
          </w:p>
        </w:tc>
      </w:tr>
      <w:tr>
        <w:tc>
          <w:tcPr/>
          <w:p>
            <w:pPr>
              <w:pStyle w:val="Compact"/>
              <w:jc w:val="left"/>
            </w:pPr>
            <w:r>
              <w:t xml:space="preserve">Dalmasso 2008, PMID 18061177</w:t>
            </w:r>
          </w:p>
        </w:tc>
        <w:tc>
          <w:tcPr/>
          <w:p>
            <w:pPr>
              <w:pStyle w:val="Compact"/>
              <w:jc w:val="left"/>
            </w:pPr>
            <w:r>
              <w:t xml:space="preserve">colite indotta chimicamente nei topi, KPV nell’acqua da bere</w:t>
            </w:r>
          </w:p>
        </w:tc>
        <w:tc>
          <w:tcPr/>
          <w:p>
            <w:pPr>
              <w:pStyle w:val="Compact"/>
              <w:jc w:val="left"/>
            </w:pPr>
            <w:r>
              <w:t xml:space="preserve">meno infiammazione, meno messaggeri dell’infiammazione</w:t>
            </w:r>
          </w:p>
        </w:tc>
      </w:tr>
      <w:tr>
        <w:tc>
          <w:tcPr/>
          <w:p>
            <w:pPr>
              <w:pStyle w:val="Compact"/>
              <w:jc w:val="left"/>
            </w:pPr>
            <w:r>
              <w:t xml:space="preserve">Kannengiesser 2008, PMID 18092346</w:t>
            </w:r>
          </w:p>
        </w:tc>
        <w:tc>
          <w:tcPr/>
          <w:p>
            <w:pPr>
              <w:pStyle w:val="Compact"/>
              <w:jc w:val="left"/>
            </w:pPr>
            <w:r>
              <w:t xml:space="preserve">due modelli di colite nei topi</w:t>
            </w:r>
          </w:p>
        </w:tc>
        <w:tc>
          <w:tcPr/>
          <w:p>
            <w:pPr>
              <w:pStyle w:val="Compact"/>
              <w:jc w:val="left"/>
            </w:pPr>
            <w:r>
              <w:t xml:space="preserve">recupero più rapido, meno cellule infiammatorie; in un modello tutti gli animali trattati sono sopravvissuti</w:t>
            </w:r>
          </w:p>
        </w:tc>
      </w:tr>
      <w:tr>
        <w:tc>
          <w:tcPr/>
          <w:p>
            <w:pPr>
              <w:pStyle w:val="Compact"/>
              <w:jc w:val="left"/>
            </w:pPr>
            <w:r>
              <w:t xml:space="preserve">Viennois 2016, PMID 27458604</w:t>
            </w:r>
          </w:p>
        </w:tc>
        <w:tc>
          <w:tcPr/>
          <w:p>
            <w:pPr>
              <w:pStyle w:val="Compact"/>
              <w:jc w:val="left"/>
            </w:pPr>
            <w:r>
              <w:t xml:space="preserve">cancro intestinale associato all’infiammazione nei topi</w:t>
            </w:r>
          </w:p>
        </w:tc>
        <w:tc>
          <w:tcPr/>
          <w:p>
            <w:pPr>
              <w:pStyle w:val="Compact"/>
              <w:jc w:val="left"/>
            </w:pPr>
            <w:r>
              <w:t xml:space="preserve">KPV ha impedito la formazione di tumori, ma solo nei topi con PepT1 funzionante</w:t>
            </w:r>
          </w:p>
        </w:tc>
      </w:tr>
      <w:tr>
        <w:tc>
          <w:tcPr/>
          <w:p>
            <w:pPr>
              <w:pStyle w:val="Compact"/>
              <w:jc w:val="left"/>
            </w:pPr>
            <w:r>
              <w:t xml:space="preserve">Xiao 2017, PMID 28143741</w:t>
            </w:r>
          </w:p>
        </w:tc>
        <w:tc>
          <w:tcPr/>
          <w:p>
            <w:pPr>
              <w:pStyle w:val="Compact"/>
              <w:jc w:val="left"/>
            </w:pPr>
            <w:r>
              <w:t xml:space="preserve">colite nei topi, KPV in nanoparticelle</w:t>
            </w:r>
          </w:p>
        </w:tc>
        <w:tc>
          <w:tcPr/>
          <w:p>
            <w:pPr>
              <w:pStyle w:val="Compact"/>
              <w:jc w:val="left"/>
            </w:pPr>
            <w:r>
              <w:t xml:space="preserve">effetto più forte rispetto a KPV non legato</w:t>
            </w:r>
          </w:p>
        </w:tc>
      </w:tr>
    </w:tbl>
    <w:p>
      <w:pPr>
        <w:pStyle w:val="BodyText"/>
      </w:pPr>
      <w:r>
        <w:t xml:space="preserve">Altri lavori studiano KPV in idrogel per ferite e mucose, in nanoparticelle contro la calcificazione vascolare o nel metabolismo delle cellule adipose, quasi esclusivamente in colture cellulari o su roditori. Colpisce che gran parte della letteratura più recente sviluppi forme farmaceutiche (nanoparticelle, gel, cerotti). Ciò indica che KPV da solo, in compresse o crema, evidentemente non raggiunge abbastanza bene il sito d’azione: un aspetto rilevante per i prodotti in libera vendita.</w:t>
      </w:r>
    </w:p>
    <w:bookmarkEnd w:id="396"/>
    <w:bookmarkStart w:id="399" w:name="rischi-ed-effetti-collaterali-18"/>
    <w:p>
      <w:pPr>
        <w:pStyle w:val="Heading3"/>
      </w:pPr>
      <w:r>
        <w:t xml:space="preserve">Rischi ed effetti collaterali</w:t>
      </w:r>
    </w:p>
    <w:bookmarkStart w:id="397" w:name="documentati-2"/>
    <w:p>
      <w:pPr>
        <w:pStyle w:val="Heading4"/>
      </w:pPr>
      <w:r>
        <w:t xml:space="preserve">Documentati</w:t>
      </w:r>
    </w:p>
    <w:p>
      <w:pPr>
        <w:pStyle w:val="FirstParagraph"/>
      </w:pPr>
      <w:r>
        <w:t xml:space="preserve">Nessuno, perché non esistono studi sull’uomo. L’assenza di effetti collaterali segnalati non è qui un indizio di sicurezza.</w:t>
      </w:r>
    </w:p>
    <w:bookmarkEnd w:id="397"/>
    <w:bookmarkStart w:id="398" w:name="teorici"/>
    <w:p>
      <w:pPr>
        <w:pStyle w:val="Heading4"/>
      </w:pPr>
      <w:r>
        <w:t xml:space="preserve">Teorici</w:t>
      </w:r>
    </w:p>
    <w:p>
      <w:pPr>
        <w:numPr>
          <w:ilvl w:val="0"/>
          <w:numId w:val="1129"/>
        </w:numPr>
        <w:pStyle w:val="Compact"/>
      </w:pPr>
      <w:r>
        <w:rPr>
          <w:bCs/>
          <w:b/>
        </w:rPr>
        <w:t xml:space="preserve">Attenuazione delle difese:</w:t>
      </w:r>
      <w:r>
        <w:t xml:space="preserve"> </w:t>
      </w:r>
      <w:r>
        <w:t xml:space="preserve">una sostanza che inibisce i segnali infiammatori potrebbe in linea di principio compromettere anche la difesa dalle infezioni. I risultati di laboratorio indicano piuttosto un proprio effetto antimicrobico (Cutuli 2000, PMID 10670585), ma mancano dati sull’uomo.</w:t>
      </w:r>
    </w:p>
    <w:p>
      <w:pPr>
        <w:numPr>
          <w:ilvl w:val="0"/>
          <w:numId w:val="1129"/>
        </w:numPr>
        <w:pStyle w:val="Compact"/>
      </w:pPr>
      <w:r>
        <w:rPr>
          <w:bCs/>
          <w:b/>
        </w:rPr>
        <w:t xml:space="preserve">Assorbimento e dose non chiari:</w:t>
      </w:r>
      <w:r>
        <w:t xml:space="preserve"> </w:t>
      </w:r>
      <w:r>
        <w:t xml:space="preserve">quanta parte di KPV da una capsula o da una crema diventi effettivamente attiva non è stato studiato nell’uomo.</w:t>
      </w:r>
    </w:p>
    <w:p>
      <w:pPr>
        <w:numPr>
          <w:ilvl w:val="0"/>
          <w:numId w:val="1129"/>
        </w:numPr>
        <w:pStyle w:val="Compact"/>
      </w:pPr>
      <w:r>
        <w:rPr>
          <w:bCs/>
          <w:b/>
        </w:rPr>
        <w:t xml:space="preserve">Qualità del mercato grigio:</w:t>
      </w:r>
      <w:r>
        <w:t xml:space="preserve"> </w:t>
      </w:r>
      <w:r>
        <w:t xml:space="preserve">KPV viene venduto come «peptide per la ricerca» senza controllo farmaceutico. Una revisione di medicina dello sport cita espressamente KPV tra i frammenti peptidici che circolano negli ambienti del bodybuilding e mette in guardia da prodotti con etichettatura errata o contaminati (Coutinho 2026, PMID 41880199).</w:t>
      </w:r>
    </w:p>
    <w:bookmarkEnd w:id="398"/>
    <w:bookmarkEnd w:id="399"/>
    <w:bookmarkStart w:id="400" w:name="quadro-normativo-18"/>
    <w:p>
      <w:pPr>
        <w:pStyle w:val="Heading3"/>
      </w:pPr>
      <w:r>
        <w:t xml:space="preserve">Quadro normativo</w:t>
      </w:r>
    </w:p>
    <w:p>
      <w:pPr>
        <w:pStyle w:val="FirstParagraph"/>
      </w:pPr>
      <w:r>
        <w:rPr>
          <w:iCs/>
          <w:i/>
        </w:rPr>
        <w:t xml:space="preserve">Aggiornato al 2026, da verificare.</w:t>
      </w:r>
    </w:p>
    <w:p>
      <w:pPr>
        <w:numPr>
          <w:ilvl w:val="0"/>
          <w:numId w:val="1130"/>
        </w:numPr>
        <w:pStyle w:val="Compact"/>
      </w:pPr>
      <w:r>
        <w:rPr>
          <w:bCs/>
          <w:b/>
        </w:rPr>
        <w:t xml:space="preserve">UE, Germania, Austria:</w:t>
      </w:r>
      <w:r>
        <w:t xml:space="preserve"> </w:t>
      </w:r>
      <w:r>
        <w:t xml:space="preserve">non autorizzato come medicinale. Se KPV viene offerto con affermazioni sull’attenuazione di malattie, è considerato un medicinale non autorizzato. Come componente di cosmetici valgono le regole del regolamento UE sui cosmetici; lì le promesse terapeutiche non sono consentite.</w:t>
      </w:r>
    </w:p>
    <w:p>
      <w:pPr>
        <w:numPr>
          <w:ilvl w:val="0"/>
          <w:numId w:val="1130"/>
        </w:numPr>
        <w:pStyle w:val="Compact"/>
      </w:pPr>
      <w:r>
        <w:rPr>
          <w:bCs/>
          <w:b/>
        </w:rPr>
        <w:t xml:space="preserve">USA:</w:t>
      </w:r>
      <w:r>
        <w:t xml:space="preserve"> </w:t>
      </w:r>
      <w:r>
        <w:t xml:space="preserve">nessuna autorizzazione FDA.</w:t>
      </w:r>
    </w:p>
    <w:p>
      <w:pPr>
        <w:numPr>
          <w:ilvl w:val="0"/>
          <w:numId w:val="1130"/>
        </w:numPr>
        <w:pStyle w:val="Compact"/>
      </w:pPr>
      <w:r>
        <w:rPr>
          <w:bCs/>
          <w:b/>
        </w:rPr>
        <w:t xml:space="preserve">WADA:</w:t>
      </w:r>
      <w:r>
        <w:t xml:space="preserve"> </w:t>
      </w:r>
      <w:r>
        <w:t xml:space="preserve">non elencato nominalmente. In quanto sostanza farmacologicamente attiva senza autorizzazione, secondo l’autore KPV rientra nella classe S0 (sostanze non approvate).</w:t>
      </w:r>
    </w:p>
    <w:bookmarkEnd w:id="400"/>
    <w:bookmarkStart w:id="401" w:name="studi-in-corso-e-prospettive-18"/>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con KPV.</w:t>
      </w:r>
    </w:p>
    <w:p>
      <w:pPr>
        <w:pStyle w:val="BodyText"/>
      </w:pPr>
      <w:r>
        <w:rPr>
          <w:bCs/>
          <w:b/>
        </w:rPr>
        <w:t xml:space="preserve">Valutazione dell’autore:</w:t>
      </w:r>
      <w:r>
        <w:t xml:space="preserve"> </w:t>
      </w:r>
      <w:r>
        <w:t xml:space="preserve">i dati sui topi relativi alle infiammazioni intestinali sono coerenti e provengono da diversi gruppi indipendenti: è più di quanto molti altri «peptidi per la ricerca» possano vantare. Senza un’azienda che sviluppi KPV come medicinale, però, uno studio sull’uomo non è prevedibile. È più probabile che KPV continui a essere studiato in laboratorio come componente di nuove forme farmaceutiche (nanoparticelle, gel).</w:t>
      </w:r>
    </w:p>
    <w:bookmarkEnd w:id="401"/>
    <w:bookmarkStart w:id="402" w:name="conclusione-18"/>
    <w:p>
      <w:pPr>
        <w:pStyle w:val="Heading3"/>
      </w:pPr>
      <w:r>
        <w:t xml:space="preserve">Conclusione</w:t>
      </w:r>
    </w:p>
    <w:p>
      <w:pPr>
        <w:pStyle w:val="FirstParagraph"/>
      </w:pPr>
      <w:r>
        <w:t xml:space="preserve">KPV è un frammento di tre aminoacidi dell’ormone endogeno alfa-MSH che nelle colture cellulari e nei topi ha ridotto nettamente le infiammazioni intestinali (Dalmasso 2008, PMID 18061177; Kannengiesser 2008, PMID 18092346). Sull’uomo KPV non è mai stato studiato, né per l’efficacia né per la sicurezza. Tutte le affermazioni sugli effetti su intestino o pelle nell’uomo sono quindi supposizioni basate su esperimenti sugli animali. Chi usa prodotti KPV acquistati su internet partecipa a un autoesperimento non controllato con prodotti di qualità sconosciuta.</w:t>
      </w:r>
    </w:p>
    <w:bookmarkEnd w:id="402"/>
    <w:bookmarkEnd w:id="403"/>
    <w:bookmarkStart w:id="417" w:name="ll-37"/>
    <w:p>
      <w:pPr>
        <w:pStyle w:val="Heading2"/>
      </w:pPr>
      <w:r>
        <w:t xml:space="preserve">LL-37</w:t>
      </w:r>
    </w:p>
    <w:p>
      <w:pPr>
        <w:pStyle w:val="FirstParagraph"/>
      </w:pPr>
      <w:r>
        <w:t xml:space="preserve">LL-37 è un peptide di difesa endogeno. Pelle, mucose e globuli bianchi lo producono per uccidere batteri, funghi e virus. Nell’ambiente dei peptidi viene offerto come «antibiotico naturale» e rimedio contro infezioni croniche, borreliosi o «immunodeficienza». Nella letteratura occorre distinguere con attenzione: esistono moltissime indagini in cui LL-37 è stato</w:t>
      </w:r>
      <w:r>
        <w:t xml:space="preserve"> </w:t>
      </w:r>
      <w:r>
        <w:rPr>
          <w:iCs/>
          <w:i/>
        </w:rPr>
        <w:t xml:space="preserve">misurato</w:t>
      </w:r>
      <w:r>
        <w:t xml:space="preserve"> </w:t>
      </w:r>
      <w:r>
        <w:t xml:space="preserve">nel sangue o nei tessuti, ma solo una manciata in cui delle persone hanno</w:t>
      </w:r>
      <w:r>
        <w:t xml:space="preserve"> </w:t>
      </w:r>
      <w:r>
        <w:rPr>
          <w:iCs/>
          <w:i/>
        </w:rPr>
        <w:t xml:space="preserve">ricevuto</w:t>
      </w:r>
      <w:r>
        <w:t xml:space="preserve"> </w:t>
      </w:r>
      <w:r>
        <w:t xml:space="preserve">LL-37 come principio attivo.</w:t>
      </w:r>
    </w:p>
    <w:bookmarkStart w:id="404" w:name="scheda-19"/>
    <w:p>
      <w:pPr>
        <w:pStyle w:val="Heading3"/>
      </w:pPr>
      <w:r>
        <w:t xml:space="preserve">Scheda</w:t>
      </w:r>
    </w:p>
    <w:p>
      <w:pPr>
        <w:numPr>
          <w:ilvl w:val="0"/>
          <w:numId w:val="1131"/>
        </w:numPr>
        <w:pStyle w:val="Compact"/>
      </w:pPr>
      <w:r>
        <w:rPr>
          <w:bCs/>
          <w:b/>
        </w:rPr>
        <w:t xml:space="preserve">Tipo e struttura:</w:t>
      </w:r>
      <w:r>
        <w:t xml:space="preserve"> </w:t>
      </w:r>
      <w:r>
        <w:t xml:space="preserve">peptide di 37 aminoacidi, i primi due sono leucine (da cui «LL»). Unica catelicidina dell’uomo: così si chiama una famiglia di peptidi di difesa.</w:t>
      </w:r>
    </w:p>
    <w:p>
      <w:pPr>
        <w:numPr>
          <w:ilvl w:val="0"/>
          <w:numId w:val="1131"/>
        </w:numPr>
        <w:pStyle w:val="Compact"/>
      </w:pPr>
      <w:r>
        <w:rPr>
          <w:bCs/>
          <w:b/>
        </w:rPr>
        <w:t xml:space="preserve">Origine:</w:t>
      </w:r>
      <w:r>
        <w:t xml:space="preserve"> </w:t>
      </w:r>
      <w:r>
        <w:t xml:space="preserve">viene scisso dalla proteina precursore hCAP18; il gene corrispondente (CAMP) viene attivato tra l’altro dalla vitamina D (Gombart 2005, PMID 15985530).</w:t>
      </w:r>
    </w:p>
    <w:p>
      <w:pPr>
        <w:numPr>
          <w:ilvl w:val="0"/>
          <w:numId w:val="1131"/>
        </w:numPr>
        <w:pStyle w:val="Compact"/>
      </w:pPr>
      <w:r>
        <w:rPr>
          <w:bCs/>
          <w:b/>
        </w:rPr>
        <w:t xml:space="preserve">Principio d’azione:</w:t>
      </w:r>
      <w:r>
        <w:t xml:space="preserve"> </w:t>
      </w:r>
      <w:r>
        <w:t xml:space="preserve">distrugge l’involucro dei microbi; al tempo stesso richiama cellule immunitarie, favorisce la formazione di nuovi vasi e la guarigione delle ferite e influenza le reazioni infiammatorie.</w:t>
      </w:r>
    </w:p>
    <w:p>
      <w:pPr>
        <w:numPr>
          <w:ilvl w:val="0"/>
          <w:numId w:val="1131"/>
        </w:numPr>
        <w:pStyle w:val="Compact"/>
      </w:pPr>
      <w:r>
        <w:rPr>
          <w:bCs/>
          <w:b/>
        </w:rPr>
        <w:t xml:space="preserve">Autorizzazione UE/USA:</w:t>
      </w:r>
      <w:r>
        <w:t xml:space="preserve"> </w:t>
      </w:r>
      <w:r>
        <w:t xml:space="preserve">no.</w:t>
      </w:r>
    </w:p>
    <w:p>
      <w:pPr>
        <w:numPr>
          <w:ilvl w:val="0"/>
          <w:numId w:val="1131"/>
        </w:numPr>
        <w:pStyle w:val="Compact"/>
      </w:pPr>
      <w:r>
        <w:rPr>
          <w:bCs/>
          <w:b/>
        </w:rPr>
        <w:t xml:space="preserve">WADA:</w:t>
      </w:r>
      <w:r>
        <w:t xml:space="preserve"> </w:t>
      </w:r>
      <w:r>
        <w:t xml:space="preserve">non elencato espressamente; in quanto sostanza non approvata rientrerebbe, secondo l’autore, nella classe S0 (aggiornato al 2026, da verificare).</w:t>
      </w:r>
    </w:p>
    <w:p>
      <w:pPr>
        <w:numPr>
          <w:ilvl w:val="0"/>
          <w:numId w:val="1131"/>
        </w:numPr>
        <w:pStyle w:val="Compact"/>
      </w:pPr>
      <w:r>
        <w:rPr>
          <w:bCs/>
          <w:b/>
        </w:rPr>
        <w:t xml:space="preserve">Livello di evidenza: B</w:t>
      </w:r>
      <w:r>
        <w:t xml:space="preserve"> </w:t>
      </w:r>
      <w:r>
        <w:t xml:space="preserve">– singoli studi randomizzati, da piccoli a medi, con applicazione locale sulle ferite; il più grande ha mancato il suo obiettivo primario.</w:t>
      </w:r>
    </w:p>
    <w:bookmarkEnd w:id="404"/>
    <w:bookmarkStart w:id="405" w:name="come-dovrebbe-agire-19"/>
    <w:p>
      <w:pPr>
        <w:pStyle w:val="Heading3"/>
      </w:pPr>
      <w:r>
        <w:t xml:space="preserve">Come dovrebbe agire</w:t>
      </w:r>
    </w:p>
    <w:p>
      <w:pPr>
        <w:pStyle w:val="FirstParagraph"/>
      </w:pPr>
      <w:r>
        <w:t xml:space="preserve">LL-37 appartiene al sistema immunitario innato, la prima linea di difesa aspecifica. Il peptide ha carica positiva e si deposita sugli involucri a carica negativa dei batteri, che diventano così permeabili. Inoltre agisce come sostanza di segnalazione: richiama i globuli bianchi e stimola le cellule della pelle a migrare; per questo è diventato interessante per la guarigione delle ferite.</w:t>
      </w:r>
    </w:p>
    <w:p>
      <w:pPr>
        <w:pStyle w:val="BodyText"/>
      </w:pPr>
      <w:r>
        <w:t xml:space="preserve">Nell’uomo la produzione di LL-37 è strettamente legata alla vitamina D. Il gene della proteina precursore porta un interruttore a cui si lega il recettore della vitamina D; questo interruttore si trova nei primati, ma non in topi, ratti o cani (Gombart 2005, PMID 15985530). Ciò spiega perché molti studi somministrano vitamina D e misurano LL-37, e perché gli esperimenti sugli animali per LL-37 sono trasferibili all’uomo solo in misura limitata.</w:t>
      </w:r>
    </w:p>
    <w:p>
      <w:pPr>
        <w:pStyle w:val="BodyText"/>
      </w:pPr>
      <w:r>
        <w:t xml:space="preserve">Il rovescio della medaglia: LL-37 può anche alimentare le infiammazioni. Nella psoriasi LL-37 lega il DNA endogeno di cellule disgregate e lo rende «visibile» a determinate cellule immunitarie, che rilasciano quindi interferone (Lande 2007, PMID 17873860). In due terzi delle persone esaminate con psoriasi da moderata a grave sono stati trovati linfociti T diretti contro LL-37 stesso (Lande 2014, PMID 25470744). Nella rosacea le persone colpite producono quantità insolitamente elevate di LL-37 nella pelle del viso, e nei topi l’iniezione di questi peptidi ha provocato infiammazioni cutanee (Yamasaki 2007, PMID 17676051).</w:t>
      </w:r>
    </w:p>
    <w:bookmarkEnd w:id="405"/>
    <w:bookmarkStart w:id="409" w:name="studi-sulluomo-19"/>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91</w:t>
      </w:r>
      <w:r>
        <w:t xml:space="preserve"> </w:t>
      </w:r>
      <w:r>
        <w:t xml:space="preserve">pubblicazioni classificate come studio sull’uomo e</w:t>
      </w:r>
      <w:r>
        <w:t xml:space="preserve"> </w:t>
      </w:r>
      <w:r>
        <w:rPr>
          <w:bCs/>
          <w:b/>
        </w:rPr>
        <w:t xml:space="preserve">20</w:t>
      </w:r>
      <w:r>
        <w:t xml:space="preserve"> </w:t>
      </w:r>
      <w:r>
        <w:t xml:space="preserve">voci su ClinicalTrials.gov. La stragrande maggioranza</w:t>
      </w:r>
      <w:r>
        <w:t xml:space="preserve"> </w:t>
      </w:r>
      <w:r>
        <w:rPr>
          <w:iCs/>
          <w:i/>
        </w:rPr>
        <w:t xml:space="preserve">non</w:t>
      </w:r>
      <w:r>
        <w:t xml:space="preserve"> </w:t>
      </w:r>
      <w:r>
        <w:t xml:space="preserve">somministra LL-37 come principio attivo: si tratta di studi su vitamina D o probiotici che rilevano LL-37 come valore misurato, o di studi osservazionali sui livelli di LL-37 nelle malattie. Su PubMed si trovano solo cinque studi in cui è stato somministrato LL-37 stesso; nel registro sono due.</w:t>
      </w:r>
    </w:p>
    <w:bookmarkStart w:id="406" w:name="X682e10839cc89a73c1765e76202cbe8fe87813c"/>
    <w:p>
      <w:pPr>
        <w:pStyle w:val="Heading4"/>
      </w:pPr>
      <w:r>
        <w:t xml:space="preserve">Studi di intervento: LL-37 come principio attivo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Ulcere venose delle gambe (Grönberg 2014, PMID 25041740)</w:t>
            </w:r>
          </w:p>
        </w:tc>
        <w:tc>
          <w:tcPr/>
          <w:p>
            <w:pPr>
              <w:pStyle w:val="Compact"/>
              <w:jc w:val="left"/>
            </w:pPr>
            <w:r>
              <w:t xml:space="preserve">34 persone, primo uso sull’uomo, RCT in doppio cieco con tre concentrazioni e placebo</w:t>
            </w:r>
          </w:p>
        </w:tc>
        <w:tc>
          <w:tcPr/>
          <w:p>
            <w:pPr>
              <w:pStyle w:val="Compact"/>
              <w:jc w:val="left"/>
            </w:pPr>
            <w:r>
              <w:t xml:space="preserve">4 settimane di trattamento</w:t>
            </w:r>
          </w:p>
        </w:tc>
        <w:tc>
          <w:tcPr/>
          <w:p>
            <w:pPr>
              <w:pStyle w:val="Compact"/>
              <w:jc w:val="left"/>
            </w:pPr>
            <w:r>
              <w:t xml:space="preserve">area della ferita ridotta del 68% con la concentrazione più bassa, del 50% con quella intermedia; concentrazione più alta non migliore del placebo</w:t>
            </w:r>
          </w:p>
        </w:tc>
      </w:tr>
      <w:tr>
        <w:tc>
          <w:tcPr/>
          <w:p>
            <w:pPr>
              <w:pStyle w:val="Compact"/>
              <w:jc w:val="left"/>
            </w:pPr>
            <w:r>
              <w:t xml:space="preserve">HEAL LL-37, ulcere venose delle gambe (Mahlapuu 2021, PMID 34687253)</w:t>
            </w:r>
          </w:p>
        </w:tc>
        <w:tc>
          <w:tcPr/>
          <w:p>
            <w:pPr>
              <w:pStyle w:val="Compact"/>
              <w:jc w:val="left"/>
            </w:pPr>
            <w:r>
              <w:t xml:space="preserve">148 persone, fase 2b, RCT in doppio cieco</w:t>
            </w:r>
          </w:p>
        </w:tc>
        <w:tc>
          <w:tcPr/>
          <w:p>
            <w:pPr>
              <w:pStyle w:val="Compact"/>
              <w:jc w:val="left"/>
            </w:pPr>
            <w:r>
              <w:t xml:space="preserve">3 bracci, in aggiunta alla compressione</w:t>
            </w:r>
          </w:p>
        </w:tc>
        <w:tc>
          <w:tcPr/>
          <w:p>
            <w:pPr>
              <w:pStyle w:val="Compact"/>
              <w:jc w:val="left"/>
            </w:pPr>
            <w:r>
              <w:t xml:space="preserve">nessuna differenza significativa rispetto al placebo; vantaggio solo in un’analisi di sottogruppo a posteriori delle ferite grandi</w:t>
            </w:r>
          </w:p>
        </w:tc>
      </w:tr>
      <w:tr>
        <w:tc>
          <w:tcPr/>
          <w:p>
            <w:pPr>
              <w:pStyle w:val="Compact"/>
              <w:jc w:val="left"/>
            </w:pPr>
            <w:r>
              <w:t xml:space="preserve">Ulcera del piede diabetico (Miranda 2023, PMID 37480520; NCT04098562)</w:t>
            </w:r>
          </w:p>
        </w:tc>
        <w:tc>
          <w:tcPr/>
          <w:p>
            <w:pPr>
              <w:pStyle w:val="Compact"/>
              <w:jc w:val="left"/>
            </w:pPr>
            <w:r>
              <w:t xml:space="preserve">persone con ulcera del piede lievemente infetta a Giacarta, RCT in doppio cieco contro crema placebo</w:t>
            </w:r>
          </w:p>
        </w:tc>
        <w:tc>
          <w:tcPr/>
          <w:p>
            <w:pPr>
              <w:pStyle w:val="Compact"/>
              <w:jc w:val="left"/>
            </w:pPr>
            <w:r>
              <w:t xml:space="preserve">4 settimane</w:t>
            </w:r>
          </w:p>
        </w:tc>
        <w:tc>
          <w:tcPr/>
          <w:p>
            <w:pPr>
              <w:pStyle w:val="Compact"/>
              <w:jc w:val="left"/>
            </w:pPr>
            <w:r>
              <w:t xml:space="preserve">maggiore aumento del tessuto di granulazione; nessuna riduzione dei marcatori infiammatori o della carica batterica</w:t>
            </w:r>
          </w:p>
        </w:tc>
      </w:tr>
      <w:tr>
        <w:tc>
          <w:tcPr/>
          <w:p>
            <w:pPr>
              <w:pStyle w:val="Compact"/>
              <w:jc w:val="left"/>
            </w:pPr>
            <w:r>
              <w:t xml:space="preserve">COVID-19, LL-37 orale da batteri lattici (Zhao 2023, PMID 37605995)</w:t>
            </w:r>
          </w:p>
        </w:tc>
        <w:tc>
          <w:tcPr/>
          <w:p>
            <w:pPr>
              <w:pStyle w:val="Compact"/>
              <w:jc w:val="left"/>
            </w:pPr>
            <w:r>
              <w:t xml:space="preserve">238 pazienti ospedalizzati, RCT in aperto, un centro</w:t>
            </w:r>
          </w:p>
        </w:tc>
        <w:tc>
          <w:tcPr/>
          <w:p>
            <w:pPr>
              <w:pStyle w:val="Compact"/>
              <w:jc w:val="left"/>
            </w:pPr>
            <w:r>
              <w:t xml:space="preserve">ricovero ospedaliero</w:t>
            </w:r>
          </w:p>
        </w:tc>
        <w:tc>
          <w:tcPr/>
          <w:p>
            <w:pPr>
              <w:pStyle w:val="Compact"/>
              <w:jc w:val="left"/>
            </w:pPr>
            <w:r>
              <w:t xml:space="preserve">PCR virale negativa in media dopo 9,8 invece di 14,0 giorni; nessun effetto collaterale grave</w:t>
            </w:r>
          </w:p>
        </w:tc>
      </w:tr>
      <w:tr>
        <w:tc>
          <w:tcPr/>
          <w:p>
            <w:pPr>
              <w:pStyle w:val="Compact"/>
              <w:jc w:val="left"/>
            </w:pPr>
            <w:r>
              <w:t xml:space="preserve">Melanoma, iniezione nei tumori (NCT02225366)</w:t>
            </w:r>
          </w:p>
        </w:tc>
        <w:tc>
          <w:tcPr/>
          <w:p>
            <w:pPr>
              <w:pStyle w:val="Compact"/>
              <w:jc w:val="left"/>
            </w:pPr>
            <w:r>
              <w:t xml:space="preserve">4 persone, fase 1/2 senza gruppo di controllo</w:t>
            </w:r>
          </w:p>
        </w:tc>
        <w:tc>
          <w:tcPr/>
          <w:p>
            <w:pPr>
              <w:pStyle w:val="Compact"/>
              <w:jc w:val="left"/>
            </w:pPr>
            <w:r>
              <w:t xml:space="preserve">fino a 8 settimane</w:t>
            </w:r>
          </w:p>
        </w:tc>
        <w:tc>
          <w:tcPr/>
          <w:p>
            <w:pPr>
              <w:pStyle w:val="Compact"/>
              <w:jc w:val="left"/>
            </w:pPr>
            <w:r>
              <w:t xml:space="preserve">ricerca della dose; numero di casi piccolo, si vedano i rischi</w:t>
            </w:r>
          </w:p>
        </w:tc>
      </w:tr>
    </w:tbl>
    <w:p>
      <w:pPr>
        <w:pStyle w:val="BodyText"/>
      </w:pPr>
      <w:r>
        <w:t xml:space="preserve">Gli studi sulle ferite mostrano lo schema noto: il primo piccolo studio era incoraggiante – stranamente funzionavano le concentrazioni più basse, la più alta no (Grönberg 2014, PMID 25041740). Lo studio di fase 2b più ampio HEAL LL-37 con 148 persone non ha trovato nel gruppo complessivo alcun vantaggio rispetto al placebo. Un beneficio nelle ferite grandi è emerso solo in un’analisi di sottogruppo definita a posteriori, che gli autori stessi considerano uno spunto per un ulteriore studio, non una prova (Mahlapuu 2021, PMID 34687253).</w:t>
      </w:r>
    </w:p>
    <w:p>
      <w:pPr>
        <w:pStyle w:val="BodyText"/>
      </w:pPr>
      <w:r>
        <w:t xml:space="preserve">Lo studio indonesiano sull’ulcera del piede diabetico ha misurato come parametro principale la quota di tessuto di granulazione, cioè di tessuto di guarigione fresco: un marcatore intermedio, non la guarigione completa della ferita. I marcatori infiammatori e la colonizzazione batterica non sono diminuiti con LL-37 più che con il placebo (Miranda 2023, PMID 37480520).</w:t>
      </w:r>
    </w:p>
    <w:p>
      <w:pPr>
        <w:pStyle w:val="BodyText"/>
      </w:pPr>
      <w:r>
        <w:t xml:space="preserve">Lo studio sul COVID-19 non ha usato il peptide LL-37, ma batteri lattici geneticamente modificati che dovrebbero produrre LL-37 nell’intestino. Non era in cieco e si è svolto in un unico centro; è stato misurato il tempo fino al test PCR negativo, non il decorso della malattia o la mortalità (Zhao 2023, PMID 37605995).</w:t>
      </w:r>
    </w:p>
    <w:bookmarkEnd w:id="406"/>
    <w:bookmarkStart w:id="407" w:name="X797e54aeddf542e4415fadc953909e63b941c5a"/>
    <w:p>
      <w:pPr>
        <w:pStyle w:val="Heading4"/>
      </w:pPr>
      <w:r>
        <w:t xml:space="preserve">Studi osservazionali: LL-37 come valore misurato</w:t>
      </w:r>
    </w:p>
    <w:p>
      <w:pPr>
        <w:pStyle w:val="FirstParagraph"/>
      </w:pPr>
      <w:r>
        <w:t xml:space="preserve">Questi studi non dicono nulla sul fatto che LL-37 somministrato sia utile. Mostrano solo come l’organismo produce LL-37 nelle malattie. Alcuni esempi:</w:t>
      </w:r>
    </w:p>
    <w:p>
      <w:pPr>
        <w:numPr>
          <w:ilvl w:val="0"/>
          <w:numId w:val="1132"/>
        </w:numPr>
        <w:pStyle w:val="Compact"/>
      </w:pPr>
      <w:r>
        <w:t xml:space="preserve">In 50 persone con tubercolosi polmonare i livelli di LL-37 nel sangue erano più alti che nella polmonite da altri batteri e nelle persone sane (Majewski 2017, PMID 28956425).</w:t>
      </w:r>
    </w:p>
    <w:p>
      <w:pPr>
        <w:numPr>
          <w:ilvl w:val="0"/>
          <w:numId w:val="1132"/>
        </w:numPr>
        <w:pStyle w:val="Compact"/>
      </w:pPr>
      <w:r>
        <w:t xml:space="preserve">In 76 bambini con meningite batterica LL-37 nel liquido cerebrospinale aumentava con la quantità di batteri; un rapporto elevato tra LL-37 e batteri era associato a meno danni all’udito (Savonius 2018, PMID 28827496).</w:t>
      </w:r>
    </w:p>
    <w:p>
      <w:pPr>
        <w:numPr>
          <w:ilvl w:val="0"/>
          <w:numId w:val="1132"/>
        </w:numPr>
        <w:pStyle w:val="Compact"/>
      </w:pPr>
      <w:r>
        <w:t xml:space="preserve">In 30 pazienti di terapia intensiva con sepsi i livelli di LL-37 sono aumentati dopo vitamina D ad alte dosi (Quraishi 2015, PMID 26086941).</w:t>
      </w:r>
    </w:p>
    <w:bookmarkEnd w:id="407"/>
    <w:bookmarkStart w:id="408" w:name="Xbc93f5572c30c69da603525775595fa1e4e1299"/>
    <w:p>
      <w:pPr>
        <w:pStyle w:val="Heading4"/>
      </w:pPr>
      <w:r>
        <w:t xml:space="preserve">Indirettamente: stimolare LL-37 attraverso la vitamina D</w:t>
      </w:r>
    </w:p>
    <w:p>
      <w:pPr>
        <w:pStyle w:val="FirstParagraph"/>
      </w:pPr>
      <w:r>
        <w:t xml:space="preserve">In uno studio in doppio cieco del Bangladesh su 288 persone con tubercolosi polmonare, dopo quattro settimane un numero maggiore di partecipanti aveva colture negative se riceveva in aggiunta vitamina D3 e fenilbutirrato, due sostanze che stimolano la produzione endogena di LL-37 (71% vs. 42,2% con il placebo) (Mily 2015, PMID 26394045). È un’affermazione su questa combinazione, non su LL-37 come peptide. La vitamina D stessa non è un peptide e non viene trattata specificamente in questo libro.</w:t>
      </w:r>
    </w:p>
    <w:bookmarkEnd w:id="408"/>
    <w:bookmarkEnd w:id="409"/>
    <w:bookmarkStart w:id="410" w:name="studi-su-animali-e-in-laboratorio-19"/>
    <w:p>
      <w:pPr>
        <w:pStyle w:val="Heading3"/>
      </w:pPr>
      <w:r>
        <w:t xml:space="preserve">Studi su animali e in laboratorio</w:t>
      </w:r>
    </w:p>
    <w:p>
      <w:pPr>
        <w:pStyle w:val="FirstParagraph"/>
      </w:pPr>
      <w:r>
        <w:t xml:space="preserve">In laboratorio LL-37 uccide un’ampia gamma di batteri, funghi e alcuni virus e favorisce la migrazione delle cellule della pelle. Un lavoro di revisione sul ruolo nel cancro riassume che LL-37, in esperimenti su cellule e animali,</w:t>
      </w:r>
      <w:r>
        <w:t xml:space="preserve"> </w:t>
      </w:r>
      <w:r>
        <w:rPr>
          <w:iCs/>
          <w:i/>
        </w:rPr>
        <w:t xml:space="preserve">favorisce</w:t>
      </w:r>
      <w:r>
        <w:t xml:space="preserve"> </w:t>
      </w:r>
      <w:r>
        <w:t xml:space="preserve">la crescita tumorale nel cancro dell’ovaio, del polmone, del seno, della prostata e del pancreas e nel melanoma, mentre la</w:t>
      </w:r>
      <w:r>
        <w:t xml:space="preserve"> </w:t>
      </w:r>
      <w:r>
        <w:rPr>
          <w:iCs/>
          <w:i/>
        </w:rPr>
        <w:t xml:space="preserve">inibisce</w:t>
      </w:r>
      <w:r>
        <w:t xml:space="preserve"> </w:t>
      </w:r>
      <w:r>
        <w:t xml:space="preserve">nel cancro del colon, dello stomaco e in alcuni tumori del sangue (Chen 2018, PMID 29843147). La stessa sostanza può quindi agire in modo opposto a seconda del tessuto.</w:t>
      </w:r>
    </w:p>
    <w:p>
      <w:pPr>
        <w:pStyle w:val="BodyText"/>
      </w:pPr>
      <w:r>
        <w:t xml:space="preserve">Per la trasferibilità è importante: i topi possiedono una propria catelicidina che assomiglia solo in parte a LL-37 umano e la regolano in modo diverso (Gombart 2005, PMID 15985530). I risultati sui topi relativi a LL-37 vanno quindi valutati con ancora più cautela che per altri peptidi.</w:t>
      </w:r>
    </w:p>
    <w:bookmarkEnd w:id="410"/>
    <w:bookmarkStart w:id="413" w:name="rischi-ed-effetti-collaterali-19"/>
    <w:p>
      <w:pPr>
        <w:pStyle w:val="Heading3"/>
      </w:pPr>
      <w:r>
        <w:t xml:space="preserve">Rischi ed effetti collaterali</w:t>
      </w:r>
    </w:p>
    <w:bookmarkStart w:id="411" w:name="documentati-3"/>
    <w:p>
      <w:pPr>
        <w:pStyle w:val="Heading4"/>
      </w:pPr>
      <w:r>
        <w:t xml:space="preserve">Documentati</w:t>
      </w:r>
    </w:p>
    <w:p>
      <w:pPr>
        <w:pStyle w:val="FirstParagraph"/>
      </w:pPr>
      <w:r>
        <w:t xml:space="preserve">Negli studi sulle ferite LL-37 applicato localmente è stato ben tollerato; non sono emersi problemi di sicurezza per effetti collaterali locali o sistemici (Grönberg 2014, PMID 25041740; Mahlapuu 2021, PMID 34687253).</w:t>
      </w:r>
    </w:p>
    <w:p>
      <w:pPr>
        <w:pStyle w:val="BodyText"/>
      </w:pPr>
      <w:r>
        <w:t xml:space="preserve">Un caso clinico dello studio sul melanoma mostra però che LL-37 in forma iniettabile non è innocuo: in una donna di 63 anni che ha ricevuto otto iniezioni settimanali in metastasi cutanee sono comparse, circa 45 giorni dopo l’inizio, numerose lesioni cutanee simili a verruche e vesciche sul tronco e sugli arti, inizialmente scambiate per tumori della pelle. All’esame istologico si sono osservate alterazioni infiammatorie con cellule cutanee atipiche; tutte le lesioni sono regredite entro due mesi dalla sospensione (Dolkar 2018, PMID 29665030).</w:t>
      </w:r>
    </w:p>
    <w:bookmarkEnd w:id="411"/>
    <w:bookmarkStart w:id="412" w:name="Xf1dce859f3e6a068224adae6699a949253971ab"/>
    <w:p>
      <w:pPr>
        <w:pStyle w:val="Heading4"/>
      </w:pPr>
      <w:r>
        <w:t xml:space="preserve">Teorici e derivati dalla ricerca sulle malattie</w:t>
      </w:r>
    </w:p>
    <w:p>
      <w:pPr>
        <w:numPr>
          <w:ilvl w:val="0"/>
          <w:numId w:val="1133"/>
        </w:numPr>
        <w:pStyle w:val="Compact"/>
      </w:pPr>
      <w:r>
        <w:rPr>
          <w:bCs/>
          <w:b/>
        </w:rPr>
        <w:t xml:space="preserve">Autoimmunità e malattie della pelle:</w:t>
      </w:r>
      <w:r>
        <w:t xml:space="preserve"> </w:t>
      </w:r>
      <w:r>
        <w:t xml:space="preserve">nella psoriasi LL-37 è un fattore scatenante dell’infiammazione e un bersaglio di linfociti T mal indirizzati (Lande 2007, PMID 17873860; Lande 2014, PMID 25470744), e nella rosacea partecipa all’infiammazione cutanea (Yamasaki 2007, PMID 17676051). Le persone con queste o altre malattie autoimmuni (per esempio il lupus) dovrebbero essere particolarmente prudenti; non esistono studi in merito.</w:t>
      </w:r>
    </w:p>
    <w:p>
      <w:pPr>
        <w:numPr>
          <w:ilvl w:val="0"/>
          <w:numId w:val="1133"/>
        </w:numPr>
        <w:pStyle w:val="Compact"/>
      </w:pPr>
      <w:r>
        <w:rPr>
          <w:bCs/>
          <w:b/>
        </w:rPr>
        <w:t xml:space="preserve">Cancro:</w:t>
      </w:r>
      <w:r>
        <w:t xml:space="preserve"> </w:t>
      </w:r>
      <w:r>
        <w:t xml:space="preserve">poiché negli esperimenti di laboratorio LL-37 favorisce la crescita di alcuni tipi di tumore (Chen 2018, PMID 29843147), un uso in persone con una malattia tumorale o con una storia di cancro non è valutabile senza studi.</w:t>
      </w:r>
    </w:p>
    <w:p>
      <w:pPr>
        <w:numPr>
          <w:ilvl w:val="0"/>
          <w:numId w:val="1133"/>
        </w:numPr>
        <w:pStyle w:val="Compact"/>
      </w:pPr>
      <w:r>
        <w:rPr>
          <w:bCs/>
          <w:b/>
        </w:rPr>
        <w:t xml:space="preserve">Danno cellulare ad alte concentrazioni:</w:t>
      </w:r>
      <w:r>
        <w:t xml:space="preserve"> </w:t>
      </w:r>
      <w:r>
        <w:t xml:space="preserve">il peptide attacca gli involucri cellulari; a concentrazioni più alte può danneggiare anche le cellule umane. Questo potrebbe spiegare perché nel primo studio sulle ferite la concentrazione più alta non funzionava.</w:t>
      </w:r>
    </w:p>
    <w:p>
      <w:pPr>
        <w:numPr>
          <w:ilvl w:val="0"/>
          <w:numId w:val="1133"/>
        </w:numPr>
        <w:pStyle w:val="Compact"/>
      </w:pPr>
      <w:r>
        <w:rPr>
          <w:bCs/>
          <w:b/>
        </w:rPr>
        <w:t xml:space="preserve">Mercato grigio:</w:t>
      </w:r>
      <w:r>
        <w:t xml:space="preserve"> </w:t>
      </w:r>
      <w:r>
        <w:t xml:space="preserve">come per tutti i «peptidi per la ricerca», purezza, contenuto e sterilità sono sconosciuti. Per le iniezioni questo vale in modo particolare.</w:t>
      </w:r>
    </w:p>
    <w:bookmarkEnd w:id="412"/>
    <w:bookmarkEnd w:id="413"/>
    <w:bookmarkStart w:id="414" w:name="quadro-normativo-19"/>
    <w:p>
      <w:pPr>
        <w:pStyle w:val="Heading3"/>
      </w:pPr>
      <w:r>
        <w:t xml:space="preserve">Quadro normativo</w:t>
      </w:r>
    </w:p>
    <w:p>
      <w:pPr>
        <w:pStyle w:val="FirstParagraph"/>
      </w:pPr>
      <w:r>
        <w:rPr>
          <w:iCs/>
          <w:i/>
        </w:rPr>
        <w:t xml:space="preserve">Aggiornato al 2026, da verificare.</w:t>
      </w:r>
    </w:p>
    <w:p>
      <w:pPr>
        <w:numPr>
          <w:ilvl w:val="0"/>
          <w:numId w:val="1134"/>
        </w:numPr>
        <w:pStyle w:val="Compact"/>
      </w:pPr>
      <w:r>
        <w:rPr>
          <w:bCs/>
          <w:b/>
        </w:rPr>
        <w:t xml:space="preserve">UE, Germania, Austria:</w:t>
      </w:r>
      <w:r>
        <w:t xml:space="preserve"> </w:t>
      </w:r>
      <w:r>
        <w:t xml:space="preserve">LL-37 non è autorizzato come medicinale. Lo sviluppo come prodotto per le ferite da parte di un’azienda svedese (con il nome ropocamptide) non è andato, secondo le conoscenze dell’autore, oltre la fase 2. La vendita per l’uso sull’uomo non è consentita.</w:t>
      </w:r>
    </w:p>
    <w:p>
      <w:pPr>
        <w:numPr>
          <w:ilvl w:val="0"/>
          <w:numId w:val="1134"/>
        </w:numPr>
        <w:pStyle w:val="Compact"/>
      </w:pPr>
      <w:r>
        <w:rPr>
          <w:bCs/>
          <w:b/>
        </w:rPr>
        <w:t xml:space="preserve">USA:</w:t>
      </w:r>
      <w:r>
        <w:t xml:space="preserve"> </w:t>
      </w:r>
      <w:r>
        <w:t xml:space="preserve">nessuna autorizzazione FDA.</w:t>
      </w:r>
    </w:p>
    <w:p>
      <w:pPr>
        <w:numPr>
          <w:ilvl w:val="0"/>
          <w:numId w:val="1134"/>
        </w:numPr>
        <w:pStyle w:val="Compact"/>
      </w:pPr>
      <w:r>
        <w:rPr>
          <w:bCs/>
          <w:b/>
        </w:rPr>
        <w:t xml:space="preserve">WADA:</w:t>
      </w:r>
      <w:r>
        <w:t xml:space="preserve"> </w:t>
      </w:r>
      <w:r>
        <w:t xml:space="preserve">non elencato nominalmente; secondo l’autore da classificare nella classe S0 come sostanza non approvata.</w:t>
      </w:r>
    </w:p>
    <w:bookmarkEnd w:id="414"/>
    <w:bookmarkStart w:id="415" w:name="studi-in-corso-e-prospettive-19"/>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in cui LL-37 venga somministrato come principio attivo. Le due voci con LL-37 come principio attivo (melanoma, NCT02225366; ulcera del piede diabetico, NCT04098562) sono concluse o hanno uno stato sconosciuto. Le altre voci di registro misurano LL-37 solo come biomarcatore, per esempio nelle gengive o durante la somministrazione di vitamina D.</w:t>
      </w:r>
    </w:p>
    <w:p>
      <w:pPr>
        <w:pStyle w:val="BodyText"/>
      </w:pPr>
      <w:r>
        <w:rPr>
          <w:bCs/>
          <w:b/>
        </w:rPr>
        <w:t xml:space="preserve">Valutazione dell’autore:</w:t>
      </w:r>
      <w:r>
        <w:t xml:space="preserve"> </w:t>
      </w:r>
      <w:r>
        <w:t xml:space="preserve">LL-37 in quanto tale difficilmente avrà un futuro come farmaco: è troppo instabile, dannoso per le cellule ad alte concentrazioni e gravato da rischi autoimmuni. La ricerca si sta spostando su derivati accorciati o modificati e su modi per aumentarne la produzione endogena. Uno studio sulle ferite nel sottogruppo delle grandi ulcere delle gambe, come quello richiesto dagli autori di HEAL, sarebbe il passo logico successivo; non risulta registrato.</w:t>
      </w:r>
    </w:p>
    <w:bookmarkEnd w:id="415"/>
    <w:bookmarkStart w:id="416" w:name="conclusione-19"/>
    <w:p>
      <w:pPr>
        <w:pStyle w:val="Heading3"/>
      </w:pPr>
      <w:r>
        <w:t xml:space="preserve">Conclusione</w:t>
      </w:r>
    </w:p>
    <w:p>
      <w:pPr>
        <w:pStyle w:val="FirstParagraph"/>
      </w:pPr>
      <w:r>
        <w:t xml:space="preserve">LL-37 è un importante peptide di difesa endogeno, il cui livello è stato misurato in molti studi, ma che come principio attivo è stato somministrato all’uomo solo in pochi piccoli studi. Applicato sulle ferite è stato ben tollerato, ma il più grande studio randomizzato con 148 persone non ha trovato alcun vantaggio rispetto al placebo (Mahlapuu 2021, PMID 34687253). Al tempo stesso LL-37 ha un ruolo di motore dell’infiammazione nella psoriasi e nella rosacea, e in un caso documentato un trattamento per iniezione ha provocato marcate alterazioni cutanee. Per gli usi pubblicizzati su internet – per esempio contro infezioni croniche o come stimolante immunitario per iniezione – non esistono studi sull’uomo.</w:t>
      </w:r>
    </w:p>
    <w:bookmarkEnd w:id="416"/>
    <w:bookmarkEnd w:id="417"/>
    <w:bookmarkStart w:id="430" w:name="ara-290-cibinetide"/>
    <w:p>
      <w:pPr>
        <w:pStyle w:val="Heading2"/>
      </w:pPr>
      <w:r>
        <w:t xml:space="preserve">ARA-290 (cibinetide)</w:t>
      </w:r>
    </w:p>
    <w:p>
      <w:pPr>
        <w:pStyle w:val="FirstParagraph"/>
      </w:pPr>
      <w:r>
        <w:t xml:space="preserve">ARA-290 è un peptide artificiale derivato dall’ormone emopoietico eritropoietina (EPO), l’ormone diventato famoso nel ciclismo come sostanza dopante. ARA-290 però non dovrebbe stimolare proprio la produzione di sangue, ma sfruttare solo le proprietà di protezione tissutale dell’EPO. In piccoli studi sul dolore neuropatico nell’ambito della sarcoidosi ha mostrato segnali incoraggianti. Nell’ambiente del biohacking viene ormai offerto come peptide per la «rigenerazione nervosa» e «anti-aging».</w:t>
      </w:r>
    </w:p>
    <w:bookmarkStart w:id="418" w:name="scheda-20"/>
    <w:p>
      <w:pPr>
        <w:pStyle w:val="Heading3"/>
      </w:pPr>
      <w:r>
        <w:t xml:space="preserve">Scheda</w:t>
      </w:r>
    </w:p>
    <w:p>
      <w:pPr>
        <w:numPr>
          <w:ilvl w:val="0"/>
          <w:numId w:val="1135"/>
        </w:numPr>
        <w:pStyle w:val="Compact"/>
      </w:pPr>
      <w:r>
        <w:rPr>
          <w:bCs/>
          <w:b/>
        </w:rPr>
        <w:t xml:space="preserve">Tipo e struttura:</w:t>
      </w:r>
      <w:r>
        <w:t xml:space="preserve"> </w:t>
      </w:r>
      <w:r>
        <w:t xml:space="preserve">peptide sintetico di 11 aminoacidi (Winicki 2022, PMID 36741836); denominazione del principio attivo cibinetide.</w:t>
      </w:r>
    </w:p>
    <w:p>
      <w:pPr>
        <w:numPr>
          <w:ilvl w:val="0"/>
          <w:numId w:val="1135"/>
        </w:numPr>
        <w:pStyle w:val="Compact"/>
      </w:pPr>
      <w:r>
        <w:rPr>
          <w:bCs/>
          <w:b/>
        </w:rPr>
        <w:t xml:space="preserve">Origine:</w:t>
      </w:r>
      <w:r>
        <w:t xml:space="preserve"> </w:t>
      </w:r>
      <w:r>
        <w:t xml:space="preserve">riprodotto sulla base di una sezione della struttura spaziale dell’eritropoietina che sarebbe responsabile della sua protezione tissutale; sviluppato dall’azienda statunitense Araim Pharmaceuticals.</w:t>
      </w:r>
    </w:p>
    <w:p>
      <w:pPr>
        <w:numPr>
          <w:ilvl w:val="0"/>
          <w:numId w:val="1135"/>
        </w:numPr>
        <w:pStyle w:val="Compact"/>
      </w:pPr>
      <w:r>
        <w:rPr>
          <w:bCs/>
          <w:b/>
        </w:rPr>
        <w:t xml:space="preserve">Principio d’azione:</w:t>
      </w:r>
      <w:r>
        <w:t xml:space="preserve"> </w:t>
      </w:r>
      <w:r>
        <w:t xml:space="preserve">si lega a un cosiddetto «recettore di riparazione innato» (una combinazione del recettore dell’EPO e della subunità recettoriale CD131), non al classico recettore dell’EPO dell’emopoiesi; dovrebbe attenuare le infiammazioni e stimolare la riparazione dei tessuti.</w:t>
      </w:r>
    </w:p>
    <w:p>
      <w:pPr>
        <w:numPr>
          <w:ilvl w:val="0"/>
          <w:numId w:val="1135"/>
        </w:numPr>
        <w:pStyle w:val="Compact"/>
      </w:pPr>
      <w:r>
        <w:rPr>
          <w:bCs/>
          <w:b/>
        </w:rPr>
        <w:t xml:space="preserve">Autorizzazione UE/USA:</w:t>
      </w:r>
      <w:r>
        <w:t xml:space="preserve"> </w:t>
      </w:r>
      <w:r>
        <w:t xml:space="preserve">no.</w:t>
      </w:r>
    </w:p>
    <w:p>
      <w:pPr>
        <w:numPr>
          <w:ilvl w:val="0"/>
          <w:numId w:val="1135"/>
        </w:numPr>
        <w:pStyle w:val="Compact"/>
      </w:pPr>
      <w:r>
        <w:rPr>
          <w:bCs/>
          <w:b/>
        </w:rPr>
        <w:t xml:space="preserve">WADA:</w:t>
      </w:r>
      <w:r>
        <w:t xml:space="preserve"> </w:t>
      </w:r>
      <w:r>
        <w:t xml:space="preserve">vietato – gli agonisti non eritropoietici del recettore dell’EPO come ARA-290 sono citati espressamente nella classe S2; i laboratori antidoping hanno sviluppato metodi di rilevamento (Thomas 2017, PMID 28941172). Aggiornato al 2026, da verificare.</w:t>
      </w:r>
    </w:p>
    <w:p>
      <w:pPr>
        <w:numPr>
          <w:ilvl w:val="0"/>
          <w:numId w:val="1135"/>
        </w:numPr>
        <w:pStyle w:val="Compact"/>
      </w:pPr>
      <w:r>
        <w:rPr>
          <w:bCs/>
          <w:b/>
        </w:rPr>
        <w:t xml:space="preserve">Livello di evidenza: B</w:t>
      </w:r>
      <w:r>
        <w:t xml:space="preserve"> </w:t>
      </w:r>
      <w:r>
        <w:t xml:space="preserve">– diversi piccoli studi di fase 2 randomizzati e controllati con placebo; nessuno studio di fase 3.</w:t>
      </w:r>
    </w:p>
    <w:bookmarkEnd w:id="418"/>
    <w:bookmarkStart w:id="419" w:name="come-dovrebbe-agire-20"/>
    <w:p>
      <w:pPr>
        <w:pStyle w:val="Heading3"/>
      </w:pPr>
      <w:r>
        <w:t xml:space="preserve">Come dovrebbe agire</w:t>
      </w:r>
    </w:p>
    <w:p>
      <w:pPr>
        <w:pStyle w:val="FirstParagraph"/>
      </w:pPr>
      <w:r>
        <w:t xml:space="preserve">L’eritropoietina viene prodotta nel rene e stimola nel midollo osseo la produzione di globuli rossi. Negli anni Duemila esperimenti sugli animali mostrarono che l’EPO può inoltre proteggere nervi, cuore e reni dai danni. Come farmaco per questo scopo l’EPO non è però adatta: aumenta il numero di globuli rossi, rende il sangue più denso e accresce il rischio di trombosi.</w:t>
      </w:r>
    </w:p>
    <w:p>
      <w:pPr>
        <w:pStyle w:val="BodyText"/>
      </w:pPr>
      <w:r>
        <w:t xml:space="preserve">Gli sviluppatori di ARA-290 ipotizzarono che l’effetto protettivo passasse attraverso un recettore diverso da quello dell’emopoiesi. Questo «recettore di riparazione» viene prodotto in quantità maggiore solo in caso di danno tissutale o infiammazione. ARA-290 dovrebbe attivare in modo mirato solo questo. Nei ratti con lesione nervosa ha ridotto in modo dose-dipendente l’ipersensibilità al tatto e al freddo fino a 20 settimane e attenuato l’attivazione delle cellule immunitarie nel midollo spinale (Swartjes 2014, PMID 24529189).</w:t>
      </w:r>
    </w:p>
    <w:p>
      <w:pPr>
        <w:pStyle w:val="BodyText"/>
      </w:pPr>
      <w:r>
        <w:t xml:space="preserve">ARA-290 viene degradato rapidamente nel sangue; un laboratorio antidoping ha descritto una marcata degradazione enzimatica con un prodotto di degradazione principale (Thomas 2017, PMID 28941172).</w:t>
      </w:r>
    </w:p>
    <w:bookmarkEnd w:id="419"/>
    <w:bookmarkStart w:id="422" w:name="studi-sulluomo-20"/>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5</w:t>
      </w:r>
      <w:r>
        <w:t xml:space="preserve"> </w:t>
      </w:r>
      <w:r>
        <w:t xml:space="preserve">studi sull’uomo su PubMed e</w:t>
      </w:r>
      <w:r>
        <w:t xml:space="preserve"> </w:t>
      </w:r>
      <w:r>
        <w:rPr>
          <w:bCs/>
          <w:b/>
        </w:rPr>
        <w:t xml:space="preserve">5</w:t>
      </w:r>
      <w:r>
        <w:t xml:space="preserve"> </w:t>
      </w:r>
      <w:r>
        <w:t xml:space="preserve">voci su ClinicalTrials.gov. Un ulteriore studio (edema maculare diabetico) è stato cercato in modo mirato. Tutti gli studi sono piccoli e sono durati da quattro a dodici settimane.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Sarcoidosi, studio pilota (Heij 2012, PMID 23168581)</w:t>
            </w:r>
          </w:p>
        </w:tc>
        <w:tc>
          <w:tcPr/>
          <w:p>
            <w:pPr>
              <w:pStyle w:val="Compact"/>
              <w:jc w:val="left"/>
            </w:pPr>
            <w:r>
              <w:t xml:space="preserve">22 persone con dolore neuropatico da sarcoidosi, RCT in doppio cieco, infusione</w:t>
            </w:r>
          </w:p>
        </w:tc>
        <w:tc>
          <w:tcPr/>
          <w:p>
            <w:pPr>
              <w:pStyle w:val="Compact"/>
              <w:jc w:val="left"/>
            </w:pPr>
            <w:r>
              <w:t xml:space="preserve">4 settimane</w:t>
            </w:r>
          </w:p>
        </w:tc>
        <w:tc>
          <w:tcPr/>
          <w:p>
            <w:pPr>
              <w:pStyle w:val="Compact"/>
              <w:jc w:val="left"/>
            </w:pPr>
            <w:r>
              <w:t xml:space="preserve">questionario sulla neuropatia −11,5 vs. −2,9 punti; scala principale del dolore migliorata in egual misura nei due gruppi</w:t>
            </w:r>
          </w:p>
        </w:tc>
      </w:tr>
      <w:tr>
        <w:tc>
          <w:tcPr/>
          <w:p>
            <w:pPr>
              <w:pStyle w:val="Compact"/>
              <w:jc w:val="left"/>
            </w:pPr>
            <w:r>
              <w:t xml:space="preserve">Sarcoidosi, iniezione sottocutanea (Dahan 2013, PMID 24136731)</w:t>
            </w:r>
          </w:p>
        </w:tc>
        <w:tc>
          <w:tcPr/>
          <w:p>
            <w:pPr>
              <w:pStyle w:val="Compact"/>
              <w:jc w:val="left"/>
            </w:pPr>
            <w:r>
              <w:t xml:space="preserve">persone con perdita di fibre nervose da sarcoidosi, studio in cieco controllato con placebo</w:t>
            </w:r>
          </w:p>
        </w:tc>
        <w:tc>
          <w:tcPr/>
          <w:p>
            <w:pPr>
              <w:pStyle w:val="Compact"/>
              <w:jc w:val="left"/>
            </w:pPr>
            <w:r>
              <w:t xml:space="preserve">28 giorni</w:t>
            </w:r>
          </w:p>
        </w:tc>
        <w:tc>
          <w:tcPr/>
          <w:p>
            <w:pPr>
              <w:pStyle w:val="Compact"/>
              <w:jc w:val="left"/>
            </w:pPr>
            <w:r>
              <w:t xml:space="preserve">miglioramento dei disturbi, più fibre nervose nella cornea, distanza percorsa a piedi maggiore</w:t>
            </w:r>
          </w:p>
        </w:tc>
      </w:tr>
      <w:tr>
        <w:tc>
          <w:tcPr/>
          <w:p>
            <w:pPr>
              <w:pStyle w:val="Compact"/>
              <w:jc w:val="left"/>
            </w:pPr>
            <w:r>
              <w:t xml:space="preserve">Sarcoidosi, fase 2b (Culver 2017, PMID 28475703; NCT02039687)</w:t>
            </w:r>
          </w:p>
        </w:tc>
        <w:tc>
          <w:tcPr/>
          <w:p>
            <w:pPr>
              <w:pStyle w:val="Compact"/>
              <w:jc w:val="left"/>
            </w:pPr>
            <w:r>
              <w:t xml:space="preserve">64 persone, RCT con tre dosi e placebo</w:t>
            </w:r>
          </w:p>
        </w:tc>
        <w:tc>
          <w:tcPr/>
          <w:p>
            <w:pPr>
              <w:pStyle w:val="Compact"/>
              <w:jc w:val="left"/>
            </w:pPr>
            <w:r>
              <w:t xml:space="preserve">28 giorni</w:t>
            </w:r>
          </w:p>
        </w:tc>
        <w:tc>
          <w:tcPr/>
          <w:p>
            <w:pPr>
              <w:pStyle w:val="Compact"/>
              <w:jc w:val="left"/>
            </w:pPr>
            <w:r>
              <w:t xml:space="preserve">area delle fibre nervose corneali aumentata in modo significativo solo con la dose intermedia; dolore migliorato in tutti i gruppi, placebo compreso</w:t>
            </w:r>
          </w:p>
        </w:tc>
      </w:tr>
      <w:tr>
        <w:tc>
          <w:tcPr/>
          <w:p>
            <w:pPr>
              <w:pStyle w:val="Compact"/>
              <w:jc w:val="left"/>
            </w:pPr>
            <w:r>
              <w:t xml:space="preserve">Diabete di tipo 2 con neuropatia (Brines 2015, PMID 25387363)</w:t>
            </w:r>
          </w:p>
        </w:tc>
        <w:tc>
          <w:tcPr/>
          <w:p>
            <w:pPr>
              <w:pStyle w:val="Compact"/>
              <w:jc w:val="left"/>
            </w:pPr>
            <w:r>
              <w:t xml:space="preserve">persone con diabete di tipo 2 e dolore neuropatico, fase 2, contro placebo</w:t>
            </w:r>
          </w:p>
        </w:tc>
        <w:tc>
          <w:tcPr/>
          <w:p>
            <w:pPr>
              <w:pStyle w:val="Compact"/>
              <w:jc w:val="left"/>
            </w:pPr>
            <w:r>
              <w:t xml:space="preserve">28 giorni più 28 giorni</w:t>
            </w:r>
          </w:p>
        </w:tc>
        <w:tc>
          <w:tcPr/>
          <w:p>
            <w:pPr>
              <w:pStyle w:val="Compact"/>
              <w:jc w:val="left"/>
            </w:pPr>
            <w:r>
              <w:t xml:space="preserve">HbA1c e lipidi ematici migliorati, questionario sulla neuropatia migliore</w:t>
            </w:r>
          </w:p>
        </w:tc>
      </w:tr>
      <w:tr>
        <w:tc>
          <w:tcPr/>
          <w:p>
            <w:pPr>
              <w:pStyle w:val="Compact"/>
              <w:jc w:val="left"/>
            </w:pPr>
            <w:r>
              <w:t xml:space="preserve">Edema maculare diabetico (Lois 2020, PMID 32674280)</w:t>
            </w:r>
          </w:p>
        </w:tc>
        <w:tc>
          <w:tcPr/>
          <w:p>
            <w:pPr>
              <w:pStyle w:val="Compact"/>
              <w:jc w:val="left"/>
            </w:pPr>
            <w:r>
              <w:t xml:space="preserve">9 persone, fase 2 senza gruppo di controllo</w:t>
            </w:r>
          </w:p>
        </w:tc>
        <w:tc>
          <w:tcPr/>
          <w:p>
            <w:pPr>
              <w:pStyle w:val="Compact"/>
              <w:jc w:val="left"/>
            </w:pPr>
            <w:r>
              <w:t xml:space="preserve">12 settimane</w:t>
            </w:r>
          </w:p>
        </w:tc>
        <w:tc>
          <w:tcPr/>
          <w:p>
            <w:pPr>
              <w:pStyle w:val="Compact"/>
              <w:jc w:val="left"/>
            </w:pPr>
            <w:r>
              <w:t xml:space="preserve">nessun miglioramento di acuità visiva o spessore retinico; nessun anticorpo contro il principio attivo</w:t>
            </w:r>
          </w:p>
        </w:tc>
      </w:tr>
      <w:tr>
        <w:tc>
          <w:tcPr/>
          <w:p>
            <w:pPr>
              <w:pStyle w:val="Compact"/>
              <w:jc w:val="left"/>
            </w:pPr>
            <w:r>
              <w:t xml:space="preserve">Sani, umore (Cerit 2015, PMID 26431906)</w:t>
            </w:r>
          </w:p>
        </w:tc>
        <w:tc>
          <w:tcPr/>
          <w:p>
            <w:pPr>
              <w:pStyle w:val="Compact"/>
              <w:jc w:val="left"/>
            </w:pPr>
            <w:r>
              <w:t xml:space="preserve">36 sani, RCT in doppio cieco, dose singola</w:t>
            </w:r>
          </w:p>
        </w:tc>
        <w:tc>
          <w:tcPr/>
          <w:p>
            <w:pPr>
              <w:pStyle w:val="Compact"/>
              <w:jc w:val="left"/>
            </w:pPr>
            <w:r>
              <w:t xml:space="preserve">1 settimana</w:t>
            </w:r>
          </w:p>
        </w:tc>
        <w:tc>
          <w:tcPr/>
          <w:p>
            <w:pPr>
              <w:pStyle w:val="Compact"/>
              <w:jc w:val="left"/>
            </w:pPr>
            <w:r>
              <w:t xml:space="preserve">nessun effetto sull’umore; i risultati non depongono in modo univoco per un effetto antidepressivo</w:t>
            </w:r>
          </w:p>
        </w:tc>
      </w:tr>
    </w:tbl>
    <w:bookmarkStart w:id="420" w:name="sarcoidosi-lambito-di-impiego-principale"/>
    <w:p>
      <w:pPr>
        <w:pStyle w:val="Heading4"/>
      </w:pPr>
      <w:r>
        <w:t xml:space="preserve">Sarcoidosi: l’ambito di impiego principale</w:t>
      </w:r>
    </w:p>
    <w:p>
      <w:pPr>
        <w:pStyle w:val="FirstParagraph"/>
      </w:pPr>
      <w:r>
        <w:t xml:space="preserve">La sarcoidosi è una malattia infiammatoria in cui nei polmoni, nella pelle, negli occhi e in altri organi si formano piccoli noduli. Molte persone colpite soffrono di dolori brucianti e sensazioni anomale dovuti al danno delle fibre nervose sottili (neuropatia delle piccole fibre). Trattamenti efficaci quasi non esistono.</w:t>
      </w:r>
    </w:p>
    <w:p>
      <w:pPr>
        <w:pStyle w:val="BodyText"/>
      </w:pPr>
      <w:r>
        <w:t xml:space="preserve">Nel primo studio pilota con 22 persone un questionario sui disturbi neuropatici è migliorato con ARA-290 molto più che con il placebo. I valori del questionario principale sul dolore e sulla stanchezza sono però migliorati in egual misura nei due gruppi: un indizio di un notevole effetto placebo (Heij 2012, PMID 23168581).</w:t>
      </w:r>
    </w:p>
    <w:p>
      <w:pPr>
        <w:pStyle w:val="BodyText"/>
      </w:pPr>
      <w:r>
        <w:t xml:space="preserve">Lo studio più grande, uno studio di fase 2b con 64 persone, ha scelto come endpoint primario l’area delle fibre nervose sottili nella cornea dell’occhio, misurabile con un microscopio speciale. Solo con la dose intermedia delle tre quest’area è aumentata in modo significativo rispetto al placebo; la dose bassa e quella alta non hanno mostrato un effetto significativo. I dolori sono migliorati in tutti i gruppi, anche con il placebo (Culver 2017, PMID 28475703). Le fibre nervose corneali sono un marcatore sostitutivo (endpoint surrogato): che più fibre nervose nella cornea significhino anche meno dolore in modo duraturo non è dimostrato.</w:t>
      </w:r>
    </w:p>
    <w:p>
      <w:pPr>
        <w:pStyle w:val="BodyText"/>
      </w:pPr>
      <w:r>
        <w:t xml:space="preserve">Una revisione di membri del gruppo di ricerca di Leida ha giudicato promettenti le prospettive (van Velzen 2014, PMID 24555851). Va considerato che gran parte degli studi proviene dall’azienda sviluppatrice e da ricercatori strettamente legati a essa.</w:t>
      </w:r>
    </w:p>
    <w:bookmarkEnd w:id="420"/>
    <w:bookmarkStart w:id="421" w:name="diabete"/>
    <w:p>
      <w:pPr>
        <w:pStyle w:val="Heading4"/>
      </w:pPr>
      <w:r>
        <w:t xml:space="preserve">Diabete</w:t>
      </w:r>
    </w:p>
    <w:p>
      <w:pPr>
        <w:pStyle w:val="FirstParagraph"/>
      </w:pPr>
      <w:r>
        <w:t xml:space="preserve">Nelle persone con diabete di tipo 2 e neuropatia dolorosa, con ARA-290 sono migliorati in 28 giorni l’emoglobina glicata HbA1c, i lipidi ematici e i disturbi neuropatici (Brines 2015, PMID 25387363). Il numero di partecipanti non è indicato nell’abstract; lo studio era breve. Uno studio svedese registrato separatamente sull’effetto glicemico nel prediabete, con 24 persone previste, ha uno stato sconosciuto (NCT01933529). In nove persone con edema maculare diabetico – un rigonfiamento del centro della retina – acuità visiva e spessore retinico non sono migliorati (Lois 2020, PMID 32674280).</w:t>
      </w:r>
    </w:p>
    <w:bookmarkEnd w:id="421"/>
    <w:bookmarkEnd w:id="422"/>
    <w:bookmarkStart w:id="423" w:name="studi-su-animali-e-in-laboratorio-20"/>
    <w:p>
      <w:pPr>
        <w:pStyle w:val="Heading3"/>
      </w:pPr>
      <w:r>
        <w:t xml:space="preserve">Studi su animali e in laboratorio</w:t>
      </w:r>
    </w:p>
    <w:p>
      <w:pPr>
        <w:pStyle w:val="FirstParagraph"/>
      </w:pPr>
      <w:r>
        <w:t xml:space="preserve">La ricerca sugli animali su ARA-290 è ampia. In ratti, topi e maiali sono stati descritti effetti protettivi nel dolore neuropatico (Swartjes 2014, PMID 24529189; Pulman 2013, PMID 23262243), nei danni renali dopo un disturbo circolatorio nei maiali (van Rijt 2013, PMID 23302512), nel diabete nei ratti (Muller 2016, PMID 26736179) e in alterazioni simili a quelle dell’Alzheimer (Al-Onaizi 2022, PMID 34343617). In uno studio a lungo termine su ratti anziani per 15 mesi ARA-290 ha ridotto i segni di infiammazione nel cuore e attenuato i peggioramenti della funzione cardiaca legati all’età (Winicki 2022, PMID 36741836): su questo lavoro si basa la commercializzazione come «peptide anti-aging». Tutti questi risultati provengono da esperimenti sugli animali.</w:t>
      </w:r>
    </w:p>
    <w:bookmarkEnd w:id="423"/>
    <w:bookmarkStart w:id="426" w:name="rischi-ed-effetti-collaterali-20"/>
    <w:p>
      <w:pPr>
        <w:pStyle w:val="Heading3"/>
      </w:pPr>
      <w:r>
        <w:t xml:space="preserve">Rischi ed effetti collaterali</w:t>
      </w:r>
    </w:p>
    <w:bookmarkStart w:id="424" w:name="documentati-4"/>
    <w:p>
      <w:pPr>
        <w:pStyle w:val="Heading4"/>
      </w:pPr>
      <w:r>
        <w:t xml:space="preserve">Documentati</w:t>
      </w:r>
    </w:p>
    <w:p>
      <w:pPr>
        <w:pStyle w:val="FirstParagraph"/>
      </w:pPr>
      <w:r>
        <w:t xml:space="preserve">In tutti gli studi pubblicati non sono stati riferiti problemi di sicurezza (Heij 2012, PMID 23168581; Brines 2015, PMID 25387363). Nello studio sull’edema maculare, durato dodici settimane, non si sono verificati effetti collaterali gravi né anticorpi contro ARA-290 (Lois 2020, PMID 32674280). La base di dati è però piccola, con complessivamente molto meno di 200 persone trattate e durate di trattamento al massimo di dodici settimane.</w:t>
      </w:r>
    </w:p>
    <w:bookmarkEnd w:id="424"/>
    <w:bookmarkStart w:id="425" w:name="teorici-1"/>
    <w:p>
      <w:pPr>
        <w:pStyle w:val="Heading4"/>
      </w:pPr>
      <w:r>
        <w:t xml:space="preserve">Teorici</w:t>
      </w:r>
    </w:p>
    <w:p>
      <w:pPr>
        <w:numPr>
          <w:ilvl w:val="0"/>
          <w:numId w:val="1136"/>
        </w:numPr>
        <w:pStyle w:val="Compact"/>
      </w:pPr>
      <w:r>
        <w:rPr>
          <w:bCs/>
          <w:b/>
        </w:rPr>
        <w:t xml:space="preserve">Effetti simili all’EPO:</w:t>
      </w:r>
      <w:r>
        <w:t xml:space="preserve"> </w:t>
      </w:r>
      <w:r>
        <w:t xml:space="preserve">ARA-290 è stato progettato in modo da non stimolare l’emopoiesi. Se con un uso più prolungato o dosi più alte, come quelle che circolano sul mercato grigio, si verifichino comunque effetti simili all’EPO non è stato studiato nell’uomo.</w:t>
      </w:r>
    </w:p>
    <w:p>
      <w:pPr>
        <w:numPr>
          <w:ilvl w:val="0"/>
          <w:numId w:val="1136"/>
        </w:numPr>
        <w:pStyle w:val="Compact"/>
      </w:pPr>
      <w:r>
        <w:rPr>
          <w:bCs/>
          <w:b/>
        </w:rPr>
        <w:t xml:space="preserve">Crescita tumorale:</w:t>
      </w:r>
      <w:r>
        <w:t xml:space="preserve"> </w:t>
      </w:r>
      <w:r>
        <w:t xml:space="preserve">l’EPO stessa è sospettata di favorire la crescita tumorale in alcune malattie oncologiche. Se ciò abbia un ruolo per ARA-290 non è noto; mancano dati a lungo termine.</w:t>
      </w:r>
    </w:p>
    <w:p>
      <w:pPr>
        <w:numPr>
          <w:ilvl w:val="0"/>
          <w:numId w:val="1136"/>
        </w:numPr>
        <w:pStyle w:val="Compact"/>
      </w:pPr>
      <w:r>
        <w:rPr>
          <w:bCs/>
          <w:b/>
        </w:rPr>
        <w:t xml:space="preserve">Mercato grigio:</w:t>
      </w:r>
      <w:r>
        <w:t xml:space="preserve"> </w:t>
      </w:r>
      <w:r>
        <w:t xml:space="preserve">gli studi sono stati condotti con qualità farmaceutica. Per i prodotti in libera vendita purezza e contenuto sono sconosciuti.</w:t>
      </w:r>
    </w:p>
    <w:bookmarkEnd w:id="425"/>
    <w:bookmarkEnd w:id="426"/>
    <w:bookmarkStart w:id="427" w:name="quadro-normativo-20"/>
    <w:p>
      <w:pPr>
        <w:pStyle w:val="Heading3"/>
      </w:pPr>
      <w:r>
        <w:t xml:space="preserve">Quadro normativo</w:t>
      </w:r>
    </w:p>
    <w:p>
      <w:pPr>
        <w:pStyle w:val="FirstParagraph"/>
      </w:pPr>
      <w:r>
        <w:rPr>
          <w:iCs/>
          <w:i/>
        </w:rPr>
        <w:t xml:space="preserve">Aggiornato al 2026, da verificare.</w:t>
      </w:r>
    </w:p>
    <w:p>
      <w:pPr>
        <w:numPr>
          <w:ilvl w:val="0"/>
          <w:numId w:val="1137"/>
        </w:numPr>
        <w:pStyle w:val="Compact"/>
      </w:pPr>
      <w:r>
        <w:rPr>
          <w:bCs/>
          <w:b/>
        </w:rPr>
        <w:t xml:space="preserve">UE, Germania, Austria:</w:t>
      </w:r>
      <w:r>
        <w:t xml:space="preserve"> </w:t>
      </w:r>
      <w:r>
        <w:t xml:space="preserve">non autorizzato. La cessione per l’uso sull’uomo non è consentita.</w:t>
      </w:r>
    </w:p>
    <w:p>
      <w:pPr>
        <w:numPr>
          <w:ilvl w:val="0"/>
          <w:numId w:val="1137"/>
        </w:numPr>
        <w:pStyle w:val="Compact"/>
      </w:pPr>
      <w:r>
        <w:rPr>
          <w:bCs/>
          <w:b/>
        </w:rPr>
        <w:t xml:space="preserve">USA:</w:t>
      </w:r>
      <w:r>
        <w:t xml:space="preserve"> </w:t>
      </w:r>
      <w:r>
        <w:t xml:space="preserve">nessuna autorizzazione FDA.</w:t>
      </w:r>
    </w:p>
    <w:p>
      <w:pPr>
        <w:numPr>
          <w:ilvl w:val="0"/>
          <w:numId w:val="1137"/>
        </w:numPr>
        <w:pStyle w:val="Compact"/>
      </w:pPr>
      <w:r>
        <w:rPr>
          <w:bCs/>
          <w:b/>
        </w:rPr>
        <w:t xml:space="preserve">WADA:</w:t>
      </w:r>
      <w:r>
        <w:t xml:space="preserve"> </w:t>
      </w:r>
      <w:r>
        <w:t xml:space="preserve">vietato in gara e fuori gara (S2, ormoni peptidici e sostanze correlate; ARA-290 è citato come esempio di agonista non eritropoietico del recettore dell’EPO).</w:t>
      </w:r>
    </w:p>
    <w:bookmarkEnd w:id="427"/>
    <w:bookmarkStart w:id="428" w:name="studi-in-corso-e-prospettive-20"/>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con ARA-290 o cibinetide. Lo studio finora più grande (NCT02039687) è stato concluso nel 2015; da allora non è stato avviato alcuno studio di fase 3. Lo studio sull’edema maculare è stato concluso con nove persone (NCT06626971).</w:t>
      </w:r>
    </w:p>
    <w:p>
      <w:pPr>
        <w:pStyle w:val="BodyText"/>
      </w:pPr>
      <w:r>
        <w:rPr>
          <w:bCs/>
          <w:b/>
        </w:rPr>
        <w:t xml:space="preserve">Valutazione dell’autore:</w:t>
      </w:r>
      <w:r>
        <w:t xml:space="preserve"> </w:t>
      </w:r>
      <w:r>
        <w:t xml:space="preserve">i risultati nella neuropatia da sarcoidosi erano abbastanza interessanti per uno studio di fase 3, che però a oltre dieci anni dallo studio di fase 2b non risulta avviato. Senza un nuovo sviluppatore o finanziatore un’autorizzazione è improbabile. La commercializzazione sul mercato grigio come rimedio anti-aging si basa su studi sui ratti e ha poco a che fare con gli impieghi studiati nell’uomo.</w:t>
      </w:r>
    </w:p>
    <w:bookmarkEnd w:id="428"/>
    <w:bookmarkStart w:id="429" w:name="conclusione-20"/>
    <w:p>
      <w:pPr>
        <w:pStyle w:val="Heading3"/>
      </w:pPr>
      <w:r>
        <w:t xml:space="preserve">Conclusione</w:t>
      </w:r>
    </w:p>
    <w:p>
      <w:pPr>
        <w:pStyle w:val="FirstParagraph"/>
      </w:pPr>
      <w:r>
        <w:t xml:space="preserve">ARA-290 è un peptide derivato dall’eritropoietina che dovrebbe proteggere i tessuti senza stimolare l’emopoiesi. In piccoli studi randomizzati sul danno nervoso da sarcoidosi le fibre nervose nella cornea sono aumentate, ma solo con una delle tre dosi, e i dolori sono migliorati nettamente anche con il placebo (Culver 2017, PMID 28475703). La tollerabilità negli studi brevi è stata buona, mancano dati a lungo termine. Dal 2015 non ci sono nuovi studi registrati; nello sport ARA-290 è vietato.</w:t>
      </w:r>
    </w:p>
    <w:bookmarkEnd w:id="429"/>
    <w:bookmarkEnd w:id="430"/>
    <w:bookmarkStart w:id="444" w:name="larazotide"/>
    <w:p>
      <w:pPr>
        <w:pStyle w:val="Heading2"/>
      </w:pPr>
      <w:r>
        <w:t xml:space="preserve">Larazotide</w:t>
      </w:r>
    </w:p>
    <w:p>
      <w:pPr>
        <w:pStyle w:val="FirstParagraph"/>
      </w:pPr>
      <w:r>
        <w:t xml:space="preserve">Larazotide è l’unico peptide di questo gruppo arrivato fino a uno studio registrativo di fase 3 senza essere stato prima autorizzato da qualche parte. Doveva diventare il primo farmaco contro la celiachia, una malattia per la quale ancora oggi l’unico rimedio è la dieta senza glutine per tutta la vita. Il concetto alla base, la sigillatura di una parete intestinale «permeabile», rende larazotide interessante anche per l’ambiente che ruota attorno al «leaky gut». La storia di questo principio attivo mostra quanto sia difficile trasformare un’idea plausibile in un farmaco efficace.</w:t>
      </w:r>
    </w:p>
    <w:bookmarkStart w:id="431" w:name="scheda-21"/>
    <w:p>
      <w:pPr>
        <w:pStyle w:val="Heading3"/>
      </w:pPr>
      <w:r>
        <w:t xml:space="preserve">Scheda</w:t>
      </w:r>
    </w:p>
    <w:p>
      <w:pPr>
        <w:numPr>
          <w:ilvl w:val="0"/>
          <w:numId w:val="1138"/>
        </w:numPr>
        <w:pStyle w:val="Compact"/>
      </w:pPr>
      <w:r>
        <w:rPr>
          <w:bCs/>
          <w:b/>
        </w:rPr>
        <w:t xml:space="preserve">Tipo e struttura:</w:t>
      </w:r>
      <w:r>
        <w:t xml:space="preserve"> </w:t>
      </w:r>
      <w:r>
        <w:t xml:space="preserve">peptide sintetico di 8 aminoacidi (Gopalakrishnan 2012, PMID 22401908), come sale acetato (larazotide acetato); codice di sviluppo AT-1001.</w:t>
      </w:r>
    </w:p>
    <w:p>
      <w:pPr>
        <w:numPr>
          <w:ilvl w:val="0"/>
          <w:numId w:val="1138"/>
        </w:numPr>
        <w:pStyle w:val="Compact"/>
      </w:pPr>
      <w:r>
        <w:rPr>
          <w:bCs/>
          <w:b/>
        </w:rPr>
        <w:t xml:space="preserve">Origine:</w:t>
      </w:r>
      <w:r>
        <w:t xml:space="preserve"> </w:t>
      </w:r>
      <w:r>
        <w:t xml:space="preserve">derivato dalla ricerca sulla tossina zonula occludens del batterio del colera, che apre le giunzioni tra le cellule intestinali; larazotide dovrebbe agire in senso opposto.</w:t>
      </w:r>
    </w:p>
    <w:p>
      <w:pPr>
        <w:numPr>
          <w:ilvl w:val="0"/>
          <w:numId w:val="1138"/>
        </w:numPr>
        <w:pStyle w:val="Compact"/>
      </w:pPr>
      <w:r>
        <w:rPr>
          <w:bCs/>
          <w:b/>
        </w:rPr>
        <w:t xml:space="preserve">Principio d’azione:</w:t>
      </w:r>
      <w:r>
        <w:t xml:space="preserve"> </w:t>
      </w:r>
      <w:r>
        <w:t xml:space="preserve">regolatore delle «tight junction» (giunzioni serrate tra le cellule intestinali); è considerato un antagonista della sostanza di segnalazione endogena zonulina. Agisce localmente nell’intestino e viene assorbito pochissimo nel sangue.</w:t>
      </w:r>
    </w:p>
    <w:p>
      <w:pPr>
        <w:numPr>
          <w:ilvl w:val="0"/>
          <w:numId w:val="1138"/>
        </w:numPr>
        <w:pStyle w:val="Compact"/>
      </w:pPr>
      <w:r>
        <w:rPr>
          <w:bCs/>
          <w:b/>
        </w:rPr>
        <w:t xml:space="preserve">Autorizzazione UE/USA:</w:t>
      </w:r>
      <w:r>
        <w:t xml:space="preserve"> </w:t>
      </w:r>
      <w:r>
        <w:t xml:space="preserve">no.</w:t>
      </w:r>
    </w:p>
    <w:p>
      <w:pPr>
        <w:numPr>
          <w:ilvl w:val="0"/>
          <w:numId w:val="1138"/>
        </w:numPr>
        <w:pStyle w:val="Compact"/>
      </w:pPr>
      <w:r>
        <w:rPr>
          <w:bCs/>
          <w:b/>
        </w:rPr>
        <w:t xml:space="preserve">WADA:</w:t>
      </w:r>
      <w:r>
        <w:t xml:space="preserve"> </w:t>
      </w:r>
      <w:r>
        <w:t xml:space="preserve">non elencato; senza un riconoscibile effetto di miglioramento della prestazione (aggiornato al 2026, da verificare).</w:t>
      </w:r>
    </w:p>
    <w:p>
      <w:pPr>
        <w:numPr>
          <w:ilvl w:val="0"/>
          <w:numId w:val="1138"/>
        </w:numPr>
        <w:pStyle w:val="Compact"/>
      </w:pPr>
      <w:r>
        <w:rPr>
          <w:bCs/>
          <w:b/>
        </w:rPr>
        <w:t xml:space="preserve">Livello di evidenza: B</w:t>
      </w:r>
      <w:r>
        <w:t xml:space="preserve"> </w:t>
      </w:r>
      <w:r>
        <w:t xml:space="preserve">– diversi studi randomizzati di fase 2 con risultati contrastanti; lo studio di fase 3 è stato interrotto, senza risultati pubblicati.</w:t>
      </w:r>
    </w:p>
    <w:bookmarkEnd w:id="431"/>
    <w:bookmarkStart w:id="432" w:name="come-dovrebbe-agire-21"/>
    <w:p>
      <w:pPr>
        <w:pStyle w:val="Heading3"/>
      </w:pPr>
      <w:r>
        <w:t xml:space="preserve">Come dovrebbe agire</w:t>
      </w:r>
    </w:p>
    <w:p>
      <w:pPr>
        <w:pStyle w:val="FirstParagraph"/>
      </w:pPr>
      <w:r>
        <w:t xml:space="preserve">Nella celiachia il sistema immunitario delle persone geneticamente predisposte reagisce al glutine, una proteina presente in frumento, segale e orzo. Frammenti di glutine attraversano la mucosa intestinale e vi scatenano un’infiammazione che distrugge i villi intestinali. Una parte di questi frammenti passa probabilmente attraverso gli spazi tra le cellule intestinali. Questi spazi sono chiusi dalle tight junction, una sorta di cerniera lampo molecolare.</w:t>
      </w:r>
    </w:p>
    <w:p>
      <w:pPr>
        <w:pStyle w:val="BodyText"/>
      </w:pPr>
      <w:r>
        <w:t xml:space="preserve">La sostanza di segnalazione zonulina può aprire questa cerniera; la gliadina, un componente del glutine, libera zonulina. Larazotide dovrebbe bloccare questa via. In colture di cellule intestinali umane larazotide ha impedito la ridistribuzione delle proteine di chiusura e ridotto il passaggio di un frammento di gliadina attraverso lo strato cellulare; nei topi geneticamente modificati con sensibilità al glutine la struttura delle giunzioni serrate è rimasta integra (Gopalakrishnan 2012, PMID 22401908). Lavori più recenti ipotizzano inoltre un’inibizione dell’enzima chinasi della catena leggera della miosina, che mette in tensione le giunzioni cellulari (Slifer 2021, PMID 33881350).</w:t>
      </w:r>
    </w:p>
    <w:p>
      <w:pPr>
        <w:pStyle w:val="BodyText"/>
      </w:pPr>
      <w:r>
        <w:t xml:space="preserve">Larazotide non è mai stato pensato come sostituto della dieta senza glutine. L’obiettivo era un farmaco aggiuntivo per le persone che hanno disturbi nonostante la dieta, per esempio a causa di tracce di glutine non notate.</w:t>
      </w:r>
    </w:p>
    <w:bookmarkEnd w:id="432"/>
    <w:bookmarkStart w:id="436" w:name="studi-sulluomo-21"/>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4</w:t>
      </w:r>
      <w:r>
        <w:t xml:space="preserve"> </w:t>
      </w:r>
      <w:r>
        <w:t xml:space="preserve">studi sull’uomo su PubMed e</w:t>
      </w:r>
      <w:r>
        <w:t xml:space="preserve"> </w:t>
      </w:r>
      <w:r>
        <w:rPr>
          <w:bCs/>
          <w:b/>
        </w:rPr>
        <w:t xml:space="preserve">29</w:t>
      </w:r>
      <w:r>
        <w:t xml:space="preserve"> </w:t>
      </w:r>
      <w:r>
        <w:t xml:space="preserve">voci su ClinicalTrials.gov. Di queste 29 voci, però, 19 riguardano un farmaco completamente diverso: migalastat contro la malattia di Fabry portava in passato lo stesso codice di sviluppo AT1001. A larazotide appartengono effettivamente</w:t>
      </w:r>
      <w:r>
        <w:t xml:space="preserve"> </w:t>
      </w:r>
      <w:r>
        <w:rPr>
          <w:bCs/>
          <w:b/>
        </w:rPr>
        <w:t xml:space="preserve">10</w:t>
      </w:r>
      <w:r>
        <w:t xml:space="preserve"> </w:t>
      </w:r>
      <w:r>
        <w:t xml:space="preserve">voci di registro. Una meta-analisi del 2022 ha riassunto quattro studi randomizzati con 626 persone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Carico di glutine (Leffler 2012, PMID 22825365)</w:t>
            </w:r>
          </w:p>
        </w:tc>
        <w:tc>
          <w:tcPr/>
          <w:p>
            <w:pPr>
              <w:pStyle w:val="Compact"/>
              <w:jc w:val="left"/>
            </w:pPr>
            <w:r>
              <w:t xml:space="preserve">86 persone con celiachia, RCT con 4 dosi e placebo</w:t>
            </w:r>
          </w:p>
        </w:tc>
        <w:tc>
          <w:tcPr/>
          <w:p>
            <w:pPr>
              <w:pStyle w:val="Compact"/>
              <w:jc w:val="left"/>
            </w:pPr>
            <w:r>
              <w:t xml:space="preserve">14 giorni</w:t>
            </w:r>
          </w:p>
        </w:tc>
        <w:tc>
          <w:tcPr/>
          <w:p>
            <w:pPr>
              <w:pStyle w:val="Compact"/>
              <w:jc w:val="left"/>
            </w:pPr>
            <w:r>
              <w:t xml:space="preserve">test di permeabilità senza differenze significative; meno disturbi con alcune dosi basse</w:t>
            </w:r>
          </w:p>
        </w:tc>
      </w:tr>
      <w:tr>
        <w:tc>
          <w:tcPr/>
          <w:p>
            <w:pPr>
              <w:pStyle w:val="Compact"/>
              <w:jc w:val="left"/>
            </w:pPr>
            <w:r>
              <w:t xml:space="preserve">Carico di glutine (Kelly 2013, PMID 23163616)</w:t>
            </w:r>
          </w:p>
        </w:tc>
        <w:tc>
          <w:tcPr/>
          <w:p>
            <w:pPr>
              <w:pStyle w:val="Compact"/>
              <w:jc w:val="left"/>
            </w:pPr>
            <w:r>
              <w:t xml:space="preserve">184 persone, RCT con 3 dosi e placebo, 2,7 g di glutine al giorno</w:t>
            </w:r>
          </w:p>
        </w:tc>
        <w:tc>
          <w:tcPr/>
          <w:p>
            <w:pPr>
              <w:pStyle w:val="Compact"/>
              <w:jc w:val="left"/>
            </w:pPr>
            <w:r>
              <w:t xml:space="preserve">6 settimane</w:t>
            </w:r>
          </w:p>
        </w:tc>
        <w:tc>
          <w:tcPr/>
          <w:p>
            <w:pPr>
              <w:pStyle w:val="Compact"/>
              <w:jc w:val="left"/>
            </w:pPr>
            <w:r>
              <w:t xml:space="preserve">permeabilità invariata; meno disturbi solo con 1 mg; minore aumento degli anticorpi della celiachia</w:t>
            </w:r>
          </w:p>
        </w:tc>
      </w:tr>
      <w:tr>
        <w:tc>
          <w:tcPr/>
          <w:p>
            <w:pPr>
              <w:pStyle w:val="Compact"/>
              <w:jc w:val="left"/>
            </w:pPr>
            <w:r>
              <w:t xml:space="preserve">Disturbi nonostante la dieta (Leffler 2015, PMID 25683116; NCT01396213)</w:t>
            </w:r>
          </w:p>
        </w:tc>
        <w:tc>
          <w:tcPr/>
          <w:p>
            <w:pPr>
              <w:pStyle w:val="Compact"/>
              <w:jc w:val="left"/>
            </w:pPr>
            <w:r>
              <w:t xml:space="preserve">342 persone, RCT con 3 dosi e placebo</w:t>
            </w:r>
          </w:p>
        </w:tc>
        <w:tc>
          <w:tcPr/>
          <w:p>
            <w:pPr>
              <w:pStyle w:val="Compact"/>
              <w:jc w:val="left"/>
            </w:pPr>
            <w:r>
              <w:t xml:space="preserve">12 settimane</w:t>
            </w:r>
          </w:p>
        </w:tc>
        <w:tc>
          <w:tcPr/>
          <w:p>
            <w:pPr>
              <w:pStyle w:val="Compact"/>
              <w:jc w:val="left"/>
            </w:pPr>
            <w:r>
              <w:t xml:space="preserve">obiettivo primario raggiunto solo con la dose più bassa (0,5 mg); 1 mg e 2 mg non migliori del placebo</w:t>
            </w:r>
          </w:p>
        </w:tc>
      </w:tr>
      <w:tr>
        <w:tc>
          <w:tcPr/>
          <w:p>
            <w:pPr>
              <w:pStyle w:val="Compact"/>
              <w:jc w:val="left"/>
            </w:pPr>
            <w:r>
              <w:t xml:space="preserve">CeDLara, fase 3 (NCT03569007)</w:t>
            </w:r>
          </w:p>
        </w:tc>
        <w:tc>
          <w:tcPr/>
          <w:p>
            <w:pPr>
              <w:pStyle w:val="Compact"/>
              <w:jc w:val="left"/>
            </w:pPr>
            <w:r>
              <w:t xml:space="preserve">307 persone, randomizzato, in cieco</w:t>
            </w:r>
          </w:p>
        </w:tc>
        <w:tc>
          <w:tcPr/>
          <w:p>
            <w:pPr>
              <w:pStyle w:val="Compact"/>
              <w:jc w:val="left"/>
            </w:pPr>
            <w:r>
              <w:t xml:space="preserve">previste 12 settimane</w:t>
            </w:r>
          </w:p>
        </w:tc>
        <w:tc>
          <w:tcPr/>
          <w:p>
            <w:pPr>
              <w:pStyle w:val="Compact"/>
              <w:jc w:val="left"/>
            </w:pPr>
            <w:r>
              <w:t xml:space="preserve">interrotto dallo sponsor nel 2022; nessun risultato pubblicato</w:t>
            </w:r>
          </w:p>
        </w:tc>
      </w:tr>
      <w:tr>
        <w:tc>
          <w:tcPr/>
          <w:p>
            <w:pPr>
              <w:pStyle w:val="Compact"/>
              <w:jc w:val="left"/>
            </w:pPr>
            <w:r>
              <w:t xml:space="preserve">MIS-C nei bambini (Yonker 2025, PMID 40737433)</w:t>
            </w:r>
          </w:p>
        </w:tc>
        <w:tc>
          <w:tcPr/>
          <w:p>
            <w:pPr>
              <w:pStyle w:val="Compact"/>
              <w:jc w:val="left"/>
            </w:pPr>
            <w:r>
              <w:t xml:space="preserve">12 bambini con sindrome infiammatoria dopo COVID-19, fase 2a, RCT</w:t>
            </w:r>
          </w:p>
        </w:tc>
        <w:tc>
          <w:tcPr/>
          <w:p>
            <w:pPr>
              <w:pStyle w:val="Compact"/>
              <w:jc w:val="left"/>
            </w:pPr>
            <w:r>
              <w:t xml:space="preserve">3 settimane</w:t>
            </w:r>
          </w:p>
        </w:tc>
        <w:tc>
          <w:tcPr/>
          <w:p>
            <w:pPr>
              <w:pStyle w:val="Compact"/>
              <w:jc w:val="left"/>
            </w:pPr>
            <w:r>
              <w:t xml:space="preserve">risoluzione più rapida dei disturbi gastrointestinali; nessun effetto collaterale dovuto a larazotide</w:t>
            </w:r>
          </w:p>
        </w:tc>
      </w:tr>
    </w:tbl>
    <w:bookmarkStart w:id="433" w:name="celiachia-fase-2"/>
    <w:p>
      <w:pPr>
        <w:pStyle w:val="Heading4"/>
      </w:pPr>
      <w:r>
        <w:t xml:space="preserve">Celiachia: fase 2</w:t>
      </w:r>
    </w:p>
    <w:p>
      <w:pPr>
        <w:pStyle w:val="FirstParagraph"/>
      </w:pPr>
      <w:r>
        <w:t xml:space="preserve">Nei due studi con carico mirato di glutine larazotide doveva impedire l’aumento della permeabilità intestinale. Questa veniva misurata con un test degli zuccheri nelle urine (rapporto lattulosio/mannitolo). Nella vita quotidiana questo test era così variabile che non è stato possibile dimostrare alcun effetto (Leffler 2012, PMID 22825365; Kelly 2013, PMID 23163616). Per i disturbi è emerso uno schema insolito: le dosi basse funzionavano in parte meglio di quelle alte. Nello studio con 184 persone solo la dose da 1 mg ha limitato in modo significativo i disturbi provocati dal glutine; allo stesso tempo gli anticorpi della celiachia sono aumentati con tutte le dosi di larazotide molto meno che con il placebo (Kelly 2013, PMID 23163616).</w:t>
      </w:r>
    </w:p>
    <w:p>
      <w:pPr>
        <w:pStyle w:val="BodyText"/>
      </w:pPr>
      <w:r>
        <w:t xml:space="preserve">Il più grande studio di fase 2, con 342 persone che avevano disturbi nonostante la dieta senza glutine, ha raggiunto il suo obiettivo primario solo con la dose più bassa di 0,5 mg. Con questa dose i giorni con disturbi da celiachia sono stati il 26% in meno. Le dosi più alte non sono risultate migliori del placebo in alcun endpoint; gli autori stessi definiscono i risultati «contrastanti» (Leffler 2015, PMID 25683116). Un farmaco in cui funziona solo la dose più bassa è insolito dal punto di vista farmacologico e lascia dubbi sul fatto che si tratti di un effetto reale o del caso.</w:t>
      </w:r>
    </w:p>
    <w:p>
      <w:pPr>
        <w:pStyle w:val="BodyText"/>
      </w:pPr>
      <w:r>
        <w:t xml:space="preserve">La meta-analisi non ha trovato alcun effetto sulla permeabilità intestinale, e un miglioramento dei disturbi solo con il carico di glutine, ma non nelle persone a dieta senza glutine, cioè proprio non nel gruppo per cui larazotide era pensato (Hoilat 2022, PMID 34339872).</w:t>
      </w:r>
    </w:p>
    <w:bookmarkEnd w:id="433"/>
    <w:bookmarkStart w:id="434" w:name="celiachia-lo-studio-di-fase-3-cedlara"/>
    <w:p>
      <w:pPr>
        <w:pStyle w:val="Heading4"/>
      </w:pPr>
      <w:r>
        <w:t xml:space="preserve">Celiachia: lo studio di fase 3 CeDLara</w:t>
      </w:r>
    </w:p>
    <w:p>
      <w:pPr>
        <w:pStyle w:val="FirstParagraph"/>
      </w:pPr>
      <w:r>
        <w:t xml:space="preserve">Sulla base dei risultati con 0,5 mg nel 2019 è partito lo studio di fase 3 CeDLara con larazotide in microsfere gastroresistenti (NCT03569007). Secondo il registro sono state arruolate 307 persone; lo studio è stato «terminato dallo sponsor» a luglio 2022. Secondo le conoscenze dell’autore, l’allora produttore 9 Meters Biopharma motivò l’interruzione con il fatto che un’analisi intermedia aveva mostrato che sarebbero stati necessari molti più partecipanti per dimostrare una differenza rispetto al placebo. Su PubMed non esiste una pubblicazione scientifica dei risultati. I lavori di revisione osservano che finora nessun farmaco per la celiachia ha concluso con successo uno studio di fase 3 (D’heedene 2024, PMID 38648685) e che nessun trattamento è dimostrato come alternativa efficace alla dieta senza glutine (Girbal-González 2025, PMID 41010485).</w:t>
      </w:r>
    </w:p>
    <w:bookmarkEnd w:id="434"/>
    <w:bookmarkStart w:id="435" w:name="X2a0723be2edec237f0e4387e2f2bd2b179592b5"/>
    <w:p>
      <w:pPr>
        <w:pStyle w:val="Heading4"/>
      </w:pPr>
      <w:r>
        <w:t xml:space="preserve">Nuovo impiego: sindrome infiammatoria dopo COVID-19</w:t>
      </w:r>
    </w:p>
    <w:p>
      <w:pPr>
        <w:pStyle w:val="FirstParagraph"/>
      </w:pPr>
      <w:r>
        <w:t xml:space="preserve">Un gruppo di ricerca ipotizza che nella sindrome infiammatoria multisistemica pediatrica (MIS-C) dopo COVID-19 componenti virali passino dall’intestino al sangue. In una prima serie di casi con quattro bambini, con larazotide la proteina virale è scomparsa dal sangue e i disturbi gastrointestinali si sono risolti più rapidamente che in 22 bambini di confronto (Yonker 2022, PMID 35211683). Uno studio randomizzato di fase 2a con soli 12 bambini ha confermato miglioramenti più rapidi dei disturbi; non sono stati osservati effetti collaterali dovuti a larazotide (Yonker 2025, PMID 40737433). Lo studio è stato interrotto per il calo del numero di casi (NCT05022303). Uno studio sul long COVID con 107 bambini e adulti risulta concluso secondo il registro da giugno 2026 (NCT05747534); a ottobre 2026 i risultati non erano pubblicati.</w:t>
      </w:r>
    </w:p>
    <w:bookmarkEnd w:id="435"/>
    <w:bookmarkEnd w:id="436"/>
    <w:bookmarkStart w:id="437" w:name="studi-su-animali-e-in-laboratorio-21"/>
    <w:p>
      <w:pPr>
        <w:pStyle w:val="Heading3"/>
      </w:pPr>
      <w:r>
        <w:t xml:space="preserve">Studi su animali e in laboratorio</w:t>
      </w:r>
    </w:p>
    <w:p>
      <w:pPr>
        <w:pStyle w:val="FirstParagraph"/>
      </w:pPr>
      <w:r>
        <w:t xml:space="preserve">Oltre alla celiachia, larazotide è stato valutato in modelli animali di altre malattie con barriera intestinale alterata. Nei topi predisposti a un’infiammazione articolare larazotide ha ridotto l’insorgenza dell’artrite (Tajik 2020, PMID 32332732). Nei maiali ha favorito il recupero del tessuto dell’intestino tenue dopo un disturbo circolatorio (Slifer 2021, PMID 33881350). Nei ratti sono stati descritti effetti nella pancreatite acuta e nell’insufficienza epatica acuta (Karahan 2024, PMID 38441784; Caliskan 2021, PMID 34791921). Sono esperimenti sugli animali; non se ne possono ricavare conclusioni su reumatismi, pancreas o fegato nell’uomo.</w:t>
      </w:r>
    </w:p>
    <w:bookmarkEnd w:id="437"/>
    <w:bookmarkStart w:id="440" w:name="rischi-ed-effetti-collaterali-21"/>
    <w:p>
      <w:pPr>
        <w:pStyle w:val="Heading3"/>
      </w:pPr>
      <w:r>
        <w:t xml:space="preserve">Rischi ed effetti collaterali</w:t>
      </w:r>
    </w:p>
    <w:bookmarkStart w:id="438" w:name="documentati-5"/>
    <w:p>
      <w:pPr>
        <w:pStyle w:val="Heading4"/>
      </w:pPr>
      <w:r>
        <w:t xml:space="preserve">Documentati</w:t>
      </w:r>
    </w:p>
    <w:p>
      <w:pPr>
        <w:pStyle w:val="FirstParagraph"/>
      </w:pPr>
      <w:r>
        <w:t xml:space="preserve">Larazotide è stato ben tollerato in tutti gli studi. Nello studio con 86 persone non si sono verificati effetti collaterali gravi; i più frequenti erano cefalea e infezioni delle vie urinarie (Leffler 2012, PMID 22825365). Nel più grande studio di fase 2 la sicurezza era paragonabile al placebo (Leffler 2015, PMID 25683116). La meta-analisi non ha trovato nel complesso un accumulo di effetti collaterali rispetto al placebo (Hoilat 2022, PMID 34339872). Poiché larazotide arriva pochissimo nel sangue, un profilo di sicurezza favorevole è plausibile.</w:t>
      </w:r>
    </w:p>
    <w:bookmarkEnd w:id="438"/>
    <w:bookmarkStart w:id="439" w:name="da-considerare-1"/>
    <w:p>
      <w:pPr>
        <w:pStyle w:val="Heading4"/>
      </w:pPr>
      <w:r>
        <w:t xml:space="preserve">Da considerare</w:t>
      </w:r>
    </w:p>
    <w:p>
      <w:pPr>
        <w:numPr>
          <w:ilvl w:val="0"/>
          <w:numId w:val="1139"/>
        </w:numPr>
        <w:pStyle w:val="Compact"/>
      </w:pPr>
      <w:r>
        <w:rPr>
          <w:bCs/>
          <w:b/>
        </w:rPr>
        <w:t xml:space="preserve">Nessuna alternativa alla dieta:</w:t>
      </w:r>
      <w:r>
        <w:t xml:space="preserve"> </w:t>
      </w:r>
      <w:r>
        <w:t xml:space="preserve">anche negli studi positivi larazotide non ha protetto dal danno provocato da quantità maggiori di glutine. Chi allenta la dieta senza glutine a causa di un simile farmaco rischia danni intestinali.</w:t>
      </w:r>
    </w:p>
    <w:p>
      <w:pPr>
        <w:numPr>
          <w:ilvl w:val="0"/>
          <w:numId w:val="1139"/>
        </w:numPr>
        <w:pStyle w:val="Compact"/>
      </w:pPr>
      <w:r>
        <w:rPr>
          <w:bCs/>
          <w:b/>
        </w:rPr>
        <w:t xml:space="preserve">Mercato grigio:</w:t>
      </w:r>
      <w:r>
        <w:t xml:space="preserve"> </w:t>
      </w:r>
      <w:r>
        <w:t xml:space="preserve">larazotide viene offerto sporadicamente come «peptide per il leaky gut». Gli studi hanno usato una speciale forma farmaceutica gastroresistente; se i prodotti in libera vendita portino il principio attivo fino al sito d’azione non è noto. Per il concetto di «leaky gut» senza celiachia non esistono studi con larazotide.</w:t>
      </w:r>
    </w:p>
    <w:bookmarkEnd w:id="439"/>
    <w:bookmarkEnd w:id="440"/>
    <w:bookmarkStart w:id="441" w:name="quadro-normativo-21"/>
    <w:p>
      <w:pPr>
        <w:pStyle w:val="Heading3"/>
      </w:pPr>
      <w:r>
        <w:t xml:space="preserve">Quadro normativo</w:t>
      </w:r>
    </w:p>
    <w:p>
      <w:pPr>
        <w:pStyle w:val="FirstParagraph"/>
      </w:pPr>
      <w:r>
        <w:rPr>
          <w:iCs/>
          <w:i/>
        </w:rPr>
        <w:t xml:space="preserve">Aggiornato al 2026, da verificare.</w:t>
      </w:r>
    </w:p>
    <w:p>
      <w:pPr>
        <w:numPr>
          <w:ilvl w:val="0"/>
          <w:numId w:val="1140"/>
        </w:numPr>
        <w:pStyle w:val="Compact"/>
      </w:pPr>
      <w:r>
        <w:rPr>
          <w:bCs/>
          <w:b/>
        </w:rPr>
        <w:t xml:space="preserve">UE, Germania, Austria:</w:t>
      </w:r>
      <w:r>
        <w:t xml:space="preserve"> </w:t>
      </w:r>
      <w:r>
        <w:t xml:space="preserve">non autorizzato.</w:t>
      </w:r>
    </w:p>
    <w:p>
      <w:pPr>
        <w:numPr>
          <w:ilvl w:val="0"/>
          <w:numId w:val="1140"/>
        </w:numPr>
        <w:pStyle w:val="Compact"/>
      </w:pPr>
      <w:r>
        <w:rPr>
          <w:bCs/>
          <w:b/>
        </w:rPr>
        <w:t xml:space="preserve">USA:</w:t>
      </w:r>
      <w:r>
        <w:t xml:space="preserve"> </w:t>
      </w:r>
      <w:r>
        <w:t xml:space="preserve">non autorizzato. Secondo le conoscenze dell’autore lo sviluppatore aveva ottenuto dalla FDA una procedura di valutazione accelerata («Fast Track») per la celiachia; dopo l’interruzione dello studio di fase 3 non è stata presentata alcuna domanda di autorizzazione.</w:t>
      </w:r>
    </w:p>
    <w:p>
      <w:pPr>
        <w:numPr>
          <w:ilvl w:val="0"/>
          <w:numId w:val="1140"/>
        </w:numPr>
        <w:pStyle w:val="Compact"/>
      </w:pPr>
      <w:r>
        <w:rPr>
          <w:bCs/>
          <w:b/>
        </w:rPr>
        <w:t xml:space="preserve">WADA:</w:t>
      </w:r>
      <w:r>
        <w:t xml:space="preserve"> </w:t>
      </w:r>
      <w:r>
        <w:t xml:space="preserve">non elencato.</w:t>
      </w:r>
    </w:p>
    <w:bookmarkEnd w:id="441"/>
    <w:bookmarkStart w:id="442" w:name="studi-in-corso-e-prospettive-21"/>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con larazotide. Lo studio sul long COVID (NCT05747534) è concluso, i risultati sono in attesa.</w:t>
      </w:r>
    </w:p>
    <w:p>
      <w:pPr>
        <w:pStyle w:val="BodyText"/>
      </w:pPr>
      <w:r>
        <w:rPr>
          <w:bCs/>
          <w:b/>
        </w:rPr>
        <w:t xml:space="preserve">Valutazione dell’autore:</w:t>
      </w:r>
      <w:r>
        <w:t xml:space="preserve"> </w:t>
      </w:r>
      <w:r>
        <w:t xml:space="preserve">per la celiachia larazotide probabilmente non ha futuro dopo l’interruzione di CeDLara, a meno che un nuovo sviluppatore non ne rilevi i diritti. Altri approcci – enzimi che degradano il glutine, inibitori della transglutaminasi 2 o procedure di tolleranza immunitaria – sono attualmente considerati più promettenti (D’heedene 2024, PMID 38648685). Per MIS-C e long COVID l’ulteriore sviluppo dipende dai risultati non ancora pubblicati.</w:t>
      </w:r>
    </w:p>
    <w:bookmarkEnd w:id="442"/>
    <w:bookmarkStart w:id="443" w:name="conclusione-21"/>
    <w:p>
      <w:pPr>
        <w:pStyle w:val="Heading3"/>
      </w:pPr>
      <w:r>
        <w:t xml:space="preserve">Conclusione</w:t>
      </w:r>
    </w:p>
    <w:p>
      <w:pPr>
        <w:pStyle w:val="FirstParagraph"/>
      </w:pPr>
      <w:r>
        <w:t xml:space="preserve">Larazotide è un peptide di otto aminoacidi che dovrebbe sigillare le giunzioni tra le cellule intestinali ed è stato il primo principio attivo contro la celiachia ad arrivare a uno studio di fase 3. Negli studi di fase 2 i risultati sono stati contrastanti: un effetto sulla permeabilità intestinale non è stato dimostrato, e nei disturbi nonostante la dieta ha funzionato solo la dose più bassa (Leffler 2015, PMID 25683116). Lo studio di fase 3 CeDLara è stato interrotto nel 2022, i risultati non sono stati pubblicati. Larazotide è ben tollerato, ma non è né autorizzato né dimostrato efficace, e non sostituisce la dieta senza glutine.</w:t>
      </w:r>
    </w:p>
    <w:bookmarkEnd w:id="443"/>
    <w:bookmarkEnd w:id="444"/>
    <w:bookmarkStart w:id="460" w:name="timalina-e-timogeno"/>
    <w:p>
      <w:pPr>
        <w:pStyle w:val="Heading2"/>
      </w:pPr>
      <w:r>
        <w:t xml:space="preserve">Timalina e timogeno</w:t>
      </w:r>
    </w:p>
    <w:p>
      <w:pPr>
        <w:pStyle w:val="FirstParagraph"/>
      </w:pPr>
      <w:r>
        <w:t xml:space="preserve">La timalina è un estratto della ghiandola del timo di vitello, il timogeno un dipeptide sintetico da essa derivato. Entrambi provengono dalla medicina militare sovietica degli anni Settanta e Ottanta e sono ancora oggi in commercio in Russia come medicinali. Negli ambienti occidentali della longevity vengono commercializzati come «bioregolatori» che dovrebbero «ringiovanire» il sistema immunitario e allungare la vita. Il fondamento di queste promesse è quasi esclusivamente la ricerca di un’unica scuola, quella del gerontologo di San Pietroburgo Vladimir Khavinson. Questo capitolo inquadra questa ricerca e spiega perché i suoi risultati vanno letti con grande cautela.</w:t>
      </w:r>
    </w:p>
    <w:bookmarkStart w:id="445" w:name="scheda-22"/>
    <w:p>
      <w:pPr>
        <w:pStyle w:val="Heading3"/>
      </w:pPr>
      <w:r>
        <w:t xml:space="preserve">Scheda</w:t>
      </w:r>
    </w:p>
    <w:p>
      <w:pPr>
        <w:numPr>
          <w:ilvl w:val="0"/>
          <w:numId w:val="1141"/>
        </w:numPr>
        <w:pStyle w:val="Compact"/>
      </w:pPr>
      <w:r>
        <w:rPr>
          <w:bCs/>
          <w:b/>
        </w:rPr>
        <w:t xml:space="preserve">Timalina:</w:t>
      </w:r>
      <w:r>
        <w:t xml:space="preserve"> </w:t>
      </w:r>
      <w:r>
        <w:t xml:space="preserve">miscela di peptidi ottenuta per estrazione acida dal timo di vitello (Morozov 1997, PMID 9637345); non è una sostanza definita in modo uniforme. Come principali componenti attivi vengono indicati i dipeptidi Lys-Glu (KE) e Glu-Trp (EW) (Linkova 2023, PMID 37686182).</w:t>
      </w:r>
    </w:p>
    <w:p>
      <w:pPr>
        <w:numPr>
          <w:ilvl w:val="0"/>
          <w:numId w:val="1141"/>
        </w:numPr>
        <w:pStyle w:val="Compact"/>
      </w:pPr>
      <w:r>
        <w:rPr>
          <w:bCs/>
          <w:b/>
        </w:rPr>
        <w:t xml:space="preserve">Timogeno:</w:t>
      </w:r>
      <w:r>
        <w:t xml:space="preserve"> </w:t>
      </w:r>
      <w:r>
        <w:t xml:space="preserve">dipeptide L-Glu-L-Trp prodotto per sintesi, isolato dalla timalina (Anisimov 2000, PMID 11707921); in Russia disponibile anche come spray nasale.</w:t>
      </w:r>
    </w:p>
    <w:p>
      <w:pPr>
        <w:numPr>
          <w:ilvl w:val="0"/>
          <w:numId w:val="1141"/>
        </w:numPr>
        <w:pStyle w:val="Compact"/>
      </w:pPr>
      <w:r>
        <w:rPr>
          <w:bCs/>
          <w:b/>
        </w:rPr>
        <w:t xml:space="preserve">Principio d’azione (dichiarato):</w:t>
      </w:r>
      <w:r>
        <w:t xml:space="preserve"> </w:t>
      </w:r>
      <w:r>
        <w:t xml:space="preserve">stimolazione della maturazione dei linfociti T, «normalizzazione» della funzione immunitaria e della coagulazione del sangue; secondo la teoria di Khavinson i peptidi brevi agiscono come «bioregolatori» direttamente sull’attività dei geni.</w:t>
      </w:r>
    </w:p>
    <w:p>
      <w:pPr>
        <w:numPr>
          <w:ilvl w:val="0"/>
          <w:numId w:val="1141"/>
        </w:numPr>
        <w:pStyle w:val="Compact"/>
      </w:pPr>
      <w:r>
        <w:rPr>
          <w:bCs/>
          <w:b/>
        </w:rPr>
        <w:t xml:space="preserve">Autorizzazione:</w:t>
      </w:r>
      <w:r>
        <w:t xml:space="preserve"> </w:t>
      </w:r>
      <w:r>
        <w:t xml:space="preserve">autorizzati come medicinali in Russia e in alcuni Stati successori dell’Unione Sovietica;</w:t>
      </w:r>
      <w:r>
        <w:t xml:space="preserve"> </w:t>
      </w:r>
      <w:r>
        <w:rPr>
          <w:bCs/>
          <w:b/>
        </w:rPr>
        <w:t xml:space="preserve">UE e USA:</w:t>
      </w:r>
      <w:r>
        <w:t xml:space="preserve"> </w:t>
      </w:r>
      <w:r>
        <w:t xml:space="preserve">no.</w:t>
      </w:r>
    </w:p>
    <w:p>
      <w:pPr>
        <w:numPr>
          <w:ilvl w:val="0"/>
          <w:numId w:val="1141"/>
        </w:numPr>
        <w:pStyle w:val="Compact"/>
      </w:pPr>
      <w:r>
        <w:rPr>
          <w:bCs/>
          <w:b/>
        </w:rPr>
        <w:t xml:space="preserve">WADA:</w:t>
      </w:r>
      <w:r>
        <w:t xml:space="preserve"> </w:t>
      </w:r>
      <w:r>
        <w:t xml:space="preserve">non elencati espressamente (aggiornato al 2026, da verificare).</w:t>
      </w:r>
    </w:p>
    <w:p>
      <w:pPr>
        <w:numPr>
          <w:ilvl w:val="0"/>
          <w:numId w:val="1141"/>
        </w:numPr>
        <w:pStyle w:val="Compact"/>
      </w:pPr>
      <w:r>
        <w:rPr>
          <w:bCs/>
          <w:b/>
        </w:rPr>
        <w:t xml:space="preserve">Livello di evidenza: C</w:t>
      </w:r>
      <w:r>
        <w:t xml:space="preserve"> </w:t>
      </w:r>
      <w:r>
        <w:t xml:space="preserve">– per lo più studi piccoli, in aperto o descritti in modo insufficiente; su PubMed un solo studio descritto come randomizzato e controllato con placebo.</w:t>
      </w:r>
    </w:p>
    <w:bookmarkEnd w:id="445"/>
    <w:bookmarkStart w:id="446" w:name="come-dovrebbe-agire-22"/>
    <w:p>
      <w:pPr>
        <w:pStyle w:val="Heading3"/>
      </w:pPr>
      <w:r>
        <w:t xml:space="preserve">Come dovrebbe agire</w:t>
      </w:r>
    </w:p>
    <w:p>
      <w:pPr>
        <w:pStyle w:val="FirstParagraph"/>
      </w:pPr>
      <w:r>
        <w:t xml:space="preserve">L’idea segue la stessa logica della timosina alfa 1 (si veda il relativo capitolo): il timo addestra i linfociti T e si riduce con l’età, quindi i messaggeri del timo dovrebbero rafforzare le difese. Ma mentre la timosina alfa 1 è un peptide definito con precisione e di sequenza nota, la timalina è una miscela di molti componenti di origine animale.</w:t>
      </w:r>
    </w:p>
    <w:p>
      <w:pPr>
        <w:pStyle w:val="BodyText"/>
      </w:pPr>
      <w:r>
        <w:t xml:space="preserve">Da questa miscela i ricercatori hanno isolato il dipeptide Glu-Trp e lo hanno immesso sul mercato in forma sintetica come timogeno. Dovrebbe favorire la differenziazione dei linfociti T e il riconoscimento degli antigeni e attivare i fagociti (Morozov 1997, PMID 9637345).</w:t>
      </w:r>
    </w:p>
    <w:p>
      <w:pPr>
        <w:pStyle w:val="BodyText"/>
      </w:pPr>
      <w:r>
        <w:t xml:space="preserve">Khavinson ne ha sviluppato una teoria più ampia: peptidi brevi provenienti da diversi organi agirebbero in modo specifico per tessuto e «regolerebbero» l’attività genica – peptidi della ghiandola pineale per la ghiandola pineale, del timo per il sistema immunitario e così via (Khavinson 2002, PMID 12374906). Anche l’epitalon, trattato nella Parte II · D, proviene da questa scuola. Questa teoria è stata verificata appena al di fuori del gruppo di lavoro e non corrisponde alla comprensione generale di come agiscono i messaggeri peptidici, cioè di norma attraverso recettori sulla superficie cellulare. Lavori più recenti del gruppo basano il meccanismo soprattutto su simulazioni al computer del legame al DNA e su colture cellulari (Linkova 2023, PMID 37686182).</w:t>
      </w:r>
    </w:p>
    <w:bookmarkEnd w:id="446"/>
    <w:bookmarkStart w:id="451" w:name="studi-sulluomo-22"/>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17</w:t>
      </w:r>
      <w:r>
        <w:t xml:space="preserve"> </w:t>
      </w:r>
      <w:r>
        <w:t xml:space="preserve">studi sull’uomo su PubMed e</w:t>
      </w:r>
      <w:r>
        <w:t xml:space="preserve"> </w:t>
      </w:r>
      <w:r>
        <w:rPr>
          <w:bCs/>
          <w:b/>
        </w:rPr>
        <w:t xml:space="preserve">0</w:t>
      </w:r>
      <w:r>
        <w:t xml:space="preserve"> </w:t>
      </w:r>
      <w:r>
        <w:t xml:space="preserve">voci su ClinicalTrials.gov. In totale PubMed elenca circa 290 pubblicazioni su timalina o timogeno; di queste circa 250 sono in lingua russa, e solo una menziona nel titolo o nell’abstract «randomizzato» o «placebo». Per la maggior parte degli studi sull’uomo PubMed riporta solo un breve abstract in russo o in ucraino, spesso senza indicazioni sul numero di partecipanti, sul gruppo di controllo o sulla procedura in cieco.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«Allungamento della vita» (Khavinson 2003, PMID 14523363)</w:t>
            </w:r>
          </w:p>
        </w:tc>
        <w:tc>
          <w:tcPr/>
          <w:p>
            <w:pPr>
              <w:pStyle w:val="Compact"/>
              <w:jc w:val="left"/>
            </w:pPr>
            <w:r>
              <w:t xml:space="preserve">266 persone anziane, timalina e/o epitalamina vs. controllo; assegnazione e cecità non descritte</w:t>
            </w:r>
          </w:p>
        </w:tc>
        <w:tc>
          <w:tcPr/>
          <w:p>
            <w:pPr>
              <w:pStyle w:val="Compact"/>
              <w:jc w:val="left"/>
            </w:pPr>
            <w:r>
              <w:t xml:space="preserve">6–8 anni di osservazione</w:t>
            </w:r>
          </w:p>
        </w:tc>
        <w:tc>
          <w:tcPr/>
          <w:p>
            <w:pPr>
              <w:pStyle w:val="Compact"/>
              <w:jc w:val="left"/>
            </w:pPr>
            <w:r>
              <w:t xml:space="preserve">mortalità nel gruppo timalina da 2,0 a 2,1 volte inferiore rispetto al controllo</w:t>
            </w:r>
          </w:p>
        </w:tc>
      </w:tr>
      <w:tr>
        <w:tc>
          <w:tcPr/>
          <w:p>
            <w:pPr>
              <w:pStyle w:val="Compact"/>
              <w:jc w:val="left"/>
            </w:pPr>
            <w:r>
              <w:t xml:space="preserve">Prima di interventi addominali (Smirnov 2011, PMID 21957588)</w:t>
            </w:r>
          </w:p>
        </w:tc>
        <w:tc>
          <w:tcPr/>
          <w:p>
            <w:pPr>
              <w:pStyle w:val="Compact"/>
              <w:jc w:val="left"/>
            </w:pPr>
            <w:r>
              <w:t xml:space="preserve">persone anziane con tumori addominali, RCT in doppio cieco contro placebo, timogeno in gocce nasali; numero di partecipanti non indicato nell’abstract</w:t>
            </w:r>
          </w:p>
        </w:tc>
        <w:tc>
          <w:tcPr/>
          <w:p>
            <w:pPr>
              <w:pStyle w:val="Compact"/>
              <w:jc w:val="left"/>
            </w:pPr>
            <w:r>
              <w:t xml:space="preserve">7 giorni prima dell’intervento</w:t>
            </w:r>
          </w:p>
        </w:tc>
        <w:tc>
          <w:tcPr/>
          <w:p>
            <w:pPr>
              <w:pStyle w:val="Compact"/>
              <w:jc w:val="left"/>
            </w:pPr>
            <w:r>
              <w:t xml:space="preserve">meno complicanze dopo l’intervento</w:t>
            </w:r>
          </w:p>
        </w:tc>
      </w:tr>
      <w:tr>
        <w:tc>
          <w:tcPr/>
          <w:p>
            <w:pPr>
              <w:pStyle w:val="Compact"/>
              <w:jc w:val="left"/>
            </w:pPr>
            <w:r>
              <w:t xml:space="preserve">COVID-19 grave (Kuznik 2022, PMID 36169363)</w:t>
            </w:r>
          </w:p>
        </w:tc>
        <w:tc>
          <w:tcPr/>
          <w:p>
            <w:pPr>
              <w:pStyle w:val="Compact"/>
              <w:jc w:val="left"/>
            </w:pPr>
            <w:r>
              <w:t xml:space="preserve">tre gruppi: terapia di base, più tocilizumab, più timalina; assegnazione non descritta</w:t>
            </w:r>
          </w:p>
        </w:tc>
        <w:tc>
          <w:tcPr/>
          <w:p>
            <w:pPr>
              <w:pStyle w:val="Compact"/>
              <w:jc w:val="left"/>
            </w:pPr>
            <w:r>
              <w:t xml:space="preserve">ricovero ospedaliero</w:t>
            </w:r>
          </w:p>
        </w:tc>
        <w:tc>
          <w:tcPr/>
          <w:p>
            <w:pPr>
              <w:pStyle w:val="Compact"/>
              <w:jc w:val="left"/>
            </w:pPr>
            <w:r>
              <w:t xml:space="preserve">mortalità ospedaliera 40,9%, 28,4% e 20,6%</w:t>
            </w:r>
          </w:p>
        </w:tc>
      </w:tr>
      <w:tr>
        <w:tc>
          <w:tcPr/>
          <w:p>
            <w:pPr>
              <w:pStyle w:val="Compact"/>
              <w:jc w:val="left"/>
            </w:pPr>
            <w:r>
              <w:t xml:space="preserve">Schizofrenia resistente alla terapia (Govorin 1990, PMID 2163147)</w:t>
            </w:r>
          </w:p>
        </w:tc>
        <w:tc>
          <w:tcPr/>
          <w:p>
            <w:pPr>
              <w:pStyle w:val="Compact"/>
              <w:jc w:val="left"/>
            </w:pPr>
            <w:r>
              <w:t xml:space="preserve">36 persone, nessun gruppo di controllo</w:t>
            </w:r>
          </w:p>
        </w:tc>
        <w:tc>
          <w:tcPr/>
          <w:p>
            <w:pPr>
              <w:pStyle w:val="Compact"/>
              <w:jc w:val="left"/>
            </w:pPr>
            <w:r>
              <w:t xml:space="preserve">non indicata</w:t>
            </w:r>
          </w:p>
        </w:tc>
        <w:tc>
          <w:tcPr/>
          <w:p>
            <w:pPr>
              <w:pStyle w:val="Compact"/>
              <w:jc w:val="left"/>
            </w:pPr>
            <w:r>
              <w:t xml:space="preserve">miglioramento dei sintomi psichici riferito</w:t>
            </w:r>
          </w:p>
        </w:tc>
      </w:tr>
      <w:tr>
        <w:tc>
          <w:tcPr/>
          <w:p>
            <w:pPr>
              <w:pStyle w:val="Compact"/>
              <w:jc w:val="left"/>
            </w:pPr>
            <w:r>
              <w:t xml:space="preserve">Parkinson (Musienko 1999, PMID 10424021)</w:t>
            </w:r>
          </w:p>
        </w:tc>
        <w:tc>
          <w:tcPr/>
          <w:p>
            <w:pPr>
              <w:pStyle w:val="Compact"/>
              <w:jc w:val="left"/>
            </w:pPr>
            <w:r>
              <w:t xml:space="preserve">15 persone, nessun gruppo di controllo</w:t>
            </w:r>
          </w:p>
        </w:tc>
        <w:tc>
          <w:tcPr/>
          <w:p>
            <w:pPr>
              <w:pStyle w:val="Compact"/>
              <w:jc w:val="left"/>
            </w:pPr>
            <w:r>
              <w:t xml:space="preserve">un ciclo di trattamento</w:t>
            </w:r>
          </w:p>
        </w:tc>
        <w:tc>
          <w:tcPr/>
          <w:p>
            <w:pPr>
              <w:pStyle w:val="Compact"/>
              <w:jc w:val="left"/>
            </w:pPr>
            <w:r>
              <w:t xml:space="preserve">miglioramento del benessere e dei sintomi riferito</w:t>
            </w:r>
          </w:p>
        </w:tc>
      </w:tr>
    </w:tbl>
    <w:bookmarkStart w:id="447" w:name="Xeffee0d3507e689c05def0eb89a6442cb829df9"/>
    <w:p>
      <w:pPr>
        <w:pStyle w:val="Heading4"/>
      </w:pPr>
      <w:r>
        <w:t xml:space="preserve">Lo studio a lungo termine sull’allungamento della vita</w:t>
      </w:r>
    </w:p>
    <w:p>
      <w:pPr>
        <w:pStyle w:val="FirstParagraph"/>
      </w:pPr>
      <w:r>
        <w:t xml:space="preserve">Il lavoro più noto è anche il più problematico. Per sei-otto anni sono state osservate 266 persone anziane a San Pietroburgo e a Kiev, alcune delle quali nei primi due o tre anni hanno ricevuto timalina, epitalamina o entrambe. Viene riferita una mortalità da 2,0 a 2,1 volte inferiore con la timalina e 4,1 volte inferiore con il trattamento combinato annuale per sei anni (Khavinson 2003, PMID 14523363).</w:t>
      </w:r>
    </w:p>
    <w:p>
      <w:pPr>
        <w:pStyle w:val="BodyText"/>
      </w:pPr>
      <w:r>
        <w:t xml:space="preserve">Effetti simili sarebbero spettacolari, superiori a quelli di quasi ogni farmaco consolidato. L’abstract però non descrive né come i partecipanti siano stati assegnati ai gruppi, né se ci fosse una procedura in cieco, né quante persone ci fossero in ciascun gruppo. Chi è più sano e attivo partecipa più facilmente a un trattamento pluriennale; senza assegnazione casuale una simile differenza può nascere solo per questo motivo. Non esistono repliche indipendenti.</w:t>
      </w:r>
    </w:p>
    <w:bookmarkEnd w:id="447"/>
    <w:bookmarkStart w:id="448" w:name="covid-19-1"/>
    <w:p>
      <w:pPr>
        <w:pStyle w:val="Heading4"/>
      </w:pPr>
      <w:r>
        <w:t xml:space="preserve">COVID-19</w:t>
      </w:r>
    </w:p>
    <w:p>
      <w:pPr>
        <w:pStyle w:val="FirstParagraph"/>
      </w:pPr>
      <w:r>
        <w:t xml:space="preserve">Durante la pandemia il gruppo di lavoro ha riferito sull’uso della timalina in malati gravi di COVID-19. In un’analisi la mortalità ospedaliera era del 40,9% con la terapia di base, del 28,4% con l’aggiunta di tocilizumab e del 20,6% con l’aggiunta di timalina (Kuznik 2022, PMID 36169363). Come le persone siano state assegnate ai gruppi e quanto fossero grandi i gruppi non risulta dall’abstract. Un altro lavoro riferisce riduzioni più rapide dei valori infiammatori e della coagulazione (Khavinson 2021, PMID 33575961). Dopo l’esperienza con la timosina alfa 1, per la quale i primi dati osservazionali favorevoli non sono stati confermati in studi più ampi (si veda il relativo capitolo), questi numeri non sono affidabili senza una conferma randomizzata.</w:t>
      </w:r>
    </w:p>
    <w:bookmarkEnd w:id="448"/>
    <w:bookmarkStart w:id="449" w:name="lunico-studio-controllato-con-placebo"/>
    <w:p>
      <w:pPr>
        <w:pStyle w:val="Heading4"/>
      </w:pPr>
      <w:r>
        <w:t xml:space="preserve">L’unico studio controllato con placebo</w:t>
      </w:r>
    </w:p>
    <w:p>
      <w:pPr>
        <w:pStyle w:val="FirstParagraph"/>
      </w:pPr>
      <w:r>
        <w:t xml:space="preserve">L’unico studio descritto come in doppio cieco, randomizzato e controllato con placebo ha valutato gocce nasali di timogeno in persone anziane prima di interventi per tumori addominali. Vengono riferite meno complicanze dopo l’intervento e un decorso di guarigione più breve (Smirnov 2011, PMID 21957588). Numero di partecipanti ed entità degli effetti non sono indicati nell’abstract russo.</w:t>
      </w:r>
    </w:p>
    <w:bookmarkEnd w:id="449"/>
    <w:bookmarkStart w:id="450" w:name="altri-studi"/>
    <w:p>
      <w:pPr>
        <w:pStyle w:val="Heading4"/>
      </w:pPr>
      <w:r>
        <w:t xml:space="preserve">Altri studi</w:t>
      </w:r>
    </w:p>
    <w:p>
      <w:pPr>
        <w:pStyle w:val="FirstParagraph"/>
      </w:pPr>
      <w:r>
        <w:t xml:space="preserve">Gli altri studi sull’uomo risalgono per lo più agli anni Ottanta e Novanta e riguardano uno spettro sorprendentemente ampio: tubercolosi, dissenteria, erisipela, ferite purulente, peritonite nei bambini, pancreatite, colite ulcerosa, infiammazioni degli organi genitali femminili, schizofrenia e Parkinson. Quasi sempre la timalina o il timogeno sono stati somministrati in aggiunta al trattamento standard, senza placebo e per lo più senza assegnazione casuale. Spesso sono stati misurati valori di laboratorio del sistema immunitario, non esiti clinici «duri» come guarigione o sopravvivenza.</w:t>
      </w:r>
    </w:p>
    <w:bookmarkEnd w:id="450"/>
    <w:bookmarkEnd w:id="451"/>
    <w:bookmarkStart w:id="452" w:name="studi-su-animali-e-in-laboratorio-22"/>
    <w:p>
      <w:pPr>
        <w:pStyle w:val="Heading3"/>
      </w:pPr>
      <w:r>
        <w:t xml:space="preserve">Studi su animali e in laboratorio</w:t>
      </w:r>
    </w:p>
    <w:p>
      <w:pPr>
        <w:pStyle w:val="FirstParagraph"/>
      </w:pPr>
      <w:r>
        <w:t xml:space="preserve">Anche gli studi sugli animali provengono per lo più da gruppi di lavoro russi e ucraini. In 76 ratti che per dodici mesi hanno ricevuto Glu-Trp (timogeno) o soluzione fisiologica, la durata media della vita era uguale; il dieci per cento più longevo viveva più a lungo con il timogeno, e i tumori erano più rari (Anisimov 2000, PMID 11707921). In colture di cellule staminali del sangue umane la timalina ne ha influenzato la differenziazione (Khavinson 2020, PMID 33237528). Altri lavori descrivono effetti sulla coagulazione del sangue, sulla cancerogenesi dopo irradiazione o sostanze chimiche e sulle infezioni nei roditori.</w:t>
      </w:r>
    </w:p>
    <w:bookmarkEnd w:id="452"/>
    <w:bookmarkStart w:id="453" w:name="Xfa83e7be0dbe35f12ca8858b21fbcae46c810fd"/>
    <w:p>
      <w:pPr>
        <w:pStyle w:val="Heading3"/>
      </w:pPr>
      <w:r>
        <w:t xml:space="preserve">Qualità della ricerca: un inquadramento critico</w:t>
      </w:r>
    </w:p>
    <w:p>
      <w:pPr>
        <w:pStyle w:val="FirstParagraph"/>
      </w:pPr>
      <w:r>
        <w:t xml:space="preserve">Per la valutazione di timalina e timogeno la provenienza dei dati è più importante dei singoli risultati:</w:t>
      </w:r>
    </w:p>
    <w:p>
      <w:pPr>
        <w:numPr>
          <w:ilvl w:val="0"/>
          <w:numId w:val="1142"/>
        </w:numPr>
        <w:pStyle w:val="Compact"/>
      </w:pPr>
      <w:r>
        <w:rPr>
          <w:bCs/>
          <w:b/>
        </w:rPr>
        <w:t xml:space="preserve">Un’unica scuola, quasi nessuna conferma indipendente.</w:t>
      </w:r>
      <w:r>
        <w:t xml:space="preserve"> </w:t>
      </w:r>
      <w:r>
        <w:t xml:space="preserve">Gran parte dei lavori proviene da Khavinson, dai suoi collaboratori o da istituti collegati. Secondo PubMed Khavinson ha partecipato a oltre 80 delle circa 290 pubblicazioni; molte altre provengono da gruppi strettamente collegati. Mancano studi di replica occidentali indipendenti.</w:t>
      </w:r>
    </w:p>
    <w:p>
      <w:pPr>
        <w:numPr>
          <w:ilvl w:val="0"/>
          <w:numId w:val="1142"/>
        </w:numPr>
        <w:pStyle w:val="Compact"/>
      </w:pPr>
      <w:r>
        <w:rPr>
          <w:bCs/>
          <w:b/>
        </w:rPr>
        <w:t xml:space="preserve">Lingua e accessibilità.</w:t>
      </w:r>
      <w:r>
        <w:t xml:space="preserve"> </w:t>
      </w:r>
      <w:r>
        <w:t xml:space="preserve">Circa 250 dei lavori sono in lingua russa, su PubMed spesso solo con un breve abstract. I testi integrali sono difficilmente accessibili, i metodi quasi non verificabili.</w:t>
      </w:r>
    </w:p>
    <w:p>
      <w:pPr>
        <w:numPr>
          <w:ilvl w:val="0"/>
          <w:numId w:val="1142"/>
        </w:numPr>
        <w:pStyle w:val="Compact"/>
      </w:pPr>
      <w:r>
        <w:rPr>
          <w:bCs/>
          <w:b/>
        </w:rPr>
        <w:t xml:space="preserve">Disegno degli studi.</w:t>
      </w:r>
      <w:r>
        <w:t xml:space="preserve"> </w:t>
      </w:r>
      <w:r>
        <w:t xml:space="preserve">Quasi nessuno studio è randomizzato, in cieco e registrato in anticipo secondo gli standard odierni. Nessuno studio è iscritto su ClinicalTrials.gov.</w:t>
      </w:r>
    </w:p>
    <w:p>
      <w:pPr>
        <w:numPr>
          <w:ilvl w:val="0"/>
          <w:numId w:val="1142"/>
        </w:numPr>
        <w:pStyle w:val="Compact"/>
      </w:pPr>
      <w:r>
        <w:rPr>
          <w:bCs/>
          <w:b/>
        </w:rPr>
        <w:t xml:space="preserve">Effetti insolitamente grandi in moltissime malattie.</w:t>
      </w:r>
      <w:r>
        <w:t xml:space="preserve"> </w:t>
      </w:r>
      <w:r>
        <w:t xml:space="preserve">Un preparato che agisce allo stesso modo su tubercolosi, schizofrenia, Parkinson, COVID-19 e invecchiamento e dimezza la mortalità è, dal punto di vista metodologico, un segnale d’allarme, non una raccomandazione.</w:t>
      </w:r>
    </w:p>
    <w:p>
      <w:pPr>
        <w:numPr>
          <w:ilvl w:val="0"/>
          <w:numId w:val="1142"/>
        </w:numPr>
        <w:pStyle w:val="Compact"/>
      </w:pPr>
      <w:r>
        <w:rPr>
          <w:bCs/>
          <w:b/>
        </w:rPr>
        <w:t xml:space="preserve">Conflitti di interesse.</w:t>
      </w:r>
      <w:r>
        <w:t xml:space="preserve"> </w:t>
      </w:r>
      <w:r>
        <w:t xml:space="preserve">Il gruppo di lavoro ha sviluppato esso stesso i preparati; secondo le conoscenze dell’autore i «bioregolatori» di questa scuola vengono commercializzati a livello internazionale come integratori alimentari. Mancano verifiche indipendenti da parte di ricercatori senza tali legami.</w:t>
      </w:r>
    </w:p>
    <w:p>
      <w:pPr>
        <w:pStyle w:val="FirstParagraph"/>
      </w:pPr>
      <w:r>
        <w:t xml:space="preserve">Ciò non significa che tutti i risultati debbano essere sbagliati. Significa che, secondo i criteri di questo libro, non possono essere considerati prova di un beneficio finché non vengono confermati in studi indipendenti e pianificati correttamente.</w:t>
      </w:r>
    </w:p>
    <w:bookmarkEnd w:id="453"/>
    <w:bookmarkStart w:id="456" w:name="rischi-ed-effetti-collaterali-22"/>
    <w:p>
      <w:pPr>
        <w:pStyle w:val="Heading3"/>
      </w:pPr>
      <w:r>
        <w:t xml:space="preserve">Rischi ed effetti collaterali</w:t>
      </w:r>
    </w:p>
    <w:bookmarkStart w:id="454" w:name="documentati-6"/>
    <w:p>
      <w:pPr>
        <w:pStyle w:val="Heading4"/>
      </w:pPr>
      <w:r>
        <w:t xml:space="preserve">Documentati</w:t>
      </w:r>
    </w:p>
    <w:p>
      <w:pPr>
        <w:pStyle w:val="FirstParagraph"/>
      </w:pPr>
      <w:r>
        <w:t xml:space="preserve">Non esistono dati di sicurezza raccolti sistematicamente secondo gli standard odierni. Gli studi disponibili riferiscono appena sugli effetti collaterali, il che dice poco in studi piccoli e non in cieco.</w:t>
      </w:r>
    </w:p>
    <w:bookmarkEnd w:id="454"/>
    <w:bookmarkStart w:id="455" w:name="teorici-2"/>
    <w:p>
      <w:pPr>
        <w:pStyle w:val="Heading4"/>
      </w:pPr>
      <w:r>
        <w:t xml:space="preserve">Teorici</w:t>
      </w:r>
    </w:p>
    <w:p>
      <w:pPr>
        <w:numPr>
          <w:ilvl w:val="0"/>
          <w:numId w:val="1143"/>
        </w:numPr>
        <w:pStyle w:val="Compact"/>
      </w:pPr>
      <w:r>
        <w:rPr>
          <w:bCs/>
          <w:b/>
        </w:rPr>
        <w:t xml:space="preserve">Materiale di partenza animale:</w:t>
      </w:r>
      <w:r>
        <w:t xml:space="preserve"> </w:t>
      </w:r>
      <w:r>
        <w:t xml:space="preserve">la timalina è un estratto di timo di vitello. Con gli estratti animali esistono in linea di principio rischi dovuti a contaminazioni, variazioni tra lotti e reazioni allergiche. Anche la trasmissione di agenti patogeni dal tessuto bovino è un rischio teorico che dipende dalla qualità di produzione.</w:t>
      </w:r>
    </w:p>
    <w:p>
      <w:pPr>
        <w:numPr>
          <w:ilvl w:val="0"/>
          <w:numId w:val="1143"/>
        </w:numPr>
        <w:pStyle w:val="Compact"/>
      </w:pPr>
      <w:r>
        <w:rPr>
          <w:bCs/>
          <w:b/>
        </w:rPr>
        <w:t xml:space="preserve">Stimolazione immunitaria:</w:t>
      </w:r>
      <w:r>
        <w:t xml:space="preserve"> </w:t>
      </w:r>
      <w:r>
        <w:t xml:space="preserve">in caso di malattie autoimmuni o dopo un trapianto d’organo una stimolazione del sistema immunitario potrebbe essere dannosa. Mancano dati in merito.</w:t>
      </w:r>
    </w:p>
    <w:p>
      <w:pPr>
        <w:numPr>
          <w:ilvl w:val="0"/>
          <w:numId w:val="1143"/>
        </w:numPr>
        <w:pStyle w:val="Compact"/>
      </w:pPr>
      <w:r>
        <w:rPr>
          <w:bCs/>
          <w:b/>
        </w:rPr>
        <w:t xml:space="preserve">Mercato grigio e «bioregolatori»:</w:t>
      </w:r>
      <w:r>
        <w:t xml:space="preserve"> </w:t>
      </w:r>
      <w:r>
        <w:t xml:space="preserve">al di fuori della Russia timalina, timogeno e prodotti affini vengono distribuiti via internet, in parte come soluzione iniettabile, in parte come capsule con la denominazione «bioregolatore». Origine, contenuto e qualità di questi prodotti non sono verificabili.</w:t>
      </w:r>
    </w:p>
    <w:bookmarkEnd w:id="455"/>
    <w:bookmarkEnd w:id="456"/>
    <w:bookmarkStart w:id="457" w:name="quadro-normativo-22"/>
    <w:p>
      <w:pPr>
        <w:pStyle w:val="Heading3"/>
      </w:pPr>
      <w:r>
        <w:t xml:space="preserve">Quadro normativo</w:t>
      </w:r>
    </w:p>
    <w:p>
      <w:pPr>
        <w:pStyle w:val="FirstParagraph"/>
      </w:pPr>
      <w:r>
        <w:rPr>
          <w:iCs/>
          <w:i/>
        </w:rPr>
        <w:t xml:space="preserve">Aggiornato al 2026, da verificare.</w:t>
      </w:r>
    </w:p>
    <w:p>
      <w:pPr>
        <w:numPr>
          <w:ilvl w:val="0"/>
          <w:numId w:val="1144"/>
        </w:numPr>
        <w:pStyle w:val="Compact"/>
      </w:pPr>
      <w:r>
        <w:rPr>
          <w:bCs/>
          <w:b/>
        </w:rPr>
        <w:t xml:space="preserve">Russia e alcuni Stati successori dell’Unione Sovietica:</w:t>
      </w:r>
      <w:r>
        <w:t xml:space="preserve"> </w:t>
      </w:r>
      <w:r>
        <w:t xml:space="preserve">timalina e timogeno sono autorizzati come medicinali.</w:t>
      </w:r>
    </w:p>
    <w:p>
      <w:pPr>
        <w:numPr>
          <w:ilvl w:val="0"/>
          <w:numId w:val="1144"/>
        </w:numPr>
        <w:pStyle w:val="Compact"/>
      </w:pPr>
      <w:r>
        <w:rPr>
          <w:bCs/>
          <w:b/>
        </w:rPr>
        <w:t xml:space="preserve">UE, Germania, Austria:</w:t>
      </w:r>
      <w:r>
        <w:t xml:space="preserve"> </w:t>
      </w:r>
      <w:r>
        <w:t xml:space="preserve">nessuna autorizzazione. L’importazione e la cessione per l’uso sull’uomo sono consentite solo alle rigorose condizioni della rispettiva normativa sui medicinali. Le capsule con estratti d’organo vendute come integratori alimentari non possono promettere effetti sulle malattie; se debbano essere classificate come medicinali dipende dal singolo caso.</w:t>
      </w:r>
    </w:p>
    <w:p>
      <w:pPr>
        <w:numPr>
          <w:ilvl w:val="0"/>
          <w:numId w:val="1144"/>
        </w:numPr>
        <w:pStyle w:val="Compact"/>
      </w:pPr>
      <w:r>
        <w:rPr>
          <w:bCs/>
          <w:b/>
        </w:rPr>
        <w:t xml:space="preserve">USA:</w:t>
      </w:r>
      <w:r>
        <w:t xml:space="preserve"> </w:t>
      </w:r>
      <w:r>
        <w:t xml:space="preserve">nessuna autorizzazione FDA.</w:t>
      </w:r>
    </w:p>
    <w:p>
      <w:pPr>
        <w:numPr>
          <w:ilvl w:val="0"/>
          <w:numId w:val="1144"/>
        </w:numPr>
        <w:pStyle w:val="Compact"/>
      </w:pPr>
      <w:r>
        <w:rPr>
          <w:bCs/>
          <w:b/>
        </w:rPr>
        <w:t xml:space="preserve">WADA:</w:t>
      </w:r>
      <w:r>
        <w:t xml:space="preserve"> </w:t>
      </w:r>
      <w:r>
        <w:t xml:space="preserve">non elencati nominalmente.</w:t>
      </w:r>
    </w:p>
    <w:bookmarkEnd w:id="457"/>
    <w:bookmarkStart w:id="458" w:name="studi-in-corso-e-prospettive-22"/>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su timalina o timogeno.</w:t>
      </w:r>
    </w:p>
    <w:p>
      <w:pPr>
        <w:pStyle w:val="BodyText"/>
      </w:pPr>
      <w:r>
        <w:rPr>
          <w:bCs/>
          <w:b/>
        </w:rPr>
        <w:t xml:space="preserve">Valutazione dell’autore:</w:t>
      </w:r>
      <w:r>
        <w:t xml:space="preserve"> </w:t>
      </w:r>
      <w:r>
        <w:t xml:space="preserve">un’autorizzazione nell’UE o negli USA è esclusa senza nuovi studi condotti secondo gli standard internazionali, e tali studi non sono in vista. Timalina e timogeno resteranno quindi presumibilmente un fenomeno del mercato sanitario di lingua russa e dell’ambiente internazionale della longevity.</w:t>
      </w:r>
    </w:p>
    <w:bookmarkEnd w:id="458"/>
    <w:bookmarkStart w:id="459" w:name="conclusione-22"/>
    <w:p>
      <w:pPr>
        <w:pStyle w:val="Heading3"/>
      </w:pPr>
      <w:r>
        <w:t xml:space="preserve">Conclusione</w:t>
      </w:r>
    </w:p>
    <w:p>
      <w:pPr>
        <w:pStyle w:val="FirstParagraph"/>
      </w:pPr>
      <w:r>
        <w:t xml:space="preserve">La timalina è un estratto di timo di vitello, il timogeno un dipeptide da esso derivato; entrambi sono autorizzati in Russia e pubblicizzati in Occidente come «bioregolatori» per allungare la vita. La letteratura proviene quasi interamente da un’unica scuola di ricerca russa, è pubblicata per lo più in lingua russa ed è costituita da studi piccoli, per lo più non randomizzati. Il tanto citato dimezzamento della mortalità negli anziani (Khavinson 2003, PMID 14523363) si basa su uno studio il cui disegno non è descritto in modo comprensibile nell’abstract. Secondo i criteri odierni un beneficio non è dimostrato, e la qualità dei prodotti in libera vendita è sconosciuta.</w:t>
      </w:r>
    </w:p>
    <w:bookmarkEnd w:id="459"/>
    <w:bookmarkEnd w:id="460"/>
    <w:bookmarkEnd w:id="461"/>
    <w:bookmarkStart w:id="593" w:name="Xe1cd13e02ed97c9e1fc06d04eab0e393f12c8ba"/>
    <w:p>
      <w:pPr>
        <w:pStyle w:val="Heading1"/>
      </w:pPr>
      <w:r>
        <w:t xml:space="preserve">Parte II · C – Asse dell’ormone della crescita</w:t>
      </w:r>
    </w:p>
    <w:p>
      <w:pPr>
        <w:pStyle w:val="FirstParagraph"/>
      </w:pPr>
      <w:r>
        <w:t xml:space="preserve">L’ormone della crescita (GH, dall’inglese</w:t>
      </w:r>
      <w:r>
        <w:t xml:space="preserve"> </w:t>
      </w:r>
      <w:r>
        <w:rPr>
          <w:iCs/>
          <w:i/>
        </w:rPr>
        <w:t xml:space="preserve">growth hormone</w:t>
      </w:r>
      <w:r>
        <w:t xml:space="preserve">) è uno degli ormoni più mitizzati in assoluto. Nelle palestre è considerato l’ormone dei muscoli e della combustione dei grassi, negli studi anti-aging una «fonte di giovinezza». Il vero ormone della crescita è una proteina grande, costosa e soggetta a prescrizione medica. I peptidi di questa parte promettono una via apparentemente più elegante: dovrebbero indurre l’organismo a secernere</w:t>
      </w:r>
      <w:r>
        <w:t xml:space="preserve"> </w:t>
      </w:r>
      <w:r>
        <w:rPr>
          <w:iCs/>
          <w:i/>
        </w:rPr>
        <w:t xml:space="preserve">più ormone della crescita proprio</w:t>
      </w:r>
      <w:r>
        <w:t xml:space="preserve">, oppure forniscono direttamente il messaggero a valle IGF-1.</w:t>
      </w:r>
    </w:p>
    <w:bookmarkStart w:id="462" w:name="lasse-in-quattro-tappe"/>
    <w:p>
      <w:pPr>
        <w:pStyle w:val="Heading3"/>
      </w:pPr>
      <w:r>
        <w:t xml:space="preserve">L’asse in quattro tappe</w:t>
      </w:r>
    </w:p>
    <w:p>
      <w:pPr>
        <w:numPr>
          <w:ilvl w:val="0"/>
          <w:numId w:val="1145"/>
        </w:numPr>
        <w:pStyle w:val="Compact"/>
      </w:pPr>
      <w:r>
        <w:rPr>
          <w:bCs/>
          <w:b/>
        </w:rPr>
        <w:t xml:space="preserve">GHRH</w:t>
      </w:r>
      <w:r>
        <w:t xml:space="preserve"> </w:t>
      </w:r>
      <w:r>
        <w:t xml:space="preserve">(ormone di rilascio dell’ormone della crescita) dell’ipotalamo dà all’ipofisi il segnale per la secrezione. Il suo antagonista, la somatostatina, la frena.</w:t>
      </w:r>
    </w:p>
    <w:p>
      <w:pPr>
        <w:numPr>
          <w:ilvl w:val="0"/>
          <w:numId w:val="1145"/>
        </w:numPr>
        <w:pStyle w:val="Compact"/>
      </w:pPr>
      <w:r>
        <w:rPr>
          <w:bCs/>
          <w:b/>
        </w:rPr>
        <w:t xml:space="preserve">Grelina</w:t>
      </w:r>
      <w:r>
        <w:t xml:space="preserve">, un ormone dello stomaco, potenzia la secrezione attraverso un proprio recettore (GHS-R1a) e al tempo stesso mette fame (Kojima 1999, PMID 10604470).</w:t>
      </w:r>
    </w:p>
    <w:p>
      <w:pPr>
        <w:numPr>
          <w:ilvl w:val="0"/>
          <w:numId w:val="1145"/>
        </w:numPr>
        <w:pStyle w:val="Compact"/>
      </w:pPr>
      <w:r>
        <w:rPr>
          <w:bCs/>
          <w:b/>
        </w:rPr>
        <w:t xml:space="preserve">Ormone della crescita:</w:t>
      </w:r>
      <w:r>
        <w:t xml:space="preserve"> </w:t>
      </w:r>
      <w:r>
        <w:t xml:space="preserve">viene rilasciato dall’ipofisi a impulsi, soprattutto di notte.</w:t>
      </w:r>
    </w:p>
    <w:p>
      <w:pPr>
        <w:numPr>
          <w:ilvl w:val="0"/>
          <w:numId w:val="1145"/>
        </w:numPr>
        <w:pStyle w:val="Compact"/>
      </w:pPr>
      <w:r>
        <w:rPr>
          <w:bCs/>
          <w:b/>
        </w:rPr>
        <w:t xml:space="preserve">IGF-1</w:t>
      </w:r>
      <w:r>
        <w:t xml:space="preserve"> </w:t>
      </w:r>
      <w:r>
        <w:t xml:space="preserve">(fattore di crescita insulino-simile 1) viene prodotto soprattutto nel fegato in risposta all’ormone della crescita e ne media molti effetti anabolici. Livelli elevati di IGF-1 frenano a loro volta l’asse.</w:t>
      </w:r>
    </w:p>
    <w:p>
      <w:pPr>
        <w:pStyle w:val="FirstParagraph"/>
      </w:pPr>
      <w:r>
        <w:t xml:space="preserve">I principi attivi di questa parte agiscono in tappe diverse: gli</w:t>
      </w:r>
      <w:r>
        <w:t xml:space="preserve"> </w:t>
      </w:r>
      <w:r>
        <w:rPr>
          <w:bCs/>
          <w:b/>
        </w:rPr>
        <w:t xml:space="preserve">analoghi del GHRH</w:t>
      </w:r>
      <w:r>
        <w:t xml:space="preserve"> </w:t>
      </w:r>
      <w:r>
        <w:t xml:space="preserve">(sermorelina, tesamorelina, CJC-1295) sul recettore del GHRH, i</w:t>
      </w:r>
      <w:r>
        <w:t xml:space="preserve"> </w:t>
      </w:r>
      <w:r>
        <w:rPr>
          <w:bCs/>
          <w:b/>
        </w:rPr>
        <w:t xml:space="preserve">mimetici della grelina</w:t>
      </w:r>
      <w:r>
        <w:t xml:space="preserve"> </w:t>
      </w:r>
      <w:r>
        <w:t xml:space="preserve">(ipamorelina, GHRP-2, GHRP-6, esarelina, macimorelina e, per confronto, il non peptide ibutamoren) sul recettore della grelina,</w:t>
      </w:r>
      <w:r>
        <w:t xml:space="preserve"> </w:t>
      </w:r>
      <w:r>
        <w:rPr>
          <w:bCs/>
          <w:b/>
        </w:rPr>
        <w:t xml:space="preserve">IGF-1 e le sue varianti</w:t>
      </w:r>
      <w:r>
        <w:t xml:space="preserve"> </w:t>
      </w:r>
      <w:r>
        <w:t xml:space="preserve">(mecasermina, IGF-1 LR3) direttamente alla fine della catena.</w:t>
      </w:r>
    </w:p>
    <w:bookmarkEnd w:id="462"/>
    <w:bookmarkStart w:id="463" w:name="perché-questo-gruppo-è-così-popolare"/>
    <w:p>
      <w:pPr>
        <w:pStyle w:val="Heading3"/>
      </w:pPr>
      <w:r>
        <w:t xml:space="preserve">Perché questo gruppo è così popolare</w:t>
      </w:r>
    </w:p>
    <w:p>
      <w:pPr>
        <w:pStyle w:val="FirstParagraph"/>
      </w:pPr>
      <w:r>
        <w:t xml:space="preserve">L’ormone della crescita riduce il grasso e aumenta la massa magra: questo è ben documentato. Una revisione di studi randomizzati su persone giovani e allenate ha trovato un aumento della massa magra di 2,1 kg, ma nessun miglioramento di forza o resistenza, in compenso più ritenzione idrica e stanchezza (Liu 2008, PMID 18347346). Nelle persone anziane sane la massa grassa è diminuita di 2,1 kg e la massa magra è aumentata di 2,1 kg; allo stesso tempo sono comparsi più spesso gonfiori dei tessuti, dolori articolari, sindrome del tunnel carpale e ingrossamento del seno negli uomini (Liu 2007, PMID 17227934). Poiché la secrezione di ormone della crescita diminuisce con l’età, viene spontaneo pensare di «riportarla indietro». I secretagoghi sono considerati un’alternativa più delicata, perché la regolazione endogena resta intatta. A ciò si aggiunge che molti di essi sono disponibili online a basso prezzo come «research peptides».</w:t>
      </w:r>
    </w:p>
    <w:p>
      <w:pPr>
        <w:pStyle w:val="BodyText"/>
      </w:pPr>
      <w:r>
        <w:t xml:space="preserve">Lo schema che attraversa quasi tutti i capitoli: IGF-1 e massa magra aumentano, ma forza, funzione o decorso delle malattie migliorano appena negli studi controllati, mentre glicemia, ritenzione idrica e, per alcune sostanze, ormoni dello stress aumentano.</w:t>
      </w:r>
    </w:p>
    <w:bookmarkEnd w:id="463"/>
    <w:bookmarkStart w:id="464" w:name="il-punto-aperto-più-importante-il-cancro"/>
    <w:p>
      <w:pPr>
        <w:pStyle w:val="Heading3"/>
      </w:pPr>
      <w:r>
        <w:t xml:space="preserve">Il punto aperto più importante: il cancro</w:t>
      </w:r>
    </w:p>
    <w:p>
      <w:pPr>
        <w:pStyle w:val="FirstParagraph"/>
      </w:pPr>
      <w:r>
        <w:t xml:space="preserve">L’IGF-1 favorisce la divisione cellulare e mantiene in vita le cellule. Se un innalzamento duraturo aumenti il rischio di cancro è la questione di sicurezza centrale di questo gruppo. Le evidenze, riassunte in modo sobrio:</w:t>
      </w:r>
    </w:p>
    <w:p>
      <w:pPr>
        <w:numPr>
          <w:ilvl w:val="0"/>
          <w:numId w:val="1146"/>
        </w:numPr>
        <w:pStyle w:val="Compact"/>
      </w:pPr>
      <w:r>
        <w:rPr>
          <w:bCs/>
          <w:b/>
        </w:rPr>
        <w:t xml:space="preserve">IGF-1 naturalmente alto:</w:t>
      </w:r>
      <w:r>
        <w:t xml:space="preserve"> </w:t>
      </w:r>
      <w:r>
        <w:t xml:space="preserve">negli studi osservazionali un livello più alto è associato a un rischio moderatamente aumentato di cancro della prostata e di cancro al seno prima della menopausa (Renehan 2004, PMID 15110491). Analisi genetiche con centinaia di migliaia di partecipanti indicano che l’associazione potrebbe essere causale per il cancro al seno e al colon-retto (Murphy 2020, PMID 32169310; Murphy 2020, PMID 31884074).</w:t>
      </w:r>
    </w:p>
    <w:p>
      <w:pPr>
        <w:numPr>
          <w:ilvl w:val="0"/>
          <w:numId w:val="1146"/>
        </w:numPr>
        <w:pStyle w:val="Compact"/>
      </w:pPr>
      <w:r>
        <w:rPr>
          <w:bCs/>
          <w:b/>
        </w:rPr>
        <w:t xml:space="preserve">Eccesso naturale di ormone della crescita (acromegalia):</w:t>
      </w:r>
      <w:r>
        <w:t xml:space="preserve"> </w:t>
      </w:r>
      <w:r>
        <w:t xml:space="preserve">una meta-analisi di 23 studi ha trovato un tasso di cancro aumentato di circa il 50%, ma indica anche distorsioni negli studi più datati (Dal 2018, PMID 29590449).</w:t>
      </w:r>
    </w:p>
    <w:p>
      <w:pPr>
        <w:numPr>
          <w:ilvl w:val="0"/>
          <w:numId w:val="1146"/>
        </w:numPr>
        <w:pStyle w:val="Compact"/>
      </w:pPr>
      <w:r>
        <w:rPr>
          <w:bCs/>
          <w:b/>
        </w:rPr>
        <w:t xml:space="preserve">Carenza di IGF-1 per tutta la vita (sindrome di Laron):</w:t>
      </w:r>
      <w:r>
        <w:t xml:space="preserve"> </w:t>
      </w:r>
      <w:r>
        <w:t xml:space="preserve">il cancro si è presentato in modo sorprendentemente raro (Guevara-Aguirre 2011, PMID 21325617).</w:t>
      </w:r>
    </w:p>
    <w:p>
      <w:pPr>
        <w:numPr>
          <w:ilvl w:val="0"/>
          <w:numId w:val="1146"/>
        </w:numPr>
        <w:pStyle w:val="Compact"/>
      </w:pPr>
      <w:r>
        <w:rPr>
          <w:bCs/>
          <w:b/>
        </w:rPr>
        <w:t xml:space="preserve">Ormone della crescita come medicinale:</w:t>
      </w:r>
      <w:r>
        <w:t xml:space="preserve"> </w:t>
      </w:r>
      <w:r>
        <w:t xml:space="preserve">in una coorte europea di 23.984 bambini trattati non è emerso un rischio generalmente aumentato nei bambini senza malattie pregresse, ma anomalie per singoli tipi di cancro e nei bambini che avevano avuto in precedenza un cancro (Swerdlow 2017, PMID 28187225). In 8.418 adulti trattati con ipopituitarismo il rischio di cancro non era aumentato (Child 2015, PMID 25810462).</w:t>
      </w:r>
    </w:p>
    <w:p>
      <w:pPr>
        <w:pStyle w:val="FirstParagraph"/>
      </w:pPr>
      <w:r>
        <w:t xml:space="preserve">Conclusione: nelle persone con una carenza reale una terapia sostitutiva, secondo le conoscenze attuali, non è associata a un rischio di cancro nettamente maggiore. Per le persone sane che innalzano per anni un livello normale mancano dati, e la biologia depone più a favore che contro un certo rischio. La Parte IV approfondisce il tema.</w:t>
      </w:r>
    </w:p>
    <w:bookmarkEnd w:id="464"/>
    <w:bookmarkStart w:id="465" w:name="panoramica-1"/>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in passato USA (Geref), oggi nessuna</w:t>
            </w:r>
          </w:p>
        </w:tc>
        <w:tc>
          <w:tcPr/>
          <w:p>
            <w:pPr>
              <w:pStyle w:val="Compact"/>
              <w:jc w:val="left"/>
            </w:pPr>
            <w:r>
              <w:t xml:space="preserve">frammento di GHRH; bambini con carenza di GH</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meno grasso addominale ed epatico nell’HIV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solo dati di fase 1; variante «senza DAC» non studiata</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nessun beneficio nell’ileo postoperatorio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Giappone (diagnostico)</w:t>
            </w:r>
          </w:p>
        </w:tc>
        <w:tc>
          <w:tcPr/>
          <w:p>
            <w:pPr>
              <w:pStyle w:val="Compact"/>
              <w:jc w:val="left"/>
            </w:pPr>
            <w:r>
              <w:t xml:space="preserve">test per la carenza di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sostanza di ricerca e di test</w:t>
            </w:r>
          </w:p>
        </w:tc>
      </w:tr>
      <w:tr>
        <w:tc>
          <w:tcPr/>
          <w:p>
            <w:pPr>
              <w:pStyle w:val="Compact"/>
              <w:jc w:val="left"/>
            </w:pPr>
            <w:r>
              <w:t xml:space="preserve">Esarelina</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effetti cardiaci acuti; perdita di efficacia con la somministrazione continua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USA (diagnostico)</w:t>
            </w:r>
          </w:p>
        </w:tc>
        <w:tc>
          <w:tcPr/>
          <w:p>
            <w:pPr>
              <w:pStyle w:val="Compact"/>
              <w:jc w:val="left"/>
            </w:pPr>
            <w:r>
              <w:t xml:space="preserve">test orale per la carenza di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USA (Increlex)</w:t>
            </w:r>
          </w:p>
        </w:tc>
        <w:tc>
          <w:tcPr/>
          <w:p>
            <w:pPr>
              <w:pStyle w:val="Compact"/>
              <w:jc w:val="left"/>
            </w:pPr>
            <w:r>
              <w:t xml:space="preserve">grave carenza di IGF-1 nei bambini</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nessuna</w:t>
            </w:r>
          </w:p>
        </w:tc>
        <w:tc>
          <w:tcPr/>
          <w:p>
            <w:pPr>
              <w:pStyle w:val="Compact"/>
              <w:jc w:val="left"/>
            </w:pPr>
            <w:r>
              <w:t xml:space="preserve">reagente di laboratorio, mai valutato sull’uomo</w:t>
            </w:r>
          </w:p>
        </w:tc>
      </w:tr>
      <w:tr>
        <w:tc>
          <w:tcPr/>
          <w:p>
            <w:pPr>
              <w:pStyle w:val="Compact"/>
              <w:jc w:val="left"/>
            </w:pPr>
            <w:r>
              <w:t xml:space="preserve">Ibutamoren (confronto)</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compressa; segnale di insufficienza cardiaca</w:t>
            </w:r>
          </w:p>
        </w:tc>
      </w:tr>
    </w:tbl>
    <w:bookmarkEnd w:id="465"/>
    <w:bookmarkStart w:id="466" w:name="indicazioni-per-la-lettura-2"/>
    <w:p>
      <w:pPr>
        <w:pStyle w:val="Heading3"/>
      </w:pPr>
      <w:r>
        <w:t xml:space="preserve">Indicazioni per la lettura</w:t>
      </w:r>
    </w:p>
    <w:p>
      <w:pPr>
        <w:pStyle w:val="FirstParagraph"/>
      </w:pPr>
      <w:r>
        <w:t xml:space="preserve">Chi è interessato agli impieghi con un beneficio reale inizi da tesamorelina, macimorelina e mecasermina. Chi vuole sapere che cosa si nasconde dietro i classici del mercato grigio legga CJC-1295, ipamorelina e IGF-1 LR3. Ibutamoren non è un peptide, ma nei grandi studi mostra in modo particolarmente chiaro che cosa provoca una stimolazione duratura dell’asse. Tutti i principi attivi di questo gruppo figurano nella lista delle sostanze proibite dell’Agenzia mondiale antidoping (gruppo S2; aggiornato al 2026, da verificare).</w:t>
      </w:r>
    </w:p>
    <w:bookmarkEnd w:id="466"/>
    <w:bookmarkStart w:id="479" w:name="sermorelina"/>
    <w:p>
      <w:pPr>
        <w:pStyle w:val="Heading2"/>
      </w:pPr>
      <w:r>
        <w:t xml:space="preserve">Sermorelina</w:t>
      </w:r>
    </w:p>
    <w:p>
      <w:pPr>
        <w:pStyle w:val="FirstParagraph"/>
      </w:pPr>
      <w:r>
        <w:t xml:space="preserve">La sermorelina è un pezzo di storia dei farmaci che su internet vive una seconda vita. Negli anni Novanta era autorizzata come medicinale negli USA, prima come sostanza di test per la diagnosi di una carenza di ormone della crescita, poi per il trattamento dei bambini di bassa statura. Dalla fine degli anni Duemila il preparato originale è scomparso dal mercato. Oggi la sermorelina viene prescritta come preparazione galenica soprattutto nelle cliniche americane «anti-aging» e di «men’s health» e offerta sul mercato grigio. Questo capitolo mostra che cosa dimostrano davvero i vecchi studi e che cosa no.</w:t>
      </w:r>
    </w:p>
    <w:bookmarkStart w:id="467" w:name="scheda-23"/>
    <w:p>
      <w:pPr>
        <w:pStyle w:val="Heading3"/>
      </w:pPr>
      <w:r>
        <w:t xml:space="preserve">Scheda</w:t>
      </w:r>
    </w:p>
    <w:p>
      <w:pPr>
        <w:numPr>
          <w:ilvl w:val="0"/>
          <w:numId w:val="1147"/>
        </w:numPr>
        <w:pStyle w:val="Compact"/>
      </w:pPr>
      <w:r>
        <w:rPr>
          <w:bCs/>
          <w:b/>
        </w:rPr>
        <w:t xml:space="preserve">Tipo e struttura:</w:t>
      </w:r>
      <w:r>
        <w:t xml:space="preserve"> </w:t>
      </w:r>
      <w:r>
        <w:t xml:space="preserve">peptide sintetico di 29 aminoacidi; corrisponde alla sezione anteriore, attiva, dell’ormone endogeno di rilascio dell’ormone della crescita, GHRH(1-29)NH2. È il peptide sintetico più corto con piena attività GHRH (Prakash 1999, PMID 18031173).</w:t>
      </w:r>
    </w:p>
    <w:p>
      <w:pPr>
        <w:numPr>
          <w:ilvl w:val="0"/>
          <w:numId w:val="1147"/>
        </w:numPr>
        <w:pStyle w:val="Compact"/>
      </w:pPr>
      <w:r>
        <w:rPr>
          <w:bCs/>
          <w:b/>
        </w:rPr>
        <w:t xml:space="preserve">Origine:</w:t>
      </w:r>
      <w:r>
        <w:t xml:space="preserve"> </w:t>
      </w:r>
      <w:r>
        <w:t xml:space="preserve">derivata negli anni Ottanta dal GHRH naturale; commercializzata da Serono come Geref.</w:t>
      </w:r>
    </w:p>
    <w:p>
      <w:pPr>
        <w:numPr>
          <w:ilvl w:val="0"/>
          <w:numId w:val="1147"/>
        </w:numPr>
        <w:pStyle w:val="Compact"/>
      </w:pPr>
      <w:r>
        <w:rPr>
          <w:bCs/>
          <w:b/>
        </w:rPr>
        <w:t xml:space="preserve">Principio d’azione:</w:t>
      </w:r>
      <w:r>
        <w:t xml:space="preserve"> </w:t>
      </w:r>
      <w:r>
        <w:t xml:space="preserve">si lega al recettore del GHRH dell’ipofisi e vi provoca una secrezione di ormone della crescita; la regolazione endogena (freno da parte della somatostatina, retroazione da parte dell’IGF-1) resta intatta.</w:t>
      </w:r>
    </w:p>
    <w:p>
      <w:pPr>
        <w:numPr>
          <w:ilvl w:val="0"/>
          <w:numId w:val="1147"/>
        </w:numPr>
        <w:pStyle w:val="Compact"/>
      </w:pPr>
      <w:r>
        <w:rPr>
          <w:bCs/>
          <w:b/>
        </w:rPr>
        <w:t xml:space="preserve">Autorizzazione UE:</w:t>
      </w:r>
      <w:r>
        <w:t xml:space="preserve"> </w:t>
      </w:r>
      <w:r>
        <w:t xml:space="preserve">no (aggiornato al 2026).</w:t>
      </w:r>
      <w:r>
        <w:t xml:space="preserve"> </w:t>
      </w:r>
      <w:r>
        <w:rPr>
          <w:bCs/>
          <w:b/>
        </w:rPr>
        <w:t xml:space="preserve">Autorizzazione USA:</w:t>
      </w:r>
      <w:r>
        <w:t xml:space="preserve"> </w:t>
      </w:r>
      <w:r>
        <w:t xml:space="preserve">in passato sì (Geref come diagnostico e per il trattamento di bambini con carenza di ormone della crescita); il preparato originale non è più disponibile dalla fine degli anni Duemila.</w:t>
      </w:r>
    </w:p>
    <w:p>
      <w:pPr>
        <w:numPr>
          <w:ilvl w:val="0"/>
          <w:numId w:val="1147"/>
        </w:numPr>
        <w:pStyle w:val="Compact"/>
      </w:pPr>
      <w:r>
        <w:rPr>
          <w:bCs/>
          <w:b/>
        </w:rPr>
        <w:t xml:space="preserve">WADA:</w:t>
      </w:r>
      <w:r>
        <w:t xml:space="preserve"> </w:t>
      </w:r>
      <w:r>
        <w:t xml:space="preserve">vietata, gruppo S2 – la sermorelina è citata espressamente come analogo del GHRH.</w:t>
      </w:r>
    </w:p>
    <w:p>
      <w:pPr>
        <w:numPr>
          <w:ilvl w:val="0"/>
          <w:numId w:val="1147"/>
        </w:numPr>
        <w:pStyle w:val="Compact"/>
      </w:pPr>
      <w:r>
        <w:rPr>
          <w:bCs/>
          <w:b/>
        </w:rPr>
        <w:t xml:space="preserve">Livello di evidenza: B</w:t>
      </w:r>
      <w:r>
        <w:t xml:space="preserve"> </w:t>
      </w:r>
      <w:r>
        <w:t xml:space="preserve">– singoli piccoli studi randomizzati o controllati, per lo più in aperto e degli anni Ottanta e Novanta; nessun grande studio moderno.</w:t>
      </w:r>
    </w:p>
    <w:bookmarkEnd w:id="467"/>
    <w:bookmarkStart w:id="468" w:name="come-dovrebbe-agire-23"/>
    <w:p>
      <w:pPr>
        <w:pStyle w:val="Heading3"/>
      </w:pPr>
      <w:r>
        <w:t xml:space="preserve">Come dovrebbe agire</w:t>
      </w:r>
    </w:p>
    <w:p>
      <w:pPr>
        <w:pStyle w:val="FirstParagraph"/>
      </w:pPr>
      <w:r>
        <w:t xml:space="preserve">L’ipofisi rilascia l’ormone della crescita a impulsi. Il segnale di avvio lo dà il GHRH dell’ipotalamo. Il GHRH prodotto naturalmente è lungo 44 aminoacidi; negli anni Ottanta i ricercatori constatarono che i primi 29 aminoacidi bastano per l’effetto completo. Da qui è nata la sermorelina.</w:t>
      </w:r>
    </w:p>
    <w:p>
      <w:pPr>
        <w:pStyle w:val="BodyText"/>
      </w:pPr>
      <w:r>
        <w:t xml:space="preserve">Il vantaggio rispetto all’ormone della crescita iniettato dovrebbe consistere nel fatto che l’ipofisi «partecipa alla decisione»: se nel sangue c’è abbastanza IGF-1, l’organismo frena da solo tramite la somatostatina. I sovradosaggi come con la somministrazione diretta di GH dovrebbero quindi essere meno probabili. Lo svantaggio: la sermorelina funziona solo se l’ipofisi è ancora in grado di produrre ormone della crescita, e il suo effetto è breve: l’emivita nel sangue nell’uomo è di soli 10–20 minuti circa (Esposito 2003, PMID 14499707). È efficace quindi soprattutto nei disturbi che risiedono nell’ipotalamo, non nell’ipofisi stessa.</w:t>
      </w:r>
    </w:p>
    <w:bookmarkEnd w:id="468"/>
    <w:bookmarkStart w:id="473" w:name="studi-sulluomo-23"/>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con la parola chiave «sermorelin»</w:t>
      </w:r>
      <w:r>
        <w:t xml:space="preserve"> </w:t>
      </w:r>
      <w:r>
        <w:rPr>
          <w:bCs/>
          <w:b/>
        </w:rPr>
        <w:t xml:space="preserve">non</w:t>
      </w:r>
      <w:r>
        <w:t xml:space="preserve"> </w:t>
      </w:r>
      <w:r>
        <w:t xml:space="preserve">ha trovato alcuno studio sull’uomo (</w:t>
      </w:r>
      <w:r>
        <w:rPr>
          <w:rStyle w:val="VerbatimChar"/>
        </w:rPr>
        <w:t xml:space="preserve">humanstudien_alle</w:t>
      </w:r>
      <w:r>
        <w:t xml:space="preserve">: 0) e</w:t>
      </w:r>
      <w:r>
        <w:t xml:space="preserve"> </w:t>
      </w:r>
      <w:r>
        <w:rPr>
          <w:bCs/>
          <w:b/>
        </w:rPr>
        <w:t xml:space="preserve">27</w:t>
      </w:r>
      <w:r>
        <w:t xml:space="preserve"> </w:t>
      </w:r>
      <w:r>
        <w:t xml:space="preserve">voci su ClinicalTrials.gov. Entrambi i numeri ingannano: la maggior parte dei lavori clinici è stata pubblicata con denominazioni come «GHRH(1-29)NH2», «GRF 1-29» o «Geref» e non viene rilevata da una semplice ricerca per nome. Al contrario, molte delle 27 voci di registro non riguardano affatto la sermorelina, ma la tesamorelina o i test con GHRH in generale. Una ricerca mirata successiva ha individuato diverse decine di studi clinici, per lo più piccoli e precedenti al 2000.</w:t>
      </w:r>
    </w:p>
    <w:bookmarkStart w:id="469" w:name="X79a6e14d63da3fb0ef411aa65849fed25a8d798"/>
    <w:p>
      <w:pPr>
        <w:pStyle w:val="Heading4"/>
      </w:pPr>
      <w:r>
        <w:t xml:space="preserve">Bambini con carenza di ormone della crescita</w:t>
      </w:r>
    </w:p>
    <w:p>
      <w:pPr>
        <w:pStyle w:val="FirstParagraph"/>
      </w:pPr>
      <w:r>
        <w:t xml:space="preserve">L’ambito di impiego principale era il disturbo della crescita nei bambini. In uno studio multicentrico in aperto del gruppo di studio Geref, 110 bambini prepuberi non ancora trattati hanno ricevuto per un anno sermorelina una volta al giorno la sera. La velocità di crescita è aumentata da 4,1 cm all’anno a 8,0 cm dopo sei mesi e a 7,2 cm dopo dodici mesi; il 74% è stato considerato dopo sei mesi un buon responder. Non si sono verificate alterazioni di laboratorio rilevanti (Thorner 1996, PMID 8772599).</w:t>
      </w:r>
    </w:p>
    <w:p>
      <w:pPr>
        <w:pStyle w:val="BodyText"/>
      </w:pPr>
      <w:r>
        <w:t xml:space="preserve">Uno dei primi studi britannici con 18 bambini mostrava già i limiti: solo in 8 bambini la velocità di crescita è aumentata nei primi sei mesi di oltre 2 cm all’anno; in 14 bambini si sono formati anticorpi contro il peptide, senza un’influenza riconoscibile sulla crescita (Ross 1987, PMID 2879138). In uno studio randomizzato con 43 bambini, quelli trattati con sermorelina a basso dosaggio sono cresciuti più lentamente; solo con l’ormone della crescita la statura è migliorata in rapporto all’età ossea (Neyzi 1993, PMID 8329826). Una revisione ha osservato che la sermorelina è efficace in una parte dei bambini, ma meno dell’ormone della crescita, e che mancano dati sulla statura finale (Prakash 1999, PMID 18031173).</w:t>
      </w:r>
    </w:p>
    <w:p>
      <w:pPr>
        <w:pStyle w:val="BodyText"/>
      </w:pPr>
      <w:r>
        <w:t xml:space="preserve">Anche nei bambini con bassa statura idiopatica (cioè senza carenza ormonale dimostrabile) la velocità di crescita è aumentata con iniezioni due volte al giorno in un piccolo studio con 18 bambini; dopo la sospensione è scesa sotto il valore iniziale, e glicemia a digiuno e insulina sono aumentate durante il trattamento (Kirk 1994, PMID 7955460).</w:t>
      </w:r>
    </w:p>
    <w:bookmarkEnd w:id="469"/>
    <w:bookmarkStart w:id="470" w:name="adulti-anziani"/>
    <w:p>
      <w:pPr>
        <w:pStyle w:val="Heading4"/>
      </w:pPr>
      <w:r>
        <w:t xml:space="preserve">Adulti anziani</w:t>
      </w:r>
    </w:p>
    <w:p>
      <w:pPr>
        <w:pStyle w:val="FirstParagraph"/>
      </w:pPr>
      <w:r>
        <w:t xml:space="preserve">Per il marketing attuale («anti-aging») sono decisivi gli studi sulle persone anziane. Ce ne sono pochi, e sono molto piccoli:</w:t>
      </w:r>
    </w:p>
    <w:p>
      <w:pPr>
        <w:numPr>
          <w:ilvl w:val="0"/>
          <w:numId w:val="1148"/>
        </w:numPr>
        <w:pStyle w:val="Compact"/>
      </w:pPr>
      <w:r>
        <w:t xml:space="preserve">19 donne e uomini sani tra i 55 e i 71 anni hanno ricevuto, dopo quattro settimane di placebo, per 16 settimane un analogo della sermorelina. Ormone della crescita e IGF-1 sono aumentati, lo spessore della pelle è aumentato in entrambi i sessi, la massa magra e la sensibilità all’insulina solo negli uomini. Gli uomini hanno riferito un migliore benessere e una libido aumentata; la qualità del sonno non è cambiata. Come effetto collaterale si è verificato un aumento temporaneo dei lipidi ematici (Khorram 1997, PMID 9141536). Lo stesso gruppo ha descritto alterazioni delle cellule immunitarie (Khorram 1997, PMID 9360512). Lo studio era solo in singolo cieco e non aveva un gruppo di controllo parallelo.</w:t>
      </w:r>
    </w:p>
    <w:p>
      <w:pPr>
        <w:numPr>
          <w:ilvl w:val="0"/>
          <w:numId w:val="1148"/>
        </w:numPr>
        <w:pStyle w:val="Compact"/>
      </w:pPr>
      <w:r>
        <w:t xml:space="preserve">In 11 uomini sani tra i 64 e i 76 anni, sei settimane di iniezioni notturne hanno aumentato la secrezione notturna di GH, ma né l’IGF-1 né la massa muscolare o grassa sono cambiati; due delle sei misurazioni della forza sono migliorate (Vittone 1997, PMID 9005976).</w:t>
      </w:r>
    </w:p>
    <w:p>
      <w:pPr>
        <w:pStyle w:val="FirstParagraph"/>
      </w:pPr>
      <w:r>
        <w:t xml:space="preserve">Due studi successivi sul GHRH nelle persone anziane sono stati interrotti rispettivamente dopo 5 e 13 partecipanti (NCT00807365, NCT01410799).</w:t>
      </w:r>
    </w:p>
    <w:bookmarkEnd w:id="470"/>
    <w:bookmarkStart w:id="471" w:name="diagnostica"/>
    <w:p>
      <w:pPr>
        <w:pStyle w:val="Heading4"/>
      </w:pPr>
      <w:r>
        <w:t xml:space="preserve">Diagnostica</w:t>
      </w:r>
    </w:p>
    <w:p>
      <w:pPr>
        <w:pStyle w:val="FirstParagraph"/>
      </w:pPr>
      <w:r>
        <w:t xml:space="preserve">Come sostanza di test la sermorelina veniva somministrata per via endovenosa per verificare se l’ipofisi reagisse al GHRH. In combinazione con l’aminoacido arginina questo test era considerato negli adulti un’alternativa al gravoso test di ipoglicemia insulinica (Prakash 1999, PMID 18031173). Dopo che il diagnostico non è stato più disponibile negli USA, uno studio in corso su un nuovo test (macimorelina) ha dovuto modificare il proprio disegno (Garcia 2013, PMID 23559086).</w:t>
      </w:r>
    </w:p>
    <w:bookmarkEnd w:id="471"/>
    <w:bookmarkStart w:id="472" w:name="la-moderna-medicina-maschile"/>
    <w:p>
      <w:pPr>
        <w:pStyle w:val="Heading4"/>
      </w:pPr>
      <w:r>
        <w:t xml:space="preserve">La moderna «medicina maschile»</w:t>
      </w:r>
    </w:p>
    <w:p>
      <w:pPr>
        <w:pStyle w:val="FirstParagraph"/>
      </w:pPr>
      <w:r>
        <w:t xml:space="preserve">Un’analisi retrospettiva delle cartelle di una clinica maschile statunitense ha descritto 14 giovani uomini in terapia con testosterone ai quali era stata prescritta una combinazione di sermorelina, GHRP-2 e GHRP-6. L’IGF-1 è aumentato in media da 159,5 a 239,0 ng/ml (Sigalos 2017, PMID 28830317). Dei 105 uomini iniziali solo 14 soddisfacevano i criteri di inclusione; il lavoro non consente conclusioni su massa muscolare, riduzione del grasso o sicurezza.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Gruppo di studio Geref (Thorner 1996), PMID 8772599</w:t>
            </w:r>
          </w:p>
        </w:tc>
        <w:tc>
          <w:tcPr/>
          <w:p>
            <w:pPr>
              <w:pStyle w:val="Compact"/>
              <w:jc w:val="left"/>
            </w:pPr>
            <w:r>
              <w:t xml:space="preserve">110 bambini con carenza di GH, in aperto, senza gruppo di controllo</w:t>
            </w:r>
          </w:p>
        </w:tc>
        <w:tc>
          <w:tcPr/>
          <w:p>
            <w:pPr>
              <w:pStyle w:val="Compact"/>
              <w:jc w:val="left"/>
            </w:pPr>
            <w:r>
              <w:t xml:space="preserve">12 mesi</w:t>
            </w:r>
          </w:p>
        </w:tc>
        <w:tc>
          <w:tcPr/>
          <w:p>
            <w:pPr>
              <w:pStyle w:val="Compact"/>
              <w:jc w:val="left"/>
            </w:pPr>
            <w:r>
              <w:t xml:space="preserve">crescita 4,1 → 7,2 cm/anno</w:t>
            </w:r>
          </w:p>
        </w:tc>
      </w:tr>
      <w:tr>
        <w:tc>
          <w:tcPr/>
          <w:p>
            <w:pPr>
              <w:pStyle w:val="Compact"/>
              <w:jc w:val="left"/>
            </w:pPr>
            <w:r>
              <w:t xml:space="preserve">Confronto con GH (Neyzi 1993), PMID 8329826</w:t>
            </w:r>
          </w:p>
        </w:tc>
        <w:tc>
          <w:tcPr/>
          <w:p>
            <w:pPr>
              <w:pStyle w:val="Compact"/>
              <w:jc w:val="left"/>
            </w:pPr>
            <w:r>
              <w:t xml:space="preserve">43 bambini, randomizzato (2 dosi di sermorelina vs. GH)</w:t>
            </w:r>
          </w:p>
        </w:tc>
        <w:tc>
          <w:tcPr/>
          <w:p>
            <w:pPr>
              <w:pStyle w:val="Compact"/>
              <w:jc w:val="left"/>
            </w:pPr>
            <w:r>
              <w:t xml:space="preserve">6 mesi</w:t>
            </w:r>
          </w:p>
        </w:tc>
        <w:tc>
          <w:tcPr/>
          <w:p>
            <w:pPr>
              <w:pStyle w:val="Compact"/>
              <w:jc w:val="left"/>
            </w:pPr>
            <w:r>
              <w:t xml:space="preserve">dose alta simile al GH, bassa meno efficace</w:t>
            </w:r>
          </w:p>
        </w:tc>
      </w:tr>
      <w:tr>
        <w:tc>
          <w:tcPr/>
          <w:p>
            <w:pPr>
              <w:pStyle w:val="Compact"/>
              <w:jc w:val="left"/>
            </w:pPr>
            <w:r>
              <w:t xml:space="preserve">Adulti anziani (Khorram 1997), PMID 9141536</w:t>
            </w:r>
          </w:p>
        </w:tc>
        <w:tc>
          <w:tcPr/>
          <w:p>
            <w:pPr>
              <w:pStyle w:val="Compact"/>
              <w:jc w:val="left"/>
            </w:pPr>
            <w:r>
              <w:t xml:space="preserve">19 sani, 55–71 anni, in singolo cieco, fase preliminare con placebo</w:t>
            </w:r>
          </w:p>
        </w:tc>
        <w:tc>
          <w:tcPr/>
          <w:p>
            <w:pPr>
              <w:pStyle w:val="Compact"/>
              <w:jc w:val="left"/>
            </w:pPr>
            <w:r>
              <w:t xml:space="preserve">5 mesi</w:t>
            </w:r>
          </w:p>
        </w:tc>
        <w:tc>
          <w:tcPr/>
          <w:p>
            <w:pPr>
              <w:pStyle w:val="Compact"/>
              <w:jc w:val="left"/>
            </w:pPr>
            <w:r>
              <w:t xml:space="preserve">IGF-1 ↑, massa magra ↑ solo negli uomini</w:t>
            </w:r>
          </w:p>
        </w:tc>
      </w:tr>
      <w:tr>
        <w:tc>
          <w:tcPr/>
          <w:p>
            <w:pPr>
              <w:pStyle w:val="Compact"/>
              <w:jc w:val="left"/>
            </w:pPr>
            <w:r>
              <w:t xml:space="preserve">Uomini anziani (Vittone 1997), PMID 9005976</w:t>
            </w:r>
          </w:p>
        </w:tc>
        <w:tc>
          <w:tcPr/>
          <w:p>
            <w:pPr>
              <w:pStyle w:val="Compact"/>
              <w:jc w:val="left"/>
            </w:pPr>
            <w:r>
              <w:t xml:space="preserve">11 sani, 64–76 anni, senza gruppo di controllo</w:t>
            </w:r>
          </w:p>
        </w:tc>
        <w:tc>
          <w:tcPr/>
          <w:p>
            <w:pPr>
              <w:pStyle w:val="Compact"/>
              <w:jc w:val="left"/>
            </w:pPr>
            <w:r>
              <w:t xml:space="preserve">6 settimane</w:t>
            </w:r>
          </w:p>
        </w:tc>
        <w:tc>
          <w:tcPr/>
          <w:p>
            <w:pPr>
              <w:pStyle w:val="Compact"/>
              <w:jc w:val="left"/>
            </w:pPr>
            <w:r>
              <w:t xml:space="preserve">GH ↑, IGF-1 e composizione corporea invariati</w:t>
            </w:r>
          </w:p>
        </w:tc>
      </w:tr>
      <w:tr>
        <w:tc>
          <w:tcPr/>
          <w:p>
            <w:pPr>
              <w:pStyle w:val="Compact"/>
              <w:jc w:val="left"/>
            </w:pPr>
            <w:r>
              <w:t xml:space="preserve">Clinica maschile (Sigalos 2017), PMID 28830317</w:t>
            </w:r>
          </w:p>
        </w:tc>
        <w:tc>
          <w:tcPr/>
          <w:p>
            <w:pPr>
              <w:pStyle w:val="Compact"/>
              <w:jc w:val="left"/>
            </w:pPr>
            <w:r>
              <w:t xml:space="preserve">14 uomini, retrospettivo, combinazione con GHRP-2/-6</w:t>
            </w:r>
          </w:p>
        </w:tc>
        <w:tc>
          <w:tcPr/>
          <w:p>
            <w:pPr>
              <w:pStyle w:val="Compact"/>
              <w:jc w:val="left"/>
            </w:pPr>
            <w:r>
              <w:t xml:space="preserve">in media 134 giorni</w:t>
            </w:r>
          </w:p>
        </w:tc>
        <w:tc>
          <w:tcPr/>
          <w:p>
            <w:pPr>
              <w:pStyle w:val="Compact"/>
              <w:jc w:val="left"/>
            </w:pPr>
            <w:r>
              <w:t xml:space="preserve">IGF-1 159,5 → 239,0 ng/ml</w:t>
            </w:r>
          </w:p>
        </w:tc>
      </w:tr>
    </w:tbl>
    <w:bookmarkEnd w:id="472"/>
    <w:bookmarkEnd w:id="473"/>
    <w:bookmarkStart w:id="474" w:name="studi-su-animali-e-in-laboratorio-23"/>
    <w:p>
      <w:pPr>
        <w:pStyle w:val="Heading3"/>
      </w:pPr>
      <w:r>
        <w:t xml:space="preserve">Studi su animali e in laboratorio</w:t>
      </w:r>
    </w:p>
    <w:p>
      <w:pPr>
        <w:pStyle w:val="FirstParagraph"/>
      </w:pPr>
      <w:r>
        <w:t xml:space="preserve">La sermorelina stessa è stata studiata in laboratorio soprattutto in relazione alla sua scoperta e a varianti con durata d’azione più lunga, per esempio varianti legate al polietilenglicole che nei ratti e nei maiali agivano più a lungo del peptide immodificato (Esposito 2003, PMID 14499707). Un lavoro puramente computazionale, che confrontava i dati di attività genica di pazienti con glioma con una banca dati di farmaci, ha indicato la sermorelina come possibile candidata contro i tumori cerebrali recidivanti (Chang 2021, PMID 33842627). Si tratta di un’ipotesi al computer senza conferma in laboratorio o sui pazienti, ed è in evidente contrasto con il timore che una stimolazione dell’asse della crescita possa piuttosto favorire i tumori.</w:t>
      </w:r>
    </w:p>
    <w:bookmarkEnd w:id="474"/>
    <w:bookmarkStart w:id="475" w:name="rischi-ed-effetti-collaterali-23"/>
    <w:p>
      <w:pPr>
        <w:pStyle w:val="Heading3"/>
      </w:pPr>
      <w:r>
        <w:t xml:space="preserve">Rischi ed effetti collaterali</w:t>
      </w:r>
    </w:p>
    <w:p>
      <w:pPr>
        <w:pStyle w:val="FirstParagraph"/>
      </w:pPr>
      <w:r>
        <w:rPr>
          <w:bCs/>
          <w:b/>
        </w:rPr>
        <w:t xml:space="preserve">Documentati (dai dati registrativi e degli studi):</w:t>
      </w:r>
      <w:r>
        <w:t xml:space="preserve"> </w:t>
      </w:r>
      <w:r>
        <w:t xml:space="preserve">arrossamento transitorio del viso (flush) e dolore nel sito di iniezione erano gli effetti collaterali più frequenti (Prakash 1999, PMID 18031173). Gli anticorpi contro la sermorelina comparivano spesso nei bambini, senza conseguenze riconoscibili (Ross 1987, PMID 2879138). In singoli studi glicemia, insulina o lipidi ematici sono aumentati temporaneamente (Kirk 1994, PMID 7955460; Khorram 1997, PMID 9141536).</w:t>
      </w:r>
    </w:p>
    <w:p>
      <w:pPr>
        <w:pStyle w:val="BodyText"/>
      </w:pPr>
      <w:r>
        <w:rPr>
          <w:bCs/>
          <w:b/>
        </w:rPr>
        <w:t xml:space="preserve">Rischi a lungo termine:</w:t>
      </w:r>
      <w:r>
        <w:t xml:space="preserve"> </w:t>
      </w:r>
      <w:r>
        <w:t xml:space="preserve">non esistono dati sistematici a lungo termine sulla sermorelina negli adulti. Un caso clinico descrive un culturista amatoriale di 62 anni che per circa 20 anni aveva usato ormone della crescita e secretagoghi del GH (tra cui sermorelina con GHRP-6) e che a causa di un grande osteofita sulla colonna cervicale aveva sviluppato difficoltà di deglutizione; gli autori ritengono possibile, ma non dimostrato, un nesso (Perez 2026, PMID 42465868). Sulla questione di fondo se un innalzamento duraturo dell’IGF-1 aumenti il rischio di cancro si vedano l’introduzione a questo gruppo e la Parte IV.</w:t>
      </w:r>
    </w:p>
    <w:p>
      <w:pPr>
        <w:pStyle w:val="BodyText"/>
      </w:pPr>
      <w:r>
        <w:rPr>
          <w:bCs/>
          <w:b/>
        </w:rPr>
        <w:t xml:space="preserve">Mercato grigio:</w:t>
      </w:r>
      <w:r>
        <w:t xml:space="preserve"> </w:t>
      </w:r>
      <w:r>
        <w:t xml:space="preserve">in un’operazione doganale europea, tra i preparati iniettabili sequestrati sono stati trovati, oltre a ormone della crescita e Melanotan II, anche prodotti a base di sermorelina, privi di etichettatura e in parte senza principio attivo (Venhuis 2016, PMID 26456392).</w:t>
      </w:r>
    </w:p>
    <w:bookmarkEnd w:id="475"/>
    <w:bookmarkStart w:id="476" w:name="quadro-normativo-23"/>
    <w:p>
      <w:pPr>
        <w:pStyle w:val="Heading3"/>
      </w:pPr>
      <w:r>
        <w:t xml:space="preserve">Quadro normativo</w:t>
      </w:r>
    </w:p>
    <w:p>
      <w:pPr>
        <w:pStyle w:val="FirstParagraph"/>
      </w:pPr>
      <w:r>
        <w:rPr>
          <w:iCs/>
          <w:i/>
        </w:rPr>
        <w:t xml:space="preserve">Aggiornato al 2026, da verificare.</w:t>
      </w:r>
    </w:p>
    <w:p>
      <w:pPr>
        <w:numPr>
          <w:ilvl w:val="0"/>
          <w:numId w:val="1149"/>
        </w:numPr>
        <w:pStyle w:val="Compact"/>
      </w:pPr>
      <w:r>
        <w:rPr>
          <w:bCs/>
          <w:b/>
        </w:rPr>
        <w:t xml:space="preserve">Contesto dell’autorizzazione statunitense:</w:t>
      </w:r>
      <w:r>
        <w:t xml:space="preserve"> </w:t>
      </w:r>
      <w:r>
        <w:t xml:space="preserve">Geref era autorizzato negli USA dapprima come diagnostico e dagli anni Novanta per il trattamento dei bambini con carenza di ormone della crescita. Il produttore ne ha interrotto la distribuzione verso la fine degli anni Duemila; secondo le informazioni pubblicamente disponibili per motivi produttivi o economici e non per un problema di sicurezza emerso di recente. Che il diagnostico sia venuto meno in quel periodo è documentato in uno studio (Garcia 2013, PMID 23559086). Oggi non esiste un medicinale pronto con un’autorizzazione valida.</w:t>
      </w:r>
    </w:p>
    <w:p>
      <w:pPr>
        <w:numPr>
          <w:ilvl w:val="0"/>
          <w:numId w:val="1149"/>
        </w:numPr>
        <w:pStyle w:val="Compact"/>
      </w:pPr>
      <w:r>
        <w:rPr>
          <w:bCs/>
          <w:b/>
        </w:rPr>
        <w:t xml:space="preserve">USA oggi:</w:t>
      </w:r>
      <w:r>
        <w:t xml:space="preserve"> </w:t>
      </w:r>
      <w:r>
        <w:t xml:space="preserve">la sermorelina viene prodotta dalle farmacie galeniche (compounding) e prescritta soprattutto negli studi anti-aging. Se e a quali condizioni ciò sia consentito dipende dalle regole in evoluzione della FDA sulle sostanze per preparazioni galeniche, discusse in modo controverso negli ambienti specialistici (Willis 2026, PMID 42752426).</w:t>
      </w:r>
    </w:p>
    <w:p>
      <w:pPr>
        <w:numPr>
          <w:ilvl w:val="0"/>
          <w:numId w:val="1149"/>
        </w:numPr>
        <w:pStyle w:val="Compact"/>
      </w:pPr>
      <w:r>
        <w:rPr>
          <w:bCs/>
          <w:b/>
        </w:rPr>
        <w:t xml:space="preserve">UE, Germania, Austria:</w:t>
      </w:r>
      <w:r>
        <w:t xml:space="preserve"> </w:t>
      </w:r>
      <w:r>
        <w:t xml:space="preserve">nessuna autorizzazione, nessun medicinale pronto in commercio. La cessione per l’uso sull’uomo senza autorizzazione non è consentita secondo la rispettiva legge sui medicinali; le etichette «solo per scopi di ricerca» non cambiano nulla.</w:t>
      </w:r>
    </w:p>
    <w:p>
      <w:pPr>
        <w:numPr>
          <w:ilvl w:val="0"/>
          <w:numId w:val="1149"/>
        </w:numPr>
        <w:pStyle w:val="Compact"/>
      </w:pPr>
      <w:r>
        <w:rPr>
          <w:bCs/>
          <w:b/>
        </w:rPr>
        <w:t xml:space="preserve">WADA:</w:t>
      </w:r>
      <w:r>
        <w:t xml:space="preserve"> </w:t>
      </w:r>
      <w:r>
        <w:t xml:space="preserve">vietata (S2). Sono stati sviluppati metodi di rilevamento della sermorelina e dei suoi prodotti di degradazione nelle urine (Memdouh 2021, PMID 34665524).</w:t>
      </w:r>
    </w:p>
    <w:bookmarkEnd w:id="476"/>
    <w:bookmarkStart w:id="477" w:name="studi-in-corso-e-prospettive-23"/>
    <w:p>
      <w:pPr>
        <w:pStyle w:val="Heading3"/>
      </w:pPr>
      <w:r>
        <w:t xml:space="preserve">Studi in corso e prospettive</w:t>
      </w:r>
    </w:p>
    <w:p>
      <w:pPr>
        <w:pStyle w:val="FirstParagraph"/>
      </w:pPr>
      <w:r>
        <w:t xml:space="preserve">A ottobre 2026 su ClinicalTrials.gov non risulta alcuno studio clinico in corso con la sermorelina stessa; le voci di registro con questo termine di ricerca riguardano studi sul GHRH conclusi o la tesamorelina.</w:t>
      </w:r>
      <w:r>
        <w:t xml:space="preserve"> </w:t>
      </w:r>
      <w:r>
        <w:rPr>
          <w:iCs/>
          <w:i/>
        </w:rPr>
        <w:t xml:space="preserve">Valutazione dell’autore:</w:t>
      </w:r>
      <w:r>
        <w:t xml:space="preserve"> </w:t>
      </w:r>
      <w:r>
        <w:t xml:space="preserve">un ritorno come medicinale autorizzato non è prevedibile. La domanda continuerà a essere trainata da cliniche e venditori online, non da nuovi dati di studio.</w:t>
      </w:r>
    </w:p>
    <w:bookmarkEnd w:id="477"/>
    <w:bookmarkStart w:id="478" w:name="conclusione-23"/>
    <w:p>
      <w:pPr>
        <w:pStyle w:val="Heading3"/>
      </w:pPr>
      <w:r>
        <w:t xml:space="preserve">Conclusione</w:t>
      </w:r>
    </w:p>
    <w:p>
      <w:pPr>
        <w:pStyle w:val="FirstParagraph"/>
      </w:pPr>
      <w:r>
        <w:t xml:space="preserve">La sermorelina stimola in modo affidabile la secrezione endogena di ormone della crescita ed era autorizzata negli USA per i bambini con carenza di ormone della crescita, ma lì era meno efficace dell’ormone della crescita stesso. Gli studi sugli adulti anziani comprendono ciascuno solo una decina-ventina di persone e mostrano al massimo effetti piccoli e non uniformi. Mancano prove di un beneficio come rimedio «anti-aging» o per migliorare la prestazione, così come dati di sicurezza a lungo termine.</w:t>
      </w:r>
    </w:p>
    <w:bookmarkEnd w:id="478"/>
    <w:bookmarkEnd w:id="479"/>
    <w:bookmarkStart w:id="492" w:name="tesamorelina"/>
    <w:p>
      <w:pPr>
        <w:pStyle w:val="Heading2"/>
      </w:pPr>
      <w:r>
        <w:t xml:space="preserve">Tesamorelina</w:t>
      </w:r>
    </w:p>
    <w:p>
      <w:pPr>
        <w:pStyle w:val="FirstParagraph"/>
      </w:pPr>
      <w:r>
        <w:t xml:space="preserve">La tesamorelina è l’unico peptide di questo gruppo oggi autorizzato negli Stati Uniti come medicinale per un trattamento continuativo, anche se per una situazione molto particolare: l’eccesso di grasso addominale nelle persone con HIV. Proprio per questo è istruttiva. La tesamorelina permette di mostrare che cosa produce davvero, in studi rigorosi e controllati con placebo, un aumento della secrezione endogena di ormone della crescita, e che cosa invece non produce. In internet viene invece spesso pubblicizzata come «peptide contro il grasso addominale» per tutti. Questo capitolo separa l’impiego documentato dalle speranze.</w:t>
      </w:r>
    </w:p>
    <w:bookmarkStart w:id="480" w:name="scheda-24"/>
    <w:p>
      <w:pPr>
        <w:pStyle w:val="Heading3"/>
      </w:pPr>
      <w:r>
        <w:t xml:space="preserve">Scheda</w:t>
      </w:r>
    </w:p>
    <w:p>
      <w:pPr>
        <w:numPr>
          <w:ilvl w:val="0"/>
          <w:numId w:val="1150"/>
        </w:numPr>
        <w:pStyle w:val="Compact"/>
      </w:pPr>
      <w:r>
        <w:rPr>
          <w:bCs/>
          <w:b/>
        </w:rPr>
        <w:t xml:space="preserve">Tipo e struttura:</w:t>
      </w:r>
      <w:r>
        <w:t xml:space="preserve"> </w:t>
      </w:r>
      <w:r>
        <w:t xml:space="preserve">peptide sintetico di 44 amminoacidi; corrisponde all’intero ormone di rilascio dell’ormone della crescita umano, GHRH(1-44) (Falutz 2010, PMID 20101189), alla cui estremità iniziale è legato un gruppo chimico aggiuntivo che rallenta la rapida degradazione nel sangue.</w:t>
      </w:r>
    </w:p>
    <w:p>
      <w:pPr>
        <w:numPr>
          <w:ilvl w:val="0"/>
          <w:numId w:val="1150"/>
        </w:numPr>
        <w:pStyle w:val="Compact"/>
      </w:pPr>
      <w:r>
        <w:rPr>
          <w:bCs/>
          <w:b/>
        </w:rPr>
        <w:t xml:space="preserve">Origine:</w:t>
      </w:r>
      <w:r>
        <w:t xml:space="preserve"> </w:t>
      </w:r>
      <w:r>
        <w:t xml:space="preserve">sviluppata dall’azienda canadese Theratechnologies (nome di sviluppo TH9507).</w:t>
      </w:r>
    </w:p>
    <w:p>
      <w:pPr>
        <w:numPr>
          <w:ilvl w:val="0"/>
          <w:numId w:val="1150"/>
        </w:numPr>
        <w:pStyle w:val="Compact"/>
      </w:pPr>
      <w:r>
        <w:rPr>
          <w:bCs/>
          <w:b/>
        </w:rPr>
        <w:t xml:space="preserve">Principio d’azione:</w:t>
      </w:r>
      <w:r>
        <w:t xml:space="preserve"> </w:t>
      </w:r>
      <w:r>
        <w:t xml:space="preserve">come il GHRH endogeno, si lega al suo recettore nell’ipofisi e aumenta così la secrezione propria, sempre pulsatile, di ormone della crescita (GH); di conseguenza aumenta il messaggero IGF-1.</w:t>
      </w:r>
    </w:p>
    <w:p>
      <w:pPr>
        <w:numPr>
          <w:ilvl w:val="0"/>
          <w:numId w:val="1150"/>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sì (Egrifta, dal 2010) per la riduzione del grasso addominale in eccesso negli adulti con HIV e lipodistrofia (approvazione FDA riportata in Traynor 2010, PMID 21115997).</w:t>
      </w:r>
    </w:p>
    <w:p>
      <w:pPr>
        <w:numPr>
          <w:ilvl w:val="0"/>
          <w:numId w:val="1150"/>
        </w:numPr>
        <w:pStyle w:val="Compact"/>
      </w:pPr>
      <w:r>
        <w:rPr>
          <w:bCs/>
          <w:b/>
        </w:rPr>
        <w:t xml:space="preserve">WADA:</w:t>
      </w:r>
      <w:r>
        <w:t xml:space="preserve"> </w:t>
      </w:r>
      <w:r>
        <w:t xml:space="preserve">vietata, classe S2 (ormoni peptidici, fattori di crescita, sostanze correlate), espressamente inclusa in quanto analogo del GHRH.</w:t>
      </w:r>
    </w:p>
    <w:p>
      <w:pPr>
        <w:numPr>
          <w:ilvl w:val="0"/>
          <w:numId w:val="1150"/>
        </w:numPr>
        <w:pStyle w:val="Compact"/>
      </w:pPr>
      <w:r>
        <w:rPr>
          <w:bCs/>
          <w:b/>
        </w:rPr>
        <w:t xml:space="preserve">Livello di evidenza: A</w:t>
      </w:r>
      <w:r>
        <w:t xml:space="preserve"> </w:t>
      </w:r>
      <w:r>
        <w:t xml:space="preserve">– due grandi studi di fase 3 con complessivamente 806 partecipanti, diversi altri studi randomizzati, autorizzazione negli Stati Uniti.</w:t>
      </w:r>
    </w:p>
    <w:bookmarkEnd w:id="480"/>
    <w:bookmarkStart w:id="481" w:name="come-dovrebbe-agire-24"/>
    <w:p>
      <w:pPr>
        <w:pStyle w:val="Heading3"/>
      </w:pPr>
      <w:r>
        <w:t xml:space="preserve">Come dovrebbe agire</w:t>
      </w:r>
    </w:p>
    <w:p>
      <w:pPr>
        <w:pStyle w:val="FirstParagraph"/>
      </w:pPr>
      <w:r>
        <w:t xml:space="preserve">L’ormone della crescita non viene rilasciato dall’ipofisi in modo uniforme, ma a impulsi, soprattutto di notte. Il processo è regolato da due antagonisti del diencefalo: il GHRH accelera, la somatostatina frena. L’ormone della crescita in sé scompone il grasso, in particolare quello tra gli organi della cavità addominale (grasso viscerale), e stimola il fegato a produrre IGF-1, che media molti degli effetti anabolici.</w:t>
      </w:r>
    </w:p>
    <w:p>
      <w:pPr>
        <w:pStyle w:val="BodyText"/>
      </w:pPr>
      <w:r>
        <w:t xml:space="preserve">Con alcune terapie anti-HIV, soprattutto quelle più vecchie, in certe persone si accumula una quantità vistosa di grasso addominale, mentre braccia e gambe tendono ad assottigliarsi. Questa ridistribuzione del grasso si chiama lipodistrofia. Nelle persone colpite la secrezione di ormone della crescita è spesso ridotta. L’idea alla base della tesamorelina: invece di iniettare ormone della crescita dall’esterno, si stimola l’ipofisi stessa. Poiché i circuiti di retroazione dell’organismo restano intatti, livelli eccessivi e i relativi effetti collaterali dovrebbero essere più rari che con la somministrazione diretta di GH, un’ipotesi che gli studi confermano in parte, ma non del tutto.</w:t>
      </w:r>
    </w:p>
    <w:bookmarkEnd w:id="481"/>
    <w:bookmarkStart w:id="486" w:name="studi-sulluomo-24"/>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23</w:t>
      </w:r>
      <w:r>
        <w:t xml:space="preserve"> </w:t>
      </w:r>
      <w:r>
        <w:t xml:space="preserve">studi sull’uomo in PubMed (</w:t>
      </w:r>
      <w:r>
        <w:rPr>
          <w:rStyle w:val="VerbatimChar"/>
        </w:rPr>
        <w:t xml:space="preserve">humanstudien_alle</w:t>
      </w:r>
      <w:r>
        <w:t xml:space="preserve">) e</w:t>
      </w:r>
      <w:r>
        <w:t xml:space="preserve"> </w:t>
      </w:r>
      <w:r>
        <w:rPr>
          <w:bCs/>
          <w:b/>
        </w:rPr>
        <w:t xml:space="preserve">24</w:t>
      </w:r>
      <w:r>
        <w:t xml:space="preserve"> </w:t>
      </w:r>
      <w:r>
        <w:t xml:space="preserve">voci su ClinicalTrials.gov; una di queste (sponsor «Hudson Biotech», titolo con l’aggiunta «Mock Study») è evidentemente una voce di esempio fittizia e qui non viene conteggiata, per cui restano</w:t>
      </w:r>
      <w:r>
        <w:t xml:space="preserve"> </w:t>
      </w:r>
      <w:r>
        <w:rPr>
          <w:bCs/>
          <w:b/>
        </w:rPr>
        <w:t xml:space="preserve">23</w:t>
      </w:r>
      <w:r>
        <w:t xml:space="preserve"> </w:t>
      </w:r>
      <w:r>
        <w:t xml:space="preserve">studi registrati reali. A questi si aggiungono tre revisioni sistematiche con meta-analisi.</w:t>
      </w:r>
    </w:p>
    <w:bookmarkStart w:id="482" w:name="gli-studi-registrativi"/>
    <w:p>
      <w:pPr>
        <w:pStyle w:val="Heading4"/>
      </w:pPr>
      <w:r>
        <w:t xml:space="preserve">Gli studi registrativi</w:t>
      </w:r>
    </w:p>
    <w:p>
      <w:pPr>
        <w:pStyle w:val="FirstParagraph"/>
      </w:pPr>
      <w:r>
        <w:t xml:space="preserve">L’autorizzazione si basa su due studi di fase 3 quasi identici nell’impostazione, condotti su persone con HIV e aumento del grasso addominale. In entrambi i partecipanti ricevevano, in rapporto 2:1, tesamorelina o un farmaco fittizio (placebo) iniettati quotidianamente sotto la pelle; dopo 26 settimane seguiva una fase di estensione in cui una parte del gruppo tesamorelina continuava il trattamento e un’altra passava al placebo.</w:t>
      </w:r>
    </w:p>
    <w:p>
      <w:pPr>
        <w:pStyle w:val="BodyText"/>
      </w:pPr>
      <w:r>
        <w:t xml:space="preserve">Nel primo studio, con 412 partecipanti (86% uomini), il grasso viscerale, misurato con tomografia computerizzata, è diminuito del 15,2% con tesamorelina ed è aumentato del 5,0% con placebo. I trigliceridi (grassi nel sangue) sono scesi di 50 mg/dl, contro un aumento di 9 mg/dl. L’IGF-1 è aumentato dell’81,0%. I valori glicemici non differivano in modo significativo; tuttavia nel gruppo tesamorelina più partecipanti hanno interrotto lo studio a causa di effetti collaterali (Falutz 2007, PMID 18057338). Su 52 settimane, con trattamento continuativo, la riduzione del grasso addominale si è mantenuta intorno al −18%; dopo la sospensione il grasso è tornato (Falutz 2008, PMID 18690162).</w:t>
      </w:r>
    </w:p>
    <w:p>
      <w:pPr>
        <w:pStyle w:val="BodyText"/>
      </w:pPr>
      <w:r>
        <w:t xml:space="preserve">Il secondo studio, con 404 partecipanti, lo ha confermato: −10,9% di grasso viscerale con tesamorelina contro −0,6% con placebo dopo sei mesi, nessuna variazione del grasso sottocutaneo di braccia, gambe e addome, e una rapida perdita dell’effetto dopo il passaggio al placebo (Falutz 2010, PMID 20101189).</w:t>
      </w:r>
    </w:p>
    <w:p>
      <w:pPr>
        <w:pStyle w:val="BodyText"/>
      </w:pPr>
      <w:r>
        <w:t xml:space="preserve">L’analisi congiunta dei due studi, con 806 persone, ha mostrato dopo 26 settimane un effetto del trattamento di −15,4% sul grasso viscerale, miglioramenti dei trigliceridi e del rapporto tra colesterolo totale e HDL, nonché della soddisfazione per l’aspetto dell’addome. Gli autori non hanno rilevato differenze clinicamente rilevanti nei valori glicemici (Falutz 2010, PMID 20554713). Non tutti ne traggono lo stesso beneficio: un’analisi successiva aveva definito in anticipo come «risposta» una riduzione del grasso addominale di almeno l’8%. In questi responder i trigliceridi sono scesi in modo nettamente maggiore e glicemia e HbA1c sono rimaste in gran parte stabili; nei non responder glicemia a digiuno e HbA1c sono leggermente aumentate (analisi a posteriori) (Stanley 2012, PMID 22495074).</w:t>
      </w:r>
    </w:p>
    <w:bookmarkEnd w:id="482"/>
    <w:bookmarkStart w:id="483" w:name="grasso-epatico"/>
    <w:p>
      <w:pPr>
        <w:pStyle w:val="Heading4"/>
      </w:pPr>
      <w:r>
        <w:t xml:space="preserve">Grasso epatico</w:t>
      </w:r>
    </w:p>
    <w:p>
      <w:pPr>
        <w:pStyle w:val="FirstParagraph"/>
      </w:pPr>
      <w:r>
        <w:t xml:space="preserve">Particolarmente interessante è l’effetto sul fegato grasso. In uno studio più piccolo con 50 persone con HIV, oltre al grasso addominale è diminuito anche il grasso epatico; la glicemia a digiuno è aumentata temporaneamente dopo due settimane, mentre dopo sei mesi non c’era più alcuna differenza significativa (Stanley 2014, PMID 25038357). Un successivo studio randomizzato in doppio cieco ha esaminato in modo mirato 61 persone con HIV e steatosi epatica non alcolica per dodici mesi, con biopsie epatiche. La frazione di grasso epatico è scesa in termini assoluti di 4,1 punti percentuali in più rispetto al placebo, in termini relativi del 37%; alla fine il 35% del gruppo tesamorelina, ma solo il 4% del gruppo placebo, si trovava sotto la soglia di steatosi del 5% (Stanley 2019, PMID 31611038). Se ciò prevenga a lungo termine la cirrosi epatica o il cancro del fegato non è stato studiato.</w:t>
      </w:r>
    </w:p>
    <w:bookmarkEnd w:id="483"/>
    <w:bookmarkStart w:id="484" w:name="altri-impieghi"/>
    <w:p>
      <w:pPr>
        <w:pStyle w:val="Heading4"/>
      </w:pPr>
      <w:r>
        <w:t xml:space="preserve">Altri impieghi</w:t>
      </w:r>
    </w:p>
    <w:p>
      <w:pPr>
        <w:pStyle w:val="FirstParagraph"/>
      </w:pPr>
      <w:r>
        <w:t xml:space="preserve">Al di fuori dell’HIV esistono solo studi più piccoli:</w:t>
      </w:r>
    </w:p>
    <w:p>
      <w:pPr>
        <w:numPr>
          <w:ilvl w:val="0"/>
          <w:numId w:val="1151"/>
        </w:numPr>
        <w:pStyle w:val="Compact"/>
      </w:pPr>
      <w:r>
        <w:t xml:space="preserve">In 60 persone con obesità addominale e ridotta secrezione di GH (senza HIV), nell’arco di dodici mesi la tesamorelina ha ridotto il grasso viscerale, i trigliceridi, la proteina C-reattiva e lo spessore della parete carotidea, senza peggiorare i valori glicemici (Makimura 2012, PMID 23015655).</w:t>
      </w:r>
    </w:p>
    <w:p>
      <w:pPr>
        <w:numPr>
          <w:ilvl w:val="0"/>
          <w:numId w:val="1151"/>
        </w:numPr>
        <w:pStyle w:val="Compact"/>
      </w:pPr>
      <w:r>
        <w:t xml:space="preserve">In 53 persone con diabete di tipo 2, nell’arco di dodici settimane né la risposta insulinica né l’HbA1c sono cambiate rispetto al placebo (Clemmons 2017, PMID 28617838).</w:t>
      </w:r>
    </w:p>
    <w:p>
      <w:pPr>
        <w:numPr>
          <w:ilvl w:val="0"/>
          <w:numId w:val="1151"/>
        </w:numPr>
        <w:pStyle w:val="Compact"/>
      </w:pPr>
      <w:r>
        <w:t xml:space="preserve">In uno studio con 152 adulti anziani (da 55 a 87 anni), di cui 66 con lieve compromissione cognitiva, dopo 20 settimane è emerso un effetto favorevole sulla valutazione complessiva delle capacità cognitive, soprattutto sulle funzioni esecutive. Effetti collaterali, per lo più lievi, sono stati riferiti dal 68% con tesamorelina contro il 36% con placebo (Baker 2012, PMID 22869065). Manca uno studio di conferma.</w:t>
      </w:r>
    </w:p>
    <w:p>
      <w:pPr>
        <w:numPr>
          <w:ilvl w:val="0"/>
          <w:numId w:val="1151"/>
        </w:numPr>
        <w:pStyle w:val="Compact"/>
      </w:pPr>
      <w:r>
        <w:t xml:space="preserve">In 73 persone con HIV, obesità addominale e deficit cognitivi, uno studio di fase 2 in aperto non ha rilevato differenze significative nelle capacità cognitive rispetto al trattamento standard (Ellis 2025, PMID 39813152).</w:t>
      </w:r>
    </w:p>
    <w:bookmarkEnd w:id="484"/>
    <w:bookmarkStart w:id="485" w:name="meta-analisi"/>
    <w:p>
      <w:pPr>
        <w:pStyle w:val="Heading4"/>
      </w:pPr>
      <w:r>
        <w:t xml:space="preserve">Meta-analisi</w:t>
      </w:r>
    </w:p>
    <w:p>
      <w:pPr>
        <w:pStyle w:val="FirstParagraph"/>
      </w:pPr>
      <w:r>
        <w:t xml:space="preserve">Due meta-analisi del 2026 riassumono gli studi randomizzati nella lipodistrofia da HIV. La prima (quattro studi, 909 persone) ha rilevato una riduzione del grasso viscerale, della circonferenza vita di 1,61 cm e del grasso del tronco, nonché un aumento della massa magra di 1,42 kg; il tasso di abbandono per effetti collaterali tendeva a essere più alto (rapporto di rischio 2,25, di poco non statisticamente significativo) (Ditta 2026, PMID 42538058). La seconda (cinque studi) ha confermato la riduzione del grasso epatico di 4,28 punti percentuali e ha indicato come effetti collaterali tipici dolori articolari e muscolari, parestesie e reazioni cutanee nel sito di iniezione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3, studio 1 (Falutz 2007), PMID 18057338</w:t>
            </w:r>
          </w:p>
        </w:tc>
        <w:tc>
          <w:tcPr/>
          <w:p>
            <w:pPr>
              <w:pStyle w:val="Compact"/>
              <w:jc w:val="left"/>
            </w:pPr>
            <w:r>
              <w:t xml:space="preserve">412 persone con HIV e grasso addominale, RCT contro placebo</w:t>
            </w:r>
          </w:p>
        </w:tc>
        <w:tc>
          <w:tcPr/>
          <w:p>
            <w:pPr>
              <w:pStyle w:val="Compact"/>
              <w:jc w:val="left"/>
            </w:pPr>
            <w:r>
              <w:t xml:space="preserve">26 settimane</w:t>
            </w:r>
          </w:p>
        </w:tc>
        <w:tc>
          <w:tcPr/>
          <w:p>
            <w:pPr>
              <w:pStyle w:val="Compact"/>
              <w:jc w:val="left"/>
            </w:pPr>
            <w:r>
              <w:t xml:space="preserve">grasso viscerale −15,2% vs. +5,0%</w:t>
            </w:r>
          </w:p>
        </w:tc>
      </w:tr>
      <w:tr>
        <w:tc>
          <w:tcPr/>
          <w:p>
            <w:pPr>
              <w:pStyle w:val="Compact"/>
              <w:jc w:val="left"/>
            </w:pPr>
            <w:r>
              <w:t xml:space="preserve">Fase 3, studio 2 (Falutz 2010), PMID 20101189</w:t>
            </w:r>
          </w:p>
        </w:tc>
        <w:tc>
          <w:tcPr/>
          <w:p>
            <w:pPr>
              <w:pStyle w:val="Compact"/>
              <w:jc w:val="left"/>
            </w:pPr>
            <w:r>
              <w:t xml:space="preserve">404 persone con HIV, RCT con fase di estensione</w:t>
            </w:r>
          </w:p>
        </w:tc>
        <w:tc>
          <w:tcPr/>
          <w:p>
            <w:pPr>
              <w:pStyle w:val="Compact"/>
              <w:jc w:val="left"/>
            </w:pPr>
            <w:r>
              <w:t xml:space="preserve">12 mesi</w:t>
            </w:r>
          </w:p>
        </w:tc>
        <w:tc>
          <w:tcPr/>
          <w:p>
            <w:pPr>
              <w:pStyle w:val="Compact"/>
              <w:jc w:val="left"/>
            </w:pPr>
            <w:r>
              <w:t xml:space="preserve">−10,9% vs. −0,6% dopo 6 mesi; l’effetto si perde dopo la sospensione</w:t>
            </w:r>
          </w:p>
        </w:tc>
      </w:tr>
      <w:tr>
        <w:tc>
          <w:tcPr/>
          <w:p>
            <w:pPr>
              <w:pStyle w:val="Compact"/>
              <w:jc w:val="left"/>
            </w:pPr>
            <w:r>
              <w:t xml:space="preserve">Analisi aggregata (Falutz 2010), PMID 20554713</w:t>
            </w:r>
          </w:p>
        </w:tc>
        <w:tc>
          <w:tcPr/>
          <w:p>
            <w:pPr>
              <w:pStyle w:val="Compact"/>
              <w:jc w:val="left"/>
            </w:pPr>
            <w:r>
              <w:t xml:space="preserve">806 persone dai due studi di fase 3</w:t>
            </w:r>
          </w:p>
        </w:tc>
        <w:tc>
          <w:tcPr/>
          <w:p>
            <w:pPr>
              <w:pStyle w:val="Compact"/>
              <w:jc w:val="left"/>
            </w:pPr>
            <w:r>
              <w:t xml:space="preserve">26–52 settimane</w:t>
            </w:r>
          </w:p>
        </w:tc>
        <w:tc>
          <w:tcPr/>
          <w:p>
            <w:pPr>
              <w:pStyle w:val="Compact"/>
              <w:jc w:val="left"/>
            </w:pPr>
            <w:r>
              <w:t xml:space="preserve">effetto del trattamento −15,4%; glicemia senza variazioni clinicamente rilevanti</w:t>
            </w:r>
          </w:p>
        </w:tc>
      </w:tr>
      <w:tr>
        <w:tc>
          <w:tcPr/>
          <w:p>
            <w:pPr>
              <w:pStyle w:val="Compact"/>
              <w:jc w:val="left"/>
            </w:pPr>
            <w:r>
              <w:t xml:space="preserve">Fegato grasso nell’HIV (Stanley 2019), PMID 31611038</w:t>
            </w:r>
          </w:p>
        </w:tc>
        <w:tc>
          <w:tcPr/>
          <w:p>
            <w:pPr>
              <w:pStyle w:val="Compact"/>
              <w:jc w:val="left"/>
            </w:pPr>
            <w:r>
              <w:t xml:space="preserve">61 persone con HIV e fegato grasso, RCT</w:t>
            </w:r>
          </w:p>
        </w:tc>
        <w:tc>
          <w:tcPr/>
          <w:p>
            <w:pPr>
              <w:pStyle w:val="Compact"/>
              <w:jc w:val="left"/>
            </w:pPr>
            <w:r>
              <w:t xml:space="preserve">12 mesi</w:t>
            </w:r>
          </w:p>
        </w:tc>
        <w:tc>
          <w:tcPr/>
          <w:p>
            <w:pPr>
              <w:pStyle w:val="Compact"/>
              <w:jc w:val="left"/>
            </w:pPr>
            <w:r>
              <w:t xml:space="preserve">frazione di grasso epatico −4,1 punti percentuali vs. placebo</w:t>
            </w:r>
          </w:p>
        </w:tc>
      </w:tr>
      <w:tr>
        <w:tc>
          <w:tcPr/>
          <w:p>
            <w:pPr>
              <w:pStyle w:val="Compact"/>
              <w:jc w:val="left"/>
            </w:pPr>
            <w:r>
              <w:t xml:space="preserve">Senza HIV (Makimura 2012), PMID 23015655</w:t>
            </w:r>
          </w:p>
        </w:tc>
        <w:tc>
          <w:tcPr/>
          <w:p>
            <w:pPr>
              <w:pStyle w:val="Compact"/>
              <w:jc w:val="left"/>
            </w:pPr>
            <w:r>
              <w:t xml:space="preserve">60 adulti con obesità addominale, RCT</w:t>
            </w:r>
          </w:p>
        </w:tc>
        <w:tc>
          <w:tcPr/>
          <w:p>
            <w:pPr>
              <w:pStyle w:val="Compact"/>
              <w:jc w:val="left"/>
            </w:pPr>
            <w:r>
              <w:t xml:space="preserve">12 mesi</w:t>
            </w:r>
          </w:p>
        </w:tc>
        <w:tc>
          <w:tcPr/>
          <w:p>
            <w:pPr>
              <w:pStyle w:val="Compact"/>
              <w:jc w:val="left"/>
            </w:pPr>
            <w:r>
              <w:t xml:space="preserve">grasso viscerale −35 cm² rispetto al placebo</w:t>
            </w:r>
          </w:p>
        </w:tc>
      </w:tr>
      <w:tr>
        <w:tc>
          <w:tcPr/>
          <w:p>
            <w:pPr>
              <w:pStyle w:val="Compact"/>
              <w:jc w:val="left"/>
            </w:pPr>
            <w:r>
              <w:t xml:space="preserve">Cognizione in età avanzata (Baker 2012), PMID 22869065</w:t>
            </w:r>
          </w:p>
        </w:tc>
        <w:tc>
          <w:tcPr/>
          <w:p>
            <w:pPr>
              <w:pStyle w:val="Compact"/>
              <w:jc w:val="left"/>
            </w:pPr>
            <w:r>
              <w:t xml:space="preserve">152 anziani, di cui 66 con lieve disturbo cognitivo, RCT</w:t>
            </w:r>
          </w:p>
        </w:tc>
        <w:tc>
          <w:tcPr/>
          <w:p>
            <w:pPr>
              <w:pStyle w:val="Compact"/>
              <w:jc w:val="left"/>
            </w:pPr>
            <w:r>
              <w:t xml:space="preserve">20 settimane</w:t>
            </w:r>
          </w:p>
        </w:tc>
        <w:tc>
          <w:tcPr/>
          <w:p>
            <w:pPr>
              <w:pStyle w:val="Compact"/>
              <w:jc w:val="left"/>
            </w:pPr>
            <w:r>
              <w:t xml:space="preserve">effetto favorevole sulle capacità cognitive; più effetti collaterali</w:t>
            </w:r>
          </w:p>
        </w:tc>
      </w:tr>
      <w:tr>
        <w:tc>
          <w:tcPr/>
          <w:p>
            <w:pPr>
              <w:pStyle w:val="Compact"/>
              <w:jc w:val="left"/>
            </w:pPr>
            <w:r>
              <w:t xml:space="preserve">Meta-analisi (Ditta 2026), PMID 42538058</w:t>
            </w:r>
          </w:p>
        </w:tc>
        <w:tc>
          <w:tcPr/>
          <w:p>
            <w:pPr>
              <w:pStyle w:val="Compact"/>
              <w:jc w:val="left"/>
            </w:pPr>
            <w:r>
              <w:t xml:space="preserve">4 RCT, 909 persone con HIV</w:t>
            </w:r>
          </w:p>
        </w:tc>
        <w:tc>
          <w:tcPr/>
          <w:p>
            <w:pPr>
              <w:pStyle w:val="Compact"/>
              <w:jc w:val="left"/>
            </w:pPr>
            <w:r>
              <w:t xml:space="preserve">–</w:t>
            </w:r>
          </w:p>
        </w:tc>
        <w:tc>
          <w:tcPr/>
          <w:p>
            <w:pPr>
              <w:pStyle w:val="Compact"/>
              <w:jc w:val="left"/>
            </w:pPr>
            <w:r>
              <w:t xml:space="preserve">meno grasso viscerale, +1,42 kg di massa magra</w:t>
            </w:r>
          </w:p>
        </w:tc>
      </w:tr>
    </w:tbl>
    <w:bookmarkEnd w:id="485"/>
    <w:bookmarkEnd w:id="486"/>
    <w:bookmarkStart w:id="487" w:name="studi-su-animali-e-in-laboratorio-24"/>
    <w:p>
      <w:pPr>
        <w:pStyle w:val="Heading3"/>
      </w:pPr>
      <w:r>
        <w:t xml:space="preserve">Studi su animali e in laboratorio</w:t>
      </w:r>
    </w:p>
    <w:p>
      <w:pPr>
        <w:pStyle w:val="FirstParagraph"/>
      </w:pPr>
      <w:r>
        <w:t xml:space="preserve">Per la tesamorelina in sé esiste relativamente poca ricerca animale autonoma; lo sviluppo si è basato sul GHRH endogeno, ben studiato. Una revisione discute se una stimolazione dell’asse dell’ormone della crescita possa favorire la rigenerazione dei nervi lesionati, basandosi prevalentemente su studi animali e meccanicistici (Tuffaha 2016, PMID 27192539). Un piccolo studio di fase 2 sull’uomo in merito è registrato (NCT03150511).</w:t>
      </w:r>
    </w:p>
    <w:p>
      <w:pPr>
        <w:pStyle w:val="BodyText"/>
      </w:pPr>
      <w:r>
        <w:t xml:space="preserve">Un’analisi dei tessuti delle biopsie epatiche dello studio sul fegato grasso ha mostrato che con tesamorelina i gruppi di geni della produzione di energia nei mitocondri erano più attivi, e i gruppi di geni legati a infiammazione, rimodellamento dei tessuti e divisione cellulare meno attivi rispetto al placebo (Fourman 2020, PMID 32701508). Si tratta di risultati ottenuti da campioni di tessuto umano, ma non di endpoint clinici.</w:t>
      </w:r>
    </w:p>
    <w:bookmarkEnd w:id="487"/>
    <w:bookmarkStart w:id="488" w:name="rischi-ed-effetti-collaterali-24"/>
    <w:p>
      <w:pPr>
        <w:pStyle w:val="Heading3"/>
      </w:pPr>
      <w:r>
        <w:t xml:space="preserve">Rischi ed effetti collaterali</w:t>
      </w:r>
    </w:p>
    <w:p>
      <w:pPr>
        <w:pStyle w:val="FirstParagraph"/>
      </w:pPr>
      <w:r>
        <w:rPr>
          <w:bCs/>
          <w:b/>
        </w:rPr>
        <w:t xml:space="preserve">Documentati dagli studi:</w:t>
      </w:r>
    </w:p>
    <w:p>
      <w:pPr>
        <w:numPr>
          <w:ilvl w:val="0"/>
          <w:numId w:val="1152"/>
        </w:numPr>
        <w:pStyle w:val="Compact"/>
      </w:pPr>
      <w:r>
        <w:t xml:space="preserve">Reazioni nel sito di iniezione (arrossamento, prurito): nello studio sul fegato grasso più frequenti che con placebo, ma non gravi (Stanley 2019, PMID 31611038).</w:t>
      </w:r>
    </w:p>
    <w:p>
      <w:pPr>
        <w:numPr>
          <w:ilvl w:val="0"/>
          <w:numId w:val="1152"/>
        </w:numPr>
        <w:pStyle w:val="Compact"/>
      </w:pPr>
      <w:r>
        <w:t xml:space="preserve">Effetti tipici dell’ormone della crescita come dolori articolari e muscolari e parestesie (Badran 2026, PMID 41545261).</w:t>
      </w:r>
    </w:p>
    <w:p>
      <w:pPr>
        <w:numPr>
          <w:ilvl w:val="0"/>
          <w:numId w:val="1152"/>
        </w:numPr>
        <w:pStyle w:val="Compact"/>
      </w:pPr>
      <w:r>
        <w:t xml:space="preserve">Glicemia: nei grandi studi nessun peggioramento clinicamente rilevante in media, ma un aumento temporaneo della glicemia a digiuno nelle prime settimane (Stanley 2014, PMID 25038357) e un lieve aumento nelle persone il cui grasso addominale non ha risposto (Stanley 2012, PMID 22495074). Le persone con diabete dovrebbero essere seguite dal medico.</w:t>
      </w:r>
    </w:p>
    <w:p>
      <w:pPr>
        <w:numPr>
          <w:ilvl w:val="0"/>
          <w:numId w:val="1152"/>
        </w:numPr>
        <w:pStyle w:val="Compact"/>
      </w:pPr>
      <w:r>
        <w:t xml:space="preserve">Più interruzioni della terapia per effetti collaterali che con placebo (Falutz 2007, PMID 18057338).</w:t>
      </w:r>
    </w:p>
    <w:p>
      <w:pPr>
        <w:numPr>
          <w:ilvl w:val="0"/>
          <w:numId w:val="1152"/>
        </w:numPr>
        <w:pStyle w:val="Compact"/>
      </w:pPr>
      <w:r>
        <w:t xml:space="preserve">L’effetto non è duraturo: dopo la sospensione il grasso addominale ritorna (Falutz 2008, PMID 18690162).</w:t>
      </w:r>
    </w:p>
    <w:p>
      <w:pPr>
        <w:pStyle w:val="FirstParagraph"/>
      </w:pPr>
      <w:r>
        <w:rPr>
          <w:bCs/>
          <w:b/>
        </w:rPr>
        <w:t xml:space="preserve">Aperti o teorici:</w:t>
      </w:r>
      <w:r>
        <w:t xml:space="preserve"> </w:t>
      </w:r>
      <w:r>
        <w:t xml:space="preserve">la tesamorelina aumenta nettamente l’IGF-1, nel primo studio di fase 3 dell’81%. Negli studi osservazionali livelli elevati di IGF-1 sono associati a un rischio leggermente più alto di alcuni tipi di cancro (dettagli nell’introduzione a questo gruppo e nella Parte IV). Dagli studi sulla tesamorelina non emerge un aumento del rischio di cancro, ma erano troppo brevi per valutarlo. Uno studio osservazionale a lungo termine del produttore con 391 partecipanti (NCT01579695) e uno studio sulla retinopatia diabetica (NCT01591902) sono stati conclusi anticipatamente; non ho trovato in PubMed risultati pubblicati in merito. Secondo il riassunto delle caratteristiche del prodotto, la tesamorelina non deve essere usata in presenza di un tumore attivo; i dettagli sono stabiliti dal riassunto delle caratteristiche del prodotto, e l’impiego spetta al medico.</w:t>
      </w:r>
    </w:p>
    <w:bookmarkEnd w:id="488"/>
    <w:bookmarkStart w:id="489" w:name="quadro-normativo-24"/>
    <w:p>
      <w:pPr>
        <w:pStyle w:val="Heading3"/>
      </w:pPr>
      <w:r>
        <w:t xml:space="preserve">Quadro normativo</w:t>
      </w:r>
    </w:p>
    <w:p>
      <w:pPr>
        <w:pStyle w:val="FirstParagraph"/>
      </w:pPr>
      <w:r>
        <w:rPr>
          <w:iCs/>
          <w:i/>
        </w:rPr>
        <w:t xml:space="preserve">Aggiornato al 2026, da verificare.</w:t>
      </w:r>
    </w:p>
    <w:p>
      <w:pPr>
        <w:numPr>
          <w:ilvl w:val="0"/>
          <w:numId w:val="1153"/>
        </w:numPr>
        <w:pStyle w:val="Compact"/>
      </w:pPr>
      <w:r>
        <w:rPr>
          <w:bCs/>
          <w:b/>
        </w:rPr>
        <w:t xml:space="preserve">UE:</w:t>
      </w:r>
      <w:r>
        <w:t xml:space="preserve"> </w:t>
      </w:r>
      <w:r>
        <w:t xml:space="preserve">non autorizzata. La tesamorelina non è in commercio come medicinale in nessuno Stato dell’UE.</w:t>
      </w:r>
    </w:p>
    <w:p>
      <w:pPr>
        <w:numPr>
          <w:ilvl w:val="0"/>
          <w:numId w:val="1153"/>
        </w:numPr>
        <w:pStyle w:val="Compact"/>
      </w:pPr>
      <w:r>
        <w:rPr>
          <w:bCs/>
          <w:b/>
        </w:rPr>
        <w:t xml:space="preserve">Germania e Austria:</w:t>
      </w:r>
      <w:r>
        <w:t xml:space="preserve"> </w:t>
      </w:r>
      <w:r>
        <w:t xml:space="preserve">nessuna autorizzazione. Un approvvigionamento sarebbe al massimo ipotizzabile tramite importazione individuale, sotto responsabilità medica, di un medicinale autorizzato all’estero; la cessione di prodotti del mercato grigio per uso umano non è consentita.</w:t>
      </w:r>
    </w:p>
    <w:p>
      <w:pPr>
        <w:numPr>
          <w:ilvl w:val="0"/>
          <w:numId w:val="1153"/>
        </w:numPr>
        <w:pStyle w:val="Compact"/>
      </w:pPr>
      <w:r>
        <w:rPr>
          <w:bCs/>
          <w:b/>
        </w:rPr>
        <w:t xml:space="preserve">USA:</w:t>
      </w:r>
      <w:r>
        <w:t xml:space="preserve"> </w:t>
      </w:r>
      <w:r>
        <w:t xml:space="preserve">autorizzata come Egrifta (soggetta a prescrizione) esclusivamente per la riduzione del grasso addominale in eccesso nella lipodistrofia associata all’HIV. Qualsiasi altro impiego, per esempio «per dimagrire» o «contro l’invecchiamento», è off-label.</w:t>
      </w:r>
    </w:p>
    <w:p>
      <w:pPr>
        <w:numPr>
          <w:ilvl w:val="0"/>
          <w:numId w:val="1153"/>
        </w:numPr>
        <w:pStyle w:val="Compact"/>
      </w:pPr>
      <w:r>
        <w:rPr>
          <w:bCs/>
          <w:b/>
        </w:rPr>
        <w:t xml:space="preserve">WADA:</w:t>
      </w:r>
      <w:r>
        <w:t xml:space="preserve"> </w:t>
      </w:r>
      <w:r>
        <w:t xml:space="preserve">vietata (S2), in gara e fuori gara. I laboratori antidoping hanno sviluppato metodi per rilevare nelle urine la tesamorelina e altri analoghi del GHRH (Memdouh 2021, PMID 34665524).</w:t>
      </w:r>
    </w:p>
    <w:bookmarkEnd w:id="489"/>
    <w:bookmarkStart w:id="490" w:name="studi-in-corso-e-prospettive-24"/>
    <w:p>
      <w:pPr>
        <w:pStyle w:val="Heading3"/>
      </w:pPr>
      <w:r>
        <w:t xml:space="preserve">Studi in corso e prospettive</w:t>
      </w:r>
    </w:p>
    <w:p>
      <w:pPr>
        <w:pStyle w:val="FirstParagraph"/>
      </w:pPr>
      <w:r>
        <w:t xml:space="preserve">Su ClinicalTrials.gov a ottobre 2026 risultano registrati, tra gli altri, i seguenti studi aperti: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Stato</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persone</w:t>
            </w:r>
          </w:p>
        </w:tc>
        <w:tc>
          <w:tcPr/>
          <w:p>
            <w:pPr>
              <w:pStyle w:val="Compact"/>
              <w:jc w:val="left"/>
            </w:pPr>
            <w:r>
              <w:t xml:space="preserve">in reclutamento (inizio 2025)</w:t>
            </w:r>
          </w:p>
        </w:tc>
        <w:tc>
          <w:tcPr/>
          <w:p>
            <w:pPr>
              <w:pStyle w:val="Compact"/>
              <w:jc w:val="left"/>
            </w:pPr>
            <w:r>
              <w:t xml:space="preserve">tesamorelina in aggiunta all’allenamento nell’HIV – capacità fisica</w:t>
            </w:r>
          </w:p>
        </w:tc>
      </w:tr>
      <w:tr>
        <w:tc>
          <w:tcPr/>
          <w:p>
            <w:pPr>
              <w:pStyle w:val="Compact"/>
              <w:jc w:val="left"/>
            </w:pPr>
            <w:r>
              <w:t xml:space="preserve">NCT03150511</w:t>
            </w:r>
          </w:p>
        </w:tc>
        <w:tc>
          <w:tcPr/>
          <w:p>
            <w:pPr>
              <w:pStyle w:val="Compact"/>
              <w:jc w:val="left"/>
            </w:pPr>
            <w:r>
              <w:t xml:space="preserve">Fase 2, 36 persone</w:t>
            </w:r>
          </w:p>
        </w:tc>
        <w:tc>
          <w:tcPr/>
          <w:p>
            <w:pPr>
              <w:pStyle w:val="Compact"/>
              <w:jc w:val="left"/>
            </w:pPr>
            <w:r>
              <w:t xml:space="preserve">in reclutamento (dal 2018)</w:t>
            </w:r>
          </w:p>
        </w:tc>
        <w:tc>
          <w:tcPr/>
          <w:p>
            <w:pPr>
              <w:pStyle w:val="Compact"/>
              <w:jc w:val="left"/>
            </w:pPr>
            <w:r>
              <w:t xml:space="preserve">recupero dopo lesione dei nervi periferici</w:t>
            </w:r>
          </w:p>
        </w:tc>
      </w:tr>
    </w:tbl>
    <w:p>
      <w:pPr>
        <w:pStyle w:val="BodyText"/>
      </w:pPr>
      <w:r>
        <w:rPr>
          <w:iCs/>
          <w:i/>
        </w:rPr>
        <w:t xml:space="preserve">Assodato</w:t>
      </w:r>
      <w:r>
        <w:t xml:space="preserve"> </w:t>
      </w:r>
      <w:r>
        <w:t xml:space="preserve">è quindi solo che la ricerca prosegue in piccoli studi di fase 2.</w:t>
      </w:r>
      <w:r>
        <w:t xml:space="preserve"> </w:t>
      </w:r>
      <w:r>
        <w:rPr>
          <w:iCs/>
          <w:i/>
        </w:rPr>
        <w:t xml:space="preserve">Valutazione dell’autore:</w:t>
      </w:r>
      <w:r>
        <w:t xml:space="preserve"> </w:t>
      </w:r>
      <w:r>
        <w:t xml:space="preserve">il fegato grasso al di fuori dell’HIV sarebbe il nuovo campo d’impiego più ovvio, ma lì competono ormai altri principi attivi con programmi di studio molto più ampi. Un’autorizzazione nell’UE non è prevedibile in tempi brevi.</w:t>
      </w:r>
    </w:p>
    <w:bookmarkEnd w:id="490"/>
    <w:bookmarkStart w:id="491" w:name="conclusione-24"/>
    <w:p>
      <w:pPr>
        <w:pStyle w:val="Heading3"/>
      </w:pPr>
      <w:r>
        <w:t xml:space="preserve">Conclusione</w:t>
      </w:r>
    </w:p>
    <w:p>
      <w:pPr>
        <w:pStyle w:val="FirstParagraph"/>
      </w:pPr>
      <w:r>
        <w:t xml:space="preserve">La tesamorelina è il peptide dell’asse dell’ormone della crescita meglio studiato: due grandi studi di fase 3 mostrano che nelle persone con HIV riduce il grasso addominale viscerale di circa il 15–18% e diminuisce anche il grasso epatico. L’effetto dura solo finché dura il trattamento, e non tutti rispondono. Per persone sane, sportive e sportivi o come rimedio «anti-aging» non ci sono dati solidi. La sicurezza a lungo termine, in particolare per quanto riguarda l’aumento dell’IGF-1, non è stata chiarita in modo definitivo.</w:t>
      </w:r>
    </w:p>
    <w:bookmarkEnd w:id="491"/>
    <w:bookmarkEnd w:id="492"/>
    <w:bookmarkStart w:id="502" w:name="cjc-1295"/>
    <w:p>
      <w:pPr>
        <w:pStyle w:val="Heading2"/>
      </w:pPr>
      <w:r>
        <w:t xml:space="preserve">CJC-1295</w:t>
      </w:r>
    </w:p>
    <w:p>
      <w:pPr>
        <w:pStyle w:val="FirstParagraph"/>
      </w:pPr>
      <w:r>
        <w:t xml:space="preserve">Con il nome CJC-1295 in internet vengono vendute due sostanze diverse, ed è questo il punto più importante del capitolo. Il CJC-1295 originale dell’azienda ConjuChem è un ormone di rilascio dell’ormone della crescita con un’«ancora» chimica che nel sangue si lega alla proteina albumina e prolunga l’effetto a circa una settimana. I rivenditori del mercato grigio offrono inoltre il «CJC-1295 senza DAC», che nella letteratura specialistica si chiama per lo più «GRF (1-29) modificato». Per il primo esistono due piccoli studi su persone sane, per il secondo nemmeno uno.</w:t>
      </w:r>
    </w:p>
    <w:bookmarkStart w:id="493" w:name="scheda-25"/>
    <w:p>
      <w:pPr>
        <w:pStyle w:val="Heading3"/>
      </w:pPr>
      <w:r>
        <w:t xml:space="preserve">Scheda</w:t>
      </w:r>
    </w:p>
    <w:p>
      <w:pPr>
        <w:numPr>
          <w:ilvl w:val="0"/>
          <w:numId w:val="1154"/>
        </w:numPr>
        <w:pStyle w:val="Compact"/>
      </w:pPr>
      <w:r>
        <w:rPr>
          <w:bCs/>
          <w:b/>
        </w:rPr>
        <w:t xml:space="preserve">Tipo e struttura:</w:t>
      </w:r>
      <w:r>
        <w:t xml:space="preserve"> </w:t>
      </w:r>
      <w:r>
        <w:t xml:space="preserve">analogo sintetico dell’ormone di rilascio dell’ormone della crescita, costruito sui suoi primi 29 amminoacidi con quattro unità sostituite che ne ostacolano la degradazione.</w:t>
      </w:r>
    </w:p>
    <w:p>
      <w:pPr>
        <w:numPr>
          <w:ilvl w:val="1"/>
          <w:numId w:val="1155"/>
        </w:numPr>
        <w:pStyle w:val="Compact"/>
      </w:pPr>
      <w:r>
        <w:rPr>
          <w:iCs/>
          <w:i/>
        </w:rPr>
        <w:t xml:space="preserve">CJC-1295 con DAC</w:t>
      </w:r>
      <w:r>
        <w:t xml:space="preserve"> </w:t>
      </w:r>
      <w:r>
        <w:t xml:space="preserve">(Drug Affinity Complex): in più un’ancora reattiva all’estremità della catena che, dopo l’iniezione, si lega saldamente all’albumina (Jetté 2005, PMID 15817669).</w:t>
      </w:r>
    </w:p>
    <w:p>
      <w:pPr>
        <w:numPr>
          <w:ilvl w:val="1"/>
          <w:numId w:val="1155"/>
        </w:numPr>
        <w:pStyle w:val="Compact"/>
      </w:pPr>
      <w:r>
        <w:rPr>
          <w:iCs/>
          <w:i/>
        </w:rPr>
        <w:t xml:space="preserve">CJC-1295 senza DAC</w:t>
      </w:r>
      <w:r>
        <w:t xml:space="preserve"> </w:t>
      </w:r>
      <w:r>
        <w:t xml:space="preserve">(«Mod GRF 1-29»): la stessa catena senza ancora; breve durata d’azione.</w:t>
      </w:r>
    </w:p>
    <w:p>
      <w:pPr>
        <w:numPr>
          <w:ilvl w:val="0"/>
          <w:numId w:val="1154"/>
        </w:numPr>
        <w:pStyle w:val="Compact"/>
      </w:pPr>
      <w:r>
        <w:rPr>
          <w:bCs/>
          <w:b/>
        </w:rPr>
        <w:t xml:space="preserve">Origine:</w:t>
      </w:r>
      <w:r>
        <w:t xml:space="preserve"> </w:t>
      </w:r>
      <w:r>
        <w:t xml:space="preserve">sviluppato da ConjuChem (Canada) negli anni 2000; lo sviluppo clinico non è proseguito.</w:t>
      </w:r>
    </w:p>
    <w:p>
      <w:pPr>
        <w:numPr>
          <w:ilvl w:val="0"/>
          <w:numId w:val="1154"/>
        </w:numPr>
        <w:pStyle w:val="Compact"/>
      </w:pPr>
      <w:r>
        <w:rPr>
          <w:bCs/>
          <w:b/>
        </w:rPr>
        <w:t xml:space="preserve">Principio d’azione:</w:t>
      </w:r>
      <w:r>
        <w:t xml:space="preserve"> </w:t>
      </w:r>
      <w:r>
        <w:t xml:space="preserve">legame al recettore del GHRH dell’ipofisi; aumento dell’ormone della crescita e dell’IGF-1.</w:t>
      </w:r>
    </w:p>
    <w:p>
      <w:pPr>
        <w:numPr>
          <w:ilvl w:val="0"/>
          <w:numId w:val="1154"/>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54"/>
        </w:numPr>
        <w:pStyle w:val="Compact"/>
      </w:pPr>
      <w:r>
        <w:rPr>
          <w:bCs/>
          <w:b/>
        </w:rPr>
        <w:t xml:space="preserve">WADA:</w:t>
      </w:r>
      <w:r>
        <w:t xml:space="preserve"> </w:t>
      </w:r>
      <w:r>
        <w:t xml:space="preserve">vietato, classe S2; il CJC-1295 è espressamente citato come analogo del GHRH.</w:t>
      </w:r>
    </w:p>
    <w:p>
      <w:pPr>
        <w:numPr>
          <w:ilvl w:val="0"/>
          <w:numId w:val="1154"/>
        </w:numPr>
        <w:pStyle w:val="Compact"/>
      </w:pPr>
      <w:r>
        <w:rPr>
          <w:bCs/>
          <w:b/>
        </w:rPr>
        <w:t xml:space="preserve">Livello di evidenza: C</w:t>
      </w:r>
      <w:r>
        <w:t xml:space="preserve"> </w:t>
      </w:r>
      <w:r>
        <w:t xml:space="preserve">– due piccoli studi di fase 1 su persone sane (con DAC); nessuno studio su un beneficio clinico; per la variante senza DAC nessuno studio sull’uomo.</w:t>
      </w:r>
    </w:p>
    <w:bookmarkEnd w:id="493"/>
    <w:bookmarkStart w:id="494" w:name="come-dovrebbe-agire-25"/>
    <w:p>
      <w:pPr>
        <w:pStyle w:val="Heading3"/>
      </w:pPr>
      <w:r>
        <w:t xml:space="preserve">Come dovrebbe agire</w:t>
      </w:r>
    </w:p>
    <w:p>
      <w:pPr>
        <w:pStyle w:val="FirstParagraph"/>
      </w:pPr>
      <w:r>
        <w:t xml:space="preserve">Il GHRH naturale viene eliminato dal sangue in pochi minuti dall’enzima dipeptidil peptidasi-4 e attraverso i reni. L’ancora DAC doveva risolvere questo problema: dopo l’iniezione reagisce con un gruppo sulfidrilico libero dell’albumina. Il peptide «cavalca» poi l’albumina, che ha una vita di settimane, e viene rilasciato lentamente. Nei ratti il CJC-1295 è rimasto così rilevabile nel sangue per oltre 72 ore (Jetté 2005, PMID 15817669).</w:t>
      </w:r>
    </w:p>
    <w:p>
      <w:pPr>
        <w:pStyle w:val="BodyText"/>
      </w:pPr>
      <w:r>
        <w:t xml:space="preserve">In questo il CJC-1295 con DAC si distingue radicalmente da tutti gli altri secretagoghi del GH: invece di brevi impulsi produce una stimolazione continua dell’ipofisi. Se ciò sia fisiologicamente favorevole era una delle questioni aperte dello sviluppo. La variante senza DAC ha invece una durata d’azione breve, simile alla sermorelina, e sul mercato grigio viene spesso offerta in combinazione con secretagoghi del GH del gruppo della grelina (per esempio l’ipamorelina), una pratica per la quale non esistono studi.</w:t>
      </w:r>
    </w:p>
    <w:bookmarkEnd w:id="494"/>
    <w:bookmarkStart w:id="496" w:name="studi-sulluomo-25"/>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w:t>
      </w:r>
      <w:r>
        <w:t xml:space="preserve"> </w:t>
      </w:r>
      <w:r>
        <w:t xml:space="preserve">studi sull’uomo in PubMed (</w:t>
      </w:r>
      <w:r>
        <w:rPr>
          <w:rStyle w:val="VerbatimChar"/>
        </w:rPr>
        <w:t xml:space="preserve">humanstudien_alle</w:t>
      </w:r>
      <w:r>
        <w:t xml:space="preserve">) e</w:t>
      </w:r>
      <w:r>
        <w:t xml:space="preserve"> </w:t>
      </w:r>
      <w:r>
        <w:rPr>
          <w:bCs/>
          <w:b/>
        </w:rPr>
        <w:t xml:space="preserve">1</w:t>
      </w:r>
      <w:r>
        <w:t xml:space="preserve"> </w:t>
      </w:r>
      <w:r>
        <w:t xml:space="preserve">voce su ClinicalTrials.gov. Una ricerca mirata supplementare ha individuato inoltre un’analisi successiva di campioni di sangue di uno dei due studi. Tutti i lavori riguardano il CJC-1295</w:t>
      </w:r>
      <w:r>
        <w:t xml:space="preserve"> </w:t>
      </w:r>
      <w:r>
        <w:rPr>
          <w:iCs/>
          <w:i/>
        </w:rPr>
        <w:t xml:space="preserve">con</w:t>
      </w:r>
      <w:r>
        <w:t xml:space="preserve"> </w:t>
      </w:r>
      <w:r>
        <w:t xml:space="preserve">DAC.</w:t>
      </w:r>
    </w:p>
    <w:p>
      <w:pPr>
        <w:pStyle w:val="BodyText"/>
      </w:pPr>
      <w:r>
        <w:rPr>
          <w:bCs/>
          <w:b/>
        </w:rPr>
        <w:t xml:space="preserve">Ricerca della dose in persone sane:</w:t>
      </w:r>
      <w:r>
        <w:t xml:space="preserve"> </w:t>
      </w:r>
      <w:r>
        <w:t xml:space="preserve">in due studi randomizzati, controllati con placebo, in doppio cieco e a dosi crescenti, adulti sani tra 21 e 61 anni hanno ricevuto una singola iniezione oppure due-tre iniezioni settimanali o bisettimanali. Dopo una sola iniezione l’ormone della crescita è salito in media da 2 a 10 volte per sei giorni o più, l’IGF-1 da 1,5 a 3 volte per 9-11 giorni. L’emivita era di 5,8-8,1 giorni. Dopo più dosi l’IGF-1 è rimasto al di sopra del valore iniziale fino a 28 giorni. Non sono stati riportati effetti collaterali gravi (Teichman 2006, PMID 16352683).</w:t>
      </w:r>
    </w:p>
    <w:p>
      <w:pPr>
        <w:pStyle w:val="BodyText"/>
      </w:pPr>
      <w:r>
        <w:rPr>
          <w:bCs/>
          <w:b/>
        </w:rPr>
        <w:t xml:space="preserve">Pulsatilità:</w:t>
      </w:r>
      <w:r>
        <w:t xml:space="preserve"> </w:t>
      </w:r>
      <w:r>
        <w:t xml:space="preserve">un secondo studio ha esaminato in uomini sani tra 20 e 40 anni se il naturale andamento a impulsi della secrezione di GH venisse mantenuto. Una settimana dopo l’iniezione frequenza e ampiezza dei picchi di GH erano invariate, ma il livello di base tra i picchi era aumentato di 7,5 volte; il GH medio è aumentato del 46%, l’IGF-1 del 45% (Ionescu 2006, PMID 17018654).</w:t>
      </w:r>
    </w:p>
    <w:p>
      <w:pPr>
        <w:pStyle w:val="BodyText"/>
      </w:pPr>
      <w:r>
        <w:rPr>
          <w:bCs/>
          <w:b/>
        </w:rPr>
        <w:t xml:space="preserve">Proteine del sangue:</w:t>
      </w:r>
      <w:r>
        <w:t xml:space="preserve"> </w:t>
      </w:r>
      <w:r>
        <w:t xml:space="preserve">un’analisi di campioni di siero di 11 giovani uomini prima e una settimana dopo l’iniezione ha cercato nuovi marcatori dell’effetto dell’ormone della crescita e ha trovato variazioni di singole proteine del sangue (Sackmann-Sala 2009, PMID 19386527). Si tratta di ricerca di base senza valore clinico.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Ricerca della dose (Teichman 2006), PMID 16352683</w:t>
            </w:r>
          </w:p>
        </w:tc>
        <w:tc>
          <w:tcPr/>
          <w:p>
            <w:pPr>
              <w:pStyle w:val="Compact"/>
              <w:jc w:val="left"/>
            </w:pPr>
            <w:r>
              <w:t xml:space="preserve">adulti sani 21–61 anni, due RCT contro placebo, dosi crescenti</w:t>
            </w:r>
          </w:p>
        </w:tc>
        <w:tc>
          <w:tcPr/>
          <w:p>
            <w:pPr>
              <w:pStyle w:val="Compact"/>
              <w:jc w:val="left"/>
            </w:pPr>
            <w:r>
              <w:t xml:space="preserve">28 o 49 giorni</w:t>
            </w:r>
          </w:p>
        </w:tc>
        <w:tc>
          <w:tcPr/>
          <w:p>
            <w:pPr>
              <w:pStyle w:val="Compact"/>
              <w:jc w:val="left"/>
            </w:pPr>
            <w:r>
              <w:t xml:space="preserve">GH aumentato da 2 a 10 volte, IGF-1 da 1,5 a 3 volte; emivita 5,8–8,1 giorni</w:t>
            </w:r>
          </w:p>
        </w:tc>
      </w:tr>
      <w:tr>
        <w:tc>
          <w:tcPr/>
          <w:p>
            <w:pPr>
              <w:pStyle w:val="Compact"/>
              <w:jc w:val="left"/>
            </w:pPr>
            <w:r>
              <w:t xml:space="preserve">Pulsatilità del GH (Ionescu 2006), PMID 17018654</w:t>
            </w:r>
          </w:p>
        </w:tc>
        <w:tc>
          <w:tcPr/>
          <w:p>
            <w:pPr>
              <w:pStyle w:val="Compact"/>
              <w:jc w:val="left"/>
            </w:pPr>
            <w:r>
              <w:t xml:space="preserve">uomini sani 20–40 anni, confronto prima-dopo</w:t>
            </w:r>
          </w:p>
        </w:tc>
        <w:tc>
          <w:tcPr/>
          <w:p>
            <w:pPr>
              <w:pStyle w:val="Compact"/>
              <w:jc w:val="left"/>
            </w:pPr>
            <w:r>
              <w:t xml:space="preserve">1 settimana dopo dose singola</w:t>
            </w:r>
          </w:p>
        </w:tc>
        <w:tc>
          <w:tcPr/>
          <w:p>
            <w:pPr>
              <w:pStyle w:val="Compact"/>
              <w:jc w:val="left"/>
            </w:pPr>
            <w:r>
              <w:t xml:space="preserve">impulsi mantenuti, GH di base ×7,5, IGF-1 +45%</w:t>
            </w:r>
          </w:p>
        </w:tc>
      </w:tr>
      <w:tr>
        <w:tc>
          <w:tcPr/>
          <w:p>
            <w:pPr>
              <w:pStyle w:val="Compact"/>
              <w:jc w:val="left"/>
            </w:pPr>
            <w:r>
              <w:t xml:space="preserve">Grasso addominale nell’HIV, NCT00267527</w:t>
            </w:r>
          </w:p>
        </w:tc>
        <w:tc>
          <w:tcPr/>
          <w:p>
            <w:pPr>
              <w:pStyle w:val="Compact"/>
              <w:jc w:val="left"/>
            </w:pPr>
            <w:r>
              <w:t xml:space="preserve">previste 120 persone, fase 2, RCT</w:t>
            </w:r>
          </w:p>
        </w:tc>
        <w:tc>
          <w:tcPr/>
          <w:p>
            <w:pPr>
              <w:pStyle w:val="Compact"/>
              <w:jc w:val="left"/>
            </w:pPr>
            <w:r>
              <w:t xml:space="preserve">previste 12 settimane</w:t>
            </w:r>
          </w:p>
        </w:tc>
        <w:tc>
          <w:tcPr/>
          <w:p>
            <w:pPr>
              <w:pStyle w:val="Compact"/>
              <w:jc w:val="left"/>
            </w:pPr>
            <w:r>
              <w:t xml:space="preserve">interrotto nel 2006; nessun risultato pubblicato</w:t>
            </w:r>
          </w:p>
        </w:tc>
      </w:tr>
    </w:tbl>
    <w:bookmarkStart w:id="495" w:name="X91f4910a568e01004268ac820db8812ffe38c5d"/>
    <w:p>
      <w:pPr>
        <w:pStyle w:val="Heading4"/>
      </w:pPr>
      <w:r>
        <w:t xml:space="preserve">Lo studio di fase 2 interrotto e il decesso riferito</w:t>
      </w:r>
    </w:p>
    <w:p>
      <w:pPr>
        <w:pStyle w:val="FirstParagraph"/>
      </w:pPr>
      <w:r>
        <w:t xml:space="preserve">Alla fine del 2005 ConjuChem ha avviato uno studio di fase 2 randomizzato e controllato con placebo con due dosi di CJC-1295 in persone con HIV e aumento del grasso addominale, cioè nello stesso campo d’impiego in cui più tardi è stata autorizzata la tesamorelina (NCT00267527). La voce di registro indica lo stato «interrotto» (ultimo aggiornamento ottobre 2006), ma nessun motivo dell’interruzione e nessun risultato.</w:t>
      </w:r>
    </w:p>
    <w:p>
      <w:pPr>
        <w:pStyle w:val="BodyText"/>
      </w:pPr>
      <w:r>
        <w:t xml:space="preserve">Nei forum online e in alcune rassegne si legge che lo studio sarebbe stato fermato dopo la morte di un partecipante.</w:t>
      </w:r>
      <w:r>
        <w:t xml:space="preserve"> </w:t>
      </w:r>
      <w:r>
        <w:rPr>
          <w:bCs/>
          <w:b/>
        </w:rPr>
        <w:t xml:space="preserve">Questo decesso non è documentato nelle fonti verificate per questo libro:</w:t>
      </w:r>
      <w:r>
        <w:t xml:space="preserve"> </w:t>
      </w:r>
      <w:r>
        <w:t xml:space="preserve">né la voce di registro né una pubblicazione in PubMed ne danno conto. Non è quindi possibile né confermare che sia avvenuto né valutare se fosse collegato al principio attivo. È documentato solo che lo studio è terminato anticipatamente e che il CJC-1295 non è stato poi ulteriormente sviluppato.</w:t>
      </w:r>
    </w:p>
    <w:bookmarkEnd w:id="495"/>
    <w:bookmarkEnd w:id="496"/>
    <w:bookmarkStart w:id="497" w:name="studi-su-animali-e-in-laboratorio-25"/>
    <w:p>
      <w:pPr>
        <w:pStyle w:val="Heading3"/>
      </w:pPr>
      <w:r>
        <w:t xml:space="preserve">Studi su animali e in laboratorio</w:t>
      </w:r>
    </w:p>
    <w:p>
      <w:pPr>
        <w:numPr>
          <w:ilvl w:val="0"/>
          <w:numId w:val="1156"/>
        </w:numPr>
        <w:pStyle w:val="Compact"/>
      </w:pPr>
      <w:r>
        <w:rPr>
          <w:bCs/>
          <w:b/>
        </w:rPr>
        <w:t xml:space="preserve">Ratti:</w:t>
      </w:r>
      <w:r>
        <w:t xml:space="preserve"> </w:t>
      </w:r>
      <w:r>
        <w:t xml:space="preserve">delle tre varianti con ancora all’albumina testate, il CJC-1295 ha rilasciato più ormone della crescita, nell’arco di due ore circa quattro volte quello del GRF(1-29) non modificato, ed è rimasto nel sangue per oltre 72 ore (Jetté 2005, PMID 15817669).</w:t>
      </w:r>
    </w:p>
    <w:p>
      <w:pPr>
        <w:numPr>
          <w:ilvl w:val="0"/>
          <w:numId w:val="1156"/>
        </w:numPr>
        <w:pStyle w:val="Compact"/>
      </w:pPr>
      <w:r>
        <w:rPr>
          <w:bCs/>
          <w:b/>
        </w:rPr>
        <w:t xml:space="preserve">Topi:</w:t>
      </w:r>
      <w:r>
        <w:t xml:space="preserve"> </w:t>
      </w:r>
      <w:r>
        <w:t xml:space="preserve">in topi privi di GHRH proprio, la somministrazione quotidiana ha normalizzato peso e lunghezza; la somministrazione ogni 48 o 72 ore non è bastata del tutto. Nell’ipofisi è aumentato il numero di cellule produttrici di GH (Alba 2006, PMID 16822960). Un aumento delle cellule ipofisarie è auspicabile quando si deve compensare una carenza; nelle persone sane il suo significato a lungo termine è sconosciuto.</w:t>
      </w:r>
    </w:p>
    <w:bookmarkEnd w:id="497"/>
    <w:bookmarkStart w:id="498" w:name="rischi-ed-effetti-collaterali-25"/>
    <w:p>
      <w:pPr>
        <w:pStyle w:val="Heading3"/>
      </w:pPr>
      <w:r>
        <w:t xml:space="preserve">Rischi ed effetti collaterali</w:t>
      </w:r>
    </w:p>
    <w:p>
      <w:pPr>
        <w:pStyle w:val="FirstParagraph"/>
      </w:pPr>
      <w:r>
        <w:rPr>
          <w:bCs/>
          <w:b/>
        </w:rPr>
        <w:t xml:space="preserve">Documentati dagli studi di fase 1:</w:t>
      </w:r>
      <w:r>
        <w:t xml:space="preserve"> </w:t>
      </w:r>
      <w:r>
        <w:t xml:space="preserve">nessun effetto collaterale grave in poche persone sane trattate per breve tempo; la tollerabilità è stata descritta come relativamente buona, soprattutto alle dosi più basse (Teichman 2006, PMID 16352683). Questa base di dati è troppo piccola per riconoscere rischi rari o a lungo termine.</w:t>
      </w:r>
    </w:p>
    <w:p>
      <w:pPr>
        <w:pStyle w:val="BodyText"/>
      </w:pPr>
      <w:r>
        <w:rPr>
          <w:bCs/>
          <w:b/>
        </w:rPr>
        <w:t xml:space="preserve">Plausibili, ma non studiati:</w:t>
      </w:r>
      <w:r>
        <w:t xml:space="preserve"> </w:t>
      </w:r>
      <w:r>
        <w:t xml:space="preserve">la variante DAC mantiene ormone della crescita e IGF-1 costantemente elevati per giorni. Conseguenze tipiche di livelli elevati di GH sono ritenzione idrica, dolori articolari, disturbi da tunnel carpale e un peggioramento della sensibilità all’insulina. Se un IGF-1 costantemente elevato aumenti a lungo termine il rischio di cancro non è stato studiato per il CJC-1295; per il quadro generale dei dati si veda l’introduzione di questo gruppo e la Parte IV.</w:t>
      </w:r>
    </w:p>
    <w:p>
      <w:pPr>
        <w:pStyle w:val="BodyText"/>
      </w:pPr>
      <w:r>
        <w:rPr>
          <w:bCs/>
          <w:b/>
        </w:rPr>
        <w:t xml:space="preserve">Mercato grigio:</w:t>
      </w:r>
      <w:r>
        <w:t xml:space="preserve"> </w:t>
      </w:r>
      <w:r>
        <w:t xml:space="preserve">già nel 2009 un laboratorio norvegese, su incarico di polizia e dogana, ha analizzato un preparato sconosciuto e ha trovato un peptide di 29 amminoacidi corrispondente alla sequenza venduta come CJC-1295 (Henninge 2010, PMID 21204297). Campioni della dogana danese contenevano «GRF 1-29 modificato» e mimetici della grelina con un amminoacido glicina aggiuntivo non dichiarato (Gajda 2019, PMID 30136411). Chi acquista non può quindi sapere se riceve la variante con o senza DAC, una molecola modificata o qualcosa di completamente diverso. Un’analisi di forum di bodybuilding mostra che anche donne usano il CJC-1295 per dimagrire, per la pelle o per il sonno, basandosi su resoconti di esperienze anziché su studi (Van Hout 2016, PMID 26771670).</w:t>
      </w:r>
    </w:p>
    <w:bookmarkEnd w:id="498"/>
    <w:bookmarkStart w:id="499" w:name="quadro-normativo-25"/>
    <w:p>
      <w:pPr>
        <w:pStyle w:val="Heading3"/>
      </w:pPr>
      <w:r>
        <w:t xml:space="preserve">Quadro normativo</w:t>
      </w:r>
    </w:p>
    <w:p>
      <w:pPr>
        <w:pStyle w:val="FirstParagraph"/>
      </w:pPr>
      <w:r>
        <w:rPr>
          <w:iCs/>
          <w:i/>
        </w:rPr>
        <w:t xml:space="preserve">Aggiornato al 2026, da verificare.</w:t>
      </w:r>
    </w:p>
    <w:p>
      <w:pPr>
        <w:numPr>
          <w:ilvl w:val="0"/>
          <w:numId w:val="1157"/>
        </w:numPr>
        <w:pStyle w:val="Compact"/>
      </w:pPr>
      <w:r>
        <w:rPr>
          <w:bCs/>
          <w:b/>
        </w:rPr>
        <w:t xml:space="preserve">UE, Germania, Austria:</w:t>
      </w:r>
      <w:r>
        <w:t xml:space="preserve"> </w:t>
      </w:r>
      <w:r>
        <w:t xml:space="preserve">nessuna autorizzazione. Il CJC-1295 è un principio attivo non autorizzato; cessione e commercio per uso umano non sono consentiti dalle leggi sui medicinali, anche quando i prodotti sono dichiarati come «research peptide».</w:t>
      </w:r>
    </w:p>
    <w:p>
      <w:pPr>
        <w:numPr>
          <w:ilvl w:val="0"/>
          <w:numId w:val="1157"/>
        </w:numPr>
        <w:pStyle w:val="Compact"/>
      </w:pPr>
      <w:r>
        <w:rPr>
          <w:bCs/>
          <w:b/>
        </w:rPr>
        <w:t xml:space="preserve">USA:</w:t>
      </w:r>
      <w:r>
        <w:t xml:space="preserve"> </w:t>
      </w:r>
      <w:r>
        <w:t xml:space="preserve">nessuna autorizzazione. La FDA ha classificato il CJC-1295, come diversi altri peptidi di questo libro, tra le sostanze di partenza per le farmacie galeniche come sostanza con problemi di sicurezza (categoria 2). Da allora queste classificazioni sono state discusse in modo controverso nel comitato consultivo competente e negli ambienti specialistici (Willis 2026, PMID 42752426); sono possibili modifiche.</w:t>
      </w:r>
    </w:p>
    <w:p>
      <w:pPr>
        <w:numPr>
          <w:ilvl w:val="0"/>
          <w:numId w:val="1157"/>
        </w:numPr>
        <w:pStyle w:val="Compact"/>
      </w:pPr>
      <w:r>
        <w:rPr>
          <w:bCs/>
          <w:b/>
        </w:rPr>
        <w:t xml:space="preserve">WADA:</w:t>
      </w:r>
      <w:r>
        <w:t xml:space="preserve"> </w:t>
      </w:r>
      <w:r>
        <w:t xml:space="preserve">vietato (S2). Sono stati descritti metodi per rilevare nelle urine il CJC-1295 con e senza DAC (Memdouh 2021, PMID 34665524); viene ricercato anche negli sport equestri (Timms 2019, PMID 30938069).</w:t>
      </w:r>
    </w:p>
    <w:bookmarkEnd w:id="499"/>
    <w:bookmarkStart w:id="500" w:name="studi-in-corso-e-prospettive-25"/>
    <w:p>
      <w:pPr>
        <w:pStyle w:val="Heading3"/>
      </w:pPr>
      <w:r>
        <w:t xml:space="preserve">Studi in corso e prospettive</w:t>
      </w:r>
    </w:p>
    <w:p>
      <w:pPr>
        <w:pStyle w:val="FirstParagraph"/>
      </w:pPr>
      <w:r>
        <w:t xml:space="preserve">Su ClinicalTrials.gov a ottobre 2026, oltre allo studio di fase 2 interrotto nel 2006, non risulta alcuna voce sul CJC-1295.</w:t>
      </w:r>
      <w:r>
        <w:t xml:space="preserve"> </w:t>
      </w:r>
      <w:r>
        <w:rPr>
          <w:iCs/>
          <w:i/>
        </w:rPr>
        <w:t xml:space="preserve">Valutazione dell’autore:</w:t>
      </w:r>
      <w:r>
        <w:t xml:space="preserve"> </w:t>
      </w:r>
      <w:r>
        <w:t xml:space="preserve">non si intravede un ulteriore sviluppo clinico. Il principio «peptide con ancora all’albumina per un effetto più lungo» sopravvive invece in altri principi attivi, per esempio nei preparati di ormone della crescita a lunga durata d’azione e nei farmaci GLP-1.</w:t>
      </w:r>
    </w:p>
    <w:bookmarkEnd w:id="500"/>
    <w:bookmarkStart w:id="501" w:name="conclusione-25"/>
    <w:p>
      <w:pPr>
        <w:pStyle w:val="Heading3"/>
      </w:pPr>
      <w:r>
        <w:t xml:space="preserve">Conclusione</w:t>
      </w:r>
    </w:p>
    <w:p>
      <w:pPr>
        <w:pStyle w:val="FirstParagraph"/>
      </w:pPr>
      <w:r>
        <w:t xml:space="preserve">Il CJC-1295 con DAC aumenta nelle persone sane l’ormone della crescita e l’IGF-1 per una o due settimane dopo una singola iniezione; nell’uomo non è stato studiato altro. L’unico studio su pazienti è stato interrotto nel 2006 senza un motivo pubblicato; un decesso spesso affermato non è documentato né nel registro né nella letteratura specialistica. Per la variante senza DAC, la più venduta in internet, non esiste nemmeno uno studio sull’uomo, e le analisi di laboratorio mostrano che il contenuto dei prodotti del mercato grigio è incerto.</w:t>
      </w:r>
    </w:p>
    <w:bookmarkEnd w:id="501"/>
    <w:bookmarkEnd w:id="502"/>
    <w:bookmarkStart w:id="511" w:name="ipamorelina"/>
    <w:p>
      <w:pPr>
        <w:pStyle w:val="Heading2"/>
      </w:pPr>
      <w:r>
        <w:t xml:space="preserve">Ipamorelina</w:t>
      </w:r>
    </w:p>
    <w:p>
      <w:pPr>
        <w:pStyle w:val="FirstParagraph"/>
      </w:pPr>
      <w:r>
        <w:t xml:space="preserve">Negli ambienti del fitness e dell’anti-aging l’ipamorelina è considerata il secretagogo «pulito» dell’ormone della crescita: dovrebbe rilasciare in modo mirato ormone della crescita senza stimolare ormoni dello stress e appetito. Questa proprietà deriva da esperimenti sugli animali degli anni Novanta. Nell’uomo l’ipamorelina è stata effettivamente sperimentata in clinica, ma non per la crescita muscolare o il ringiovanimento, bensì per qualcosa di completamente diverso: la paralisi intestinale dopo interventi addominali. Lì non ha portato alcun beneficio dimostrabile.</w:t>
      </w:r>
    </w:p>
    <w:bookmarkStart w:id="503" w:name="scheda-26"/>
    <w:p>
      <w:pPr>
        <w:pStyle w:val="Heading3"/>
      </w:pPr>
      <w:r>
        <w:t xml:space="preserve">Scheda</w:t>
      </w:r>
    </w:p>
    <w:p>
      <w:pPr>
        <w:numPr>
          <w:ilvl w:val="0"/>
          <w:numId w:val="1158"/>
        </w:numPr>
        <w:pStyle w:val="Compact"/>
      </w:pPr>
      <w:r>
        <w:rPr>
          <w:bCs/>
          <w:b/>
        </w:rPr>
        <w:t xml:space="preserve">Tipo e struttura:</w:t>
      </w:r>
      <w:r>
        <w:t xml:space="preserve"> </w:t>
      </w:r>
      <w:r>
        <w:t xml:space="preserve">pentapeptide sintetico (5 amminoacidi, in parte non naturali: Aib-His-D-2-Nal-D-Phe-Lys-NH2) (Raun 1998, PMID 9849822).</w:t>
      </w:r>
    </w:p>
    <w:p>
      <w:pPr>
        <w:numPr>
          <w:ilvl w:val="0"/>
          <w:numId w:val="1158"/>
        </w:numPr>
        <w:pStyle w:val="Compact"/>
      </w:pPr>
      <w:r>
        <w:rPr>
          <w:bCs/>
          <w:b/>
        </w:rPr>
        <w:t xml:space="preserve">Origine:</w:t>
      </w:r>
      <w:r>
        <w:t xml:space="preserve"> </w:t>
      </w:r>
      <w:r>
        <w:t xml:space="preserve">sviluppata da Novo Nordisk (Danimarca) a partire dalla famiglia dei peptidi che rilasciano l’ormone della crescita (GHRP); in seguito sviluppata ulteriormente da Helsinn per l’ambito gastrointestinale.</w:t>
      </w:r>
    </w:p>
    <w:p>
      <w:pPr>
        <w:numPr>
          <w:ilvl w:val="0"/>
          <w:numId w:val="1158"/>
        </w:numPr>
        <w:pStyle w:val="Compact"/>
      </w:pPr>
      <w:r>
        <w:rPr>
          <w:bCs/>
          <w:b/>
        </w:rPr>
        <w:t xml:space="preserve">Principio d’azione:</w:t>
      </w:r>
      <w:r>
        <w:t xml:space="preserve"> </w:t>
      </w:r>
      <w:r>
        <w:t xml:space="preserve">si lega al recettore della grelina (GHS-R1a) nell’ipofisi e nel diencefalo, nonché nel tratto gastrointestinale; provoca un breve picco di ormone della crescita e dovrebbe stimolare la motilità intestinale.</w:t>
      </w:r>
    </w:p>
    <w:p>
      <w:pPr>
        <w:numPr>
          <w:ilvl w:val="0"/>
          <w:numId w:val="1158"/>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58"/>
        </w:numPr>
        <w:pStyle w:val="Compact"/>
      </w:pPr>
      <w:r>
        <w:rPr>
          <w:bCs/>
          <w:b/>
        </w:rPr>
        <w:t xml:space="preserve">WADA:</w:t>
      </w:r>
      <w:r>
        <w:t xml:space="preserve"> </w:t>
      </w:r>
      <w:r>
        <w:t xml:space="preserve">vietata, classe S2 (secretagoghi dell’ormone della crescita; l’ipamorelina è espressamente citata).</w:t>
      </w:r>
    </w:p>
    <w:p>
      <w:pPr>
        <w:numPr>
          <w:ilvl w:val="0"/>
          <w:numId w:val="1158"/>
        </w:numPr>
        <w:pStyle w:val="Compact"/>
      </w:pPr>
      <w:r>
        <w:rPr>
          <w:bCs/>
          <w:b/>
        </w:rPr>
        <w:t xml:space="preserve">Livello di evidenza: B</w:t>
      </w:r>
      <w:r>
        <w:t xml:space="preserve"> </w:t>
      </w:r>
      <w:r>
        <w:t xml:space="preserve">– uno studio randomizzato di fase 2 con 117 persone (senza prova di efficacia) e un piccolo studio farmacologico su persone sane; un secondo studio di fase 2 è concluso, ma non pubblicato.</w:t>
      </w:r>
    </w:p>
    <w:bookmarkEnd w:id="503"/>
    <w:bookmarkStart w:id="504" w:name="come-dovrebbe-agire-26"/>
    <w:p>
      <w:pPr>
        <w:pStyle w:val="Heading3"/>
      </w:pPr>
      <w:r>
        <w:t xml:space="preserve">Come dovrebbe agire</w:t>
      </w:r>
    </w:p>
    <w:p>
      <w:pPr>
        <w:pStyle w:val="FirstParagraph"/>
      </w:pPr>
      <w:r>
        <w:t xml:space="preserve">Il recettore della grelina è la seconda grande leva per la secrezione dell’ormone della crescita accanto al recettore del GHRH. La sua chiave naturale è la grelina, un ormone dello stomaco scoperto nel 1999 (Kojima 1999, PMID 10604470). La grelina non aumenta solo l’ormone della crescita, ma anche la fame, e stimola i movimenti di stomaco e intestino.</w:t>
      </w:r>
    </w:p>
    <w:p>
      <w:pPr>
        <w:pStyle w:val="BodyText"/>
      </w:pPr>
      <w:r>
        <w:t xml:space="preserve">I secretagoghi sintetici più vecchi, come GHRP-6 o GHRP-2, oltre all’ormone della crescita attivano anche il sistema degli ormoni dello stress (ACTH e cortisolo) e la prolattina. L’ipamorelina è stata sviluppata in modo mirato perché questo effetto secondario mancasse: nei maiali ha rilasciato ormone della crescita con un’intensità simile al GHRP-6, mentre ACTH e cortisolo, anche a dosi oltre 200 volte più alte, non sono aumentati più che con il GHRH (Raun 1998, PMID 9849822). Se questa selettività valga nella stessa misura nell’uomo non è stato studiato sistematicamente.</w:t>
      </w:r>
    </w:p>
    <w:p>
      <w:pPr>
        <w:pStyle w:val="BodyText"/>
      </w:pPr>
      <w:r>
        <w:t xml:space="preserve">In ambito clinico l’interesse riguardava soprattutto l’effetto sull’intestino: dopo interventi addominali l’attività intestinale si blocca spesso per giorni (ileo postoperatorio), il che prolunga la degenza ospedaliera. Un mimetico della grelina somministrabile per via endovenosa sembrava una soluzione elegante.</w:t>
      </w:r>
    </w:p>
    <w:bookmarkEnd w:id="504"/>
    <w:bookmarkStart w:id="505" w:name="studi-sulluomo-26"/>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w:t>
      </w:r>
      <w:r>
        <w:t xml:space="preserve"> </w:t>
      </w:r>
      <w:r>
        <w:t xml:space="preserve">studi sull’uomo in PubMed (</w:t>
      </w:r>
      <w:r>
        <w:rPr>
          <w:rStyle w:val="VerbatimChar"/>
        </w:rPr>
        <w:t xml:space="preserve">humanstudien_alle</w:t>
      </w:r>
      <w:r>
        <w:t xml:space="preserve">) e</w:t>
      </w:r>
      <w:r>
        <w:t xml:space="preserve"> </w:t>
      </w:r>
      <w:r>
        <w:rPr>
          <w:bCs/>
          <w:b/>
        </w:rPr>
        <w:t xml:space="preserve">3</w:t>
      </w:r>
      <w:r>
        <w:t xml:space="preserve"> </w:t>
      </w:r>
      <w:r>
        <w:t xml:space="preserve">voci su ClinicalTrials.gov. Una di queste voci di registro (NCT07717866) riguarda uno studio osservazionale sugli psichedelici nei veterani e non esamina l’ipamorelina come farmaco sperimentale; lì viene solo elencata come uno dei vari componenti di una «integrazione fisiologica» (accanto a testosterone, olio di pesce e vitamine). Clinicamente rilevanti sono quindi due studi sull’ileo postoperatorio.</w:t>
      </w:r>
    </w:p>
    <w:p>
      <w:pPr>
        <w:pStyle w:val="BodyText"/>
      </w:pPr>
      <w:r>
        <w:rPr>
          <w:bCs/>
          <w:b/>
        </w:rPr>
        <w:t xml:space="preserve">Farmacologia in persone sane:</w:t>
      </w:r>
      <w:r>
        <w:t xml:space="preserve"> </w:t>
      </w:r>
      <w:r>
        <w:t xml:space="preserve">in uno studio a dosi crescenti, otto uomini sani per ogni livello di dose hanno ricevuto un’infusione di 15 minuti. L’ipamorelina aveva una breve emivita di circa 2 ore e a tutte le dosi provocava un singolo picco di GH, che raggiungeva il massimo dopo circa 40 minuti e poi calava rapidamente (Gobburu 1999, PMID 10496658).</w:t>
      </w:r>
    </w:p>
    <w:p>
      <w:pPr>
        <w:pStyle w:val="BodyText"/>
      </w:pPr>
      <w:r>
        <w:rPr>
          <w:bCs/>
          <w:b/>
        </w:rPr>
        <w:t xml:space="preserve">Ileo postoperatorio, primo studio di fase 2:</w:t>
      </w:r>
      <w:r>
        <w:t xml:space="preserve"> </w:t>
      </w:r>
      <w:r>
        <w:t xml:space="preserve">in uno studio multicentrico, in doppio cieco e controllato con placebo, 117 adulti dopo resezione dell’intestino tenue o crasso hanno ricevuto per un massimo di sette giorni, due volte al giorno, ipamorelina o placebo per infusione. Il tempo medio fino al primo pasto solido tollerato è stato di 25,3 ore con ipamorelina e di 32,6 ore con placebo, una differenza non statisticamente significativa (p = 0,15). Anche gli altri obiettivi di efficacia non differivano. Effetti collaterali si sono verificati nell’87,5% con ipamorelina e nel 94,8% con placebo, il che non è insolito dopo grandi interventi addominali (Beck 2014, PMID 25331030).</w:t>
      </w:r>
    </w:p>
    <w:p>
      <w:pPr>
        <w:pStyle w:val="BodyText"/>
      </w:pPr>
      <w:r>
        <w:rPr>
          <w:bCs/>
          <w:b/>
        </w:rPr>
        <w:t xml:space="preserve">Secondo studio di fase 2:</w:t>
      </w:r>
      <w:r>
        <w:t xml:space="preserve"> </w:t>
      </w:r>
      <w:r>
        <w:t xml:space="preserve">uno studio successivo più ampio, con 320 partecipanti, sul recupero della funzione gastrointestinale si è concluso nel 2014 (NCT01280344). Non ho trovato in PubMed una pubblicazione dei risultati, e la voce di registro non contiene risultati. Dopo di allora lo sviluppo non è proseguito.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Farmacologia (Gobburu 1999), PMID 10496658</w:t>
            </w:r>
          </w:p>
        </w:tc>
        <w:tc>
          <w:tcPr/>
          <w:p>
            <w:pPr>
              <w:pStyle w:val="Compact"/>
              <w:jc w:val="left"/>
            </w:pPr>
            <w:r>
              <w:t xml:space="preserve">uomini sani, 5 livelli di dose da 8 persone ciascuno</w:t>
            </w:r>
          </w:p>
        </w:tc>
        <w:tc>
          <w:tcPr/>
          <w:p>
            <w:pPr>
              <w:pStyle w:val="Compact"/>
              <w:jc w:val="left"/>
            </w:pPr>
            <w:r>
              <w:t xml:space="preserve">infusione singola</w:t>
            </w:r>
          </w:p>
        </w:tc>
        <w:tc>
          <w:tcPr/>
          <w:p>
            <w:pPr>
              <w:pStyle w:val="Compact"/>
              <w:jc w:val="left"/>
            </w:pPr>
            <w:r>
              <w:t xml:space="preserve">emivita circa 2 h; un picco di GH per somministrazione</w:t>
            </w:r>
          </w:p>
        </w:tc>
      </w:tr>
      <w:tr>
        <w:tc>
          <w:tcPr/>
          <w:p>
            <w:pPr>
              <w:pStyle w:val="Compact"/>
              <w:jc w:val="left"/>
            </w:pPr>
            <w:r>
              <w:t xml:space="preserve">Studio sull’ileo 1 (Beck 2014), PMID 25331030</w:t>
            </w:r>
          </w:p>
        </w:tc>
        <w:tc>
          <w:tcPr/>
          <w:p>
            <w:pPr>
              <w:pStyle w:val="Compact"/>
              <w:jc w:val="left"/>
            </w:pPr>
            <w:r>
              <w:t xml:space="preserve">117 adulti dopo resezione intestinale, RCT contro placebo</w:t>
            </w:r>
          </w:p>
        </w:tc>
        <w:tc>
          <w:tcPr/>
          <w:p>
            <w:pPr>
              <w:pStyle w:val="Compact"/>
              <w:jc w:val="left"/>
            </w:pPr>
            <w:r>
              <w:t xml:space="preserve">fino a 7 giorni</w:t>
            </w:r>
          </w:p>
        </w:tc>
        <w:tc>
          <w:tcPr/>
          <w:p>
            <w:pPr>
              <w:pStyle w:val="Compact"/>
              <w:jc w:val="left"/>
            </w:pPr>
            <w:r>
              <w:t xml:space="preserve">25,3 vs. 32,6 h fino al primo pasto, non significativo</w:t>
            </w:r>
          </w:p>
        </w:tc>
      </w:tr>
      <w:tr>
        <w:tc>
          <w:tcPr/>
          <w:p>
            <w:pPr>
              <w:pStyle w:val="Compact"/>
              <w:jc w:val="left"/>
            </w:pPr>
            <w:r>
              <w:t xml:space="preserve">Studio sull’ileo 2, NCT01280344</w:t>
            </w:r>
          </w:p>
        </w:tc>
        <w:tc>
          <w:tcPr/>
          <w:p>
            <w:pPr>
              <w:pStyle w:val="Compact"/>
              <w:jc w:val="left"/>
            </w:pPr>
            <w:r>
              <w:t xml:space="preserve">320 adulti, fase 2 contro placebo</w:t>
            </w:r>
          </w:p>
        </w:tc>
        <w:tc>
          <w:tcPr/>
          <w:p>
            <w:pPr>
              <w:pStyle w:val="Compact"/>
              <w:jc w:val="left"/>
            </w:pPr>
            <w:r>
              <w:t xml:space="preserve">–</w:t>
            </w:r>
          </w:p>
        </w:tc>
        <w:tc>
          <w:tcPr/>
          <w:p>
            <w:pPr>
              <w:pStyle w:val="Compact"/>
              <w:jc w:val="left"/>
            </w:pPr>
            <w:r>
              <w:t xml:space="preserve">concluso nel 2014, risultati non pubblicati</w:t>
            </w:r>
          </w:p>
        </w:tc>
      </w:tr>
    </w:tbl>
    <w:p>
      <w:pPr>
        <w:pStyle w:val="BodyText"/>
      </w:pPr>
      <w:r>
        <w:rPr>
          <w:bCs/>
          <w:b/>
        </w:rPr>
        <w:t xml:space="preserve">Non esiste</w:t>
      </w:r>
      <w:r>
        <w:t xml:space="preserve"> </w:t>
      </w:r>
      <w:r>
        <w:t xml:space="preserve">alcuno studio pubblicato che abbia esaminato l’ipamorelina in adulti sani, sportive e sportivi o persone anziane riguardo a massa muscolare, perdita di grasso, sonno, pelle o prestazioni.</w:t>
      </w:r>
    </w:p>
    <w:bookmarkEnd w:id="505"/>
    <w:bookmarkStart w:id="506" w:name="studi-su-animali-e-in-laboratorio-26"/>
    <w:p>
      <w:pPr>
        <w:pStyle w:val="Heading3"/>
      </w:pPr>
      <w:r>
        <w:t xml:space="preserve">Studi su animali e in laboratorio</w:t>
      </w:r>
    </w:p>
    <w:p>
      <w:pPr>
        <w:numPr>
          <w:ilvl w:val="0"/>
          <w:numId w:val="1159"/>
        </w:numPr>
        <w:pStyle w:val="Compact"/>
      </w:pPr>
      <w:r>
        <w:rPr>
          <w:bCs/>
          <w:b/>
        </w:rPr>
        <w:t xml:space="preserve">Intestino (ratti):</w:t>
      </w:r>
      <w:r>
        <w:t xml:space="preserve"> </w:t>
      </w:r>
      <w:r>
        <w:t xml:space="preserve">in ratti con paralisi intestinale indotta chirurgicamente, una dose singola di ipamorelina ha accorciato il tempo fino alla prima defecazione; somministrazioni ripetute hanno aumentato quantità di feci, assunzione di cibo e aumento di peso (Venkova 2009, PMID 19289567). Questi risultati sono stati la base degli studi sull’ileo nell’uomo, che non hanno confermato l’effetto.</w:t>
      </w:r>
    </w:p>
    <w:p>
      <w:pPr>
        <w:numPr>
          <w:ilvl w:val="0"/>
          <w:numId w:val="1159"/>
        </w:numPr>
        <w:pStyle w:val="Compact"/>
      </w:pPr>
      <w:r>
        <w:rPr>
          <w:bCs/>
          <w:b/>
        </w:rPr>
        <w:t xml:space="preserve">Ossa (ratti):</w:t>
      </w:r>
      <w:r>
        <w:t xml:space="preserve"> </w:t>
      </w:r>
      <w:r>
        <w:t xml:space="preserve">in ratte adulte l’ipamorelina ha aumentato in modo dose-dipendente, nell’arco di 15 giorni, la crescita in lunghezza delle ossa e l’aumento di peso, senza innalzare in modo misurabile l’IGF-1 (Johansen 1999, PMID 10373343).</w:t>
      </w:r>
    </w:p>
    <w:p>
      <w:pPr>
        <w:numPr>
          <w:ilvl w:val="0"/>
          <w:numId w:val="1159"/>
        </w:numPr>
        <w:pStyle w:val="Compact"/>
      </w:pPr>
      <w:r>
        <w:rPr>
          <w:bCs/>
          <w:b/>
        </w:rPr>
        <w:t xml:space="preserve">Selettività (maiali, cellule di ratto):</w:t>
      </w:r>
      <w:r>
        <w:t xml:space="preserve"> </w:t>
      </w:r>
      <w:r>
        <w:t xml:space="preserve">si veda sopra (Raun 1998, PMID 9849822).</w:t>
      </w:r>
    </w:p>
    <w:bookmarkEnd w:id="506"/>
    <w:bookmarkStart w:id="507" w:name="rischi-ed-effetti-collaterali-26"/>
    <w:p>
      <w:pPr>
        <w:pStyle w:val="Heading3"/>
      </w:pPr>
      <w:r>
        <w:t xml:space="preserve">Rischi ed effetti collaterali</w:t>
      </w:r>
    </w:p>
    <w:p>
      <w:pPr>
        <w:pStyle w:val="FirstParagraph"/>
      </w:pPr>
      <w:r>
        <w:rPr>
          <w:bCs/>
          <w:b/>
        </w:rPr>
        <w:t xml:space="preserve">Documentati:</w:t>
      </w:r>
      <w:r>
        <w:t xml:space="preserve"> </w:t>
      </w:r>
      <w:r>
        <w:t xml:space="preserve">nello studio sull’ileo l’ipamorelina è stata descritta come ben tollerata per un massimo di sette giorni, senza un accumulo di effetti collaterali rispetto al placebo (Beck 2014, PMID 25331030). Si tratta di un impiego breve in ospedale con somministrazione endovenosa.</w:t>
      </w:r>
    </w:p>
    <w:p>
      <w:pPr>
        <w:pStyle w:val="BodyText"/>
      </w:pPr>
      <w:r>
        <w:rPr>
          <w:bCs/>
          <w:b/>
        </w:rPr>
        <w:t xml:space="preserve">Sconosciuti:</w:t>
      </w:r>
      <w:r>
        <w:t xml:space="preserve"> </w:t>
      </w:r>
      <w:r>
        <w:t xml:space="preserve">non esistono dati sull’uso ripetuto per settimane o mesi, come descritto in internet. In teoria ci si devono attendere gli effetti di livelli elevati di GH (ritenzione idrica, disturbi articolari, ridotta sensibilità all’insulina) e, tramite il recettore della grelina, un aumento dell’appetito. Sulla questione di un rischio di cancro dovuto a un IGF-1 costantemente elevato si veda l’introduzione di questo gruppo e la Parte IV.</w:t>
      </w:r>
    </w:p>
    <w:p>
      <w:pPr>
        <w:pStyle w:val="BodyText"/>
      </w:pPr>
      <w:r>
        <w:rPr>
          <w:bCs/>
          <w:b/>
        </w:rPr>
        <w:t xml:space="preserve">Mercato grigio:</w:t>
      </w:r>
      <w:r>
        <w:t xml:space="preserve"> </w:t>
      </w:r>
      <w:r>
        <w:t xml:space="preserve">analisi di laboratorio di prodotti sequestrati hanno trovato «Gly-ipamorelina», cioè ipamorelina con un amminoacido aggiuntivo non dichiarato all’inizio, presumibilmente per eludere i test antidoping (Krug 2018, PMID 29864719; Gajda 2019, PMID 30136411). Come si comportino tali modifiche nell’organismo è sconosciuto.</w:t>
      </w:r>
    </w:p>
    <w:bookmarkEnd w:id="507"/>
    <w:bookmarkStart w:id="508" w:name="quadro-normativo-26"/>
    <w:p>
      <w:pPr>
        <w:pStyle w:val="Heading3"/>
      </w:pPr>
      <w:r>
        <w:t xml:space="preserve">Quadro normativo</w:t>
      </w:r>
    </w:p>
    <w:p>
      <w:pPr>
        <w:pStyle w:val="FirstParagraph"/>
      </w:pPr>
      <w:r>
        <w:rPr>
          <w:iCs/>
          <w:i/>
        </w:rPr>
        <w:t xml:space="preserve">Aggiornato al 2026, da verificare.</w:t>
      </w:r>
    </w:p>
    <w:p>
      <w:pPr>
        <w:numPr>
          <w:ilvl w:val="0"/>
          <w:numId w:val="1160"/>
        </w:numPr>
        <w:pStyle w:val="Compact"/>
      </w:pPr>
      <w:r>
        <w:rPr>
          <w:bCs/>
          <w:b/>
        </w:rPr>
        <w:t xml:space="preserve">UE, Germania, Austria:</w:t>
      </w:r>
      <w:r>
        <w:t xml:space="preserve"> </w:t>
      </w:r>
      <w:r>
        <w:t xml:space="preserve">nessuna autorizzazione; cessione per uso umano non consentita.</w:t>
      </w:r>
    </w:p>
    <w:p>
      <w:pPr>
        <w:numPr>
          <w:ilvl w:val="0"/>
          <w:numId w:val="1160"/>
        </w:numPr>
        <w:pStyle w:val="Compact"/>
      </w:pPr>
      <w:r>
        <w:rPr>
          <w:bCs/>
          <w:b/>
        </w:rPr>
        <w:t xml:space="preserve">USA:</w:t>
      </w:r>
      <w:r>
        <w:t xml:space="preserve"> </w:t>
      </w:r>
      <w:r>
        <w:t xml:space="preserve">nessuna autorizzazione. La FDA ha classificato l’ipamorelina tra le sostanze di partenza per le farmacie galeniche come sostanza con problemi di sicurezza (categoria 2); da allora la classificazione dei peptidi è oggetto di discussioni controverse (Willis 2026, PMID 42752426).</w:t>
      </w:r>
    </w:p>
    <w:p>
      <w:pPr>
        <w:numPr>
          <w:ilvl w:val="0"/>
          <w:numId w:val="1160"/>
        </w:numPr>
        <w:pStyle w:val="Compact"/>
      </w:pPr>
      <w:r>
        <w:rPr>
          <w:bCs/>
          <w:b/>
        </w:rPr>
        <w:t xml:space="preserve">WADA:</w:t>
      </w:r>
      <w:r>
        <w:t xml:space="preserve"> </w:t>
      </w:r>
      <w:r>
        <w:t xml:space="preserve">vietata (S2), in gara e fuori gara. L’ipamorelina e i suoi prodotti di degradazione sono rilevabili nelle urine, anche dopo l’uso come spray nasale (Semenistaya 2015, PMID 25869809).</w:t>
      </w:r>
    </w:p>
    <w:bookmarkEnd w:id="508"/>
    <w:bookmarkStart w:id="509" w:name="studi-in-corso-e-prospettive-26"/>
    <w:p>
      <w:pPr>
        <w:pStyle w:val="Heading3"/>
      </w:pPr>
      <w:r>
        <w:t xml:space="preserve">Studi in corso e prospettive</w:t>
      </w:r>
    </w:p>
    <w:p>
      <w:pPr>
        <w:pStyle w:val="FirstParagraph"/>
      </w:pPr>
      <w:r>
        <w:t xml:space="preserve">Su ClinicalTrials.gov a ottobre 2026 non risulta alcuno studio in corso che esamini l’ipamorelina come farmaco sperimentale.</w:t>
      </w:r>
      <w:r>
        <w:t xml:space="preserve"> </w:t>
      </w:r>
      <w:r>
        <w:rPr>
          <w:iCs/>
          <w:i/>
        </w:rPr>
        <w:t xml:space="preserve">Valutazione dell’autore:</w:t>
      </w:r>
      <w:r>
        <w:t xml:space="preserve"> </w:t>
      </w:r>
      <w:r>
        <w:t xml:space="preserve">dopo il risultato negativo nell’ileo postoperatorio manca un’azienda che porti avanti lo sviluppo della sostanza. Nuovi dati sono attesi semmai da casi clinici relativi a usi del mercato grigio.</w:t>
      </w:r>
    </w:p>
    <w:bookmarkEnd w:id="509"/>
    <w:bookmarkStart w:id="510" w:name="conclusione-26"/>
    <w:p>
      <w:pPr>
        <w:pStyle w:val="Heading3"/>
      </w:pPr>
      <w:r>
        <w:t xml:space="preserve">Conclusione</w:t>
      </w:r>
    </w:p>
    <w:p>
      <w:pPr>
        <w:pStyle w:val="FirstParagraph"/>
      </w:pPr>
      <w:r>
        <w:t xml:space="preserve">L’ipamorelina è un agonista del recettore della grelina sviluppato in modo mirato che negli animali rilascia ormone della crescita senza una secrezione rilevante di ormoni dello stress. L’unico studio di efficacia pubblicato nell’uomo, su 117 pazienti dopo interventi intestinali, non ha trovato alcun beneficio significativo; uno studio successivo più ampio è rimasto inedito. Per gli impieghi pubblicizzati in internet (crescita muscolare, perdita di grasso, sonno, anti-aging) non esistono studi sull’uomo, e i prodotti del mercato grigio contengono, come dimostrato, anche molecole modificate.</w:t>
      </w:r>
    </w:p>
    <w:bookmarkEnd w:id="510"/>
    <w:bookmarkEnd w:id="511"/>
    <w:bookmarkStart w:id="523" w:name="ghrp-2-pralmorelina"/>
    <w:p>
      <w:pPr>
        <w:pStyle w:val="Heading2"/>
      </w:pPr>
      <w:r>
        <w:t xml:space="preserve">GHRP-2 (pralmorelina)</w:t>
      </w:r>
    </w:p>
    <w:p>
      <w:pPr>
        <w:pStyle w:val="FirstParagraph"/>
      </w:pPr>
      <w:r>
        <w:t xml:space="preserve">Il GHRP-2 è un piccolo peptide artificiale di sei amminoacidi che stimola l’ipofisi a secernere ormone della crescita con più forza di quasi qualsiasi altro stimolo conosciuto. Questa potenza ne ha fatto in Giappone un medicinale autorizzato, non come terapia, ma come sostanza per test: con una singola iniezione si può verificare se un adulto ha un deficit di ormone della crescita. Sul mercato grigio lo stesso peptide viene venduto come «peptide per i muscoli e anti-aging». Non ci sono prove a sostegno.</w:t>
      </w:r>
    </w:p>
    <w:bookmarkStart w:id="512" w:name="scheda-27"/>
    <w:p>
      <w:pPr>
        <w:pStyle w:val="Heading3"/>
      </w:pPr>
      <w:r>
        <w:t xml:space="preserve">Scheda</w:t>
      </w:r>
    </w:p>
    <w:p>
      <w:pPr>
        <w:numPr>
          <w:ilvl w:val="0"/>
          <w:numId w:val="1161"/>
        </w:numPr>
        <w:pStyle w:val="Compact"/>
      </w:pPr>
      <w:r>
        <w:rPr>
          <w:bCs/>
          <w:b/>
        </w:rPr>
        <w:t xml:space="preserve">Tipo e struttura:</w:t>
      </w:r>
      <w:r>
        <w:t xml:space="preserve"> </w:t>
      </w:r>
      <w:r>
        <w:t xml:space="preserve">esapeptide sintetico (D-Ala-D-2-Nal-Ala-Trp-D-Phe-Lys-NH2) con diversi amminoacidi non naturali; nomi di sviluppo KP-102 e GPA-748, denominazione comune internazionale pralmorelina (Doi 2004, PMID 15646370).</w:t>
      </w:r>
    </w:p>
    <w:p>
      <w:pPr>
        <w:numPr>
          <w:ilvl w:val="0"/>
          <w:numId w:val="1161"/>
        </w:numPr>
        <w:pStyle w:val="Compact"/>
      </w:pPr>
      <w:r>
        <w:rPr>
          <w:bCs/>
          <w:b/>
        </w:rPr>
        <w:t xml:space="preserve">Origine:</w:t>
      </w:r>
      <w:r>
        <w:t xml:space="preserve"> </w:t>
      </w:r>
      <w:r>
        <w:t xml:space="preserve">sviluppato negli anni Novanta dalla serie di peptidi che rilasciano GH avviata da Cyril Bowers (Tulane University, USA); diritti a Kaken (Giappone) (profilo anonimo del principio attivo in Drugs R D 2004, PMID 15230633).</w:t>
      </w:r>
    </w:p>
    <w:p>
      <w:pPr>
        <w:numPr>
          <w:ilvl w:val="0"/>
          <w:numId w:val="1161"/>
        </w:numPr>
        <w:pStyle w:val="Compact"/>
      </w:pPr>
      <w:r>
        <w:rPr>
          <w:bCs/>
          <w:b/>
        </w:rPr>
        <w:t xml:space="preserve">Principio d’azione:</w:t>
      </w:r>
      <w:r>
        <w:t xml:space="preserve"> </w:t>
      </w:r>
      <w:r>
        <w:t xml:space="preserve">agonista del recettore della grelina (GHS-R1a) nell’ipofisi e nel diencefalo; rilascia ormone della crescita e, in misura minore, anche ACTH, cortisolo e prolattina; aumenta l’appetito.</w:t>
      </w:r>
    </w:p>
    <w:p>
      <w:pPr>
        <w:numPr>
          <w:ilvl w:val="0"/>
          <w:numId w:val="1161"/>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r>
        <w:t xml:space="preserve"> </w:t>
      </w:r>
      <w:r>
        <w:rPr>
          <w:bCs/>
          <w:b/>
        </w:rPr>
        <w:t xml:space="preserve">Giappone:</w:t>
      </w:r>
      <w:r>
        <w:t xml:space="preserve"> </w:t>
      </w:r>
      <w:r>
        <w:t xml:space="preserve">autorizzato come diagnostico per la funzione dell’ipofisi (aggiornato al 2026, da verificare).</w:t>
      </w:r>
    </w:p>
    <w:p>
      <w:pPr>
        <w:numPr>
          <w:ilvl w:val="0"/>
          <w:numId w:val="1161"/>
        </w:numPr>
        <w:pStyle w:val="Compact"/>
      </w:pPr>
      <w:r>
        <w:rPr>
          <w:bCs/>
          <w:b/>
        </w:rPr>
        <w:t xml:space="preserve">WADA:</w:t>
      </w:r>
      <w:r>
        <w:t xml:space="preserve"> </w:t>
      </w:r>
      <w:r>
        <w:t xml:space="preserve">vietato, classe S2; il GHRP-2 (pralmorelina) è espressamente citato come peptide che rilascia l’ormone della crescita.</w:t>
      </w:r>
    </w:p>
    <w:p>
      <w:pPr>
        <w:numPr>
          <w:ilvl w:val="0"/>
          <w:numId w:val="1161"/>
        </w:numPr>
        <w:pStyle w:val="Compact"/>
      </w:pPr>
      <w:r>
        <w:rPr>
          <w:bCs/>
          <w:b/>
        </w:rPr>
        <w:t xml:space="preserve">Livello di evidenza: B</w:t>
      </w:r>
      <w:r>
        <w:t xml:space="preserve"> </w:t>
      </w:r>
      <w:r>
        <w:t xml:space="preserve">– numerosi piccoli studi randomizzati sulla fisiologia ormonale e uno studio di validazione come diagnostico; nessuno studio randomizzato su un beneficio terapeutico.</w:t>
      </w:r>
    </w:p>
    <w:bookmarkEnd w:id="512"/>
    <w:bookmarkStart w:id="513" w:name="come-dovrebbe-agire-27"/>
    <w:p>
      <w:pPr>
        <w:pStyle w:val="Heading3"/>
      </w:pPr>
      <w:r>
        <w:t xml:space="preserve">Come dovrebbe agire</w:t>
      </w:r>
    </w:p>
    <w:p>
      <w:pPr>
        <w:pStyle w:val="FirstParagraph"/>
      </w:pPr>
      <w:r>
        <w:t xml:space="preserve">Il GHRP-2 imita la grelina, l’ormone della fame prodotto dallo stomaco che regola anche la secrezione dell’ormone della crescita (Kojima 1999, PMID 10604470). Storicamente le cose sono andate al contrario: prima sono arrivati i GHRP sintetici, poi è stato trovato il loro recettore, e solo dopo si è scoperta la grelina come sua chiave naturale.</w:t>
      </w:r>
    </w:p>
    <w:p>
      <w:pPr>
        <w:pStyle w:val="BodyText"/>
      </w:pPr>
      <w:r>
        <w:t xml:space="preserve">Il GHRP-2 agisce su due livelli: direttamente sull’ipofisi e indirettamente tramite il diencefalo, dove attenua il freno della somatostatina e sostiene il GHRH endogeno. Per l’effetto pieno ha quindi bisogno di un diencefalo intatto: nei ratti privi di ipofisi non ha avuto alcun effetto, nei ratti con connessione interrotta tra diencefalo e ipofisi solo un effetto attenuato (Doi 2004, PMID 15646370). Se si somministrano insieme GHRP-2 e GHRH, la secrezione è nettamente superiore alla somma dei singoli effetti.</w:t>
      </w:r>
    </w:p>
    <w:bookmarkEnd w:id="513"/>
    <w:bookmarkStart w:id="517" w:name="studi-sulluomo-27"/>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55</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Il numero elevato inganna: la maggior parte dei lavori (soprattutto di un gruppo di ricerca della Mayo Clinic) usa il GHRP-2 come strumento per studiare la regolazione della secrezione dell’ormone della crescita in donne e uomini, sotto l’effetto degli ormoni sessuali o in età avanzata. Non dicono nulla su un beneficio per la salute.</w:t>
      </w:r>
    </w:p>
    <w:bookmarkStart w:id="514" w:name="Xbf311c64334d4c3bd06d3a30472488cb25949d3"/>
    <w:p>
      <w:pPr>
        <w:pStyle w:val="Heading4"/>
      </w:pPr>
      <w:r>
        <w:t xml:space="preserve">Diagnosi del deficit di ormone della crescita</w:t>
      </w:r>
    </w:p>
    <w:p>
      <w:pPr>
        <w:pStyle w:val="FirstParagraph"/>
      </w:pPr>
      <w:r>
        <w:t xml:space="preserve">L’impiego più importante è il test al GHRP-2. In uno studio di validazione, 77 persone sane e 58 pazienti con grave deficit di ormone della crescita accertato hanno ricevuto una singola dose endovenosa. Il picco di GH era in media di 84,6 µg/l nelle persone sane e di 1,36 µg/l nei pazienti. Il test era ben riproducibile e risentiva poco di età e sovrappeso; un valore soglia di 15 µg/l corrispondeva alla soglia abituale del test di ipoglicemia insulinica (Chihara 2007, PMID 17609397). In un confronto su 71 persone con tumori ipofisari, il test al GHRP-2 ha raggiunto rispetto al test all’insulina una sensibilità dell’81,3% e una specificità del 94,5% (Kinoshita 2013, PMID 23079545).</w:t>
      </w:r>
    </w:p>
    <w:p>
      <w:pPr>
        <w:pStyle w:val="BodyText"/>
      </w:pPr>
      <w:r>
        <w:t xml:space="preserve">Poiché il GHRP-2 rilascia anche ACTH, si è verificato se il test riconosca inoltre un’insufficienza dell’asse surrenalico. I risultati sono contrastanti: in uno studio con 47 persone ha raggiunto una sensibilità dell’89,7% (Arimura 2016, PMID 27020037); in un’analisi più ampia di 254 persone non è risultato nel complesso abbastanza affidabile (sensibilità 64%, specificità 79%), e solo negli uomini senza tumore ormonalmente attivo ha dato buoni risultati (Hayakawa 2018, PMID 30324179).</w:t>
      </w:r>
    </w:p>
    <w:bookmarkEnd w:id="514"/>
    <w:bookmarkStart w:id="515" w:name="tentativi-di-trattamento-nei-bambini"/>
    <w:p>
      <w:pPr>
        <w:pStyle w:val="Heading4"/>
      </w:pPr>
      <w:r>
        <w:t xml:space="preserve">Tentativi di trattamento nei bambini</w:t>
      </w:r>
    </w:p>
    <w:p>
      <w:pPr>
        <w:pStyle w:val="FirstParagraph"/>
      </w:pPr>
      <w:r>
        <w:t xml:space="preserve">Negli anni Novanta il GHRP-2 è stato sperimentato come terapia per bambini di bassa statura. In sei bambini con deficit di ormone della crescita la secrezione notturna di GH è aumentata in modo dose-dipendente, ma non l’IGF-1; la velocità di crescita era più alta durante il trattamento (Mericq 1998, PMID 9661608). Come spray nasale il GHRP-2 ha aumentato in 15 bambini la velocità di crescita da 3,7 a 6,1 cm all’anno, di nuovo senza aumento dell’IGF-1 (Pihoker 1997, PMID 9390009). Su dieci bambini che hanno ricevuto GHRP-2 in compresse per dodici mesi, sette hanno riferito un appetito nettamente maggiore nei primi mesi (Mericq 2003, PMID 14513874). Lo sviluppo come terapia è stato interrotto negli Stati Uniti (profilo anonimo del principio attivo in Drugs R D 2004, PMID 15230633).</w:t>
      </w:r>
    </w:p>
    <w:bookmarkEnd w:id="515"/>
    <w:bookmarkStart w:id="516" w:name="appetito-e-terapia-intensiva"/>
    <w:p>
      <w:pPr>
        <w:pStyle w:val="Heading4"/>
      </w:pPr>
      <w:r>
        <w:t xml:space="preserve">Appetito e terapia intensiva</w:t>
      </w:r>
    </w:p>
    <w:p>
      <w:pPr>
        <w:pStyle w:val="FirstParagraph"/>
      </w:pPr>
      <w:r>
        <w:t xml:space="preserve">In 19 adulti magri e in sovrappeso, un’infusione di GHRP-2 ha aumentato la quantità di cibo scelta liberamente, in modo dose-dipendente, del 10,2% e del 33,5% rispetto al placebo (Laferrère 2006, PMID 16861611). In 14 pazienti di terapia intensiva a lungo termine, un’infusione di cinque giorni di GHRP-2 insieme all’ormone di rilascio della tireotropina TRH ha riattivato l’asse del GH e quello tiroideo soppressi e ha spostato i marcatori metabolici in direzione anabolica (Van den Berghe 1999, PMID 10199772). Se ciò modifichi le probabilità di sopravvivenza non è mai stato verificato in uno studio sugli endpoint.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Diagnosi (Chihara 2007), PMID 17609397</w:t>
            </w:r>
          </w:p>
        </w:tc>
        <w:tc>
          <w:tcPr/>
          <w:p>
            <w:pPr>
              <w:pStyle w:val="Compact"/>
              <w:jc w:val="left"/>
            </w:pPr>
            <w:r>
              <w:t xml:space="preserve">77 persone sane, 58 pazienti con deficit di GH, validazione controllata</w:t>
            </w:r>
          </w:p>
        </w:tc>
        <w:tc>
          <w:tcPr/>
          <w:p>
            <w:pPr>
              <w:pStyle w:val="Compact"/>
              <w:jc w:val="left"/>
            </w:pPr>
            <w:r>
              <w:t xml:space="preserve">test singolo</w:t>
            </w:r>
          </w:p>
        </w:tc>
        <w:tc>
          <w:tcPr/>
          <w:p>
            <w:pPr>
              <w:pStyle w:val="Compact"/>
              <w:jc w:val="left"/>
            </w:pPr>
            <w:r>
              <w:t xml:space="preserve">picco di GH 84,6 vs. 1,36 µg/l; soglia 15 µg/l</w:t>
            </w:r>
          </w:p>
        </w:tc>
      </w:tr>
      <w:tr>
        <w:tc>
          <w:tcPr/>
          <w:p>
            <w:pPr>
              <w:pStyle w:val="Compact"/>
              <w:jc w:val="left"/>
            </w:pPr>
            <w:r>
              <w:t xml:space="preserve">Diagnosi (Kinoshita 2013), PMID 23079545</w:t>
            </w:r>
          </w:p>
        </w:tc>
        <w:tc>
          <w:tcPr/>
          <w:p>
            <w:pPr>
              <w:pStyle w:val="Compact"/>
              <w:jc w:val="left"/>
            </w:pPr>
            <w:r>
              <w:t xml:space="preserve">71 persone con tumori ipofisari, confronto con test all’insulina</w:t>
            </w:r>
          </w:p>
        </w:tc>
        <w:tc>
          <w:tcPr/>
          <w:p>
            <w:pPr>
              <w:pStyle w:val="Compact"/>
              <w:jc w:val="left"/>
            </w:pPr>
            <w:r>
              <w:t xml:space="preserve">test singolo</w:t>
            </w:r>
          </w:p>
        </w:tc>
        <w:tc>
          <w:tcPr/>
          <w:p>
            <w:pPr>
              <w:pStyle w:val="Compact"/>
              <w:jc w:val="left"/>
            </w:pPr>
            <w:r>
              <w:t xml:space="preserve">sensibilità 81,3%, specificità 94,5%</w:t>
            </w:r>
          </w:p>
        </w:tc>
      </w:tr>
      <w:tr>
        <w:tc>
          <w:tcPr/>
          <w:p>
            <w:pPr>
              <w:pStyle w:val="Compact"/>
              <w:jc w:val="left"/>
            </w:pPr>
            <w:r>
              <w:t xml:space="preserve">Bambini, spray nasale (Pihoker 1997), PMID 9390009</w:t>
            </w:r>
          </w:p>
        </w:tc>
        <w:tc>
          <w:tcPr/>
          <w:p>
            <w:pPr>
              <w:pStyle w:val="Compact"/>
              <w:jc w:val="left"/>
            </w:pPr>
            <w:r>
              <w:t xml:space="preserve">15 bambini di bassa statura, senza gruppo di controllo</w:t>
            </w:r>
          </w:p>
        </w:tc>
        <w:tc>
          <w:tcPr/>
          <w:p>
            <w:pPr>
              <w:pStyle w:val="Compact"/>
              <w:jc w:val="left"/>
            </w:pPr>
            <w:r>
              <w:t xml:space="preserve">6–24 mesi</w:t>
            </w:r>
          </w:p>
        </w:tc>
        <w:tc>
          <w:tcPr/>
          <w:p>
            <w:pPr>
              <w:pStyle w:val="Compact"/>
              <w:jc w:val="left"/>
            </w:pPr>
            <w:r>
              <w:t xml:space="preserve">crescita 3,7 → 6,1 cm/anno</w:t>
            </w:r>
          </w:p>
        </w:tc>
      </w:tr>
      <w:tr>
        <w:tc>
          <w:tcPr/>
          <w:p>
            <w:pPr>
              <w:pStyle w:val="Compact"/>
              <w:jc w:val="left"/>
            </w:pPr>
            <w:r>
              <w:t xml:space="preserve">Appetito (Laferrère 2006), PMID 16861611</w:t>
            </w:r>
          </w:p>
        </w:tc>
        <w:tc>
          <w:tcPr/>
          <w:p>
            <w:pPr>
              <w:pStyle w:val="Compact"/>
              <w:jc w:val="left"/>
            </w:pPr>
            <w:r>
              <w:t xml:space="preserve">19 adulti, RCT con disegno crossover contro placebo</w:t>
            </w:r>
          </w:p>
        </w:tc>
        <w:tc>
          <w:tcPr/>
          <w:p>
            <w:pPr>
              <w:pStyle w:val="Compact"/>
              <w:jc w:val="left"/>
            </w:pPr>
            <w:r>
              <w:t xml:space="preserve">3 infusioni singole</w:t>
            </w:r>
          </w:p>
        </w:tc>
        <w:tc>
          <w:tcPr/>
          <w:p>
            <w:pPr>
              <w:pStyle w:val="Compact"/>
              <w:jc w:val="left"/>
            </w:pPr>
            <w:r>
              <w:t xml:space="preserve">quantità di cibo +10,2% e +33,5%</w:t>
            </w:r>
          </w:p>
        </w:tc>
      </w:tr>
      <w:tr>
        <w:tc>
          <w:tcPr/>
          <w:p>
            <w:pPr>
              <w:pStyle w:val="Compact"/>
              <w:jc w:val="left"/>
            </w:pPr>
            <w:r>
              <w:t xml:space="preserve">Terapia intensiva (Van den Berghe 1999), PMID 10199772</w:t>
            </w:r>
          </w:p>
        </w:tc>
        <w:tc>
          <w:tcPr/>
          <w:p>
            <w:pPr>
              <w:pStyle w:val="Compact"/>
              <w:jc w:val="left"/>
            </w:pPr>
            <w:r>
              <w:t xml:space="preserve">14 pazienti di terapia intensiva a lungo termine, disegno crossover randomizzato</w:t>
            </w:r>
          </w:p>
        </w:tc>
        <w:tc>
          <w:tcPr/>
          <w:p>
            <w:pPr>
              <w:pStyle w:val="Compact"/>
              <w:jc w:val="left"/>
            </w:pPr>
            <w:r>
              <w:t xml:space="preserve">5 giorni</w:t>
            </w:r>
          </w:p>
        </w:tc>
        <w:tc>
          <w:tcPr/>
          <w:p>
            <w:pPr>
              <w:pStyle w:val="Compact"/>
              <w:jc w:val="left"/>
            </w:pPr>
            <w:r>
              <w:t xml:space="preserve">asse del GH e tiroideo riattivati</w:t>
            </w:r>
          </w:p>
        </w:tc>
      </w:tr>
    </w:tbl>
    <w:bookmarkEnd w:id="516"/>
    <w:bookmarkEnd w:id="517"/>
    <w:bookmarkStart w:id="518" w:name="studi-su-animali-e-in-laboratorio-27"/>
    <w:p>
      <w:pPr>
        <w:pStyle w:val="Heading3"/>
      </w:pPr>
      <w:r>
        <w:t xml:space="preserve">Studi su animali e in laboratorio</w:t>
      </w:r>
    </w:p>
    <w:p>
      <w:pPr>
        <w:pStyle w:val="FirstParagraph"/>
      </w:pPr>
      <w:r>
        <w:t xml:space="preserve">In ratti svegli il GHRP-2 ha rilasciato più ormone della crescita del GHRH ed è risultato efficace anche nei cani, nei quali il GHRH falliva; nei ratti ha aumentato ACTH e corticosterone, ma non la prolattina, e ha accelerato la crescita nell’arco di tre settimane (Doi 2004, PMID 15646370). Nei maiali il GHRP-2 è risultato particolarmente potente in uno studio comparativo, ma, a differenza dell’ipamorelina, ha rilasciato anche ACTH e cortisolo (Raun 1998, PMID 9849822).</w:t>
      </w:r>
    </w:p>
    <w:bookmarkEnd w:id="518"/>
    <w:bookmarkStart w:id="519" w:name="rischi-ed-effetti-collaterali-27"/>
    <w:p>
      <w:pPr>
        <w:pStyle w:val="Heading3"/>
      </w:pPr>
      <w:r>
        <w:t xml:space="preserve">Rischi ed effetti collaterali</w:t>
      </w:r>
    </w:p>
    <w:p>
      <w:pPr>
        <w:pStyle w:val="FirstParagraph"/>
      </w:pPr>
      <w:r>
        <w:rPr>
          <w:bCs/>
          <w:b/>
        </w:rPr>
        <w:t xml:space="preserve">Documentati:</w:t>
      </w:r>
      <w:r>
        <w:t xml:space="preserve"> </w:t>
      </w:r>
      <w:r>
        <w:t xml:space="preserve">negli studi il GHRP-2 è stato ben tollerato a breve termine. Sono descritti ripetutamente un aumento dell’appetito (Mericq 2003, PMID 14513874; Laferrère 2006, PMID 16861611) e il rilascio di ACTH e cortisolo (Arimura 2016, PMID 27020037). Una rassegna sui secretagoghi del GH cita inoltre un possibile aumento della glicemia dovuto a una ridotta sensibilità all’insulina e chiede dati a lungo termine su cancro e mortalità (Sigalos 2018, PMID 28400207).</w:t>
      </w:r>
    </w:p>
    <w:p>
      <w:pPr>
        <w:pStyle w:val="BodyText"/>
      </w:pPr>
      <w:r>
        <w:rPr>
          <w:bCs/>
          <w:b/>
        </w:rPr>
        <w:t xml:space="preserve">Sconosciuti:</w:t>
      </w:r>
      <w:r>
        <w:t xml:space="preserve"> </w:t>
      </w:r>
      <w:r>
        <w:t xml:space="preserve">non esistono dati sull’uso per mesi o anni negli adulti. Sulla questione se un aumento costante di ormone della crescita/IGF-1 accresca il rischio di cancro si veda l’introduzione di questo gruppo e la Parte IV.</w:t>
      </w:r>
    </w:p>
    <w:p>
      <w:pPr>
        <w:pStyle w:val="BodyText"/>
      </w:pPr>
      <w:r>
        <w:rPr>
          <w:bCs/>
          <w:b/>
        </w:rPr>
        <w:t xml:space="preserve">Mercato grigio:</w:t>
      </w:r>
      <w:r>
        <w:t xml:space="preserve"> </w:t>
      </w:r>
      <w:r>
        <w:t xml:space="preserve">in prodotti sequestrati è stato trovato «Gly-GHRP-2», cioè GHRP-2 con un amminoacido aggiuntivo non dichiarato (Krug 2018, PMID 29864719; Gajda 2019, PMID 30136411).</w:t>
      </w:r>
    </w:p>
    <w:bookmarkEnd w:id="519"/>
    <w:bookmarkStart w:id="520" w:name="quadro-normativo-27"/>
    <w:p>
      <w:pPr>
        <w:pStyle w:val="Heading3"/>
      </w:pPr>
      <w:r>
        <w:t xml:space="preserve">Quadro normativo</w:t>
      </w:r>
    </w:p>
    <w:p>
      <w:pPr>
        <w:pStyle w:val="FirstParagraph"/>
      </w:pPr>
      <w:r>
        <w:rPr>
          <w:iCs/>
          <w:i/>
        </w:rPr>
        <w:t xml:space="preserve">Aggiornato al 2026, da verificare.</w:t>
      </w:r>
    </w:p>
    <w:p>
      <w:pPr>
        <w:numPr>
          <w:ilvl w:val="0"/>
          <w:numId w:val="1162"/>
        </w:numPr>
        <w:pStyle w:val="Compact"/>
      </w:pPr>
      <w:r>
        <w:rPr>
          <w:bCs/>
          <w:b/>
        </w:rPr>
        <w:t xml:space="preserve">Giappone:</w:t>
      </w:r>
      <w:r>
        <w:t xml:space="preserve"> </w:t>
      </w:r>
      <w:r>
        <w:t xml:space="preserve">autorizzato come diagnostico; uso esclusivamente nell’ambito di test funzionali medici.</w:t>
      </w:r>
    </w:p>
    <w:p>
      <w:pPr>
        <w:numPr>
          <w:ilvl w:val="0"/>
          <w:numId w:val="1162"/>
        </w:numPr>
        <w:pStyle w:val="Compact"/>
      </w:pPr>
      <w:r>
        <w:rPr>
          <w:bCs/>
          <w:b/>
        </w:rPr>
        <w:t xml:space="preserve">UE, Germania, Austria:</w:t>
      </w:r>
      <w:r>
        <w:t xml:space="preserve"> </w:t>
      </w:r>
      <w:r>
        <w:t xml:space="preserve">nessuna autorizzazione; cessione per uso umano non consentita.</w:t>
      </w:r>
    </w:p>
    <w:p>
      <w:pPr>
        <w:numPr>
          <w:ilvl w:val="0"/>
          <w:numId w:val="1162"/>
        </w:numPr>
        <w:pStyle w:val="Compact"/>
      </w:pPr>
      <w:r>
        <w:rPr>
          <w:bCs/>
          <w:b/>
        </w:rPr>
        <w:t xml:space="preserve">USA:</w:t>
      </w:r>
      <w:r>
        <w:t xml:space="preserve"> </w:t>
      </w:r>
      <w:r>
        <w:t xml:space="preserve">nessuna autorizzazione.</w:t>
      </w:r>
    </w:p>
    <w:p>
      <w:pPr>
        <w:numPr>
          <w:ilvl w:val="0"/>
          <w:numId w:val="1162"/>
        </w:numPr>
        <w:pStyle w:val="Compact"/>
      </w:pPr>
      <w:r>
        <w:rPr>
          <w:bCs/>
          <w:b/>
        </w:rPr>
        <w:t xml:space="preserve">WADA:</w:t>
      </w:r>
      <w:r>
        <w:t xml:space="preserve"> </w:t>
      </w:r>
      <w:r>
        <w:t xml:space="preserve">vietato (S2). Il GHRP-2 e i suoi prodotti di degradazione sono rilevabili nelle urine fino a 47 ore dopo la somministrazione come spray nasale in un volontario (Semenistaya 2015, PMID 25869809).</w:t>
      </w:r>
    </w:p>
    <w:bookmarkEnd w:id="520"/>
    <w:bookmarkStart w:id="521" w:name="studi-in-corso-e-prospettive-27"/>
    <w:p>
      <w:pPr>
        <w:pStyle w:val="Heading3"/>
      </w:pPr>
      <w:r>
        <w:t xml:space="preserve">Studi in corso e prospettive</w:t>
      </w:r>
    </w:p>
    <w:p>
      <w:pPr>
        <w:pStyle w:val="FirstParagraph"/>
      </w:pPr>
      <w:r>
        <w:t xml:space="preserve">Su ClinicalTrials.gov a ottobre 2026 non è registrato alcuno studio con GHRP-2 o pralmorelina.</w:t>
      </w:r>
      <w:r>
        <w:t xml:space="preserve"> </w:t>
      </w:r>
      <w:r>
        <w:rPr>
          <w:iCs/>
          <w:i/>
        </w:rPr>
        <w:t xml:space="preserve">Valutazione dell’autore:</w:t>
      </w:r>
      <w:r>
        <w:t xml:space="preserve"> </w:t>
      </w:r>
      <w:r>
        <w:t xml:space="preserve">il GHRP-2 resterà uno strumento della diagnostica in Giappone e della ricerca ormonale. In altri Paesi, come sostanza per test, compete con la macimorelina, disponibile in forma orale.</w:t>
      </w:r>
    </w:p>
    <w:bookmarkEnd w:id="521"/>
    <w:bookmarkStart w:id="522" w:name="conclusione-27"/>
    <w:p>
      <w:pPr>
        <w:pStyle w:val="Heading3"/>
      </w:pPr>
      <w:r>
        <w:t xml:space="preserve">Conclusione</w:t>
      </w:r>
    </w:p>
    <w:p>
      <w:pPr>
        <w:pStyle w:val="FirstParagraph"/>
      </w:pPr>
      <w:r>
        <w:t xml:space="preserve">Il GHRP-2 è uno dei più potenti stimoli conosciuti della secrezione di ormone della crescita ed è affermato in Giappone come diagnostico per il deficit di ormone della crescita. I tentativi di trattamento nei bambini hanno mostrato solo effetti modesti e non sono stati proseguiti. Per crescita muscolare, perdita di grasso o «anti-aging» nelle persone sane non esistono studi; sono documentati invece effetti secondari come fame intensa e un’attivazione degli ormoni dello stress.</w:t>
      </w:r>
    </w:p>
    <w:bookmarkEnd w:id="522"/>
    <w:bookmarkEnd w:id="523"/>
    <w:bookmarkStart w:id="534" w:name="ghrp-6"/>
    <w:p>
      <w:pPr>
        <w:pStyle w:val="Heading2"/>
      </w:pPr>
      <w:r>
        <w:t xml:space="preserve">GHRP-6</w:t>
      </w:r>
    </w:p>
    <w:p>
      <w:pPr>
        <w:pStyle w:val="FirstParagraph"/>
      </w:pPr>
      <w:r>
        <w:t xml:space="preserve">Il GHRP-6 è il capostipite di tutti i peptidi che rilasciano l’ormone della crescita. Nel 1984 l’endocrinologo statunitense Cyril Bowers descrisse un esapeptide artificiale che rilascia in modo mirato ormone della crescita, 15 anni prima che si conoscesse la controparte naturale, la grelina. Nella ricerca il GHRP-6 è diventato lo strumento standard per testare l’asse dell’ormone della crescita. Negli ambienti del bodybuilding è invece considerato un economico potenziatore del GH con l’effetto secondario della «fame da lupi». Non è mai diventato un medicinale.</w:t>
      </w:r>
    </w:p>
    <w:bookmarkStart w:id="524" w:name="scheda-28"/>
    <w:p>
      <w:pPr>
        <w:pStyle w:val="Heading3"/>
      </w:pPr>
      <w:r>
        <w:t xml:space="preserve">Scheda</w:t>
      </w:r>
    </w:p>
    <w:p>
      <w:pPr>
        <w:numPr>
          <w:ilvl w:val="0"/>
          <w:numId w:val="1163"/>
        </w:numPr>
        <w:pStyle w:val="Compact"/>
      </w:pPr>
      <w:r>
        <w:rPr>
          <w:bCs/>
          <w:b/>
        </w:rPr>
        <w:t xml:space="preserve">Tipo e struttura:</w:t>
      </w:r>
      <w:r>
        <w:t xml:space="preserve"> </w:t>
      </w:r>
      <w:r>
        <w:t xml:space="preserve">esapeptide sintetico His-D-Trp-Ala-Trp-D-Phe-Lys-NH2 con due D-amminoacidi non naturali (Bowers 1984, PMID 6714155).</w:t>
      </w:r>
    </w:p>
    <w:p>
      <w:pPr>
        <w:numPr>
          <w:ilvl w:val="0"/>
          <w:numId w:val="1163"/>
        </w:numPr>
        <w:pStyle w:val="Compact"/>
      </w:pPr>
      <w:r>
        <w:rPr>
          <w:bCs/>
          <w:b/>
        </w:rPr>
        <w:t xml:space="preserve">Origine:</w:t>
      </w:r>
      <w:r>
        <w:t xml:space="preserve"> </w:t>
      </w:r>
      <w:r>
        <w:t xml:space="preserve">Tulane University (USA), inizio degli anni Ottanta.</w:t>
      </w:r>
    </w:p>
    <w:p>
      <w:pPr>
        <w:numPr>
          <w:ilvl w:val="0"/>
          <w:numId w:val="1163"/>
        </w:numPr>
        <w:pStyle w:val="Compact"/>
      </w:pPr>
      <w:r>
        <w:rPr>
          <w:bCs/>
          <w:b/>
        </w:rPr>
        <w:t xml:space="preserve">Principio d’azione:</w:t>
      </w:r>
      <w:r>
        <w:t xml:space="preserve"> </w:t>
      </w:r>
      <w:r>
        <w:t xml:space="preserve">agonista del recettore della grelina (GHS-R1a) nell’ipofisi e nel diencefalo; rilascia ormone della crescita e inoltre ACTH, cortisolo e prolattina; aumenta l’appetito.</w:t>
      </w:r>
    </w:p>
    <w:p>
      <w:pPr>
        <w:numPr>
          <w:ilvl w:val="0"/>
          <w:numId w:val="1163"/>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Non è autorizzato come medicinale da nessun’altra parte (aggiornato al 2026).</w:t>
      </w:r>
    </w:p>
    <w:p>
      <w:pPr>
        <w:numPr>
          <w:ilvl w:val="0"/>
          <w:numId w:val="1163"/>
        </w:numPr>
        <w:pStyle w:val="Compact"/>
      </w:pPr>
      <w:r>
        <w:rPr>
          <w:bCs/>
          <w:b/>
        </w:rPr>
        <w:t xml:space="preserve">WADA:</w:t>
      </w:r>
      <w:r>
        <w:t xml:space="preserve"> </w:t>
      </w:r>
      <w:r>
        <w:t xml:space="preserve">vietato, classe S2; il GHRP-6 è espressamente citato come peptide che rilascia l’ormone della crescita.</w:t>
      </w:r>
    </w:p>
    <w:p>
      <w:pPr>
        <w:numPr>
          <w:ilvl w:val="0"/>
          <w:numId w:val="1163"/>
        </w:numPr>
        <w:pStyle w:val="Compact"/>
      </w:pPr>
      <w:r>
        <w:rPr>
          <w:bCs/>
          <w:b/>
        </w:rPr>
        <w:t xml:space="preserve">Livello di evidenza: C</w:t>
      </w:r>
      <w:r>
        <w:t xml:space="preserve"> </w:t>
      </w:r>
      <w:r>
        <w:t xml:space="preserve">– molti piccoli studi sulla fisiologia ormonale e sulla diagnostica, con 10-250 persone ciascuno, ma nemmeno uno studio controllato su un beneficio terapeutico.</w:t>
      </w:r>
    </w:p>
    <w:bookmarkEnd w:id="524"/>
    <w:bookmarkStart w:id="525" w:name="come-dovrebbe-agire-28"/>
    <w:p>
      <w:pPr>
        <w:pStyle w:val="Heading3"/>
      </w:pPr>
      <w:r>
        <w:t xml:space="preserve">Come dovrebbe agire</w:t>
      </w:r>
    </w:p>
    <w:p>
      <w:pPr>
        <w:pStyle w:val="FirstParagraph"/>
      </w:pPr>
      <w:r>
        <w:t xml:space="preserve">Nel 1984 Bowers e colleghi mostrarono che l’esapeptide rilascia ormone della crescita in pochi minuti in ratti, scimmie, agnelli e vitelli, senza influenzare altri ormoni ipofisari come LH, FSH o TSH; i ratti che lo ricevevano ripetutamente aumentavano di più di peso (Bowers 1984, PMID 6714155). In seguito si scoprì che il GHRP-6 agisce sullo stesso recettore dell’ormone gastrico grelina (Kojima 1999, PMID 10604470).</w:t>
      </w:r>
    </w:p>
    <w:p>
      <w:pPr>
        <w:pStyle w:val="BodyText"/>
      </w:pPr>
      <w:r>
        <w:t xml:space="preserve">Come il GHRP-2, il GHRP-6 agisce con più forza quando interviene anche il GHRH endogeno del diencefalo. Combinando i due, la secrezione di ormone della crescita è superiore alla somma dei singoli effetti. Proprio questa proprietà ha reso il GHRP-6 interessante come diagnostico. A differenza dell’ipamorelina, il GHRP-6 attiva anche l’asse degli ormoni dello stress (ACTH e cortisolo).</w:t>
      </w:r>
    </w:p>
    <w:bookmarkEnd w:id="525"/>
    <w:bookmarkStart w:id="528" w:name="studi-sulluomo-28"/>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40</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Quasi tutti i lavori usano il GHRP-6 come sostanza per test somministrata una sola volta, per studiare la regolazione ormonale in malattie come la sindrome di Cushing, l’ipertiroidismo, il sovrappeso o in età avanzata. Uno studio di questo elenco è stato condotto su cani.</w:t>
      </w:r>
    </w:p>
    <w:bookmarkStart w:id="526" w:name="Xa8f2e5b92980299467b2c6585939965f5137da6"/>
    <w:p>
      <w:pPr>
        <w:pStyle w:val="Heading4"/>
      </w:pPr>
      <w:r>
        <w:t xml:space="preserve">Diagnosi del deficit di ormone della crescita</w:t>
      </w:r>
    </w:p>
    <w:p>
      <w:pPr>
        <w:pStyle w:val="FirstParagraph"/>
      </w:pPr>
      <w:r>
        <w:t xml:space="preserve">Lo studio più noto è apparso nel 2000 sulla rivista Lancet: 125 adulti con malattie dell’ipofisi e 125 persone sane hanno ricevuto GHRH più GHRP-6 come test combinato. Il picco medio di GH era di 59,2 µg/l nelle persone sane e di 4,1 µg/l nei pazienti; un valore soglia di 15 µg/l separava in modo affidabile i due gruppi. Non si sono verificati effetti collaterali, e età, sesso e grasso corporeo non hanno influenzato il risultato (Popovic 2000, PMID 11030292). In uno studio più piccolo con 20 persone il test ha riconosciuto correttamente tutti i casi di deficit di ormone della crescita; come unico effetto collaterale è stata osservata una sensazione di calore (flush) (Petersenn 2002, PMID 11980622). Su 21 adulti nei quali in precedenza era stato accertato un deficit con test convenzionali, circa il 40% ha comunque risposto in modo marcato alla combinazione (Leal-Cerro 1995, PMID 7788011), un indizio che test diversi rispondono a domande diverse.</w:t>
      </w:r>
    </w:p>
    <w:p>
      <w:pPr>
        <w:pStyle w:val="BodyText"/>
      </w:pPr>
      <w:r>
        <w:t xml:space="preserve">Come test per un’insufficienza dell’asse surrenalico il GHRP-6 si è rivelato invece di utilità limitata: in 49 pazienti ha raggiunto, rispetto al test all’insulina, una sensibilità del 71,0% e una specificità del 77,8% (Alaioubi 2010, PMID 19946832).</w:t>
      </w:r>
    </w:p>
    <w:bookmarkEnd w:id="526"/>
    <w:bookmarkStart w:id="527" w:name="farmacologia-sonno-età"/>
    <w:p>
      <w:pPr>
        <w:pStyle w:val="Heading4"/>
      </w:pPr>
      <w:r>
        <w:t xml:space="preserve">Farmacologia, sonno, età</w:t>
      </w:r>
    </w:p>
    <w:p>
      <w:pPr>
        <w:numPr>
          <w:ilvl w:val="0"/>
          <w:numId w:val="1164"/>
        </w:numPr>
        <w:pStyle w:val="Compact"/>
      </w:pPr>
      <w:r>
        <w:rPr>
          <w:bCs/>
          <w:b/>
        </w:rPr>
        <w:t xml:space="preserve">Farmacocinetica:</w:t>
      </w:r>
      <w:r>
        <w:t xml:space="preserve"> </w:t>
      </w:r>
      <w:r>
        <w:t xml:space="preserve">in nove uomini sani l’emivita di eliminazione dopo somministrazione endovenosa era in media di 2,5 ore (Cabrales 2013, PMID 23099431).</w:t>
      </w:r>
    </w:p>
    <w:p>
      <w:pPr>
        <w:numPr>
          <w:ilvl w:val="0"/>
          <w:numId w:val="1164"/>
        </w:numPr>
        <w:pStyle w:val="Compact"/>
      </w:pPr>
      <w:r>
        <w:rPr>
          <w:bCs/>
          <w:b/>
        </w:rPr>
        <w:t xml:space="preserve">Sonno:</w:t>
      </w:r>
      <w:r>
        <w:t xml:space="preserve"> </w:t>
      </w:r>
      <w:r>
        <w:t xml:space="preserve">in uomini sani il GHRP-6 ha aumentato di notte ormone della crescita, ACTH e cortisolo e ha prolungato il sonno leggero (stadio 2), ma non il sonno profondo (Frieboes 1995, PMID 7617137).</w:t>
      </w:r>
    </w:p>
    <w:p>
      <w:pPr>
        <w:numPr>
          <w:ilvl w:val="0"/>
          <w:numId w:val="1164"/>
        </w:numPr>
        <w:pStyle w:val="Compact"/>
      </w:pPr>
      <w:r>
        <w:rPr>
          <w:bCs/>
          <w:b/>
        </w:rPr>
        <w:t xml:space="preserve">Età:</w:t>
      </w:r>
      <w:r>
        <w:t xml:space="preserve"> </w:t>
      </w:r>
      <w:r>
        <w:t xml:space="preserve">in nove adulti giovani e nove anziani, l’ipofisi in età avanzata ha risposto più debolmente al GHRH, ma non al GHRP-6 (Micic 1995, PMID 7734029).</w:t>
      </w:r>
    </w:p>
    <w:p>
      <w:pPr>
        <w:numPr>
          <w:ilvl w:val="0"/>
          <w:numId w:val="1164"/>
        </w:numPr>
        <w:pStyle w:val="Compact"/>
      </w:pPr>
      <w:r>
        <w:rPr>
          <w:bCs/>
          <w:b/>
        </w:rPr>
        <w:t xml:space="preserve">Bambini:</w:t>
      </w:r>
      <w:r>
        <w:t xml:space="preserve"> </w:t>
      </w:r>
      <w:r>
        <w:t xml:space="preserve">in compresse il GHRP-6 ha provocato in bambini di bassa statura senza deficit ormonale un aumento del GH simile a quello dopo iniezione di GHRH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Diagnosi (Popovic 2000), PMID 11030292</w:t>
            </w:r>
          </w:p>
        </w:tc>
        <w:tc>
          <w:tcPr/>
          <w:p>
            <w:pPr>
              <w:pStyle w:val="Compact"/>
              <w:jc w:val="left"/>
            </w:pPr>
            <w:r>
              <w:t xml:space="preserve">125 pazienti, 125 persone sane; studio comparativo multicentrico</w:t>
            </w:r>
          </w:p>
        </w:tc>
        <w:tc>
          <w:tcPr/>
          <w:p>
            <w:pPr>
              <w:pStyle w:val="Compact"/>
              <w:jc w:val="left"/>
            </w:pPr>
            <w:r>
              <w:t xml:space="preserve">test singolo</w:t>
            </w:r>
          </w:p>
        </w:tc>
        <w:tc>
          <w:tcPr/>
          <w:p>
            <w:pPr>
              <w:pStyle w:val="Compact"/>
              <w:jc w:val="left"/>
            </w:pPr>
            <w:r>
              <w:t xml:space="preserve">picco di GH 59,2 vs. 4,1 µg/l; soglia 15 µg/l</w:t>
            </w:r>
          </w:p>
        </w:tc>
      </w:tr>
      <w:tr>
        <w:tc>
          <w:tcPr/>
          <w:p>
            <w:pPr>
              <w:pStyle w:val="Compact"/>
              <w:jc w:val="left"/>
            </w:pPr>
            <w:r>
              <w:t xml:space="preserve">Diagnosi (Petersenn 2002), PMID 11980622</w:t>
            </w:r>
          </w:p>
        </w:tc>
        <w:tc>
          <w:tcPr/>
          <w:p>
            <w:pPr>
              <w:pStyle w:val="Compact"/>
              <w:jc w:val="left"/>
            </w:pPr>
            <w:r>
              <w:t xml:space="preserve">20 persone, confronto con test all’insulina</w:t>
            </w:r>
          </w:p>
        </w:tc>
        <w:tc>
          <w:tcPr/>
          <w:p>
            <w:pPr>
              <w:pStyle w:val="Compact"/>
              <w:jc w:val="left"/>
            </w:pPr>
            <w:r>
              <w:t xml:space="preserve">test singoli</w:t>
            </w:r>
          </w:p>
        </w:tc>
        <w:tc>
          <w:tcPr/>
          <w:p>
            <w:pPr>
              <w:pStyle w:val="Compact"/>
              <w:jc w:val="left"/>
            </w:pPr>
            <w:r>
              <w:t xml:space="preserve">riconosciuti tutti i casi con deficit di GH</w:t>
            </w:r>
          </w:p>
        </w:tc>
      </w:tr>
      <w:tr>
        <w:tc>
          <w:tcPr/>
          <w:p>
            <w:pPr>
              <w:pStyle w:val="Compact"/>
              <w:jc w:val="left"/>
            </w:pPr>
            <w:r>
              <w:t xml:space="preserve">Test surrenalico (Alaioubi 2010), PMID 19946832</w:t>
            </w:r>
          </w:p>
        </w:tc>
        <w:tc>
          <w:tcPr/>
          <w:p>
            <w:pPr>
              <w:pStyle w:val="Compact"/>
              <w:jc w:val="left"/>
            </w:pPr>
            <w:r>
              <w:t xml:space="preserve">49 pazienti, 20 persone sane</w:t>
            </w:r>
          </w:p>
        </w:tc>
        <w:tc>
          <w:tcPr/>
          <w:p>
            <w:pPr>
              <w:pStyle w:val="Compact"/>
              <w:jc w:val="left"/>
            </w:pPr>
            <w:r>
              <w:t xml:space="preserve">test singolo</w:t>
            </w:r>
          </w:p>
        </w:tc>
        <w:tc>
          <w:tcPr/>
          <w:p>
            <w:pPr>
              <w:pStyle w:val="Compact"/>
              <w:jc w:val="left"/>
            </w:pPr>
            <w:r>
              <w:t xml:space="preserve">sensibilità 71,0%, specificità 77,8%</w:t>
            </w:r>
          </w:p>
        </w:tc>
      </w:tr>
      <w:tr>
        <w:tc>
          <w:tcPr/>
          <w:p>
            <w:pPr>
              <w:pStyle w:val="Compact"/>
              <w:jc w:val="left"/>
            </w:pPr>
            <w:r>
              <w:t xml:space="preserve">Farmacocinetica (Cabrales 2013), PMID 23099431</w:t>
            </w:r>
          </w:p>
        </w:tc>
        <w:tc>
          <w:tcPr/>
          <w:p>
            <w:pPr>
              <w:pStyle w:val="Compact"/>
              <w:jc w:val="left"/>
            </w:pPr>
            <w:r>
              <w:t xml:space="preserve">9 uomini sani, fase 1</w:t>
            </w:r>
          </w:p>
        </w:tc>
        <w:tc>
          <w:tcPr/>
          <w:p>
            <w:pPr>
              <w:pStyle w:val="Compact"/>
              <w:jc w:val="left"/>
            </w:pPr>
            <w:r>
              <w:t xml:space="preserve">dosi singole</w:t>
            </w:r>
          </w:p>
        </w:tc>
        <w:tc>
          <w:tcPr/>
          <w:p>
            <w:pPr>
              <w:pStyle w:val="Compact"/>
              <w:jc w:val="left"/>
            </w:pPr>
            <w:r>
              <w:t xml:space="preserve">emivita 2,5 h</w:t>
            </w:r>
          </w:p>
        </w:tc>
      </w:tr>
      <w:tr>
        <w:tc>
          <w:tcPr/>
          <w:p>
            <w:pPr>
              <w:pStyle w:val="Compact"/>
              <w:jc w:val="left"/>
            </w:pPr>
            <w:r>
              <w:t xml:space="preserve">Sonno (Frieboes 1995), PMID 7617137</w:t>
            </w:r>
          </w:p>
        </w:tc>
        <w:tc>
          <w:tcPr/>
          <w:p>
            <w:pPr>
              <w:pStyle w:val="Compact"/>
              <w:jc w:val="left"/>
            </w:pPr>
            <w:r>
              <w:t xml:space="preserve">uomini sani, confronto con placebo</w:t>
            </w:r>
          </w:p>
        </w:tc>
        <w:tc>
          <w:tcPr/>
          <w:p>
            <w:pPr>
              <w:pStyle w:val="Compact"/>
              <w:jc w:val="left"/>
            </w:pPr>
            <w:r>
              <w:t xml:space="preserve">1 notte</w:t>
            </w:r>
          </w:p>
        </w:tc>
        <w:tc>
          <w:tcPr/>
          <w:p>
            <w:pPr>
              <w:pStyle w:val="Compact"/>
              <w:jc w:val="left"/>
            </w:pPr>
            <w:r>
              <w:t xml:space="preserve">GH, ACTH, cortisolo ↑; sonno profondo invariato</w:t>
            </w:r>
          </w:p>
        </w:tc>
      </w:tr>
    </w:tbl>
    <w:bookmarkEnd w:id="527"/>
    <w:bookmarkEnd w:id="528"/>
    <w:bookmarkStart w:id="529" w:name="studi-su-animali-e-in-laboratorio-28"/>
    <w:p>
      <w:pPr>
        <w:pStyle w:val="Heading3"/>
      </w:pPr>
      <w:r>
        <w:t xml:space="preserve">Studi su animali e in laboratorio</w:t>
      </w:r>
    </w:p>
    <w:p>
      <w:pPr>
        <w:pStyle w:val="FirstParagraph"/>
      </w:pPr>
      <w:r>
        <w:t xml:space="preserve">Gran parte della ricerca più recente riguarda la protezione degli organi:</w:t>
      </w:r>
    </w:p>
    <w:p>
      <w:pPr>
        <w:numPr>
          <w:ilvl w:val="0"/>
          <w:numId w:val="1165"/>
        </w:numPr>
        <w:pStyle w:val="Compact"/>
      </w:pPr>
      <w:r>
        <w:rPr>
          <w:bCs/>
          <w:b/>
        </w:rPr>
        <w:t xml:space="preserve">Cuore (ratti):</w:t>
      </w:r>
      <w:r>
        <w:t xml:space="preserve"> </w:t>
      </w:r>
      <w:r>
        <w:t xml:space="preserve">in ratti trattati con il chemioterapico cardiotossico doxorubicina, la somministrazione contemporanea di GHRP-6 ha impedito la dilatazione dei ventricoli e ha preservato la funzione di pompa (Berlanga-Acosta 2024, PMID 38873418).</w:t>
      </w:r>
    </w:p>
    <w:p>
      <w:pPr>
        <w:numPr>
          <w:ilvl w:val="0"/>
          <w:numId w:val="1165"/>
        </w:numPr>
        <w:pStyle w:val="Compact"/>
      </w:pPr>
      <w:r>
        <w:rPr>
          <w:bCs/>
          <w:b/>
        </w:rPr>
        <w:t xml:space="preserve">Insufficienza multiorgano (ratti, colture cellulari):</w:t>
      </w:r>
      <w:r>
        <w:t xml:space="preserve"> </w:t>
      </w:r>
      <w:r>
        <w:t xml:space="preserve">dopo un’interruzione temporanea della perfusione epatica il GHRP-6 ha ridotto i danni a fegato e intestino; in colture cellulari ha accelerato la migrazione delle cellule intestinali (Cibrián 2006, PMID 16417467).</w:t>
      </w:r>
    </w:p>
    <w:p>
      <w:pPr>
        <w:numPr>
          <w:ilvl w:val="0"/>
          <w:numId w:val="1165"/>
        </w:numPr>
        <w:pStyle w:val="Compact"/>
      </w:pPr>
      <w:r>
        <w:rPr>
          <w:bCs/>
          <w:b/>
        </w:rPr>
        <w:t xml:space="preserve">Sistema nervoso (ratti, topi):</w:t>
      </w:r>
      <w:r>
        <w:t xml:space="preserve"> </w:t>
      </w:r>
      <w:r>
        <w:t xml:space="preserve">in un modello animale di sclerosi multipla solo la combinazione di GHRP-6 con il fattore di crescita EGF ha migliorato il decorso della malattia, non il GHRP-6 da solo (del Barco 2011, PMID 21697595).</w:t>
      </w:r>
    </w:p>
    <w:p>
      <w:pPr>
        <w:pStyle w:val="FirstParagraph"/>
      </w:pPr>
      <w:r>
        <w:t xml:space="preserve">Nessuno di questi approcci ha finora portato a uno studio controllato pubblicato sull’uomo.</w:t>
      </w:r>
    </w:p>
    <w:bookmarkEnd w:id="529"/>
    <w:bookmarkStart w:id="530" w:name="rischi-ed-effetti-collaterali-28"/>
    <w:p>
      <w:pPr>
        <w:pStyle w:val="Heading3"/>
      </w:pPr>
      <w:r>
        <w:t xml:space="preserve">Rischi ed effetti collaterali</w:t>
      </w:r>
    </w:p>
    <w:p>
      <w:pPr>
        <w:pStyle w:val="FirstParagraph"/>
      </w:pPr>
      <w:r>
        <w:rPr>
          <w:bCs/>
          <w:b/>
        </w:rPr>
        <w:t xml:space="preserve">Documentati dagli studi a breve termine:</w:t>
      </w:r>
      <w:r>
        <w:t xml:space="preserve"> </w:t>
      </w:r>
      <w:r>
        <w:t xml:space="preserve">sensazione di calore (flush) (Petersenn 2002, PMID 11980622); aumento di ACTH, cortisolo e prolattina (Frieboes 1995, PMID 7617137); fame come noto effetto della grelina. Negli studi diagnostici con dosi singole non si sono verificati altri effetti collaterali rilevanti.</w:t>
      </w:r>
    </w:p>
    <w:p>
      <w:pPr>
        <w:pStyle w:val="BodyText"/>
      </w:pPr>
      <w:r>
        <w:rPr>
          <w:bCs/>
          <w:b/>
        </w:rPr>
        <w:t xml:space="preserve">Sconosciuti:</w:t>
      </w:r>
      <w:r>
        <w:t xml:space="preserve"> </w:t>
      </w:r>
      <w:r>
        <w:t xml:space="preserve">non esistono studi sull’uomo sull’uso ripetuto per settimane o mesi. Con un uso continuativo sono ipotizzabili le note conseguenze di livelli elevati di ormone della crescita e di una stimolazione ripetuta del cortisolo, per esempio un peggioramento della regolazione glicemica. Un caso clinico descrive un bodybuilder che per decenni aveva usato ormone della crescita e secretagoghi, tra cui una combinazione di sermorelina e GHRP-6, e aveva sviluppato un grosso osteofita alla colonna cervicale; un nesso causale non è dimostrato (Perez 2026, PMID 42465868). Sulla questione del cancro si veda l’introduzione di questo gruppo e la Parte IV.</w:t>
      </w:r>
    </w:p>
    <w:p>
      <w:pPr>
        <w:pStyle w:val="BodyText"/>
      </w:pPr>
      <w:r>
        <w:rPr>
          <w:bCs/>
          <w:b/>
        </w:rPr>
        <w:t xml:space="preserve">Mercato grigio:</w:t>
      </w:r>
      <w:r>
        <w:t xml:space="preserve"> </w:t>
      </w:r>
      <w:r>
        <w:t xml:space="preserve">in prodotti sequestrati è stato rilevato «Gly-GHRP-6», una variante non dichiarata con un amminoacido aggiuntivo (Krug 2018, PMID 29864719).</w:t>
      </w:r>
    </w:p>
    <w:bookmarkEnd w:id="530"/>
    <w:bookmarkStart w:id="531" w:name="quadro-normativo-28"/>
    <w:p>
      <w:pPr>
        <w:pStyle w:val="Heading3"/>
      </w:pPr>
      <w:r>
        <w:t xml:space="preserve">Quadro normativo</w:t>
      </w:r>
    </w:p>
    <w:p>
      <w:pPr>
        <w:pStyle w:val="FirstParagraph"/>
      </w:pPr>
      <w:r>
        <w:rPr>
          <w:iCs/>
          <w:i/>
        </w:rPr>
        <w:t xml:space="preserve">Aggiornato al 2026, da verificare.</w:t>
      </w:r>
    </w:p>
    <w:p>
      <w:pPr>
        <w:numPr>
          <w:ilvl w:val="0"/>
          <w:numId w:val="1166"/>
        </w:numPr>
        <w:pStyle w:val="Compact"/>
      </w:pPr>
      <w:r>
        <w:rPr>
          <w:bCs/>
          <w:b/>
        </w:rPr>
        <w:t xml:space="preserve">UE, Germania, Austria, USA:</w:t>
      </w:r>
      <w:r>
        <w:t xml:space="preserve"> </w:t>
      </w:r>
      <w:r>
        <w:t xml:space="preserve">nessuna autorizzazione come medicinale; la cessione per uso umano non è consentita. Nella ricerca il GHRP-6 viene impiegato nell’ambito di studi autorizzati.</w:t>
      </w:r>
    </w:p>
    <w:p>
      <w:pPr>
        <w:numPr>
          <w:ilvl w:val="0"/>
          <w:numId w:val="1166"/>
        </w:numPr>
        <w:pStyle w:val="Compact"/>
      </w:pPr>
      <w:r>
        <w:rPr>
          <w:bCs/>
          <w:b/>
        </w:rPr>
        <w:t xml:space="preserve">WADA:</w:t>
      </w:r>
      <w:r>
        <w:t xml:space="preserve"> </w:t>
      </w:r>
      <w:r>
        <w:t xml:space="preserve">vietato (S2). Il GHRP-6 viene escreto con le urine in gran parte immodificato ed è risultato rilevabile per 23 ore dopo la somministrazione come spray nasale in un volontario (Semenistaya 2015, PMID 25869809).</w:t>
      </w:r>
    </w:p>
    <w:bookmarkEnd w:id="531"/>
    <w:bookmarkStart w:id="532" w:name="studi-in-corso-e-prospettive-28"/>
    <w:p>
      <w:pPr>
        <w:pStyle w:val="Heading3"/>
      </w:pPr>
      <w:r>
        <w:t xml:space="preserve">Studi in corso e prospettive</w:t>
      </w:r>
    </w:p>
    <w:p>
      <w:pPr>
        <w:pStyle w:val="FirstParagraph"/>
      </w:pPr>
      <w:r>
        <w:t xml:space="preserve">Su ClinicalTrials.gov a ottobre 2026 non è registrato alcuno studio con GHRP-6.</w:t>
      </w:r>
      <w:r>
        <w:t xml:space="preserve"> </w:t>
      </w:r>
      <w:r>
        <w:rPr>
          <w:iCs/>
          <w:i/>
        </w:rPr>
        <w:t xml:space="preserve">Valutazione dell’autore:</w:t>
      </w:r>
      <w:r>
        <w:t xml:space="preserve"> </w:t>
      </w:r>
      <w:r>
        <w:t xml:space="preserve">i lavori sugli animali relativi alla protezione degli organi sono l’unica linea di sviluppo riconoscibile; se ne nasceranno studi sull’uomo è incerto. Nella diagnostica il GHRP-6 è stato in gran parte sostituito da altri test.</w:t>
      </w:r>
    </w:p>
    <w:bookmarkEnd w:id="532"/>
    <w:bookmarkStart w:id="533" w:name="conclusione-28"/>
    <w:p>
      <w:pPr>
        <w:pStyle w:val="Heading3"/>
      </w:pPr>
      <w:r>
        <w:t xml:space="preserve">Conclusione</w:t>
      </w:r>
    </w:p>
    <w:p>
      <w:pPr>
        <w:pStyle w:val="FirstParagraph"/>
      </w:pPr>
      <w:r>
        <w:t xml:space="preserve">Il GHRP-6 è stato il primo peptide artificiale a rilasciare in modo mirato ormone della crescita e ha contribuito in modo decisivo alla scoperta del sistema della grelina. Nell’uomo è stato studiato quasi solo come sostanza per test somministrata una volta, tra l’altro in un grande studio pubblicato su Lancet sulla diagnosi del deficit di ormone della crescita. Non esiste un beneficio terapeutico dimostrato, e sull’uso ripetuto, come pubblicizzato sul mercato grigio, mancano del tutto i dati.</w:t>
      </w:r>
    </w:p>
    <w:bookmarkEnd w:id="533"/>
    <w:bookmarkEnd w:id="534"/>
    <w:bookmarkStart w:id="546" w:name="exarelina"/>
    <w:p>
      <w:pPr>
        <w:pStyle w:val="Heading2"/>
      </w:pPr>
      <w:r>
        <w:t xml:space="preserve">Exarelina</w:t>
      </w:r>
    </w:p>
    <w:p>
      <w:pPr>
        <w:pStyle w:val="FirstParagraph"/>
      </w:pPr>
      <w:r>
        <w:t xml:space="preserve">L’exarelina è una stretta parente del GHRP-6 e uno dei più potenti secretagoghi artificiali dell’ormone della crescita in assoluto. Negli anni Novanta è stata studiata intensamente sull’uomo, soprattutto in Italia. In quel contesto è emerso qualcosa di inatteso: l’exarelina sembra agire direttamente sul cuore, indipendentemente dall’ormone della crescita. Un’autorizzazione non è comunque arrivata. Uno dei motivi risiedeva in una debolezza tipica di questa classe di sostanze: con l’uso continuativo l’effetto diminuisce.</w:t>
      </w:r>
    </w:p>
    <w:bookmarkStart w:id="535" w:name="scheda-29"/>
    <w:p>
      <w:pPr>
        <w:pStyle w:val="Heading3"/>
      </w:pPr>
      <w:r>
        <w:t xml:space="preserve">Scheda</w:t>
      </w:r>
    </w:p>
    <w:p>
      <w:pPr>
        <w:numPr>
          <w:ilvl w:val="0"/>
          <w:numId w:val="1167"/>
        </w:numPr>
        <w:pStyle w:val="Compact"/>
      </w:pPr>
      <w:r>
        <w:rPr>
          <w:bCs/>
          <w:b/>
        </w:rPr>
        <w:t xml:space="preserve">Tipo e struttura:</w:t>
      </w:r>
      <w:r>
        <w:t xml:space="preserve"> </w:t>
      </w:r>
      <w:r>
        <w:t xml:space="preserve">esapeptide sintetico His-D-2-metil-Trp-Ala-Trp-D-Phe-Lys-NH2; si distingue dal GHRP-6 per un gruppo metile aggiuntivo sul secondo elemento (Imbimbo 1994, PMID 7957536).</w:t>
      </w:r>
    </w:p>
    <w:p>
      <w:pPr>
        <w:numPr>
          <w:ilvl w:val="0"/>
          <w:numId w:val="1167"/>
        </w:numPr>
        <w:pStyle w:val="Compact"/>
      </w:pPr>
      <w:r>
        <w:rPr>
          <w:bCs/>
          <w:b/>
        </w:rPr>
        <w:t xml:space="preserve">Origine:</w:t>
      </w:r>
      <w:r>
        <w:t xml:space="preserve"> </w:t>
      </w:r>
      <w:r>
        <w:t xml:space="preserve">sviluppata all’inizio degli anni Novanta come variante del GHRP-6; gran parte della ricerca clinica proviene da centri universitari italiani.</w:t>
      </w:r>
    </w:p>
    <w:p>
      <w:pPr>
        <w:numPr>
          <w:ilvl w:val="0"/>
          <w:numId w:val="1167"/>
        </w:numPr>
        <w:pStyle w:val="Compact"/>
      </w:pPr>
      <w:r>
        <w:rPr>
          <w:bCs/>
          <w:b/>
        </w:rPr>
        <w:t xml:space="preserve">Principio d’azione:</w:t>
      </w:r>
      <w:r>
        <w:t xml:space="preserve"> </w:t>
      </w:r>
      <w:r>
        <w:t xml:space="preserve">agonista del recettore della grelina (GHS-R1a); rilascia ormone della crescita, ACTH, cortisolo e prolattina. Inoltre l’exarelina si lega al recettore CD36 nel tessuto cardiaco, tramite il quale si ipotizzano effetti cardiaci indipendenti dal GH (Mao 2014, PMID 25278975).</w:t>
      </w:r>
    </w:p>
    <w:p>
      <w:pPr>
        <w:numPr>
          <w:ilvl w:val="0"/>
          <w:numId w:val="1167"/>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67"/>
        </w:numPr>
        <w:pStyle w:val="Compact"/>
      </w:pPr>
      <w:r>
        <w:rPr>
          <w:bCs/>
          <w:b/>
        </w:rPr>
        <w:t xml:space="preserve">WADA:</w:t>
      </w:r>
      <w:r>
        <w:t xml:space="preserve"> </w:t>
      </w:r>
      <w:r>
        <w:t xml:space="preserve">vietata, classe S2; l’exarelina è espressamente citata come peptide che rilascia l’ormone della crescita.</w:t>
      </w:r>
    </w:p>
    <w:p>
      <w:pPr>
        <w:numPr>
          <w:ilvl w:val="0"/>
          <w:numId w:val="1167"/>
        </w:numPr>
        <w:pStyle w:val="Compact"/>
      </w:pPr>
      <w:r>
        <w:rPr>
          <w:bCs/>
          <w:b/>
        </w:rPr>
        <w:t xml:space="preserve">Livello di evidenza: C</w:t>
      </w:r>
      <w:r>
        <w:t xml:space="preserve"> </w:t>
      </w:r>
      <w:r>
        <w:t xml:space="preserve">– numerosi piccoli studi, molti dei quali randomizzati, ma quasi esclusivamente con somministrazioni singole e parametri ormonali o di fisiologia circolatoria; nessuno studio su un endpoint clinico.</w:t>
      </w:r>
    </w:p>
    <w:bookmarkEnd w:id="535"/>
    <w:bookmarkStart w:id="536" w:name="come-dovrebbe-agire-29"/>
    <w:p>
      <w:pPr>
        <w:pStyle w:val="Heading3"/>
      </w:pPr>
      <w:r>
        <w:t xml:space="preserve">Come dovrebbe agire</w:t>
      </w:r>
    </w:p>
    <w:p>
      <w:pPr>
        <w:pStyle w:val="FirstParagraph"/>
      </w:pPr>
      <w:r>
        <w:t xml:space="preserve">Come GHRP-6 e GHRP-2, l’exarelina imita l’ormone gastrico grelina e stimola così la secrezione dell’ormone della crescita. Il suo effetto dipende da una connessione intatta tra diencefalo e ipofisi: in bambini e adulti nei quali questa connessione era interrotta anatomicamente, la risposta del GH era assente o fortemente attenuata, mentre nel deficit idiopatico era marcata (Loche 1995, PMID 7673411).</w:t>
      </w:r>
    </w:p>
    <w:p>
      <w:pPr>
        <w:pStyle w:val="BodyText"/>
      </w:pPr>
      <w:r>
        <w:t xml:space="preserve">La seconda idea, autonoma, riguarda il cuore. I recettori della grelina e la molecola scavenger CD36 sono presenti anche nel muscolo cardiaco. L’exarelina potrebbe quindi aumentare direttamente la forza di pompa del cuore, un possibile approccio nell’insufficienza cardiaca, indipendente dall’ormone della crescita.</w:t>
      </w:r>
    </w:p>
    <w:bookmarkEnd w:id="536"/>
    <w:bookmarkStart w:id="540" w:name="studi-sulluomo-29"/>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58</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La maggior parte degli studi risale agli anni dal 1994 al 2004 ed esamina, con somministrazioni singole, come la risposta ormonale dipenda da età, sesso, alimentazione, farmaci o malattie. Alcune voci dell’elenco si occupano principalmente di grelina o GHRP-6 e usano l’exarelina solo come confronto.</w:t>
      </w:r>
    </w:p>
    <w:bookmarkStart w:id="537" w:name="effetto-ormonale-e-dose"/>
    <w:p>
      <w:pPr>
        <w:pStyle w:val="Heading4"/>
      </w:pPr>
      <w:r>
        <w:t xml:space="preserve">Effetto ormonale e dose</w:t>
      </w:r>
    </w:p>
    <w:p>
      <w:pPr>
        <w:pStyle w:val="FirstParagraph"/>
      </w:pPr>
      <w:r>
        <w:t xml:space="preserve">In uno studio in doppio cieco e controllato con placebo su dodici uomini sani, l’ormone della crescita è aumentato in modo dose-dipendente dopo somministrazione endovenosa, con un picco dopo circa 30 minuti e ritorno al valore iniziale entro quattro ore (Imbimbo 1994, PMID 7957536). L’exarelina ha rilasciato in modo dose-dipendente anche prolattina e cortisolo; in combinazione con il GHRH una bassa dose di exarelina è bastata per una massiccia secrezione di GH senza aumento del cortisolo (Massoud 1996, PMID 8954038). L’attivazione dell’asse degli ormoni dello stress passa evidentemente per il diencefalo; in uno studio con 15 giovani uomini l’exarelina ha anche aumentato a breve termine l’appetito (Korbonits 1999, PMID 10404825).</w:t>
      </w:r>
    </w:p>
    <w:bookmarkEnd w:id="537"/>
    <w:bookmarkStart w:id="538" w:name="Xf625b82fbdea798a8f45e4908d706c3b43321ce"/>
    <w:p>
      <w:pPr>
        <w:pStyle w:val="Heading4"/>
      </w:pPr>
      <w:r>
        <w:t xml:space="preserve">Somministrazione prolungata: l’effetto diminuisce</w:t>
      </w:r>
    </w:p>
    <w:p>
      <w:pPr>
        <w:pStyle w:val="FirstParagraph"/>
      </w:pPr>
      <w:r>
        <w:t xml:space="preserve">Decisivo per una terapia è se l’effetto persiste con somministrazioni ripetute. In adulti che per 16 settimane si sono iniettati sotto la pelle exarelina due volte al giorno, la risposta del GH è diminuita nettamente e si è ripresa solo quattro settimane dopo la sospensione. IGF-1, grasso corporeo, massa muscolare e densità ossea non sono cambiati in modo significativo (Rahim 1998, PMID 9589671). Nello stesso studio anche la risposta del cortisolo si è temporaneamente attenuata (Rahim 1999, PMID 10341859).</w:t>
      </w:r>
    </w:p>
    <w:p>
      <w:pPr>
        <w:pStyle w:val="BodyText"/>
      </w:pPr>
      <w:r>
        <w:t xml:space="preserve">Nei bambini di bassa statura il quadro era un po’ più favorevole: con lo spray nasale la velocità di crescita di otto bambini è aumentata da 5,3 a 8,3 cm all’anno, e l’IGF-1 è aumentato (Laron 1995, PMID 8548949). Uno studio successivo con sette bambini ha mostrato che la risposta del GH dell’ipofisi si era già circa dimezzata dopo sette giorni, ma la crescita più rapida continuava comunque (Klinger 1996, PMID 8766941).</w:t>
      </w:r>
    </w:p>
    <w:bookmarkEnd w:id="538"/>
    <w:bookmarkStart w:id="539" w:name="effetti-cardiaci"/>
    <w:p>
      <w:pPr>
        <w:pStyle w:val="Heading4"/>
      </w:pPr>
      <w:r>
        <w:t xml:space="preserve">Effetti cardiaci</w:t>
      </w:r>
    </w:p>
    <w:p>
      <w:pPr>
        <w:pStyle w:val="FirstParagraph"/>
      </w:pPr>
      <w:r>
        <w:t xml:space="preserve">Diversi piccoli studi di un gruppo di lavoro italiano hanno esaminato il cuore:</w:t>
      </w:r>
    </w:p>
    <w:p>
      <w:pPr>
        <w:numPr>
          <w:ilvl w:val="0"/>
          <w:numId w:val="1168"/>
        </w:numPr>
        <w:pStyle w:val="Compact"/>
      </w:pPr>
      <w:r>
        <w:t xml:space="preserve">In sette uomini con deficit di ormone della crescita e nove persone sane di controllo, la frazione di eiezione ventricolare sinistra (la quota di sangue che il ventricolo sinistro espelle a ogni battito) è aumentata in entrambi i gruppi dopo una singola somministrazione di exarelina, sebbene i pazienti secernessero pochissimo ormone della crescita. Gli autori ne deducono un effetto indipendente dal GH (Bisi 1999, PMID 10528131).</w:t>
      </w:r>
    </w:p>
    <w:p>
      <w:pPr>
        <w:numPr>
          <w:ilvl w:val="0"/>
          <w:numId w:val="1168"/>
        </w:numPr>
        <w:pStyle w:val="Compact"/>
      </w:pPr>
      <w:r>
        <w:t xml:space="preserve">In pazienti con grave cardiomiopatia dilatativa questo effetto è invece mancato (Broglio 2001, PMID 11322491).</w:t>
      </w:r>
    </w:p>
    <w:p>
      <w:pPr>
        <w:numPr>
          <w:ilvl w:val="0"/>
          <w:numId w:val="1168"/>
        </w:numPr>
        <w:pStyle w:val="Compact"/>
      </w:pPr>
      <w:r>
        <w:t xml:space="preserve">In 24 uomini con cardiopatia coronarica durante un intervento di bypass, l’exarelina ha aumentato frazione di eiezione e gittata cardiaca fino a 90 minuti, mentre GHRH, ormone della crescita e placebo non hanno avuto effetto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Ricerca della dose (Imbimbo 1994), PMID 7957536</w:t>
            </w:r>
          </w:p>
        </w:tc>
        <w:tc>
          <w:tcPr/>
          <w:p>
            <w:pPr>
              <w:pStyle w:val="Compact"/>
              <w:jc w:val="left"/>
            </w:pPr>
            <w:r>
              <w:t xml:space="preserve">12 uomini sani, doppio cieco, placebo, dosi crescenti</w:t>
            </w:r>
          </w:p>
        </w:tc>
        <w:tc>
          <w:tcPr/>
          <w:p>
            <w:pPr>
              <w:pStyle w:val="Compact"/>
              <w:jc w:val="left"/>
            </w:pPr>
            <w:r>
              <w:t xml:space="preserve">somministrazioni singole</w:t>
            </w:r>
          </w:p>
        </w:tc>
        <w:tc>
          <w:tcPr/>
          <w:p>
            <w:pPr>
              <w:pStyle w:val="Compact"/>
              <w:jc w:val="left"/>
            </w:pPr>
            <w:r>
              <w:t xml:space="preserve">picco di GH dopo circa 30 min, dose-dipendente</w:t>
            </w:r>
          </w:p>
        </w:tc>
      </w:tr>
      <w:tr>
        <w:tc>
          <w:tcPr/>
          <w:p>
            <w:pPr>
              <w:pStyle w:val="Compact"/>
              <w:jc w:val="left"/>
            </w:pPr>
            <w:r>
              <w:t xml:space="preserve">Somministrazione prolungata (Rahim 1998), PMID 9589671</w:t>
            </w:r>
          </w:p>
        </w:tc>
        <w:tc>
          <w:tcPr/>
          <w:p>
            <w:pPr>
              <w:pStyle w:val="Compact"/>
              <w:jc w:val="left"/>
            </w:pPr>
            <w:r>
              <w:t xml:space="preserve">adulti, senza gruppo di controllo</w:t>
            </w:r>
          </w:p>
        </w:tc>
        <w:tc>
          <w:tcPr/>
          <w:p>
            <w:pPr>
              <w:pStyle w:val="Compact"/>
              <w:jc w:val="left"/>
            </w:pPr>
            <w:r>
              <w:t xml:space="preserve">16 settimane</w:t>
            </w:r>
          </w:p>
        </w:tc>
        <w:tc>
          <w:tcPr/>
          <w:p>
            <w:pPr>
              <w:pStyle w:val="Compact"/>
              <w:jc w:val="left"/>
            </w:pPr>
            <w:r>
              <w:t xml:space="preserve">risposta del GH attenuata; IGF-1 e composizione corporea invariati</w:t>
            </w:r>
          </w:p>
        </w:tc>
      </w:tr>
      <w:tr>
        <w:tc>
          <w:tcPr/>
          <w:p>
            <w:pPr>
              <w:pStyle w:val="Compact"/>
              <w:jc w:val="left"/>
            </w:pPr>
            <w:r>
              <w:t xml:space="preserve">Bambini, spray nasale (Laron 1995), PMID 8548949</w:t>
            </w:r>
          </w:p>
        </w:tc>
        <w:tc>
          <w:tcPr/>
          <w:p>
            <w:pPr>
              <w:pStyle w:val="Compact"/>
              <w:jc w:val="left"/>
            </w:pPr>
            <w:r>
              <w:t xml:space="preserve">8 bambini di bassa statura, senza gruppo di controllo</w:t>
            </w:r>
          </w:p>
        </w:tc>
        <w:tc>
          <w:tcPr/>
          <w:p>
            <w:pPr>
              <w:pStyle w:val="Compact"/>
              <w:jc w:val="left"/>
            </w:pPr>
            <w:r>
              <w:t xml:space="preserve">fino a 8 mesi</w:t>
            </w:r>
          </w:p>
        </w:tc>
        <w:tc>
          <w:tcPr/>
          <w:p>
            <w:pPr>
              <w:pStyle w:val="Compact"/>
              <w:jc w:val="left"/>
            </w:pPr>
            <w:r>
              <w:t xml:space="preserve">crescita 5,3 → 8,3 cm/anno</w:t>
            </w:r>
          </w:p>
        </w:tc>
      </w:tr>
      <w:tr>
        <w:tc>
          <w:tcPr/>
          <w:p>
            <w:pPr>
              <w:pStyle w:val="Compact"/>
              <w:jc w:val="left"/>
            </w:pPr>
            <w:r>
              <w:t xml:space="preserve">Cuore, deficit di GH (Bisi 1999), PMID 10528131</w:t>
            </w:r>
          </w:p>
        </w:tc>
        <w:tc>
          <w:tcPr/>
          <w:p>
            <w:pPr>
              <w:pStyle w:val="Compact"/>
              <w:jc w:val="left"/>
            </w:pPr>
            <w:r>
              <w:t xml:space="preserve">7 uomini con deficit di GH, 9 persone sane</w:t>
            </w:r>
          </w:p>
        </w:tc>
        <w:tc>
          <w:tcPr/>
          <w:p>
            <w:pPr>
              <w:pStyle w:val="Compact"/>
              <w:jc w:val="left"/>
            </w:pPr>
            <w:r>
              <w:t xml:space="preserve">somministrazione singola</w:t>
            </w:r>
          </w:p>
        </w:tc>
        <w:tc>
          <w:tcPr/>
          <w:p>
            <w:pPr>
              <w:pStyle w:val="Compact"/>
              <w:jc w:val="left"/>
            </w:pPr>
            <w:r>
              <w:t xml:space="preserve">frazione di eiezione 50 → 57% e 63 → 70%</w:t>
            </w:r>
          </w:p>
        </w:tc>
      </w:tr>
      <w:tr>
        <w:tc>
          <w:tcPr/>
          <w:p>
            <w:pPr>
              <w:pStyle w:val="Compact"/>
              <w:jc w:val="left"/>
            </w:pPr>
            <w:r>
              <w:t xml:space="preserve">Cuore, intervento di bypass (Broglio 2002), PMID 12144941</w:t>
            </w:r>
          </w:p>
        </w:tc>
        <w:tc>
          <w:tcPr/>
          <w:p>
            <w:pPr>
              <w:pStyle w:val="Compact"/>
              <w:jc w:val="left"/>
            </w:pPr>
            <w:r>
              <w:t xml:space="preserve">24 uomini con cardiopatia coronarica, confronto con GHRH, GH, placebo</w:t>
            </w:r>
          </w:p>
        </w:tc>
        <w:tc>
          <w:tcPr/>
          <w:p>
            <w:pPr>
              <w:pStyle w:val="Compact"/>
              <w:jc w:val="left"/>
            </w:pPr>
            <w:r>
              <w:t xml:space="preserve">somministrazione singola</w:t>
            </w:r>
          </w:p>
        </w:tc>
        <w:tc>
          <w:tcPr/>
          <w:p>
            <w:pPr>
              <w:pStyle w:val="Compact"/>
              <w:jc w:val="left"/>
            </w:pPr>
            <w:r>
              <w:t xml:space="preserve">frazione di eiezione e gittata cardiaca ↑</w:t>
            </w:r>
          </w:p>
        </w:tc>
      </w:tr>
    </w:tbl>
    <w:bookmarkEnd w:id="539"/>
    <w:bookmarkEnd w:id="540"/>
    <w:bookmarkStart w:id="541" w:name="studi-su-animali-e-in-laboratorio-29"/>
    <w:p>
      <w:pPr>
        <w:pStyle w:val="Heading3"/>
      </w:pPr>
      <w:r>
        <w:t xml:space="preserve">Studi su animali e in laboratorio</w:t>
      </w:r>
    </w:p>
    <w:p>
      <w:pPr>
        <w:numPr>
          <w:ilvl w:val="0"/>
          <w:numId w:val="1169"/>
        </w:numPr>
        <w:pStyle w:val="Compact"/>
      </w:pPr>
      <w:r>
        <w:rPr>
          <w:bCs/>
          <w:b/>
        </w:rPr>
        <w:t xml:space="preserve">Infarto (ratti, topi):</w:t>
      </w:r>
      <w:r>
        <w:t xml:space="preserve"> </w:t>
      </w:r>
      <w:r>
        <w:t xml:space="preserve">in ratti quattro settimane dopo un infarto indotto artificialmente, l’exarelina ha migliorato nell’arco di due settimane la gittata sistolica e ridotto la resistenza vascolare in modo simile all’ormone della crescita (Tivesten 2000, PMID 10614623). In topi dopo infarto ha preservato la funzione di pompa e ridotto la cicatrizzazione del muscolo cardiaco (McDonald 2018, PMID 29756411).</w:t>
      </w:r>
    </w:p>
    <w:p>
      <w:pPr>
        <w:numPr>
          <w:ilvl w:val="0"/>
          <w:numId w:val="1169"/>
        </w:numPr>
        <w:pStyle w:val="Compact"/>
      </w:pPr>
      <w:r>
        <w:rPr>
          <w:bCs/>
          <w:b/>
        </w:rPr>
        <w:t xml:space="preserve">Meccanismo:</w:t>
      </w:r>
      <w:r>
        <w:t xml:space="preserve"> </w:t>
      </w:r>
      <w:r>
        <w:t xml:space="preserve">una rassegna descrive il CD36 come recettore cardiaco specifico per l’exarelina, che dovrebbe mediarne gli effetti protettivi (Mao 2014, PMID 25278975).</w:t>
      </w:r>
    </w:p>
    <w:bookmarkEnd w:id="541"/>
    <w:bookmarkStart w:id="542" w:name="rischi-ed-effetti-collaterali-29"/>
    <w:p>
      <w:pPr>
        <w:pStyle w:val="Heading3"/>
      </w:pPr>
      <w:r>
        <w:t xml:space="preserve">Rischi ed effetti collaterali</w:t>
      </w:r>
    </w:p>
    <w:p>
      <w:pPr>
        <w:pStyle w:val="FirstParagraph"/>
      </w:pPr>
      <w:r>
        <w:rPr>
          <w:bCs/>
          <w:b/>
        </w:rPr>
        <w:t xml:space="preserve">Documentati:</w:t>
      </w:r>
      <w:r>
        <w:t xml:space="preserve"> </w:t>
      </w:r>
      <w:r>
        <w:t xml:space="preserve">aumento di cortisolo, ACTH e prolattina (Massoud 1996, PMID 8954038; Korbonits 1999, PMID 10404825); aumento dell’appetito a breve termine (Korbonits 1999, PMID 10404825); calo dell’effetto con la somministrazione continuativa (Rahim 1998, PMID 9589671; Klinger 1996, PMID 8766941). Nei piccoli studi non sono stati riportati effetti collaterali gravi; nei bambini gli autori non hanno rilevato effetti indesiderati (Laron 1995, PMID 8548949).</w:t>
      </w:r>
    </w:p>
    <w:p>
      <w:pPr>
        <w:pStyle w:val="BodyText"/>
      </w:pPr>
      <w:r>
        <w:rPr>
          <w:bCs/>
          <w:b/>
        </w:rPr>
        <w:t xml:space="preserve">Sconosciuti:</w:t>
      </w:r>
      <w:r>
        <w:t xml:space="preserve"> </w:t>
      </w:r>
      <w:r>
        <w:t xml:space="preserve">mancano dati a lungo termine sulla sicurezza, in particolare sul cuore. Che una sostanza aumenti in acuto la forza di pompa non dice nulla sul fatto che nell’insufficienza cardiaca sia utile o dannosa a lungo termine; lo si potrebbe chiarire solo con appositi studi a lungo termine con endpoint clinici, che non esistono. Sulla questione di un rischio di cancro con ormone della crescita costantemente elevato si veda l’introduzione di questo gruppo e la Parte IV.</w:t>
      </w:r>
    </w:p>
    <w:bookmarkEnd w:id="542"/>
    <w:bookmarkStart w:id="543" w:name="quadro-normativo-29"/>
    <w:p>
      <w:pPr>
        <w:pStyle w:val="Heading3"/>
      </w:pPr>
      <w:r>
        <w:t xml:space="preserve">Quadro normativo</w:t>
      </w:r>
    </w:p>
    <w:p>
      <w:pPr>
        <w:pStyle w:val="FirstParagraph"/>
      </w:pPr>
      <w:r>
        <w:rPr>
          <w:iCs/>
          <w:i/>
        </w:rPr>
        <w:t xml:space="preserve">Aggiornato al 2026, da verificare.</w:t>
      </w:r>
    </w:p>
    <w:p>
      <w:pPr>
        <w:numPr>
          <w:ilvl w:val="0"/>
          <w:numId w:val="1170"/>
        </w:numPr>
        <w:pStyle w:val="Compact"/>
      </w:pPr>
      <w:r>
        <w:rPr>
          <w:bCs/>
          <w:b/>
        </w:rPr>
        <w:t xml:space="preserve">UE, Germania, Austria, USA:</w:t>
      </w:r>
      <w:r>
        <w:t xml:space="preserve"> </w:t>
      </w:r>
      <w:r>
        <w:t xml:space="preserve">nessuna autorizzazione come medicinale; la cessione per uso umano non è consentita.</w:t>
      </w:r>
    </w:p>
    <w:p>
      <w:pPr>
        <w:numPr>
          <w:ilvl w:val="0"/>
          <w:numId w:val="1170"/>
        </w:numPr>
        <w:pStyle w:val="Compact"/>
      </w:pPr>
      <w:r>
        <w:rPr>
          <w:bCs/>
          <w:b/>
        </w:rPr>
        <w:t xml:space="preserve">WADA:</w:t>
      </w:r>
      <w:r>
        <w:t xml:space="preserve"> </w:t>
      </w:r>
      <w:r>
        <w:t xml:space="preserve">vietata (S2). L’exarelina viene ampiamente degradata nell’organismo; i prodotti di degradazione restano rilevabili nelle urine dopo la scomparsa della sostanza di partenza (Semenistaya 2015, PMID 25869809).</w:t>
      </w:r>
    </w:p>
    <w:bookmarkEnd w:id="543"/>
    <w:bookmarkStart w:id="544" w:name="studi-in-corso-e-prospettive-29"/>
    <w:p>
      <w:pPr>
        <w:pStyle w:val="Heading3"/>
      </w:pPr>
      <w:r>
        <w:t xml:space="preserve">Studi in corso e prospettive</w:t>
      </w:r>
    </w:p>
    <w:p>
      <w:pPr>
        <w:pStyle w:val="FirstParagraph"/>
      </w:pPr>
      <w:r>
        <w:t xml:space="preserve">Su ClinicalTrials.gov a ottobre 2026 non è registrato alcuno studio con exarelina.</w:t>
      </w:r>
      <w:r>
        <w:t xml:space="preserve"> </w:t>
      </w:r>
      <w:r>
        <w:rPr>
          <w:iCs/>
          <w:i/>
        </w:rPr>
        <w:t xml:space="preserve">Valutazione dell’autore:</w:t>
      </w:r>
      <w:r>
        <w:t xml:space="preserve"> </w:t>
      </w:r>
      <w:r>
        <w:t xml:space="preserve">la ricerca sul cuore prosegue, ma solo nel modello animale. Uno sviluppo clinico presupporrebbe un’azienda che detenga i diritti e finanzi gli studi, e al momento non se ne vede alcuna.</w:t>
      </w:r>
    </w:p>
    <w:bookmarkEnd w:id="544"/>
    <w:bookmarkStart w:id="545" w:name="conclusione-29"/>
    <w:p>
      <w:pPr>
        <w:pStyle w:val="Heading3"/>
      </w:pPr>
      <w:r>
        <w:t xml:space="preserve">Conclusione</w:t>
      </w:r>
    </w:p>
    <w:p>
      <w:pPr>
        <w:pStyle w:val="FirstParagraph"/>
      </w:pPr>
      <w:r>
        <w:t xml:space="preserve">L’exarelina rilascia nell’uomo grandi quantità di ormone della crescita, ma anche ormoni dello stress e prolattina, e con la somministrazione continuativa l’effetto diminuisce nettamente; in uno studio di 16 settimane IGF-1 e composizione corporea non sono cambiati. Interessanti sono piccoli studi in cui una singola somministrazione ha aumentato la forza di pompa del cuore, apparentemente indipendentemente dall’ormone della crescita. Se ne deriverà mai un beneficio per le persone con malattie cardiache è del tutto aperto; per crescita muscolare o ringiovanimento non esistono prove.</w:t>
      </w:r>
    </w:p>
    <w:bookmarkEnd w:id="545"/>
    <w:bookmarkEnd w:id="546"/>
    <w:bookmarkStart w:id="559" w:name="macimorelina"/>
    <w:p>
      <w:pPr>
        <w:pStyle w:val="Heading2"/>
      </w:pPr>
      <w:r>
        <w:t xml:space="preserve">Macimorelina</w:t>
      </w:r>
    </w:p>
    <w:p>
      <w:pPr>
        <w:pStyle w:val="FirstParagraph"/>
      </w:pPr>
      <w:r>
        <w:t xml:space="preserve">La macimorelina è il membro più sobrio di questo gruppo, e proprio per questo un buon controesempio rispetto ai peptidi del mercato grigio. Non viene usata per il trattamento, ma come test: una persona beve una soluzione contenente macimorelina, poi le viene prelevato il sangue più volte. Se l’ormone della crescita aumenta appena, ciò depone per un deficit di ormone della crescita. Per questo impiego la macimorelina è autorizzata negli Stati Uniti e nell’UE. È un esempio di come un mimetico della grelina, con studi comparativi rigorosi, possa diventare un vero medicinale.</w:t>
      </w:r>
    </w:p>
    <w:bookmarkStart w:id="547" w:name="scheda-30"/>
    <w:p>
      <w:pPr>
        <w:pStyle w:val="Heading3"/>
      </w:pPr>
      <w:r>
        <w:t xml:space="preserve">Scheda</w:t>
      </w:r>
    </w:p>
    <w:p>
      <w:pPr>
        <w:numPr>
          <w:ilvl w:val="0"/>
          <w:numId w:val="1171"/>
        </w:numPr>
        <w:pStyle w:val="Compact"/>
      </w:pPr>
      <w:r>
        <w:rPr>
          <w:bCs/>
          <w:b/>
        </w:rPr>
        <w:t xml:space="preserve">Tipo e struttura:</w:t>
      </w:r>
      <w:r>
        <w:t xml:space="preserve"> </w:t>
      </w:r>
      <w:r>
        <w:t xml:space="preserve">piccola molecola simile a un peptide (peptidomimetico), attiva dopo l’ingestione (Piccoli 2007, PMID 17284637). Denominazioni precedenti: EP01572, ARD-07, AEZS-130.</w:t>
      </w:r>
    </w:p>
    <w:p>
      <w:pPr>
        <w:numPr>
          <w:ilvl w:val="0"/>
          <w:numId w:val="1171"/>
        </w:numPr>
        <w:pStyle w:val="Compact"/>
      </w:pPr>
      <w:r>
        <w:rPr>
          <w:bCs/>
          <w:b/>
        </w:rPr>
        <w:t xml:space="preserve">Origine:</w:t>
      </w:r>
      <w:r>
        <w:t xml:space="preserve"> </w:t>
      </w:r>
      <w:r>
        <w:t xml:space="preserve">sviluppata dalla ricerca sui secretagoghi dell’ormone della crescita attivi per via orale; autorizzata su domanda di Aeterna Zentaris.</w:t>
      </w:r>
    </w:p>
    <w:p>
      <w:pPr>
        <w:numPr>
          <w:ilvl w:val="0"/>
          <w:numId w:val="1171"/>
        </w:numPr>
        <w:pStyle w:val="Compact"/>
      </w:pPr>
      <w:r>
        <w:rPr>
          <w:bCs/>
          <w:b/>
        </w:rPr>
        <w:t xml:space="preserve">Principio d’azione:</w:t>
      </w:r>
      <w:r>
        <w:t xml:space="preserve"> </w:t>
      </w:r>
      <w:r>
        <w:t xml:space="preserve">agonista del recettore della grelina (GHS-R1a); provoca un’unica secrezione di ormone della crescita, la cui entità riflette la capacità funzionale dell’ipofisi.</w:t>
      </w:r>
    </w:p>
    <w:p>
      <w:pPr>
        <w:numPr>
          <w:ilvl w:val="0"/>
          <w:numId w:val="1171"/>
        </w:numPr>
        <w:pStyle w:val="Compact"/>
      </w:pPr>
      <w:r>
        <w:rPr>
          <w:bCs/>
          <w:b/>
        </w:rPr>
        <w:t xml:space="preserve">Autorizzazione USA:</w:t>
      </w:r>
      <w:r>
        <w:t xml:space="preserve"> </w:t>
      </w:r>
      <w:r>
        <w:t xml:space="preserve">sì (Macrilen, dal 2017) per la diagnosi del deficit di ormone della crescita negli adulti.</w:t>
      </w:r>
      <w:r>
        <w:t xml:space="preserve"> </w:t>
      </w:r>
      <w:r>
        <w:rPr>
          <w:bCs/>
          <w:b/>
        </w:rPr>
        <w:t xml:space="preserve">Autorizzazione UE:</w:t>
      </w:r>
      <w:r>
        <w:t xml:space="preserve"> </w:t>
      </w:r>
      <w:r>
        <w:t xml:space="preserve">sì (autorizzazione centralizzata nel 2019) per la stessa indicazione. Sulla disponibilità attuale nei singoli Paesi si veda più avanti.</w:t>
      </w:r>
    </w:p>
    <w:p>
      <w:pPr>
        <w:numPr>
          <w:ilvl w:val="0"/>
          <w:numId w:val="1171"/>
        </w:numPr>
        <w:pStyle w:val="Compact"/>
      </w:pPr>
      <w:r>
        <w:rPr>
          <w:bCs/>
          <w:b/>
        </w:rPr>
        <w:t xml:space="preserve">WADA:</w:t>
      </w:r>
      <w:r>
        <w:t xml:space="preserve"> </w:t>
      </w:r>
      <w:r>
        <w:t xml:space="preserve">vietata, classe S2 (secretagoghi dell’ormone della crescita; la macimorelina è espressamente citata).</w:t>
      </w:r>
    </w:p>
    <w:p>
      <w:pPr>
        <w:numPr>
          <w:ilvl w:val="0"/>
          <w:numId w:val="1171"/>
        </w:numPr>
        <w:pStyle w:val="Compact"/>
      </w:pPr>
      <w:r>
        <w:rPr>
          <w:bCs/>
          <w:b/>
        </w:rPr>
        <w:t xml:space="preserve">Livello di evidenza: A</w:t>
      </w:r>
      <w:r>
        <w:t xml:space="preserve"> </w:t>
      </w:r>
      <w:r>
        <w:t xml:space="preserve">– due studi di fase 3 sull’accuratezza diagnostica, autorizzazione negli USA e nell’UE. Limitazione: si tratta di un diagnostico, non di una terapia.</w:t>
      </w:r>
    </w:p>
    <w:bookmarkEnd w:id="547"/>
    <w:bookmarkStart w:id="548" w:name="come-dovrebbe-agire-30"/>
    <w:p>
      <w:pPr>
        <w:pStyle w:val="Heading3"/>
      </w:pPr>
      <w:r>
        <w:t xml:space="preserve">Come dovrebbe agire</w:t>
      </w:r>
    </w:p>
    <w:p>
      <w:pPr>
        <w:pStyle w:val="FirstParagraph"/>
      </w:pPr>
      <w:r>
        <w:t xml:space="preserve">La diagnosi di un deficit di ormone della crescita negli adulti è difficile. Un singolo valore ematico non basta, perché l’ormone della crescita viene secreto a impulsi. Serve un test di stimolazione: l’ipofisi viene stimolata in modo mirato e si misura quanto ormone della crescita rilascia.</w:t>
      </w:r>
    </w:p>
    <w:p>
      <w:pPr>
        <w:pStyle w:val="BodyText"/>
      </w:pPr>
      <w:r>
        <w:t xml:space="preserve">Il test di riferimento è il test di ipoglicemia insulinica (test di tolleranza all’insulina, ITT). In questo test la glicemia viene abbassata intenzionalmente in modo marcato con l’insulina: è sgradevole, richiede sorveglianza medica e non è consentito in caso di malattie cardiache o crisi convulsive. La macimorelina offre un’alternativa: attiva il recettore della grelina, che provoca direttamente la secrezione dell’ormone della crescita, senza abbassare la glicemia. Poiché viene ingerita, non serve nemmeno un’infusione.</w:t>
      </w:r>
    </w:p>
    <w:bookmarkEnd w:id="548"/>
    <w:bookmarkStart w:id="553" w:name="studi-sulluomo-30"/>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4</w:t>
      </w:r>
      <w:r>
        <w:t xml:space="preserve"> </w:t>
      </w:r>
      <w:r>
        <w:t xml:space="preserve">studi sull’uomo in PubMed (</w:t>
      </w:r>
      <w:r>
        <w:rPr>
          <w:rStyle w:val="VerbatimChar"/>
        </w:rPr>
        <w:t xml:space="preserve">humanstudien_alle</w:t>
      </w:r>
      <w:r>
        <w:t xml:space="preserve">) e</w:t>
      </w:r>
      <w:r>
        <w:t xml:space="preserve"> </w:t>
      </w:r>
      <w:r>
        <w:rPr>
          <w:bCs/>
          <w:b/>
        </w:rPr>
        <w:t xml:space="preserve">6</w:t>
      </w:r>
      <w:r>
        <w:t xml:space="preserve"> </w:t>
      </w:r>
      <w:r>
        <w:t xml:space="preserve">voci su ClinicalTrials.gov. Una ricerca mirata supplementare ha individuato altri studi, tra cui il primo studio di fase 3, uno studio pediatrico, diversi lavori su persone sane e un’analisi dalla pratica clinica.</w:t>
      </w:r>
    </w:p>
    <w:bookmarkStart w:id="549" w:name="prima-farmacologia"/>
    <w:p>
      <w:pPr>
        <w:pStyle w:val="Heading4"/>
      </w:pPr>
      <w:r>
        <w:t xml:space="preserve">Prima farmacologia</w:t>
      </w:r>
    </w:p>
    <w:p>
      <w:pPr>
        <w:pStyle w:val="FirstParagraph"/>
      </w:pPr>
      <w:r>
        <w:t xml:space="preserve">Già nel 2007 uno studio con 36 uomini sani ha mostrato che la sostanza (allora EP01572), dopo l’ingestione, passa nel sangue rapidamente e in modo dose-dipendente e rilascia molto ormone della crescita (Piccoli 2007, PMID 17284637). In uno studio randomizzato di fase 1 con 28 persone sane l’emivita era di 3,5 ore per le due dosi più basse; il picco di GH si verificava dopo 45-60 minuti. ACTH, cortisolo e prolattina sono aumentati temporaneamente (Klaus 2020, PMID 32325373).</w:t>
      </w:r>
    </w:p>
    <w:bookmarkEnd w:id="549"/>
    <w:bookmarkStart w:id="550" w:name="gli-studi-registrativi-1"/>
    <w:p>
      <w:pPr>
        <w:pStyle w:val="Heading4"/>
      </w:pPr>
      <w:r>
        <w:t xml:space="preserve">Gli studi registrativi</w:t>
      </w:r>
    </w:p>
    <w:p>
      <w:pPr>
        <w:pStyle w:val="FirstParagraph"/>
      </w:pPr>
      <w:r>
        <w:rPr>
          <w:bCs/>
          <w:b/>
        </w:rPr>
        <w:t xml:space="preserve">Primo studio di fase 3:</w:t>
      </w:r>
      <w:r>
        <w:t xml:space="preserve"> </w:t>
      </w:r>
      <w:r>
        <w:t xml:space="preserve">in uno studio multicentrico in aperto la macimorelina è stata confrontata con il test combinato allora in uso con arginina e GHRH. Sono stati valutati 50 adulti con deficit di ormone della crescita e 48 persone sane. Il picco di GH era in media di 2,36 ng/ml nei pazienti e di 17,71 ng/ml nelle persone sane. Con un valore soglia di 2,7 ng/ml il test ha raggiunto una sensibilità dell’82% e una specificità del 92%. Come unico effetto collaterale grave correlato al farmaco è stato riportato un prolungamento asintomatico dell’intervallo QT all’ECG. Durante lo studio il preparato di GHRH (sermorelina) è stato ritirato dal mercato negli Stati Uniti, per cui una parte dei partecipanti è stata testata solo con macimorelina (Garcia 2013, PMID 23559086).</w:t>
      </w:r>
    </w:p>
    <w:p>
      <w:pPr>
        <w:pStyle w:val="BodyText"/>
      </w:pPr>
      <w:r>
        <w:rPr>
          <w:bCs/>
          <w:b/>
        </w:rPr>
        <w:t xml:space="preserve">Secondo studio di fase 3 (base dell’autorizzazione):</w:t>
      </w:r>
      <w:r>
        <w:t xml:space="preserve"> </w:t>
      </w:r>
      <w:r>
        <w:t xml:space="preserve">in uno studio randomizzato crossover, adulti con probabilità alta, intermedia e bassa di deficit di ormone della crescita, nonché persone sane di confronto, hanno ricevuto sia il test alla macimorelina sia il test all’insulina. Il 99% dei test alla macimorelina, ma solo l’82% dei test all’insulina, era valutabile. Con i valori soglia di 2,8 ng/ml (macimorelina) e 5,1 ng/ml (ITT) la sensibilità era dell’87% e la specificità del 96%; ripetendo il test, il risultato era identico nel 97% dei casi. Non si sono verificati effetti collaterali gravi dovuti alla macimorelina. Un valore soglia unico di 5,1 ng/ml per entrambi i test ha dato in un’analisi a posteriori una sensibilità del 92% con una specificità del 96% (Garcia 2018, PMID 29860473; NCT02558829). Ulteriori analisi hanno mostrato che età, peso corporeo e sesso non influenzavano in modo sostanziale l’accuratezza del test (Garcia 2021, PMID 33320108).</w:t>
      </w:r>
    </w:p>
    <w:bookmarkEnd w:id="550"/>
    <w:bookmarkStart w:id="551" w:name="esperienze-dalla-pratica-clinica"/>
    <w:p>
      <w:pPr>
        <w:pStyle w:val="Heading4"/>
      </w:pPr>
      <w:r>
        <w:t xml:space="preserve">Esperienze dalla pratica clinica</w:t>
      </w:r>
    </w:p>
    <w:p>
      <w:pPr>
        <w:pStyle w:val="FirstParagraph"/>
      </w:pPr>
      <w:r>
        <w:t xml:space="preserve">Un’analisi retrospettiva di 37 pazienti di una clinica ha rilevato che con il valore soglia di 2,8 ng/ml autorizzato negli Stati Uniti il 40,5%, con 5,1 ng/ml invece il 54,0%, veniva classificato come affetto da deficit di ormone della crescita. Le classificazioni discordanti riguardavano soprattutto persone con forte sovrappeso e bassa probabilità pre-test (Yadav 2026, PMID 41793495). Ciò mostra che il valore soglia non è banale e che in caso di forte sovrappeso occorre cautela nell’interpretazione.</w:t>
      </w:r>
    </w:p>
    <w:bookmarkEnd w:id="551"/>
    <w:bookmarkStart w:id="552" w:name="bambini-e-altri-impieghi"/>
    <w:p>
      <w:pPr>
        <w:pStyle w:val="Heading4"/>
      </w:pPr>
      <w:r>
        <w:t xml:space="preserve">Bambini e altri impieghi</w:t>
      </w:r>
    </w:p>
    <w:p>
      <w:pPr>
        <w:numPr>
          <w:ilvl w:val="0"/>
          <w:numId w:val="1172"/>
        </w:numPr>
        <w:pStyle w:val="Compact"/>
      </w:pPr>
      <w:r>
        <w:rPr>
          <w:bCs/>
          <w:b/>
        </w:rPr>
        <w:t xml:space="preserve">Bambini:</w:t>
      </w:r>
      <w:r>
        <w:t xml:space="preserve"> </w:t>
      </w:r>
      <w:r>
        <w:t xml:space="preserve">uno studio di ricerca della dose in aperto con 24 bambini e adolescenti con sospetto deficit di ormone della crescita non ha rilevato effetti collaterali dovuti alla macimorelina (Csákváry 2021, PMID 34438400). Il successivo studio di fase 3 DETECT con 101 bambini (NCT04786873) si è concluso nel giugno 2024; i risultati non sono stati depositati nel registro e non ho trovato una pubblicazione in PubMed.</w:t>
      </w:r>
    </w:p>
    <w:p>
      <w:pPr>
        <w:numPr>
          <w:ilvl w:val="0"/>
          <w:numId w:val="1172"/>
        </w:numPr>
        <w:pStyle w:val="Compact"/>
      </w:pPr>
      <w:r>
        <w:rPr>
          <w:bCs/>
          <w:b/>
        </w:rPr>
        <w:t xml:space="preserve">Cachessia tumorale:</w:t>
      </w:r>
      <w:r>
        <w:t xml:space="preserve"> </w:t>
      </w:r>
      <w:r>
        <w:t xml:space="preserve">in uno studio pilota con 15 pazienti oncologici con perdita di peso patologica, la macimorelina è stata ben tollerata per una settimana; peso e qualità della vita sono migliorati numericamente, ma senza differenza significativa rispetto al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3, studio 1 (Garcia 2013), PMID 23559086</w:t>
            </w:r>
          </w:p>
        </w:tc>
        <w:tc>
          <w:tcPr/>
          <w:p>
            <w:pPr>
              <w:pStyle w:val="Compact"/>
              <w:jc w:val="left"/>
            </w:pPr>
            <w:r>
              <w:t xml:space="preserve">50 adulti con deficit di GH, 48 persone sane; confronto con arginina+GHRH</w:t>
            </w:r>
          </w:p>
        </w:tc>
        <w:tc>
          <w:tcPr/>
          <w:p>
            <w:pPr>
              <w:pStyle w:val="Compact"/>
              <w:jc w:val="left"/>
            </w:pPr>
            <w:r>
              <w:t xml:space="preserve">test singolo</w:t>
            </w:r>
          </w:p>
        </w:tc>
        <w:tc>
          <w:tcPr/>
          <w:p>
            <w:pPr>
              <w:pStyle w:val="Compact"/>
              <w:jc w:val="left"/>
            </w:pPr>
            <w:r>
              <w:t xml:space="preserve">sensibilità 82%, specificità 92%</w:t>
            </w:r>
          </w:p>
        </w:tc>
      </w:tr>
      <w:tr>
        <w:tc>
          <w:tcPr/>
          <w:p>
            <w:pPr>
              <w:pStyle w:val="Compact"/>
              <w:jc w:val="left"/>
            </w:pPr>
            <w:r>
              <w:t xml:space="preserve">Fase 3, studio 2 (Garcia 2018), PMID 29860473</w:t>
            </w:r>
          </w:p>
        </w:tc>
        <w:tc>
          <w:tcPr/>
          <w:p>
            <w:pPr>
              <w:pStyle w:val="Compact"/>
              <w:jc w:val="left"/>
            </w:pPr>
            <w:r>
              <w:t xml:space="preserve">adulti con diversa probabilità pre-test e persone sane; studio crossover randomizzato contro ITT</w:t>
            </w:r>
          </w:p>
        </w:tc>
        <w:tc>
          <w:tcPr/>
          <w:p>
            <w:pPr>
              <w:pStyle w:val="Compact"/>
              <w:jc w:val="left"/>
            </w:pPr>
            <w:r>
              <w:t xml:space="preserve">test singoli</w:t>
            </w:r>
          </w:p>
        </w:tc>
        <w:tc>
          <w:tcPr/>
          <w:p>
            <w:pPr>
              <w:pStyle w:val="Compact"/>
              <w:jc w:val="left"/>
            </w:pPr>
            <w:r>
              <w:t xml:space="preserve">sensibilità 87%, specificità 96%; riproducibilità 97%</w:t>
            </w:r>
          </w:p>
        </w:tc>
      </w:tr>
      <w:tr>
        <w:tc>
          <w:tcPr/>
          <w:p>
            <w:pPr>
              <w:pStyle w:val="Compact"/>
              <w:jc w:val="left"/>
            </w:pPr>
            <w:r>
              <w:t xml:space="preserve">Studio QT (Lissy 2021), PMID 32961034</w:t>
            </w:r>
          </w:p>
        </w:tc>
        <w:tc>
          <w:tcPr/>
          <w:p>
            <w:pPr>
              <w:pStyle w:val="Compact"/>
              <w:jc w:val="left"/>
            </w:pPr>
            <w:r>
              <w:t xml:space="preserve">60 persone sane, randomizzato, placebo e moxifloxacina</w:t>
            </w:r>
          </w:p>
        </w:tc>
        <w:tc>
          <w:tcPr/>
          <w:p>
            <w:pPr>
              <w:pStyle w:val="Compact"/>
              <w:jc w:val="left"/>
            </w:pPr>
            <w:r>
              <w:t xml:space="preserve">dosi singole</w:t>
            </w:r>
          </w:p>
        </w:tc>
        <w:tc>
          <w:tcPr/>
          <w:p>
            <w:pPr>
              <w:pStyle w:val="Compact"/>
              <w:jc w:val="left"/>
            </w:pPr>
            <w:r>
              <w:t xml:space="preserve">prolungamento QT fino a 9,61 ms con dose eccessiva</w:t>
            </w:r>
          </w:p>
        </w:tc>
      </w:tr>
      <w:tr>
        <w:tc>
          <w:tcPr/>
          <w:p>
            <w:pPr>
              <w:pStyle w:val="Compact"/>
              <w:jc w:val="left"/>
            </w:pPr>
            <w:r>
              <w:t xml:space="preserve">Dati della pratica (Yadav 2026), PMID 41793495</w:t>
            </w:r>
          </w:p>
        </w:tc>
        <w:tc>
          <w:tcPr/>
          <w:p>
            <w:pPr>
              <w:pStyle w:val="Compact"/>
              <w:jc w:val="left"/>
            </w:pPr>
            <w:r>
              <w:t xml:space="preserve">37 persone, retrospettivo</w:t>
            </w:r>
          </w:p>
        </w:tc>
        <w:tc>
          <w:tcPr/>
          <w:p>
            <w:pPr>
              <w:pStyle w:val="Compact"/>
              <w:jc w:val="left"/>
            </w:pPr>
            <w:r>
              <w:t xml:space="preserve">test singolo</w:t>
            </w:r>
          </w:p>
        </w:tc>
        <w:tc>
          <w:tcPr/>
          <w:p>
            <w:pPr>
              <w:pStyle w:val="Compact"/>
              <w:jc w:val="left"/>
            </w:pPr>
            <w:r>
              <w:t xml:space="preserve">il valore soglia influenza la diagnosi, soprattutto in caso di obesità</w:t>
            </w:r>
          </w:p>
        </w:tc>
      </w:tr>
      <w:tr>
        <w:tc>
          <w:tcPr/>
          <w:p>
            <w:pPr>
              <w:pStyle w:val="Compact"/>
              <w:jc w:val="left"/>
            </w:pPr>
            <w:r>
              <w:t xml:space="preserve">Cachessia (Herodes 2023), PMID 36860137</w:t>
            </w:r>
          </w:p>
        </w:tc>
        <w:tc>
          <w:tcPr/>
          <w:p>
            <w:pPr>
              <w:pStyle w:val="Compact"/>
              <w:jc w:val="left"/>
            </w:pPr>
            <w:r>
              <w:t xml:space="preserve">15 pazienti oncologici, studio pilota RCT</w:t>
            </w:r>
          </w:p>
        </w:tc>
        <w:tc>
          <w:tcPr/>
          <w:p>
            <w:pPr>
              <w:pStyle w:val="Compact"/>
              <w:jc w:val="left"/>
            </w:pPr>
            <w:r>
              <w:t xml:space="preserve">1 settimana</w:t>
            </w:r>
          </w:p>
        </w:tc>
        <w:tc>
          <w:tcPr/>
          <w:p>
            <w:pPr>
              <w:pStyle w:val="Compact"/>
              <w:jc w:val="left"/>
            </w:pPr>
            <w:r>
              <w:t xml:space="preserve">ben tollerata, nessun effetto significativo</w:t>
            </w:r>
          </w:p>
        </w:tc>
      </w:tr>
    </w:tbl>
    <w:bookmarkEnd w:id="552"/>
    <w:bookmarkEnd w:id="553"/>
    <w:bookmarkStart w:id="554" w:name="studi-su-animali-e-in-laboratorio-30"/>
    <w:p>
      <w:pPr>
        <w:pStyle w:val="Heading3"/>
      </w:pPr>
      <w:r>
        <w:t xml:space="preserve">Studi su animali e in laboratorio</w:t>
      </w:r>
    </w:p>
    <w:p>
      <w:pPr>
        <w:pStyle w:val="FirstParagraph"/>
      </w:pPr>
      <w:r>
        <w:t xml:space="preserve">In topi con epilessia difficile da trattare, la macimorelina ha ridotto numero e durata delle crisi durante le due settimane di trattamento, ma non ha modificato il decorso della malattia (Buckinx 2021, PMID 34157194). Studi strutturali mostrano come la macimorelina si leghi nel recettore della grelina (Wang 2025, PMID 40542284). Per l’impiego autorizzato questi lavori non sono rilevanti.</w:t>
      </w:r>
    </w:p>
    <w:bookmarkEnd w:id="554"/>
    <w:bookmarkStart w:id="555" w:name="rischi-ed-effetti-collaterali-30"/>
    <w:p>
      <w:pPr>
        <w:pStyle w:val="Heading3"/>
      </w:pPr>
      <w:r>
        <w:t xml:space="preserve">Rischi ed effetti collaterali</w:t>
      </w:r>
    </w:p>
    <w:p>
      <w:pPr>
        <w:pStyle w:val="FirstParagraph"/>
      </w:pPr>
      <w:r>
        <w:rPr>
          <w:bCs/>
          <w:b/>
        </w:rPr>
        <w:t xml:space="preserve">Documentati:</w:t>
      </w:r>
      <w:r>
        <w:t xml:space="preserve"> </w:t>
      </w:r>
      <w:r>
        <w:t xml:space="preserve">la macimorelina viene assunta una sola volta per test; gli effetti collaterali sono di conseguenza limitati. Nello studio registrativo non si sono verificati effetti collaterali gravi dovuti alla macimorelina (Garcia 2018, PMID 29860473). ACTH, cortisolo e prolattina aumentano temporaneamente (Klaus 2020, PMID 32325373).</w:t>
      </w:r>
    </w:p>
    <w:p>
      <w:pPr>
        <w:pStyle w:val="BodyText"/>
      </w:pPr>
      <w:r>
        <w:rPr>
          <w:bCs/>
          <w:b/>
        </w:rPr>
        <w:t xml:space="preserve">Prolungamento del QT:</w:t>
      </w:r>
      <w:r>
        <w:t xml:space="preserve"> </w:t>
      </w:r>
      <w:r>
        <w:t xml:space="preserve">in un approfondito studio ECG su 60 persone sane, una dose singola volutamente eccessiva (sopraterapeutica) ha prolungato l’intervallo QT, una misura della ripolarizzazione cardiaca, in media fino a 9,61 millisecondi; il limite superiore dell’intervallo di confidenza superava la soglia regolatoria di 10 millisecondi (Lissy 2021, PMID 32961034). Per questo occorre cautela nelle persone che assumono altri farmaci che prolungano il QT. I dettagli su controindicazioni e interazioni sono stabiliti dal riassunto delle caratteristiche del prodotto; il test viene eseguito dal medico.</w:t>
      </w:r>
    </w:p>
    <w:p>
      <w:pPr>
        <w:pStyle w:val="BodyText"/>
      </w:pPr>
      <w:r>
        <w:rPr>
          <w:bCs/>
          <w:b/>
        </w:rPr>
        <w:t xml:space="preserve">Diagnosi errate:</w:t>
      </w:r>
      <w:r>
        <w:t xml:space="preserve"> </w:t>
      </w:r>
      <w:r>
        <w:t xml:space="preserve">come ogni test di stimolazione, anche il test alla macimorelina può fornire risultati falsi positivi e falsi negativi, soprattutto in caso di forte sovrappeso (Yadav 2026, PMID 41793495).</w:t>
      </w:r>
    </w:p>
    <w:p>
      <w:pPr>
        <w:pStyle w:val="BodyText"/>
      </w:pPr>
      <w:r>
        <w:t xml:space="preserve">Con una somministrazione singola non c’è da attendersi un rischio di cancro; la discussione su un IGF-1 costantemente elevato (si veda l’introduzione di questo gruppo) non riguarda quindi la macimorelina.</w:t>
      </w:r>
    </w:p>
    <w:bookmarkEnd w:id="555"/>
    <w:bookmarkStart w:id="556" w:name="quadro-normativo-30"/>
    <w:p>
      <w:pPr>
        <w:pStyle w:val="Heading3"/>
      </w:pPr>
      <w:r>
        <w:t xml:space="preserve">Quadro normativo</w:t>
      </w:r>
    </w:p>
    <w:p>
      <w:pPr>
        <w:pStyle w:val="FirstParagraph"/>
      </w:pPr>
      <w:r>
        <w:rPr>
          <w:iCs/>
          <w:i/>
        </w:rPr>
        <w:t xml:space="preserve">Aggiornato al 2026, da verificare.</w:t>
      </w:r>
    </w:p>
    <w:p>
      <w:pPr>
        <w:numPr>
          <w:ilvl w:val="0"/>
          <w:numId w:val="1173"/>
        </w:numPr>
        <w:pStyle w:val="Compact"/>
      </w:pPr>
      <w:r>
        <w:rPr>
          <w:bCs/>
          <w:b/>
        </w:rPr>
        <w:t xml:space="preserve">UE:</w:t>
      </w:r>
      <w:r>
        <w:t xml:space="preserve"> </w:t>
      </w:r>
      <w:r>
        <w:t xml:space="preserve">autorizzazione centralizzata per la diagnosi del deficit di ormone della crescita negli adulti. Se il preparato sia effettivamente in commercio in Germania e Austria dipende dalle decisioni commerciali del titolare dell’autorizzazione e andrebbe verificato.</w:t>
      </w:r>
    </w:p>
    <w:p>
      <w:pPr>
        <w:numPr>
          <w:ilvl w:val="0"/>
          <w:numId w:val="1173"/>
        </w:numPr>
        <w:pStyle w:val="Compact"/>
      </w:pPr>
      <w:r>
        <w:rPr>
          <w:bCs/>
          <w:b/>
        </w:rPr>
        <w:t xml:space="preserve">USA:</w:t>
      </w:r>
      <w:r>
        <w:t xml:space="preserve"> </w:t>
      </w:r>
      <w:r>
        <w:t xml:space="preserve">autorizzata (Macrilen) per la stessa indicazione; i diritti di distribuzione sono cambiati negli ultimi anni.</w:t>
      </w:r>
    </w:p>
    <w:p>
      <w:pPr>
        <w:numPr>
          <w:ilvl w:val="0"/>
          <w:numId w:val="1173"/>
        </w:numPr>
        <w:pStyle w:val="Compact"/>
      </w:pPr>
      <w:r>
        <w:rPr>
          <w:bCs/>
          <w:b/>
        </w:rPr>
        <w:t xml:space="preserve">Impiego:</w:t>
      </w:r>
      <w:r>
        <w:t xml:space="preserve"> </w:t>
      </w:r>
      <w:r>
        <w:t xml:space="preserve">esclusivamente come test funzionale eseguito dal medico secondo il riassunto delle caratteristiche del prodotto; nessuna autorizzazione terapeutica.</w:t>
      </w:r>
    </w:p>
    <w:p>
      <w:pPr>
        <w:numPr>
          <w:ilvl w:val="0"/>
          <w:numId w:val="1173"/>
        </w:numPr>
        <w:pStyle w:val="Compact"/>
      </w:pPr>
      <w:r>
        <w:rPr>
          <w:bCs/>
          <w:b/>
        </w:rPr>
        <w:t xml:space="preserve">WADA:</w:t>
      </w:r>
      <w:r>
        <w:t xml:space="preserve"> </w:t>
      </w:r>
      <w:r>
        <w:t xml:space="preserve">vietata (S2). Per i controlli antidoping sono stati caratterizzati i prodotti di degradazione della macimorelina e di mimetici della grelina affini (Lange 2021, PMID 33458843).</w:t>
      </w:r>
    </w:p>
    <w:bookmarkEnd w:id="556"/>
    <w:bookmarkStart w:id="557" w:name="studi-in-corso-e-prospettive-30"/>
    <w:p>
      <w:pPr>
        <w:pStyle w:val="Heading3"/>
      </w:pPr>
      <w:r>
        <w:t xml:space="preserve">Studi in corso e prospettive</w:t>
      </w:r>
    </w:p>
    <w:p>
      <w:pPr>
        <w:pStyle w:val="FirstParagraph"/>
      </w:pPr>
      <w:r>
        <w:rPr>
          <w:iCs/>
          <w:i/>
        </w:rPr>
        <w:t xml:space="preserve">Assodato:</w:t>
      </w:r>
      <w:r>
        <w:t xml:space="preserve"> </w:t>
      </w:r>
      <w:r>
        <w:t xml:space="preserve">lo studio pediatrico DETECT (NCT04786873) è concluso; i risultati sono attesi. Un altro studio ha esaminato come la macimorelina influenzi l’ormone copeptina (NCT03844217).</w:t>
      </w:r>
      <w:r>
        <w:t xml:space="preserve"> </w:t>
      </w:r>
      <w:r>
        <w:rPr>
          <w:iCs/>
          <w:i/>
        </w:rPr>
        <w:t xml:space="preserve">Valutazione dell’autore:</w:t>
      </w:r>
      <w:r>
        <w:t xml:space="preserve"> </w:t>
      </w:r>
      <w:r>
        <w:t xml:space="preserve">un’estensione dell’autorizzazione ai bambini sarebbe il passo successivo logico, ma dipende dal risultato dello studio DETECT. Un impiego terapeutico, per esempio nella cachessia, non è prevedibile in base ai dati finora disponibili.</w:t>
      </w:r>
    </w:p>
    <w:bookmarkEnd w:id="557"/>
    <w:bookmarkStart w:id="558" w:name="conclusione-30"/>
    <w:p>
      <w:pPr>
        <w:pStyle w:val="Heading3"/>
      </w:pPr>
      <w:r>
        <w:t xml:space="preserve">Conclusione</w:t>
      </w:r>
    </w:p>
    <w:p>
      <w:pPr>
        <w:pStyle w:val="FirstParagraph"/>
      </w:pPr>
      <w:r>
        <w:t xml:space="preserve">La macimorelina è un diagnostico autorizzato negli Stati Uniti e nell’UE: un test bevuto una sola volta riconosce un deficit di ormone della crescita negli adulti con un’affidabilità simile al gravoso test all’insulina, con una sensibilità dell’87% e una specificità del 96% nello studio registrativo. L’effetto collaterale noto più importante è un lieve prolungamento dell’intervallo QT a dosi eccessive. Per un trattamento, per la crescita muscolare o per l’«anti-aging» la macimorelina non è né pensata né studiata.</w:t>
      </w:r>
    </w:p>
    <w:bookmarkEnd w:id="558"/>
    <w:bookmarkEnd w:id="559"/>
    <w:bookmarkStart w:id="570" w:name="mecasermina-igf-1"/>
    <w:p>
      <w:pPr>
        <w:pStyle w:val="Heading2"/>
      </w:pPr>
      <w:r>
        <w:t xml:space="preserve">Mecasermina (IGF-1)</w:t>
      </w:r>
    </w:p>
    <w:p>
      <w:pPr>
        <w:pStyle w:val="FirstParagraph"/>
      </w:pPr>
      <w:r>
        <w:t xml:space="preserve">La mecasermina è IGF-1 umano prodotto con tecniche di ingegneria genetica, cioè il messaggero attraverso il quale l’ormone della crescita esercita gran parte del suo effetto. Come medicinale (Increlex) è autorizzata per un gruppo molto raro di bambini: bambini il cui organismo produce sì abbastanza ormone della crescita, ma non vi risponde e quindi produce pochissimo IGF-1. La mecasermina è dunque un raro esempio di peptide autorizzato di questo gruppo, e allo stesso tempo il principio attivo sul quale la questione dell’ipoglicemia e del rischio di cancro legato all’IGF-1 si pone nel modo più evidente.</w:t>
      </w:r>
    </w:p>
    <w:bookmarkStart w:id="560" w:name="scheda-31"/>
    <w:p>
      <w:pPr>
        <w:pStyle w:val="Heading3"/>
      </w:pPr>
      <w:r>
        <w:t xml:space="preserve">Scheda</w:t>
      </w:r>
    </w:p>
    <w:p>
      <w:pPr>
        <w:numPr>
          <w:ilvl w:val="0"/>
          <w:numId w:val="1174"/>
        </w:numPr>
        <w:pStyle w:val="Compact"/>
      </w:pPr>
      <w:r>
        <w:rPr>
          <w:bCs/>
          <w:b/>
        </w:rPr>
        <w:t xml:space="preserve">Tipo e struttura:</w:t>
      </w:r>
      <w:r>
        <w:t xml:space="preserve"> </w:t>
      </w:r>
      <w:r>
        <w:t xml:space="preserve">IGF-1 umano ricombinante (prodotto con tecniche di ingegneria genetica in batteri) di 70 amminoacidi, identico all’ormone endogeno.</w:t>
      </w:r>
    </w:p>
    <w:p>
      <w:pPr>
        <w:numPr>
          <w:ilvl w:val="0"/>
          <w:numId w:val="1174"/>
        </w:numPr>
        <w:pStyle w:val="Compact"/>
      </w:pPr>
      <w:r>
        <w:rPr>
          <w:bCs/>
          <w:b/>
        </w:rPr>
        <w:t xml:space="preserve">Origine:</w:t>
      </w:r>
      <w:r>
        <w:t xml:space="preserve"> </w:t>
      </w:r>
      <w:r>
        <w:t xml:space="preserve">l’IGF-1 è stato descritto negli anni Settanta come «somatomedina»; la mecasermina è stata sviluppata da Tercica e commercializzata da Ipsen, oggi da un altro titolare dell’autorizzazione (aggiornato al 2026, da verificare).</w:t>
      </w:r>
    </w:p>
    <w:p>
      <w:pPr>
        <w:numPr>
          <w:ilvl w:val="0"/>
          <w:numId w:val="1174"/>
        </w:numPr>
        <w:pStyle w:val="Compact"/>
      </w:pPr>
      <w:r>
        <w:rPr>
          <w:bCs/>
          <w:b/>
        </w:rPr>
        <w:t xml:space="preserve">Principio d’azione:</w:t>
      </w:r>
      <w:r>
        <w:t xml:space="preserve"> </w:t>
      </w:r>
      <w:r>
        <w:t xml:space="preserve">si lega al recettore dell’IGF-1 e sostituisce direttamente l’IGF-1 mancante; favorisce la crescita, ha effetto anabolico e, a dosi più alte, abbassa la glicemia in modo simile all’insulina.</w:t>
      </w:r>
    </w:p>
    <w:p>
      <w:pPr>
        <w:numPr>
          <w:ilvl w:val="0"/>
          <w:numId w:val="1174"/>
        </w:numPr>
        <w:pStyle w:val="Compact"/>
      </w:pPr>
      <w:r>
        <w:rPr>
          <w:bCs/>
          <w:b/>
        </w:rPr>
        <w:t xml:space="preserve">Autorizzazione UE:</w:t>
      </w:r>
      <w:r>
        <w:t xml:space="preserve"> </w:t>
      </w:r>
      <w:r>
        <w:t xml:space="preserve">sì (Increlex) per il trattamento a lungo termine dei disturbi della crescita in bambini e adolescenti con grave deficit primario di IGF-1.</w:t>
      </w:r>
      <w:r>
        <w:t xml:space="preserve"> </w:t>
      </w:r>
      <w:r>
        <w:rPr>
          <w:bCs/>
          <w:b/>
        </w:rPr>
        <w:t xml:space="preserve">Autorizzazione USA:</w:t>
      </w:r>
      <w:r>
        <w:t xml:space="preserve"> </w:t>
      </w:r>
      <w:r>
        <w:t xml:space="preserve">sì (Increlex), stessa indicazione.</w:t>
      </w:r>
    </w:p>
    <w:p>
      <w:pPr>
        <w:numPr>
          <w:ilvl w:val="0"/>
          <w:numId w:val="1174"/>
        </w:numPr>
        <w:pStyle w:val="Compact"/>
      </w:pPr>
      <w:r>
        <w:rPr>
          <w:bCs/>
          <w:b/>
        </w:rPr>
        <w:t xml:space="preserve">WADA:</w:t>
      </w:r>
      <w:r>
        <w:t xml:space="preserve"> </w:t>
      </w:r>
      <w:r>
        <w:t xml:space="preserve">vietata, classe S2 (IGF-1 e suoi analoghi come fattori di crescita).</w:t>
      </w:r>
    </w:p>
    <w:p>
      <w:pPr>
        <w:numPr>
          <w:ilvl w:val="0"/>
          <w:numId w:val="1174"/>
        </w:numPr>
        <w:pStyle w:val="Compact"/>
      </w:pPr>
      <w:r>
        <w:rPr>
          <w:bCs/>
          <w:b/>
        </w:rPr>
        <w:t xml:space="preserve">Livello di evidenza: A</w:t>
      </w:r>
      <w:r>
        <w:t xml:space="preserve"> </w:t>
      </w:r>
      <w:r>
        <w:t xml:space="preserve">– autorizzata nell’UE e negli USA. Limitazione: a causa della rarità della malattia, l’autorizzazione si basa su studi a lungo termine in aperto e su registri, non su grandi studi randomizzati. Esistono studi randomizzati su altri impieghi, per esempio la SLA (negativi).</w:t>
      </w:r>
    </w:p>
    <w:bookmarkEnd w:id="560"/>
    <w:bookmarkStart w:id="561" w:name="come-dovrebbe-agire-31"/>
    <w:p>
      <w:pPr>
        <w:pStyle w:val="Heading3"/>
      </w:pPr>
      <w:r>
        <w:t xml:space="preserve">Come dovrebbe agire</w:t>
      </w:r>
    </w:p>
    <w:p>
      <w:pPr>
        <w:pStyle w:val="FirstParagraph"/>
      </w:pPr>
      <w:r>
        <w:t xml:space="preserve">L’ormone della crescita prodotto dall’ipofisi agisce soprattutto sul fegato, che di conseguenza produce IGF-1. L’IGF-1 fa poi crescere le ossa in lunghezza e favorisce la costruzione di muscoli e altri tessuti. In alcuni bambini questa catena è interrotta: il loro recettore dell’ormone della crescita non funziona a causa di una mutazione genetica oppure la trasmissione del segnale è alterata. L’esempio classico è la sindrome di Laron. Questi bambini hanno molto ormone della crescita, ma pochissimo IGF-1, e le iniezioni di ormone della crescita non li aiutano. Senza trattamento da adulti raggiungono spesso solo 120-130 cm (Saavedra 2026, PMID 42341624).</w:t>
      </w:r>
    </w:p>
    <w:p>
      <w:pPr>
        <w:pStyle w:val="BodyText"/>
      </w:pPr>
      <w:r>
        <w:t xml:space="preserve">La mecasermina scavalca il passaggio difettoso e fornisce direttamente l’IGF-1. Poiché l’IGF-1 è simile all’insulina, può abbassare la glicemia: è l’effetto collaterale più importante.</w:t>
      </w:r>
    </w:p>
    <w:bookmarkEnd w:id="561"/>
    <w:bookmarkStart w:id="564" w:name="studi-sulluomo-31"/>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21</w:t>
      </w:r>
      <w:r>
        <w:t xml:space="preserve"> </w:t>
      </w:r>
      <w:r>
        <w:t xml:space="preserve">studi sull’uomo in PubMed (</w:t>
      </w:r>
      <w:r>
        <w:rPr>
          <w:rStyle w:val="VerbatimChar"/>
        </w:rPr>
        <w:t xml:space="preserve">humanstudien_alle</w:t>
      </w:r>
      <w:r>
        <w:t xml:space="preserve">) e</w:t>
      </w:r>
      <w:r>
        <w:t xml:space="preserve"> </w:t>
      </w:r>
      <w:r>
        <w:rPr>
          <w:bCs/>
          <w:b/>
        </w:rPr>
        <w:t xml:space="preserve">37</w:t>
      </w:r>
      <w:r>
        <w:t xml:space="preserve"> </w:t>
      </w:r>
      <w:r>
        <w:t xml:space="preserve">voci su ClinicalTrials.gov; alcune di queste voci di registro riguardano altri temi e compaiono solo per via del termine di ricerca. A questi si aggiungono tre revisioni sistematiche. Una ricerca mirata supplementare ha individuato gli importanti studi a lungo termine e le analisi di registro relativi all’indicazione autorizzata.</w:t>
      </w:r>
    </w:p>
    <w:bookmarkStart w:id="562" w:name="X7db38710d5c94e5206af78c35539db87391d49a"/>
    <w:p>
      <w:pPr>
        <w:pStyle w:val="Heading4"/>
      </w:pPr>
      <w:r>
        <w:t xml:space="preserve">Grave deficit primario di IGF-1 nei bambini</w:t>
      </w:r>
    </w:p>
    <w:p>
      <w:pPr>
        <w:pStyle w:val="FirstParagraph"/>
      </w:pPr>
      <w:r>
        <w:t xml:space="preserve">La base dell’autorizzazione è uno studio prevalentemente in aperto, durato fino a dodici anni, con 76 bambini con deficit di IGF-1 da resistenza all’ormone della crescita. La velocità di crescita è aumentata da una media di 2,8 cm all’anno prima del trattamento a 8,0 cm nel primo anno di trattamento; negli anni successivi è diminuita, ma è rimasta al di sopra del valore iniziale fino a otto anni. L’effetto collaterale più frequente è stato l’ipoglicemia (nel 49% dei bambini, osservata però anche prima dell’inizio della terapia), seguita da alterazioni del tessuto adiposo nel sito di iniezione (32%) e ingrossamento di tonsille e adenoidi (22%) (Chernausek 2007, PMID 17192294).</w:t>
      </w:r>
    </w:p>
    <w:p>
      <w:pPr>
        <w:pStyle w:val="BodyText"/>
      </w:pPr>
      <w:r>
        <w:t xml:space="preserve">Dal 2008 un registro europeo, oggi globale, raccoglie dati dalla pratica clinica (NCT00903110). In 138 bambini prepuberi non trattati in precedenza la statura è migliorata nel primo anno; i bambini con sindrome di Laron hanno risposto un po’ meglio, tra gli altri il 56% è stato considerato responder. Il 65,3% dei bambini ha avuto almeno un effetto indesiderato, il più frequente dei quali era l’ipoglicemia (Bang 2021, PMID 33434161). 102 bambini e adolescenti che avevano già raggiunto quasi la statura definitiva hanno guadagnato in media 0,9 deviazioni standard di statura, 1,4 se il trattamento era iniziato prima della pubertà. Quasi la metà di questi bambini trattati precocemente ha raggiunto una statura nell’intervallo normale, nella sindrome di Laron solo il 10,5% (Ramon-Krauel 2026, PMID 40626687). Le ipoglicemie gravi erano rare, con 0,01 eventi per paziente e anno di trattamento; erano a rischio soprattutto i bambini con sindrome di Laron o con precedenti ipoglicemie (Bang 2023, PMID 37579214).</w:t>
      </w:r>
    </w:p>
    <w:bookmarkEnd w:id="562"/>
    <w:bookmarkStart w:id="563" w:name="altri-impieghi-1"/>
    <w:p>
      <w:pPr>
        <w:pStyle w:val="Heading4"/>
      </w:pPr>
      <w:r>
        <w:t xml:space="preserve">Altri impieghi</w:t>
      </w:r>
    </w:p>
    <w:p>
      <w:pPr>
        <w:numPr>
          <w:ilvl w:val="0"/>
          <w:numId w:val="1175"/>
        </w:numPr>
        <w:pStyle w:val="Compact"/>
      </w:pPr>
      <w:r>
        <w:rPr>
          <w:bCs/>
          <w:b/>
        </w:rPr>
        <w:t xml:space="preserve">SLA:</w:t>
      </w:r>
      <w:r>
        <w:t xml:space="preserve"> </w:t>
      </w:r>
      <w:r>
        <w:t xml:space="preserve">in uno studio di fase 3 con 330 persone con sclerosi laterale amiotrofica, l’IGF-1 non ha prodotto in due anni alcuna differenza rispetto al placebo, né nella forza muscolare né nella sopravvivenza senza tracheotomia (Sorenson 2008, PMID 19029516).</w:t>
      </w:r>
    </w:p>
    <w:p>
      <w:pPr>
        <w:numPr>
          <w:ilvl w:val="0"/>
          <w:numId w:val="1175"/>
        </w:numPr>
        <w:pStyle w:val="Compact"/>
      </w:pPr>
      <w:r>
        <w:rPr>
          <w:bCs/>
          <w:b/>
        </w:rPr>
        <w:t xml:space="preserve">Distrofia muscolare di Duchenne:</w:t>
      </w:r>
      <w:r>
        <w:t xml:space="preserve"> </w:t>
      </w:r>
      <w:r>
        <w:t xml:space="preserve">in 17 ragazzi trattati rispetto a 21 controlli, i ragazzi sono cresciuti più rapidamente in sei mesi (6,5 vs. 3,3 cm all’anno), ma la distanza percorsa nel test del cammino di 6 minuti non è cambiata (Rutter 2020, PMID 32108355).</w:t>
      </w:r>
    </w:p>
    <w:p>
      <w:pPr>
        <w:numPr>
          <w:ilvl w:val="0"/>
          <w:numId w:val="1175"/>
        </w:numPr>
        <w:pStyle w:val="Compact"/>
      </w:pPr>
      <w:r>
        <w:rPr>
          <w:bCs/>
          <w:b/>
        </w:rPr>
        <w:t xml:space="preserve">Sindrome di Rett:</w:t>
      </w:r>
      <w:r>
        <w:t xml:space="preserve"> </w:t>
      </w:r>
      <w:r>
        <w:t xml:space="preserve">una revisione sistematica descrive indizi di capacità sociali e cognitive preservate, ma risultati non uniformi, e chiede studi più ampi (Ribeiro 2025, PMID 41174329).</w:t>
      </w:r>
    </w:p>
    <w:p>
      <w:pPr>
        <w:numPr>
          <w:ilvl w:val="0"/>
          <w:numId w:val="1175"/>
        </w:numPr>
        <w:pStyle w:val="Compact"/>
      </w:pPr>
      <w:r>
        <w:rPr>
          <w:bCs/>
          <w:b/>
        </w:rPr>
        <w:t xml:space="preserve">Neonati prematuri:</w:t>
      </w:r>
      <w:r>
        <w:t xml:space="preserve"> </w:t>
      </w:r>
      <w:r>
        <w:t xml:space="preserve">l’IGF-1 insieme alla sua proteina legante IGFBP-3 non ha prevenuto in 121 neonati estremamente prematuri la retinopatia del prematuro, ma ha ridotto la displasia broncopolmonare grave (21,3% vs. 44,9%). Eventi gravi fatali si sono verificati nel 19,7% dei bambini trattati e nell’11,7% dei controlli (Ley 2019, PMID 30471715). È in corso uno studio successivo sullo sviluppo polmonare (NCT03253263).</w:t>
      </w:r>
    </w:p>
    <w:p>
      <w:pPr>
        <w:numPr>
          <w:ilvl w:val="0"/>
          <w:numId w:val="1175"/>
        </w:numPr>
        <w:pStyle w:val="Compact"/>
      </w:pPr>
      <w:r>
        <w:rPr>
          <w:bCs/>
          <w:b/>
        </w:rPr>
        <w:t xml:space="preserve">Anoressia:</w:t>
      </w:r>
      <w:r>
        <w:t xml:space="preserve"> </w:t>
      </w:r>
      <w:r>
        <w:t xml:space="preserve">in 90 donne con anoressia nervosa, un trattamento di sei mesi con IGF-1, seguito da un farmaco per le ossa, ha aumentato la densità ossea della colonna vertebrale più del placebo (Haines 2021, PMID 34355814).</w:t>
      </w:r>
    </w:p>
    <w:p>
      <w:pPr>
        <w:numPr>
          <w:ilvl w:val="0"/>
          <w:numId w:val="1175"/>
        </w:numPr>
        <w:pStyle w:val="Compact"/>
      </w:pPr>
      <w:r>
        <w:rPr>
          <w:bCs/>
          <w:b/>
        </w:rPr>
        <w:t xml:space="preserve">Adulti con sindrome di Laron:</w:t>
      </w:r>
      <w:r>
        <w:t xml:space="preserve"> </w:t>
      </w:r>
      <w:r>
        <w:t xml:space="preserve">in dieci adulti, con otto settimane di IGF-1, la quota di grasso è diminuita e la massa magra è aumentata (Mauras 2000, PMID 10999782).</w:t>
      </w:r>
    </w:p>
    <w:p>
      <w:pPr>
        <w:numPr>
          <w:ilvl w:val="0"/>
          <w:numId w:val="1175"/>
        </w:numPr>
        <w:pStyle w:val="Compact"/>
      </w:pPr>
      <w:r>
        <w:rPr>
          <w:bCs/>
          <w:b/>
        </w:rPr>
        <w:t xml:space="preserve">Sportive e sportivi:</w:t>
      </w:r>
      <w:r>
        <w:t xml:space="preserve"> </w:t>
      </w:r>
      <w:r>
        <w:t xml:space="preserve">in uno studio randomizzato in doppio cieco con 56 sportivi amatoriali per 28 giorni, con IGF-1/IGFBP-3 sono cambiati lipidi ematici e valori di insulina (Guha 2021, PMID 33249593). Questo studio non fornisce dati sulle prestazioni.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Studio a lungo termine (Chernausek 2007), PMID 17192294</w:t>
            </w:r>
          </w:p>
        </w:tc>
        <w:tc>
          <w:tcPr/>
          <w:p>
            <w:pPr>
              <w:pStyle w:val="Compact"/>
              <w:jc w:val="left"/>
            </w:pPr>
            <w:r>
              <w:t xml:space="preserve">76 bambini con resistenza al GH, prevalentemente in aperto</w:t>
            </w:r>
          </w:p>
        </w:tc>
        <w:tc>
          <w:tcPr/>
          <w:p>
            <w:pPr>
              <w:pStyle w:val="Compact"/>
              <w:jc w:val="left"/>
            </w:pPr>
            <w:r>
              <w:t xml:space="preserve">fino a 12 anni</w:t>
            </w:r>
          </w:p>
        </w:tc>
        <w:tc>
          <w:tcPr/>
          <w:p>
            <w:pPr>
              <w:pStyle w:val="Compact"/>
              <w:jc w:val="left"/>
            </w:pPr>
            <w:r>
              <w:t xml:space="preserve">crescita 2,8 → 8,0 cm/anno nel 1° anno; ipoglicemia nel 49%</w:t>
            </w:r>
          </w:p>
        </w:tc>
      </w:tr>
      <w:tr>
        <w:tc>
          <w:tcPr/>
          <w:p>
            <w:pPr>
              <w:pStyle w:val="Compact"/>
              <w:jc w:val="left"/>
            </w:pPr>
            <w:r>
              <w:t xml:space="preserve">Registro (Bang 2021), PMID 33434161</w:t>
            </w:r>
          </w:p>
        </w:tc>
        <w:tc>
          <w:tcPr/>
          <w:p>
            <w:pPr>
              <w:pStyle w:val="Compact"/>
              <w:jc w:val="left"/>
            </w:pPr>
            <w:r>
              <w:t xml:space="preserve">242 bambini, di cui 138 prepuberi non trattati; osservazionale</w:t>
            </w:r>
          </w:p>
        </w:tc>
        <w:tc>
          <w:tcPr/>
          <w:p>
            <w:pPr>
              <w:pStyle w:val="Compact"/>
              <w:jc w:val="left"/>
            </w:pPr>
            <w:r>
              <w:t xml:space="preserve">fino a 5 anni</w:t>
            </w:r>
          </w:p>
        </w:tc>
        <w:tc>
          <w:tcPr/>
          <w:p>
            <w:pPr>
              <w:pStyle w:val="Compact"/>
              <w:jc w:val="left"/>
            </w:pPr>
            <w:r>
              <w:t xml:space="preserve">aumento di statura; 65,3% con effetti collaterali</w:t>
            </w:r>
          </w:p>
        </w:tc>
      </w:tr>
      <w:tr>
        <w:tc>
          <w:tcPr/>
          <w:p>
            <w:pPr>
              <w:pStyle w:val="Compact"/>
              <w:jc w:val="left"/>
            </w:pPr>
            <w:r>
              <w:t xml:space="preserve">Registro statura finale (Ramon-Krauel 2026), PMID 40626687</w:t>
            </w:r>
          </w:p>
        </w:tc>
        <w:tc>
          <w:tcPr/>
          <w:p>
            <w:pPr>
              <w:pStyle w:val="Compact"/>
              <w:jc w:val="left"/>
            </w:pPr>
            <w:r>
              <w:t xml:space="preserve">102 adolescenti con statura finale quasi raggiunta</w:t>
            </w:r>
          </w:p>
        </w:tc>
        <w:tc>
          <w:tcPr/>
          <w:p>
            <w:pPr>
              <w:pStyle w:val="Compact"/>
              <w:jc w:val="left"/>
            </w:pPr>
            <w:r>
              <w:t xml:space="preserve">mediana 3,9 anni</w:t>
            </w:r>
          </w:p>
        </w:tc>
        <w:tc>
          <w:tcPr/>
          <w:p>
            <w:pPr>
              <w:pStyle w:val="Compact"/>
              <w:jc w:val="left"/>
            </w:pPr>
            <w:r>
              <w:t xml:space="preserve">+0,9 DS (trattati precocemente +1,4 DS)</w:t>
            </w:r>
          </w:p>
        </w:tc>
      </w:tr>
      <w:tr>
        <w:tc>
          <w:tcPr/>
          <w:p>
            <w:pPr>
              <w:pStyle w:val="Compact"/>
              <w:jc w:val="left"/>
            </w:pPr>
            <w:r>
              <w:t xml:space="preserve">SLA (Sorenson 2008), PMID 19029516</w:t>
            </w:r>
          </w:p>
        </w:tc>
        <w:tc>
          <w:tcPr/>
          <w:p>
            <w:pPr>
              <w:pStyle w:val="Compact"/>
              <w:jc w:val="left"/>
            </w:pPr>
            <w:r>
              <w:t xml:space="preserve">330 persone con SLA, RCT contro placebo</w:t>
            </w:r>
          </w:p>
        </w:tc>
        <w:tc>
          <w:tcPr/>
          <w:p>
            <w:pPr>
              <w:pStyle w:val="Compact"/>
              <w:jc w:val="left"/>
            </w:pPr>
            <w:r>
              <w:t xml:space="preserve">2 anni</w:t>
            </w:r>
          </w:p>
        </w:tc>
        <w:tc>
          <w:tcPr/>
          <w:p>
            <w:pPr>
              <w:pStyle w:val="Compact"/>
              <w:jc w:val="left"/>
            </w:pPr>
            <w:r>
              <w:t xml:space="preserve">nessun beneficio</w:t>
            </w:r>
          </w:p>
        </w:tc>
      </w:tr>
      <w:tr>
        <w:tc>
          <w:tcPr/>
          <w:p>
            <w:pPr>
              <w:pStyle w:val="Compact"/>
              <w:jc w:val="left"/>
            </w:pPr>
            <w:r>
              <w:t xml:space="preserve">Neonati prematuri (Ley 2019), PMID 30471715</w:t>
            </w:r>
          </w:p>
        </w:tc>
        <w:tc>
          <w:tcPr/>
          <w:p>
            <w:pPr>
              <w:pStyle w:val="Compact"/>
              <w:jc w:val="left"/>
            </w:pPr>
            <w:r>
              <w:t xml:space="preserve">121 neonati estremamente prematuri, RCT contro trattamento standard</w:t>
            </w:r>
          </w:p>
        </w:tc>
        <w:tc>
          <w:tcPr/>
          <w:p>
            <w:pPr>
              <w:pStyle w:val="Compact"/>
              <w:jc w:val="left"/>
            </w:pPr>
            <w:r>
              <w:t xml:space="preserve">fino alla 40ª settimana</w:t>
            </w:r>
          </w:p>
        </w:tc>
        <w:tc>
          <w:tcPr/>
          <w:p>
            <w:pPr>
              <w:pStyle w:val="Compact"/>
              <w:jc w:val="left"/>
            </w:pPr>
            <w:r>
              <w:t xml:space="preserve">nessun effetto sulla retina; meno BPD grave</w:t>
            </w:r>
          </w:p>
        </w:tc>
      </w:tr>
    </w:tbl>
    <w:bookmarkEnd w:id="563"/>
    <w:bookmarkEnd w:id="564"/>
    <w:bookmarkStart w:id="565" w:name="studi-su-animali-e-in-laboratorio-31"/>
    <w:p>
      <w:pPr>
        <w:pStyle w:val="Heading3"/>
      </w:pPr>
      <w:r>
        <w:t xml:space="preserve">Studi su animali e in laboratorio</w:t>
      </w:r>
    </w:p>
    <w:p>
      <w:pPr>
        <w:pStyle w:val="FirstParagraph"/>
      </w:pPr>
      <w:r>
        <w:t xml:space="preserve">Gli effetti dell’IGF-1 su crescita, muscoli e metabolismo sono stati studiati in modo molto ampio in studi su animali e cellule e costituiscono la base della terapia. Per la questione della sicurezza sono importanti esperimenti su cellule con siero di persone con sindrome di Laron: le cellule trattate con questo siero povero di IGF-1 e poi esposte a stress ossidativo presentavano meno rotture del DNA, e le cellule danneggiate morivano più spesso (Guevara-Aguirre 2011, PMID 21325617). Aggiungendo IGF-1 al siero, queste differenze scomparivano (Guevara-Aguirre 2015, PMID 25316432). L’IGF-1 tende quindi a mantenere in vita anche le cellule danneggiate, un possibile meccanismo per un rischio di cancro.</w:t>
      </w:r>
    </w:p>
    <w:bookmarkEnd w:id="565"/>
    <w:bookmarkStart w:id="566" w:name="rischi-ed-effetti-collaterali-31"/>
    <w:p>
      <w:pPr>
        <w:pStyle w:val="Heading3"/>
      </w:pPr>
      <w:r>
        <w:t xml:space="preserve">Rischi ed effetti collaterali</w:t>
      </w:r>
    </w:p>
    <w:p>
      <w:pPr>
        <w:pStyle w:val="FirstParagraph"/>
      </w:pPr>
      <w:r>
        <w:rPr>
          <w:bCs/>
          <w:b/>
        </w:rPr>
        <w:t xml:space="preserve">Documentati:</w:t>
      </w:r>
    </w:p>
    <w:p>
      <w:pPr>
        <w:numPr>
          <w:ilvl w:val="0"/>
          <w:numId w:val="1176"/>
        </w:numPr>
        <w:pStyle w:val="Compact"/>
      </w:pPr>
      <w:r>
        <w:rPr>
          <w:bCs/>
          <w:b/>
        </w:rPr>
        <w:t xml:space="preserve">Ipoglicemia</w:t>
      </w:r>
      <w:r>
        <w:t xml:space="preserve"> </w:t>
      </w:r>
      <w:r>
        <w:t xml:space="preserve">– l’effetto collaterale più frequente e più importante, soprattutto nei bambini piccoli, nella sindrome di Laron e dopo precedenti ipoglicemie (Chernausek 2007, PMID 17192294; Bang 2023, PMID 37579214). Il riassunto delle caratteristiche del prodotto prescrive quindi uno stretto legame temporale con i pasti; i dettagli sono stabiliti dal documento stesso.</w:t>
      </w:r>
    </w:p>
    <w:p>
      <w:pPr>
        <w:numPr>
          <w:ilvl w:val="0"/>
          <w:numId w:val="1176"/>
        </w:numPr>
        <w:pStyle w:val="Compact"/>
      </w:pPr>
      <w:r>
        <w:rPr>
          <w:bCs/>
          <w:b/>
        </w:rPr>
        <w:t xml:space="preserve">Ingrossamento di tonsille e adenoidi</w:t>
      </w:r>
      <w:r>
        <w:t xml:space="preserve"> </w:t>
      </w:r>
      <w:r>
        <w:t xml:space="preserve">(22%) e alterazioni del tessuto adiposo nel sito di iniezione (32%) (Chernausek 2007, PMID 17192294).</w:t>
      </w:r>
    </w:p>
    <w:p>
      <w:pPr>
        <w:numPr>
          <w:ilvl w:val="0"/>
          <w:numId w:val="1176"/>
        </w:numPr>
        <w:pStyle w:val="Compact"/>
      </w:pPr>
      <w:r>
        <w:t xml:space="preserve">Nello studio sui neonati prematuri, con IGF-1/IGFBP-3 si sono verificati numericamente più eventi gravi fatali che con il trattamento standard (Ley 2019, PMID 30471715); lo studio non era progettato per valutare questa differenza.</w:t>
      </w:r>
    </w:p>
    <w:p>
      <w:pPr>
        <w:pStyle w:val="FirstParagraph"/>
      </w:pPr>
      <w:r>
        <w:rPr>
          <w:bCs/>
          <w:b/>
        </w:rPr>
        <w:t xml:space="preserve">Rischio di cancro: che cosa è documentato e che cosa no:</w:t>
      </w:r>
    </w:p>
    <w:p>
      <w:pPr>
        <w:pStyle w:val="BodyText"/>
      </w:pPr>
      <w:r>
        <w:t xml:space="preserve">L’IGF-1 è un segnale di crescita e sopravvivenza per le cellule. Il timore che più IGF-1 aumenti il rischio di cancro è quindi biologicamente plausibile ed è sostenuto da diversi tipi di risultati:</w:t>
      </w:r>
    </w:p>
    <w:p>
      <w:pPr>
        <w:numPr>
          <w:ilvl w:val="0"/>
          <w:numId w:val="1177"/>
        </w:numPr>
        <w:pStyle w:val="Compact"/>
      </w:pPr>
      <w:r>
        <w:rPr>
          <w:iCs/>
          <w:i/>
        </w:rPr>
        <w:t xml:space="preserve">Studi osservazionali:</w:t>
      </w:r>
      <w:r>
        <w:t xml:space="preserve"> </w:t>
      </w:r>
      <w:r>
        <w:t xml:space="preserve">le persone con livelli ematici di IGF-1 più alti si ammalano un po’ più spesso di cancro alla prostata e di cancro al seno prima della menopausa (Renehan 2004, PMID 15110491). Nella UK Biobank ogni aumento di 5 nmol/l era associato a un rischio di cancro al seno più alto dell’11% (Murphy 2020, PMID 32169310); associazioni simili emergono per il cancro del colon-retto (Murphy 2020, PMID 31884074) e il cancro alla prostata (Watts 2023, PMID 35726641).</w:t>
      </w:r>
    </w:p>
    <w:p>
      <w:pPr>
        <w:numPr>
          <w:ilvl w:val="0"/>
          <w:numId w:val="1177"/>
        </w:numPr>
        <w:pStyle w:val="Compact"/>
      </w:pPr>
      <w:r>
        <w:rPr>
          <w:iCs/>
          <w:i/>
        </w:rPr>
        <w:t xml:space="preserve">Analisi genetiche (randomizzazione mendeliana):</w:t>
      </w:r>
      <w:r>
        <w:t xml:space="preserve"> </w:t>
      </w:r>
      <w:r>
        <w:t xml:space="preserve">anche le persone con livelli di IGF-1 geneticamente più alti si ammalano un po’ più spesso di cancro al seno e del colon-retto, un indizio che l’associazione potrebbe essere causale (Murphy 2020, PMID 32169310; Murphy 2020, PMID 31884074).</w:t>
      </w:r>
    </w:p>
    <w:p>
      <w:pPr>
        <w:numPr>
          <w:ilvl w:val="0"/>
          <w:numId w:val="1177"/>
        </w:numPr>
        <w:pStyle w:val="Compact"/>
      </w:pPr>
      <w:r>
        <w:rPr>
          <w:iCs/>
          <w:i/>
        </w:rPr>
        <w:t xml:space="preserve">Il quadro opposto:</w:t>
      </w:r>
      <w:r>
        <w:t xml:space="preserve"> </w:t>
      </w:r>
      <w:r>
        <w:t xml:space="preserve">in un gruppo ecuadoriano con sindrome di Laron, cioè con deficit di IGF-1 per tutta la vita, in 22 anni di osservazione si è verificato un solo caso di cancro, non fatale, contro il 17% nei parenti non affetti (Guevara-Aguirre 2011, PMID 21325617).</w:t>
      </w:r>
    </w:p>
    <w:p>
      <w:pPr>
        <w:pStyle w:val="FirstParagraph"/>
      </w:pPr>
      <w:r>
        <w:t xml:space="preserve">Importante è l’ordine di grandezza: gli aumenti di rischio misurati con un IGF-1 naturalmente più alto sono moderati (a seconda del confronto e del tipo di cancro per lo più tra circa il 5 e il 65% in termini relativi). Per i bambini per i quali la mecasermina è autorizzata viene sostituito un ormone mancante, non innalzato oltre misura un livello normale. Tuttavia, dopo l’immissione in commercio sono stati segnalati casi di neoplasie benigne e maligne in bambini trattati; il riassunto delle caratteristiche del prodotto nell’UE e negli USA è stato quindi integrato con le relative avvertenze, e in presenza di un tumore attivo o sospetto la mecasermina non deve essere usata (aggiornato al 2026, per i dettagli si veda il riassunto delle caratteristiche del prodotto attuale). Se esista un nesso causale non è possibile chiarirlo da singole segnalazioni; il registro a lungo termine (NCT00903110) dovrebbe fornire dati in merito.</w:t>
      </w:r>
    </w:p>
    <w:p>
      <w:pPr>
        <w:pStyle w:val="BodyText"/>
      </w:pPr>
      <w:r>
        <w:t xml:space="preserve">Per gli adulti che usano IGF-1 senza un deficit per migliorare le prestazioni o per «ringiovanire», queste considerazioni vanno prese molto più sul serio: qui un livello normale verrebbe innalzato in modo permanente, esattamente la situazione che negli studi osservazionali è associata a un rischio più alto. Il tema viene trattato in dettaglio nella Parte IV.</w:t>
      </w:r>
    </w:p>
    <w:bookmarkEnd w:id="566"/>
    <w:bookmarkStart w:id="567" w:name="quadro-normativo-31"/>
    <w:p>
      <w:pPr>
        <w:pStyle w:val="Heading3"/>
      </w:pPr>
      <w:r>
        <w:t xml:space="preserve">Quadro normativo</w:t>
      </w:r>
    </w:p>
    <w:p>
      <w:pPr>
        <w:pStyle w:val="FirstParagraph"/>
      </w:pPr>
      <w:r>
        <w:rPr>
          <w:iCs/>
          <w:i/>
        </w:rPr>
        <w:t xml:space="preserve">Aggiornato al 2026, da verificare.</w:t>
      </w:r>
    </w:p>
    <w:p>
      <w:pPr>
        <w:numPr>
          <w:ilvl w:val="0"/>
          <w:numId w:val="1178"/>
        </w:numPr>
        <w:pStyle w:val="Compact"/>
      </w:pPr>
      <w:r>
        <w:rPr>
          <w:bCs/>
          <w:b/>
        </w:rPr>
        <w:t xml:space="preserve">UE, Germania, Austria:</w:t>
      </w:r>
      <w:r>
        <w:t xml:space="preserve"> </w:t>
      </w:r>
      <w:r>
        <w:t xml:space="preserve">autorizzata (Increlex) esclusivamente per bambini e adolescenti con grave deficit primario di IGF-1; soggetta a prescrizione, trattamento da parte di medici esperti in endocrinologia pediatrica secondo il riassunto delle caratteristiche del prodotto. L’autorizzazione UE è legata alla raccolta di dati nel registro a lungo termine (Saavedra 2026, PMID 42341624).</w:t>
      </w:r>
    </w:p>
    <w:p>
      <w:pPr>
        <w:numPr>
          <w:ilvl w:val="0"/>
          <w:numId w:val="1178"/>
        </w:numPr>
        <w:pStyle w:val="Compact"/>
      </w:pPr>
      <w:r>
        <w:rPr>
          <w:bCs/>
          <w:b/>
        </w:rPr>
        <w:t xml:space="preserve">USA:</w:t>
      </w:r>
      <w:r>
        <w:t xml:space="preserve"> </w:t>
      </w:r>
      <w:r>
        <w:t xml:space="preserve">autorizzata (Increlex) per la stessa indicazione.</w:t>
      </w:r>
    </w:p>
    <w:p>
      <w:pPr>
        <w:numPr>
          <w:ilvl w:val="0"/>
          <w:numId w:val="1178"/>
        </w:numPr>
        <w:pStyle w:val="Compact"/>
      </w:pPr>
      <w:r>
        <w:rPr>
          <w:bCs/>
          <w:b/>
        </w:rPr>
        <w:t xml:space="preserve">Altri impieghi</w:t>
      </w:r>
      <w:r>
        <w:t xml:space="preserve"> </w:t>
      </w:r>
      <w:r>
        <w:t xml:space="preserve">(adulti, sport, anti-aging) non sono autorizzati.</w:t>
      </w:r>
    </w:p>
    <w:p>
      <w:pPr>
        <w:numPr>
          <w:ilvl w:val="0"/>
          <w:numId w:val="1178"/>
        </w:numPr>
        <w:pStyle w:val="Compact"/>
      </w:pPr>
      <w:r>
        <w:rPr>
          <w:bCs/>
          <w:b/>
        </w:rPr>
        <w:t xml:space="preserve">WADA:</w:t>
      </w:r>
      <w:r>
        <w:t xml:space="preserve"> </w:t>
      </w:r>
      <w:r>
        <w:t xml:space="preserve">vietata (S2). Per rilevare l’abuso di IGF-1 si stanno sviluppando metodi basati su marcatori, simili al test per l’ormone della crescita (Guha 2013, PMID 23934394).</w:t>
      </w:r>
    </w:p>
    <w:bookmarkEnd w:id="567"/>
    <w:bookmarkStart w:id="568" w:name="studi-in-corso-e-prospettive-31"/>
    <w:p>
      <w:pPr>
        <w:pStyle w:val="Heading3"/>
      </w:pPr>
      <w:r>
        <w:t xml:space="preserve">Studi in corso e prospettive</w:t>
      </w:r>
    </w:p>
    <w:p>
      <w:pPr>
        <w:pStyle w:val="FirstParagraph"/>
      </w:pPr>
      <w:r>
        <w:rPr>
          <w:iCs/>
          <w:i/>
        </w:rPr>
        <w:t xml:space="preserve">Assodato:</w:t>
      </w:r>
      <w:r>
        <w:t xml:space="preserve"> </w:t>
      </w:r>
      <w:r>
        <w:t xml:space="preserve">il registro globale di Increlex (NCT00903110) prosegue, secondo la voce, fino alla fine del 2027. Uno studio di fase 2 con IGF-1/IGFBP-3 per la prevenzione della displasia broncopolmonare nei neonati estremamente prematuri (NCT03253263, 295 bambini) è attivo, ma non più in reclutamento.</w:t>
      </w:r>
      <w:r>
        <w:t xml:space="preserve"> </w:t>
      </w:r>
      <w:r>
        <w:rPr>
          <w:iCs/>
          <w:i/>
        </w:rPr>
        <w:t xml:space="preserve">Valutazione dell’autore:</w:t>
      </w:r>
      <w:r>
        <w:t xml:space="preserve"> </w:t>
      </w:r>
      <w:r>
        <w:t xml:space="preserve">nuove autorizzazioni per gli adulti non sono in vista; l’importanza della mecasermina resterà limitata ai rari disturbi della crescita ed eventualmente alla medicina dei neonati prematuri.</w:t>
      </w:r>
    </w:p>
    <w:bookmarkEnd w:id="568"/>
    <w:bookmarkStart w:id="569" w:name="conclusione-31"/>
    <w:p>
      <w:pPr>
        <w:pStyle w:val="Heading3"/>
      </w:pPr>
      <w:r>
        <w:t xml:space="preserve">Conclusione</w:t>
      </w:r>
    </w:p>
    <w:p>
      <w:pPr>
        <w:pStyle w:val="FirstParagraph"/>
      </w:pPr>
      <w:r>
        <w:t xml:space="preserve">La mecasermina sostituisce l’IGF-1 mancante nei bambini con grave deficit primario di IGF-1 e ne migliora nettamente la crescita, soprattutto se il trattamento inizia presto. L’effetto collaterale più frequente è l’ipoglicemia; dopo segnalazioni di neoplasie le avvertenze sono state rafforzate. In altri impieghi, per esempio nella SLA, l’IGF-1 non ha portato alcun beneficio. Per le persone sane un impiego non è né documentato né giustificabile, perché un IGF-1 costantemente elevato è associato, in grandi studi osservazionali e genetici, a un rischio di cancro leggermente più alto.</w:t>
      </w:r>
    </w:p>
    <w:bookmarkEnd w:id="569"/>
    <w:bookmarkEnd w:id="570"/>
    <w:bookmarkStart w:id="579" w:name="igf-1-lr3"/>
    <w:p>
      <w:pPr>
        <w:pStyle w:val="Heading2"/>
      </w:pPr>
      <w:r>
        <w:t xml:space="preserve">IGF-1 LR3</w:t>
      </w:r>
    </w:p>
    <w:p>
      <w:pPr>
        <w:pStyle w:val="FirstParagraph"/>
      </w:pPr>
      <w:r>
        <w:t xml:space="preserve">L’IGF-1 LR3 (per esteso «Long-R3-IGF-I») non è un farmaco, ma un reagente di laboratorio. È stato sviluppato per far crescere meglio le colture cellulari nelle biotecnologie e viene impiegato negli esperimenti sugli animali. Il fatto che in internet venga venduto in flaconcini per iniezione è un esempio emblematico del mercato dei «research peptide»: una sostanza mai pensata per l’uomo, mai testata sull’uomo e le cui proprietà amplificano proprio i rischi che preoccupano nel caso dell’IGF-1 naturale.</w:t>
      </w:r>
    </w:p>
    <w:bookmarkStart w:id="571" w:name="scheda-32"/>
    <w:p>
      <w:pPr>
        <w:pStyle w:val="Heading3"/>
      </w:pPr>
      <w:r>
        <w:t xml:space="preserve">Scheda</w:t>
      </w:r>
    </w:p>
    <w:p>
      <w:pPr>
        <w:numPr>
          <w:ilvl w:val="0"/>
          <w:numId w:val="1179"/>
        </w:numPr>
        <w:pStyle w:val="Compact"/>
      </w:pPr>
      <w:r>
        <w:rPr>
          <w:bCs/>
          <w:b/>
        </w:rPr>
        <w:t xml:space="preserve">Tipo e struttura:</w:t>
      </w:r>
      <w:r>
        <w:t xml:space="preserve"> </w:t>
      </w:r>
      <w:r>
        <w:t xml:space="preserve">IGF-1 umano modificato: in posizione 3 si trova l’amminoacido arginina («R3»), e all’inizio è stata aggiunta una catena di amminoacidi supplementare («Long»). Entrambe le modifiche riducono fortemente il legame con le proteine leganti l’IGF (Bastian 1993, PMID 7693845; Tomas 1993, PMID 7683875).</w:t>
      </w:r>
    </w:p>
    <w:p>
      <w:pPr>
        <w:numPr>
          <w:ilvl w:val="0"/>
          <w:numId w:val="1179"/>
        </w:numPr>
        <w:pStyle w:val="Compact"/>
      </w:pPr>
      <w:r>
        <w:rPr>
          <w:bCs/>
          <w:b/>
        </w:rPr>
        <w:t xml:space="preserve">Origine:</w:t>
      </w:r>
      <w:r>
        <w:t xml:space="preserve"> </w:t>
      </w:r>
      <w:r>
        <w:t xml:space="preserve">descritto all’inizio degli anni Novanta come strumento di ricerca; oggi disponibile in commercio come additivo per terreni di coltura cellulare.</w:t>
      </w:r>
    </w:p>
    <w:p>
      <w:pPr>
        <w:numPr>
          <w:ilvl w:val="0"/>
          <w:numId w:val="1179"/>
        </w:numPr>
        <w:pStyle w:val="Compact"/>
      </w:pPr>
      <w:r>
        <w:rPr>
          <w:bCs/>
          <w:b/>
        </w:rPr>
        <w:t xml:space="preserve">Principio d’azione:</w:t>
      </w:r>
      <w:r>
        <w:t xml:space="preserve"> </w:t>
      </w:r>
      <w:r>
        <w:t xml:space="preserve">come l’IGF-1, si lega al recettore dell’IGF-1; poiché viene a malapena intercettato dalle proteine leganti, nel sangue si trova prevalentemente in forma libera e quindi direttamente attiva.</w:t>
      </w:r>
    </w:p>
    <w:p>
      <w:pPr>
        <w:numPr>
          <w:ilvl w:val="0"/>
          <w:numId w:val="1179"/>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Non è autorizzato come medicinale da nessuna parte né è mai stata chiesta un’autorizzazione.</w:t>
      </w:r>
    </w:p>
    <w:p>
      <w:pPr>
        <w:numPr>
          <w:ilvl w:val="0"/>
          <w:numId w:val="1179"/>
        </w:numPr>
        <w:pStyle w:val="Compact"/>
      </w:pPr>
      <w:r>
        <w:rPr>
          <w:bCs/>
          <w:b/>
        </w:rPr>
        <w:t xml:space="preserve">WADA:</w:t>
      </w:r>
      <w:r>
        <w:t xml:space="preserve"> </w:t>
      </w:r>
      <w:r>
        <w:t xml:space="preserve">vietato, classe S2 (analoghi dell’IGF-1 come fattori di crescita).</w:t>
      </w:r>
    </w:p>
    <w:p>
      <w:pPr>
        <w:numPr>
          <w:ilvl w:val="0"/>
          <w:numId w:val="1179"/>
        </w:numPr>
        <w:pStyle w:val="Compact"/>
      </w:pPr>
      <w:r>
        <w:rPr>
          <w:bCs/>
          <w:b/>
        </w:rPr>
        <w:t xml:space="preserve">Livello di evidenza: D</w:t>
      </w:r>
      <w:r>
        <w:t xml:space="preserve"> </w:t>
      </w:r>
      <w:r>
        <w:t xml:space="preserve">– nemmeno uno studio sull’uomo; solo studi su animali e in laboratorio.</w:t>
      </w:r>
    </w:p>
    <w:bookmarkEnd w:id="571"/>
    <w:bookmarkStart w:id="572" w:name="come-dovrebbe-agire-32"/>
    <w:p>
      <w:pPr>
        <w:pStyle w:val="Heading3"/>
      </w:pPr>
      <w:r>
        <w:t xml:space="preserve">Come dovrebbe agire</w:t>
      </w:r>
    </w:p>
    <w:p>
      <w:pPr>
        <w:pStyle w:val="FirstParagraph"/>
      </w:pPr>
      <w:r>
        <w:t xml:space="preserve">Nel sangue quasi tutto l’IGF-1 è legato a proteine leganti, soprattutto all’IGFBP-3. Queste proteine agiscono come un tampone: prolungano la vita dell’IGF-1, ma lo tengono anche lontano dalle cellule e ne attenuano così l’effetto. In esperimenti su cellule l’IGFBP-3 ha inibito l’attivazione del recettore dell’IGF-1 da parte dell’IGF-1 e anche del Long-R3-IGF-I, intercettando i messaggeri (Devi 2001, PMID 11735239).</w:t>
      </w:r>
    </w:p>
    <w:p>
      <w:pPr>
        <w:pStyle w:val="BodyText"/>
      </w:pPr>
      <w:r>
        <w:t xml:space="preserve">L’LR3 è stato modificato in modo da sfuggire in gran parte a questo tampone. Nei ratti si trovava nel sangue prevalentemente come peptide libero e veniva eliminato dal sangue, negli animali non gravidi, circa dieci volte più velocemente dell’IGF-1: scompare quindi rapidamente nei tessuti (Bastian 1993, PMID 7693845). Nei ratti diabetici era da 2,5 a 3 volte più efficace dell’IGF-1 nel ripristinare la crescita (Tomas 1993, PMID 7683875). Sul mercato grigio se ne ricava l’aspettativa che l’LR3 costruisca nell’uomo più muscolo dell’IGF-1 naturale. Non ci sono prove a sostegno.</w:t>
      </w:r>
    </w:p>
    <w:bookmarkEnd w:id="572"/>
    <w:bookmarkStart w:id="573" w:name="studi-sulluomo-32"/>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w:t>
      </w:r>
      <w:r>
        <w:t xml:space="preserve"> </w:t>
      </w:r>
      <w:r>
        <w:rPr>
          <w:bCs/>
          <w:b/>
        </w:rPr>
        <w:t xml:space="preserve">non</w:t>
      </w:r>
      <w:r>
        <w:t xml:space="preserve"> </w:t>
      </w:r>
      <w:r>
        <w:t xml:space="preserve">ha trovato alcuno studio sull’uomo in PubMed (</w:t>
      </w:r>
      <w:r>
        <w:rPr>
          <w:rStyle w:val="VerbatimChar"/>
        </w:rPr>
        <w:t xml:space="preserve">humanstudien_alle</w:t>
      </w:r>
      <w:r>
        <w:t xml:space="preserve">: 0) e</w:t>
      </w:r>
      <w:r>
        <w:t xml:space="preserve"> </w:t>
      </w:r>
      <w:r>
        <w:rPr>
          <w:bCs/>
          <w:b/>
        </w:rPr>
        <w:t xml:space="preserve">nessuna</w:t>
      </w:r>
      <w:r>
        <w:t xml:space="preserve"> </w:t>
      </w:r>
      <w:r>
        <w:t xml:space="preserve">voce su ClinicalTrials.gov. Anche una ricerca mirata supplementare di studi pilota, casi clinici di intossicazione o effetti collaterali non ha individuato alcuna pubblicazione in cui delle persone abbiano ricevuto IGF-1 LR3.</w:t>
      </w:r>
    </w:p>
    <w:p>
      <w:pPr>
        <w:pStyle w:val="BodyText"/>
      </w:pPr>
      <w:r>
        <w:t xml:space="preserve">Sono stati trovati soltanto:</w:t>
      </w:r>
    </w:p>
    <w:p>
      <w:pPr>
        <w:numPr>
          <w:ilvl w:val="0"/>
          <w:numId w:val="1180"/>
        </w:numPr>
        <w:pStyle w:val="Compact"/>
      </w:pPr>
      <w:r>
        <w:rPr>
          <w:bCs/>
          <w:b/>
        </w:rPr>
        <w:t xml:space="preserve">Analisi del mercato grigio:</w:t>
      </w:r>
      <w:r>
        <w:t xml:space="preserve"> </w:t>
      </w:r>
      <w:r>
        <w:t xml:space="preserve">un laboratorio antidoping ha trovato in un flaconcino per iniezione del mercato nero Long-R3-IGF-I con un cosiddetto His-tag, un’appendice di sei unità di istidina usata per la purificazione nella produzione di proteine da laboratorio. Gli autori ritengono che si trattasse di un sottoprodotto della ricerca biochimica, non di un preparato fabbricato per iniezioni; l’effetto di questa variante nell’uomo è del tutto sconosciuto (Kohler 2010, PMID 20675162). Un altro gruppo di lavoro ha trovato in prodotti del mercato nero numerosi indizi di forme peptidiche scadenti e ossidate (Mongongu 2021, PMID 33587816).</w:t>
      </w:r>
    </w:p>
    <w:p>
      <w:pPr>
        <w:numPr>
          <w:ilvl w:val="0"/>
          <w:numId w:val="1180"/>
        </w:numPr>
        <w:pStyle w:val="Compact"/>
      </w:pPr>
      <w:r>
        <w:rPr>
          <w:bCs/>
          <w:b/>
        </w:rPr>
        <w:t xml:space="preserve">Rassegne sul doping:</w:t>
      </w:r>
      <w:r>
        <w:t xml:space="preserve"> </w:t>
      </w:r>
      <w:r>
        <w:t xml:space="preserve">l’IGF-1 e i suoi analoghi vengono pubblicizzati in internet e sono disponibili da anni sul mercato nero (Guha 2013, PMID 23934394).</w:t>
      </w:r>
    </w:p>
    <w:bookmarkEnd w:id="573"/>
    <w:bookmarkStart w:id="574" w:name="studi-su-animali-e-in-laboratorio-32"/>
    <w:p>
      <w:pPr>
        <w:pStyle w:val="Heading3"/>
      </w:pPr>
      <w:r>
        <w:t xml:space="preserve">Studi su animali e in laboratorio</w:t>
      </w:r>
    </w:p>
    <w:p>
      <w:pPr>
        <w:pStyle w:val="FirstParagraph"/>
      </w:pPr>
      <w:r>
        <w:t xml:space="preserve">Quasi tutta la ricerca sull’LR3 proviene dalla biologia degli animali da reddito e dello sviluppo:</w:t>
      </w:r>
    </w:p>
    <w:p>
      <w:pPr>
        <w:numPr>
          <w:ilvl w:val="0"/>
          <w:numId w:val="1181"/>
        </w:numPr>
        <w:pStyle w:val="Compact"/>
      </w:pPr>
      <w:r>
        <w:rPr>
          <w:bCs/>
          <w:b/>
        </w:rPr>
        <w:t xml:space="preserve">Ratti:</w:t>
      </w:r>
      <w:r>
        <w:t xml:space="preserve"> </w:t>
      </w:r>
      <w:r>
        <w:t xml:space="preserve">rapida distribuzione nei tessuti, prevalentemente come peptide libero (Bastian 1993, PMID 7693845); effetto sulla crescita più forte dell’IGF-1 in ratti diabetici, senza ridurre l’escrezione di glucosio nelle urine (Tomas 1993, PMID 7683875).</w:t>
      </w:r>
    </w:p>
    <w:p>
      <w:pPr>
        <w:numPr>
          <w:ilvl w:val="0"/>
          <w:numId w:val="1181"/>
        </w:numPr>
        <w:pStyle w:val="Compact"/>
      </w:pPr>
      <w:r>
        <w:rPr>
          <w:bCs/>
          <w:b/>
        </w:rPr>
        <w:t xml:space="preserve">Maiali:</w:t>
      </w:r>
      <w:r>
        <w:t xml:space="preserve"> </w:t>
      </w:r>
      <w:r>
        <w:t xml:space="preserve">un’infusione di quattro giorni ha</w:t>
      </w:r>
      <w:r>
        <w:t xml:space="preserve"> </w:t>
      </w:r>
      <w:r>
        <w:rPr>
          <w:bCs/>
          <w:b/>
        </w:rPr>
        <w:t xml:space="preserve">ridotto</w:t>
      </w:r>
      <w:r>
        <w:t xml:space="preserve"> </w:t>
      </w:r>
      <w:r>
        <w:t xml:space="preserve">nei suini da ingrasso l’aumento di peso e l’assunzione di cibo e ha soppresso i livelli endogeni di ormone della crescita, IGF-1, IGFBP-3 e insulina (Dunaiski 1997, PMID 9488001).</w:t>
      </w:r>
    </w:p>
    <w:p>
      <w:pPr>
        <w:numPr>
          <w:ilvl w:val="0"/>
          <w:numId w:val="1181"/>
        </w:numPr>
        <w:pStyle w:val="Compact"/>
      </w:pPr>
      <w:r>
        <w:rPr>
          <w:bCs/>
          <w:b/>
        </w:rPr>
        <w:t xml:space="preserve">Cavie:</w:t>
      </w:r>
      <w:r>
        <w:t xml:space="preserve"> </w:t>
      </w:r>
      <w:r>
        <w:t xml:space="preserve">organi come intestino, reni, milza e ghiandole surrenali sono diventati più pesanti, ma la crescita corporea complessiva non è aumentata (Conlon 1995, PMID 7561636).</w:t>
      </w:r>
    </w:p>
    <w:p>
      <w:pPr>
        <w:numPr>
          <w:ilvl w:val="0"/>
          <w:numId w:val="1181"/>
        </w:numPr>
        <w:pStyle w:val="Compact"/>
      </w:pPr>
      <w:r>
        <w:rPr>
          <w:bCs/>
          <w:b/>
        </w:rPr>
        <w:t xml:space="preserve">Feti di pecora:</w:t>
      </w:r>
      <w:r>
        <w:t xml:space="preserve"> </w:t>
      </w:r>
      <w:r>
        <w:t xml:space="preserve">nei feti con crescita normale l’LR3 ha ridotto la secrezione di insulina; una breve infusione ha diminuito i livelli di insulina sotto carico di glucosio del 66% (White 2023, PMID 37114757). Nei feti con ritardo di crescita un trattamento di una settimana non ha migliorato la crescita (White 2025, PMID 39679943).</w:t>
      </w:r>
    </w:p>
    <w:p>
      <w:pPr>
        <w:numPr>
          <w:ilvl w:val="0"/>
          <w:numId w:val="1181"/>
        </w:numPr>
        <w:pStyle w:val="Compact"/>
      </w:pPr>
      <w:r>
        <w:rPr>
          <w:bCs/>
          <w:b/>
        </w:rPr>
        <w:t xml:space="preserve">Topi:</w:t>
      </w:r>
      <w:r>
        <w:t xml:space="preserve"> </w:t>
      </w:r>
      <w:r>
        <w:t xml:space="preserve">in un modello di Alzheimer l’LR3 come spray nasale ha modificato i depositi di amiloide, ma non ha impedito la perdita di memoria (Engel 2025, PMID 39610283).</w:t>
      </w:r>
    </w:p>
    <w:p>
      <w:pPr>
        <w:pStyle w:val="FirstParagraph"/>
      </w:pPr>
      <w:r>
        <w:t xml:space="preserve">I dati sugli animali sono contraddittori: a seconda della specie l’LR3 ha favorito la crescita, è stato inefficace o l’ha persino inibita. Un trasferimento all’uomo non è possibile.</w:t>
      </w:r>
    </w:p>
    <w:bookmarkEnd w:id="574"/>
    <w:bookmarkStart w:id="575" w:name="rischi-ed-effetti-collaterali-32"/>
    <w:p>
      <w:pPr>
        <w:pStyle w:val="Heading3"/>
      </w:pPr>
      <w:r>
        <w:t xml:space="preserve">Rischi ed effetti collaterali</w:t>
      </w:r>
    </w:p>
    <w:p>
      <w:pPr>
        <w:pStyle w:val="FirstParagraph"/>
      </w:pPr>
      <w:r>
        <w:t xml:space="preserve">Poiché non esistono studi sull’uomo, i rischi si possono dedurre solo dalla biologia e dalle esperienze con l’IGF-1 naturale (mecasermina). Queste deduzioni sono</w:t>
      </w:r>
      <w:r>
        <w:t xml:space="preserve"> </w:t>
      </w:r>
      <w:r>
        <w:rPr>
          <w:bCs/>
          <w:b/>
        </w:rPr>
        <w:t xml:space="preserve">teoriche</w:t>
      </w:r>
      <w:r>
        <w:t xml:space="preserve">, ma ben fondate:</w:t>
      </w:r>
    </w:p>
    <w:p>
      <w:pPr>
        <w:numPr>
          <w:ilvl w:val="0"/>
          <w:numId w:val="1182"/>
        </w:numPr>
        <w:pStyle w:val="Compact"/>
      </w:pPr>
      <w:r>
        <w:rPr>
          <w:bCs/>
          <w:b/>
        </w:rPr>
        <w:t xml:space="preserve">Ipoglicemia:</w:t>
      </w:r>
      <w:r>
        <w:t xml:space="preserve"> </w:t>
      </w:r>
      <w:r>
        <w:t xml:space="preserve">a dosi più alte l’IGF-1 agisce in modo simile all’insulina. Con la mecasermina autorizzata l’ipoglicemia è l’effetto collaterale più frequente, sebbene lì il tampone delle proteine leganti resti in gran parte intatto (Chernausek 2007, PMID 17192294). Un analogo che sfugge di proposito a questo tampone potrebbe agire in modo più forte e meno prevedibile. Nell’uomo ciò non è stato misurato. Negli esperimenti sugli animali i livelli di insulina sono talvolta diminuiti (Dunaiski 1997, PMID 9488001; White 2023, PMID 37114757), il che potrebbe alterare ulteriormente la regolazione della glicemia.</w:t>
      </w:r>
    </w:p>
    <w:p>
      <w:pPr>
        <w:numPr>
          <w:ilvl w:val="0"/>
          <w:numId w:val="1182"/>
        </w:numPr>
        <w:pStyle w:val="Compact"/>
      </w:pPr>
      <w:r>
        <w:rPr>
          <w:bCs/>
          <w:b/>
        </w:rPr>
        <w:t xml:space="preserve">Crescita di organi e tessuti:</w:t>
      </w:r>
      <w:r>
        <w:t xml:space="preserve"> </w:t>
      </w:r>
      <w:r>
        <w:t xml:space="preserve">nelle cavie gli organi interni si sono ingranditi (Conlon 1995, PMID 7561636). Nell’uomo non è chiaro se accada qualcosa di simile.</w:t>
      </w:r>
    </w:p>
    <w:p>
      <w:pPr>
        <w:numPr>
          <w:ilvl w:val="0"/>
          <w:numId w:val="1182"/>
        </w:numPr>
        <w:pStyle w:val="Compact"/>
      </w:pPr>
      <w:r>
        <w:rPr>
          <w:bCs/>
          <w:b/>
        </w:rPr>
        <w:t xml:space="preserve">Teoria del cancro:</w:t>
      </w:r>
      <w:r>
        <w:t xml:space="preserve"> </w:t>
      </w:r>
      <w:r>
        <w:t xml:space="preserve">l’IGF-1 favorisce la divisione e la sopravvivenza cellulare. In grandi studi osservazionali e genetici livelli più alti di IGF-1 sono associati a un rischio leggermente più alto di cancro al seno e alla prostata (Renehan 2004, PMID 15110491; Murphy 2020, PMID 32169310; Watts 2023, PMID 35726641), e le persone con deficit congenito di IGF-1 si ammalano di cancro in modo vistosamente raro (Guevara-Aguirre 2011, PMID 21325617). Un analogo che agisce sul recettore dell’IGF-1 in modo più forte e senza tampone amplifica proprio questa via di segnalazione. Se ciò aumenti in modo misurabile il rischio di cancro nell’uomo non è stato studiato, e data la mancanza di studi non lo sarà. Il timore si basa sulla plausibilità, non su casi clinici.</w:t>
      </w:r>
    </w:p>
    <w:p>
      <w:pPr>
        <w:numPr>
          <w:ilvl w:val="0"/>
          <w:numId w:val="1182"/>
        </w:numPr>
        <w:pStyle w:val="Compact"/>
      </w:pPr>
      <w:r>
        <w:rPr>
          <w:bCs/>
          <w:b/>
        </w:rPr>
        <w:t xml:space="preserve">Qualità del prodotto:</w:t>
      </w:r>
      <w:r>
        <w:t xml:space="preserve"> </w:t>
      </w:r>
      <w:r>
        <w:t xml:space="preserve">i preparati del mercato nero trovati contenevano varianti da laboratorio con appendice di purificazione e peptidi ossidati (Kohler 2010, PMID 20675162; Mongongu 2021, PMID 33587816). A ciò si aggiungono i rischi generali delle iniezioni non sterili. I reagenti per colture cellulari non sono soggetti ad alcun controllo sui medicinali.</w:t>
      </w:r>
    </w:p>
    <w:bookmarkEnd w:id="575"/>
    <w:bookmarkStart w:id="576" w:name="quadro-normativo-32"/>
    <w:p>
      <w:pPr>
        <w:pStyle w:val="Heading3"/>
      </w:pPr>
      <w:r>
        <w:t xml:space="preserve">Quadro normativo</w:t>
      </w:r>
    </w:p>
    <w:p>
      <w:pPr>
        <w:pStyle w:val="FirstParagraph"/>
      </w:pPr>
      <w:r>
        <w:rPr>
          <w:iCs/>
          <w:i/>
        </w:rPr>
        <w:t xml:space="preserve">Aggiornato al 2026, da verificare.</w:t>
      </w:r>
    </w:p>
    <w:p>
      <w:pPr>
        <w:numPr>
          <w:ilvl w:val="0"/>
          <w:numId w:val="1183"/>
        </w:numPr>
        <w:pStyle w:val="Compact"/>
      </w:pPr>
      <w:r>
        <w:rPr>
          <w:bCs/>
          <w:b/>
        </w:rPr>
        <w:t xml:space="preserve">UE, Germania, Austria:</w:t>
      </w:r>
      <w:r>
        <w:t xml:space="preserve"> </w:t>
      </w:r>
      <w:r>
        <w:t xml:space="preserve">non è un medicinale, nessuna autorizzazione, né richiesta. Come reagente di laboratorio può essere venduto per la ricerca; la cessione per uso umano non è consentita dalle leggi sui medicinali.</w:t>
      </w:r>
    </w:p>
    <w:p>
      <w:pPr>
        <w:numPr>
          <w:ilvl w:val="0"/>
          <w:numId w:val="1183"/>
        </w:numPr>
        <w:pStyle w:val="Compact"/>
      </w:pPr>
      <w:r>
        <w:rPr>
          <w:bCs/>
          <w:b/>
        </w:rPr>
        <w:t xml:space="preserve">USA:</w:t>
      </w:r>
      <w:r>
        <w:t xml:space="preserve"> </w:t>
      </w:r>
      <w:r>
        <w:t xml:space="preserve">nessuna autorizzazione; distribuzione solo come sostanza chimica per la ricerca.</w:t>
      </w:r>
    </w:p>
    <w:p>
      <w:pPr>
        <w:numPr>
          <w:ilvl w:val="0"/>
          <w:numId w:val="1183"/>
        </w:numPr>
        <w:pStyle w:val="Compact"/>
      </w:pPr>
      <w:r>
        <w:rPr>
          <w:bCs/>
          <w:b/>
        </w:rPr>
        <w:t xml:space="preserve">WADA:</w:t>
      </w:r>
      <w:r>
        <w:t xml:space="preserve"> </w:t>
      </w:r>
      <w:r>
        <w:t xml:space="preserve">vietato (S2). È stato sviluppato un metodo di rilevamento nel sangue per l’LR3 e gli analoghi dell’IGF-1 affini; nei ratti l’LR3 immodificato scompariva già dopo circa 4 ore, mentre i prodotti di degradazione erano rilevabili fino a 16 ore (Mongongu 2021, PMID 33587816).</w:t>
      </w:r>
    </w:p>
    <w:bookmarkEnd w:id="576"/>
    <w:bookmarkStart w:id="577" w:name="studi-in-corso-e-prospettive-32"/>
    <w:p>
      <w:pPr>
        <w:pStyle w:val="Heading3"/>
      </w:pPr>
      <w:r>
        <w:t xml:space="preserve">Studi in corso e prospettive</w:t>
      </w:r>
    </w:p>
    <w:p>
      <w:pPr>
        <w:pStyle w:val="FirstParagraph"/>
      </w:pPr>
      <w:r>
        <w:t xml:space="preserve">Su ClinicalTrials.gov a ottobre 2026 non è registrato alcuno studio con IGF-1 LR3.</w:t>
      </w:r>
      <w:r>
        <w:t xml:space="preserve"> </w:t>
      </w:r>
      <w:r>
        <w:rPr>
          <w:iCs/>
          <w:i/>
        </w:rPr>
        <w:t xml:space="preserve">Valutazione dell’autore:</w:t>
      </w:r>
      <w:r>
        <w:t xml:space="preserve"> </w:t>
      </w:r>
      <w:r>
        <w:t xml:space="preserve">non c’è da attendersi uno sviluppo come medicinale. L’LR3 resta uno strumento per le colture cellulari e la ricerca sugli animali.</w:t>
      </w:r>
    </w:p>
    <w:bookmarkEnd w:id="577"/>
    <w:bookmarkStart w:id="578" w:name="conclusione-32"/>
    <w:p>
      <w:pPr>
        <w:pStyle w:val="Heading3"/>
      </w:pPr>
      <w:r>
        <w:t xml:space="preserve">Conclusione</w:t>
      </w:r>
    </w:p>
    <w:p>
      <w:pPr>
        <w:pStyle w:val="FirstParagraph"/>
      </w:pPr>
      <w:r>
        <w:t xml:space="preserve">L’IGF-1 LR3 è un reagente di laboratorio mai studiato sull’uomo. Negli esperimenti sugli animali, a seconda della specie, ha favorito la crescita, è stato inefficace o l’ha persino inibita. La sua caratteristica particolare, il mancato legame con le proteine leganti che fanno da tampone, fa prevedere un rischio più alto di ipoglicemia e una segnalazione di crescita amplificata. I prodotti del mercato nero contenevano, come dimostrato, varianti da laboratorio mai pensate per le iniezioni.</w:t>
      </w:r>
    </w:p>
    <w:bookmarkEnd w:id="578"/>
    <w:bookmarkEnd w:id="579"/>
    <w:bookmarkStart w:id="592" w:name="ibutamoren-mk-677"/>
    <w:p>
      <w:pPr>
        <w:pStyle w:val="Heading2"/>
      </w:pPr>
      <w:r>
        <w:t xml:space="preserve">Ibutamoren (MK-677)</w:t>
      </w:r>
    </w:p>
    <w:p>
      <w:pPr>
        <w:pStyle w:val="FirstParagraph"/>
      </w:pPr>
      <w:r>
        <w:rPr>
          <w:iCs/>
          <w:i/>
        </w:rPr>
        <w:t xml:space="preserve">Capitolo di confronto:</w:t>
      </w:r>
      <w:r>
        <w:t xml:space="preserve"> </w:t>
      </w:r>
      <w:r>
        <w:t xml:space="preserve">l’ibutamoren non è un peptide. È una piccola molecola sintetica che si ingerisce come compressa o liquido, ed è proprio per questo che compare in questo libro: come termine di confronto. Agisce sullo stesso recettore di ipamorelina, GHRP-2 o exarelina, cioè sul recettore della grelina, e innalza ormone della crescita e IGF-1 per mesi. L’ibutamoren è stato sperimentato negli anni Novanta e Duemila dall’azienda farmaceutica Merck in diversi studi randomizzati di una certa ampiezza. Questi studi mostrano con buona precisione che cosa produca una stimolazione continua dell’asse dell’ormone della crescita nelle persone anziane, e dove si trovino i rischi. Sul mercato grigio l’ibutamoren viene oggi venduto per lo più come «integratore simile ai SARM».</w:t>
      </w:r>
    </w:p>
    <w:bookmarkStart w:id="580" w:name="scheda-33"/>
    <w:p>
      <w:pPr>
        <w:pStyle w:val="Heading3"/>
      </w:pPr>
      <w:r>
        <w:t xml:space="preserve">Scheda</w:t>
      </w:r>
    </w:p>
    <w:p>
      <w:pPr>
        <w:numPr>
          <w:ilvl w:val="0"/>
          <w:numId w:val="1184"/>
        </w:numPr>
        <w:pStyle w:val="Compact"/>
      </w:pPr>
      <w:r>
        <w:rPr>
          <w:bCs/>
          <w:b/>
        </w:rPr>
        <w:t xml:space="preserve">Tipo e struttura:</w:t>
      </w:r>
      <w:r>
        <w:t xml:space="preserve"> </w:t>
      </w:r>
      <w:r>
        <w:t xml:space="preserve">piccola molecola sintetica, non un peptide («non-peptide agonist»; Liu 2021, PMID 34737341); attiva per via orale. Nomi di sviluppo MK-677 o MK-0677, oggi in sviluppo come LUM-201 (Bright 2022, PMID 35354138).</w:t>
      </w:r>
    </w:p>
    <w:p>
      <w:pPr>
        <w:numPr>
          <w:ilvl w:val="0"/>
          <w:numId w:val="1184"/>
        </w:numPr>
        <w:pStyle w:val="Compact"/>
      </w:pPr>
      <w:r>
        <w:rPr>
          <w:bCs/>
          <w:b/>
        </w:rPr>
        <w:t xml:space="preserve">Origine:</w:t>
      </w:r>
      <w:r>
        <w:t xml:space="preserve"> </w:t>
      </w:r>
      <w:r>
        <w:t xml:space="preserve">sviluppato da Merck (USA) negli anni Novanta come «peptidomimetico» dei peptidi che rilasciano l’ormone della crescita.</w:t>
      </w:r>
    </w:p>
    <w:p>
      <w:pPr>
        <w:numPr>
          <w:ilvl w:val="0"/>
          <w:numId w:val="1184"/>
        </w:numPr>
        <w:pStyle w:val="Compact"/>
      </w:pPr>
      <w:r>
        <w:rPr>
          <w:bCs/>
          <w:b/>
        </w:rPr>
        <w:t xml:space="preserve">Principio d’azione:</w:t>
      </w:r>
      <w:r>
        <w:t xml:space="preserve"> </w:t>
      </w:r>
      <w:r>
        <w:t xml:space="preserve">agonista del recettore della grelina (GHS-R1a); amplifica gli impulsi di GH esistenti e innalza in modo permanente l’IGF-1; aumenta l’appetito.</w:t>
      </w:r>
    </w:p>
    <w:p>
      <w:pPr>
        <w:numPr>
          <w:ilvl w:val="0"/>
          <w:numId w:val="1184"/>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84"/>
        </w:numPr>
        <w:pStyle w:val="Compact"/>
      </w:pPr>
      <w:r>
        <w:rPr>
          <w:bCs/>
          <w:b/>
        </w:rPr>
        <w:t xml:space="preserve">WADA:</w:t>
      </w:r>
      <w:r>
        <w:t xml:space="preserve"> </w:t>
      </w:r>
      <w:r>
        <w:t xml:space="preserve">vietato, classe S2 (secretagoghi dell’ormone della crescita; l’ibutamoren è espressamente citato).</w:t>
      </w:r>
    </w:p>
    <w:p>
      <w:pPr>
        <w:numPr>
          <w:ilvl w:val="0"/>
          <w:numId w:val="1184"/>
        </w:numPr>
        <w:pStyle w:val="Compact"/>
      </w:pPr>
      <w:r>
        <w:rPr>
          <w:bCs/>
          <w:b/>
        </w:rPr>
        <w:t xml:space="preserve">Livello di evidenza: B</w:t>
      </w:r>
      <w:r>
        <w:t xml:space="preserve"> </w:t>
      </w:r>
      <w:r>
        <w:t xml:space="preserve">– diversi studi randomizzati e controllati con placebo con fino a 563 partecipanti, ma nessuna autorizzazione e nessuno studio con risultato clinico principale positivo.</w:t>
      </w:r>
    </w:p>
    <w:bookmarkEnd w:id="580"/>
    <w:bookmarkStart w:id="581" w:name="come-dovrebbe-agire-33"/>
    <w:p>
      <w:pPr>
        <w:pStyle w:val="Heading3"/>
      </w:pPr>
      <w:r>
        <w:t xml:space="preserve">Come dovrebbe agire</w:t>
      </w:r>
    </w:p>
    <w:p>
      <w:pPr>
        <w:pStyle w:val="FirstParagraph"/>
      </w:pPr>
      <w:r>
        <w:t xml:space="preserve">L’ibutamoren imita la grelina. A differenza dei peptidi del gruppo, non viene distrutto nello stomaco e agisce abbastanza a lungo da amplificare, con un’assunzione giornaliera, la secrezione di ormone della crescita 24 ore su 24. In persone anziane sane ha quasi raddoppiato in uno studio la concentrazione media di ormone della crescita nelle 24 ore; il numero degli impulsi di GH è rimasto invariato, la loro ampiezza è aumentata. Dopo quattro settimane l’IGF-1 ha raggiunto valori come quelli dei giovani adulti (Chapman 1996, PMID 8954023).</w:t>
      </w:r>
    </w:p>
    <w:p>
      <w:pPr>
        <w:pStyle w:val="BodyText"/>
      </w:pPr>
      <w:r>
        <w:t xml:space="preserve">La speranza di Merck era di compensare così il declino dell’asse dell’ormone della crescita in età avanzata chiamato «somatopausa»: perdita muscolare (sarcopenia), fragilità, perdita ossea e recupero lento dopo lesioni.</w:t>
      </w:r>
    </w:p>
    <w:bookmarkEnd w:id="581"/>
    <w:bookmarkStart w:id="586" w:name="studi-sulluomo-33"/>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19</w:t>
      </w:r>
      <w:r>
        <w:t xml:space="preserve"> </w:t>
      </w:r>
      <w:r>
        <w:t xml:space="preserve">studi sull’uomo in PubMed (</w:t>
      </w:r>
      <w:r>
        <w:rPr>
          <w:rStyle w:val="VerbatimChar"/>
        </w:rPr>
        <w:t xml:space="preserve">humanstudien_alle</w:t>
      </w:r>
      <w:r>
        <w:t xml:space="preserve">) e</w:t>
      </w:r>
      <w:r>
        <w:t xml:space="preserve"> </w:t>
      </w:r>
      <w:r>
        <w:rPr>
          <w:bCs/>
          <w:b/>
        </w:rPr>
        <w:t xml:space="preserve">8</w:t>
      </w:r>
      <w:r>
        <w:t xml:space="preserve"> </w:t>
      </w:r>
      <w:r>
        <w:t xml:space="preserve">voci su ClinicalTrials.gov.</w:t>
      </w:r>
    </w:p>
    <w:bookmarkStart w:id="582" w:name="adulti-anziani-sani"/>
    <w:p>
      <w:pPr>
        <w:pStyle w:val="Heading4"/>
      </w:pPr>
      <w:r>
        <w:t xml:space="preserve">Adulti anziani sani</w:t>
      </w:r>
    </w:p>
    <w:p>
      <w:pPr>
        <w:pStyle w:val="FirstParagraph"/>
      </w:pPr>
      <w:r>
        <w:t xml:space="preserve">Lo studio più importante è durato due anni: 65 donne e uomini sani tra 60 e 81 anni hanno ricevuto ogni giorno ibutamoren o placebo. Ormone della crescita e IGF-1 sono saliti a valori da giovani adulti. La massa magra è aumentata di 1,1 kg con ibutamoren ed è diminuita di 0,5 kg con placebo. Il grasso addominale non è cambiato, il peso corporeo è aumentato di 2,7 kg (placebo: 0,8 kg), e il grasso di braccia e gambe è aumentato di più. L’aumento della massa magra</w:t>
      </w:r>
      <w:r>
        <w:t xml:space="preserve"> </w:t>
      </w:r>
      <w:r>
        <w:rPr>
          <w:bCs/>
          <w:b/>
        </w:rPr>
        <w:t xml:space="preserve">non</w:t>
      </w:r>
      <w:r>
        <w:t xml:space="preserve"> </w:t>
      </w:r>
      <w:r>
        <w:t xml:space="preserve">si è tradotto in più forza o in una migliore funzionalità; gli autori ammettono che lo studio era troppo piccolo per valutarlo. La glicemia a digiuno è aumentata in media di 0,3 mmol/l (5 mg/dl), la sensibilità all’insulina è diminuita. Gli effetti collaterali più frequenti sono stati un aumento iniziale dell’appetito, lievi edemi alle gambe e dolori muscolari (Nass 2008, PMID 18981485).</w:t>
      </w:r>
    </w:p>
    <w:bookmarkEnd w:id="582"/>
    <w:bookmarkStart w:id="583" w:name="frattura-dellanca"/>
    <w:p>
      <w:pPr>
        <w:pStyle w:val="Heading4"/>
      </w:pPr>
      <w:r>
        <w:t xml:space="preserve">Frattura dell’anca</w:t>
      </w:r>
    </w:p>
    <w:p>
      <w:pPr>
        <w:pStyle w:val="FirstParagraph"/>
      </w:pPr>
      <w:r>
        <w:t xml:space="preserve">Due studi hanno verificato se l’ibutamoren aiuti le persone anziane a rimettersi in piedi dopo una frattura dell’anca:</w:t>
      </w:r>
    </w:p>
    <w:p>
      <w:pPr>
        <w:numPr>
          <w:ilvl w:val="0"/>
          <w:numId w:val="1185"/>
        </w:numPr>
        <w:pStyle w:val="Compact"/>
      </w:pPr>
      <w:r>
        <w:t xml:space="preserve">Nel primo studio, con 161 pazienti di 13 centri, l’IGF-1 è aumentato dell’84% (placebo: 17%). Nei test funzionali sono emerse in parte tendenze favorevoli, ma nessuna differenza statisticamente significativa (Bach 2004, PMID 15066065).</w:t>
      </w:r>
    </w:p>
    <w:p>
      <w:pPr>
        <w:numPr>
          <w:ilvl w:val="0"/>
          <w:numId w:val="1185"/>
        </w:numPr>
        <w:pStyle w:val="Compact"/>
      </w:pPr>
      <w:r>
        <w:t xml:space="preserve">Il secondo studio, con 123 pazienti, è stato</w:t>
      </w:r>
      <w:r>
        <w:t xml:space="preserve"> </w:t>
      </w:r>
      <w:r>
        <w:rPr>
          <w:bCs/>
          <w:b/>
        </w:rPr>
        <w:t xml:space="preserve">interrotto anticipatamente perché in un numero limitato di persone trattate si è verificata un’insufficienza cardiaca (scompenso cardiaco)</w:t>
      </w:r>
      <w:r>
        <w:t xml:space="preserve">. La velocità del cammino era leggermente migliorata, la maggior parte delle altre misure funzionali no; gli autori hanno giudicato sfavorevole il profilo di sicurezza in questo gruppo di pazienti (Adunsky 2011, PMID 21067829).</w:t>
      </w:r>
    </w:p>
    <w:p>
      <w:pPr>
        <w:pStyle w:val="FirstParagraph"/>
      </w:pPr>
      <w:r>
        <w:t xml:space="preserve">Un’altra voce di Merck sulla sarcopenia dopo frattura dell’anca (NCT00128115, 83 persone) risulta interrotta, senza indicazione di motivi o risultati.</w:t>
      </w:r>
    </w:p>
    <w:bookmarkEnd w:id="583"/>
    <w:bookmarkStart w:id="584" w:name="malattia-di-alzheimer"/>
    <w:p>
      <w:pPr>
        <w:pStyle w:val="Heading4"/>
      </w:pPr>
      <w:r>
        <w:t xml:space="preserve">Malattia di Alzheimer</w:t>
      </w:r>
    </w:p>
    <w:p>
      <w:pPr>
        <w:pStyle w:val="FirstParagraph"/>
      </w:pPr>
      <w:r>
        <w:t xml:space="preserve">In un grande studio, 563 persone con demenza di Alzheimer da lieve a moderata hanno ricevuto per un anno ibutamoren o placebo. L’IGF-1 è aumentato del 60,1% dopo sei settimane e del 72,9% dopo dodici mesi. Su nessuna delle quattro scale per capacità cognitive, autonomia nella vita quotidiana e impressione complessiva il decorso differiva dal placebo (Sevigny 2008, PMID 19015485).</w:t>
      </w:r>
    </w:p>
    <w:bookmarkEnd w:id="584"/>
    <w:bookmarkStart w:id="585" w:name="altri-studi-1"/>
    <w:p>
      <w:pPr>
        <w:pStyle w:val="Heading4"/>
      </w:pPr>
      <w:r>
        <w:t xml:space="preserve">Altri studi</w:t>
      </w:r>
    </w:p>
    <w:p>
      <w:pPr>
        <w:numPr>
          <w:ilvl w:val="0"/>
          <w:numId w:val="1186"/>
        </w:numPr>
        <w:pStyle w:val="Compact"/>
      </w:pPr>
      <w:r>
        <w:rPr>
          <w:bCs/>
          <w:b/>
        </w:rPr>
        <w:t xml:space="preserve">Uomini in sovrappeso:</w:t>
      </w:r>
      <w:r>
        <w:t xml:space="preserve"> </w:t>
      </w:r>
      <w:r>
        <w:t xml:space="preserve">in 24 uomini, nell’arco di otto settimane, la massa magra è aumentata, mentre il grasso totale e quello addominale non sono cambiati; nel test da carico di glucosio la regolazione glicemica è peggiorata (Svensson 1998, PMID 9467542).</w:t>
      </w:r>
    </w:p>
    <w:p>
      <w:pPr>
        <w:numPr>
          <w:ilvl w:val="0"/>
          <w:numId w:val="1186"/>
        </w:numPr>
        <w:pStyle w:val="Compact"/>
      </w:pPr>
      <w:r>
        <w:rPr>
          <w:bCs/>
          <w:b/>
        </w:rPr>
        <w:t xml:space="preserve">Osteoporosi:</w:t>
      </w:r>
      <w:r>
        <w:t xml:space="preserve"> </w:t>
      </w:r>
      <w:r>
        <w:t xml:space="preserve">in 292 donne dopo la menopausa, l’ibutamoren insieme al farmaco per le ossa alendronato ha aumentato la densità ossea più dell’alendronato da solo solo a livello del collo del femore, non alla colonna vertebrale o all’anca nel complesso (Murphy 2001, PMID 11238495).</w:t>
      </w:r>
    </w:p>
    <w:p>
      <w:pPr>
        <w:numPr>
          <w:ilvl w:val="0"/>
          <w:numId w:val="1186"/>
        </w:numPr>
        <w:pStyle w:val="Compact"/>
      </w:pPr>
      <w:r>
        <w:rPr>
          <w:bCs/>
          <w:b/>
        </w:rPr>
        <w:t xml:space="preserve">Sonno:</w:t>
      </w:r>
      <w:r>
        <w:t xml:space="preserve"> </w:t>
      </w:r>
      <w:r>
        <w:t xml:space="preserve">in piccoli studi con otto persone giovani e sei anziane si sono allungati rispettivamente il sonno profondo e il sonno REM (Copinschi 1997, PMID 9349662).</w:t>
      </w:r>
    </w:p>
    <w:p>
      <w:pPr>
        <w:numPr>
          <w:ilvl w:val="0"/>
          <w:numId w:val="1186"/>
        </w:numPr>
        <w:pStyle w:val="Compact"/>
      </w:pPr>
      <w:r>
        <w:rPr>
          <w:bCs/>
          <w:b/>
        </w:rPr>
        <w:t xml:space="preserve">Dialisi:</w:t>
      </w:r>
      <w:r>
        <w:t xml:space="preserve"> </w:t>
      </w:r>
      <w:r>
        <w:t xml:space="preserve">in 22 pazienti in dialisi l’IGF-1 è aumentato del 65% in più rispetto al placebo, senza effetti collaterali gravi (Campbell 2018, PMID 28340044).</w:t>
      </w:r>
    </w:p>
    <w:p>
      <w:pPr>
        <w:numPr>
          <w:ilvl w:val="0"/>
          <w:numId w:val="1186"/>
        </w:numPr>
        <w:pStyle w:val="Compact"/>
      </w:pPr>
      <w:r>
        <w:rPr>
          <w:bCs/>
          <w:b/>
        </w:rPr>
        <w:t xml:space="preserve">Bambini con deficit di ormone della crescita:</w:t>
      </w:r>
      <w:r>
        <w:t xml:space="preserve"> </w:t>
      </w:r>
      <w:r>
        <w:t xml:space="preserve">già nel 2001 l’ibutamoren ha aumentato in 18 bambini ormone della crescita e IGF-1 (Codner 2001, PMID 11452249). Con il nome LUM-201 ha provocato in uno studio con 68 bambini risposte del GH più alte rispetto ai consueti test di stimolazione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Anziani sani (Nass 2008), PMID 18981485</w:t>
            </w:r>
          </w:p>
        </w:tc>
        <w:tc>
          <w:tcPr/>
          <w:p>
            <w:pPr>
              <w:pStyle w:val="Compact"/>
              <w:jc w:val="left"/>
            </w:pPr>
            <w:r>
              <w:t xml:space="preserve">65 persone 60–81 anni, RCT contro placebo</w:t>
            </w:r>
          </w:p>
        </w:tc>
        <w:tc>
          <w:tcPr/>
          <w:p>
            <w:pPr>
              <w:pStyle w:val="Compact"/>
              <w:jc w:val="left"/>
            </w:pPr>
            <w:r>
              <w:t xml:space="preserve">2 anni</w:t>
            </w:r>
          </w:p>
        </w:tc>
        <w:tc>
          <w:tcPr/>
          <w:p>
            <w:pPr>
              <w:pStyle w:val="Compact"/>
              <w:jc w:val="left"/>
            </w:pPr>
            <w:r>
              <w:t xml:space="preserve">massa magra +1,1 vs. −0,5 kg; forza e funzionalità invariate; glicemia a digiuno ↑</w:t>
            </w:r>
          </w:p>
        </w:tc>
      </w:tr>
      <w:tr>
        <w:tc>
          <w:tcPr/>
          <w:p>
            <w:pPr>
              <w:pStyle w:val="Compact"/>
              <w:jc w:val="left"/>
            </w:pPr>
            <w:r>
              <w:t xml:space="preserve">Frattura dell’anca 1 (Bach 2004), PMID 15066065</w:t>
            </w:r>
          </w:p>
        </w:tc>
        <w:tc>
          <w:tcPr/>
          <w:p>
            <w:pPr>
              <w:pStyle w:val="Compact"/>
              <w:jc w:val="left"/>
            </w:pPr>
            <w:r>
              <w:t xml:space="preserve">161 anziani dopo frattura dell’anca, RCT</w:t>
            </w:r>
          </w:p>
        </w:tc>
        <w:tc>
          <w:tcPr/>
          <w:p>
            <w:pPr>
              <w:pStyle w:val="Compact"/>
              <w:jc w:val="left"/>
            </w:pPr>
            <w:r>
              <w:t xml:space="preserve">6 mesi</w:t>
            </w:r>
          </w:p>
        </w:tc>
        <w:tc>
          <w:tcPr/>
          <w:p>
            <w:pPr>
              <w:pStyle w:val="Compact"/>
              <w:jc w:val="left"/>
            </w:pPr>
            <w:r>
              <w:t xml:space="preserve">IGF-1 +84%; funzionalità non significativamente migliore</w:t>
            </w:r>
          </w:p>
        </w:tc>
      </w:tr>
      <w:tr>
        <w:tc>
          <w:tcPr/>
          <w:p>
            <w:pPr>
              <w:pStyle w:val="Compact"/>
              <w:jc w:val="left"/>
            </w:pPr>
            <w:r>
              <w:t xml:space="preserve">Frattura dell’anca 2 (Adunsky 2011), PMID 21067829</w:t>
            </w:r>
          </w:p>
        </w:tc>
        <w:tc>
          <w:tcPr/>
          <w:p>
            <w:pPr>
              <w:pStyle w:val="Compact"/>
              <w:jc w:val="left"/>
            </w:pPr>
            <w:r>
              <w:t xml:space="preserve">123 anziani dopo frattura dell’anca, RCT</w:t>
            </w:r>
          </w:p>
        </w:tc>
        <w:tc>
          <w:tcPr/>
          <w:p>
            <w:pPr>
              <w:pStyle w:val="Compact"/>
              <w:jc w:val="left"/>
            </w:pPr>
            <w:r>
              <w:t xml:space="preserve">previste 24 settimane</w:t>
            </w:r>
          </w:p>
        </w:tc>
        <w:tc>
          <w:tcPr/>
          <w:p>
            <w:pPr>
              <w:pStyle w:val="Compact"/>
              <w:jc w:val="left"/>
            </w:pPr>
            <w:r>
              <w:t xml:space="preserve">interruzione per segnale di insufficienza cardiaca</w:t>
            </w:r>
          </w:p>
        </w:tc>
      </w:tr>
      <w:tr>
        <w:tc>
          <w:tcPr/>
          <w:p>
            <w:pPr>
              <w:pStyle w:val="Compact"/>
              <w:jc w:val="left"/>
            </w:pPr>
            <w:r>
              <w:t xml:space="preserve">Alzheimer (Sevigny 2008), PMID 19015485</w:t>
            </w:r>
          </w:p>
        </w:tc>
        <w:tc>
          <w:tcPr/>
          <w:p>
            <w:pPr>
              <w:pStyle w:val="Compact"/>
              <w:jc w:val="left"/>
            </w:pPr>
            <w:r>
              <w:t xml:space="preserve">563 persone con Alzheimer, RCT</w:t>
            </w:r>
          </w:p>
        </w:tc>
        <w:tc>
          <w:tcPr/>
          <w:p>
            <w:pPr>
              <w:pStyle w:val="Compact"/>
              <w:jc w:val="left"/>
            </w:pPr>
            <w:r>
              <w:t xml:space="preserve">12 mesi</w:t>
            </w:r>
          </w:p>
        </w:tc>
        <w:tc>
          <w:tcPr/>
          <w:p>
            <w:pPr>
              <w:pStyle w:val="Compact"/>
              <w:jc w:val="left"/>
            </w:pPr>
            <w:r>
              <w:t xml:space="preserve">IGF-1 +72,9%; nessun effetto sul decorso della malattia</w:t>
            </w:r>
          </w:p>
        </w:tc>
      </w:tr>
      <w:tr>
        <w:tc>
          <w:tcPr/>
          <w:p>
            <w:pPr>
              <w:pStyle w:val="Compact"/>
              <w:jc w:val="left"/>
            </w:pPr>
            <w:r>
              <w:t xml:space="preserve">Osteoporosi (Murphy 2001), PMID 11238495</w:t>
            </w:r>
          </w:p>
        </w:tc>
        <w:tc>
          <w:tcPr/>
          <w:p>
            <w:pPr>
              <w:pStyle w:val="Compact"/>
              <w:jc w:val="left"/>
            </w:pPr>
            <w:r>
              <w:t xml:space="preserve">292 donne, RCT con alendronato</w:t>
            </w:r>
          </w:p>
        </w:tc>
        <w:tc>
          <w:tcPr/>
          <w:p>
            <w:pPr>
              <w:pStyle w:val="Compact"/>
              <w:jc w:val="left"/>
            </w:pPr>
            <w:r>
              <w:t xml:space="preserve">12–18 mesi</w:t>
            </w:r>
          </w:p>
        </w:tc>
        <w:tc>
          <w:tcPr/>
          <w:p>
            <w:pPr>
              <w:pStyle w:val="Compact"/>
              <w:jc w:val="left"/>
            </w:pPr>
            <w:r>
              <w:t xml:space="preserve">solo densità ossea del collo del femore un po’ più alta</w:t>
            </w:r>
          </w:p>
        </w:tc>
      </w:tr>
    </w:tbl>
    <w:bookmarkEnd w:id="585"/>
    <w:bookmarkEnd w:id="586"/>
    <w:bookmarkStart w:id="587" w:name="studi-su-animali-e-in-laboratorio-33"/>
    <w:p>
      <w:pPr>
        <w:pStyle w:val="Heading3"/>
      </w:pPr>
      <w:r>
        <w:t xml:space="preserve">Studi su animali e in laboratorio</w:t>
      </w:r>
    </w:p>
    <w:p>
      <w:pPr>
        <w:pStyle w:val="FirstParagraph"/>
      </w:pPr>
      <w:r>
        <w:t xml:space="preserve">In topi con un modello di Alzheimer l’ibutamoren ha ridotto i depositi di amiloide e la perdita di neuroni nel cervello (Jeong 2018, PMID 29912176), un risultato che nel grande studio sull’Alzheimer nell’uomo non si è tradotto in un beneficio clinico. La struttura del recettore della grelina con ibutamoren legato è stata chiarita nel 2021 (Liu 2021, PMID 34737341).</w:t>
      </w:r>
    </w:p>
    <w:bookmarkEnd w:id="587"/>
    <w:bookmarkStart w:id="588" w:name="rischi-ed-effetti-collaterali-33"/>
    <w:p>
      <w:pPr>
        <w:pStyle w:val="Heading3"/>
      </w:pPr>
      <w:r>
        <w:t xml:space="preserve">Rischi ed effetti collaterali</w:t>
      </w:r>
    </w:p>
    <w:p>
      <w:pPr>
        <w:pStyle w:val="FirstParagraph"/>
      </w:pPr>
      <w:r>
        <w:rPr>
          <w:bCs/>
          <w:b/>
        </w:rPr>
        <w:t xml:space="preserve">Documentati da studi randomizzati:</w:t>
      </w:r>
    </w:p>
    <w:p>
      <w:pPr>
        <w:numPr>
          <w:ilvl w:val="0"/>
          <w:numId w:val="1187"/>
        </w:numPr>
        <w:pStyle w:val="Compact"/>
      </w:pPr>
      <w:r>
        <w:rPr>
          <w:bCs/>
          <w:b/>
        </w:rPr>
        <w:t xml:space="preserve">Segnale di insufficienza cardiaca:</w:t>
      </w:r>
      <w:r>
        <w:t xml:space="preserve"> </w:t>
      </w:r>
      <w:r>
        <w:t xml:space="preserve">interruzione di uno studio su persone anziane dopo frattura dell’anca a causa di casi di scompenso cardiaco (Adunsky 2011, PMID 21067829). Il riassunto non indica quanti casi siano stati. La ritenzione idrica è tra gli effetti noti di livelli elevati di ormone della crescita e affatica un cuore già compromesso.</w:t>
      </w:r>
    </w:p>
    <w:p>
      <w:pPr>
        <w:numPr>
          <w:ilvl w:val="0"/>
          <w:numId w:val="1187"/>
        </w:numPr>
        <w:pStyle w:val="Compact"/>
      </w:pPr>
      <w:r>
        <w:rPr>
          <w:bCs/>
          <w:b/>
        </w:rPr>
        <w:t xml:space="preserve">Glicemia:</w:t>
      </w:r>
      <w:r>
        <w:t xml:space="preserve"> </w:t>
      </w:r>
      <w:r>
        <w:t xml:space="preserve">aumento della glicemia a digiuno e ridotta sensibilità all’insulina (Nass 2008, PMID 18981485; Chapman 1996, PMID 8954023); peggioramento della tolleranza al glucosio negli uomini in sovrappeso (Svensson 1998, PMID 9467542).</w:t>
      </w:r>
    </w:p>
    <w:p>
      <w:pPr>
        <w:numPr>
          <w:ilvl w:val="0"/>
          <w:numId w:val="1187"/>
        </w:numPr>
        <w:pStyle w:val="Compact"/>
      </w:pPr>
      <w:r>
        <w:rPr>
          <w:bCs/>
          <w:b/>
        </w:rPr>
        <w:t xml:space="preserve">Aumento di peso e appetito:</w:t>
      </w:r>
      <w:r>
        <w:t xml:space="preserve"> </w:t>
      </w:r>
      <w:r>
        <w:t xml:space="preserve">più peso corporeo, più grasso su braccia e gambe, aumento della fame (Nass 2008, PMID 18981485).</w:t>
      </w:r>
    </w:p>
    <w:p>
      <w:pPr>
        <w:numPr>
          <w:ilvl w:val="0"/>
          <w:numId w:val="1187"/>
        </w:numPr>
        <w:pStyle w:val="Compact"/>
      </w:pPr>
      <w:r>
        <w:rPr>
          <w:bCs/>
          <w:b/>
        </w:rPr>
        <w:t xml:space="preserve">Ritenzione idrica e dolori muscolari</w:t>
      </w:r>
      <w:r>
        <w:t xml:space="preserve"> </w:t>
      </w:r>
      <w:r>
        <w:t xml:space="preserve">(Nass 2008, PMID 18981485).</w:t>
      </w:r>
    </w:p>
    <w:p>
      <w:pPr>
        <w:pStyle w:val="FirstParagraph"/>
      </w:pPr>
      <w:r>
        <w:rPr>
          <w:bCs/>
          <w:b/>
        </w:rPr>
        <w:t xml:space="preserve">Casi clinici dall’uso del mercato grigio:</w:t>
      </w:r>
      <w:r>
        <w:t xml:space="preserve"> </w:t>
      </w:r>
      <w:r>
        <w:t xml:space="preserve">un uomo poco più che trentenne ha sviluppato, dopo due mesi di assunzione di MK-677, un aumento degli enzimi epatici che si è normalizzato dopo la sospensione (Cobani 2025, PMID 40675653). Un quarantenne ha sviluppato un aumento del seno e un deficit di testosterone; i suoi integratori per il fitness contenevano, oltre a MK-677, anche un SARM, cardarine e ormoni non dichiarati (Chong 2024, PMID 39145153).</w:t>
      </w:r>
    </w:p>
    <w:p>
      <w:pPr>
        <w:pStyle w:val="BodyText"/>
      </w:pPr>
      <w:r>
        <w:rPr>
          <w:bCs/>
          <w:b/>
        </w:rPr>
        <w:t xml:space="preserve">Cancro:</w:t>
      </w:r>
      <w:r>
        <w:t xml:space="preserve"> </w:t>
      </w:r>
      <w:r>
        <w:t xml:space="preserve">l’ibutamoren innalza l’IGF-1 per mesi o anni al livello dei giovani adulti. Negli studi non è stato riportato alcun segnale di cancro, ma non erano né abbastanza grandi né abbastanza lunghi per rilevarlo. Una rassegna sui secretagoghi del GH chiede espressamente dati a lungo termine su cancro e mortalità (Sigalos 2018, PMID 28400207). Per il quadro generale dei dati si veda l’introduzione di questo gruppo e la Parte IV.</w:t>
      </w:r>
    </w:p>
    <w:p>
      <w:pPr>
        <w:pStyle w:val="BodyText"/>
      </w:pPr>
      <w:r>
        <w:rPr>
          <w:bCs/>
          <w:b/>
        </w:rPr>
        <w:t xml:space="preserve">Qualità del mercato grigio:</w:t>
      </w:r>
      <w:r>
        <w:t xml:space="preserve"> </w:t>
      </w:r>
      <w:r>
        <w:t xml:space="preserve">in un’analisi statunitense di 44 prodotti venduti in internet come SARM, il 39% conteneva al loro posto o in aggiunta altre sostanze non autorizzate, tra cui l’ibutamoren; solo il 41% conteneva la quantità dichiarata di principio attivo (Van Wagoner 2017, PMID 29183075). Una sorveglianza europea del mercato con 324 campioni da 13 Paesi ha trovato l’ibutamoren come principio attivo più frequente tra i preparati per la crescita muscolare esaminati; il 24% dei prodotti era presentato come integratore alimentare (Barrios 2025, PMID 40551438).</w:t>
      </w:r>
    </w:p>
    <w:bookmarkEnd w:id="588"/>
    <w:bookmarkStart w:id="589" w:name="quadro-normativo-33"/>
    <w:p>
      <w:pPr>
        <w:pStyle w:val="Heading3"/>
      </w:pPr>
      <w:r>
        <w:t xml:space="preserve">Quadro normativo</w:t>
      </w:r>
    </w:p>
    <w:p>
      <w:pPr>
        <w:pStyle w:val="FirstParagraph"/>
      </w:pPr>
      <w:r>
        <w:rPr>
          <w:iCs/>
          <w:i/>
        </w:rPr>
        <w:t xml:space="preserve">Aggiornato al 2026, da verificare.</w:t>
      </w:r>
    </w:p>
    <w:p>
      <w:pPr>
        <w:numPr>
          <w:ilvl w:val="0"/>
          <w:numId w:val="1188"/>
        </w:numPr>
        <w:pStyle w:val="Compact"/>
      </w:pPr>
      <w:r>
        <w:rPr>
          <w:bCs/>
          <w:b/>
        </w:rPr>
        <w:t xml:space="preserve">UE, Germania, Austria:</w:t>
      </w:r>
      <w:r>
        <w:t xml:space="preserve"> </w:t>
      </w:r>
      <w:r>
        <w:t xml:space="preserve">nessuna autorizzazione. L’ibutamoren è un principio attivo non autorizzato; come integratore alimentare non è commercializzabile. Chi lo offre per uso umano viola la normativa sui medicinali.</w:t>
      </w:r>
    </w:p>
    <w:p>
      <w:pPr>
        <w:numPr>
          <w:ilvl w:val="0"/>
          <w:numId w:val="1188"/>
        </w:numPr>
        <w:pStyle w:val="Compact"/>
      </w:pPr>
      <w:r>
        <w:rPr>
          <w:bCs/>
          <w:b/>
        </w:rPr>
        <w:t xml:space="preserve">USA:</w:t>
      </w:r>
      <w:r>
        <w:t xml:space="preserve"> </w:t>
      </w:r>
      <w:r>
        <w:t xml:space="preserve">nessuna autorizzazione; viene comunque venduto come «research chemical» o in integratori.</w:t>
      </w:r>
    </w:p>
    <w:p>
      <w:pPr>
        <w:numPr>
          <w:ilvl w:val="0"/>
          <w:numId w:val="1188"/>
        </w:numPr>
        <w:pStyle w:val="Compact"/>
      </w:pPr>
      <w:r>
        <w:rPr>
          <w:bCs/>
          <w:b/>
        </w:rPr>
        <w:t xml:space="preserve">WADA:</w:t>
      </w:r>
      <w:r>
        <w:t xml:space="preserve"> </w:t>
      </w:r>
      <w:r>
        <w:t xml:space="preserve">vietato (S2). Viene controllato anche negli sport equestri, per esempio tramite analisi del pelo (Viljanto 2023, PMID 36354265).</w:t>
      </w:r>
    </w:p>
    <w:bookmarkEnd w:id="589"/>
    <w:bookmarkStart w:id="590" w:name="studi-in-corso-e-prospettive-33"/>
    <w:p>
      <w:pPr>
        <w:pStyle w:val="Heading3"/>
      </w:pPr>
      <w:r>
        <w:t xml:space="preserve">Studi in corso e prospettive</w:t>
      </w:r>
    </w:p>
    <w:p>
      <w:pPr>
        <w:pStyle w:val="FirstParagraph"/>
      </w:pPr>
      <w:r>
        <w:rPr>
          <w:iCs/>
          <w:i/>
        </w:rPr>
        <w:t xml:space="preserve">Assodato:</w:t>
      </w:r>
      <w:r>
        <w:t xml:space="preserve"> </w:t>
      </w:r>
      <w:r>
        <w:t xml:space="preserve">con il nome LUM-201 l’ibutamoren viene sviluppato come compressa per bambini con deficit di ormone della crescita. Uno studio di fase 2 con 104 bambini (NCT04614337) è concluso; uno studio di fase 3 con 150 bambini previsti è in reclutamento dal 2026 (NCT06948214), uno studio di sicurezza a lungo termine è in programma (NCT07129759). Un altro studio di fase 2 dovrebbe esaminare dal 2027 il LUM-201 in aggiunta alla semaglutide in persone anziane con obesità, per limitare la perdita muscolare durante il dimagrimento (NCT07754045).</w:t>
      </w:r>
    </w:p>
    <w:p>
      <w:pPr>
        <w:pStyle w:val="BodyText"/>
      </w:pPr>
      <w:r>
        <w:rPr>
          <w:iCs/>
          <w:i/>
        </w:rPr>
        <w:t xml:space="preserve">Valutazione dell’autore:</w:t>
      </w:r>
      <w:r>
        <w:t xml:space="preserve"> </w:t>
      </w:r>
      <w:r>
        <w:t xml:space="preserve">un’autorizzazione per i bambini è ipotizzabile al più presto dopo la conclusione dello studio di fase 3, quindi non prima della fine degli anni 2020. Un’autorizzazione per gli adulti anziani non è in vista, dopo il segnale di insufficienza cardiaca e la mancanza di miglioramenti funzionali.</w:t>
      </w:r>
    </w:p>
    <w:bookmarkEnd w:id="590"/>
    <w:bookmarkStart w:id="591" w:name="conclusione-33"/>
    <w:p>
      <w:pPr>
        <w:pStyle w:val="Heading3"/>
      </w:pPr>
      <w:r>
        <w:t xml:space="preserve">Conclusione</w:t>
      </w:r>
    </w:p>
    <w:p>
      <w:pPr>
        <w:pStyle w:val="FirstParagraph"/>
      </w:pPr>
      <w:r>
        <w:t xml:space="preserve">L’ibutamoren è il farmaco attivo per via orale più approfonditamente studiato tra quelli che stimolano in modo continuo l’asse dell’ormone della crescita. Gli studi mostrano lo schema di fondo dell’intero gruppo: IGF-1 e massa magra aumentano, ma forza, funzionalità e decorso delle malattie (in età avanzata, dopo frattura dell’anca e nell’Alzheimer) non sono migliorati. In compenso sono aumentati glicemia e peso, e uno studio su persone anziane è stato interrotto a causa di insufficienza cardiaca. I prodotti del mercato grigio con «MK-677» sono spesso etichettati in modo errato.</w:t>
      </w:r>
    </w:p>
    <w:bookmarkEnd w:id="591"/>
    <w:bookmarkEnd w:id="592"/>
    <w:bookmarkEnd w:id="593"/>
    <w:bookmarkStart w:id="738" w:name="parte-ii-d-cervello-sonno-e-longevità"/>
    <w:p>
      <w:pPr>
        <w:pStyle w:val="Heading1"/>
      </w:pPr>
      <w:r>
        <w:t xml:space="preserve">Parte II · D – Cervello, sonno e longevità</w:t>
      </w:r>
    </w:p>
    <w:p>
      <w:pPr>
        <w:pStyle w:val="FirstParagraph"/>
      </w:pPr>
      <w:r>
        <w:t xml:space="preserve">Pochi gruppi di peptidi vengono pubblicizzati in internet in modo così promettente come questo: rimedi per più concentrazione e memoria («nootropi»), per un sonno più profondo, per telomeri più lunghi e «mitocondri più giovani». I dodici principi attivi di questa sezione hanno in comune il fatto di mirare al cervello, all’invecchiamento cellulare o al metabolismo energetico, e il fatto che qui il divario tra promesse e prove sia particolarmente grande.</w:t>
      </w:r>
    </w:p>
    <w:bookmarkStart w:id="594" w:name="che-cosa-accomuna-questi-peptidi-1"/>
    <w:p>
      <w:pPr>
        <w:pStyle w:val="Heading3"/>
      </w:pPr>
      <w:r>
        <w:t xml:space="preserve">Che cosa accomuna questi peptidi</w:t>
      </w:r>
    </w:p>
    <w:p>
      <w:pPr>
        <w:pStyle w:val="FirstParagraph"/>
      </w:pPr>
      <w:r>
        <w:t xml:space="preserve">Il gruppo si può suddividere a grandi linee in tre famiglie:</w:t>
      </w:r>
    </w:p>
    <w:p>
      <w:pPr>
        <w:numPr>
          <w:ilvl w:val="0"/>
          <w:numId w:val="1189"/>
        </w:numPr>
        <w:pStyle w:val="Compact"/>
      </w:pPr>
      <w:r>
        <w:rPr>
          <w:bCs/>
          <w:b/>
        </w:rPr>
        <w:t xml:space="preserve">Neuropeptidi russi e «bioregolatori»:</w:t>
      </w:r>
      <w:r>
        <w:t xml:space="preserve"> </w:t>
      </w:r>
      <w:r>
        <w:t xml:space="preserve">Semax, Selank, DSIP, Epitalon e Pinealon provengono dalla ricerca sovietica e russa. Il Cerebrolysin, una miscela di peptidi da cervello di maiale, viene dall’Austria, ma è usato soprattutto in Europa orientale e in Asia.</w:t>
      </w:r>
    </w:p>
    <w:p>
      <w:pPr>
        <w:numPr>
          <w:ilvl w:val="0"/>
          <w:numId w:val="1189"/>
        </w:numPr>
        <w:pStyle w:val="Compact"/>
      </w:pPr>
      <w:r>
        <w:rPr>
          <w:bCs/>
          <w:b/>
        </w:rPr>
        <w:t xml:space="preserve">Peptidi mitocondriali:</w:t>
      </w:r>
      <w:r>
        <w:t xml:space="preserve"> </w:t>
      </w:r>
      <w:r>
        <w:t xml:space="preserve">MOTS-c e umanina sono sostanze di segnalazione endogene codificate nel genoma dei mitocondri. L’SS-31 (elamipretide) è un peptide artificiale che si lega in modo mirato alla membrana mitocondriale.</w:t>
      </w:r>
    </w:p>
    <w:p>
      <w:pPr>
        <w:numPr>
          <w:ilvl w:val="0"/>
          <w:numId w:val="1189"/>
        </w:numPr>
        <w:pStyle w:val="Compact"/>
      </w:pPr>
      <w:r>
        <w:rPr>
          <w:bCs/>
          <w:b/>
        </w:rPr>
        <w:t xml:space="preserve">Molecole «anti-aging» sperimentali:</w:t>
      </w:r>
      <w:r>
        <w:t xml:space="preserve"> </w:t>
      </w:r>
      <w:r>
        <w:t xml:space="preserve">Dihexa (un derivato dell’angiotensina IV) e FOXO4-DRI (un senolitico che dovrebbe eliminare le cellule invecchiate) non sono mai stati studiati sull’uomo. Il glutatione, infine, è un tripeptide endogeno venduto come integratore alimentare e per infusione.</w:t>
      </w:r>
    </w:p>
    <w:bookmarkEnd w:id="594"/>
    <w:bookmarkStart w:id="595" w:name="il-mondo-dei-nootropi-e-della-longevità"/>
    <w:p>
      <w:pPr>
        <w:pStyle w:val="Heading3"/>
      </w:pPr>
      <w:r>
        <w:t xml:space="preserve">Il mondo dei nootropi e della longevità</w:t>
      </w:r>
    </w:p>
    <w:p>
      <w:pPr>
        <w:pStyle w:val="FirstParagraph"/>
      </w:pPr>
      <w:r>
        <w:t xml:space="preserve">Chi cerca queste sostanze in internet finisce presto in forum, presso influencer e «cliniche della longevità». Tipici sono tre errori di ragionamento che incontrerà più volte nei capitoli seguenti:</w:t>
      </w:r>
    </w:p>
    <w:p>
      <w:pPr>
        <w:numPr>
          <w:ilvl w:val="0"/>
          <w:numId w:val="1190"/>
        </w:numPr>
        <w:pStyle w:val="Compact"/>
      </w:pPr>
      <w:r>
        <w:rPr>
          <w:bCs/>
          <w:b/>
        </w:rPr>
        <w:t xml:space="preserve">Dall’animale all’uomo:</w:t>
      </w:r>
      <w:r>
        <w:t xml:space="preserve"> </w:t>
      </w:r>
      <w:r>
        <w:t xml:space="preserve">che un peptide migliori nei topi la memoria o la durata della vita dice poco sul fatto che agisca nell’uomo. Nella ricerca sull’ictus e sull’Alzheimer centinaia di principi attivi efficaci negli animali hanno fallito nell’uomo.</w:t>
      </w:r>
    </w:p>
    <w:p>
      <w:pPr>
        <w:numPr>
          <w:ilvl w:val="0"/>
          <w:numId w:val="1190"/>
        </w:numPr>
        <w:pStyle w:val="Compact"/>
      </w:pPr>
      <w:r>
        <w:rPr>
          <w:bCs/>
          <w:b/>
        </w:rPr>
        <w:t xml:space="preserve">Dal livello all’iniezione:</w:t>
      </w:r>
      <w:r>
        <w:t xml:space="preserve"> </w:t>
      </w:r>
      <w:r>
        <w:t xml:space="preserve">che le persone con bassi livelli di MOTS-c o umanina si ammalino più spesso non dimostra che somministrarli renda sani.</w:t>
      </w:r>
    </w:p>
    <w:p>
      <w:pPr>
        <w:numPr>
          <w:ilvl w:val="0"/>
          <w:numId w:val="1190"/>
        </w:numPr>
        <w:pStyle w:val="Compact"/>
      </w:pPr>
      <w:r>
        <w:rPr>
          <w:bCs/>
          <w:b/>
        </w:rPr>
        <w:t xml:space="preserve">Dal meccanismo al beneficio:</w:t>
      </w:r>
      <w:r>
        <w:t xml:space="preserve"> </w:t>
      </w:r>
      <w:r>
        <w:t xml:space="preserve">un meccanismo coerente («protegge i mitocondri», «allunga i telomeri») non è efficacia. L’SS-31 ne è l’esempio migliore: è stato sperimentato in diversi grandi studi e ha mancato gli obiettivi principali nell’infarto, nell’insufficienza cardiaca e nella miopatia mitocondriale.</w:t>
      </w:r>
    </w:p>
    <w:p>
      <w:pPr>
        <w:pStyle w:val="FirstParagraph"/>
      </w:pPr>
      <w:r>
        <w:t xml:space="preserve">A ciò si aggiunge che quasi tutte queste sostanze vengono vendute sul mercato grigio come «research peptide», senza controllo di qualità (si vedano la Parte I e la Parte IV).</w:t>
      </w:r>
    </w:p>
    <w:bookmarkEnd w:id="595"/>
    <w:bookmarkStart w:id="596" w:name="X23323f55f91eb0630d0d6f194f5a79ccc1853b2"/>
    <w:p>
      <w:pPr>
        <w:pStyle w:val="Heading3"/>
      </w:pPr>
      <w:r>
        <w:t xml:space="preserve">La ricerca russa sui peptidi e lo stato delle pubblicazioni</w:t>
      </w:r>
    </w:p>
    <w:p>
      <w:pPr>
        <w:pStyle w:val="FirstParagraph"/>
      </w:pPr>
      <w:r>
        <w:t xml:space="preserve">Gran parte della letteratura su Semax, Selank, DSIP, Epitalon e Pinealon proviene da pochi istituti di Mosca e San Pietroburgo. Non è un motivo per respingere in blocco questa ricerca, ma è un motivo di cautela:</w:t>
      </w:r>
    </w:p>
    <w:p>
      <w:pPr>
        <w:numPr>
          <w:ilvl w:val="0"/>
          <w:numId w:val="1191"/>
        </w:numPr>
        <w:pStyle w:val="Compact"/>
      </w:pPr>
      <w:r>
        <w:rPr>
          <w:bCs/>
          <w:b/>
        </w:rPr>
        <w:t xml:space="preserve">Autorizzazione senza standard internazionali:</w:t>
      </w:r>
      <w:r>
        <w:t xml:space="preserve"> </w:t>
      </w:r>
      <w:r>
        <w:t xml:space="preserve">alcuni peptidi sono registrati in Russia come medicinali senza che siano stati pubblicati grandi studi in cieco e preregistrati, come quelli richiesti nell’UE o negli USA.</w:t>
      </w:r>
    </w:p>
    <w:p>
      <w:pPr>
        <w:numPr>
          <w:ilvl w:val="0"/>
          <w:numId w:val="1191"/>
        </w:numPr>
        <w:pStyle w:val="Compact"/>
      </w:pPr>
      <w:r>
        <w:rPr>
          <w:bCs/>
          <w:b/>
        </w:rPr>
        <w:t xml:space="preserve">Studi piccoli e non controllati:</w:t>
      </w:r>
      <w:r>
        <w:t xml:space="preserve"> </w:t>
      </w:r>
      <w:r>
        <w:t xml:space="preserve">molti lavori clinici non hanno un gruppo placebo né un’assegnazione casuale, oppure non riportano numeri nel riassunto.</w:t>
      </w:r>
    </w:p>
    <w:p>
      <w:pPr>
        <w:numPr>
          <w:ilvl w:val="0"/>
          <w:numId w:val="1191"/>
        </w:numPr>
        <w:pStyle w:val="Compact"/>
      </w:pPr>
      <w:r>
        <w:rPr>
          <w:bCs/>
          <w:b/>
        </w:rPr>
        <w:t xml:space="preserve">Lingua e accesso:</w:t>
      </w:r>
      <w:r>
        <w:t xml:space="preserve"> </w:t>
      </w:r>
      <w:r>
        <w:t xml:space="preserve">molti lavori escono solo in russo, spesso in riviste in cui gli stessi gruppi di autori pubblicano frequentemente.</w:t>
      </w:r>
    </w:p>
    <w:p>
      <w:pPr>
        <w:numPr>
          <w:ilvl w:val="0"/>
          <w:numId w:val="1191"/>
        </w:numPr>
        <w:pStyle w:val="Compact"/>
      </w:pPr>
      <w:r>
        <w:rPr>
          <w:bCs/>
          <w:b/>
        </w:rPr>
        <w:t xml:space="preserve">Mancanza di replicazione:</w:t>
      </w:r>
      <w:r>
        <w:t xml:space="preserve"> </w:t>
      </w:r>
      <w:r>
        <w:t xml:space="preserve">gruppi indipendenti al di fuori della Russia hanno raramente verificato i risultati, e quando lo hanno fatto spesso con esiti deludenti, come nel caso del DSIP.</w:t>
      </w:r>
    </w:p>
    <w:p>
      <w:pPr>
        <w:numPr>
          <w:ilvl w:val="0"/>
          <w:numId w:val="1191"/>
        </w:numPr>
        <w:pStyle w:val="Compact"/>
      </w:pPr>
      <w:r>
        <w:rPr>
          <w:bCs/>
          <w:b/>
        </w:rPr>
        <w:t xml:space="preserve">Nessuna voce di registro:</w:t>
      </w:r>
      <w:r>
        <w:t xml:space="preserve"> </w:t>
      </w:r>
      <w:r>
        <w:t xml:space="preserve">per Semax, Selank, DSIP e Pinealon non si trova su ClinicalTrials.gov nemmeno uno studio.</w:t>
      </w:r>
    </w:p>
    <w:bookmarkEnd w:id="596"/>
    <w:bookmarkStart w:id="597" w:name="panoramica-2"/>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solo Russia</w:t>
            </w:r>
          </w:p>
        </w:tc>
        <w:tc>
          <w:tcPr/>
          <w:p>
            <w:pPr>
              <w:pStyle w:val="Compact"/>
              <w:jc w:val="left"/>
            </w:pPr>
            <w:r>
              <w:t xml:space="preserve">frammento di ACTH; piccoli studi sull’ictus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solo Russia</w:t>
            </w:r>
          </w:p>
        </w:tc>
        <w:tc>
          <w:tcPr/>
          <w:p>
            <w:pPr>
              <w:pStyle w:val="Compact"/>
              <w:jc w:val="left"/>
            </w:pPr>
            <w:r>
              <w:t xml:space="preserve">ansiolitico; nessuno studio con placebo</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nazionale, tra l’altro Austria</w:t>
            </w:r>
          </w:p>
        </w:tc>
        <w:tc>
          <w:tcPr/>
          <w:p>
            <w:pPr>
              <w:pStyle w:val="Compact"/>
              <w:jc w:val="left"/>
            </w:pPr>
            <w:r>
              <w:t xml:space="preserve">molti RCT, Cochrane prudente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solo dati sugli animali; questione cancro aperta</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«peptide del sonno» senza beneficio confermato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promessa sui telomeri solo in laboratorio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piccole osservazioni russe</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topi sì, nell’uomo solo livelli</w:t>
            </w:r>
          </w:p>
        </w:tc>
      </w:tr>
      <w:tr>
        <w:tc>
          <w:tcPr/>
          <w:p>
            <w:pPr>
              <w:pStyle w:val="Compact"/>
              <w:jc w:val="left"/>
            </w:pPr>
            <w:r>
              <w:t xml:space="preserve">Umanina</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biomarcatore; negli animali favorisce i tumori</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USA (sindrome di Barth)</w:t>
            </w:r>
          </w:p>
        </w:tc>
        <w:tc>
          <w:tcPr/>
          <w:p>
            <w:pPr>
              <w:pStyle w:val="Compact"/>
              <w:jc w:val="left"/>
            </w:pPr>
            <w:r>
              <w:t xml:space="preserve">grandi studi per lo più negativi</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senolitico, solo dati sugli animali</w:t>
            </w:r>
          </w:p>
        </w:tc>
      </w:tr>
      <w:tr>
        <w:tc>
          <w:tcPr/>
          <w:p>
            <w:pPr>
              <w:pStyle w:val="Compact"/>
              <w:jc w:val="left"/>
            </w:pPr>
            <w:r>
              <w:t xml:space="preserve">Glutatione</w:t>
            </w:r>
          </w:p>
        </w:tc>
        <w:tc>
          <w:tcPr/>
          <w:p>
            <w:pPr>
              <w:pStyle w:val="Compact"/>
              <w:jc w:val="left"/>
            </w:pPr>
            <w:r>
              <w:t xml:space="preserve">B</w:t>
            </w:r>
          </w:p>
        </w:tc>
        <w:tc>
          <w:tcPr/>
          <w:p>
            <w:pPr>
              <w:pStyle w:val="Compact"/>
              <w:jc w:val="left"/>
            </w:pPr>
            <w:r>
              <w:t xml:space="preserve">integratore alimentare</w:t>
            </w:r>
          </w:p>
        </w:tc>
        <w:tc>
          <w:tcPr/>
          <w:p>
            <w:pPr>
              <w:pStyle w:val="Compact"/>
              <w:jc w:val="left"/>
            </w:pPr>
            <w:r>
              <w:t xml:space="preserve">infusioni per schiarire la pelle rischiose</w:t>
            </w:r>
          </w:p>
        </w:tc>
      </w:tr>
    </w:tbl>
    <w:bookmarkEnd w:id="597"/>
    <w:bookmarkStart w:id="598" w:name="indicazioni-per-la-lettura-3"/>
    <w:p>
      <w:pPr>
        <w:pStyle w:val="Heading3"/>
      </w:pPr>
      <w:r>
        <w:t xml:space="preserve">Indicazioni per la lettura</w:t>
      </w:r>
    </w:p>
    <w:p>
      <w:pPr>
        <w:pStyle w:val="FirstParagraph"/>
      </w:pPr>
      <w:r>
        <w:t xml:space="preserve">I capitoli seguono la struttura uniforme di questo libro. In ogni capitolo presti particolare attenzione alla sezione «Studi sull’uomo» e, al suo interno, alle dimensioni della letteratura: per nove dei dodici peptidi non esiste alcuno studio in cui delle persone abbiano ricevuto il principio attivo, oppure esistono solo indagini molto piccole e metodologicamente deboli. Quadro normativo e status FDA sono cambiati più volte nel 2026; le informazioni corrispondono alla situazione di ottobre 2026 e andrebbero verificate.</w:t>
      </w:r>
    </w:p>
    <w:bookmarkEnd w:id="598"/>
    <w:bookmarkStart w:id="610" w:name="semax"/>
    <w:p>
      <w:pPr>
        <w:pStyle w:val="Heading2"/>
      </w:pPr>
      <w:r>
        <w:t xml:space="preserve">Semax</w:t>
      </w:r>
    </w:p>
    <w:bookmarkStart w:id="599" w:name="scheda-34"/>
    <w:p>
      <w:pPr>
        <w:pStyle w:val="Heading3"/>
      </w:pPr>
      <w:r>
        <w:t xml:space="preserve">Scheda</w:t>
      </w:r>
    </w:p>
    <w:p>
      <w:pPr>
        <w:numPr>
          <w:ilvl w:val="0"/>
          <w:numId w:val="1192"/>
        </w:numPr>
        <w:pStyle w:val="Compact"/>
      </w:pPr>
      <w:r>
        <w:rPr>
          <w:bCs/>
          <w:b/>
        </w:rPr>
        <w:t xml:space="preserve">Tipo e struttura:</w:t>
      </w:r>
      <w:r>
        <w:t xml:space="preserve"> </w:t>
      </w:r>
      <w:r>
        <w:t xml:space="preserve">eptapeptide sintetico (sette amminoacidi: Met-Glu-His-Phe-Pro-Gly-Pro). Le prime quattro unità corrispondono a un frammento dell’ormone dello stress ACTH (ormone adrenocorticotropo, segmento 4–7), cui è aggiunto il tripeptide Pro-Gly-Pro, che dovrebbe rallentarne la degradazione.</w:t>
      </w:r>
    </w:p>
    <w:p>
      <w:pPr>
        <w:numPr>
          <w:ilvl w:val="0"/>
          <w:numId w:val="1192"/>
        </w:numPr>
        <w:pStyle w:val="Compact"/>
      </w:pPr>
      <w:r>
        <w:rPr>
          <w:bCs/>
          <w:b/>
        </w:rPr>
        <w:t xml:space="preserve">Origine:</w:t>
      </w:r>
      <w:r>
        <w:t xml:space="preserve"> </w:t>
      </w:r>
      <w:r>
        <w:t xml:space="preserve">sviluppato a partire dagli anni Ottanta presso l’Istituto di genetica molecolare dell’Accademia russa delle scienze a Mosca.</w:t>
      </w:r>
    </w:p>
    <w:p>
      <w:pPr>
        <w:numPr>
          <w:ilvl w:val="0"/>
          <w:numId w:val="1192"/>
        </w:numPr>
        <w:pStyle w:val="Compact"/>
      </w:pPr>
      <w:r>
        <w:rPr>
          <w:bCs/>
          <w:b/>
        </w:rPr>
        <w:t xml:space="preserve">Principio d’azione:</w:t>
      </w:r>
      <w:r>
        <w:t xml:space="preserve"> </w:t>
      </w:r>
      <w:r>
        <w:t xml:space="preserve">dovrebbe stimolare la produzione di fattori di crescita nervosa (soprattutto BDNF) e proteggere i neuroni in caso di carenza di ossigeno; a differenza dell’ACTH non stimola il surrene a secernere cortisolo. Viene somministrato come gocce nasali.</w:t>
      </w:r>
    </w:p>
    <w:p>
      <w:pPr>
        <w:numPr>
          <w:ilvl w:val="0"/>
          <w:numId w:val="1192"/>
        </w:numPr>
        <w:pStyle w:val="Compact"/>
      </w:pPr>
      <w:r>
        <w:rPr>
          <w:bCs/>
          <w:b/>
        </w:rPr>
        <w:t xml:space="preserve">Autorizzazione UE:</w:t>
      </w:r>
      <w:r>
        <w:t xml:space="preserve"> </w:t>
      </w:r>
      <w:r>
        <w:t xml:space="preserve">no.</w:t>
      </w:r>
    </w:p>
    <w:p>
      <w:pPr>
        <w:numPr>
          <w:ilvl w:val="0"/>
          <w:numId w:val="1192"/>
        </w:numPr>
        <w:pStyle w:val="Compact"/>
      </w:pPr>
      <w:r>
        <w:rPr>
          <w:bCs/>
          <w:b/>
        </w:rPr>
        <w:t xml:space="preserve">Autorizzazione USA:</w:t>
      </w:r>
      <w:r>
        <w:t xml:space="preserve"> </w:t>
      </w:r>
      <w:r>
        <w:t xml:space="preserve">no. Dal 2023 il Semax figurava nell’elenco FDA delle sostanze con possibili rischi per la sicurezza nelle preparazioni galeniche («categoria 2»), ne è stato cancellato nell’aprile 2026 e nel luglio 2026 il comitato consultivo PCAC ne ha raccomandato, di stretta misura, l’inserimento nell’elenco delle sostanze ammesse per le preparazioni magistrali. Non si tratta di un’autorizzazione come medicinale.</w:t>
      </w:r>
    </w:p>
    <w:p>
      <w:pPr>
        <w:numPr>
          <w:ilvl w:val="0"/>
          <w:numId w:val="1192"/>
        </w:numPr>
        <w:pStyle w:val="Compact"/>
      </w:pPr>
      <w:r>
        <w:rPr>
          <w:bCs/>
          <w:b/>
        </w:rPr>
        <w:t xml:space="preserve">Russia e alcuni Paesi vicini:</w:t>
      </w:r>
      <w:r>
        <w:t xml:space="preserve"> </w:t>
      </w:r>
      <w:r>
        <w:t xml:space="preserve">registrato come medicinale (gocce nasali; soluzione allo 0,1% come nootropo, soluzione all’1% per l’ictus).</w:t>
      </w:r>
    </w:p>
    <w:p>
      <w:pPr>
        <w:numPr>
          <w:ilvl w:val="0"/>
          <w:numId w:val="1192"/>
        </w:numPr>
        <w:pStyle w:val="Compact"/>
      </w:pPr>
      <w:r>
        <w:rPr>
          <w:bCs/>
          <w:b/>
        </w:rPr>
        <w:t xml:space="preserve">WADA:</w:t>
      </w:r>
      <w:r>
        <w:t xml:space="preserve"> </w:t>
      </w:r>
      <w:r>
        <w:t xml:space="preserve">non elencato per nome. Poiché il Semax è autorizzato in Russia, non rientra chiaramente nella categoria generale S0 per le sostanze non autorizzate (aggiornato al 2026, da verificare).</w:t>
      </w:r>
    </w:p>
    <w:p>
      <w:pPr>
        <w:numPr>
          <w:ilvl w:val="0"/>
          <w:numId w:val="1192"/>
        </w:numPr>
        <w:pStyle w:val="Compact"/>
      </w:pPr>
      <w:r>
        <w:rPr>
          <w:bCs/>
          <w:b/>
        </w:rPr>
        <w:t xml:space="preserve">Livello di evidenza:</w:t>
      </w:r>
      <w:r>
        <w:t xml:space="preserve"> </w:t>
      </w:r>
      <w:r>
        <w:rPr>
          <w:bCs/>
          <w:b/>
        </w:rPr>
        <w:t xml:space="preserve">C</w:t>
      </w:r>
      <w:r>
        <w:t xml:space="preserve"> </w:t>
      </w:r>
      <w:r>
        <w:t xml:space="preserve">– pochi piccoli studi, per lo più non randomizzati, da centri russi.</w:t>
      </w:r>
    </w:p>
    <w:bookmarkEnd w:id="599"/>
    <w:bookmarkStart w:id="600" w:name="come-dovrebbe-agire-34"/>
    <w:p>
      <w:pPr>
        <w:pStyle w:val="Heading3"/>
      </w:pPr>
      <w:r>
        <w:t xml:space="preserve">Come dovrebbe agire</w:t>
      </w:r>
    </w:p>
    <w:p>
      <w:pPr>
        <w:pStyle w:val="FirstParagraph"/>
      </w:pPr>
      <w:r>
        <w:t xml:space="preserve">L’ACTH è un ormone dell’ipofisi che stimola il surrene a produrre cortisolo. Già negli anni Settanta si notò che brevi frammenti di questo ormone, privi dell’effetto sul surrene, influenzano negli animali attenzione e apprendimento. Tali frammenti vengono però degradati nell’organismo in pochi minuti. Gli sviluppatori del Semax hanno quindi allungato il frammento ACTH(4–7) con la sequenza Pro-Gly-Pro, più stabile nei confronti degli enzimi che scindono le proteine.</w:t>
      </w:r>
    </w:p>
    <w:p>
      <w:pPr>
        <w:pStyle w:val="BodyText"/>
      </w:pPr>
      <w:r>
        <w:t xml:space="preserve">Per il meccanismo d’azione gli sviluppatori si basano soprattutto su dati animali:</w:t>
      </w:r>
    </w:p>
    <w:p>
      <w:pPr>
        <w:numPr>
          <w:ilvl w:val="0"/>
          <w:numId w:val="1193"/>
        </w:numPr>
        <w:pStyle w:val="Compact"/>
      </w:pPr>
      <w:r>
        <w:rPr>
          <w:bCs/>
          <w:b/>
        </w:rPr>
        <w:t xml:space="preserve">Fattori di crescita nervosa:</w:t>
      </w:r>
      <w:r>
        <w:t xml:space="preserve"> </w:t>
      </w:r>
      <w:r>
        <w:t xml:space="preserve">nei ratti sono stati trovati siti di legame specifici per il Semax marcato nel prosencefalo basale; dopo somministrazione nasale, entro tre ore è aumentato lì il contenuto di BDNF (Brain-Derived Neurotrophic Factor), una proteina che favorisce la capacità di adattamento delle connessioni nervose. Nel cervelletto ciò non è avvenuto (Dolotov 2006, PMID 16635254).</w:t>
      </w:r>
    </w:p>
    <w:p>
      <w:pPr>
        <w:numPr>
          <w:ilvl w:val="0"/>
          <w:numId w:val="1193"/>
        </w:numPr>
        <w:pStyle w:val="Compact"/>
      </w:pPr>
      <w:r>
        <w:rPr>
          <w:bCs/>
          <w:b/>
        </w:rPr>
        <w:t xml:space="preserve">Attività genica dopo ictus:</w:t>
      </w:r>
      <w:r>
        <w:t xml:space="preserve"> </w:t>
      </w:r>
      <w:r>
        <w:t xml:space="preserve">in un modello di ictus nel ratto il Semax ha modificato l’attività di numerosi geni, soprattutto di quelli del sistema immunitario e della formazione dei vasi sanguigni (Medvedeva 2014, PMID 24661604).</w:t>
      </w:r>
    </w:p>
    <w:p>
      <w:pPr>
        <w:pStyle w:val="FirstParagraph"/>
      </w:pPr>
      <w:r>
        <w:t xml:space="preserve">Un recettore specifico per il Semax non è stato identificato. Se gli aumenti di BDNF misurati nei ratti si verifichino in forma paragonabile nell’uomo e se siano sufficienti per un beneficio resta aperto.</w:t>
      </w:r>
    </w:p>
    <w:bookmarkEnd w:id="600"/>
    <w:bookmarkStart w:id="604" w:name="studi-sulluomo-34"/>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solo 4 pubblicazioni classificate come studi sull’uomo; complessivamente PubMed elenca circa 210 lavori con «Semax» nel titolo o nell’abstract, in grandissima parte studi su animali e in laboratorio. Su ClinicalTrials.gov non è registrato nemmeno uno studio. Una ricerca mirata supplementare ha individuato alcuni altri piccoli lavori clinici. Praticamente tutti provengono da istituzioni russe, molti dall’ambiente degli sviluppatori, e sono stati pubblicati solo in russo con un riassunto in inglese.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Gusev 1997, PMID 11517472</w:t>
            </w:r>
          </w:p>
        </w:tc>
        <w:tc>
          <w:tcPr/>
          <w:p>
            <w:pPr>
              <w:pStyle w:val="Compact"/>
              <w:jc w:val="left"/>
            </w:pPr>
            <w:r>
              <w:t xml:space="preserve">30 persone con ictus ischemico acuto, confronto con 80 persone in terapia standard, non randomizzato</w:t>
            </w:r>
          </w:p>
        </w:tc>
        <w:tc>
          <w:tcPr/>
          <w:p>
            <w:pPr>
              <w:pStyle w:val="Compact"/>
              <w:jc w:val="left"/>
            </w:pPr>
            <w:r>
              <w:t xml:space="preserve">5–10 giorni di trattamento</w:t>
            </w:r>
          </w:p>
        </w:tc>
        <w:tc>
          <w:tcPr/>
          <w:p>
            <w:pPr>
              <w:pStyle w:val="Compact"/>
              <w:jc w:val="left"/>
            </w:pPr>
            <w:r>
              <w:t xml:space="preserve">«una certa influenza» sulla velocità di recupero dei deficit neurologici, nessuna dimensione dell’effetto nell’abstract</w:t>
            </w:r>
          </w:p>
        </w:tc>
      </w:tr>
      <w:tr>
        <w:tc>
          <w:tcPr/>
          <w:p>
            <w:pPr>
              <w:pStyle w:val="Compact"/>
              <w:jc w:val="left"/>
            </w:pPr>
            <w:r>
              <w:t xml:space="preserve">Gusev 2005, PMID 15792140</w:t>
            </w:r>
          </w:p>
        </w:tc>
        <w:tc>
          <w:tcPr/>
          <w:p>
            <w:pPr>
              <w:pStyle w:val="Compact"/>
              <w:jc w:val="left"/>
            </w:pPr>
            <w:r>
              <w:t xml:space="preserve">187 persone con disturbo cronico della circolazione cerebrale</w:t>
            </w:r>
          </w:p>
        </w:tc>
        <w:tc>
          <w:tcPr/>
          <w:p>
            <w:pPr>
              <w:pStyle w:val="Compact"/>
              <w:jc w:val="left"/>
            </w:pPr>
            <w:r>
              <w:t xml:space="preserve">non indicata</w:t>
            </w:r>
          </w:p>
        </w:tc>
        <w:tc>
          <w:tcPr/>
          <w:p>
            <w:pPr>
              <w:pStyle w:val="Compact"/>
              <w:jc w:val="left"/>
            </w:pPr>
            <w:r>
              <w:t xml:space="preserve">secondo gli autori miglioramento clinico e meno ictus; disegno e numeri non presenti nell’abstract</w:t>
            </w:r>
          </w:p>
        </w:tc>
      </w:tr>
      <w:tr>
        <w:tc>
          <w:tcPr/>
          <w:p>
            <w:pPr>
              <w:pStyle w:val="Compact"/>
              <w:jc w:val="left"/>
            </w:pPr>
            <w:r>
              <w:t xml:space="preserve">Gusev 2018, PMID 29798983</w:t>
            </w:r>
          </w:p>
        </w:tc>
        <w:tc>
          <w:tcPr/>
          <w:p>
            <w:pPr>
              <w:pStyle w:val="Compact"/>
              <w:jc w:val="left"/>
            </w:pPr>
            <w:r>
              <w:t xml:space="preserve">110 persone dopo ictus, riabilitazione precoce o tardiva, ciascuna con o senza Semax</w:t>
            </w:r>
          </w:p>
        </w:tc>
        <w:tc>
          <w:tcPr/>
          <w:p>
            <w:pPr>
              <w:pStyle w:val="Compact"/>
              <w:jc w:val="left"/>
            </w:pPr>
            <w:r>
              <w:t xml:space="preserve">circa 5 mesi</w:t>
            </w:r>
          </w:p>
        </w:tc>
        <w:tc>
          <w:tcPr/>
          <w:p>
            <w:pPr>
              <w:pStyle w:val="Compact"/>
              <w:jc w:val="left"/>
            </w:pPr>
            <w:r>
              <w:t xml:space="preserve">livello di BDNF nel sangue più alto, miglioramento più rapido nell’indice di Barthel</w:t>
            </w:r>
          </w:p>
        </w:tc>
      </w:tr>
      <w:tr>
        <w:tc>
          <w:tcPr/>
          <w:p>
            <w:pPr>
              <w:pStyle w:val="Compact"/>
              <w:jc w:val="left"/>
            </w:pPr>
            <w:r>
              <w:t xml:space="preserve">Serdiuk 2007, PMID 18379501</w:t>
            </w:r>
          </w:p>
        </w:tc>
        <w:tc>
          <w:tcPr/>
          <w:p>
            <w:pPr>
              <w:pStyle w:val="Compact"/>
              <w:jc w:val="left"/>
            </w:pPr>
            <w:r>
              <w:t xml:space="preserve">27 persone con malattia del motoneurone (p. es. SLA), in aperto</w:t>
            </w:r>
          </w:p>
        </w:tc>
        <w:tc>
          <w:tcPr/>
          <w:p>
            <w:pPr>
              <w:pStyle w:val="Compact"/>
              <w:jc w:val="left"/>
            </w:pPr>
            <w:r>
              <w:t xml:space="preserve">48 giorni</w:t>
            </w:r>
          </w:p>
        </w:tc>
        <w:tc>
          <w:tcPr/>
          <w:p>
            <w:pPr>
              <w:pStyle w:val="Compact"/>
              <w:jc w:val="left"/>
            </w:pPr>
            <w:r>
              <w:t xml:space="preserve">nessuna influenza sul decorso della malattia e sui reperti muscolari; punteggi di qualità della vita migliori</w:t>
            </w:r>
          </w:p>
        </w:tc>
      </w:tr>
      <w:tr>
        <w:tc>
          <w:tcPr/>
          <w:p>
            <w:pPr>
              <w:pStyle w:val="Compact"/>
              <w:jc w:val="left"/>
            </w:pPr>
            <w:r>
              <w:t xml:space="preserve">Polunin 2000, PMID 10741256</w:t>
            </w:r>
          </w:p>
        </w:tc>
        <w:tc>
          <w:tcPr/>
          <w:p>
            <w:pPr>
              <w:pStyle w:val="Compact"/>
              <w:jc w:val="left"/>
            </w:pPr>
            <w:r>
              <w:t xml:space="preserve">persone con malattie del nervo ottico, tre gruppi incl. controllo</w:t>
            </w:r>
          </w:p>
        </w:tc>
        <w:tc>
          <w:tcPr/>
          <w:p>
            <w:pPr>
              <w:pStyle w:val="Compact"/>
              <w:jc w:val="left"/>
            </w:pPr>
            <w:r>
              <w:t xml:space="preserve">non indicata</w:t>
            </w:r>
          </w:p>
        </w:tc>
        <w:tc>
          <w:tcPr/>
          <w:p>
            <w:pPr>
              <w:pStyle w:val="Compact"/>
              <w:jc w:val="left"/>
            </w:pPr>
            <w:r>
              <w:t xml:space="preserve">secondo gli autori migliori acuità visiva e campo visivo; nessun numero nell’abstract</w:t>
            </w:r>
          </w:p>
        </w:tc>
      </w:tr>
      <w:tr>
        <w:tc>
          <w:tcPr/>
          <w:p>
            <w:pPr>
              <w:pStyle w:val="Compact"/>
              <w:jc w:val="left"/>
            </w:pPr>
            <w:r>
              <w:t xml:space="preserve">Lebedeva 2018, PMID 30225715</w:t>
            </w:r>
          </w:p>
        </w:tc>
        <w:tc>
          <w:tcPr/>
          <w:p>
            <w:pPr>
              <w:pStyle w:val="Compact"/>
              <w:jc w:val="left"/>
            </w:pPr>
            <w:r>
              <w:t xml:space="preserve">24 persone sane, Semax (14) o placebo (10)</w:t>
            </w:r>
          </w:p>
        </w:tc>
        <w:tc>
          <w:tcPr/>
          <w:p>
            <w:pPr>
              <w:pStyle w:val="Compact"/>
              <w:jc w:val="left"/>
            </w:pPr>
            <w:r>
              <w:t xml:space="preserve">somministrazione singola, misurazione dopo 20 minuti</w:t>
            </w:r>
          </w:p>
        </w:tc>
        <w:tc>
          <w:tcPr/>
          <w:p>
            <w:pPr>
              <w:pStyle w:val="Compact"/>
              <w:jc w:val="left"/>
            </w:pPr>
            <w:r>
              <w:t xml:space="preserve">attività delle reti a riposo modificata alla risonanza magnetica funzionale</w:t>
            </w:r>
          </w:p>
        </w:tc>
      </w:tr>
    </w:tbl>
    <w:bookmarkStart w:id="601" w:name="ictus"/>
    <w:p>
      <w:pPr>
        <w:pStyle w:val="Heading4"/>
      </w:pPr>
      <w:r>
        <w:t xml:space="preserve">Ictus</w:t>
      </w:r>
    </w:p>
    <w:p>
      <w:pPr>
        <w:pStyle w:val="FirstParagraph"/>
      </w:pPr>
      <w:r>
        <w:t xml:space="preserve">L’ictus è il principale campo d’impiego per il quale il Semax è registrato in Russia. La base è esile. Nel primo studio clinico, 30 persone con ictus acuto hanno ricevuto Semax in aggiunta al trattamento standard; come confronto sono servite 80 persone che ricevevano solo il trattamento standard. I gruppi non sono stati assegnati per sorteggio. Gli autori riferiscono «una certa influenza» sulla regressione dei deficit, soprattutto delle paralisi (Gusev 1997, PMID 11517472). Un lavoro successivo dello stesso gruppo ha esaminato i messaggeri dell’infiammazione nel sangue ed era espressamente un’analisi retrospettiva (Miasoedova 1999, PMID 10358912).</w:t>
      </w:r>
    </w:p>
    <w:p>
      <w:pPr>
        <w:pStyle w:val="BodyText"/>
      </w:pPr>
      <w:r>
        <w:t xml:space="preserve">Lo studio finora più grande, con 110 persone dopo un ictus, ha confrontato riabilitazione precoce e tardiva, ciascuna con o senza Semax. Con il Semax il livello di BDNF nel plasma è aumentato ed è rimasto elevato durante l’osservazione; l’indice di Barthel, una misura dell’autonomia nella vita quotidiana, è migliorato più rapidamente (Gusev 2018, PMID 29798983). L’abstract non menziona né un’assegnazione casuale né un mascheramento, e le differenze tra i gruppi non sono riportate come dimensione dell’effetto. Per dimostrare un beneficio non basta.</w:t>
      </w:r>
    </w:p>
    <w:p>
      <w:pPr>
        <w:pStyle w:val="BodyText"/>
      </w:pPr>
      <w:r>
        <w:t xml:space="preserve">Per confronto: nell’ictus, quasi tutti gli altri principi attivi che dovevano «proteggere i neuroni» hanno finora fallito in grandi studi internazionali in cieco. Per il Semax uno studio del genere non esiste.</w:t>
      </w:r>
    </w:p>
    <w:bookmarkEnd w:id="601"/>
    <w:bookmarkStart w:id="602" w:name="altri-impieghi-2"/>
    <w:p>
      <w:pPr>
        <w:pStyle w:val="Heading4"/>
      </w:pPr>
      <w:r>
        <w:t xml:space="preserve">Altri impieghi</w:t>
      </w:r>
    </w:p>
    <w:p>
      <w:pPr>
        <w:numPr>
          <w:ilvl w:val="0"/>
          <w:numId w:val="1194"/>
        </w:numPr>
        <w:pStyle w:val="Compact"/>
      </w:pPr>
      <w:r>
        <w:rPr>
          <w:bCs/>
          <w:b/>
        </w:rPr>
        <w:t xml:space="preserve">Malattie del motoneurone:</w:t>
      </w:r>
      <w:r>
        <w:t xml:space="preserve"> </w:t>
      </w:r>
      <w:r>
        <w:t xml:space="preserve">in uno studio in aperto con 27 persone, il Semax non ha modificato né il decorso del danno nervoso all’elettromiogramma né le scale di valutazione cliniche. I punteggi di qualità della vita sono migliorati, soprattutto umore e motivazione, con il massimo al decimo giorno (Serdiuk 2007, PMID 18379501). Senza un gruppo placebo non si può escludere un effetto aspettativa.</w:t>
      </w:r>
    </w:p>
    <w:p>
      <w:pPr>
        <w:numPr>
          <w:ilvl w:val="0"/>
          <w:numId w:val="1194"/>
        </w:numPr>
        <w:pStyle w:val="Compact"/>
      </w:pPr>
      <w:r>
        <w:rPr>
          <w:bCs/>
          <w:b/>
        </w:rPr>
        <w:t xml:space="preserve">Malattie del nervo ottico:</w:t>
      </w:r>
      <w:r>
        <w:t xml:space="preserve"> </w:t>
      </w:r>
      <w:r>
        <w:t xml:space="preserve">uno studio controllato riferisce migliori funzioni visive con trattamento aggiuntivo con Semax, senza numeri nell’abstract (Polunin 2000, PMID 10741256).</w:t>
      </w:r>
    </w:p>
    <w:p>
      <w:pPr>
        <w:numPr>
          <w:ilvl w:val="0"/>
          <w:numId w:val="1194"/>
        </w:numPr>
        <w:pStyle w:val="Compact"/>
      </w:pPr>
      <w:r>
        <w:rPr>
          <w:bCs/>
          <w:b/>
        </w:rPr>
        <w:t xml:space="preserve">Esiti di carenza di ossigeno:</w:t>
      </w:r>
      <w:r>
        <w:t xml:space="preserve"> </w:t>
      </w:r>
      <w:r>
        <w:t xml:space="preserve">in 73 persone con danno cerebrale da carenza di ossigeno gli autori descrivono un effetto sui disturbi della memoria. In alcune, dopo la somministrazione, all’EEG sono comparsi episodi di attività di tipo epilettico; gli autori consigliano quindi di effettuare la prima somministrazione sotto controllo EEG (Alekseeva 1999, PMID 10199046).</w:t>
      </w:r>
    </w:p>
    <w:p>
      <w:pPr>
        <w:numPr>
          <w:ilvl w:val="0"/>
          <w:numId w:val="1194"/>
        </w:numPr>
        <w:pStyle w:val="Compact"/>
      </w:pPr>
      <w:r>
        <w:rPr>
          <w:bCs/>
          <w:b/>
        </w:rPr>
        <w:t xml:space="preserve">Ulcera gastrica:</w:t>
      </w:r>
      <w:r>
        <w:t xml:space="preserve"> </w:t>
      </w:r>
      <w:r>
        <w:t xml:space="preserve">in un lavoro su ulcere gastriche resistenti alla terapia, dopo 14 giorni è guarito l’89,5% delle ulcere con Semax in aggiunta alla terapia standard contro il 30,8% nel gruppo di controllo (Ivanikov 2002, PMID 12459874). L’abstract non indica dimensione dei gruppi né modalità di assegnazione; gli stessi autori chiedono ulteriori studi.</w:t>
      </w:r>
    </w:p>
    <w:bookmarkEnd w:id="602"/>
    <w:bookmarkStart w:id="603" w:name="persone-sane-e-nootropo"/>
    <w:p>
      <w:pPr>
        <w:pStyle w:val="Heading4"/>
      </w:pPr>
      <w:r>
        <w:t xml:space="preserve">Persone sane e «nootropo»</w:t>
      </w:r>
    </w:p>
    <w:p>
      <w:pPr>
        <w:pStyle w:val="FirstParagraph"/>
      </w:pPr>
      <w:r>
        <w:t xml:space="preserve">In internet il Semax viene offerto soprattutto come rimedio per aumentare concentrazione e memoria nelle persone sane. Mancano studi solidi in merito. Una rassegna degli sviluppatori degli anni Novanta riferisce che il Semax migliorerebbe memoria e attenzione di uomini sani «in condizioni estreme», ma nell’abstract non riporta dati di studio (Asmarin 1997, PMID 9173745). Due piccoli studi di imaging su persone sane hanno mostrato, dopo una singola somministrazione, schemi di attività modificati alla risonanza magnetica funzionale (Lebedeva 2018, PMID 30225715; Panikratova 2020, PMID 32342318, 52 persone sane con Semax, Selank o placebo). Un’attività cerebrale modificata nello scanner non è però una prova di prestazioni migliori nella vita quotidiana.</w:t>
      </w:r>
    </w:p>
    <w:bookmarkEnd w:id="603"/>
    <w:bookmarkEnd w:id="604"/>
    <w:bookmarkStart w:id="605" w:name="studi-su-animali-e-in-laboratorio-34"/>
    <w:p>
      <w:pPr>
        <w:pStyle w:val="Heading3"/>
      </w:pPr>
      <w:r>
        <w:t xml:space="preserve">Studi su animali e in laboratorio</w:t>
      </w:r>
    </w:p>
    <w:p>
      <w:pPr>
        <w:pStyle w:val="FirstParagraph"/>
      </w:pPr>
      <w:r>
        <w:t xml:space="preserve">La letteratura preclinica è ampia e proviene anch’essa prevalentemente da Mosca:</w:t>
      </w:r>
    </w:p>
    <w:p>
      <w:pPr>
        <w:numPr>
          <w:ilvl w:val="0"/>
          <w:numId w:val="1195"/>
        </w:numPr>
        <w:pStyle w:val="Compact"/>
      </w:pPr>
      <w:r>
        <w:t xml:space="preserve">In ratti con ictus indotto artificialmente il Semax ha modificato l’attività di geni del sistema immunitario e vascolare (Medvedeva 2014, PMID 24661604).</w:t>
      </w:r>
    </w:p>
    <w:p>
      <w:pPr>
        <w:numPr>
          <w:ilvl w:val="0"/>
          <w:numId w:val="1195"/>
        </w:numPr>
        <w:pStyle w:val="Compact"/>
      </w:pPr>
      <w:r>
        <w:t xml:space="preserve">In ratti il cui sistema dopaminergico era stato danneggiato con la neurotossina MPTP, il Semax ha ridotto disturbi motori e d’ansia (Levitskaya 2004, PMID 15341218).</w:t>
      </w:r>
    </w:p>
    <w:p>
      <w:pPr>
        <w:numPr>
          <w:ilvl w:val="0"/>
          <w:numId w:val="1195"/>
        </w:numPr>
        <w:pStyle w:val="Compact"/>
      </w:pPr>
      <w:r>
        <w:t xml:space="preserve">In topi geneticamente modificati con depositi simili a quelli dell’Alzheimer, il Semax e un suo derivato hanno migliorato il comportamento nei test di memoria e ridotto il numero dei depositi di amiloide (Radchenko 2025, PMID 41479572).</w:t>
      </w:r>
    </w:p>
    <w:p>
      <w:pPr>
        <w:numPr>
          <w:ilvl w:val="0"/>
          <w:numId w:val="1195"/>
        </w:numPr>
        <w:pStyle w:val="Compact"/>
      </w:pPr>
      <w:r>
        <w:t xml:space="preserve">In esperimenti di laboratorio il Semax lega ioni rame, il che ha attenuato la formazione di radicali dell’ossigeno dannosi da parte di complessi amiloide-rame (Tomasello 2025, PMID 40496623).</w:t>
      </w:r>
    </w:p>
    <w:p>
      <w:pPr>
        <w:pStyle w:val="FirstParagraph"/>
      </w:pPr>
      <w:r>
        <w:t xml:space="preserve">Questi risultati sono reperti su animali e di laboratorio. Molti principi attivi che proteggevano in tali modelli hanno poi fallito nell’uomo.</w:t>
      </w:r>
    </w:p>
    <w:bookmarkEnd w:id="605"/>
    <w:bookmarkStart w:id="606" w:name="rischi-ed-effetti-collaterali-34"/>
    <w:p>
      <w:pPr>
        <w:pStyle w:val="Heading3"/>
      </w:pPr>
      <w:r>
        <w:t xml:space="preserve">Rischi ed effetti collaterali</w:t>
      </w:r>
    </w:p>
    <w:p>
      <w:pPr>
        <w:pStyle w:val="FirstParagraph"/>
      </w:pPr>
      <w:r>
        <w:rPr>
          <w:bCs/>
          <w:b/>
        </w:rPr>
        <w:t xml:space="preserve">Documentati:</w:t>
      </w:r>
      <w:r>
        <w:t xml:space="preserve"> </w:t>
      </w:r>
      <w:r>
        <w:t xml:space="preserve">non esistono dati di sicurezza raccolti sistematicamente in studi più ampi. I lavori russi descrivono il Semax come ben tollerato, in parte espressamente anche nelle persone anziane (Gusev 2005, PMID 15792140). Un segnale da prendere sul serio è l’osservazione di alterazioni EEG di tipo epilettico dopo la somministrazione in singole persone con cervello già danneggiato (Alekseeva 1999, PMID 10199046).</w:t>
      </w:r>
    </w:p>
    <w:p>
      <w:pPr>
        <w:pStyle w:val="BodyText"/>
      </w:pPr>
      <w:r>
        <w:rPr>
          <w:bCs/>
          <w:b/>
        </w:rPr>
        <w:t xml:space="preserve">Teorici:</w:t>
      </w:r>
      <w:r>
        <w:t xml:space="preserve"> </w:t>
      </w:r>
      <w:r>
        <w:t xml:space="preserve">il Semax dovrebbe influenzare fattori di crescita e geni immunitari; le conseguenze a lungo termine di tali interventi non sono state studiate. Mancano dati per gravidanza, allattamento, bambini, epilessia e malattie psichiatriche.</w:t>
      </w:r>
    </w:p>
    <w:p>
      <w:pPr>
        <w:pStyle w:val="BodyText"/>
      </w:pPr>
      <w:r>
        <w:rPr>
          <w:bCs/>
          <w:b/>
        </w:rPr>
        <w:t xml:space="preserve">Mercato grigio:</w:t>
      </w:r>
      <w:r>
        <w:t xml:space="preserve"> </w:t>
      </w:r>
      <w:r>
        <w:t xml:space="preserve">al di fuori della Russia il Semax viene venduto per lo più come «research peptide» o come soluzione nasale miscelata in proprio. Contenuto, purezza e sterilità di tali prodotti non sono verificati. Un laboratorio di controllo dei medicinali ha identificato Semax e Selank nel 2017 e nel 2018 in preparati sconosciuti sequestrati e, con una ricerca online, ha rilevato che tali «peptidi nootropi» vengono offerti liberamente come polvere per iniezione o come spray nasale (Vanhee 2020, PMID 31667971). Maggiori dettagli nella Parte I e nella Parte IV.</w:t>
      </w:r>
    </w:p>
    <w:bookmarkEnd w:id="606"/>
    <w:bookmarkStart w:id="607" w:name="quadro-normativo-34"/>
    <w:p>
      <w:pPr>
        <w:pStyle w:val="Heading3"/>
      </w:pPr>
      <w:r>
        <w:t xml:space="preserve">Quadro normativo</w:t>
      </w:r>
    </w:p>
    <w:p>
      <w:pPr>
        <w:numPr>
          <w:ilvl w:val="0"/>
          <w:numId w:val="1196"/>
        </w:numPr>
        <w:pStyle w:val="Compact"/>
      </w:pPr>
      <w:r>
        <w:rPr>
          <w:bCs/>
          <w:b/>
        </w:rPr>
        <w:t xml:space="preserve">UE / Austria / Germania:</w:t>
      </w:r>
      <w:r>
        <w:t xml:space="preserve"> </w:t>
      </w:r>
      <w:r>
        <w:t xml:space="preserve">il Semax non è autorizzato. In quanto sostanza con effetto previsto sulle funzioni corporee è considerato un medicinale; vendita e pubblicità senza autorizzazione non sono consentite. L’importazione dalla Russia come medicinale è soggetta alle regole per le importazioni individuali (aggiornato al 2026, da verificare).</w:t>
      </w:r>
    </w:p>
    <w:p>
      <w:pPr>
        <w:numPr>
          <w:ilvl w:val="0"/>
          <w:numId w:val="1196"/>
        </w:numPr>
        <w:pStyle w:val="Compact"/>
      </w:pPr>
      <w:r>
        <w:rPr>
          <w:bCs/>
          <w:b/>
        </w:rPr>
        <w:t xml:space="preserve">USA:</w:t>
      </w:r>
      <w:r>
        <w:t xml:space="preserve"> </w:t>
      </w:r>
      <w:r>
        <w:t xml:space="preserve">non autorizzato. Nell’aprile 2026 la FDA ha cancellato il Semax dal suo elenco di «categoria 2»; nel luglio 2026 il comitato consultivo PCAC ha votato con 8 voti contro 5 a favore dell’inserimento del Semax nell’elenco delle sostanze che le farmacie possono usare per le preparazioni magistrali. Gli esperti della FDA lo avevano sconsigliato; la decisione dell’autorità era ancora in sospeso alla chiusura redazionale (aggiornato a ottobre 2026, da verificare).</w:t>
      </w:r>
    </w:p>
    <w:p>
      <w:pPr>
        <w:numPr>
          <w:ilvl w:val="0"/>
          <w:numId w:val="1196"/>
        </w:numPr>
        <w:pStyle w:val="Compact"/>
      </w:pPr>
      <w:r>
        <w:rPr>
          <w:bCs/>
          <w:b/>
        </w:rPr>
        <w:t xml:space="preserve">Russia:</w:t>
      </w:r>
      <w:r>
        <w:t xml:space="preserve"> </w:t>
      </w:r>
      <w:r>
        <w:t xml:space="preserve">registrato come medicinale e disponibile in farmacia.</w:t>
      </w:r>
    </w:p>
    <w:p>
      <w:pPr>
        <w:numPr>
          <w:ilvl w:val="0"/>
          <w:numId w:val="1196"/>
        </w:numPr>
        <w:pStyle w:val="Compact"/>
      </w:pPr>
      <w:r>
        <w:rPr>
          <w:bCs/>
          <w:b/>
        </w:rPr>
        <w:t xml:space="preserve">Sport:</w:t>
      </w:r>
      <w:r>
        <w:t xml:space="preserve"> </w:t>
      </w:r>
      <w:r>
        <w:t xml:space="preserve">non elencato per nome nella lista WADA (aggiornato al 2026, da verificare).</w:t>
      </w:r>
    </w:p>
    <w:bookmarkEnd w:id="607"/>
    <w:bookmarkStart w:id="608" w:name="studi-in-corso-e-prospettive-34"/>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Semax (ricerca di ottobre 2026). La ricerca in Russia continua a concentrarsi su modelli animali, per esempio sull’attività genica dopo ictus e su modelli di Alzheimer.</w:t>
      </w:r>
    </w:p>
    <w:p>
      <w:pPr>
        <w:pStyle w:val="BodyText"/>
      </w:pPr>
      <w:r>
        <w:rPr>
          <w:bCs/>
          <w:b/>
        </w:rPr>
        <w:t xml:space="preserve">Valutazione:</w:t>
      </w:r>
      <w:r>
        <w:t xml:space="preserve"> </w:t>
      </w:r>
      <w:r>
        <w:t xml:space="preserve">senza uno studio sufficientemente ampio, in cieco e registrato a livello internazionale, difficilmente il Semax otterrà un’autorizzazione al di fuori della Russia. La discussione negli Stati Uniti riguarda le preparazioni magistrali in farmacia, non una prova di efficacia.</w:t>
      </w:r>
    </w:p>
    <w:bookmarkEnd w:id="608"/>
    <w:bookmarkStart w:id="609" w:name="conclusione-34"/>
    <w:p>
      <w:pPr>
        <w:pStyle w:val="Heading3"/>
      </w:pPr>
      <w:r>
        <w:t xml:space="preserve">Conclusione</w:t>
      </w:r>
    </w:p>
    <w:p>
      <w:pPr>
        <w:pStyle w:val="FirstParagraph"/>
      </w:pPr>
      <w:r>
        <w:t xml:space="preserve">Il Semax è un peptide derivato da un frammento di ACTH, usato in Russia da decenni, che nei ratti ha aumentato i fattori di crescita nervosa. Gli studi sull’uomo sono piccoli, per lo più non randomizzati e provengono quasi esclusivamente dall’ambiente degli sviluppatori; nell’ictus riferiscono un recupero più rapido e livelli di BDNF più alti, senza dimensioni dell’effetto di livello internazionale. Per il miglioramento delle prestazioni nelle persone sane non esistono dati significativi. I dati non bastano per valutare un beneficio o la sicurezza a lungo termine.</w:t>
      </w:r>
    </w:p>
    <w:bookmarkEnd w:id="609"/>
    <w:bookmarkEnd w:id="610"/>
    <w:bookmarkStart w:id="621" w:name="selank"/>
    <w:p>
      <w:pPr>
        <w:pStyle w:val="Heading2"/>
      </w:pPr>
      <w:r>
        <w:t xml:space="preserve">Selank</w:t>
      </w:r>
    </w:p>
    <w:bookmarkStart w:id="611" w:name="scheda-35"/>
    <w:p>
      <w:pPr>
        <w:pStyle w:val="Heading3"/>
      </w:pPr>
      <w:r>
        <w:t xml:space="preserve">Scheda</w:t>
      </w:r>
    </w:p>
    <w:p>
      <w:pPr>
        <w:numPr>
          <w:ilvl w:val="0"/>
          <w:numId w:val="1197"/>
        </w:numPr>
        <w:pStyle w:val="Compact"/>
      </w:pPr>
      <w:r>
        <w:rPr>
          <w:bCs/>
          <w:b/>
        </w:rPr>
        <w:t xml:space="preserve">Tipo e struttura:</w:t>
      </w:r>
      <w:r>
        <w:t xml:space="preserve"> </w:t>
      </w:r>
      <w:r>
        <w:t xml:space="preserve">eptapeptide sintetico (Thr-Lys-Pro-Arg-Pro-Gly-Pro). I primi quattro amminoacidi corrispondono alla tuftsina, un peptide endogeno che si stacca da un frammento di anticorpo e stimola le cellule immunitarie; come nel Semax, è aggiunta la sequenza stabilizzante Pro-Gly-Pro.</w:t>
      </w:r>
    </w:p>
    <w:p>
      <w:pPr>
        <w:numPr>
          <w:ilvl w:val="0"/>
          <w:numId w:val="1197"/>
        </w:numPr>
        <w:pStyle w:val="Compact"/>
      </w:pPr>
      <w:r>
        <w:rPr>
          <w:bCs/>
          <w:b/>
        </w:rPr>
        <w:t xml:space="preserve">Origine:</w:t>
      </w:r>
      <w:r>
        <w:t xml:space="preserve"> </w:t>
      </w:r>
      <w:r>
        <w:t xml:space="preserve">sviluppato a Mosca presso l’Istituto di genetica molecolare e l’Istituto di farmacologia Zakusov.</w:t>
      </w:r>
    </w:p>
    <w:p>
      <w:pPr>
        <w:numPr>
          <w:ilvl w:val="0"/>
          <w:numId w:val="1197"/>
        </w:numPr>
        <w:pStyle w:val="Compact"/>
      </w:pPr>
      <w:r>
        <w:rPr>
          <w:bCs/>
          <w:b/>
        </w:rPr>
        <w:t xml:space="preserve">Principio d’azione:</w:t>
      </w:r>
      <w:r>
        <w:t xml:space="preserve"> </w:t>
      </w:r>
      <w:r>
        <w:t xml:space="preserve">dovrebbe avere effetto ansiolitico senza provocare sonnolenza o dipendenza come le benzodiazepine. Si discutono un’inibizione della degradazione delle encefaline endogene (messaggeri che attenuano dolore e stress), effetti sul sistema GABA e sui messaggeri immunitari. Viene somministrato come gocce nasali.</w:t>
      </w:r>
    </w:p>
    <w:p>
      <w:pPr>
        <w:numPr>
          <w:ilvl w:val="0"/>
          <w:numId w:val="1197"/>
        </w:numPr>
        <w:pStyle w:val="Compact"/>
      </w:pPr>
      <w:r>
        <w:rPr>
          <w:bCs/>
          <w:b/>
        </w:rPr>
        <w:t xml:space="preserve">Autorizzazione UE:</w:t>
      </w:r>
      <w:r>
        <w:t xml:space="preserve"> </w:t>
      </w:r>
      <w:r>
        <w:t xml:space="preserve">no.</w:t>
      </w:r>
    </w:p>
    <w:p>
      <w:pPr>
        <w:numPr>
          <w:ilvl w:val="0"/>
          <w:numId w:val="1197"/>
        </w:numPr>
        <w:pStyle w:val="Compact"/>
      </w:pPr>
      <w:r>
        <w:rPr>
          <w:bCs/>
          <w:b/>
        </w:rPr>
        <w:t xml:space="preserve">Autorizzazione USA:</w:t>
      </w:r>
      <w:r>
        <w:t xml:space="preserve"> </w:t>
      </w:r>
      <w:r>
        <w:t xml:space="preserve">no. Nel 2023 il Selank figurava nell’elenco FDA di «categoria 2» per le preparazioni magistrali; lo stato attuale è documentato in modo non univoco (aggiornato a ottobre 2026, da verificare).</w:t>
      </w:r>
    </w:p>
    <w:p>
      <w:pPr>
        <w:numPr>
          <w:ilvl w:val="0"/>
          <w:numId w:val="1197"/>
        </w:numPr>
        <w:pStyle w:val="Compact"/>
      </w:pPr>
      <w:r>
        <w:rPr>
          <w:bCs/>
          <w:b/>
        </w:rPr>
        <w:t xml:space="preserve">Russia:</w:t>
      </w:r>
      <w:r>
        <w:t xml:space="preserve"> </w:t>
      </w:r>
      <w:r>
        <w:t xml:space="preserve">registrato come medicinale (ansiolitico).</w:t>
      </w:r>
    </w:p>
    <w:p>
      <w:pPr>
        <w:numPr>
          <w:ilvl w:val="0"/>
          <w:numId w:val="1197"/>
        </w:numPr>
        <w:pStyle w:val="Compact"/>
      </w:pPr>
      <w:r>
        <w:rPr>
          <w:bCs/>
          <w:b/>
        </w:rPr>
        <w:t xml:space="preserve">WADA:</w:t>
      </w:r>
      <w:r>
        <w:t xml:space="preserve"> </w:t>
      </w:r>
      <w:r>
        <w:t xml:space="preserve">non elencato per nome (aggiornato al 2026, da verificare).</w:t>
      </w:r>
    </w:p>
    <w:p>
      <w:pPr>
        <w:numPr>
          <w:ilvl w:val="0"/>
          <w:numId w:val="1197"/>
        </w:numPr>
        <w:pStyle w:val="Compact"/>
      </w:pPr>
      <w:r>
        <w:rPr>
          <w:bCs/>
          <w:b/>
        </w:rPr>
        <w:t xml:space="preserve">Livello di evidenza:</w:t>
      </w:r>
      <w:r>
        <w:t xml:space="preserve"> </w:t>
      </w:r>
      <w:r>
        <w:rPr>
          <w:bCs/>
          <w:b/>
        </w:rPr>
        <w:t xml:space="preserve">C</w:t>
      </w:r>
      <w:r>
        <w:t xml:space="preserve"> </w:t>
      </w:r>
      <w:r>
        <w:t xml:space="preserve">– tre piccoli studi comparativi russi, senza controllo con placebo e senza registrazione.</w:t>
      </w:r>
    </w:p>
    <w:bookmarkEnd w:id="611"/>
    <w:bookmarkStart w:id="612" w:name="come-dovrebbe-agire-35"/>
    <w:p>
      <w:pPr>
        <w:pStyle w:val="Heading3"/>
      </w:pPr>
      <w:r>
        <w:t xml:space="preserve">Come dovrebbe agire</w:t>
      </w:r>
    </w:p>
    <w:p>
      <w:pPr>
        <w:pStyle w:val="FirstParagraph"/>
      </w:pPr>
      <w:r>
        <w:t xml:space="preserve">La tuftsina è un breve peptide che attiva i fagociti del sistema immunitario. Negli esperimenti sugli animali è emerso che sue varianti influenzano anche il comportamento. Il Selank è una di queste varianti, che grazie al Pro-Gly-Pro aggiunto dovrebbe restare più a lungo nell’organismo.</w:t>
      </w:r>
    </w:p>
    <w:p>
      <w:pPr>
        <w:pStyle w:val="BodyText"/>
      </w:pPr>
      <w:r>
        <w:t xml:space="preserve">Per il meccanismo esistono diverse ipotesi, basate su dati di laboratorio e animali:</w:t>
      </w:r>
    </w:p>
    <w:p>
      <w:pPr>
        <w:numPr>
          <w:ilvl w:val="0"/>
          <w:numId w:val="1198"/>
        </w:numPr>
        <w:pStyle w:val="Compact"/>
      </w:pPr>
      <w:r>
        <w:rPr>
          <w:bCs/>
          <w:b/>
        </w:rPr>
        <w:t xml:space="preserve">Encefaline:</w:t>
      </w:r>
      <w:r>
        <w:t xml:space="preserve"> </w:t>
      </w:r>
      <w:r>
        <w:t xml:space="preserve">nel siero, in provetta, il Selank ha inibito enzimi che degradano le encefaline. I ricercatori hanno inoltre trovato nelle persone con disturbo d’ansia generalizzato un’emivita ridotta delle encefaline nel sangue e ne hanno dedotto che il Selank potrebbe agire per questa via (Zozulya 2001, PMID 11550013).</w:t>
      </w:r>
    </w:p>
    <w:p>
      <w:pPr>
        <w:numPr>
          <w:ilvl w:val="0"/>
          <w:numId w:val="1198"/>
        </w:numPr>
        <w:pStyle w:val="Compact"/>
      </w:pPr>
      <w:r>
        <w:rPr>
          <w:bCs/>
          <w:b/>
        </w:rPr>
        <w:t xml:space="preserve">Sistema GABA:</w:t>
      </w:r>
      <w:r>
        <w:t xml:space="preserve"> </w:t>
      </w:r>
      <w:r>
        <w:t xml:space="preserve">nei ratti, un’ora dopo la somministrazione, il Selank ha modificato nella corteccia cerebrale l’attività di 45 su 84 geni esaminati della trasmissione nervosa, in modo simile al messaggero GABA stesso. Gli autori ipotizzano un’influenza sul sistema GABA, su cui agiscono anche le benzodiazepine (Volkova 2016, PMID 26924987).</w:t>
      </w:r>
    </w:p>
    <w:p>
      <w:pPr>
        <w:numPr>
          <w:ilvl w:val="0"/>
          <w:numId w:val="1198"/>
        </w:numPr>
        <w:pStyle w:val="Compact"/>
      </w:pPr>
      <w:r>
        <w:rPr>
          <w:bCs/>
          <w:b/>
        </w:rPr>
        <w:t xml:space="preserve">Sistema immunitario:</w:t>
      </w:r>
      <w:r>
        <w:t xml:space="preserve"> </w:t>
      </w:r>
      <w:r>
        <w:t xml:space="preserve">in ratti e topi il Selank ha influenzato geni dell’infiammazione; in colture cellulari e nei topi ha mostrato effetti contro i virus dell’influenza (Ershov 2009, PMID 19882898).</w:t>
      </w:r>
    </w:p>
    <w:p>
      <w:pPr>
        <w:pStyle w:val="FirstParagraph"/>
      </w:pPr>
      <w:r>
        <w:t xml:space="preserve">Quanto Selank arrivi davvero al cervello nell’uomo dopo somministrazione nasale non è stato pubblicato.</w:t>
      </w:r>
    </w:p>
    <w:bookmarkEnd w:id="612"/>
    <w:bookmarkStart w:id="615" w:name="studi-sulluomo-35"/>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3 pubblicazioni classificate come studi sull’uomo; complessivamente PubMed elenca circa 70 lavori con «Selank» nel titolo o nell’abstract, quasi tutti esperimenti su animali. La ricerca su ClinicalTrials.gov ha dato 2 risultati, che a un esame più attento riguardano entrambi altre procedure (stimolazione cerebrale) e nessuno studio sul Selank. Non esiste quindi alcuno studio clinico registrato con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Zozulia 2008, PMID 18454096</w:t>
            </w:r>
          </w:p>
        </w:tc>
        <w:tc>
          <w:tcPr/>
          <w:p>
            <w:pPr>
              <w:pStyle w:val="Compact"/>
              <w:jc w:val="left"/>
            </w:pPr>
            <w:r>
              <w:t xml:space="preserve">62 persone con disturbo d’ansia generalizzato o nevrastenia; Selank (30) contro medazepam (32)</w:t>
            </w:r>
          </w:p>
        </w:tc>
        <w:tc>
          <w:tcPr/>
          <w:p>
            <w:pPr>
              <w:pStyle w:val="Compact"/>
              <w:jc w:val="left"/>
            </w:pPr>
            <w:r>
              <w:t xml:space="preserve">non nell’abstract</w:t>
            </w:r>
          </w:p>
        </w:tc>
        <w:tc>
          <w:tcPr/>
          <w:p>
            <w:pPr>
              <w:pStyle w:val="Compact"/>
              <w:jc w:val="left"/>
            </w:pPr>
            <w:r>
              <w:t xml:space="preserve">effetto ansiolitico simile dei due farmaci; con Selank in più effetto «stimolante»</w:t>
            </w:r>
          </w:p>
        </w:tc>
      </w:tr>
      <w:tr>
        <w:tc>
          <w:tcPr/>
          <w:p>
            <w:pPr>
              <w:pStyle w:val="Compact"/>
              <w:jc w:val="left"/>
            </w:pPr>
            <w:r>
              <w:t xml:space="preserve">Medvedev 2014, PMID 25176261</w:t>
            </w:r>
          </w:p>
        </w:tc>
        <w:tc>
          <w:tcPr/>
          <w:p>
            <w:pPr>
              <w:pStyle w:val="Compact"/>
              <w:jc w:val="left"/>
            </w:pPr>
            <w:r>
              <w:t xml:space="preserve">60 persone con disturbi d’ansia e somatoformi; Selank contro fenazepam</w:t>
            </w:r>
          </w:p>
        </w:tc>
        <w:tc>
          <w:tcPr/>
          <w:p>
            <w:pPr>
              <w:pStyle w:val="Compact"/>
              <w:jc w:val="left"/>
            </w:pPr>
            <w:r>
              <w:t xml:space="preserve">non nell’abstract</w:t>
            </w:r>
          </w:p>
        </w:tc>
        <w:tc>
          <w:tcPr/>
          <w:p>
            <w:pPr>
              <w:pStyle w:val="Compact"/>
              <w:jc w:val="left"/>
            </w:pPr>
            <w:r>
              <w:t xml:space="preserve">secondo gli autori marcato effetto ansiolitico, persistente una settimana dopo la sospensione</w:t>
            </w:r>
          </w:p>
        </w:tc>
      </w:tr>
      <w:tr>
        <w:tc>
          <w:tcPr/>
          <w:p>
            <w:pPr>
              <w:pStyle w:val="Compact"/>
              <w:jc w:val="left"/>
            </w:pPr>
            <w:r>
              <w:t xml:space="preserve">Medvedev 2015, PMID 26356395</w:t>
            </w:r>
          </w:p>
        </w:tc>
        <w:tc>
          <w:tcPr/>
          <w:p>
            <w:pPr>
              <w:pStyle w:val="Compact"/>
              <w:jc w:val="left"/>
            </w:pPr>
            <w:r>
              <w:t xml:space="preserve">70 persone; fenazepam da solo (30) contro fenazepam più Selank (40)</w:t>
            </w:r>
          </w:p>
        </w:tc>
        <w:tc>
          <w:tcPr/>
          <w:p>
            <w:pPr>
              <w:pStyle w:val="Compact"/>
              <w:jc w:val="left"/>
            </w:pPr>
            <w:r>
              <w:t xml:space="preserve">non nell’abstract</w:t>
            </w:r>
          </w:p>
        </w:tc>
        <w:tc>
          <w:tcPr/>
          <w:p>
            <w:pPr>
              <w:pStyle w:val="Compact"/>
              <w:jc w:val="left"/>
            </w:pPr>
            <w:r>
              <w:t xml:space="preserve">insorgenza dell’effetto più rapida e meno effetti collaterali del fenazepam nel gruppo combinato</w:t>
            </w:r>
          </w:p>
        </w:tc>
      </w:tr>
      <w:tr>
        <w:tc>
          <w:tcPr/>
          <w:p>
            <w:pPr>
              <w:pStyle w:val="Compact"/>
              <w:jc w:val="left"/>
            </w:pPr>
            <w:r>
              <w:t xml:space="preserve">Uchakina 2008, PMID 18577961</w:t>
            </w:r>
          </w:p>
        </w:tc>
        <w:tc>
          <w:tcPr/>
          <w:p>
            <w:pPr>
              <w:pStyle w:val="Compact"/>
              <w:jc w:val="left"/>
            </w:pPr>
            <w:r>
              <w:t xml:space="preserve">persone con disturbo d’ansia o nevrastenia</w:t>
            </w:r>
          </w:p>
        </w:tc>
        <w:tc>
          <w:tcPr/>
          <w:p>
            <w:pPr>
              <w:pStyle w:val="Compact"/>
              <w:jc w:val="left"/>
            </w:pPr>
            <w:r>
              <w:t xml:space="preserve">14 giorni</w:t>
            </w:r>
          </w:p>
        </w:tc>
        <w:tc>
          <w:tcPr/>
          <w:p>
            <w:pPr>
              <w:pStyle w:val="Compact"/>
              <w:jc w:val="left"/>
            </w:pPr>
            <w:r>
              <w:t xml:space="preserve">spostamenti nell’equilibrio dei messaggeri immunitari nel sangue</w:t>
            </w:r>
          </w:p>
        </w:tc>
      </w:tr>
      <w:tr>
        <w:tc>
          <w:tcPr/>
          <w:p>
            <w:pPr>
              <w:pStyle w:val="Compact"/>
              <w:jc w:val="left"/>
            </w:pPr>
            <w:r>
              <w:t xml:space="preserve">Panikratova 2020, PMID 32342318</w:t>
            </w:r>
          </w:p>
        </w:tc>
        <w:tc>
          <w:tcPr/>
          <w:p>
            <w:pPr>
              <w:pStyle w:val="Compact"/>
              <w:jc w:val="left"/>
            </w:pPr>
            <w:r>
              <w:t xml:space="preserve">52 persone sane; Selank, Semax o placebo, somministrazione singola</w:t>
            </w:r>
          </w:p>
        </w:tc>
        <w:tc>
          <w:tcPr/>
          <w:p>
            <w:pPr>
              <w:pStyle w:val="Compact"/>
              <w:jc w:val="left"/>
            </w:pPr>
            <w:r>
              <w:t xml:space="preserve">20 minuti</w:t>
            </w:r>
          </w:p>
        </w:tc>
        <w:tc>
          <w:tcPr/>
          <w:p>
            <w:pPr>
              <w:pStyle w:val="Compact"/>
              <w:jc w:val="left"/>
            </w:pPr>
            <w:r>
              <w:t xml:space="preserve">connessioni funzionali dell’amigdala modificate alla risonanza magnetica</w:t>
            </w:r>
          </w:p>
        </w:tc>
      </w:tr>
    </w:tbl>
    <w:bookmarkStart w:id="613" w:name="disturbi-dansia"/>
    <w:p>
      <w:pPr>
        <w:pStyle w:val="Heading4"/>
      </w:pPr>
      <w:r>
        <w:t xml:space="preserve">Disturbi d’ansia</w:t>
      </w:r>
    </w:p>
    <w:p>
      <w:pPr>
        <w:pStyle w:val="FirstParagraph"/>
      </w:pPr>
      <w:r>
        <w:t xml:space="preserve">Tutti e tre gli studi clinici hanno confrontato il Selank con benzodiazepine: il medazepam o il fenazepam, diffuso in Russia. Nel primo studio, con 62 persone, l’effetto ansiolitico di Selank e medazepam sulle scale dei questionari (Hamilton, Zung, CGI) era simile; il Selank avrebbe inoltre agito contro l’esaurimento. I ricercatori hanno misurato anche l’emivita del messaggero leu-encefalina nel sangue, che è aumentata con il Selank (Zozulia 2008, PMID 18454096). In un secondo studio con 60 persone viene descritto un marcato effetto ansiolitico e un lieve effetto favorevole sulla memoria, persistente per una settimana oltre la fine del trattamento (Medvedev 2014, PMID 25176261).</w:t>
      </w:r>
    </w:p>
    <w:p>
      <w:pPr>
        <w:pStyle w:val="BodyText"/>
      </w:pPr>
      <w:r>
        <w:t xml:space="preserve">Il terzo studio ha esaminato il Selank come aggiunta: 40 persone hanno ricevuto fenazepam più Selank, 30 solo fenazepam. Nel gruppo combinato, secondo gli autori, l’effetto è insorto prima, e gli effetti collaterali tipici delle benzodiazepine, come disturbi dell’attenzione e della memoria, stanchezza e disturbi sessuali, sono stati più rari, anche dopo la sospensione del tranquillante (Medvedev 2015, PMID 26356395).</w:t>
      </w:r>
    </w:p>
    <w:p>
      <w:pPr>
        <w:pStyle w:val="BodyText"/>
      </w:pPr>
      <w:r>
        <w:t xml:space="preserve">Questi risultati sembrano incoraggianti, ma hanno limiti evidenti:</w:t>
      </w:r>
    </w:p>
    <w:p>
      <w:pPr>
        <w:numPr>
          <w:ilvl w:val="0"/>
          <w:numId w:val="1199"/>
        </w:numPr>
        <w:pStyle w:val="Compact"/>
      </w:pPr>
      <w:r>
        <w:rPr>
          <w:bCs/>
          <w:b/>
        </w:rPr>
        <w:t xml:space="preserve">Nessun placebo:</w:t>
      </w:r>
      <w:r>
        <w:t xml:space="preserve"> </w:t>
      </w:r>
      <w:r>
        <w:t xml:space="preserve">nei disturbi d’ansia i sintomi migliorano spesso in modo considerevole anche con farmaci fittizi. Senza un gruppo placebo non si può dire quale quota sia dovuta al Selank.</w:t>
      </w:r>
    </w:p>
    <w:p>
      <w:pPr>
        <w:numPr>
          <w:ilvl w:val="0"/>
          <w:numId w:val="1199"/>
        </w:numPr>
        <w:pStyle w:val="Compact"/>
      </w:pPr>
      <w:r>
        <w:rPr>
          <w:bCs/>
          <w:b/>
        </w:rPr>
        <w:t xml:space="preserve">«Efficacia simile» non è una prova:</w:t>
      </w:r>
      <w:r>
        <w:t xml:space="preserve"> </w:t>
      </w:r>
      <w:r>
        <w:t xml:space="preserve">una dimostrazione di equivalenza richiede margini stabiliti in anticipo e un numero sufficiente di partecipanti. Nessuna delle due cose è riconoscibile negli abstract.</w:t>
      </w:r>
    </w:p>
    <w:p>
      <w:pPr>
        <w:numPr>
          <w:ilvl w:val="0"/>
          <w:numId w:val="1199"/>
        </w:numPr>
        <w:pStyle w:val="Compact"/>
      </w:pPr>
      <w:r>
        <w:rPr>
          <w:bCs/>
          <w:b/>
        </w:rPr>
        <w:t xml:space="preserve">Osservazione breve, gruppi piccoli, nessuna registrazione:</w:t>
      </w:r>
      <w:r>
        <w:t xml:space="preserve"> </w:t>
      </w:r>
      <w:r>
        <w:t xml:space="preserve">tutti gli studi provengono da centri russi, non sono stati preregistrati in un registro pubblico e sono stati pubblicati in riviste specialistiche in lingua russa.</w:t>
      </w:r>
    </w:p>
    <w:bookmarkEnd w:id="613"/>
    <w:bookmarkStart w:id="614" w:name="sistema-immunitario-e-persone-sane"/>
    <w:p>
      <w:pPr>
        <w:pStyle w:val="Heading4"/>
      </w:pPr>
      <w:r>
        <w:t xml:space="preserve">Sistema immunitario e persone sane</w:t>
      </w:r>
    </w:p>
    <w:p>
      <w:pPr>
        <w:pStyle w:val="FirstParagraph"/>
      </w:pPr>
      <w:r>
        <w:t xml:space="preserve">Un lavoro descrive, in persone con stati d’ansia ed esaurimento, dopo 14 giorni di Selank variazioni dei messaggeri immunitari (equilibrio Th1/Th2) nel sangue; in provetta il Selank ha soppresso la produzione del messaggero infiammatorio IL-6 nelle cellule del sangue di persone con depressione (Uchakina 2008, PMID 18577961). Se ciò sia clinicamente rilevante non è stato studiato. Nelle persone sane un piccolo studio di imaging ha mostrato, dopo una singola somministrazione, connessioni modificate tra l’amigdala, una regione cerebrale importante per l’ansia, e parti del lobo temporale (Panikratova 2020, PMID 32342318). Studi su concentrazione o prestazioni nelle persone sane, la promessa principale in internet, non esistono.</w:t>
      </w:r>
    </w:p>
    <w:bookmarkEnd w:id="614"/>
    <w:bookmarkEnd w:id="615"/>
    <w:bookmarkStart w:id="616" w:name="studi-su-animali-e-in-laboratorio-35"/>
    <w:p>
      <w:pPr>
        <w:pStyle w:val="Heading3"/>
      </w:pPr>
      <w:r>
        <w:t xml:space="preserve">Studi su animali e in laboratorio</w:t>
      </w:r>
    </w:p>
    <w:p>
      <w:pPr>
        <w:numPr>
          <w:ilvl w:val="0"/>
          <w:numId w:val="1200"/>
        </w:numPr>
        <w:pStyle w:val="Compact"/>
      </w:pPr>
      <w:r>
        <w:t xml:space="preserve">In ratti con 30 settimane di consumo di alcol, il Selank ha impedito disturbi della memoria e dell’attenzione durante l’astinenza e ha influenzato il contenuto di BDNF nell’ippocampo e nel lobo frontale (Kolik 2019, PMID 31625062).</w:t>
      </w:r>
    </w:p>
    <w:p>
      <w:pPr>
        <w:numPr>
          <w:ilvl w:val="0"/>
          <w:numId w:val="1200"/>
        </w:numPr>
        <w:pStyle w:val="Compact"/>
      </w:pPr>
      <w:r>
        <w:t xml:space="preserve">Nei ratti il Selank ha modificato l’attività di numerosi geni del sistema GABA (Volkova 2016, PMID 26924987).</w:t>
      </w:r>
    </w:p>
    <w:p>
      <w:pPr>
        <w:numPr>
          <w:ilvl w:val="0"/>
          <w:numId w:val="1200"/>
        </w:numPr>
        <w:pStyle w:val="Compact"/>
      </w:pPr>
      <w:r>
        <w:t xml:space="preserve">In colture cellulari e nei topi il Selank ha inibito i virus dell’influenza, con il massimo effetto quando somministrato prima dell’infezione (Ershov 2009, PMID 19882898).</w:t>
      </w:r>
    </w:p>
    <w:p>
      <w:pPr>
        <w:numPr>
          <w:ilvl w:val="0"/>
          <w:numId w:val="1200"/>
        </w:numPr>
        <w:pStyle w:val="Compact"/>
      </w:pPr>
      <w:r>
        <w:t xml:space="preserve">In altri lavori degli stessi gruppi di ricerca vengono descritti effetti nello stress, nell’astinenza da morfina e da alcol e in modelli di Parkinson nei roditori.</w:t>
      </w:r>
    </w:p>
    <w:p>
      <w:pPr>
        <w:pStyle w:val="FirstParagraph"/>
      </w:pPr>
      <w:r>
        <w:t xml:space="preserve">Questi risultati sono reperti su animali e di laboratorio e provengono in gran parte da una ristretta cerchia di gruppi di ricerca.</w:t>
      </w:r>
    </w:p>
    <w:bookmarkEnd w:id="616"/>
    <w:bookmarkStart w:id="617" w:name="rischi-ed-effetti-collaterali-35"/>
    <w:p>
      <w:pPr>
        <w:pStyle w:val="Heading3"/>
      </w:pPr>
      <w:r>
        <w:t xml:space="preserve">Rischi ed effetti collaterali</w:t>
      </w:r>
    </w:p>
    <w:p>
      <w:pPr>
        <w:pStyle w:val="FirstParagraph"/>
      </w:pPr>
      <w:r>
        <w:rPr>
          <w:bCs/>
          <w:b/>
        </w:rPr>
        <w:t xml:space="preserve">Documentati:</w:t>
      </w:r>
      <w:r>
        <w:t xml:space="preserve"> </w:t>
      </w:r>
      <w:r>
        <w:t xml:space="preserve">nei piccoli studi russi il Selank viene descritto come ben tollerato; gli abstract non riportano tassi di effetti collaterali rilevati sistematicamente. Mancano dati a lungo termine e dati su dipendenza o sintomi da sospensione.</w:t>
      </w:r>
    </w:p>
    <w:p>
      <w:pPr>
        <w:pStyle w:val="BodyText"/>
      </w:pPr>
      <w:r>
        <w:rPr>
          <w:bCs/>
          <w:b/>
        </w:rPr>
        <w:t xml:space="preserve">Teorici:</w:t>
      </w:r>
      <w:r>
        <w:t xml:space="preserve"> </w:t>
      </w:r>
      <w:r>
        <w:t xml:space="preserve">il Selank dovrebbe agire sul sistema immunitario, sulle encefaline e sul sistema GABA. Le interazioni con tranquillanti, alcol o antidepressivi non sono state studiate; lo studio russo di combinazione mostra comunque che il Selank viene usato insieme alle benzodiazepine. Per gravidanza, allattamento e bambini non ci sono dati.</w:t>
      </w:r>
    </w:p>
    <w:p>
      <w:pPr>
        <w:pStyle w:val="BodyText"/>
      </w:pPr>
      <w:r>
        <w:rPr>
          <w:bCs/>
          <w:b/>
        </w:rPr>
        <w:t xml:space="preserve">Mercato grigio:</w:t>
      </w:r>
      <w:r>
        <w:t xml:space="preserve"> </w:t>
      </w:r>
      <w:r>
        <w:t xml:space="preserve">al di fuori della Russia il Selank viene venduto come «research peptide» in polvere per iniezione o come spray nasale. Un laboratorio di controllo belga ha trovato il Selank in preparati sconosciuti sequestrati (Vanhee 2020, PMID 31667971). L’iniezione non è una via di somministrazione testata negli studi; purezza e contenuto di tali prodotti non sono verificati.</w:t>
      </w:r>
    </w:p>
    <w:p>
      <w:pPr>
        <w:pStyle w:val="BodyText"/>
      </w:pPr>
      <w:r>
        <w:rPr>
          <w:bCs/>
          <w:b/>
        </w:rPr>
        <w:t xml:space="preserve">Importante:</w:t>
      </w:r>
      <w:r>
        <w:t xml:space="preserve"> </w:t>
      </w:r>
      <w:r>
        <w:t xml:space="preserve">i disturbi d’ansia sono ben trattabili, con la psicoterapia e con farmaci autorizzati la cui efficacia è dimostrata in grandi studi controllati con placebo. Un peptide del mercato grigio non ne è un sostituto.</w:t>
      </w:r>
    </w:p>
    <w:bookmarkEnd w:id="617"/>
    <w:bookmarkStart w:id="618" w:name="quadro-normativo-35"/>
    <w:p>
      <w:pPr>
        <w:pStyle w:val="Heading3"/>
      </w:pPr>
      <w:r>
        <w:t xml:space="preserve">Quadro normativo</w:t>
      </w:r>
    </w:p>
    <w:p>
      <w:pPr>
        <w:numPr>
          <w:ilvl w:val="0"/>
          <w:numId w:val="1201"/>
        </w:numPr>
        <w:pStyle w:val="Compact"/>
      </w:pPr>
      <w:r>
        <w:rPr>
          <w:bCs/>
          <w:b/>
        </w:rPr>
        <w:t xml:space="preserve">UE / Austria / Germania:</w:t>
      </w:r>
      <w:r>
        <w:t xml:space="preserve"> </w:t>
      </w:r>
      <w:r>
        <w:t xml:space="preserve">non autorizzato; in quanto sostanza con effetto farmacologico il Selank è considerato un medicinale, e l’immissione in commercio senza autorizzazione non è consentita (aggiornato al 2026, da verificare).</w:t>
      </w:r>
    </w:p>
    <w:p>
      <w:pPr>
        <w:numPr>
          <w:ilvl w:val="0"/>
          <w:numId w:val="1201"/>
        </w:numPr>
        <w:pStyle w:val="Compact"/>
      </w:pPr>
      <w:r>
        <w:rPr>
          <w:bCs/>
          <w:b/>
        </w:rPr>
        <w:t xml:space="preserve">USA:</w:t>
      </w:r>
      <w:r>
        <w:t xml:space="preserve"> </w:t>
      </w:r>
      <w:r>
        <w:t xml:space="preserve">non autorizzato. Nel 2023 il Selank è stato inserito nella «categoria 2» della FDA per le sostanze per preparazioni magistrali con problemi di sicurezza; in seguito, secondo alcune fonti, la candidatura è stata ritirata. Il Selank non era tra i peptidi valutati dal comitato consultivo PCAC nel luglio 2026. Secondo le conoscenze attuali non esiste un’autorizzazione per le preparazioni magistrali in farmacia (aggiornato a ottobre 2026, da verificare).</w:t>
      </w:r>
    </w:p>
    <w:p>
      <w:pPr>
        <w:numPr>
          <w:ilvl w:val="0"/>
          <w:numId w:val="1201"/>
        </w:numPr>
        <w:pStyle w:val="Compact"/>
      </w:pPr>
      <w:r>
        <w:rPr>
          <w:bCs/>
          <w:b/>
        </w:rPr>
        <w:t xml:space="preserve">Russia:</w:t>
      </w:r>
      <w:r>
        <w:t xml:space="preserve"> </w:t>
      </w:r>
      <w:r>
        <w:t xml:space="preserve">registrato come medicinale.</w:t>
      </w:r>
    </w:p>
    <w:p>
      <w:pPr>
        <w:numPr>
          <w:ilvl w:val="0"/>
          <w:numId w:val="1201"/>
        </w:numPr>
        <w:pStyle w:val="Compact"/>
      </w:pPr>
      <w:r>
        <w:rPr>
          <w:bCs/>
          <w:b/>
        </w:rPr>
        <w:t xml:space="preserve">Sport:</w:t>
      </w:r>
      <w:r>
        <w:t xml:space="preserve"> </w:t>
      </w:r>
      <w:r>
        <w:t xml:space="preserve">non elencato per nome nella lista WADA (aggiornato al 2026, da verificare).</w:t>
      </w:r>
    </w:p>
    <w:bookmarkEnd w:id="618"/>
    <w:bookmarkStart w:id="619" w:name="studi-in-corso-e-prospettive-35"/>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Selank (ricerca di ottobre 2026).</w:t>
      </w:r>
    </w:p>
    <w:p>
      <w:pPr>
        <w:pStyle w:val="BodyText"/>
      </w:pPr>
      <w:r>
        <w:rPr>
          <w:bCs/>
          <w:b/>
        </w:rPr>
        <w:t xml:space="preserve">Valutazione:</w:t>
      </w:r>
      <w:r>
        <w:t xml:space="preserve"> </w:t>
      </w:r>
      <w:r>
        <w:t xml:space="preserve">il Selank è un esempio di peptide entrato nell’assistenza sanitaria in Russia senza soddisfare i requisiti di studio vigenti nell’UE o negli USA. Un’autorizzazione al di fuori della Russia presupporrebbe almeno uno studio controllato con placebo più ampio nei disturbi d’ansia; non ve ne sono indizi.</w:t>
      </w:r>
    </w:p>
    <w:bookmarkEnd w:id="619"/>
    <w:bookmarkStart w:id="620" w:name="conclusione-35"/>
    <w:p>
      <w:pPr>
        <w:pStyle w:val="Heading3"/>
      </w:pPr>
      <w:r>
        <w:t xml:space="preserve">Conclusione</w:t>
      </w:r>
    </w:p>
    <w:p>
      <w:pPr>
        <w:pStyle w:val="FirstParagraph"/>
      </w:pPr>
      <w:r>
        <w:t xml:space="preserve">Il Selank è un peptide derivato dalla tuftsina, registrato in Russia come ansiolitico. Tre piccoli studi russi descrivono un effetto ansiolitico simile a quello delle benzodiazepine, ma nessuno di essi aveva un gruppo placebo o era stato preregistrato. Le ipotesi sul meccanismo relative a encefaline, GABA e sistema immunitario si basano su dati di laboratorio e animali. I dati non bastano per valutare efficacia e sicurezza secondo gli standard attuali.</w:t>
      </w:r>
    </w:p>
    <w:bookmarkEnd w:id="620"/>
    <w:bookmarkEnd w:id="621"/>
    <w:bookmarkStart w:id="638" w:name="cerebrolysin"/>
    <w:p>
      <w:pPr>
        <w:pStyle w:val="Heading2"/>
      </w:pPr>
      <w:r>
        <w:t xml:space="preserve">Cerebrolysin</w:t>
      </w:r>
    </w:p>
    <w:bookmarkStart w:id="622" w:name="scheda-36"/>
    <w:p>
      <w:pPr>
        <w:pStyle w:val="Heading3"/>
      </w:pPr>
      <w:r>
        <w:t xml:space="preserve">Scheda</w:t>
      </w:r>
    </w:p>
    <w:p>
      <w:pPr>
        <w:numPr>
          <w:ilvl w:val="0"/>
          <w:numId w:val="1202"/>
        </w:numPr>
        <w:pStyle w:val="Compact"/>
      </w:pPr>
      <w:r>
        <w:rPr>
          <w:bCs/>
          <w:b/>
        </w:rPr>
        <w:t xml:space="preserve">Tipo e struttura:</w:t>
      </w:r>
      <w:r>
        <w:t xml:space="preserve"> </w:t>
      </w:r>
      <w:r>
        <w:t xml:space="preserve">non un singolo peptide, ma una miscela di peptidi corti e amminoacidi liberi. Si ottiene mediante scissione enzimatica di proteine purificate da cervello di maiale. La composizione esatta non è descritta completamente; il produttore standardizza il preparato tramite il processo di fabbricazione e test biologici.</w:t>
      </w:r>
    </w:p>
    <w:p>
      <w:pPr>
        <w:numPr>
          <w:ilvl w:val="0"/>
          <w:numId w:val="1202"/>
        </w:numPr>
        <w:pStyle w:val="Compact"/>
      </w:pPr>
      <w:r>
        <w:rPr>
          <w:bCs/>
          <w:b/>
        </w:rPr>
        <w:t xml:space="preserve">Origine:</w:t>
      </w:r>
      <w:r>
        <w:t xml:space="preserve"> </w:t>
      </w:r>
      <w:r>
        <w:t xml:space="preserve">prodotto da decenni da un’azienda austriaca (oggi EVER Neuro Pharma, Unterach am Attersee).</w:t>
      </w:r>
    </w:p>
    <w:p>
      <w:pPr>
        <w:numPr>
          <w:ilvl w:val="0"/>
          <w:numId w:val="1202"/>
        </w:numPr>
        <w:pStyle w:val="Compact"/>
      </w:pPr>
      <w:r>
        <w:rPr>
          <w:bCs/>
          <w:b/>
        </w:rPr>
        <w:t xml:space="preserve">Principio d’azione:</w:t>
      </w:r>
      <w:r>
        <w:t xml:space="preserve"> </w:t>
      </w:r>
      <w:r>
        <w:t xml:space="preserve">dovrebbe imitare gli effetti dei fattori di crescita nervosa endogeni, proteggendo i neuroni (neuroprotezione) e favorendo i processi di riparazione e rimodellamento (neurorigenerazione). Viene somministrato per infusione o iniezione endovenosa, per lo più in cicli di 10-21 giorni.</w:t>
      </w:r>
    </w:p>
    <w:p>
      <w:pPr>
        <w:numPr>
          <w:ilvl w:val="0"/>
          <w:numId w:val="1202"/>
        </w:numPr>
        <w:pStyle w:val="Compact"/>
      </w:pPr>
      <w:r>
        <w:rPr>
          <w:bCs/>
          <w:b/>
        </w:rPr>
        <w:t xml:space="preserve">Autorizzazione UE:</w:t>
      </w:r>
      <w:r>
        <w:t xml:space="preserve"> </w:t>
      </w:r>
      <w:r>
        <w:t xml:space="preserve">nessuna autorizzazione centralizzata UE. Autorizzato a livello nazionale in Austria e in una serie di altri Stati, soprattutto dell’Europa centrale e orientale (a seconda del Paese per ictus, trauma cranico e demenza). In Germania, per quanto ci risulta, non è in commercio (aggiornato al 2026, da verificare).</w:t>
      </w:r>
    </w:p>
    <w:p>
      <w:pPr>
        <w:numPr>
          <w:ilvl w:val="0"/>
          <w:numId w:val="1202"/>
        </w:numPr>
        <w:pStyle w:val="Compact"/>
      </w:pPr>
      <w:r>
        <w:rPr>
          <w:bCs/>
          <w:b/>
        </w:rPr>
        <w:t xml:space="preserve">Autorizzazione USA:</w:t>
      </w:r>
      <w:r>
        <w:t xml:space="preserve"> </w:t>
      </w:r>
      <w:r>
        <w:t xml:space="preserve">no.</w:t>
      </w:r>
    </w:p>
    <w:p>
      <w:pPr>
        <w:numPr>
          <w:ilvl w:val="0"/>
          <w:numId w:val="1202"/>
        </w:numPr>
        <w:pStyle w:val="Compact"/>
      </w:pPr>
      <w:r>
        <w:rPr>
          <w:bCs/>
          <w:b/>
        </w:rPr>
        <w:t xml:space="preserve">Altri Paesi:</w:t>
      </w:r>
      <w:r>
        <w:t xml:space="preserve"> </w:t>
      </w:r>
      <w:r>
        <w:t xml:space="preserve">ampiamente usato in Russia, in altri Stati successori dell’Unione Sovietica, in Cina e in altri Paesi asiatici.</w:t>
      </w:r>
    </w:p>
    <w:p>
      <w:pPr>
        <w:numPr>
          <w:ilvl w:val="0"/>
          <w:numId w:val="1202"/>
        </w:numPr>
        <w:pStyle w:val="Compact"/>
      </w:pPr>
      <w:r>
        <w:rPr>
          <w:bCs/>
          <w:b/>
        </w:rPr>
        <w:t xml:space="preserve">WADA:</w:t>
      </w:r>
      <w:r>
        <w:t xml:space="preserve"> </w:t>
      </w:r>
      <w:r>
        <w:t xml:space="preserve">non elencato (aggiornato al 2026, da verificare).</w:t>
      </w:r>
    </w:p>
    <w:p>
      <w:pPr>
        <w:numPr>
          <w:ilvl w:val="0"/>
          <w:numId w:val="1202"/>
        </w:numPr>
        <w:pStyle w:val="Compact"/>
      </w:pPr>
      <w:r>
        <w:rPr>
          <w:bCs/>
          <w:b/>
        </w:rPr>
        <w:t xml:space="preserve">Livello di evidenza:</w:t>
      </w:r>
      <w:r>
        <w:t xml:space="preserve"> </w:t>
      </w:r>
      <w:r>
        <w:rPr>
          <w:bCs/>
          <w:b/>
        </w:rPr>
        <w:t xml:space="preserve">B</w:t>
      </w:r>
      <w:r>
        <w:t xml:space="preserve"> </w:t>
      </w:r>
      <w:r>
        <w:t xml:space="preserve">– numerosi studi randomizzati e controllati con placebo, tra cui uno grande con oltre 1.000 partecipanti; i risultati sono però non uniformi, e le due grandi revisioni Cochrane indipendenti giungono a valutazioni prudenti.</w:t>
      </w:r>
    </w:p>
    <w:bookmarkEnd w:id="622"/>
    <w:bookmarkStart w:id="623" w:name="come-dovrebbe-agire-36"/>
    <w:p>
      <w:pPr>
        <w:pStyle w:val="Heading3"/>
      </w:pPr>
      <w:r>
        <w:t xml:space="preserve">Come dovrebbe agire</w:t>
      </w:r>
    </w:p>
    <w:p>
      <w:pPr>
        <w:pStyle w:val="FirstParagraph"/>
      </w:pPr>
      <w:r>
        <w:t xml:space="preserve">I fattori di crescita nervosa come BDNF, NGF o CNTF sono proteine che mantengono in vita i neuroni, stimolano la crescita di nuove connessioni e favoriscono la formazione di nuovi neuroni in determinate regioni cerebrali. Come farmaci sono problematici: sono grandi, attraversano a malapena la barriera ematoencefalica e agiscono in molti punti contemporaneamente.</w:t>
      </w:r>
    </w:p>
    <w:p>
      <w:pPr>
        <w:pStyle w:val="BodyText"/>
      </w:pPr>
      <w:r>
        <w:t xml:space="preserve">Il Cerebrolysin segue un approccio diverso. Dalle proteine del cervello di maiale, tramite una scissione controllata, si ottiene una miscela di piccoli frammenti. Il produttore e i ricercatori a esso legati ritengono che alcuni di questi frammenti provochino segnali simili a quelli dei fattori di crescita endogeni. Si parla quindi di un principio attivo «multimodale», cioè che dovrebbe influenzare molte vie contemporaneamente.</w:t>
      </w:r>
    </w:p>
    <w:p>
      <w:pPr>
        <w:pStyle w:val="BodyText"/>
      </w:pPr>
      <w:r>
        <w:t xml:space="preserve">Per lettrici e lettori ciò significa due cose: in primo luogo, il meccanismo è dedotto soprattutto da esperimenti su animali e cellule. In secondo luogo, con una miscela è difficile dire quale componente sia responsabile di che cosa e quanta parte arrivi effettivamente al cervello.</w:t>
      </w:r>
    </w:p>
    <w:bookmarkEnd w:id="623"/>
    <w:bookmarkStart w:id="632" w:name="studi-sulluomo-36"/>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88 pubblicazioni classificate come studi sull’uomo, più 15 meta-analisi e revisioni sistematiche (tra cui otto versioni di revisioni Cochrane). Su ClinicalTrials.gov erano registrati 43 studi, per lo più sull’ictus, alcuni su trauma cranico, demenza, emorragia cerebrale, delirium e, durante la pandemia, sulla perdita dell’olfatto dopo COVID-19. Gran parte degli studi è stata finanziata o sostenuta dal produttore; molti lavori più piccoli provengono da Russia, Romania, Cina e Iran.</w:t>
      </w:r>
    </w:p>
    <w:p>
      <w:pPr>
        <w:pStyle w:val="BodyText"/>
      </w:pPr>
      <w:r>
        <w:t xml:space="preserve">Una parola sulla statistica usata in molti studi sul Cerebrolysin: invece di un unico endpoint principale, spesso esaminano una combinazione di più scale con un cosiddetto stimatore di Mann-Whitney (MW). Questo indica la probabilità che una persona scelta a caso dal gruppo Cerebrolysin ottenga un risultato migliore di una del gruppo placebo. Un MW di 0,50 significa nessuna differenza; valori intorno a 0,56 sono considerati un vantaggio piccolo, intorno a 0,64 medio e da 0,71 grande. Questo metodo è ammissibile, ma rende i risultati più difficili da confrontare con altri studi sull’ictus, che per lo più indicano la quota di persone senza disabilità permanente.</w:t>
      </w:r>
    </w:p>
    <w:bookmarkStart w:id="624" w:name="ictus-ischemico-acuto"/>
    <w:p>
      <w:pPr>
        <w:pStyle w:val="Heading4"/>
      </w:pPr>
      <w:r>
        <w:t xml:space="preserve">Ictus ischemico acuto</w:t>
      </w:r>
    </w:p>
    <w:p>
      <w:pPr>
        <w:pStyle w:val="FirstParagraph"/>
      </w:pPr>
      <w:r>
        <w:t xml:space="preserve">Nell’ictus ischemico un coagulo occlude un vaso cerebrale. I trattamenti consolidati sono la dissoluzione del coagulo con farmaci (trombolisi) e la sua rimozione con un catetere (trombectomia). I farmaci aggiuntivi «neuroprotettivi» dovrebbero proteggere il tessuto circostante, un approccio con cui in tutto il mondo decine di principi attivi hanno fallito in grandi studi.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Ladurner 2005, PMID 15583955</w:t>
            </w:r>
          </w:p>
        </w:tc>
        <w:tc>
          <w:tcPr/>
          <w:p>
            <w:pPr>
              <w:pStyle w:val="Compact"/>
              <w:jc w:val="left"/>
            </w:pPr>
            <w:r>
              <w:t xml:space="preserve">146 persone, RCT contro placebo, inizio entro 24 h</w:t>
            </w:r>
          </w:p>
        </w:tc>
        <w:tc>
          <w:tcPr/>
          <w:p>
            <w:pPr>
              <w:pStyle w:val="Compact"/>
              <w:jc w:val="left"/>
            </w:pPr>
            <w:r>
              <w:t xml:space="preserve">90 giorni</w:t>
            </w:r>
          </w:p>
        </w:tc>
        <w:tc>
          <w:tcPr/>
          <w:p>
            <w:pPr>
              <w:pStyle w:val="Compact"/>
              <w:jc w:val="left"/>
            </w:pPr>
            <w:r>
              <w:t xml:space="preserve">nessun miglioramento su scala neurologica, indice di Barthel e impressione complessiva; un test cognitivo migliore</w:t>
            </w:r>
          </w:p>
        </w:tc>
      </w:tr>
      <w:tr>
        <w:tc>
          <w:tcPr/>
          <w:p>
            <w:pPr>
              <w:pStyle w:val="Compact"/>
              <w:jc w:val="left"/>
            </w:pPr>
            <w:r>
              <w:t xml:space="preserve">CASTA (Heiss 2012), PMID 22282884</w:t>
            </w:r>
          </w:p>
        </w:tc>
        <w:tc>
          <w:tcPr/>
          <w:p>
            <w:pPr>
              <w:pStyle w:val="Compact"/>
              <w:jc w:val="left"/>
            </w:pPr>
            <w:r>
              <w:t xml:space="preserve">1.070 persone in Asia, doppio cieco contro placebo, inizio entro 12 h</w:t>
            </w:r>
          </w:p>
        </w:tc>
        <w:tc>
          <w:tcPr/>
          <w:p>
            <w:pPr>
              <w:pStyle w:val="Compact"/>
              <w:jc w:val="left"/>
            </w:pPr>
            <w:r>
              <w:t xml:space="preserve">90 giorni</w:t>
            </w:r>
          </w:p>
        </w:tc>
        <w:tc>
          <w:tcPr/>
          <w:p>
            <w:pPr>
              <w:pStyle w:val="Compact"/>
              <w:jc w:val="left"/>
            </w:pPr>
            <w:r>
              <w:t xml:space="preserve">endpoint principale neutro; sottogruppo a posteriori di casi gravi con tendenza a favore del Cerebrolysin</w:t>
            </w:r>
          </w:p>
        </w:tc>
      </w:tr>
      <w:tr>
        <w:tc>
          <w:tcPr/>
          <w:p>
            <w:pPr>
              <w:pStyle w:val="Compact"/>
              <w:jc w:val="left"/>
            </w:pPr>
            <w:r>
              <w:t xml:space="preserve">Lang 2013, PMID 23009193</w:t>
            </w:r>
          </w:p>
        </w:tc>
        <w:tc>
          <w:tcPr/>
          <w:p>
            <w:pPr>
              <w:pStyle w:val="Compact"/>
              <w:jc w:val="left"/>
            </w:pPr>
            <w:r>
              <w:t xml:space="preserve">119 persone, in aggiunta alla trombolisi, doppio cieco</w:t>
            </w:r>
          </w:p>
        </w:tc>
        <w:tc>
          <w:tcPr/>
          <w:p>
            <w:pPr>
              <w:pStyle w:val="Compact"/>
              <w:jc w:val="left"/>
            </w:pPr>
            <w:r>
              <w:t xml:space="preserve">90 giorni</w:t>
            </w:r>
          </w:p>
        </w:tc>
        <w:tc>
          <w:tcPr/>
          <w:p>
            <w:pPr>
              <w:pStyle w:val="Compact"/>
              <w:jc w:val="left"/>
            </w:pPr>
            <w:r>
              <w:t xml:space="preserve">interrotto dopo analisi intermedia senza beneficio sull’endpoint principale; miglioramento precoce sulla NIHSS più frequente</w:t>
            </w:r>
          </w:p>
        </w:tc>
      </w:tr>
      <w:tr>
        <w:tc>
          <w:tcPr/>
          <w:p>
            <w:pPr>
              <w:pStyle w:val="Compact"/>
              <w:jc w:val="left"/>
            </w:pPr>
            <w:r>
              <w:t xml:space="preserve">CARS (Muresanu 2016), PMID 26564102</w:t>
            </w:r>
          </w:p>
        </w:tc>
        <w:tc>
          <w:tcPr/>
          <w:p>
            <w:pPr>
              <w:pStyle w:val="Compact"/>
              <w:jc w:val="left"/>
            </w:pPr>
            <w:r>
              <w:t xml:space="preserve">persone in riabilitazione precoce, doppio cieco contro placebo</w:t>
            </w:r>
          </w:p>
        </w:tc>
        <w:tc>
          <w:tcPr/>
          <w:p>
            <w:pPr>
              <w:pStyle w:val="Compact"/>
              <w:jc w:val="left"/>
            </w:pPr>
            <w:r>
              <w:t xml:space="preserve">90 giorni</w:t>
            </w:r>
          </w:p>
        </w:tc>
        <w:tc>
          <w:tcPr/>
          <w:p>
            <w:pPr>
              <w:pStyle w:val="Compact"/>
              <w:jc w:val="left"/>
            </w:pPr>
            <w:r>
              <w:t xml:space="preserve">funzione del braccio (ARAT) nettamente migliore: MW 0,71</w:t>
            </w:r>
          </w:p>
        </w:tc>
      </w:tr>
      <w:tr>
        <w:tc>
          <w:tcPr/>
          <w:p>
            <w:pPr>
              <w:pStyle w:val="Compact"/>
              <w:jc w:val="left"/>
            </w:pPr>
            <w:r>
              <w:t xml:space="preserve">Gharagozli 2017, PMID 29075343</w:t>
            </w:r>
          </w:p>
        </w:tc>
        <w:tc>
          <w:tcPr/>
          <w:p>
            <w:pPr>
              <w:pStyle w:val="Compact"/>
              <w:jc w:val="left"/>
            </w:pPr>
            <w:r>
              <w:t xml:space="preserve">100 persone, doppio cieco contro placebo</w:t>
            </w:r>
          </w:p>
        </w:tc>
        <w:tc>
          <w:tcPr/>
          <w:p>
            <w:pPr>
              <w:pStyle w:val="Compact"/>
              <w:jc w:val="left"/>
            </w:pPr>
            <w:r>
              <w:t xml:space="preserve">30 giorni</w:t>
            </w:r>
          </w:p>
        </w:tc>
        <w:tc>
          <w:tcPr/>
          <w:p>
            <w:pPr>
              <w:pStyle w:val="Compact"/>
              <w:jc w:val="left"/>
            </w:pPr>
            <w:r>
              <w:t xml:space="preserve">NIHSS migliore: MW 0,66</w:t>
            </w:r>
          </w:p>
        </w:tc>
      </w:tr>
      <w:tr>
        <w:tc>
          <w:tcPr/>
          <w:p>
            <w:pPr>
              <w:pStyle w:val="Compact"/>
              <w:jc w:val="left"/>
            </w:pPr>
            <w:r>
              <w:t xml:space="preserve">CEREHETIS (Khasanova 2023), PMID 36973684</w:t>
            </w:r>
          </w:p>
        </w:tc>
        <w:tc>
          <w:tcPr/>
          <w:p>
            <w:pPr>
              <w:pStyle w:val="Compact"/>
              <w:jc w:val="left"/>
            </w:pPr>
            <w:r>
              <w:t xml:space="preserve">341 persone con trombolisi, randomizzato in aperto</w:t>
            </w:r>
          </w:p>
        </w:tc>
        <w:tc>
          <w:tcPr/>
          <w:p>
            <w:pPr>
              <w:pStyle w:val="Compact"/>
              <w:jc w:val="left"/>
            </w:pPr>
            <w:r>
              <w:t xml:space="preserve">90 giorni</w:t>
            </w:r>
          </w:p>
        </w:tc>
        <w:tc>
          <w:tcPr/>
          <w:p>
            <w:pPr>
              <w:pStyle w:val="Compact"/>
              <w:jc w:val="left"/>
            </w:pPr>
            <w:r>
              <w:t xml:space="preserve">meno emorragie sintomatiche (OR 0,248); nessuna differenza nella mRS a 90 giorni</w:t>
            </w:r>
          </w:p>
        </w:tc>
      </w:tr>
    </w:tbl>
    <w:p>
      <w:pPr>
        <w:pStyle w:val="BodyText"/>
      </w:pPr>
      <w:r>
        <w:rPr>
          <w:bCs/>
          <w:b/>
        </w:rPr>
        <w:t xml:space="preserve">CASTA, lo studio più grande.</w:t>
      </w:r>
      <w:r>
        <w:t xml:space="preserve"> </w:t>
      </w:r>
      <w:r>
        <w:t xml:space="preserve">Lo studio</w:t>
      </w:r>
      <w:r>
        <w:t xml:space="preserve"> </w:t>
      </w:r>
      <w:r>
        <w:rPr>
          <w:iCs/>
          <w:i/>
        </w:rPr>
        <w:t xml:space="preserve">Cerebrolysin Acute Stroke Treatment in Asia</w:t>
      </w:r>
      <w:r>
        <w:t xml:space="preserve"> </w:t>
      </w:r>
      <w:r>
        <w:t xml:space="preserve">è stato pubblicato in anticipo con il protocollo di studio (Hong 2009, PMID 19765131) ed è registrato su ClinicalTrials.gov (NCT00868283). 1.070 persone con ictus acuto hanno ricevuto entro dodici ore, per dieci giorni, Cerebrolysin o soluzione fisiologica, in entrambi i casi in aggiunta all’aspirina. L’endpoint principale stabilito in anticipo, una combinazione di scala di Rankin modificata (mRS, grado di disabilità), indice di Barthel (autonomia nella vita quotidiana) e NIHSS (gravità dei deficit neurologici) a 90 giorni,</w:t>
      </w:r>
      <w:r>
        <w:t xml:space="preserve"> </w:t>
      </w:r>
      <w:r>
        <w:rPr>
          <w:bCs/>
          <w:b/>
        </w:rPr>
        <w:t xml:space="preserve">non ha mostrato alcuna differenza</w:t>
      </w:r>
      <w:r>
        <w:t xml:space="preserve">. In un’analisi a posteriori dei casi più gravi (NIHSS superiore a 12) la mortalità a 90 giorni era del 10,5% con Cerebrolysin contro il 20,2% con placebo (Heiss 2012, PMID 22282884). Gli stessi autori scrivono che questo risultato dovrebbe essere confermato in un altro studio. Un tale grande studio di conferma, condotto specificamente negli ictus gravi, non è stato pubblicato fino a oggi.</w:t>
      </w:r>
    </w:p>
    <w:p>
      <w:pPr>
        <w:pStyle w:val="BodyText"/>
      </w:pPr>
      <w:r>
        <w:rPr>
          <w:bCs/>
          <w:b/>
        </w:rPr>
        <w:t xml:space="preserve">Insieme alla trombolisi.</w:t>
      </w:r>
      <w:r>
        <w:t xml:space="preserve"> </w:t>
      </w:r>
      <w:r>
        <w:t xml:space="preserve">In uno studio con 119 persone il Cerebrolysin è stato iniziato un’ora dopo la trombolisi. Dopo la terza analisi intermedia non è emerso alcun vantaggio sull’endpoint principale (mRS a 90 giorni) e lo studio è stato concluso. Nei primi 30 giorni, con Cerebrolysin, più persone sono migliorate nettamente sulla NIHSS (Lang 2013, PMID 23009193). Questo schema, miglioramenti precoci sulle scale neurologiche ma nessuna differenza chiara nella disabilità dopo tre mesi, si ritrova in diversi studi. Lo studio CEREHETIS ha trovato in 341 persone meno emorragie sintomatiche dopo la trombolisi, ma anch’esso nessuna differenza nella mRS a 90 giorni; era in aperto, cioè non in cieco (Khasanova 2023, PMID 36973684).</w:t>
      </w:r>
    </w:p>
    <w:p>
      <w:pPr>
        <w:pStyle w:val="BodyText"/>
      </w:pPr>
      <w:r>
        <w:rPr>
          <w:bCs/>
          <w:b/>
        </w:rPr>
        <w:t xml:space="preserve">Trombectomia.</w:t>
      </w:r>
      <w:r>
        <w:t xml:space="preserve"> </w:t>
      </w:r>
      <w:r>
        <w:t xml:space="preserve">Uno studio ha confrontato 50 persone che dopo il trattamento con catetere hanno ricevuto Cerebrolysin con 50 persone trattate in precedenza (controlli storici). A 90 giorni il 68% contro il 44% era funzionalmente indipendente (mRS 0–2), e le emorragie cerebrali secondarie sono state più rare (Staszewski 2025, PMID 40325343). Senza randomizzazione e con un confronto con pazienti precedenti si tratta però solo di un indizio; gli stessi autori chiedono studi randomizzati.</w:t>
      </w:r>
    </w:p>
    <w:bookmarkEnd w:id="624"/>
    <w:bookmarkStart w:id="625" w:name="X118f702edf1e607680a732cf1b205562b52c0a6"/>
    <w:p>
      <w:pPr>
        <w:pStyle w:val="Heading4"/>
      </w:pPr>
      <w:r>
        <w:t xml:space="preserve">Riabilitazione dopo ictus: CARS e studi successivi</w:t>
      </w:r>
    </w:p>
    <w:p>
      <w:pPr>
        <w:pStyle w:val="FirstParagraph"/>
      </w:pPr>
      <w:r>
        <w:t xml:space="preserve">Un secondo approccio non interviene nelle prime ore, ma nella riabilitazione precoce: il Cerebrolysin dovrebbe rendere il cervello «più capace di apprendere» mentre contemporaneamente si svolge la fisioterapia.</w:t>
      </w:r>
    </w:p>
    <w:p>
      <w:pPr>
        <w:pStyle w:val="BodyText"/>
      </w:pPr>
      <w:r>
        <w:t xml:space="preserve">Lo</w:t>
      </w:r>
      <w:r>
        <w:t xml:space="preserve"> </w:t>
      </w:r>
      <w:r>
        <w:rPr>
          <w:bCs/>
          <w:b/>
        </w:rPr>
        <w:t xml:space="preserve">studio CARS</w:t>
      </w:r>
      <w:r>
        <w:t xml:space="preserve"> </w:t>
      </w:r>
      <w:r>
        <w:t xml:space="preserve">(</w:t>
      </w:r>
      <w:r>
        <w:rPr>
          <w:iCs/>
          <w:i/>
        </w:rPr>
        <w:t xml:space="preserve">Cerebrolysin and Recovery After Stroke</w:t>
      </w:r>
      <w:r>
        <w:t xml:space="preserve">) ha trattato persone da 24 a 72 ore dopo l’ictus per 21 giorni con Cerebrolysin o placebo, in aggiunta a un programma riabilitativo standardizzato. Sull’endpoint principale, l’Action Research Arm Test (ARAT) per la funzione del braccio a 90 giorni, è emerso un grande vantaggio (MW 0,71; intervallo di confidenza al 95% 0,63–0,79); su dodici scale complessive un vantaggio da piccolo a medio (MW 0,62) (Muresanu 2016, PMID 26564102). Gli autori definiscono espressamente lo studio come esplorativo e con una casistica relativamente piccola. Un’analisi congiunta pianificata in anticipo con lo studio CARS-2, di identica impostazione (complessivamente 442 persone), ha dato per l’ARAT un MW di 0,62 (Guekht 2017, PMID 28707130).</w:t>
      </w:r>
    </w:p>
    <w:p>
      <w:pPr>
        <w:pStyle w:val="BodyText"/>
      </w:pPr>
      <w:r>
        <w:t xml:space="preserve">Altri studi più piccoli mostrano un quadro misto:</w:t>
      </w:r>
    </w:p>
    <w:p>
      <w:pPr>
        <w:numPr>
          <w:ilvl w:val="0"/>
          <w:numId w:val="1203"/>
        </w:numPr>
        <w:pStyle w:val="Compact"/>
      </w:pPr>
      <w:r>
        <w:t xml:space="preserve">Uno studio con 60 persone ha trovato grandi vantaggi sulla NIHSS dopo 10 e 30 giorni (Stan 2017, PMID 29362596).</w:t>
      </w:r>
    </w:p>
    <w:p>
      <w:pPr>
        <w:numPr>
          <w:ilvl w:val="0"/>
          <w:numId w:val="1203"/>
        </w:numPr>
        <w:pStyle w:val="Compact"/>
      </w:pPr>
      <w:r>
        <w:t xml:space="preserve">Uno studio con 70 persone</w:t>
      </w:r>
      <w:r>
        <w:t xml:space="preserve"> </w:t>
      </w:r>
      <w:r>
        <w:rPr>
          <w:bCs/>
          <w:b/>
        </w:rPr>
        <w:t xml:space="preserve">non</w:t>
      </w:r>
      <w:r>
        <w:t xml:space="preserve"> </w:t>
      </w:r>
      <w:r>
        <w:t xml:space="preserve">ha trovato alcuna differenza nella motricità complessiva; solo nel sottogruppo con paralisi grave il Cerebrolysin ha dato risultati migliori (Chang 2016, PMID 26934986).</w:t>
      </w:r>
    </w:p>
    <w:p>
      <w:pPr>
        <w:numPr>
          <w:ilvl w:val="0"/>
          <w:numId w:val="1203"/>
        </w:numPr>
        <w:pStyle w:val="Compact"/>
      </w:pPr>
      <w:r>
        <w:t xml:space="preserve">Lo studio pilota rumeno ESCAS sui disturbi del linguaggio (afasia non fluente), con 132 persone, ha combinato il Cerebrolysin con la logopedia. A 90 giorni la funzione linguistica nella Western Aphasia Battery è migliorata di circa 35,6 punti contro 20,8 punti con placebo (Homberg 2025, PMID 39957612).</w:t>
      </w:r>
    </w:p>
    <w:p>
      <w:pPr>
        <w:pStyle w:val="FirstParagraph"/>
      </w:pPr>
      <w:r>
        <w:t xml:space="preserve">Una linea guida della European Academy of Neurology e della Federazione europea delle società di neuroriabilitazione ha raccomandato nel 2021, sulla base di una meta-analisi, il Cerebrolysin, accanto all’antidepressivo citalopram, per sostenere la riabilitazione motoria precoce dopo ictus ischemico (Beghi 2021, PMID 34152062). Altre grandi linee guida, per esempio negli Stati Uniti, non contengono una raccomandazione del genere.</w:t>
      </w:r>
    </w:p>
    <w:bookmarkEnd w:id="625"/>
    <w:bookmarkStart w:id="626" w:name="X9bec21c98be9635acf760e89bcee3523a1c8484"/>
    <w:p>
      <w:pPr>
        <w:pStyle w:val="Heading4"/>
      </w:pPr>
      <w:r>
        <w:t xml:space="preserve">Le meta-analisi: due letture degli stessi dati</w:t>
      </w:r>
    </w:p>
    <w:p>
      <w:pPr>
        <w:pStyle w:val="FirstParagraph"/>
      </w:pPr>
      <w:r>
        <w:t xml:space="preserve">Per il Cerebrolysin le sintesi divergono, a seconda di chi le ha redatte e di quali endpoint siano al centro.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Revisione</w:t>
            </w:r>
          </w:p>
        </w:tc>
        <w:tc>
          <w:tcPr/>
          <w:p>
            <w:pPr>
              <w:pStyle w:val="Compact"/>
              <w:jc w:val="left"/>
            </w:pPr>
            <w:r>
              <w:t xml:space="preserve">Dati inclusi</w:t>
            </w:r>
          </w:p>
        </w:tc>
        <w:tc>
          <w:tcPr/>
          <w:p>
            <w:pPr>
              <w:pStyle w:val="Compact"/>
              <w:jc w:val="left"/>
            </w:pPr>
            <w:r>
              <w:t xml:space="preserve">Messaggio centrale</w:t>
            </w:r>
          </w:p>
        </w:tc>
      </w:tr>
      <w:tr>
        <w:tc>
          <w:tcPr/>
          <w:p>
            <w:pPr>
              <w:pStyle w:val="Compact"/>
              <w:jc w:val="left"/>
            </w:pPr>
            <w:r>
              <w:t xml:space="preserve">Cochrane (Ziganshina 2023), PMID 37818733</w:t>
            </w:r>
          </w:p>
        </w:tc>
        <w:tc>
          <w:tcPr/>
          <w:p>
            <w:pPr>
              <w:pStyle w:val="Compact"/>
              <w:jc w:val="left"/>
            </w:pPr>
            <w:r>
              <w:t xml:space="preserve">7 RCT, 1.773 persone, inizio entro 48 h</w:t>
            </w:r>
          </w:p>
        </w:tc>
        <w:tc>
          <w:tcPr/>
          <w:p>
            <w:pPr>
              <w:pStyle w:val="Compact"/>
              <w:jc w:val="left"/>
            </w:pPr>
            <w:r>
              <w:t xml:space="preserve">nessuna influenza sulla mortalità (RR 0,96); più effetti collaterali gravi non fatali (RR 2,39)</w:t>
            </w:r>
          </w:p>
        </w:tc>
      </w:tr>
      <w:tr>
        <w:tc>
          <w:tcPr/>
          <w:p>
            <w:pPr>
              <w:pStyle w:val="Compact"/>
              <w:jc w:val="left"/>
            </w:pPr>
            <w:r>
              <w:t xml:space="preserve">Bornstein 2018, PMID 29248999</w:t>
            </w:r>
          </w:p>
        </w:tc>
        <w:tc>
          <w:tcPr/>
          <w:p>
            <w:pPr>
              <w:pStyle w:val="Compact"/>
              <w:jc w:val="left"/>
            </w:pPr>
            <w:r>
              <w:t xml:space="preserve">9 RCT, 1.879 persone</w:t>
            </w:r>
          </w:p>
        </w:tc>
        <w:tc>
          <w:tcPr/>
          <w:p>
            <w:pPr>
              <w:pStyle w:val="Compact"/>
              <w:jc w:val="left"/>
            </w:pPr>
            <w:r>
              <w:t xml:space="preserve">NIHSS migliore a 30 giorni (MW 0,60); NNT 7,7 per un miglioramento clinicamente rilevante</w:t>
            </w:r>
          </w:p>
        </w:tc>
      </w:tr>
      <w:tr>
        <w:tc>
          <w:tcPr/>
          <w:p>
            <w:pPr>
              <w:pStyle w:val="Compact"/>
              <w:jc w:val="left"/>
            </w:pPr>
            <w:r>
              <w:t xml:space="preserve">Zhang 2017, PMID 28656143</w:t>
            </w:r>
          </w:p>
        </w:tc>
        <w:tc>
          <w:tcPr/>
          <w:p>
            <w:pPr>
              <w:pStyle w:val="Compact"/>
              <w:jc w:val="left"/>
            </w:pPr>
            <w:r>
              <w:t xml:space="preserve">7 RCT, 1.779 persone</w:t>
            </w:r>
          </w:p>
        </w:tc>
        <w:tc>
          <w:tcPr/>
          <w:p>
            <w:pPr>
              <w:pStyle w:val="Compact"/>
              <w:jc w:val="left"/>
            </w:pPr>
            <w:r>
              <w:t xml:space="preserve">nessuna superiorità su mRS e indice di Barthel; sicurezza neutra</w:t>
            </w:r>
          </w:p>
        </w:tc>
      </w:tr>
      <w:tr>
        <w:tc>
          <w:tcPr/>
          <w:p>
            <w:pPr>
              <w:pStyle w:val="Compact"/>
              <w:jc w:val="left"/>
            </w:pPr>
            <w:r>
              <w:t xml:space="preserve">Patel 2025, PMID 41018475</w:t>
            </w:r>
          </w:p>
        </w:tc>
        <w:tc>
          <w:tcPr/>
          <w:p>
            <w:pPr>
              <w:pStyle w:val="Compact"/>
              <w:jc w:val="left"/>
            </w:pPr>
            <w:r>
              <w:t xml:space="preserve">14 RCT, 2.884 persone</w:t>
            </w:r>
          </w:p>
        </w:tc>
        <w:tc>
          <w:tcPr/>
          <w:p>
            <w:pPr>
              <w:pStyle w:val="Compact"/>
              <w:jc w:val="left"/>
            </w:pPr>
            <w:r>
              <w:t xml:space="preserve">miglioramento NIHSS di 1,39 punti in più; indipendenza funzionale non significativa (RR 1,31)</w:t>
            </w:r>
          </w:p>
        </w:tc>
      </w:tr>
    </w:tbl>
    <w:p>
      <w:pPr>
        <w:pStyle w:val="BodyText"/>
      </w:pPr>
      <w:r>
        <w:t xml:space="preserve">La</w:t>
      </w:r>
      <w:r>
        <w:t xml:space="preserve"> </w:t>
      </w:r>
      <w:r>
        <w:rPr>
          <w:bCs/>
          <w:b/>
        </w:rPr>
        <w:t xml:space="preserve">revisione Cochrane</w:t>
      </w:r>
      <w:r>
        <w:t xml:space="preserve">, una forma di sintesi indipendente e metodologicamente rigorosa, è stata aggiornata più volte dal 2010. La versione del 2020 comprendeva sette studi randomizzati con 1.601 persone e non ha trovato alcun effetto sulla mortalità (RR 0,90; IC 95% 0,61–1,32). Il numero complessivo di eventi avversi gravi non differiva in modo sostanziale, ma il numero di persone con eventi avversi gravi</w:t>
      </w:r>
      <w:r>
        <w:t xml:space="preserve"> </w:t>
      </w:r>
      <w:r>
        <w:rPr>
          <w:bCs/>
          <w:b/>
        </w:rPr>
        <w:t xml:space="preserve">non fatali</w:t>
      </w:r>
      <w:r>
        <w:t xml:space="preserve"> </w:t>
      </w:r>
      <w:r>
        <w:t xml:space="preserve">era più alto con Cerebrolysin (RR 2,15; IC 95% 1,01–4,55) (Ziganshina 2020, PMID 32662068). L’aggiornamento del 2023 ha aggiunto uno studio con il preparato russo da cervello bovino Cortexin (complessivamente 1.773 persone) e ha confermato queste conclusioni: nessun effetto sulla mortalità (RR 0,96), più eventi gravi non fatali (RR 2,39; IC 95% 1,10–5,23), ancora più marcati con uno schema di trattamento di dieci giorni (Ziganshina 2023, PMID 37818733). Le autrici e gli autori Cochrane hanno valutato come incerto o alto il rischio di distorsione di molti studi e hanno segnalato che il produttore aveva sostenuto diversi dei grandi studi. Importante: nessuno degli studi inclusi riportava l’endpoint decisivo dal punto di vista dei pazienti, «morte o dipendenza dall’assistenza», nella forma prevista dalla revisione.</w:t>
      </w:r>
    </w:p>
    <w:p>
      <w:pPr>
        <w:pStyle w:val="BodyText"/>
      </w:pPr>
      <w:r>
        <w:t xml:space="preserve">Le</w:t>
      </w:r>
      <w:r>
        <w:t xml:space="preserve"> </w:t>
      </w:r>
      <w:r>
        <w:rPr>
          <w:bCs/>
          <w:b/>
        </w:rPr>
        <w:t xml:space="preserve">meta-analisi vicine al produttore</w:t>
      </w:r>
      <w:r>
        <w:t xml:space="preserve"> </w:t>
      </w:r>
      <w:r>
        <w:t xml:space="preserve">considerano invece soprattutto il miglioramento neurologico precoce sulla NIHSS e trovano lì un vantaggio moderato (Bornstein 2018, PMID 29248999). Una meta-analisi sulla sicurezza con dodici studi e 2.202 persone non ha trovato differenze significative rispetto al placebo negli effetti collaterali (Strilciuc 2021, PMID 34959697), a differenza del segnale Cochrane, che si basa però su pochi eventi.</w:t>
      </w:r>
    </w:p>
    <w:p>
      <w:pPr>
        <w:pStyle w:val="BodyText"/>
      </w:pPr>
      <w:r>
        <w:t xml:space="preserve">Come conciliare il tutto? La risposta onesta è: in diversi studi il Cerebrolysin migliora i punteggi delle scale neurologiche nelle prime settimane. Che ne derivino meno disabilità permanente, meno dipendenza dall’assistenza o una vita più lunga non è dimostrato. Per il segnale relativo agli effetti collaterali gravi non fatali manca una spiegazione convincente; si basa su pochi eventi ed è quindi incerto, ma è stato trovato in due versioni Cochrane.</w:t>
      </w:r>
    </w:p>
    <w:bookmarkEnd w:id="626"/>
    <w:bookmarkStart w:id="627" w:name="dati-di-registro-dalla-pratica-clinica"/>
    <w:p>
      <w:pPr>
        <w:pStyle w:val="Heading4"/>
      </w:pPr>
      <w:r>
        <w:t xml:space="preserve">Dati di registro dalla pratica clinica</w:t>
      </w:r>
    </w:p>
    <w:p>
      <w:pPr>
        <w:pStyle w:val="FirstParagraph"/>
      </w:pPr>
      <w:r>
        <w:t xml:space="preserve">Il produttore ha inoltre finanziato grandi studi osservazionali. Lo studio di registro C-REGS2 ha raccolto in 16 Paesi 1.865 persone con ictus di gravità moderata; ne sono state valutate 1.769 (1.021 con Cerebrolysin, 748 senza). A 90 giorni il gruppo Cerebrolysin ha ottenuto risultati migliori sulla scala di Rankin modificata (MW 0,6157) (Vosko 2025, PMID 40851188; NCT03480698). Lo studio usa procedure statistiche sofisticate per rendere i gruppi confrontabili. Resta però uno studio osservazionale: chi riceve il Cerebrolysin nella pratica può differire per trattamento, clinica o Paese da chi non lo riceve. Non può sostituire una randomizzazione.</w:t>
      </w:r>
    </w:p>
    <w:bookmarkEnd w:id="627"/>
    <w:bookmarkStart w:id="628" w:name="Xe4feeb5f6630772d7554865dcab460b0948df69"/>
    <w:p>
      <w:pPr>
        <w:pStyle w:val="Heading4"/>
      </w:pPr>
      <w:r>
        <w:t xml:space="preserve">Emorragia cerebrale ed emorragia subaracnoidea</w:t>
      </w:r>
    </w:p>
    <w:p>
      <w:pPr>
        <w:pStyle w:val="FirstParagraph"/>
      </w:pPr>
      <w:r>
        <w:t xml:space="preserve">Nelle emorragie cerebrali uno studio con 100 persone non ha trovato dopo 21 giorni differenze significative, ma nemmeno problemi di sicurezza (Bajenaru 2010, PMID 20968198). Nelle emorragie da dilatazione di un vaso cerebrale (emorragia subaracnoidea aneurismatica) uno studio pilota in doppio cieco con 50 persone non ha mostrato dopo sei mesi alcuna differenza nell’esito funzionale (Woo 2020, PMID 33143640; NCT01787123). Uno studio pilota sulle emorragie lobari (CLINCH) è programmato o in corso (Kobayashi 2025, PMID 41180520).</w:t>
      </w:r>
    </w:p>
    <w:bookmarkEnd w:id="628"/>
    <w:bookmarkStart w:id="629" w:name="trauma-cranico-captain"/>
    <w:p>
      <w:pPr>
        <w:pStyle w:val="Heading4"/>
      </w:pPr>
      <w:r>
        <w:t xml:space="preserve">Trauma cranico: CAPTAIN</w:t>
      </w:r>
    </w:p>
    <w:p>
      <w:pPr>
        <w:pStyle w:val="FirstParagraph"/>
      </w:pPr>
      <w:r>
        <w:t xml:space="preserve">Nel trauma cranico da moderato a grave due studi hanno esaminato il Cerebrolysin in aggiunta al trattamento standard: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CAPTAIN I (Poon 2020), PMID 31494820</w:t>
            </w:r>
          </w:p>
        </w:tc>
        <w:tc>
          <w:tcPr/>
          <w:p>
            <w:pPr>
              <w:pStyle w:val="Compact"/>
              <w:jc w:val="left"/>
            </w:pPr>
            <w:r>
              <w:t xml:space="preserve">46 persone, doppio cieco contro placebo, più centri</w:t>
            </w:r>
          </w:p>
        </w:tc>
        <w:tc>
          <w:tcPr/>
          <w:p>
            <w:pPr>
              <w:pStyle w:val="Compact"/>
              <w:jc w:val="left"/>
            </w:pPr>
            <w:r>
              <w:t xml:space="preserve">90 giorni</w:t>
            </w:r>
          </w:p>
        </w:tc>
        <w:tc>
          <w:tcPr/>
          <w:p>
            <w:pPr>
              <w:pStyle w:val="Compact"/>
              <w:jc w:val="left"/>
            </w:pPr>
            <w:r>
              <w:t xml:space="preserve">endpoint principale mancato di poco (ITT: MW 0,63); significativo nell’analisi per protocollo</w:t>
            </w:r>
          </w:p>
        </w:tc>
      </w:tr>
      <w:tr>
        <w:tc>
          <w:tcPr/>
          <w:p>
            <w:pPr>
              <w:pStyle w:val="Compact"/>
              <w:jc w:val="left"/>
            </w:pPr>
            <w:r>
              <w:t xml:space="preserve">CAPTAIN II (Muresanu 2020), PMID 31897941</w:t>
            </w:r>
          </w:p>
        </w:tc>
        <w:tc>
          <w:tcPr/>
          <w:p>
            <w:pPr>
              <w:pStyle w:val="Compact"/>
              <w:jc w:val="left"/>
            </w:pPr>
            <w:r>
              <w:t xml:space="preserve">142 persone (139 valutate), doppio cieco, un centro</w:t>
            </w:r>
          </w:p>
        </w:tc>
        <w:tc>
          <w:tcPr/>
          <w:p>
            <w:pPr>
              <w:pStyle w:val="Compact"/>
              <w:jc w:val="left"/>
            </w:pPr>
            <w:r>
              <w:t xml:space="preserve">90 giorni</w:t>
            </w:r>
          </w:p>
        </w:tc>
        <w:tc>
          <w:tcPr/>
          <w:p>
            <w:pPr>
              <w:pStyle w:val="Compact"/>
              <w:jc w:val="left"/>
            </w:pPr>
            <w:r>
              <w:t xml:space="preserve">vantaggio da piccolo a medio nell’endpoint combinato di 13 scale (MW 0,59)</w:t>
            </w:r>
          </w:p>
        </w:tc>
      </w:tr>
      <w:tr>
        <w:tc>
          <w:tcPr/>
          <w:p>
            <w:pPr>
              <w:pStyle w:val="Compact"/>
              <w:jc w:val="left"/>
            </w:pPr>
            <w:r>
              <w:t xml:space="preserve">Meta-analisi CAPTAIN (Vester 2021), PMID 33620612</w:t>
            </w:r>
          </w:p>
        </w:tc>
        <w:tc>
          <w:tcPr/>
          <w:p>
            <w:pPr>
              <w:pStyle w:val="Compact"/>
              <w:jc w:val="left"/>
            </w:pPr>
            <w:r>
              <w:t xml:space="preserve">185 persone dai due studi</w:t>
            </w:r>
          </w:p>
        </w:tc>
        <w:tc>
          <w:tcPr/>
          <w:p>
            <w:pPr>
              <w:pStyle w:val="Compact"/>
              <w:jc w:val="left"/>
            </w:pPr>
            <w:r>
              <w:t xml:space="preserve">90 giorni</w:t>
            </w:r>
          </w:p>
        </w:tc>
        <w:tc>
          <w:tcPr/>
          <w:p>
            <w:pPr>
              <w:pStyle w:val="Compact"/>
              <w:jc w:val="left"/>
            </w:pPr>
            <w:r>
              <w:t xml:space="preserve">MW 0,60 a 30 e 90 giorni</w:t>
            </w:r>
          </w:p>
        </w:tc>
      </w:tr>
    </w:tbl>
    <w:p>
      <w:pPr>
        <w:pStyle w:val="BodyText"/>
      </w:pPr>
      <w:r>
        <w:t xml:space="preserve">CAPTAIN I è stato concluso anticipatamente con soli 46 partecipanti (NCT01606111, stato nel registro «interrotto»). Altre meta-analisi sul trauma cranico si basano prevalentemente su studi osservazionali e hanno trovato valori migliori nella Glasgow Outcome Scale, ma nessuna influenza sulla mortalità (Ghaffarpasand 2019, PMID 30643411; Jarosz 2023, PMID 36979317). Nel complesso i dati indicano un possibile piccolo vantaggio; il numero di persone studiate in modo randomizzato è troppo basso per una conclusione certa.</w:t>
      </w:r>
    </w:p>
    <w:bookmarkEnd w:id="629"/>
    <w:bookmarkStart w:id="630" w:name="demenza"/>
    <w:p>
      <w:pPr>
        <w:pStyle w:val="Heading4"/>
      </w:pPr>
      <w:r>
        <w:t xml:space="preserve">Demenza</w:t>
      </w:r>
    </w:p>
    <w:p>
      <w:pPr>
        <w:pStyle w:val="FirstParagraph"/>
      </w:pPr>
      <w:r>
        <w:rPr>
          <w:bCs/>
          <w:b/>
        </w:rPr>
        <w:t xml:space="preserve">Malattia di Alzheimer.</w:t>
      </w:r>
      <w:r>
        <w:t xml:space="preserve"> </w:t>
      </w:r>
      <w:r>
        <w:t xml:space="preserve">Negli anni Novanta e Duemila sono stati condotti diversi studi controllati con placebo. In uno studio con 192 persone l’impressione clinica complessiva (CIBIC+) dopo dodici settimane era migliore con Cerebrolysin (76% contro 57% di «responder»); i gruppi differivano però già all’inizio per età e allucinazioni (Panisset 2002, PMID 12111446). In uno studio con 197 persone il Cerebrolysin è risultato efficace quanto il farmaco autorizzato per l’Alzheimer donepezil sull’impressione complessiva; su cognizione, funzionalità quotidiana e comportamento non c’erano differenze significative tra i gruppi (Alvarez 2011, PMID 21679156). Una meta-analisi di sei studi ha trovato un vantaggio sull’impressione clinica complessiva dopo quattro settimane e sei mesi, ma sulla cognizione solo dopo quattro settimane, non dopo sei mesi (Gauthier 2015, PMID 25832905). A questa meta-analisi hanno partecipato ricercatori che collaborano con il produttore.</w:t>
      </w:r>
    </w:p>
    <w:p>
      <w:pPr>
        <w:pStyle w:val="BodyText"/>
      </w:pPr>
      <w:r>
        <w:rPr>
          <w:bCs/>
          <w:b/>
        </w:rPr>
        <w:t xml:space="preserve">Demenza vascolare.</w:t>
      </w:r>
      <w:r>
        <w:t xml:space="preserve"> </w:t>
      </w:r>
      <w:r>
        <w:t xml:space="preserve">Lo studio più grande, con 242 persone, ha riferito dopo 24 settimane un miglioramento dell’ADAS-cog+ di 10,6 punti contro 4,4 punti con placebo (Guekht 2011, PMID 20656516), un effetto insolitamente grande per gli studi sulla demenza. La revisione Cochrane sulla demenza vascolare ha riassunto sei studi con 597 persone e ha trovato vantaggi su cognizione e impressione complessiva, ma ha giudicato «molto bassa» l’affidabilità delle prove. Le autrici e gli autori scrivono che i possibili effetti potrebbero essere troppo piccoli per essere clinicamente rilevanti e che la base di prove è debole, nonostante il Cerebrolysin continui a essere promosso (Cui 2019, PMID 31710397).</w:t>
      </w:r>
    </w:p>
    <w:bookmarkEnd w:id="630"/>
    <w:bookmarkStart w:id="631" w:name="altri-impieghi-3"/>
    <w:p>
      <w:pPr>
        <w:pStyle w:val="Heading4"/>
      </w:pPr>
      <w:r>
        <w:t xml:space="preserve">Altri impieghi</w:t>
      </w:r>
    </w:p>
    <w:p>
      <w:pPr>
        <w:pStyle w:val="FirstParagraph"/>
      </w:pPr>
      <w:r>
        <w:t xml:space="preserve">Esistono studi più piccoli sulla SLA (20 persone, miglioramento sulla scala funzionale per la SLA dopo un mese; Firstenfeld 2023, PMID 38585517), sui neonati prematuri, sui bambini con paralisi cerebrale, sulla perdita dell’olfatto dopo COVID-19 e su malattie psichiatriche. In uomini sani, in un piccolo studio con 48 partecipanti, il Cerebrolysin ha modificato gli schemi EEG; per la memoria a breve termine con placebo è emersa nelle prime ore una tendenza a un peggior richiamo delle parole, con Cerebrolysin no (Funke 1998, PMID 9700674). Per l’impiego come «nootropo» nelle persone sane non esistono prove.</w:t>
      </w:r>
    </w:p>
    <w:bookmarkEnd w:id="631"/>
    <w:bookmarkEnd w:id="632"/>
    <w:bookmarkStart w:id="633" w:name="studi-su-animali-e-in-laboratorio-36"/>
    <w:p>
      <w:pPr>
        <w:pStyle w:val="Heading3"/>
      </w:pPr>
      <w:r>
        <w:t xml:space="preserve">Studi su animali e in laboratorio</w:t>
      </w:r>
    </w:p>
    <w:p>
      <w:pPr>
        <w:numPr>
          <w:ilvl w:val="0"/>
          <w:numId w:val="1204"/>
        </w:numPr>
        <w:pStyle w:val="Compact"/>
      </w:pPr>
      <w:r>
        <w:t xml:space="preserve">In ratti con ictus indotto artificialmente il Cerebrolysin, in uno studio animale randomizzato e in cieco, ha migliorato in modo dose-dipendente il recupero neurologico a 28 giorni (Zhang 2016, PMID 26763925).</w:t>
      </w:r>
    </w:p>
    <w:p>
      <w:pPr>
        <w:numPr>
          <w:ilvl w:val="0"/>
          <w:numId w:val="1204"/>
        </w:numPr>
        <w:pStyle w:val="Compact"/>
      </w:pPr>
      <w:r>
        <w:t xml:space="preserve">In ratti con lieve lesione cerebrale il Cerebrolysin ha ridotto i danni agli assoni e favorito la formazione di nuovi neuroni nell’ippocampo (Zhang 2019, PMID 30499355).</w:t>
      </w:r>
    </w:p>
    <w:p>
      <w:pPr>
        <w:numPr>
          <w:ilvl w:val="0"/>
          <w:numId w:val="1204"/>
        </w:numPr>
        <w:pStyle w:val="Compact"/>
      </w:pPr>
      <w:r>
        <w:t xml:space="preserve">In un modello murino della malattia ereditaria CADASIL il Cerebrolysin ha prolungato la durata della vita e migliorato la memoria spaziale, senza influenzare le tipiche alterazioni della sostanza bianca (Kastberger 2024, PMID 38062874).</w:t>
      </w:r>
    </w:p>
    <w:p>
      <w:pPr>
        <w:pStyle w:val="FirstParagraph"/>
      </w:pPr>
      <w:r>
        <w:t xml:space="preserve">Gli studi preclinici provengono in misura considerevole da collaborazioni con il produttore. Buoni risultati sugli animali si sono finora tradotti raramente in un beneficio clinico per i farmaci contro l’ictus.</w:t>
      </w:r>
    </w:p>
    <w:bookmarkEnd w:id="633"/>
    <w:bookmarkStart w:id="634" w:name="rischi-ed-effetti-collaterali-36"/>
    <w:p>
      <w:pPr>
        <w:pStyle w:val="Heading3"/>
      </w:pPr>
      <w:r>
        <w:t xml:space="preserve">Rischi ed effetti collaterali</w:t>
      </w:r>
    </w:p>
    <w:p>
      <w:pPr>
        <w:pStyle w:val="FirstParagraph"/>
      </w:pPr>
      <w:r>
        <w:rPr>
          <w:bCs/>
          <w:b/>
        </w:rPr>
        <w:t xml:space="preserve">Documentati:</w:t>
      </w:r>
    </w:p>
    <w:p>
      <w:pPr>
        <w:numPr>
          <w:ilvl w:val="0"/>
          <w:numId w:val="1205"/>
        </w:numPr>
        <w:pStyle w:val="Compact"/>
      </w:pPr>
      <w:r>
        <w:t xml:space="preserve">Negli studi gli effetti collaterali sono stati nel complesso frequenti quanto con placebo. Vengono citati tra l’altro mal di testa, vertigini e agitazione (Panisset 2002, PMID 12111446).</w:t>
      </w:r>
    </w:p>
    <w:p>
      <w:pPr>
        <w:numPr>
          <w:ilvl w:val="0"/>
          <w:numId w:val="1205"/>
        </w:numPr>
        <w:pStyle w:val="Compact"/>
      </w:pPr>
      <w:r>
        <w:t xml:space="preserve">La revisione Cochrane sull’ictus ha trovato più</w:t>
      </w:r>
      <w:r>
        <w:t xml:space="preserve"> </w:t>
      </w:r>
      <w:r>
        <w:rPr>
          <w:bCs/>
          <w:b/>
        </w:rPr>
        <w:t xml:space="preserve">eventi avversi gravi non fatali</w:t>
      </w:r>
      <w:r>
        <w:t xml:space="preserve"> </w:t>
      </w:r>
      <w:r>
        <w:t xml:space="preserve">con Cerebrolysin (RR 2,39; Ziganshina 2023, PMID 37818733), la meta-analisi sulla sicurezza vicina al produttore no (Strilciuc 2021, PMID 34959697).</w:t>
      </w:r>
    </w:p>
    <w:p>
      <w:pPr>
        <w:numPr>
          <w:ilvl w:val="0"/>
          <w:numId w:val="1205"/>
        </w:numPr>
        <w:pStyle w:val="Compact"/>
      </w:pPr>
      <w:r>
        <w:rPr>
          <w:bCs/>
          <w:b/>
        </w:rPr>
        <w:t xml:space="preserve">Reazioni allergiche:</w:t>
      </w:r>
      <w:r>
        <w:t xml:space="preserve"> </w:t>
      </w:r>
      <w:r>
        <w:t xml:space="preserve">un caso clinico documentato in dettaglio descrive una reazione anafilattica potenzialmente letale in un uomo di 85 anni dopo un’infusione di Cerebrolysin; gli autori sottolineano che tali casi sono rari, ma rilevanti nelle persone in condizioni critiche (Trimmel 2024, PMID 39055722).</w:t>
      </w:r>
    </w:p>
    <w:p>
      <w:pPr>
        <w:pStyle w:val="FirstParagraph"/>
      </w:pPr>
      <w:r>
        <w:rPr>
          <w:bCs/>
          <w:b/>
        </w:rPr>
        <w:t xml:space="preserve">Teorici:</w:t>
      </w:r>
      <w:r>
        <w:t xml:space="preserve"> </w:t>
      </w:r>
      <w:r>
        <w:t xml:space="preserve">in quanto preparato da tessuto cerebrale animale, il Cerebrolysin è per principio legato a questioni di purezza e di trasmissibilità di agenti patogeni; i processi di produzione e le prescrizioni delle autorità dovrebbero ridurre al minimo questo rischio. Casi concreti di trasmissione non sono descritti nelle fonti esaminate qui.</w:t>
      </w:r>
    </w:p>
    <w:p>
      <w:pPr>
        <w:pStyle w:val="BodyText"/>
      </w:pPr>
      <w:r>
        <w:rPr>
          <w:bCs/>
          <w:b/>
        </w:rPr>
        <w:t xml:space="preserve">Mercato grigio:</w:t>
      </w:r>
      <w:r>
        <w:t xml:space="preserve"> </w:t>
      </w:r>
      <w:r>
        <w:t xml:space="preserve">nei forum sui nootropi il Cerebrolysin viene discusso come «booster cerebrale» e procurato da Paesi in cui è disponibile. L’autosomministrazione endovenosa senza sorveglianza medica comporta il rischio di gravi reazioni allergiche, per le quali non è poi disponibile un’assistenza d’emergenza. Maggiori dettagli sui prodotti del mercato grigio nella Parte I e nella Parte IV.</w:t>
      </w:r>
    </w:p>
    <w:bookmarkEnd w:id="634"/>
    <w:bookmarkStart w:id="635" w:name="quadro-normativo-36"/>
    <w:p>
      <w:pPr>
        <w:pStyle w:val="Heading3"/>
      </w:pPr>
      <w:r>
        <w:t xml:space="preserve">Quadro normativo</w:t>
      </w:r>
    </w:p>
    <w:p>
      <w:pPr>
        <w:numPr>
          <w:ilvl w:val="0"/>
          <w:numId w:val="1206"/>
        </w:numPr>
        <w:pStyle w:val="Compact"/>
      </w:pPr>
      <w:r>
        <w:rPr>
          <w:bCs/>
          <w:b/>
        </w:rPr>
        <w:t xml:space="preserve">UE / Austria / Germania:</w:t>
      </w:r>
      <w:r>
        <w:t xml:space="preserve"> </w:t>
      </w:r>
      <w:r>
        <w:t xml:space="preserve">nessuna autorizzazione centralizzata UE. In Austria il Cerebrolysin è autorizzato a livello nazionale come medicinale soggetto a prescrizione; indicazioni e rimborso seguono il riassunto delle caratteristiche del prodotto austriaco. Altri Stati dell’UE hanno proprie autorizzazioni nazionali. In Germania il Cerebrolysin, per quanto ci risulta, non è in commercio; un approvvigionamento sarebbe possibile al massimo come importazione individuale su prescrizione medica (aggiornato al 2026, da verificare).</w:t>
      </w:r>
    </w:p>
    <w:p>
      <w:pPr>
        <w:numPr>
          <w:ilvl w:val="0"/>
          <w:numId w:val="1206"/>
        </w:numPr>
        <w:pStyle w:val="Compact"/>
      </w:pPr>
      <w:r>
        <w:rPr>
          <w:bCs/>
          <w:b/>
        </w:rPr>
        <w:t xml:space="preserve">USA:</w:t>
      </w:r>
      <w:r>
        <w:t xml:space="preserve"> </w:t>
      </w:r>
      <w:r>
        <w:t xml:space="preserve">non autorizzato.</w:t>
      </w:r>
    </w:p>
    <w:p>
      <w:pPr>
        <w:numPr>
          <w:ilvl w:val="0"/>
          <w:numId w:val="1206"/>
        </w:numPr>
        <w:pStyle w:val="Compact"/>
      </w:pPr>
      <w:r>
        <w:rPr>
          <w:bCs/>
          <w:b/>
        </w:rPr>
        <w:t xml:space="preserve">Sport:</w:t>
      </w:r>
      <w:r>
        <w:t xml:space="preserve"> </w:t>
      </w:r>
      <w:r>
        <w:t xml:space="preserve">non nella lista WADA (aggiornato al 2026, da verificare).</w:t>
      </w:r>
    </w:p>
    <w:p>
      <w:pPr>
        <w:numPr>
          <w:ilvl w:val="0"/>
          <w:numId w:val="1206"/>
        </w:numPr>
        <w:pStyle w:val="Compact"/>
      </w:pPr>
      <w:r>
        <w:t xml:space="preserve">Per l’impiego autorizzato vale: rimando al riassunto delle caratteristiche del prodotto e accompagnamento medico.</w:t>
      </w:r>
    </w:p>
    <w:bookmarkEnd w:id="635"/>
    <w:bookmarkStart w:id="636" w:name="studi-in-corso-e-prospettive-36"/>
    <w:p>
      <w:pPr>
        <w:pStyle w:val="Heading3"/>
      </w:pPr>
      <w:r>
        <w:t xml:space="preserve">Studi in corso e prospettive</w:t>
      </w:r>
    </w:p>
    <w:p>
      <w:pPr>
        <w:pStyle w:val="FirstParagraph"/>
      </w:pPr>
      <w:r>
        <w:rPr>
          <w:bCs/>
          <w:b/>
        </w:rPr>
        <w:t xml:space="preserve">Assodato (studi registrati, aggiornato a ottobre 2026):</w:t>
      </w:r>
    </w:p>
    <w:p>
      <w:pPr>
        <w:numPr>
          <w:ilvl w:val="0"/>
          <w:numId w:val="1207"/>
        </w:numPr>
        <w:pStyle w:val="Compact"/>
      </w:pPr>
      <w:r>
        <w:rPr>
          <w:bCs/>
          <w:b/>
        </w:rPr>
        <w:t xml:space="preserve">CERebrolysin In CADASIL</w:t>
      </w:r>
      <w:r>
        <w:t xml:space="preserve"> </w:t>
      </w:r>
      <w:r>
        <w:t xml:space="preserve">(NCT05755997): studio di fase 2 con 30 partecipanti nella malattia vascolare ereditaria CADASIL, attivo, reclutamento concluso.</w:t>
      </w:r>
    </w:p>
    <w:p>
      <w:pPr>
        <w:numPr>
          <w:ilvl w:val="0"/>
          <w:numId w:val="1207"/>
        </w:numPr>
        <w:pStyle w:val="Compact"/>
      </w:pPr>
      <w:r>
        <w:rPr>
          <w:bCs/>
          <w:b/>
        </w:rPr>
        <w:t xml:space="preserve">Afasia dopo ictus</w:t>
      </w:r>
      <w:r>
        <w:t xml:space="preserve"> </w:t>
      </w:r>
      <w:r>
        <w:t xml:space="preserve">(NCT06897176): studio randomizzato e controllato con placebo con 40 partecipanti in Corea, in reclutamento.</w:t>
      </w:r>
    </w:p>
    <w:p>
      <w:pPr>
        <w:numPr>
          <w:ilvl w:val="0"/>
          <w:numId w:val="1207"/>
        </w:numPr>
        <w:pStyle w:val="Compact"/>
      </w:pPr>
      <w:r>
        <w:rPr>
          <w:bCs/>
          <w:b/>
        </w:rPr>
        <w:t xml:space="preserve">Cerebrolysin dopo trombectomia estesa</w:t>
      </w:r>
      <w:r>
        <w:t xml:space="preserve"> </w:t>
      </w:r>
      <w:r>
        <w:t xml:space="preserve">(NCT06339411): studio di fase 2 con 100 partecipanti previsti a Taiwan, inizio 2026.</w:t>
      </w:r>
    </w:p>
    <w:p>
      <w:pPr>
        <w:numPr>
          <w:ilvl w:val="0"/>
          <w:numId w:val="1207"/>
        </w:numPr>
        <w:pStyle w:val="Compact"/>
      </w:pPr>
      <w:r>
        <w:t xml:space="preserve">Sono registrati altri studi più piccoli su delirium dopo interventi cardiochirurgici e in terapia intensiva, su emorragia cerebrale e sulla riabilitazione precoce.</w:t>
      </w:r>
    </w:p>
    <w:p>
      <w:pPr>
        <w:pStyle w:val="FirstParagraph"/>
      </w:pPr>
      <w:r>
        <w:rPr>
          <w:bCs/>
          <w:b/>
        </w:rPr>
        <w:t xml:space="preserve">Valutazione:</w:t>
      </w:r>
      <w:r>
        <w:t xml:space="preserve"> </w:t>
      </w:r>
      <w:r>
        <w:t xml:space="preserve">nessuno degli studi registrati è abbastanza grande da rispondere alla questione centrale aperta: il Cerebrolysin riduce la disabilità permanente o la mortalità dopo un ictus? Servirebbe uno studio condotto in modo indipendente, sufficientemente ampio, con un endpoint principale chiaro e stabilito in anticipo, come la scala di Rankin modificata a 90 giorni. Finché manca, la valutazione resterà divisa tra «consolidato in Europa orientale e in Asia» e «non sufficientemente dimostrato in Occidente».</w:t>
      </w:r>
    </w:p>
    <w:bookmarkEnd w:id="636"/>
    <w:bookmarkStart w:id="637" w:name="conclusione-36"/>
    <w:p>
      <w:pPr>
        <w:pStyle w:val="Heading3"/>
      </w:pPr>
      <w:r>
        <w:t xml:space="preserve">Conclusione</w:t>
      </w:r>
    </w:p>
    <w:p>
      <w:pPr>
        <w:pStyle w:val="FirstParagraph"/>
      </w:pPr>
      <w:r>
        <w:t xml:space="preserve">Il Cerebrolysin è una miscela di peptidi ottenuta da cervello di maiale, impiegata in Austria e in molti Paesi dell’Europa orientale e dell’Asia nell’ictus, nel trauma cranico e nella demenza. Numerosi studi randomizzati mostrano miglioramenti precoci sulle scale neurologiche, ma lo studio più grande (CASTA), con oltre 1.000 persone, ha mancato il suo endpoint principale. Le revisioni Cochrane indipendenti non trovano alcuna influenza sulla mortalità, un segnale di più effetti collaterali gravi non fatali nell’ictus e solo vantaggi molto incerti nella demenza vascolare. Le analisi vicine al produttore giungono a risultati nettamente più positivi. I dati non bastano a dimostrare con certezza un beneficio clinicamente rilevante a lungo termine; come autotrattamento o «nootropo» il Cerebrolysin non è adatto.</w:t>
      </w:r>
    </w:p>
    <w:bookmarkEnd w:id="637"/>
    <w:bookmarkEnd w:id="638"/>
    <w:bookmarkStart w:id="648" w:name="dihexa"/>
    <w:p>
      <w:pPr>
        <w:pStyle w:val="Heading2"/>
      </w:pPr>
      <w:r>
        <w:t xml:space="preserve">Dihexa</w:t>
      </w:r>
    </w:p>
    <w:bookmarkStart w:id="639" w:name="scheda-37"/>
    <w:p>
      <w:pPr>
        <w:pStyle w:val="Heading3"/>
      </w:pPr>
      <w:r>
        <w:t xml:space="preserve">Scheda</w:t>
      </w:r>
    </w:p>
    <w:p>
      <w:pPr>
        <w:numPr>
          <w:ilvl w:val="0"/>
          <w:numId w:val="1208"/>
        </w:numPr>
        <w:pStyle w:val="Compact"/>
      </w:pPr>
      <w:r>
        <w:rPr>
          <w:bCs/>
          <w:b/>
        </w:rPr>
        <w:t xml:space="preserve">Tipo e struttura:</w:t>
      </w:r>
      <w:r>
        <w:t xml:space="preserve"> </w:t>
      </w:r>
      <w:r>
        <w:t xml:space="preserve">mini-peptide modificato chimicamente, derivato dall’angiotensina IV, un frammento del sistema ormonale che regola la pressione arteriosa. Il nucleo è costituito da due amminoacidi (tirosina e isoleucina), dotati a entrambe le estremità di catene simili ad acidi grassi; nome chimico N-esanoil-Tyr-Ile-(6)-amminoesanoico ammide, codice di ricerca PNB-0408.</w:t>
      </w:r>
    </w:p>
    <w:p>
      <w:pPr>
        <w:numPr>
          <w:ilvl w:val="0"/>
          <w:numId w:val="1208"/>
        </w:numPr>
        <w:pStyle w:val="Compact"/>
      </w:pPr>
      <w:r>
        <w:rPr>
          <w:bCs/>
          <w:b/>
        </w:rPr>
        <w:t xml:space="preserve">Origine:</w:t>
      </w:r>
      <w:r>
        <w:t xml:space="preserve"> </w:t>
      </w:r>
      <w:r>
        <w:t xml:space="preserve">sviluppato intorno al 2012 presso la Washington State University (USA).</w:t>
      </w:r>
    </w:p>
    <w:p>
      <w:pPr>
        <w:numPr>
          <w:ilvl w:val="0"/>
          <w:numId w:val="1208"/>
        </w:numPr>
        <w:pStyle w:val="Compact"/>
      </w:pPr>
      <w:r>
        <w:rPr>
          <w:bCs/>
          <w:b/>
        </w:rPr>
        <w:t xml:space="preserve">Principio d’azione:</w:t>
      </w:r>
      <w:r>
        <w:t xml:space="preserve"> </w:t>
      </w:r>
      <w:r>
        <w:t xml:space="preserve">dovrebbe potenziare il sistema del fattore di crescita HGF/c-Met (HGF = fattore di crescita degli epatociti, c-Met = il suo recettore) e stimolare così la formazione di nuove connessioni nervose (sinapsi).</w:t>
      </w:r>
    </w:p>
    <w:p>
      <w:pPr>
        <w:numPr>
          <w:ilvl w:val="0"/>
          <w:numId w:val="1208"/>
        </w:numPr>
        <w:pStyle w:val="Compact"/>
      </w:pPr>
      <w:r>
        <w:rPr>
          <w:bCs/>
          <w:b/>
        </w:rPr>
        <w:t xml:space="preserve">Autorizzazione UE:</w:t>
      </w:r>
      <w:r>
        <w:t xml:space="preserve"> </w:t>
      </w:r>
      <w:r>
        <w:t xml:space="preserve">no.</w:t>
      </w:r>
    </w:p>
    <w:p>
      <w:pPr>
        <w:numPr>
          <w:ilvl w:val="0"/>
          <w:numId w:val="1208"/>
        </w:numPr>
        <w:pStyle w:val="Compact"/>
      </w:pPr>
      <w:r>
        <w:rPr>
          <w:bCs/>
          <w:b/>
        </w:rPr>
        <w:t xml:space="preserve">Autorizzazione USA:</w:t>
      </w:r>
      <w:r>
        <w:t xml:space="preserve"> </w:t>
      </w:r>
      <w:r>
        <w:t xml:space="preserve">no. Dal 2023 il Dihexa figurava nella «categoria 2» della FDA per le sostanze per preparazioni magistrali con problemi di sicurezza; nell’aprile 2026 ne è stato cancellato, e una valutazione da parte del comitato consultivo PCAC è annunciata per una seduta entro febbraio 2027 (aggiornato a ottobre 2026, da verificare).</w:t>
      </w:r>
    </w:p>
    <w:p>
      <w:pPr>
        <w:numPr>
          <w:ilvl w:val="0"/>
          <w:numId w:val="1208"/>
        </w:numPr>
        <w:pStyle w:val="Compact"/>
      </w:pPr>
      <w:r>
        <w:rPr>
          <w:bCs/>
          <w:b/>
        </w:rPr>
        <w:t xml:space="preserve">WADA:</w:t>
      </w:r>
      <w:r>
        <w:t xml:space="preserve"> </w:t>
      </w:r>
      <w:r>
        <w:t xml:space="preserve">non elencato per nome; in quanto sostanza non autorizzata da nessuna parte, secondo la nostra valutazione il Dihexa rientra nella categoria generale S0 «sostanze non approvate» (aggiornato al 2026, da verificare).</w:t>
      </w:r>
    </w:p>
    <w:p>
      <w:pPr>
        <w:numPr>
          <w:ilvl w:val="0"/>
          <w:numId w:val="1208"/>
        </w:numPr>
        <w:pStyle w:val="Compact"/>
      </w:pPr>
      <w:r>
        <w:rPr>
          <w:bCs/>
          <w:b/>
        </w:rPr>
        <w:t xml:space="preserve">Livello di evidenza:</w:t>
      </w:r>
      <w:r>
        <w:t xml:space="preserve"> </w:t>
      </w:r>
      <w:r>
        <w:rPr>
          <w:bCs/>
          <w:b/>
        </w:rPr>
        <w:t xml:space="preserve">D</w:t>
      </w:r>
      <w:r>
        <w:t xml:space="preserve"> </w:t>
      </w:r>
      <w:r>
        <w:t xml:space="preserve">– nemmeno uno studio pubblicato sull’uomo.</w:t>
      </w:r>
    </w:p>
    <w:bookmarkEnd w:id="639"/>
    <w:bookmarkStart w:id="640" w:name="come-dovrebbe-agire-37"/>
    <w:p>
      <w:pPr>
        <w:pStyle w:val="Heading3"/>
      </w:pPr>
      <w:r>
        <w:t xml:space="preserve">Come dovrebbe agire</w:t>
      </w:r>
    </w:p>
    <w:p>
      <w:pPr>
        <w:pStyle w:val="FirstParagraph"/>
      </w:pPr>
      <w:r>
        <w:t xml:space="preserve">L’angiotensina IV è un breve peptide che nell’organismo si forma dall’ormone della pressione arteriosa angiotensina II. Dagli anni Novanta i ricercatori hanno osservato che l’angiotensina IV e molecole affini migliorano nei ratti apprendimento e memoria se iniettate direttamente nel cervello. Per un farmaco ciò era inutilizzabile: i peptidi venivano degradati rapidamente e non passavano né dall’intestino al sangue né attraverso la barriera ematoencefalica.</w:t>
      </w:r>
    </w:p>
    <w:p>
      <w:pPr>
        <w:pStyle w:val="BodyText"/>
      </w:pPr>
      <w:r>
        <w:t xml:space="preserve">Il gruppo di lavoro di Joseph Harding e John Wright, nello Stato di Washington, ha quindi ridotto la molecola al suo nucleo attivo e l’ha dotata di gruppi protettivi chimici. Il risultato è stato il Dihexa: stabile nei confronti della degradazione, attivo per via orale nei ratti e capace di raggiungere il cervello. In ratti con disturbo della memoria indotto da farmaci e in ratti anziani ha migliorato le prestazioni nel labirinto d’acqua e favorito la formazione di sinapsi nell’ippocampo (McCoy 2013, PMID 23055539).</w:t>
      </w:r>
    </w:p>
    <w:p>
      <w:pPr>
        <w:pStyle w:val="BodyText"/>
      </w:pPr>
      <w:r>
        <w:t xml:space="preserve">In seguito lo stesso gruppo ha individuato il presunto meccanismo d’azione: il Dihexa si lega al fattore di crescita HGF e ne potenzia il segnale sul recettore c-Met. Quando il sistema HGF veniva bloccato nel cervello dei ratti, l’effetto favorevole sulla memoria scompariva (Benoist 2014, PMID 25187433). Questo lavoro è stato ritirato dalla rivista nel 2025 (nota di ritrattazione: PMID 40312093), così come un altro lavoro fondamentale dello stesso gruppo sui derivati dell’angiotensina IV come modulatori di HGF/c-Met (nota di ritrattazione: PMID 40312092). Il meccanismo d’azione descritto non è quindi più dimostrato in modo affidabile; le voci di PubMed non indicano i motivi della ritrattazione.</w:t>
      </w:r>
    </w:p>
    <w:p>
      <w:pPr>
        <w:pStyle w:val="BodyText"/>
      </w:pPr>
      <w:r>
        <w:t xml:space="preserve">In internet il Dihexa viene spesso descritto come una sostanza molte volte più potente del fattore di crescita nervosa BDNF. Tali confronti provengono da esperimenti su colture cellulari e non dicono nulla sul fatto che e su come il Dihexa agisca nell’uomo.</w:t>
      </w:r>
    </w:p>
    <w:bookmarkEnd w:id="640"/>
    <w:bookmarkStart w:id="642" w:name="studi-sulluomo-37"/>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w:t>
      </w:r>
      <w:r>
        <w:t xml:space="preserve"> </w:t>
      </w:r>
      <w:r>
        <w:rPr>
          <w:bCs/>
          <w:b/>
        </w:rPr>
        <w:t xml:space="preserve">non</w:t>
      </w:r>
      <w:r>
        <w:t xml:space="preserve"> </w:t>
      </w:r>
      <w:r>
        <w:t xml:space="preserve">ha dato alcuno studio sull’uomo con Dihexa; complessivamente PubMed elenca solo 18 lavori con il termine di ricerca, tra cui diversi senza relazione con il principio attivo. Su ClinicalTrials.gov non è registrato alcuno studio. Anche una ricerca mirata supplementare di casi clinici, intossicazioni o analisi di prodotti del mercato grigio non ha dato risultati.</w:t>
      </w:r>
    </w:p>
    <w:p>
      <w:pPr>
        <w:pStyle w:val="BodyText"/>
      </w:pPr>
      <w:r>
        <w:t xml:space="preserve">Non esistono quindi dati su efficacia, tollerabilità, durata d’azione o quantità adeguate nell’uomo. Tutto ciò che viene riferito su un effetto nelle persone proviene da resoconti di esperienze nei forum.</w:t>
      </w:r>
    </w:p>
    <w:bookmarkStart w:id="641" w:name="un-parente-in-clinica-fosgonimeton"/>
    <w:p>
      <w:pPr>
        <w:pStyle w:val="Heading4"/>
      </w:pPr>
      <w:r>
        <w:t xml:space="preserve">Un parente in clinica: fosgonimeton</w:t>
      </w:r>
    </w:p>
    <w:p>
      <w:pPr>
        <w:pStyle w:val="FirstParagraph"/>
      </w:pPr>
      <w:r>
        <w:t xml:space="preserve">Istruttivo è il destino di un altro principio attivo nato dallo stesso approccio di ricerca, il potenziamento del sistema HGF/c-Met. L’azienda Athira Pharma ha sviluppato il fosgonimeton (ATH-1017), una molecola chimicamente diversa che dovrebbe anch’essa influenzare positivamente HGF/c-Met. Il fosgonimeton, a differenza del Dihexa, è stato sperimentato in regolari studi clinici: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(Hua 2022), PMID 35180125</w:t>
            </w:r>
          </w:p>
        </w:tc>
        <w:tc>
          <w:tcPr/>
          <w:p>
            <w:pPr>
              <w:pStyle w:val="Compact"/>
              <w:jc w:val="left"/>
            </w:pPr>
            <w:r>
              <w:t xml:space="preserve">88 persone (sane e 11 persone con Alzheimer), doppio cieco contro placebo</w:t>
            </w:r>
          </w:p>
        </w:tc>
        <w:tc>
          <w:tcPr/>
          <w:p>
            <w:pPr>
              <w:pStyle w:val="Compact"/>
              <w:jc w:val="left"/>
            </w:pPr>
            <w:r>
              <w:t xml:space="preserve">fino a 9 giorni</w:t>
            </w:r>
          </w:p>
        </w:tc>
        <w:tc>
          <w:tcPr/>
          <w:p>
            <w:pPr>
              <w:pStyle w:val="Compact"/>
              <w:jc w:val="left"/>
            </w:pPr>
            <w:r>
              <w:t xml:space="preserve">ben tollerato; variazioni all’EEG come indizio del passaggio nel cervello</w:t>
            </w:r>
          </w:p>
        </w:tc>
      </w:tr>
      <w:tr>
        <w:tc>
          <w:tcPr/>
          <w:p>
            <w:pPr>
              <w:pStyle w:val="Compact"/>
              <w:jc w:val="left"/>
            </w:pPr>
            <w:r>
              <w:t xml:space="preserve">LIFT-AD (Porsteinsson 2025), PMID 41393340</w:t>
            </w:r>
          </w:p>
        </w:tc>
        <w:tc>
          <w:tcPr/>
          <w:p>
            <w:pPr>
              <w:pStyle w:val="Compact"/>
              <w:jc w:val="left"/>
            </w:pPr>
            <w:r>
              <w:t xml:space="preserve">287 persone con malattia di Alzheimer da lieve a moderata nell’analisi principale, fase 2/3 contro placebo</w:t>
            </w:r>
          </w:p>
        </w:tc>
        <w:tc>
          <w:tcPr/>
          <w:p>
            <w:pPr>
              <w:pStyle w:val="Compact"/>
              <w:jc w:val="left"/>
            </w:pPr>
            <w:r>
              <w:t xml:space="preserve">26 settimane</w:t>
            </w:r>
          </w:p>
        </w:tc>
        <w:tc>
          <w:tcPr/>
          <w:p>
            <w:pPr>
              <w:pStyle w:val="Compact"/>
              <w:jc w:val="left"/>
            </w:pPr>
            <w:r>
              <w:t xml:space="preserve">endpoint principali e secondari mancati; più interruzioni della terapia per effetti collaterali (14,2% vs. 4,6%)</w:t>
            </w:r>
          </w:p>
        </w:tc>
      </w:tr>
    </w:tbl>
    <w:p>
      <w:pPr>
        <w:pStyle w:val="BodyText"/>
      </w:pPr>
      <w:r>
        <w:t xml:space="preserve">In LIFT-AD (NCT04488419) il fosgonimeton non si è differenziato in modo significativo dal placebo né sull’endpoint principale combinato né sulle scale di memoria o di vita quotidiana. Gli eventi avversi gravi erano equilibrati (4,2% contro 6,9%), le interruzioni del trattamento per effetti collaterali, soprattutto reazioni nel sito di iniezione, erano più frequenti con fosgonimeton (Porsteinsson 2025, PMID 41393340). Uno studio nella demenza da Parkinson e nella demenza a corpi di Lewy è stato concluso anticipatamente (NCT04831281).</w:t>
      </w:r>
    </w:p>
    <w:p>
      <w:pPr>
        <w:pStyle w:val="BodyText"/>
      </w:pPr>
      <w:r>
        <w:t xml:space="preserve">Ciò non dimostra che il Dihexa sia inefficace: è un’altra sostanza. Mostra però quanto poco i miglioramenti della memoria nei ratti si possano trasferire alle persone con demenza.</w:t>
      </w:r>
    </w:p>
    <w:bookmarkEnd w:id="641"/>
    <w:bookmarkEnd w:id="642"/>
    <w:bookmarkStart w:id="643" w:name="studi-su-animali-e-in-laboratorio-37"/>
    <w:p>
      <w:pPr>
        <w:pStyle w:val="Heading3"/>
      </w:pPr>
      <w:r>
        <w:t xml:space="preserve">Studi su animali e in laboratorio</w:t>
      </w:r>
    </w:p>
    <w:p>
      <w:pPr>
        <w:numPr>
          <w:ilvl w:val="0"/>
          <w:numId w:val="1209"/>
        </w:numPr>
        <w:pStyle w:val="Compact"/>
      </w:pPr>
      <w:r>
        <w:t xml:space="preserve">In ratti con disturbo della memoria da scopolamina e in ratti anziani il Dihexa ha migliorato l’apprendimento spaziale e favorito la formazione di sinapsi (McCoy 2013, PMID 23055539).</w:t>
      </w:r>
    </w:p>
    <w:p>
      <w:pPr>
        <w:numPr>
          <w:ilvl w:val="0"/>
          <w:numId w:val="1209"/>
        </w:numPr>
        <w:pStyle w:val="Compact"/>
      </w:pPr>
      <w:r>
        <w:t xml:space="preserve">In topi modello di Alzheimer (APP/PS1) il Dihexa ha migliorato l’apprendimento nel labirinto d’acqua e ridotto i segni di infiammazione nel cervello (Sun 2021, PMID 34827486).</w:t>
      </w:r>
    </w:p>
    <w:p>
      <w:pPr>
        <w:numPr>
          <w:ilvl w:val="0"/>
          <w:numId w:val="1209"/>
        </w:numPr>
        <w:pStyle w:val="Compact"/>
      </w:pPr>
      <w:r>
        <w:t xml:space="preserve">In un modello di ratto della malattia di Huntington il Dihexa</w:t>
      </w:r>
      <w:r>
        <w:t xml:space="preserve"> </w:t>
      </w:r>
      <w:r>
        <w:rPr>
          <w:bCs/>
          <w:b/>
        </w:rPr>
        <w:t xml:space="preserve">non</w:t>
      </w:r>
      <w:r>
        <w:t xml:space="preserve"> </w:t>
      </w:r>
      <w:r>
        <w:t xml:space="preserve">ha protetto dai deficit (Wells 2024, PMID 38489193).</w:t>
      </w:r>
    </w:p>
    <w:p>
      <w:pPr>
        <w:numPr>
          <w:ilvl w:val="0"/>
          <w:numId w:val="1209"/>
        </w:numPr>
        <w:pStyle w:val="Compact"/>
      </w:pPr>
      <w:r>
        <w:t xml:space="preserve">In larve di pesce zebra il Dihexa ha protetto le cellule ciliate sensoriali dai danni causati da determinati antibiotici (Uribe 2015, PMID 25674052).</w:t>
      </w:r>
    </w:p>
    <w:p>
      <w:pPr>
        <w:numPr>
          <w:ilvl w:val="0"/>
          <w:numId w:val="1209"/>
        </w:numPr>
        <w:pStyle w:val="Compact"/>
      </w:pPr>
      <w:r>
        <w:t xml:space="preserve">Nella ricerca sulle cellule staminali il Dihexa viene usato come sostituto economico dei fattori di crescita nella produzione di cellule simili a epatociti (Pan 2022, PMID 35410439), un indizio di quanto ampiamente agisca il sistema HGF nell’organismo.</w:t>
      </w:r>
    </w:p>
    <w:p>
      <w:pPr>
        <w:pStyle w:val="FirstParagraph"/>
      </w:pPr>
      <w:r>
        <w:t xml:space="preserve">Una revisione sistematica sui derivati dell’angiotensina IV ha trovato effetti favorevoli in otto su nove studi animali sui disturbi della memoria, ma sottolinea che le sostanze agivano meglio quando venivano somministrate direttamente nel cervello (Ho 2018, PMID 29733881).</w:t>
      </w:r>
    </w:p>
    <w:bookmarkEnd w:id="643"/>
    <w:bookmarkStart w:id="644" w:name="rischi-ed-effetti-collaterali-37"/>
    <w:p>
      <w:pPr>
        <w:pStyle w:val="Heading3"/>
      </w:pPr>
      <w:r>
        <w:t xml:space="preserve">Rischi ed effetti collaterali</w:t>
      </w:r>
    </w:p>
    <w:p>
      <w:pPr>
        <w:pStyle w:val="FirstParagraph"/>
      </w:pPr>
      <w:r>
        <w:rPr>
          <w:bCs/>
          <w:b/>
        </w:rPr>
        <w:t xml:space="preserve">Documentati:</w:t>
      </w:r>
      <w:r>
        <w:t xml:space="preserve"> </w:t>
      </w:r>
      <w:r>
        <w:t xml:space="preserve">non esistono dati di sicurezza pubblicati sull’uomo, né da studi né da casi clinici.</w:t>
      </w:r>
    </w:p>
    <w:p>
      <w:pPr>
        <w:pStyle w:val="BodyText"/>
      </w:pPr>
      <w:r>
        <w:rPr>
          <w:bCs/>
          <w:b/>
        </w:rPr>
        <w:t xml:space="preserve">Teorici, e da prendere sul serio:</w:t>
      </w:r>
      <w:r>
        <w:t xml:space="preserve"> </w:t>
      </w:r>
      <w:r>
        <w:t xml:space="preserve">il sistema HGF/c-Met non è importante solo per i neuroni. L’attivazione di c-Met stimola divisione cellulare, migrazione cellulare e rimodellamento dei tessuti (Wright 2015, PMID 25649658). Nella ricerca oncologica c-Met è noto come motore della crescita e della diffusione di diversi tumori; diversi farmaci antitumorali autorizzati bloccano proprio questo recettore. Una sostanza che potenzia in modo permanente questo segnale potrebbe teoricamente favorire la crescita di tumori non scoperti. Se ciò valga per il Dihexa non è mai stato studiato: non esistono studi di tossicità a lungo termine in forma accessibile al pubblico. (Maggiori dettagli su segnali di crescita e rischio di cancro nella Parte IV.)</w:t>
      </w:r>
    </w:p>
    <w:p>
      <w:pPr>
        <w:pStyle w:val="BodyText"/>
      </w:pPr>
      <w:r>
        <w:rPr>
          <w:bCs/>
          <w:b/>
        </w:rPr>
        <w:t xml:space="preserve">Mercato grigio:</w:t>
      </w:r>
      <w:r>
        <w:t xml:space="preserve"> </w:t>
      </w:r>
      <w:r>
        <w:t xml:space="preserve">il Dihexa viene venduto online in polvere, capsule o soluzione, in parte da assumere per bocca, in parte da applicare sulla pelle. Contenuto e purezza non sono verificati.</w:t>
      </w:r>
    </w:p>
    <w:bookmarkEnd w:id="644"/>
    <w:bookmarkStart w:id="645" w:name="quadro-normativo-37"/>
    <w:p>
      <w:pPr>
        <w:pStyle w:val="Heading3"/>
      </w:pPr>
      <w:r>
        <w:t xml:space="preserve">Quadro normativo</w:t>
      </w:r>
    </w:p>
    <w:p>
      <w:pPr>
        <w:numPr>
          <w:ilvl w:val="0"/>
          <w:numId w:val="1210"/>
        </w:numPr>
        <w:pStyle w:val="Compact"/>
      </w:pPr>
      <w:r>
        <w:rPr>
          <w:bCs/>
          <w:b/>
        </w:rPr>
        <w:t xml:space="preserve">UE / Austria / Germania:</w:t>
      </w:r>
      <w:r>
        <w:t xml:space="preserve"> </w:t>
      </w:r>
      <w:r>
        <w:t xml:space="preserve">non autorizzato. In quanto sostanza con effetto farmacologico il Dihexa è considerato un medicinale; la vendita per uso umano non è consentita. La dicitura «solo per scopi di ricerca» non cambia nulla (aggiornato al 2026, da verificare).</w:t>
      </w:r>
    </w:p>
    <w:p>
      <w:pPr>
        <w:numPr>
          <w:ilvl w:val="0"/>
          <w:numId w:val="1210"/>
        </w:numPr>
        <w:pStyle w:val="Compact"/>
      </w:pPr>
      <w:r>
        <w:rPr>
          <w:bCs/>
          <w:b/>
        </w:rPr>
        <w:t xml:space="preserve">USA:</w:t>
      </w:r>
      <w:r>
        <w:t xml:space="preserve"> </w:t>
      </w:r>
      <w:r>
        <w:t xml:space="preserve">non autorizzato. Da aprile 2026 non è più nella «categoria 2» della FDA; su un possibile inserimento nell’elenco delle sostanze ammesse per preparazioni magistrali il comitato consultivo PCAC non aveva ancora deliberato a ottobre 2026 (aggiornato a ottobre 2026, da verificare).</w:t>
      </w:r>
    </w:p>
    <w:p>
      <w:pPr>
        <w:numPr>
          <w:ilvl w:val="0"/>
          <w:numId w:val="1210"/>
        </w:numPr>
        <w:pStyle w:val="Compact"/>
      </w:pPr>
      <w:r>
        <w:rPr>
          <w:bCs/>
          <w:b/>
        </w:rPr>
        <w:t xml:space="preserve">Sport:</w:t>
      </w:r>
      <w:r>
        <w:t xml:space="preserve"> </w:t>
      </w:r>
      <w:r>
        <w:t xml:space="preserve">in quanto sostanza non autorizzata, secondo la nostra valutazione rientra nella categoria WADA S0 (aggiornato al 2026, da verificare).</w:t>
      </w:r>
    </w:p>
    <w:bookmarkEnd w:id="645"/>
    <w:bookmarkStart w:id="646" w:name="studi-in-corso-e-prospettive-37"/>
    <w:p>
      <w:pPr>
        <w:pStyle w:val="Heading3"/>
      </w:pPr>
      <w:r>
        <w:t xml:space="preserve">Studi in corso e prospettive</w:t>
      </w:r>
    </w:p>
    <w:p>
      <w:pPr>
        <w:pStyle w:val="FirstParagraph"/>
      </w:pPr>
      <w:r>
        <w:rPr>
          <w:bCs/>
          <w:b/>
        </w:rPr>
        <w:t xml:space="preserve">Assodato:</w:t>
      </w:r>
      <w:r>
        <w:t xml:space="preserve"> </w:t>
      </w:r>
      <w:r>
        <w:t xml:space="preserve">per il Dihexa non è registrato alcuno studio clinico (ricerca di ottobre 2026). L’approccio affine del fosgonimeton è fallito nello studio sull’Alzheimer LIFT-AD.</w:t>
      </w:r>
    </w:p>
    <w:p>
      <w:pPr>
        <w:pStyle w:val="BodyText"/>
      </w:pPr>
      <w:r>
        <w:rPr>
          <w:bCs/>
          <w:b/>
        </w:rPr>
        <w:t xml:space="preserve">Valutazione:</w:t>
      </w:r>
      <w:r>
        <w:t xml:space="preserve"> </w:t>
      </w:r>
      <w:r>
        <w:t xml:space="preserve">senza dati di tossicità e un primo studio sull’uomo il Dihexa resta un principio attivo da laboratorio. Se la valutazione annunciata del PCAC negli Stati Uniti cambierà qualcosa è incerto: riguarderebbe al massimo le preparazioni magistrali in farmacia, non la mancanza di una prova di efficacia.</w:t>
      </w:r>
    </w:p>
    <w:bookmarkEnd w:id="646"/>
    <w:bookmarkStart w:id="647" w:name="conclusione-37"/>
    <w:p>
      <w:pPr>
        <w:pStyle w:val="Heading3"/>
      </w:pPr>
      <w:r>
        <w:t xml:space="preserve">Conclusione</w:t>
      </w:r>
    </w:p>
    <w:p>
      <w:pPr>
        <w:pStyle w:val="FirstParagraph"/>
      </w:pPr>
      <w:r>
        <w:t xml:space="preserve">Il Dihexa è un derivato chimicamente stabilizzato dell’angiotensina IV che in ratti e topi ha favorito apprendimento e formazione di sinapsi, tramite il sistema del fattore di crescita HGF/c-Met. Non è mai stato studiato sull’uomo; un principio attivo affine (fosgonimeton) ha mancato tutti gli endpoint in uno studio sull’Alzheimer con 287 persone. Poiché c-Met favorisce anche la crescita tumorale, esiste un timore plausibile, ma non verificato, riguardo al cancro. I dati non bastano per valutare un qualsiasi beneficio o la sicurezza nell’uomo.</w:t>
      </w:r>
    </w:p>
    <w:bookmarkEnd w:id="647"/>
    <w:bookmarkEnd w:id="648"/>
    <w:bookmarkStart w:id="660" w:name="dsip-peptide-inducente-il-sonno-delta"/>
    <w:p>
      <w:pPr>
        <w:pStyle w:val="Heading2"/>
      </w:pPr>
      <w:r>
        <w:t xml:space="preserve">DSIP (peptide inducente il sonno delta)</w:t>
      </w:r>
    </w:p>
    <w:bookmarkStart w:id="649" w:name="scheda-38"/>
    <w:p>
      <w:pPr>
        <w:pStyle w:val="Heading3"/>
      </w:pPr>
      <w:r>
        <w:t xml:space="preserve">Scheda</w:t>
      </w:r>
    </w:p>
    <w:p>
      <w:pPr>
        <w:numPr>
          <w:ilvl w:val="0"/>
          <w:numId w:val="1211"/>
        </w:numPr>
        <w:pStyle w:val="Compact"/>
      </w:pPr>
      <w:r>
        <w:rPr>
          <w:bCs/>
          <w:b/>
        </w:rPr>
        <w:t xml:space="preserve">Tipo e struttura:</w:t>
      </w:r>
      <w:r>
        <w:t xml:space="preserve"> </w:t>
      </w:r>
      <w:r>
        <w:t xml:space="preserve">nonapeptide di nove amminoacidi (Trp-Ala-Gly-Gly-Asp-Ala-Ser-Gly-Glu); denominazione comune internazionale emideltide.</w:t>
      </w:r>
    </w:p>
    <w:p>
      <w:pPr>
        <w:numPr>
          <w:ilvl w:val="0"/>
          <w:numId w:val="1211"/>
        </w:numPr>
        <w:pStyle w:val="Compact"/>
      </w:pPr>
      <w:r>
        <w:rPr>
          <w:bCs/>
          <w:b/>
        </w:rPr>
        <w:t xml:space="preserve">Origine:</w:t>
      </w:r>
      <w:r>
        <w:t xml:space="preserve"> </w:t>
      </w:r>
      <w:r>
        <w:t xml:space="preserve">isolato nel 1977 da un gruppo di lavoro di Basilea dal sangue venoso cerebrale di conigli indotti al sonno profondo tramite stimolazione elettrica. Un gene, una proteina precursore o un recettore per il DSIP non sono stati trovati fino a oggi.</w:t>
      </w:r>
    </w:p>
    <w:p>
      <w:pPr>
        <w:numPr>
          <w:ilvl w:val="0"/>
          <w:numId w:val="1211"/>
        </w:numPr>
        <w:pStyle w:val="Compact"/>
      </w:pPr>
      <w:r>
        <w:rPr>
          <w:bCs/>
          <w:b/>
        </w:rPr>
        <w:t xml:space="preserve">Principio d’azione:</w:t>
      </w:r>
      <w:r>
        <w:t xml:space="preserve"> </w:t>
      </w:r>
      <w:r>
        <w:t xml:space="preserve">come «sostanza del sonno» endogena doveva favorire il sonno profondo (sonno delta con onde EEG lente); in seguito sono stati ipotizzati effetti su ormoni dello stress, dolore e sintomi di astinenza.</w:t>
      </w:r>
    </w:p>
    <w:p>
      <w:pPr>
        <w:numPr>
          <w:ilvl w:val="0"/>
          <w:numId w:val="1211"/>
        </w:numPr>
        <w:pStyle w:val="Compact"/>
      </w:pPr>
      <w:r>
        <w:rPr>
          <w:bCs/>
          <w:b/>
        </w:rPr>
        <w:t xml:space="preserve">Autorizzazione UE:</w:t>
      </w:r>
      <w:r>
        <w:t xml:space="preserve"> </w:t>
      </w:r>
      <w:r>
        <w:t xml:space="preserve">no.</w:t>
      </w:r>
    </w:p>
    <w:p>
      <w:pPr>
        <w:numPr>
          <w:ilvl w:val="0"/>
          <w:numId w:val="1211"/>
        </w:numPr>
        <w:pStyle w:val="Compact"/>
      </w:pPr>
      <w:r>
        <w:rPr>
          <w:bCs/>
          <w:b/>
        </w:rPr>
        <w:t xml:space="preserve">Autorizzazione USA:</w:t>
      </w:r>
      <w:r>
        <w:t xml:space="preserve"> </w:t>
      </w:r>
      <w:r>
        <w:t xml:space="preserve">no. Nell’aprile 2026 l’emideltide è stata cancellata dalla «categoria 2» della FDA; nel luglio 2026 il comitato consultivo PCAC ha votato con 6 voti contro 7</w:t>
      </w:r>
      <w:r>
        <w:t xml:space="preserve"> </w:t>
      </w:r>
      <w:r>
        <w:rPr>
          <w:bCs/>
          <w:b/>
        </w:rPr>
        <w:t xml:space="preserve">contro</w:t>
      </w:r>
      <w:r>
        <w:t xml:space="preserve"> </w:t>
      </w:r>
      <w:r>
        <w:t xml:space="preserve">l’inserimento nell’elenco delle sostanze ammesse per preparazioni magistrali (aggiornato a ottobre 2026, da verificare).</w:t>
      </w:r>
    </w:p>
    <w:p>
      <w:pPr>
        <w:numPr>
          <w:ilvl w:val="0"/>
          <w:numId w:val="1211"/>
        </w:numPr>
        <w:pStyle w:val="Compact"/>
      </w:pPr>
      <w:r>
        <w:rPr>
          <w:bCs/>
          <w:b/>
        </w:rPr>
        <w:t xml:space="preserve">Russia e Paesi vicini:</w:t>
      </w:r>
      <w:r>
        <w:t xml:space="preserve"> </w:t>
      </w:r>
      <w:r>
        <w:t xml:space="preserve">preparati di DSIP (p. es. Deltaran, Deltalicin) sono stati usati lì in studi e nella pratica clinica.</w:t>
      </w:r>
    </w:p>
    <w:p>
      <w:pPr>
        <w:numPr>
          <w:ilvl w:val="0"/>
          <w:numId w:val="1211"/>
        </w:numPr>
        <w:pStyle w:val="Compact"/>
      </w:pPr>
      <w:r>
        <w:rPr>
          <w:bCs/>
          <w:b/>
        </w:rPr>
        <w:t xml:space="preserve">WADA:</w:t>
      </w:r>
      <w:r>
        <w:t xml:space="preserve"> </w:t>
      </w:r>
      <w:r>
        <w:t xml:space="preserve">non elencato per nome (aggiornato al 2026, da verificare).</w:t>
      </w:r>
    </w:p>
    <w:p>
      <w:pPr>
        <w:numPr>
          <w:ilvl w:val="0"/>
          <w:numId w:val="1211"/>
        </w:numPr>
        <w:pStyle w:val="Compact"/>
      </w:pPr>
      <w:r>
        <w:rPr>
          <w:bCs/>
          <w:b/>
        </w:rPr>
        <w:t xml:space="preserve">Livello di evidenza:</w:t>
      </w:r>
      <w:r>
        <w:t xml:space="preserve"> </w:t>
      </w:r>
      <w:r>
        <w:rPr>
          <w:bCs/>
          <w:b/>
        </w:rPr>
        <w:t xml:space="preserve">C</w:t>
      </w:r>
      <w:r>
        <w:t xml:space="preserve"> </w:t>
      </w:r>
      <w:r>
        <w:t xml:space="preserve">– solo studi molto piccoli, condotti per lo più negli anni Ottanta; quelli metodologicamente migliori non hanno trovato alcun beneficio clinicamente rilevante.</w:t>
      </w:r>
    </w:p>
    <w:bookmarkEnd w:id="649"/>
    <w:bookmarkStart w:id="650" w:name="come-dovrebbe-agire-38"/>
    <w:p>
      <w:pPr>
        <w:pStyle w:val="Heading3"/>
      </w:pPr>
      <w:r>
        <w:t xml:space="preserve">Come dovrebbe agire</w:t>
      </w:r>
    </w:p>
    <w:p>
      <w:pPr>
        <w:pStyle w:val="FirstParagraph"/>
      </w:pPr>
      <w:r>
        <w:t xml:space="preserve">L’idea era semplice e allettante: se durante il sonno il cervello rilascia nel sangue una sostanza che in altri animali provoca il sonno, questa potrebbe essere un sonnifero naturale, senza gli svantaggi dei tranquillanti. I ricercatori di Basilea trasferirono il sangue di conigli addormentati ad animali svegli e ne isolarono il peptide che ritenevano responsabile dell’effetto (Monnier 1977, PMID 862769).</w:t>
      </w:r>
    </w:p>
    <w:p>
      <w:pPr>
        <w:pStyle w:val="BodyText"/>
      </w:pPr>
      <w:r>
        <w:t xml:space="preserve">La speranza non si è avverata. Una rassegna del 2006 definisce il DSIP un «enigma ancora irrisolto»: il legame con il sonno sarebbe «documentato in modo estremamente scarso», perché non sono stati trovati né il gene corrispondente né un recettore. Negli esperimenti sugli animali erano piuttosto determinate varianti artificiali a favorire il sonno profondo, più del DSIP stesso. Gli autori ipotizzano che un peptide simile al DSIP finora sconosciuto possa essere responsabile degli effetti osservati (Kovalzon 2006, PMID 16539679).</w:t>
      </w:r>
    </w:p>
    <w:p>
      <w:pPr>
        <w:pStyle w:val="BodyText"/>
      </w:pPr>
      <w:r>
        <w:t xml:space="preserve">Altri effetti ipotizzati, su ormoni dello stress, percezione del dolore, sistema degli oppioidi ed enzimi antiossidanti, provengono prevalentemente da esperimenti sugli animali. Nelle pecore il DSIP marcato ha attraversato la barriera tra sangue e liquor in misura da scarsa a moderata (Zlokovic 1988, PMID 3420012).</w:t>
      </w:r>
    </w:p>
    <w:bookmarkEnd w:id="650"/>
    <w:bookmarkStart w:id="654" w:name="studi-sulluomo-38"/>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18 pubblicazioni classificate come studi sull’uomo; una di queste, a un esame più attento, riguarda un altro tema (chirurgia della colonna vertebrale). Quasi tutte risalgono agli anni dal 1981 al 1998 e avevano ciascuna tra 1 e 16 partecipanti nelle parti controllate con placebo. Su ClinicalTrials.gov la ricerca ha dato un risultato che non si riferisce al DSIP; uno studio registrato sul DSIP non esiste.</w:t>
      </w:r>
    </w:p>
    <w:bookmarkStart w:id="651" w:name="disturbi-del-sonno"/>
    <w:p>
      <w:pPr>
        <w:pStyle w:val="Heading4"/>
      </w:pPr>
      <w:r>
        <w:t xml:space="preserve">Disturbi del sonno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Schneider-Helmert 1981, PMID 6895513</w:t>
            </w:r>
          </w:p>
        </w:tc>
        <w:tc>
          <w:tcPr/>
          <w:p>
            <w:pPr>
              <w:pStyle w:val="Compact"/>
              <w:jc w:val="left"/>
            </w:pPr>
            <w:r>
              <w:t xml:space="preserve">6 persone sane, doppio cieco, crossover contro placebo</w:t>
            </w:r>
          </w:p>
        </w:tc>
        <w:tc>
          <w:tcPr/>
          <w:p>
            <w:pPr>
              <w:pStyle w:val="Compact"/>
              <w:jc w:val="left"/>
            </w:pPr>
            <w:r>
              <w:t xml:space="preserve">infusione singola</w:t>
            </w:r>
          </w:p>
        </w:tc>
        <w:tc>
          <w:tcPr/>
          <w:p>
            <w:pPr>
              <w:pStyle w:val="Compact"/>
              <w:jc w:val="left"/>
            </w:pPr>
            <w:r>
              <w:t xml:space="preserve">tempo di sonno più lungo del 59% in 130 minuti; nessuna sedazione classica</w:t>
            </w:r>
          </w:p>
        </w:tc>
      </w:tr>
      <w:tr>
        <w:tc>
          <w:tcPr/>
          <w:p>
            <w:pPr>
              <w:pStyle w:val="Compact"/>
              <w:jc w:val="left"/>
            </w:pPr>
            <w:r>
              <w:t xml:space="preserve">Schneider-Helmert 1981, PMID 7028502</w:t>
            </w:r>
          </w:p>
        </w:tc>
        <w:tc>
          <w:tcPr/>
          <w:p>
            <w:pPr>
              <w:pStyle w:val="Compact"/>
              <w:jc w:val="left"/>
            </w:pPr>
            <w:r>
              <w:t xml:space="preserve">6 persone con insonnia cronica</w:t>
            </w:r>
          </w:p>
        </w:tc>
        <w:tc>
          <w:tcPr/>
          <w:p>
            <w:pPr>
              <w:pStyle w:val="Compact"/>
              <w:jc w:val="left"/>
            </w:pPr>
            <w:r>
              <w:t xml:space="preserve">somministrazione singola</w:t>
            </w:r>
          </w:p>
        </w:tc>
        <w:tc>
          <w:tcPr/>
          <w:p>
            <w:pPr>
              <w:pStyle w:val="Compact"/>
              <w:jc w:val="left"/>
            </w:pPr>
            <w:r>
              <w:t xml:space="preserve">sonno più lungo e meno interrotto</w:t>
            </w:r>
          </w:p>
        </w:tc>
      </w:tr>
      <w:tr>
        <w:tc>
          <w:tcPr/>
          <w:p>
            <w:pPr>
              <w:pStyle w:val="Compact"/>
              <w:jc w:val="left"/>
            </w:pPr>
            <w:r>
              <w:t xml:space="preserve">Schneider-Helmert 1987, PMID 3622582</w:t>
            </w:r>
          </w:p>
        </w:tc>
        <w:tc>
          <w:tcPr/>
          <w:p>
            <w:pPr>
              <w:pStyle w:val="Compact"/>
              <w:jc w:val="left"/>
            </w:pPr>
            <w:r>
              <w:t xml:space="preserve">14 persone con grave insonnia cronica, doppio cieco contro placebo</w:t>
            </w:r>
          </w:p>
        </w:tc>
        <w:tc>
          <w:tcPr/>
          <w:p>
            <w:pPr>
              <w:pStyle w:val="Compact"/>
              <w:jc w:val="left"/>
            </w:pPr>
            <w:r>
              <w:t xml:space="preserve">7 notti</w:t>
            </w:r>
          </w:p>
        </w:tc>
        <w:tc>
          <w:tcPr/>
          <w:p>
            <w:pPr>
              <w:pStyle w:val="Compact"/>
              <w:jc w:val="left"/>
            </w:pPr>
            <w:r>
              <w:t xml:space="preserve">efficienza del sonno e prestazioni diurne, secondo gli autori, al livello delle persone sane</w:t>
            </w:r>
          </w:p>
        </w:tc>
      </w:tr>
      <w:tr>
        <w:tc>
          <w:tcPr/>
          <w:p>
            <w:pPr>
              <w:pStyle w:val="Compact"/>
              <w:jc w:val="left"/>
            </w:pPr>
            <w:r>
              <w:t xml:space="preserve">Monti 1987, PMID 3583493</w:t>
            </w:r>
          </w:p>
        </w:tc>
        <w:tc>
          <w:tcPr/>
          <w:p>
            <w:pPr>
              <w:pStyle w:val="Compact"/>
              <w:jc w:val="left"/>
            </w:pPr>
            <w:r>
              <w:t xml:space="preserve">persone con insonnia cronica, doppio cieco, crossover</w:t>
            </w:r>
          </w:p>
        </w:tc>
        <w:tc>
          <w:tcPr/>
          <w:p>
            <w:pPr>
              <w:pStyle w:val="Compact"/>
              <w:jc w:val="left"/>
            </w:pPr>
            <w:r>
              <w:t xml:space="preserve">4 notti</w:t>
            </w:r>
          </w:p>
        </w:tc>
        <w:tc>
          <w:tcPr/>
          <w:p>
            <w:pPr>
              <w:pStyle w:val="Compact"/>
              <w:jc w:val="left"/>
            </w:pPr>
            <w:r>
              <w:t xml:space="preserve">miglioramenti «di scarsa rilevanza clinica»; differenze già presenti prima del trattamento</w:t>
            </w:r>
          </w:p>
        </w:tc>
      </w:tr>
      <w:tr>
        <w:tc>
          <w:tcPr/>
          <w:p>
            <w:pPr>
              <w:pStyle w:val="Compact"/>
              <w:jc w:val="left"/>
            </w:pPr>
            <w:r>
              <w:t xml:space="preserve">Bes 1992, PMID 1299794</w:t>
            </w:r>
          </w:p>
        </w:tc>
        <w:tc>
          <w:tcPr/>
          <w:p>
            <w:pPr>
              <w:pStyle w:val="Compact"/>
              <w:jc w:val="left"/>
            </w:pPr>
            <w:r>
              <w:t xml:space="preserve">16 persone con insonnia cronica, doppio cieco contro placebo</w:t>
            </w:r>
          </w:p>
        </w:tc>
        <w:tc>
          <w:tcPr/>
          <w:p>
            <w:pPr>
              <w:pStyle w:val="Compact"/>
              <w:jc w:val="left"/>
            </w:pPr>
            <w:r>
              <w:t xml:space="preserve">3 notti</w:t>
            </w:r>
          </w:p>
        </w:tc>
        <w:tc>
          <w:tcPr/>
          <w:p>
            <w:pPr>
              <w:pStyle w:val="Compact"/>
              <w:jc w:val="left"/>
            </w:pPr>
            <w:r>
              <w:t xml:space="preserve">effetti deboli, in parte spiegabili con fluttuazioni casuali; «nessun beneficio terapeutico rilevante»</w:t>
            </w:r>
          </w:p>
        </w:tc>
      </w:tr>
    </w:tbl>
    <w:p>
      <w:pPr>
        <w:pStyle w:val="BodyText"/>
      </w:pPr>
      <w:r>
        <w:t xml:space="preserve">I primi studi provenivano quasi tutti da un unico gruppo di ricerca di Basilea ed erano tutti positivi. In sei volontari sani un’infusione mattutina ha prolungato il tempo di sonno nelle due ore abbondanti successive del 59%, senza che i partecipanti apparissero sedati in senso classico (Schneider-Helmert 1981, PMID 6895513). In 14 persone con grave insonnia, dopo sette notti efficienza del sonno e prestazioni diurne hanno raggiunto, secondo gli autori, il livello delle persone sane di controllo (Schneider-Helmert 1987, PMID 3622582).</w:t>
      </w:r>
    </w:p>
    <w:p>
      <w:pPr>
        <w:pStyle w:val="BodyText"/>
      </w:pPr>
      <w:r>
        <w:t xml:space="preserve">Gruppi indipendenti non hanno potuto confermarlo. Uno studio ha trovato sì più sonno totale e NREM, ma le differenze significative rispetto al placebo (sonno NREM e stadio 2 del sonno) esistevano già prima del trattamento; gli autori hanno giudicato il miglioramento poco rilevante dal punto di vista clinico (Monti 1987, PMID 3583493). Un altro studio con 16 persone ha trovato effetti statisticamente significativi, ma deboli, su efficienza del sonno e tempo di addormentamento, in parte spiegabili con una variazione casuale nel gruppo placebo; la qualità soggettiva del sonno non è cambiata. La conclusione: un trattamento breve con DSIP probabilmente non ha un beneficio terapeutico rilevante (Bes 1992, PMID 1299794).</w:t>
      </w:r>
    </w:p>
    <w:p>
      <w:pPr>
        <w:pStyle w:val="BodyText"/>
      </w:pPr>
      <w:r>
        <w:t xml:space="preserve">Questo schema, resoconti iniziali entusiastici e repliche deludenti, è tipico delle sostanze il cui effetto si basa su studi molto piccoli.</w:t>
      </w:r>
    </w:p>
    <w:bookmarkEnd w:id="651"/>
    <w:bookmarkStart w:id="652" w:name="astinenza-dolore-e-altri-impieghi"/>
    <w:p>
      <w:pPr>
        <w:pStyle w:val="Heading4"/>
      </w:pPr>
      <w:r>
        <w:t xml:space="preserve">Astinenza, dolore e altri impieghi</w:t>
      </w:r>
    </w:p>
    <w:p>
      <w:pPr>
        <w:pStyle w:val="FirstParagraph"/>
      </w:pPr>
      <w:r>
        <w:t xml:space="preserve">Negli anni Ottanta il DSIP è stato impiegato in 107 persone ricoverate in astinenza da alcol o da oppiacei; secondo la valutazione medica i sintomi di astinenza sono scomparsi o migliorati nettamente nel 97% dei dipendenti da oppiacei e nell’87% dei dipendenti da alcol. Non c’era un gruppo di controllo, e una parte delle persone non ha potuto essere valutata (Dick 1984, PMID 6548969). Un successivo studio in aperto sulla disintossicazione da oppioidi è stato pubblicato solo come breve comunicazione senza abstract (Backmund 1998, PMID 9617990). Altri resoconti isolati riguardano sette persone con dolore cronico (Larbig 1984, PMID 6548970) e un uomo con narcolessia (Schneider-Helmert 1984, PMID 6548968). Uno studio ha esaminato un preparato di DSIP per somministrazione nasale (Deltalicin) nella retinopatia diabetica, in cui sono migliorate le risposte elettriche della retina agli stimoli (Kresiun 2014, PMID 25739189).</w:t>
      </w:r>
    </w:p>
    <w:bookmarkEnd w:id="652"/>
    <w:bookmarkStart w:id="653" w:name="ormoni-e-anestesia"/>
    <w:p>
      <w:pPr>
        <w:pStyle w:val="Heading4"/>
      </w:pPr>
      <w:r>
        <w:t xml:space="preserve">Ormoni e anestesia</w:t>
      </w:r>
    </w:p>
    <w:p>
      <w:pPr>
        <w:pStyle w:val="FirstParagraph"/>
      </w:pPr>
      <w:r>
        <w:t xml:space="preserve">Diversi piccoli studi su persone sane hanno esaminato se il DSIP influenzi gli ormoni dello stress. Uno studio con undici uomini ha trovato dopo un’iniezione meno ACTH nel sangue, ma valori di cortisolo invariati (Bjartell 1989, PMID 2554357); un altro con complessivamente 20 uomini non ha trovato alcuna influenza su ACTH e cortisolo (Späth-Schwalbe 1995, PMID 7777652). Su ormone della crescita e prolattina il DSIP non ha avuto alcun effetto nelle donne (Giusti 1993, PMID 8475226).</w:t>
      </w:r>
    </w:p>
    <w:p>
      <w:pPr>
        <w:pStyle w:val="BodyText"/>
      </w:pPr>
      <w:r>
        <w:t xml:space="preserve">Degno di nota è uno studio su 24 donne durante un’anestesia: invece di approfondire l’anestesia, come ci si aspetterebbe da una «sostanza del sonno naturale», il DSIP ha aumentato la frequenza cardiaca e, paradossalmente, ridotto il ritmo delta all’EEG (Pomfrett 2009, PMID 19142086).</w:t>
      </w:r>
    </w:p>
    <w:bookmarkEnd w:id="653"/>
    <w:bookmarkEnd w:id="654"/>
    <w:bookmarkStart w:id="655" w:name="studi-su-animali-e-in-laboratorio-38"/>
    <w:p>
      <w:pPr>
        <w:pStyle w:val="Heading3"/>
      </w:pPr>
      <w:r>
        <w:t xml:space="preserve">Studi su animali e in laboratorio</w:t>
      </w:r>
    </w:p>
    <w:p>
      <w:pPr>
        <w:numPr>
          <w:ilvl w:val="0"/>
          <w:numId w:val="1212"/>
        </w:numPr>
        <w:pStyle w:val="Compact"/>
      </w:pPr>
      <w:r>
        <w:t xml:space="preserve">In conigli e ratti studi iniziali hanno descritto effetti favorevoli al sonno, che però non è stato possibile ripetere in modo costante (Kovalzon 2006, PMID 16539679).</w:t>
      </w:r>
    </w:p>
    <w:p>
      <w:pPr>
        <w:numPr>
          <w:ilvl w:val="0"/>
          <w:numId w:val="1212"/>
        </w:numPr>
        <w:pStyle w:val="Compact"/>
      </w:pPr>
      <w:r>
        <w:t xml:space="preserve">Nei topi, il 10% più longevo degli animali che hanno ricevuto per tutta la vita un preparato russo di DSIP è vissuto il 16% più a lungo degli animali di controllo; i tumori spontanei sono comparsi più tardi (Voĭtenkov 2009, PMID 20405733). Questo lavoro proviene dall’ambiente della gerontologia russa che studia anche l’Epitalon (si veda il relativo capitolo).</w:t>
      </w:r>
    </w:p>
    <w:p>
      <w:pPr>
        <w:numPr>
          <w:ilvl w:val="0"/>
          <w:numId w:val="1212"/>
        </w:numPr>
        <w:pStyle w:val="Compact"/>
      </w:pPr>
      <w:r>
        <w:t xml:space="preserve">Altri studi animali descrivono effetti su resistenza allo stress, percezione del dolore ed enzimi antiossidanti.</w:t>
      </w:r>
    </w:p>
    <w:bookmarkEnd w:id="655"/>
    <w:bookmarkStart w:id="656" w:name="rischi-ed-effetti-collaterali-38"/>
    <w:p>
      <w:pPr>
        <w:pStyle w:val="Heading3"/>
      </w:pPr>
      <w:r>
        <w:t xml:space="preserve">Rischi ed effetti collaterali</w:t>
      </w:r>
    </w:p>
    <w:p>
      <w:pPr>
        <w:pStyle w:val="FirstParagraph"/>
      </w:pPr>
      <w:r>
        <w:rPr>
          <w:bCs/>
          <w:b/>
        </w:rPr>
        <w:t xml:space="preserve">Documentati:</w:t>
      </w:r>
      <w:r>
        <w:t xml:space="preserve"> </w:t>
      </w:r>
      <w:r>
        <w:t xml:space="preserve">nei piccoli studi il DSIP è stato descritto come ben tollerato; sporadicamente si è verificato mal di testa (Dick 1984, PMID 6548969). Sotto anestesia ha aumentato la frequenza cardiaca e ridotto la variabilità della frequenza cardiaca (Pomfrett 2009, PMID 19142086). Non esistono dati di sicurezza sistematici per periodi superiori a pochi giorni.</w:t>
      </w:r>
    </w:p>
    <w:p>
      <w:pPr>
        <w:pStyle w:val="BodyText"/>
      </w:pPr>
      <w:r>
        <w:rPr>
          <w:bCs/>
          <w:b/>
        </w:rPr>
        <w:t xml:space="preserve">Teorici:</w:t>
      </w:r>
      <w:r>
        <w:t xml:space="preserve"> </w:t>
      </w:r>
      <w:r>
        <w:t xml:space="preserve">poiché né il recettore né la funzione naturale sono chiariti, effetti e interazioni, per esempio con sonniferi, alcol o oppioidi, sono difficilmente prevedibili.</w:t>
      </w:r>
    </w:p>
    <w:p>
      <w:pPr>
        <w:pStyle w:val="BodyText"/>
      </w:pPr>
      <w:r>
        <w:rPr>
          <w:bCs/>
          <w:b/>
        </w:rPr>
        <w:t xml:space="preserve">Mercato grigio:</w:t>
      </w:r>
      <w:r>
        <w:t xml:space="preserve"> </w:t>
      </w:r>
      <w:r>
        <w:t xml:space="preserve">il DSIP viene venduto online in polvere per iniezione e pubblicizzato come sonnifero. I preparati usati negli studi venivano infusi in vena; mancano dati sull’iniezione sottocutanea. Purezza e contenuto dei prodotti del mercato grigio non sono verificati.</w:t>
      </w:r>
    </w:p>
    <w:p>
      <w:pPr>
        <w:pStyle w:val="BodyText"/>
      </w:pPr>
      <w:r>
        <w:rPr>
          <w:bCs/>
          <w:b/>
        </w:rPr>
        <w:t xml:space="preserve">Importante:</w:t>
      </w:r>
      <w:r>
        <w:t xml:space="preserve"> </w:t>
      </w:r>
      <w:r>
        <w:t xml:space="preserve">per l’insonnia cronica esistono trattamenti efficaci e ben studiati, primo fra tutti la terapia cognitivo-comportamentale per l’insonnia.</w:t>
      </w:r>
    </w:p>
    <w:bookmarkEnd w:id="656"/>
    <w:bookmarkStart w:id="657" w:name="quadro-normativo-38"/>
    <w:p>
      <w:pPr>
        <w:pStyle w:val="Heading3"/>
      </w:pPr>
      <w:r>
        <w:t xml:space="preserve">Quadro normativo</w:t>
      </w:r>
    </w:p>
    <w:p>
      <w:pPr>
        <w:numPr>
          <w:ilvl w:val="0"/>
          <w:numId w:val="1213"/>
        </w:numPr>
        <w:pStyle w:val="Compact"/>
      </w:pPr>
      <w:r>
        <w:rPr>
          <w:bCs/>
          <w:b/>
        </w:rPr>
        <w:t xml:space="preserve">UE / Austria / Germania:</w:t>
      </w:r>
      <w:r>
        <w:t xml:space="preserve"> </w:t>
      </w:r>
      <w:r>
        <w:t xml:space="preserve">non autorizzato; in quanto sostanza con effetto farmacologico il DSIP è considerato un medicinale, e la vendita per uso umano non è consentita (aggiornato al 2026, da verificare).</w:t>
      </w:r>
    </w:p>
    <w:p>
      <w:pPr>
        <w:numPr>
          <w:ilvl w:val="0"/>
          <w:numId w:val="1213"/>
        </w:numPr>
        <w:pStyle w:val="Compact"/>
      </w:pPr>
      <w:r>
        <w:rPr>
          <w:bCs/>
          <w:b/>
        </w:rPr>
        <w:t xml:space="preserve">USA:</w:t>
      </w:r>
      <w:r>
        <w:t xml:space="preserve"> </w:t>
      </w:r>
      <w:r>
        <w:t xml:space="preserve">non autorizzato; nel luglio 2026 il comitato consultivo PCAC si è espresso di stretta misura contro l’ammissione per le preparazioni magistrali in farmacia. La decisione definitiva della FDA era ancora in sospeso alla chiusura redazionale (aggiornato a ottobre 2026, da verificare).</w:t>
      </w:r>
    </w:p>
    <w:p>
      <w:pPr>
        <w:numPr>
          <w:ilvl w:val="0"/>
          <w:numId w:val="1213"/>
        </w:numPr>
        <w:pStyle w:val="Compact"/>
      </w:pPr>
      <w:r>
        <w:rPr>
          <w:bCs/>
          <w:b/>
        </w:rPr>
        <w:t xml:space="preserve">Sport:</w:t>
      </w:r>
      <w:r>
        <w:t xml:space="preserve"> </w:t>
      </w:r>
      <w:r>
        <w:t xml:space="preserve">non elencato per nome nella lista WADA (aggiornato al 2026, da verificare).</w:t>
      </w:r>
    </w:p>
    <w:bookmarkEnd w:id="657"/>
    <w:bookmarkStart w:id="658" w:name="studi-in-corso-e-prospettive-38"/>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DSIP (ricerca di ottobre 2026). Dagli anni Novanta non si sono praticamente aggiunti nuovi dati clinici.</w:t>
      </w:r>
    </w:p>
    <w:p>
      <w:pPr>
        <w:pStyle w:val="BodyText"/>
      </w:pPr>
      <w:r>
        <w:rPr>
          <w:bCs/>
          <w:b/>
        </w:rPr>
        <w:t xml:space="preserve">Valutazione:</w:t>
      </w:r>
      <w:r>
        <w:t xml:space="preserve"> </w:t>
      </w:r>
      <w:r>
        <w:t xml:space="preserve">senza chiarezza su recettore e funzione naturale e senza uno studio moderno sul sonno sufficientemente ampio, non c’è da attendersi che il DSIP ritorni come medicinale.</w:t>
      </w:r>
    </w:p>
    <w:bookmarkEnd w:id="658"/>
    <w:bookmarkStart w:id="659" w:name="conclusione-38"/>
    <w:p>
      <w:pPr>
        <w:pStyle w:val="Heading3"/>
      </w:pPr>
      <w:r>
        <w:t xml:space="preserve">Conclusione</w:t>
      </w:r>
    </w:p>
    <w:p>
      <w:pPr>
        <w:pStyle w:val="FirstParagraph"/>
      </w:pPr>
      <w:r>
        <w:t xml:space="preserve">Il DSIP è stato scoperto nel 1977 come possibile «sostanza del sonno» endogena, ma gene, recettore e funzione naturale sono tuttora sconosciuti. I primi studi di un gruppo di Basilea, con sei-14 persone ciascuno, riferivano un sonno migliore; studi indipendenti controllati con placebo hanno trovato solo effetti deboli e poco rilevanti dal punto di vista clinico. Dati più recenti sull’uomo quasi non esistono. I dati non bastano per considerare il DSIP un sonnifero efficace o sicuro.</w:t>
      </w:r>
    </w:p>
    <w:bookmarkEnd w:id="659"/>
    <w:bookmarkEnd w:id="660"/>
    <w:bookmarkStart w:id="672" w:name="epitalon-epithalon"/>
    <w:p>
      <w:pPr>
        <w:pStyle w:val="Heading2"/>
      </w:pPr>
      <w:r>
        <w:t xml:space="preserve">Epitalon (Epithalon)</w:t>
      </w:r>
    </w:p>
    <w:bookmarkStart w:id="661" w:name="scheda-39"/>
    <w:p>
      <w:pPr>
        <w:pStyle w:val="Heading3"/>
      </w:pPr>
      <w:r>
        <w:t xml:space="preserve">Scheda</w:t>
      </w:r>
    </w:p>
    <w:p>
      <w:pPr>
        <w:numPr>
          <w:ilvl w:val="0"/>
          <w:numId w:val="1214"/>
        </w:numPr>
        <w:pStyle w:val="Compact"/>
      </w:pPr>
      <w:r>
        <w:rPr>
          <w:bCs/>
          <w:b/>
        </w:rPr>
        <w:t xml:space="preserve">Tipo e struttura:</w:t>
      </w:r>
      <w:r>
        <w:t xml:space="preserve"> </w:t>
      </w:r>
      <w:r>
        <w:t xml:space="preserve">tetrapeptide sintetico di quattro amminoacidi: Ala-Glu-Asp-Gly (abbreviato AEDG). Grafie: Epitalon, Epithalon, Epithalone.</w:t>
      </w:r>
    </w:p>
    <w:p>
      <w:pPr>
        <w:numPr>
          <w:ilvl w:val="0"/>
          <w:numId w:val="1214"/>
        </w:numPr>
        <w:pStyle w:val="Compact"/>
      </w:pPr>
      <w:r>
        <w:rPr>
          <w:bCs/>
          <w:b/>
        </w:rPr>
        <w:t xml:space="preserve">Origine:</w:t>
      </w:r>
      <w:r>
        <w:t xml:space="preserve"> </w:t>
      </w:r>
      <w:r>
        <w:t xml:space="preserve">sviluppato negli anni Ottanta e Novanta presso l’Istituto di bioregolazione e gerontologia di San Pietroburgo sotto la guida di Vladimir Chavinson (negli articoli scientifici: Khavinson). La sequenza amminoacidica è stata ricavata dalla composizione dell’</w:t>
      </w:r>
      <w:r>
        <w:rPr>
          <w:bCs/>
          <w:b/>
        </w:rPr>
        <w:t xml:space="preserve">Epithalamin</w:t>
      </w:r>
      <w:r>
        <w:t xml:space="preserve">, un estratto della ghiandola pineale (epifisi) di bovini. Epitalon ed Epithalamin sono sostanze chimicamente diverse.</w:t>
      </w:r>
    </w:p>
    <w:p>
      <w:pPr>
        <w:numPr>
          <w:ilvl w:val="0"/>
          <w:numId w:val="1214"/>
        </w:numPr>
        <w:pStyle w:val="Compact"/>
      </w:pPr>
      <w:r>
        <w:rPr>
          <w:bCs/>
          <w:b/>
        </w:rPr>
        <w:t xml:space="preserve">Principio d’azione:</w:t>
      </w:r>
      <w:r>
        <w:t xml:space="preserve"> </w:t>
      </w:r>
      <w:r>
        <w:t xml:space="preserve">come «bioregolatore peptidico» dovrebbe normalizzare la funzione della ghiandola pineale, favorire la produzione di melatonina in età avanzata e attivare l’enzima telomerasi, che allunga le estremità dei cromosomi (telomeri).</w:t>
      </w:r>
    </w:p>
    <w:p>
      <w:pPr>
        <w:numPr>
          <w:ilvl w:val="0"/>
          <w:numId w:val="1214"/>
        </w:numPr>
        <w:pStyle w:val="Compact"/>
      </w:pPr>
      <w:r>
        <w:rPr>
          <w:bCs/>
          <w:b/>
        </w:rPr>
        <w:t xml:space="preserve">Autorizzazione UE:</w:t>
      </w:r>
      <w:r>
        <w:t xml:space="preserve"> </w:t>
      </w:r>
      <w:r>
        <w:t xml:space="preserve">no.</w:t>
      </w:r>
    </w:p>
    <w:p>
      <w:pPr>
        <w:numPr>
          <w:ilvl w:val="0"/>
          <w:numId w:val="1214"/>
        </w:numPr>
        <w:pStyle w:val="Compact"/>
      </w:pPr>
      <w:r>
        <w:rPr>
          <w:bCs/>
          <w:b/>
        </w:rPr>
        <w:t xml:space="preserve">Autorizzazione USA:</w:t>
      </w:r>
      <w:r>
        <w:t xml:space="preserve"> </w:t>
      </w:r>
      <w:r>
        <w:t xml:space="preserve">no. Nell’aprile 2026 è stato cancellato dalla «categoria 2» della FDA; nel luglio 2026 il comitato consultivo PCAC ha votato con 7 voti contro 4 a favore dell’inserimento nell’elenco delle sostanze ammesse per preparazioni magistrali, contro la raccomandazione degli esperti della FDA. Non si tratta di un’autorizzazione come medicinale (aggiornato a ottobre 2026, da verificare).</w:t>
      </w:r>
    </w:p>
    <w:p>
      <w:pPr>
        <w:numPr>
          <w:ilvl w:val="0"/>
          <w:numId w:val="1214"/>
        </w:numPr>
        <w:pStyle w:val="Compact"/>
      </w:pPr>
      <w:r>
        <w:rPr>
          <w:bCs/>
          <w:b/>
        </w:rPr>
        <w:t xml:space="preserve">WADA:</w:t>
      </w:r>
      <w:r>
        <w:t xml:space="preserve"> </w:t>
      </w:r>
      <w:r>
        <w:t xml:space="preserve">non elencato per nome; in quanto sostanza non autorizzata come medicinale da nessuna parte, secondo la nostra valutazione l’Epitalon rientra nella categoria generale S0 (aggiornato al 2026, da verificare).</w:t>
      </w:r>
    </w:p>
    <w:p>
      <w:pPr>
        <w:numPr>
          <w:ilvl w:val="0"/>
          <w:numId w:val="1214"/>
        </w:numPr>
        <w:pStyle w:val="Compact"/>
      </w:pPr>
      <w:r>
        <w:rPr>
          <w:bCs/>
          <w:b/>
        </w:rPr>
        <w:t xml:space="preserve">Livello di evidenza:</w:t>
      </w:r>
      <w:r>
        <w:t xml:space="preserve"> </w:t>
      </w:r>
      <w:r>
        <w:rPr>
          <w:bCs/>
          <w:b/>
        </w:rPr>
        <w:t xml:space="preserve">C</w:t>
      </w:r>
      <w:r>
        <w:t xml:space="preserve"> </w:t>
      </w:r>
      <w:r>
        <w:t xml:space="preserve">– solo un piccolo studio controllato con il peptide sintetico sull’uomo; gli altri dati sull’uomo riguardano l’estratto Epithalamin o cellule in provetta.</w:t>
      </w:r>
    </w:p>
    <w:bookmarkEnd w:id="661"/>
    <w:bookmarkStart w:id="662" w:name="come-dovrebbe-agire-39"/>
    <w:p>
      <w:pPr>
        <w:pStyle w:val="Heading3"/>
      </w:pPr>
      <w:r>
        <w:t xml:space="preserve">Come dovrebbe agire</w:t>
      </w:r>
    </w:p>
    <w:p>
      <w:pPr>
        <w:pStyle w:val="FirstParagraph"/>
      </w:pPr>
      <w:r>
        <w:t xml:space="preserve">La ghiandola pineale è un piccolo organo del cervello che di notte produce l’ormone melatonina e contribuisce così a regolare il ritmo giorno-notte. In età avanzata la produzione di melatonina diminuisce. Il gruppo di San Pietroburgo partiva dal presupposto che brevi peptidi ricavati da organi possano, come «bioregolatori», ripristinare la funzione proprio di quegli organi: dalla ghiandola pineale per la ghiandola pineale, dal timo per il sistema immunitario (si veda anche il capitolo Timalina e timogeno nella Parte II · B).</w:t>
      </w:r>
    </w:p>
    <w:p>
      <w:pPr>
        <w:pStyle w:val="BodyText"/>
      </w:pPr>
      <w:r>
        <w:t xml:space="preserve">Per l’Epitalon vengono descritti diversi meccanismi, quasi tutti da esperimenti di laboratorio e su animali del gruppo degli sviluppatori:</w:t>
      </w:r>
    </w:p>
    <w:p>
      <w:pPr>
        <w:numPr>
          <w:ilvl w:val="0"/>
          <w:numId w:val="1215"/>
        </w:numPr>
        <w:pStyle w:val="Compact"/>
      </w:pPr>
      <w:r>
        <w:rPr>
          <w:bCs/>
          <w:b/>
        </w:rPr>
        <w:t xml:space="preserve">Telomerasi e telomeri:</w:t>
      </w:r>
      <w:r>
        <w:t xml:space="preserve"> </w:t>
      </w:r>
      <w:r>
        <w:t xml:space="preserve">i telomeri sono le estremità protettive dei cromosomi, che si accorciano un po’ a ogni divisione cellulare. L’enzima telomerasi può riallungarli; nella maggior parte delle cellule del corpo è disattivato. In colture di fibroblasti umani (cellule del tessuto connettivo) fetali l’Epitalon avrebbe attivato la telomerasi e allungato i telomeri (Khavinson 2003, PMID 12937682).</w:t>
      </w:r>
    </w:p>
    <w:p>
      <w:pPr>
        <w:numPr>
          <w:ilvl w:val="0"/>
          <w:numId w:val="1215"/>
        </w:numPr>
        <w:pStyle w:val="Compact"/>
      </w:pPr>
      <w:r>
        <w:rPr>
          <w:bCs/>
          <w:b/>
        </w:rPr>
        <w:t xml:space="preserve">Cromatina e geni:</w:t>
      </w:r>
      <w:r>
        <w:t xml:space="preserve"> </w:t>
      </w:r>
      <w:r>
        <w:t xml:space="preserve">in linfociti di persone di 76-80 anni l’Epitalon avrebbe, in provetta, decondensato il materiale genetico «compattato» e attivato geni silenziati (Khavinson 2003, PMID 14647006). Il gruppo postula che i peptidi corti si leghino direttamente al DNA.</w:t>
      </w:r>
    </w:p>
    <w:p>
      <w:pPr>
        <w:numPr>
          <w:ilvl w:val="0"/>
          <w:numId w:val="1215"/>
        </w:numPr>
        <w:pStyle w:val="Compact"/>
      </w:pPr>
      <w:r>
        <w:rPr>
          <w:bCs/>
          <w:b/>
        </w:rPr>
        <w:t xml:space="preserve">Melatonina:</w:t>
      </w:r>
      <w:r>
        <w:t xml:space="preserve"> </w:t>
      </w:r>
      <w:r>
        <w:t xml:space="preserve">in colture cellulari e negli animali l’Epitalon ha influenzato la produzione di melatonina.</w:t>
      </w:r>
    </w:p>
    <w:p>
      <w:pPr>
        <w:pStyle w:val="FirstParagraph"/>
      </w:pPr>
      <w:r>
        <w:t xml:space="preserve">Una rassegna del 2025 riassume che, nonostante 25 anni di ricerca, resta incerto se questi meccanismi siano gli unici e che esistono solo poche indagini fisico-chimiche e strutturali di base sul peptide (Araj 2025, PMID 40141333).</w:t>
      </w:r>
    </w:p>
    <w:bookmarkEnd w:id="662"/>
    <w:bookmarkStart w:id="666" w:name="studi-sulluomo-39"/>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solo</w:t>
      </w:r>
      <w:r>
        <w:t xml:space="preserve"> </w:t>
      </w:r>
      <w:r>
        <w:rPr>
          <w:bCs/>
          <w:b/>
        </w:rPr>
        <w:t xml:space="preserve">una</w:t>
      </w:r>
      <w:r>
        <w:t xml:space="preserve"> </w:t>
      </w:r>
      <w:r>
        <w:t xml:space="preserve">pubblicazione classificata come studio sull’uomo sull’Epitalon; complessivamente PubMed elenca circa 120 lavori con i termini di ricerca, in grandissima parte studi su animali e cellule da San Pietroburgo. Su ClinicalTrials.gov è registrato uno studio (si veda Prospettive). Una recente rassegna indipendente giunge allo stesso risultato: i dati sull’uomo relativi all’Epitalon sintetico si limitano a piccoli studi fisiologici o su biomarcatori e a un vecchio studio controllato sulla retinite pigmentosa; nessuno studio randomizzato sufficientemente ampio ha dimostrato un’efficacia terapeutica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Sostanza studiata e disegno</w:t>
            </w:r>
          </w:p>
        </w:tc>
        <w:tc>
          <w:tcPr/>
          <w:p>
            <w:pPr>
              <w:pStyle w:val="Compact"/>
              <w:jc w:val="left"/>
            </w:pPr>
            <w:r>
              <w:t xml:space="preserve">Partecipanti</w:t>
            </w:r>
          </w:p>
        </w:tc>
        <w:tc>
          <w:tcPr/>
          <w:p>
            <w:pPr>
              <w:pStyle w:val="Compact"/>
              <w:jc w:val="left"/>
            </w:pPr>
            <w:r>
              <w:t xml:space="preserve">Risultato</w:t>
            </w:r>
          </w:p>
        </w:tc>
      </w:tr>
      <w:tr>
        <w:tc>
          <w:tcPr/>
          <w:p>
            <w:pPr>
              <w:pStyle w:val="Compact"/>
              <w:jc w:val="left"/>
            </w:pPr>
            <w:r>
              <w:t xml:space="preserve">Khavinson 2002, PMID 12195242</w:t>
            </w:r>
          </w:p>
        </w:tc>
        <w:tc>
          <w:tcPr/>
          <w:p>
            <w:pPr>
              <w:pStyle w:val="Compact"/>
              <w:jc w:val="left"/>
            </w:pPr>
            <w:r>
              <w:t xml:space="preserve">Epitalon, studio controllato nella degenerazione retinica ereditaria (retinite pigmentosa)</w:t>
            </w:r>
          </w:p>
        </w:tc>
        <w:tc>
          <w:tcPr/>
          <w:p>
            <w:pPr>
              <w:pStyle w:val="Compact"/>
              <w:jc w:val="left"/>
            </w:pPr>
            <w:r>
              <w:t xml:space="preserve">non indicati nell’abstract</w:t>
            </w:r>
          </w:p>
        </w:tc>
        <w:tc>
          <w:tcPr/>
          <w:p>
            <w:pPr>
              <w:pStyle w:val="Compact"/>
              <w:jc w:val="left"/>
            </w:pPr>
            <w:r>
              <w:t xml:space="preserve">«effetto clinico positivo nel 90% dei casi»</w:t>
            </w:r>
          </w:p>
        </w:tc>
      </w:tr>
      <w:tr>
        <w:tc>
          <w:tcPr/>
          <w:p>
            <w:pPr>
              <w:pStyle w:val="Compact"/>
              <w:jc w:val="left"/>
            </w:pPr>
            <w:r>
              <w:t xml:space="preserve">Khavinson 2003, PMID 14523363</w:t>
            </w:r>
          </w:p>
        </w:tc>
        <w:tc>
          <w:tcPr/>
          <w:p>
            <w:pPr>
              <w:pStyle w:val="Compact"/>
              <w:jc w:val="left"/>
            </w:pPr>
            <w:r>
              <w:t xml:space="preserve">Epithalamin (estratto) e Thymalin in persone anziane, gruppo di controllo</w:t>
            </w:r>
          </w:p>
        </w:tc>
        <w:tc>
          <w:tcPr/>
          <w:p>
            <w:pPr>
              <w:pStyle w:val="Compact"/>
              <w:jc w:val="left"/>
            </w:pPr>
            <w:r>
              <w:t xml:space="preserve">266 persone, 6–8 anni</w:t>
            </w:r>
          </w:p>
        </w:tc>
        <w:tc>
          <w:tcPr/>
          <w:p>
            <w:pPr>
              <w:pStyle w:val="Compact"/>
              <w:jc w:val="left"/>
            </w:pPr>
            <w:r>
              <w:t xml:space="preserve">secondo gli autori mortalità da 1,6 a 1,8 volte inferiore con Epithalamin</w:t>
            </w:r>
          </w:p>
        </w:tc>
      </w:tr>
      <w:tr>
        <w:tc>
          <w:tcPr/>
          <w:p>
            <w:pPr>
              <w:pStyle w:val="Compact"/>
              <w:jc w:val="left"/>
            </w:pPr>
            <w:r>
              <w:t xml:space="preserve">Labunets 2004, PMID 15455130</w:t>
            </w:r>
          </w:p>
        </w:tc>
        <w:tc>
          <w:tcPr/>
          <w:p>
            <w:pPr>
              <w:pStyle w:val="Compact"/>
              <w:jc w:val="left"/>
            </w:pPr>
            <w:r>
              <w:t xml:space="preserve">Epithalamin, ciclo in persone anziane</w:t>
            </w:r>
          </w:p>
        </w:tc>
        <w:tc>
          <w:tcPr/>
          <w:p>
            <w:pPr>
              <w:pStyle w:val="Compact"/>
              <w:jc w:val="left"/>
            </w:pPr>
            <w:r>
              <w:t xml:space="preserve">non indicati nell’abstract</w:t>
            </w:r>
          </w:p>
        </w:tc>
        <w:tc>
          <w:tcPr/>
          <w:p>
            <w:pPr>
              <w:pStyle w:val="Compact"/>
              <w:jc w:val="left"/>
            </w:pPr>
            <w:r>
              <w:t xml:space="preserve">ritmo della melatonina e fattore timico «più giovani»</w:t>
            </w:r>
          </w:p>
        </w:tc>
      </w:tr>
      <w:tr>
        <w:tc>
          <w:tcPr/>
          <w:p>
            <w:pPr>
              <w:pStyle w:val="Compact"/>
              <w:jc w:val="left"/>
            </w:pPr>
            <w:r>
              <w:t xml:space="preserve">Khavinson 2019, PMID 31761987</w:t>
            </w:r>
          </w:p>
        </w:tc>
        <w:tc>
          <w:tcPr/>
          <w:p>
            <w:pPr>
              <w:pStyle w:val="Compact"/>
              <w:jc w:val="left"/>
            </w:pPr>
            <w:r>
              <w:t xml:space="preserve">AEDG in provetta su cellule del sangue</w:t>
            </w:r>
          </w:p>
        </w:tc>
        <w:tc>
          <w:tcPr/>
          <w:p>
            <w:pPr>
              <w:pStyle w:val="Compact"/>
              <w:jc w:val="left"/>
            </w:pPr>
            <w:r>
              <w:t xml:space="preserve">11 uomini (campioni di cellule)</w:t>
            </w:r>
          </w:p>
        </w:tc>
        <w:tc>
          <w:tcPr/>
          <w:p>
            <w:pPr>
              <w:pStyle w:val="Compact"/>
              <w:jc w:val="left"/>
            </w:pPr>
            <w:r>
              <w:t xml:space="preserve">lunghezza dei telomeri maggiore in 5 casi, minore in 2 casi</w:t>
            </w:r>
          </w:p>
        </w:tc>
      </w:tr>
    </w:tbl>
    <w:bookmarkStart w:id="663" w:name="lunico-studio-con-epitalon"/>
    <w:p>
      <w:pPr>
        <w:pStyle w:val="Heading4"/>
      </w:pPr>
      <w:r>
        <w:t xml:space="preserve">L’unico studio con Epitalon</w:t>
      </w:r>
    </w:p>
    <w:p>
      <w:pPr>
        <w:pStyle w:val="FirstParagraph"/>
      </w:pPr>
      <w:r>
        <w:t xml:space="preserve">Nell’unico studio clinico con Epitalon sintetico sono state trattate persone con retinite pigmentosa, una malattia ereditaria in cui la retina muore progressivamente. L’abstract riferisce un «effetto clinico positivo nel 90% dei casi», ma non indica né il numero dei partecipanti né il criterio per «positivo» né i risultati del gruppo di controllo (Khavinson 2002, PMID 12195242). Il risultato non è stato confermato in modo indipendente; nel trattamento della retinite pigmentosa l’Epitalon non ha alcun ruolo.</w:t>
      </w:r>
    </w:p>
    <w:bookmarkEnd w:id="663"/>
    <w:bookmarkStart w:id="664" w:name="X46f69e6a9228614ea56912d31fa3b830c1a4dab"/>
    <w:p>
      <w:pPr>
        <w:pStyle w:val="Heading4"/>
      </w:pPr>
      <w:r>
        <w:t xml:space="preserve">Lo studio sulla longevità con Epithalamin</w:t>
      </w:r>
    </w:p>
    <w:p>
      <w:pPr>
        <w:pStyle w:val="FirstParagraph"/>
      </w:pPr>
      <w:r>
        <w:t xml:space="preserve">Lo studio sull’uomo più citato in internet, «i peptidi della ghiandola pineale allungano la vita umana», non riguarda l’Epitalon, ma l’estratto animale Epithalamin. Ricercatori di San Pietroburgo e Kiev hanno seguito 266 persone anziane per sei-otto anni; nei primi due-tre anni parti del gruppo hanno ricevuto Thymalin, Epithalamin o entrambi. Secondo l’abstract la mortalità è diminuita da 1,6 a 1,8 volte con Epithalamin, di 2,5 volte con la combinazione e, con un trattamento combinato annuale per sei anni, persino di 4,1 volte (Khavinson 2003, PMID 14523363).</w:t>
      </w:r>
    </w:p>
    <w:p>
      <w:pPr>
        <w:pStyle w:val="BodyText"/>
      </w:pPr>
      <w:r>
        <w:t xml:space="preserve">Effetti del genere sarebbero straordinari, maggiori di quelli di quasi qualsiasi intervento della medicina moderna. Tanto più importanti sono i limiti:</w:t>
      </w:r>
    </w:p>
    <w:p>
      <w:pPr>
        <w:numPr>
          <w:ilvl w:val="0"/>
          <w:numId w:val="1216"/>
        </w:numPr>
        <w:pStyle w:val="Compact"/>
      </w:pPr>
      <w:r>
        <w:t xml:space="preserve">L’abstract non descrive né un’assegnazione casuale né un mascheramento. Non è chiaro come sia stato selezionato il gruppo di controllo.</w:t>
      </w:r>
    </w:p>
    <w:p>
      <w:pPr>
        <w:numPr>
          <w:ilvl w:val="0"/>
          <w:numId w:val="1216"/>
        </w:numPr>
        <w:pStyle w:val="Compact"/>
      </w:pPr>
      <w:r>
        <w:t xml:space="preserve">Le dimensioni dei singoli bracci e i numeri assoluti dei decessi non sono indicati.</w:t>
      </w:r>
    </w:p>
    <w:p>
      <w:pPr>
        <w:numPr>
          <w:ilvl w:val="0"/>
          <w:numId w:val="1216"/>
        </w:numPr>
        <w:pStyle w:val="Compact"/>
      </w:pPr>
      <w:r>
        <w:t xml:space="preserve">Lo studio non è mai stato registrato e non esiste una replicazione indipendente.</w:t>
      </w:r>
    </w:p>
    <w:p>
      <w:pPr>
        <w:numPr>
          <w:ilvl w:val="0"/>
          <w:numId w:val="1216"/>
        </w:numPr>
        <w:pStyle w:val="Compact"/>
      </w:pPr>
      <w:r>
        <w:t xml:space="preserve">I risultati provengono dagli sviluppatori dei preparati.</w:t>
      </w:r>
    </w:p>
    <w:p>
      <w:pPr>
        <w:pStyle w:val="FirstParagraph"/>
      </w:pPr>
      <w:r>
        <w:t xml:space="preserve">Nelle osservazioni non randomizzate anche piccole differenze tra i gruppi, per esempio chi era più sano o meglio assistito, possono generare grandi effetti apparenti sulla mortalità. Per l’Epitalon stesso da questo studio non si può comunque dedurre nulla, perché è stata studiata un’altra sostanza.</w:t>
      </w:r>
    </w:p>
    <w:bookmarkEnd w:id="664"/>
    <w:bookmarkStart w:id="665" w:name="Xe6e1eed8128bf4bd574edfc471f5802b53bd833"/>
    <w:p>
      <w:pPr>
        <w:pStyle w:val="Heading4"/>
      </w:pPr>
      <w:r>
        <w:t xml:space="preserve">L’affermazione sui telomeri alla verifica dei fatti</w:t>
      </w:r>
    </w:p>
    <w:p>
      <w:pPr>
        <w:pStyle w:val="FirstParagraph"/>
      </w:pPr>
      <w:r>
        <w:t xml:space="preserve">In internet l’Epitalon viene spesso pubblicizzato come un rimedio che «allunga i telomeri» e quindi «riporta indietro l’orologio biologico». Che cosa c’è di documentato?</w:t>
      </w:r>
    </w:p>
    <w:p>
      <w:pPr>
        <w:numPr>
          <w:ilvl w:val="0"/>
          <w:numId w:val="1217"/>
        </w:numPr>
        <w:pStyle w:val="Compact"/>
      </w:pPr>
      <w:r>
        <w:rPr>
          <w:bCs/>
          <w:b/>
        </w:rPr>
        <w:t xml:space="preserve">Colture cellulari di San Pietroburgo:</w:t>
      </w:r>
      <w:r>
        <w:t xml:space="preserve"> </w:t>
      </w:r>
      <w:r>
        <w:t xml:space="preserve">in fibroblasti fetali umani l’Epitalon ha provocato attività della telomerasi e allungamento dei telomeri (Khavinson 2003, PMID 12937682); in un lavoro successivo le cellule trattate hanno compiuto dieci divisioni aggiuntive oltre il loro limite abituale (Khavinson 2004, PMID 15455129). Entrambi i lavori sono pubblicati in forma molto breve, senza metodi dettagliati nell’abstract.</w:t>
      </w:r>
    </w:p>
    <w:p>
      <w:pPr>
        <w:numPr>
          <w:ilvl w:val="0"/>
          <w:numId w:val="1217"/>
        </w:numPr>
        <w:pStyle w:val="Compact"/>
      </w:pPr>
      <w:r>
        <w:rPr>
          <w:bCs/>
          <w:b/>
        </w:rPr>
        <w:t xml:space="preserve">Studio cellulare indipendente:</w:t>
      </w:r>
      <w:r>
        <w:t xml:space="preserve"> </w:t>
      </w:r>
      <w:r>
        <w:t xml:space="preserve">un gruppo di lavoro al di fuori della Russia ha trovato nel 2025 anch’esso telomeri più lunghi in modo dose-dipendente in normali cellule epiteliali e del tessuto connettivo umane. Nelle linee cellulari di cancro al seno i telomeri si sono anch’essi allungati, lì tramite un meccanismo alternativo (ALT) tipico delle cellule tumorali (Al-Dulaimi 2025, PMID 40908429).</w:t>
      </w:r>
    </w:p>
    <w:p>
      <w:pPr>
        <w:numPr>
          <w:ilvl w:val="0"/>
          <w:numId w:val="1217"/>
        </w:numPr>
        <w:pStyle w:val="Compact"/>
      </w:pPr>
      <w:r>
        <w:rPr>
          <w:bCs/>
          <w:b/>
        </w:rPr>
        <w:t xml:space="preserve">Cellule del sangue umane in provetta:</w:t>
      </w:r>
      <w:r>
        <w:t xml:space="preserve"> </w:t>
      </w:r>
      <w:r>
        <w:t xml:space="preserve">nelle cellule del sangue di undici uomini, dopo il contatto con il peptide, i telomeri si sono allungati in cinque casi e accorciati in due; gli autori lo interpretano come «normalizzazione» (Khavinson 2019, PMID 31761987).</w:t>
      </w:r>
    </w:p>
    <w:p>
      <w:pPr>
        <w:numPr>
          <w:ilvl w:val="0"/>
          <w:numId w:val="1217"/>
        </w:numPr>
        <w:pStyle w:val="Compact"/>
      </w:pPr>
      <w:r>
        <w:rPr>
          <w:bCs/>
          <w:b/>
        </w:rPr>
        <w:t xml:space="preserve">Nell’essere umano vivente:</w:t>
      </w:r>
      <w:r>
        <w:t xml:space="preserve"> </w:t>
      </w:r>
      <w:r>
        <w:t xml:space="preserve">non esiste alcuno studio controllato pubblicato che abbia mostrato che l’Epitalon modifica la lunghezza dei telomeri nel sangue o nei tessuti delle persone, e tanto meno uno che dimostri un beneficio per la salute di tale modifica.</w:t>
      </w:r>
    </w:p>
    <w:p>
      <w:pPr>
        <w:pStyle w:val="FirstParagraph"/>
      </w:pPr>
      <w:r>
        <w:t xml:space="preserve">A ciò si aggiunge che la lunghezza dei telomeri è sì legata all’età, ma non è una misura affidabile dell’«orologio biologico» di una singola persona. E una telomerasi attivata in modo permanente è una caratteristica della stragrande maggioranza dei tumori. La capacità di allungare i telomeri non è quindi automaticamente un vantaggio (si veda Rischi).</w:t>
      </w:r>
    </w:p>
    <w:bookmarkEnd w:id="665"/>
    <w:bookmarkEnd w:id="666"/>
    <w:bookmarkStart w:id="667" w:name="studi-su-animali-e-in-laboratorio-39"/>
    <w:p>
      <w:pPr>
        <w:pStyle w:val="Heading3"/>
      </w:pPr>
      <w:r>
        <w:t xml:space="preserve">Studi su animali e in laboratorio</w:t>
      </w:r>
    </w:p>
    <w:p>
      <w:pPr>
        <w:numPr>
          <w:ilvl w:val="0"/>
          <w:numId w:val="1218"/>
        </w:numPr>
        <w:pStyle w:val="Compact"/>
      </w:pPr>
      <w:r>
        <w:rPr>
          <w:bCs/>
          <w:b/>
        </w:rPr>
        <w:t xml:space="preserve">Durata della vita nei topi:</w:t>
      </w:r>
      <w:r>
        <w:t xml:space="preserve"> </w:t>
      </w:r>
      <w:r>
        <w:t xml:space="preserve">nel più importante studio animale, gruppi di 54 topi femmina ciascuno hanno ricevuto per tutta la vita, ogni mese, Epitalon o soluzione fisiologica. La</w:t>
      </w:r>
      <w:r>
        <w:t xml:space="preserve"> </w:t>
      </w:r>
      <w:r>
        <w:rPr>
          <w:bCs/>
          <w:b/>
        </w:rPr>
        <w:t xml:space="preserve">durata media della vita non</w:t>
      </w:r>
      <w:r>
        <w:t xml:space="preserve"> </w:t>
      </w:r>
      <w:r>
        <w:t xml:space="preserve">differiva; solo l’ultimo 10% delle sopravvissute è vissuto il 13,3% più a lungo, e la durata massima della vita era più alta del 12,3%. Il numero complessivo di tumori spontanei era uguale, le leucemie sono state più rare (Anisimov 2003, PMID 14501183).</w:t>
      </w:r>
    </w:p>
    <w:p>
      <w:pPr>
        <w:numPr>
          <w:ilvl w:val="0"/>
          <w:numId w:val="1218"/>
        </w:numPr>
        <w:pStyle w:val="Compact"/>
      </w:pPr>
      <w:r>
        <w:rPr>
          <w:bCs/>
          <w:b/>
        </w:rPr>
        <w:t xml:space="preserve">Moscerini della frutta:</w:t>
      </w:r>
      <w:r>
        <w:t xml:space="preserve"> </w:t>
      </w:r>
      <w:r>
        <w:t xml:space="preserve">anche nei moscerini della frutta è stata riferita una durata della vita maggiore (Khavinson 2000, PMID 11087911).</w:t>
      </w:r>
    </w:p>
    <w:p>
      <w:pPr>
        <w:numPr>
          <w:ilvl w:val="0"/>
          <w:numId w:val="1218"/>
        </w:numPr>
        <w:pStyle w:val="Compact"/>
      </w:pPr>
      <w:r>
        <w:rPr>
          <w:bCs/>
          <w:b/>
        </w:rPr>
        <w:t xml:space="preserve">Retina:</w:t>
      </w:r>
      <w:r>
        <w:t xml:space="preserve"> </w:t>
      </w:r>
      <w:r>
        <w:t xml:space="preserve">in ratti con degenerazione retinica ereditaria la struttura della retina si è conservata meglio con Epitalon (Khavinson 2003, PMID 12910293).</w:t>
      </w:r>
    </w:p>
    <w:p>
      <w:pPr>
        <w:numPr>
          <w:ilvl w:val="0"/>
          <w:numId w:val="1218"/>
        </w:numPr>
        <w:pStyle w:val="Compact"/>
      </w:pPr>
      <w:r>
        <w:rPr>
          <w:bCs/>
          <w:b/>
        </w:rPr>
        <w:t xml:space="preserve">Ovociti:</w:t>
      </w:r>
      <w:r>
        <w:t xml:space="preserve"> </w:t>
      </w:r>
      <w:r>
        <w:t xml:space="preserve">in colture di ovociti di topo invecchiati l’Epitalon ha ridotto i danni da stress ossidativo (Yue 2022, PMID 35413689).</w:t>
      </w:r>
    </w:p>
    <w:p>
      <w:pPr>
        <w:pStyle w:val="FirstParagraph"/>
      </w:pPr>
      <w:r>
        <w:t xml:space="preserve">La grande maggioranza di questi studi proviene dal gruppo di Chavinson e Anisimov, per lo più in riviste russe o in riviste in cui il gruppo stesso pubblicava frequentemente. Le replicazioni indipendenti sono rare.</w:t>
      </w:r>
    </w:p>
    <w:bookmarkEnd w:id="667"/>
    <w:bookmarkStart w:id="668" w:name="rischi-ed-effetti-collaterali-39"/>
    <w:p>
      <w:pPr>
        <w:pStyle w:val="Heading3"/>
      </w:pPr>
      <w:r>
        <w:t xml:space="preserve">Rischi ed effetti collaterali</w:t>
      </w:r>
    </w:p>
    <w:p>
      <w:pPr>
        <w:pStyle w:val="FirstParagraph"/>
      </w:pPr>
      <w:r>
        <w:rPr>
          <w:bCs/>
          <w:b/>
        </w:rPr>
        <w:t xml:space="preserve">Documentati:</w:t>
      </w:r>
      <w:r>
        <w:t xml:space="preserve"> </w:t>
      </w:r>
      <w:r>
        <w:t xml:space="preserve">non esistono dati di sicurezza raccolti sistematicamente sull’Epitalon nell’uomo.</w:t>
      </w:r>
    </w:p>
    <w:p>
      <w:pPr>
        <w:pStyle w:val="BodyText"/>
      </w:pPr>
      <w:r>
        <w:rPr>
          <w:bCs/>
          <w:b/>
        </w:rPr>
        <w:t xml:space="preserve">Teorici:</w:t>
      </w:r>
    </w:p>
    <w:p>
      <w:pPr>
        <w:numPr>
          <w:ilvl w:val="0"/>
          <w:numId w:val="1219"/>
        </w:numPr>
        <w:pStyle w:val="Compact"/>
      </w:pPr>
      <w:r>
        <w:rPr>
          <w:bCs/>
          <w:b/>
        </w:rPr>
        <w:t xml:space="preserve">Cancro:</w:t>
      </w:r>
      <w:r>
        <w:t xml:space="preserve"> </w:t>
      </w:r>
      <w:r>
        <w:t xml:space="preserve">l’attivazione della telomerasi è una caratteristica centrale delle cellule tumorali. Una sostanza che dovrebbe attivare la telomerasi potrebbe teoricamente favorire la crescita di cellule tumorali già presenti e non scoperte. Nello studio cellulare indipendente si sono allungati anche i telomeri delle cellule di cancro al seno (Al-Dulaimi 2025, PMID 40908429). Lo studio sui topi non ha trovato un aumento dei tumori spontanei (Anisimov 2003, PMID 14501183), ma i dati sugli animali non si possono trasferire a decenni di uso umano.</w:t>
      </w:r>
    </w:p>
    <w:p>
      <w:pPr>
        <w:numPr>
          <w:ilvl w:val="0"/>
          <w:numId w:val="1219"/>
        </w:numPr>
        <w:pStyle w:val="Compact"/>
      </w:pPr>
      <w:r>
        <w:rPr>
          <w:bCs/>
          <w:b/>
        </w:rPr>
        <w:t xml:space="preserve">Sistema ormonale:</w:t>
      </w:r>
      <w:r>
        <w:t xml:space="preserve"> </w:t>
      </w:r>
      <w:r>
        <w:t xml:space="preserve">un’influenza su melatonina e ghiandola pineale può modificare sonno e ritmi ormonali; ciò non è stato studiato nell’uomo.</w:t>
      </w:r>
    </w:p>
    <w:p>
      <w:pPr>
        <w:pStyle w:val="FirstParagraph"/>
      </w:pPr>
      <w:r>
        <w:rPr>
          <w:bCs/>
          <w:b/>
        </w:rPr>
        <w:t xml:space="preserve">Mercato grigio:</w:t>
      </w:r>
      <w:r>
        <w:t xml:space="preserve"> </w:t>
      </w:r>
      <w:r>
        <w:t xml:space="preserve">l’Epitalon è tra i «peptidi della longevità» più venduti e viene offerto in polvere per iniezione o come spray nasale. Purezza, contenuto e sterilità non sono verificati. Una rassegna indipendente cita questioni irrisolte su qualità del prodotto, reazioni immunitarie e rischio di cancro (Jain 2026, PMID 42884164).</w:t>
      </w:r>
    </w:p>
    <w:bookmarkEnd w:id="668"/>
    <w:bookmarkStart w:id="669" w:name="quadro-normativo-39"/>
    <w:p>
      <w:pPr>
        <w:pStyle w:val="Heading3"/>
      </w:pPr>
      <w:r>
        <w:t xml:space="preserve">Quadro normativo</w:t>
      </w:r>
    </w:p>
    <w:p>
      <w:pPr>
        <w:numPr>
          <w:ilvl w:val="0"/>
          <w:numId w:val="1220"/>
        </w:numPr>
        <w:pStyle w:val="Compact"/>
      </w:pPr>
      <w:r>
        <w:rPr>
          <w:bCs/>
          <w:b/>
        </w:rPr>
        <w:t xml:space="preserve">UE / Austria / Germania:</w:t>
      </w:r>
      <w:r>
        <w:t xml:space="preserve"> </w:t>
      </w:r>
      <w:r>
        <w:t xml:space="preserve">non autorizzato; in quanto sostanza con effetto farmacologico l’Epitalon è considerato un medicinale, e la vendita per uso umano non è consentita (aggiornato al 2026, da verificare).</w:t>
      </w:r>
    </w:p>
    <w:p>
      <w:pPr>
        <w:numPr>
          <w:ilvl w:val="0"/>
          <w:numId w:val="1220"/>
        </w:numPr>
        <w:pStyle w:val="Compact"/>
      </w:pPr>
      <w:r>
        <w:rPr>
          <w:bCs/>
          <w:b/>
        </w:rPr>
        <w:t xml:space="preserve">USA:</w:t>
      </w:r>
      <w:r>
        <w:t xml:space="preserve"> </w:t>
      </w:r>
      <w:r>
        <w:t xml:space="preserve">non autorizzato. Dopo il voto del comitato consultivo PCAC nel luglio 2026 l’Epitalon potrebbe in futuro essere ammesso nelle preparazioni magistrali in farmacia, se la FDA si adeguerà; la procedura non era conclusa alla chiusura redazionale (aggiornato a ottobre 2026, da verificare).</w:t>
      </w:r>
    </w:p>
    <w:p>
      <w:pPr>
        <w:numPr>
          <w:ilvl w:val="0"/>
          <w:numId w:val="1220"/>
        </w:numPr>
        <w:pStyle w:val="Compact"/>
      </w:pPr>
      <w:r>
        <w:rPr>
          <w:bCs/>
          <w:b/>
        </w:rPr>
        <w:t xml:space="preserve">Russia:</w:t>
      </w:r>
      <w:r>
        <w:t xml:space="preserve"> </w:t>
      </w:r>
      <w:r>
        <w:t xml:space="preserve">in Russia i bioregolatori peptidici sono in parte commercializzati come integratori alimentari; l’Epitalon stesso, per quanto ci risulta, non è registrato lì come medicinale (da verificare).</w:t>
      </w:r>
    </w:p>
    <w:p>
      <w:pPr>
        <w:numPr>
          <w:ilvl w:val="0"/>
          <w:numId w:val="1220"/>
        </w:numPr>
        <w:pStyle w:val="Compact"/>
      </w:pPr>
      <w:r>
        <w:rPr>
          <w:bCs/>
          <w:b/>
        </w:rPr>
        <w:t xml:space="preserve">Sport:</w:t>
      </w:r>
      <w:r>
        <w:t xml:space="preserve"> </w:t>
      </w:r>
      <w:r>
        <w:t xml:space="preserve">secondo la nostra valutazione categoria WADA S0 (aggiornato al 2026, da verificare).</w:t>
      </w:r>
    </w:p>
    <w:bookmarkEnd w:id="669"/>
    <w:bookmarkStart w:id="670" w:name="studi-in-corso-e-prospettive-39"/>
    <w:p>
      <w:pPr>
        <w:pStyle w:val="Heading3"/>
      </w:pPr>
      <w:r>
        <w:t xml:space="preserve">Studi in corso e prospettive</w:t>
      </w:r>
    </w:p>
    <w:p>
      <w:pPr>
        <w:pStyle w:val="FirstParagraph"/>
      </w:pPr>
      <w:r>
        <w:rPr>
          <w:bCs/>
          <w:b/>
        </w:rPr>
        <w:t xml:space="preserve">Assodato:</w:t>
      </w:r>
      <w:r>
        <w:t xml:space="preserve"> </w:t>
      </w:r>
      <w:r>
        <w:t xml:space="preserve">su ClinicalTrials.gov è registrato uno studio iniziale in cui misure di ringiovanimento «sistemiche e locali» devono essere valutate con i cosiddetti orologi dell’invecchiamento (metodi di misura epigenetici); sono previsti 48 partecipanti, inizio ottobre 2026 (NCT07888595). Secondo la voce di registro, l’Epitalon vi compare solo come uno dei cinque componenti di un siero peptidico applicato sulla pelle; in aggiunta vengono assunti farmaci e integratori alimentari. Lo studio ha un solo gruppo, nessun mascheramento e nessun controllo con placebo. Non può quindi fornire alcuna indicazione sull’effetto dell’Epitalon in sé.</w:t>
      </w:r>
    </w:p>
    <w:p>
      <w:pPr>
        <w:pStyle w:val="BodyText"/>
      </w:pPr>
      <w:r>
        <w:rPr>
          <w:bCs/>
          <w:b/>
        </w:rPr>
        <w:t xml:space="preserve">Valutazione:</w:t>
      </w:r>
      <w:r>
        <w:t xml:space="preserve"> </w:t>
      </w:r>
      <w:r>
        <w:t xml:space="preserve">l’inserimento nell’elenco statunitense delle preparazioni magistrali ne aumenterebbe la diffusione senza migliorare i dati disponibili. Decisivo sarebbe uno studio indipendente e randomizzato che misuri nell’uomo, per un periodo più lungo, almeno lunghezza dei telomeri, melatonina e parametri di sicurezza.</w:t>
      </w:r>
    </w:p>
    <w:bookmarkEnd w:id="670"/>
    <w:bookmarkStart w:id="671" w:name="conclusione-39"/>
    <w:p>
      <w:pPr>
        <w:pStyle w:val="Heading3"/>
      </w:pPr>
      <w:r>
        <w:t xml:space="preserve">Conclusione</w:t>
      </w:r>
    </w:p>
    <w:p>
      <w:pPr>
        <w:pStyle w:val="FirstParagraph"/>
      </w:pPr>
      <w:r>
        <w:t xml:space="preserve">L’Epitalon è un tetrapeptide sintetico di San Pietroburgo che in colture cellulari ha attivato la telomerasi e nei topi ha prolungato la durata massima della vita, ma non quella media. Lo studio spesso citato su una vita più lunga riguardava l’estratto bovino Epithalamin, non era randomizzato e non è mai stato replicato in modo indipendente. Che l’Epitalon allunghi i telomeri o rallenti l’invecchiamento nell’uomo non è dimostrato; l’attivazione della telomerasi solleva inoltre una questione irrisolta riguardo al cancro. I dati non bastano per valutare beneficio o sicurezza nell’uomo.</w:t>
      </w:r>
    </w:p>
    <w:bookmarkEnd w:id="671"/>
    <w:bookmarkEnd w:id="672"/>
    <w:bookmarkStart w:id="681" w:name="pinealon"/>
    <w:p>
      <w:pPr>
        <w:pStyle w:val="Heading2"/>
      </w:pPr>
      <w:r>
        <w:t xml:space="preserve">Pinealon</w:t>
      </w:r>
    </w:p>
    <w:bookmarkStart w:id="673" w:name="scheda-40"/>
    <w:p>
      <w:pPr>
        <w:pStyle w:val="Heading3"/>
      </w:pPr>
      <w:r>
        <w:t xml:space="preserve">Scheda</w:t>
      </w:r>
    </w:p>
    <w:p>
      <w:pPr>
        <w:numPr>
          <w:ilvl w:val="0"/>
          <w:numId w:val="1221"/>
        </w:numPr>
        <w:pStyle w:val="Compact"/>
      </w:pPr>
      <w:r>
        <w:rPr>
          <w:bCs/>
          <w:b/>
        </w:rPr>
        <w:t xml:space="preserve">Tipo e struttura:</w:t>
      </w:r>
      <w:r>
        <w:t xml:space="preserve"> </w:t>
      </w:r>
      <w:r>
        <w:t xml:space="preserve">tripeptide sintetico di tre amminoacidi: Glu-Asp-Arg (abbreviato EDR).</w:t>
      </w:r>
    </w:p>
    <w:p>
      <w:pPr>
        <w:numPr>
          <w:ilvl w:val="0"/>
          <w:numId w:val="1221"/>
        </w:numPr>
        <w:pStyle w:val="Compact"/>
      </w:pPr>
      <w:r>
        <w:rPr>
          <w:bCs/>
          <w:b/>
        </w:rPr>
        <w:t xml:space="preserve">Origine:</w:t>
      </w:r>
      <w:r>
        <w:t xml:space="preserve"> </w:t>
      </w:r>
      <w:r>
        <w:t xml:space="preserve">sviluppato presso l’Istituto di bioregolazione e gerontologia di San Pietroburgo (gruppo di Vladimir Chavinson, che ha sviluppato anche l’Epitalon). Il nome rimanda alla ghiandola pineale (glandula pinealis), sebbene il peptide venga descritto soprattutto come sostanza protettiva per i neuroni.</w:t>
      </w:r>
    </w:p>
    <w:p>
      <w:pPr>
        <w:numPr>
          <w:ilvl w:val="0"/>
          <w:numId w:val="1221"/>
        </w:numPr>
        <w:pStyle w:val="Compact"/>
      </w:pPr>
      <w:r>
        <w:rPr>
          <w:bCs/>
          <w:b/>
        </w:rPr>
        <w:t xml:space="preserve">Principio d’azione:</w:t>
      </w:r>
      <w:r>
        <w:t xml:space="preserve"> </w:t>
      </w:r>
      <w:r>
        <w:t xml:space="preserve">come «bioregolatore peptidico corto» dovrebbe penetrare nelle cellule e nei nuclei cellulari, legarsi al DNA o agli istoni e influenzare così l’attività di geni che proteggono i neuroni da stress ossidativo e morte cellulare.</w:t>
      </w:r>
    </w:p>
    <w:p>
      <w:pPr>
        <w:numPr>
          <w:ilvl w:val="0"/>
          <w:numId w:val="1221"/>
        </w:numPr>
        <w:pStyle w:val="Compact"/>
      </w:pPr>
      <w:r>
        <w:rPr>
          <w:bCs/>
          <w:b/>
        </w:rPr>
        <w:t xml:space="preserve">Autorizzazione UE:</w:t>
      </w:r>
      <w:r>
        <w:t xml:space="preserve"> </w:t>
      </w:r>
      <w:r>
        <w:t xml:space="preserve">no.</w:t>
      </w:r>
    </w:p>
    <w:p>
      <w:pPr>
        <w:numPr>
          <w:ilvl w:val="0"/>
          <w:numId w:val="1221"/>
        </w:numPr>
        <w:pStyle w:val="Compact"/>
      </w:pPr>
      <w:r>
        <w:rPr>
          <w:bCs/>
          <w:b/>
        </w:rPr>
        <w:t xml:space="preserve">Autorizzazione USA:</w:t>
      </w:r>
      <w:r>
        <w:t xml:space="preserve"> </w:t>
      </w:r>
      <w:r>
        <w:t xml:space="preserve">no.</w:t>
      </w:r>
    </w:p>
    <w:p>
      <w:pPr>
        <w:numPr>
          <w:ilvl w:val="0"/>
          <w:numId w:val="1221"/>
        </w:numPr>
        <w:pStyle w:val="Compact"/>
      </w:pPr>
      <w:r>
        <w:rPr>
          <w:bCs/>
          <w:b/>
        </w:rPr>
        <w:t xml:space="preserve">Russia:</w:t>
      </w:r>
      <w:r>
        <w:t xml:space="preserve"> </w:t>
      </w:r>
      <w:r>
        <w:t xml:space="preserve">commercializzato in capsule come componente dei cosiddetti «citogeni», quindi più come integratore alimentare che come medicinale sperimentato.</w:t>
      </w:r>
    </w:p>
    <w:p>
      <w:pPr>
        <w:numPr>
          <w:ilvl w:val="0"/>
          <w:numId w:val="1221"/>
        </w:numPr>
        <w:pStyle w:val="Compact"/>
      </w:pPr>
      <w:r>
        <w:rPr>
          <w:bCs/>
          <w:b/>
        </w:rPr>
        <w:t xml:space="preserve">WADA:</w:t>
      </w:r>
      <w:r>
        <w:t xml:space="preserve"> </w:t>
      </w:r>
      <w:r>
        <w:t xml:space="preserve">non elencato per nome; un principio attivo non autorizzato come medicinale può rientrare nella categoria generale S0 (aggiornato al 2026, da verificare).</w:t>
      </w:r>
    </w:p>
    <w:p>
      <w:pPr>
        <w:numPr>
          <w:ilvl w:val="0"/>
          <w:numId w:val="1221"/>
        </w:numPr>
        <w:pStyle w:val="Compact"/>
      </w:pPr>
      <w:r>
        <w:rPr>
          <w:bCs/>
          <w:b/>
        </w:rPr>
        <w:t xml:space="preserve">Livello di evidenza:</w:t>
      </w:r>
      <w:r>
        <w:t xml:space="preserve"> </w:t>
      </w:r>
      <w:r>
        <w:rPr>
          <w:bCs/>
          <w:b/>
        </w:rPr>
        <w:t xml:space="preserve">C</w:t>
      </w:r>
      <w:r>
        <w:t xml:space="preserve"> </w:t>
      </w:r>
      <w:r>
        <w:t xml:space="preserve">– alcuni piccoli studi osservazionali russi non randomizzati, con misure surrogate come l’«età biologica».</w:t>
      </w:r>
    </w:p>
    <w:bookmarkEnd w:id="673"/>
    <w:bookmarkStart w:id="674" w:name="come-dovrebbe-agire-40"/>
    <w:p>
      <w:pPr>
        <w:pStyle w:val="Heading3"/>
      </w:pPr>
      <w:r>
        <w:t xml:space="preserve">Come dovrebbe agire</w:t>
      </w:r>
    </w:p>
    <w:p>
      <w:pPr>
        <w:pStyle w:val="FirstParagraph"/>
      </w:pPr>
      <w:r>
        <w:t xml:space="preserve">Il Pinealon appartiene a una famiglia di peptidi molto corti (da due a quattro amminoacidi) che il gruppo di San Pietroburgo definisce «bioregolatori peptidici». L’ipotesi centrale è: questi mini-peptidi arrivano fino al nucleo cellulare, si legano lì a determinati segmenti di DNA e regolano in questo modo i geni, in modo simile ai fattori di trascrizione, cioè le proteine che attivano e disattivano i geni.</w:t>
      </w:r>
    </w:p>
    <w:p>
      <w:pPr>
        <w:pStyle w:val="BodyText"/>
      </w:pPr>
      <w:r>
        <w:t xml:space="preserve">Le prove in tal senso provengono dal laboratorio:</w:t>
      </w:r>
    </w:p>
    <w:p>
      <w:pPr>
        <w:numPr>
          <w:ilvl w:val="0"/>
          <w:numId w:val="1222"/>
        </w:numPr>
        <w:pStyle w:val="Compact"/>
      </w:pPr>
      <w:r>
        <w:t xml:space="preserve">In cellule tumorali (HeLa) peptidi Pinealon, Epitalon e affini marcati con fluorescenza sono penetrati nel citoplasma, nel nucleo e nei nucleoli; in provetta hanno modificato la fluorescenza di frammenti di DNA marcati a seconda della loro sequenza (Fedoreyeva 2011, PMID 22117547).</w:t>
      </w:r>
    </w:p>
    <w:p>
      <w:pPr>
        <w:numPr>
          <w:ilvl w:val="0"/>
          <w:numId w:val="1222"/>
        </w:numPr>
        <w:pStyle w:val="Compact"/>
      </w:pPr>
      <w:r>
        <w:t xml:space="preserve">In neuroni del cervelletto di ratto e in altre colture cellulari il Pinealon ha limitato l’accumulo di specie reattive dell’ossigeno e ridotto la morte cellulare (Khavinson 2011, PMID 21978084).</w:t>
      </w:r>
    </w:p>
    <w:p>
      <w:pPr>
        <w:pStyle w:val="FirstParagraph"/>
      </w:pPr>
      <w:r>
        <w:t xml:space="preserve">Una rassegna degli sviluppatori riassume che il peptide EDR, in esperimenti su cellule e animali, influenzerebbe geni e proteine che hanno un ruolo nella malattia di Alzheimer, per esempio enzimi della difesa antiossidante e segnali di morte cellulare (Khavinson 2020, PMID 33396470). È un’ipotesi finora quasi mai verificata da altri gruppi di ricerca. Dalla farmacologia classica è inoltre noto che peptidi così corti vengono scomposti rapidamente nel tratto digerente e nel sangue; quanto Pinealon immodificato raggiunga i neuroni dopo l’assunzione di una capsula non è stato studiato.</w:t>
      </w:r>
    </w:p>
    <w:bookmarkEnd w:id="674"/>
    <w:bookmarkStart w:id="675" w:name="studi-sulluomo-40"/>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w:t>
      </w:r>
      <w:r>
        <w:t xml:space="preserve"> </w:t>
      </w:r>
      <w:r>
        <w:rPr>
          <w:bCs/>
          <w:b/>
        </w:rPr>
        <w:t xml:space="preserve">una</w:t>
      </w:r>
      <w:r>
        <w:t xml:space="preserve"> </w:t>
      </w:r>
      <w:r>
        <w:t xml:space="preserve">pubblicazione classificata come studio sull’uomo; complessivamente PubMed elenca solo 15 lavori con «Pinealon» nel titolo o nell’abstract. Su ClinicalTrials.gov non è registrato alcuno studio. Una ricerca supplementare ha individuato altri tre piccoli lavori russi su persone, tutti nella rivista «Uspekhi Gerontologii» (Progressi della gerontologia).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Bashkireva 2012, PMID 23734521</w:t>
            </w:r>
          </w:p>
        </w:tc>
        <w:tc>
          <w:tcPr/>
          <w:p>
            <w:pPr>
              <w:pStyle w:val="Compact"/>
              <w:jc w:val="left"/>
            </w:pPr>
            <w:r>
              <w:t xml:space="preserve">150 camionisti, 150 metalmeccanici come confronto; peptidi in sottogruppi</w:t>
            </w:r>
          </w:p>
        </w:tc>
        <w:tc>
          <w:tcPr/>
          <w:p>
            <w:pPr>
              <w:pStyle w:val="Compact"/>
              <w:jc w:val="left"/>
            </w:pPr>
            <w:r>
              <w:t xml:space="preserve">non indicata</w:t>
            </w:r>
          </w:p>
        </w:tc>
        <w:tc>
          <w:tcPr/>
          <w:p>
            <w:pPr>
              <w:pStyle w:val="Compact"/>
              <w:jc w:val="left"/>
            </w:pPr>
            <w:r>
              <w:t xml:space="preserve">secondo gli autori valori psicoemotivi migliori, effetto migliore con la combinazione di due peptidi</w:t>
            </w:r>
          </w:p>
        </w:tc>
      </w:tr>
      <w:tr>
        <w:tc>
          <w:tcPr/>
          <w:p>
            <w:pPr>
              <w:pStyle w:val="Compact"/>
              <w:jc w:val="left"/>
            </w:pPr>
            <w:r>
              <w:t xml:space="preserve">Nazimko 2012, PMID 22708445</w:t>
            </w:r>
          </w:p>
        </w:tc>
        <w:tc>
          <w:tcPr/>
          <w:p>
            <w:pPr>
              <w:pStyle w:val="Compact"/>
              <w:jc w:val="left"/>
            </w:pPr>
            <w:r>
              <w:t xml:space="preserve">squadre di macchinisti ferroviari, capsule di Pinealon</w:t>
            </w:r>
          </w:p>
        </w:tc>
        <w:tc>
          <w:tcPr/>
          <w:p>
            <w:pPr>
              <w:pStyle w:val="Compact"/>
              <w:jc w:val="left"/>
            </w:pPr>
            <w:r>
              <w:t xml:space="preserve">2 settimane</w:t>
            </w:r>
          </w:p>
        </w:tc>
        <w:tc>
          <w:tcPr/>
          <w:p>
            <w:pPr>
              <w:pStyle w:val="Compact"/>
              <w:jc w:val="left"/>
            </w:pPr>
            <w:r>
              <w:t xml:space="preserve">secondo gli autori «età biologica» migliore e migliori reazioni di adattamento</w:t>
            </w:r>
          </w:p>
        </w:tc>
      </w:tr>
      <w:tr>
        <w:tc>
          <w:tcPr/>
          <w:p>
            <w:pPr>
              <w:pStyle w:val="Compact"/>
              <w:jc w:val="left"/>
            </w:pPr>
            <w:r>
              <w:t xml:space="preserve">Meshchaninov 2015, PMID 26390612</w:t>
            </w:r>
          </w:p>
        </w:tc>
        <w:tc>
          <w:tcPr/>
          <w:p>
            <w:pPr>
              <w:pStyle w:val="Compact"/>
              <w:jc w:val="left"/>
            </w:pPr>
            <w:r>
              <w:t xml:space="preserve">32 persone (41–83 anni) con polipatologia e sindrome psicorganica</w:t>
            </w:r>
          </w:p>
        </w:tc>
        <w:tc>
          <w:tcPr/>
          <w:p>
            <w:pPr>
              <w:pStyle w:val="Compact"/>
              <w:jc w:val="left"/>
            </w:pPr>
            <w:r>
              <w:t xml:space="preserve">non indicata</w:t>
            </w:r>
          </w:p>
        </w:tc>
        <w:tc>
          <w:tcPr/>
          <w:p>
            <w:pPr>
              <w:pStyle w:val="Compact"/>
              <w:jc w:val="left"/>
            </w:pPr>
            <w:r>
              <w:t xml:space="preserve">effetto «anabolico»; indizi di effetto ossidante e di inibizione dell’emopoiesi</w:t>
            </w:r>
          </w:p>
        </w:tc>
      </w:tr>
      <w:tr>
        <w:tc>
          <w:tcPr/>
          <w:p>
            <w:pPr>
              <w:pStyle w:val="Compact"/>
              <w:jc w:val="left"/>
            </w:pPr>
            <w:r>
              <w:t xml:space="preserve">Myakotnykh 2016, PMID 28539017</w:t>
            </w:r>
          </w:p>
        </w:tc>
        <w:tc>
          <w:tcPr/>
          <w:p>
            <w:pPr>
              <w:pStyle w:val="Compact"/>
              <w:jc w:val="left"/>
            </w:pPr>
            <w:r>
              <w:t xml:space="preserve">110 persone, confronto di diversi metodi «anti-aging»</w:t>
            </w:r>
          </w:p>
        </w:tc>
        <w:tc>
          <w:tcPr/>
          <w:p>
            <w:pPr>
              <w:pStyle w:val="Compact"/>
              <w:jc w:val="left"/>
            </w:pPr>
            <w:r>
              <w:t xml:space="preserve">non indicata</w:t>
            </w:r>
          </w:p>
        </w:tc>
        <w:tc>
          <w:tcPr/>
          <w:p>
            <w:pPr>
              <w:pStyle w:val="Compact"/>
              <w:jc w:val="left"/>
            </w:pPr>
            <w:r>
              <w:t xml:space="preserve">effetto maggiore sull’«età biologica» con la combinazione di due peptidi</w:t>
            </w:r>
          </w:p>
        </w:tc>
      </w:tr>
    </w:tbl>
    <w:p>
      <w:pPr>
        <w:pStyle w:val="BodyText"/>
      </w:pPr>
      <w:r>
        <w:t xml:space="preserve">Tutti e quattro i lavori hanno debolezze comuni:</w:t>
      </w:r>
    </w:p>
    <w:p>
      <w:pPr>
        <w:numPr>
          <w:ilvl w:val="0"/>
          <w:numId w:val="1223"/>
        </w:numPr>
        <w:pStyle w:val="Compact"/>
      </w:pPr>
      <w:r>
        <w:rPr>
          <w:bCs/>
          <w:b/>
        </w:rPr>
        <w:t xml:space="preserve">Nessun placebo, nessun mascheramento, nessuna assegnazione casuale</w:t>
      </w:r>
      <w:r>
        <w:t xml:space="preserve"> </w:t>
      </w:r>
      <w:r>
        <w:t xml:space="preserve">riconoscibili. Nei questionari su umore e stress l’effetto aspettativa è considerevole.</w:t>
      </w:r>
    </w:p>
    <w:p>
      <w:pPr>
        <w:numPr>
          <w:ilvl w:val="0"/>
          <w:numId w:val="1223"/>
        </w:numPr>
        <w:pStyle w:val="Compact"/>
      </w:pPr>
      <w:r>
        <w:rPr>
          <w:bCs/>
          <w:b/>
        </w:rPr>
        <w:t xml:space="preserve">Misure surrogate invece di endpoint clinici:</w:t>
      </w:r>
      <w:r>
        <w:t xml:space="preserve"> </w:t>
      </w:r>
      <w:r>
        <w:t xml:space="preserve">l’«età biologica» viene calcolata nella gerontologia russa da una combinazione di misurazioni come pressione arteriosa, funzione polmonare, tempo di reazione e autovalutazione. Non è una misura standardizzata a livello internazionale, e un suo miglioramento non significa automaticamente più salute o una vita più lunga.</w:t>
      </w:r>
    </w:p>
    <w:p>
      <w:pPr>
        <w:numPr>
          <w:ilvl w:val="0"/>
          <w:numId w:val="1223"/>
        </w:numPr>
        <w:pStyle w:val="Compact"/>
      </w:pPr>
      <w:r>
        <w:rPr>
          <w:bCs/>
          <w:b/>
        </w:rPr>
        <w:t xml:space="preserve">Combinazioni:</w:t>
      </w:r>
      <w:r>
        <w:t xml:space="preserve"> </w:t>
      </w:r>
      <w:r>
        <w:t xml:space="preserve">in diversi studi il Pinealon è stato somministrato insieme al peptide Vesugen (Lys-Glu-Asp), per cui l’effetto non può essere attribuito a una sola sostanza.</w:t>
      </w:r>
    </w:p>
    <w:p>
      <w:pPr>
        <w:numPr>
          <w:ilvl w:val="0"/>
          <w:numId w:val="1223"/>
        </w:numPr>
        <w:pStyle w:val="Compact"/>
      </w:pPr>
      <w:r>
        <w:rPr>
          <w:bCs/>
          <w:b/>
        </w:rPr>
        <w:t xml:space="preserve">Numeri poco chiari:</w:t>
      </w:r>
      <w:r>
        <w:t xml:space="preserve"> </w:t>
      </w:r>
      <w:r>
        <w:t xml:space="preserve">gli abstract riportano a malapena dimensioni dell’effetto.</w:t>
      </w:r>
    </w:p>
    <w:p>
      <w:pPr>
        <w:pStyle w:val="FirstParagraph"/>
      </w:pPr>
      <w:r>
        <w:t xml:space="preserve">Degno di nota è un risultato che nella pubblicità non compare: nello studio con 32 persone anziane gli autori hanno osservato con Pinealon e Vesugen un’attività</w:t>
      </w:r>
      <w:r>
        <w:t xml:space="preserve"> </w:t>
      </w:r>
      <w:r>
        <w:rPr>
          <w:bCs/>
          <w:b/>
        </w:rPr>
        <w:t xml:space="preserve">pro-ossidante</w:t>
      </w:r>
      <w:r>
        <w:t xml:space="preserve">, cioè l’opposto dell’effetto antiossidante dichiarato, e una diminuzione delle cellule staminali emopoietiche (CD34+) nel sangue, che descrivono come una marcata inibizione dell’emopoiesi. Ciononostante raccomandano i peptidi per la pratica geriatrica (Meshchaninov 2015, PMID 26390612).</w:t>
      </w:r>
    </w:p>
    <w:bookmarkEnd w:id="675"/>
    <w:bookmarkStart w:id="676" w:name="studi-su-animali-e-in-laboratorio-40"/>
    <w:p>
      <w:pPr>
        <w:pStyle w:val="Heading3"/>
      </w:pPr>
      <w:r>
        <w:t xml:space="preserve">Studi su animali e in laboratorio</w:t>
      </w:r>
    </w:p>
    <w:p>
      <w:pPr>
        <w:numPr>
          <w:ilvl w:val="0"/>
          <w:numId w:val="1224"/>
        </w:numPr>
        <w:pStyle w:val="Compact"/>
      </w:pPr>
      <w:r>
        <w:t xml:space="preserve">In ratti le cui madri durante la gravidanza avevano livelli elevati di omocisteina a causa di un mangime ricco di metionina, il Pinealon (somministrato alle madri) ha migliorato orientamento e capacità di apprendimento della prole; i neuroni del cervelletto di quest’ultima erano più resistenti allo stress ossidativo (Arutjunyan 2012, PMID 22567179).</w:t>
      </w:r>
    </w:p>
    <w:p>
      <w:pPr>
        <w:numPr>
          <w:ilvl w:val="0"/>
          <w:numId w:val="1224"/>
        </w:numPr>
        <w:pStyle w:val="Compact"/>
      </w:pPr>
      <w:r>
        <w:t xml:space="preserve">In ratti di 18 mesi, Pinealon e Cortexin (un preparato russo di estratto cerebrale) hanno influenzato, in condizioni di carenza di ossigeno e ipotermia, comportamento e messaggeri nel cervello; il Cortexin ha agito più fortemente sui processi radicalici e sugli enzimi della morte cellulare (Mendzheritsky 2015, PMID 28509493).</w:t>
      </w:r>
    </w:p>
    <w:p>
      <w:pPr>
        <w:numPr>
          <w:ilvl w:val="0"/>
          <w:numId w:val="1224"/>
        </w:numPr>
        <w:pStyle w:val="Compact"/>
      </w:pPr>
      <w:r>
        <w:t xml:space="preserve">In colture cellulari il Pinealon ha protetto diversi tipi di cellule dallo stress ossidativo (Khavinson 2011, PMID 21978084).</w:t>
      </w:r>
    </w:p>
    <w:p>
      <w:pPr>
        <w:pStyle w:val="FirstParagraph"/>
      </w:pPr>
      <w:r>
        <w:t xml:space="preserve">Quasi tutti i lavori provengono dal gruppo degli sviluppatori o da istituti russi che collaborano con esso.</w:t>
      </w:r>
    </w:p>
    <w:bookmarkEnd w:id="676"/>
    <w:bookmarkStart w:id="677" w:name="rischi-ed-effetti-collaterali-40"/>
    <w:p>
      <w:pPr>
        <w:pStyle w:val="Heading3"/>
      </w:pPr>
      <w:r>
        <w:t xml:space="preserve">Rischi ed effetti collaterali</w:t>
      </w:r>
    </w:p>
    <w:p>
      <w:pPr>
        <w:pStyle w:val="FirstParagraph"/>
      </w:pPr>
      <w:r>
        <w:rPr>
          <w:bCs/>
          <w:b/>
        </w:rPr>
        <w:t xml:space="preserve">Documentati:</w:t>
      </w:r>
      <w:r>
        <w:t xml:space="preserve"> </w:t>
      </w:r>
      <w:r>
        <w:t xml:space="preserve">non esistono dati di sicurezza sistematici. L’unico studio che riporta i valori di laboratorio in modo più dettagliato descrive un’attività pro-ossidante e una diminuzione delle cellule staminali emopoietiche nel sangue (Meshchaninov 2015, PMID 26390612). Che cosa significhi non è chiaro, ma è un segnale d’allarme che non è stato approfondito.</w:t>
      </w:r>
    </w:p>
    <w:p>
      <w:pPr>
        <w:pStyle w:val="BodyText"/>
      </w:pPr>
      <w:r>
        <w:rPr>
          <w:bCs/>
          <w:b/>
        </w:rPr>
        <w:t xml:space="preserve">Teorici:</w:t>
      </w:r>
      <w:r>
        <w:t xml:space="preserve"> </w:t>
      </w:r>
      <w:r>
        <w:t xml:space="preserve">se l’ipotesi degli sviluppatori è corretta e il Pinealon si lega davvero al DNA regolando i geni, sarebbero ipotizzabili anche effetti genetici indesiderati. Non esistono indagini su danni al materiale genetico, rischio di cancro o effetti a lungo termine.</w:t>
      </w:r>
    </w:p>
    <w:p>
      <w:pPr>
        <w:pStyle w:val="BodyText"/>
      </w:pPr>
      <w:r>
        <w:rPr>
          <w:bCs/>
          <w:b/>
        </w:rPr>
        <w:t xml:space="preserve">Mercato grigio:</w:t>
      </w:r>
      <w:r>
        <w:t xml:space="preserve"> </w:t>
      </w:r>
      <w:r>
        <w:t xml:space="preserve">il Pinealon viene offerto online in capsule, spray nasale o polvere per iniezione, per lo più con promesse su memoria, sonno e «ringiovanimento cerebrale». Contenuto e purezza non sono verificati.</w:t>
      </w:r>
    </w:p>
    <w:bookmarkEnd w:id="677"/>
    <w:bookmarkStart w:id="678" w:name="quadro-normativo-40"/>
    <w:p>
      <w:pPr>
        <w:pStyle w:val="Heading3"/>
      </w:pPr>
      <w:r>
        <w:t xml:space="preserve">Quadro normativo</w:t>
      </w:r>
    </w:p>
    <w:p>
      <w:pPr>
        <w:numPr>
          <w:ilvl w:val="0"/>
          <w:numId w:val="1225"/>
        </w:numPr>
        <w:pStyle w:val="Compact"/>
      </w:pPr>
      <w:r>
        <w:rPr>
          <w:bCs/>
          <w:b/>
        </w:rPr>
        <w:t xml:space="preserve">UE / Austria / Germania:</w:t>
      </w:r>
      <w:r>
        <w:t xml:space="preserve"> </w:t>
      </w:r>
      <w:r>
        <w:t xml:space="preserve">non autorizzato come medicinale. Una vendita come integratore alimentare sarebbe ammissibile solo se la sostanza fosse consentita dalla normativa alimentare; in quanto sostanza sintetica nuova con effetto farmacologico previsto, secondo la nostra valutazione non è così (aggiornato al 2026, da verificare).</w:t>
      </w:r>
    </w:p>
    <w:p>
      <w:pPr>
        <w:numPr>
          <w:ilvl w:val="0"/>
          <w:numId w:val="1225"/>
        </w:numPr>
        <w:pStyle w:val="Compact"/>
      </w:pPr>
      <w:r>
        <w:rPr>
          <w:bCs/>
          <w:b/>
        </w:rPr>
        <w:t xml:space="preserve">USA:</w:t>
      </w:r>
      <w:r>
        <w:t xml:space="preserve"> </w:t>
      </w:r>
      <w:r>
        <w:t xml:space="preserve">non autorizzato.</w:t>
      </w:r>
    </w:p>
    <w:p>
      <w:pPr>
        <w:numPr>
          <w:ilvl w:val="0"/>
          <w:numId w:val="1225"/>
        </w:numPr>
        <w:pStyle w:val="Compact"/>
      </w:pPr>
      <w:r>
        <w:rPr>
          <w:bCs/>
          <w:b/>
        </w:rPr>
        <w:t xml:space="preserve">Russia:</w:t>
      </w:r>
      <w:r>
        <w:t xml:space="preserve"> </w:t>
      </w:r>
      <w:r>
        <w:t xml:space="preserve">in commercio come componente di preparati peptidici che non hanno seguito la procedura di autorizzazione dei medicinali.</w:t>
      </w:r>
    </w:p>
    <w:p>
      <w:pPr>
        <w:numPr>
          <w:ilvl w:val="0"/>
          <w:numId w:val="1225"/>
        </w:numPr>
        <w:pStyle w:val="Compact"/>
      </w:pPr>
      <w:r>
        <w:rPr>
          <w:bCs/>
          <w:b/>
        </w:rPr>
        <w:t xml:space="preserve">Sport:</w:t>
      </w:r>
      <w:r>
        <w:t xml:space="preserve"> </w:t>
      </w:r>
      <w:r>
        <w:t xml:space="preserve">non elencato per nome; possibile inclusione nella categoria WADA S0 (aggiornato al 2026, da verificare).</w:t>
      </w:r>
    </w:p>
    <w:bookmarkEnd w:id="678"/>
    <w:bookmarkStart w:id="679" w:name="studi-in-corso-e-prospettive-40"/>
    <w:p>
      <w:pPr>
        <w:pStyle w:val="Heading3"/>
      </w:pPr>
      <w:r>
        <w:t xml:space="preserve">Studi in corso e prospettive</w:t>
      </w:r>
    </w:p>
    <w:p>
      <w:pPr>
        <w:pStyle w:val="FirstParagraph"/>
      </w:pPr>
      <w:r>
        <w:rPr>
          <w:bCs/>
          <w:b/>
        </w:rPr>
        <w:t xml:space="preserve">Assodato:</w:t>
      </w:r>
      <w:r>
        <w:t xml:space="preserve"> </w:t>
      </w:r>
      <w:r>
        <w:t xml:space="preserve">nessuno studio registrato (ricerca di ottobre 2026).</w:t>
      </w:r>
    </w:p>
    <w:p>
      <w:pPr>
        <w:pStyle w:val="BodyText"/>
      </w:pPr>
      <w:r>
        <w:rPr>
          <w:bCs/>
          <w:b/>
        </w:rPr>
        <w:t xml:space="preserve">Valutazione:</w:t>
      </w:r>
      <w:r>
        <w:t xml:space="preserve"> </w:t>
      </w:r>
      <w:r>
        <w:t xml:space="preserve">finché la ricerca resta limitata a una ristretta cerchia di istituti russi e non vengono condotti studi randomizzati e controllati con placebo con endpoint clinici, il Pinealon resta un concetto di laboratorio con una sovrastruttura di marketing.</w:t>
      </w:r>
    </w:p>
    <w:bookmarkEnd w:id="679"/>
    <w:bookmarkStart w:id="680" w:name="conclusione-40"/>
    <w:p>
      <w:pPr>
        <w:pStyle w:val="Heading3"/>
      </w:pPr>
      <w:r>
        <w:t xml:space="preserve">Conclusione</w:t>
      </w:r>
    </w:p>
    <w:p>
      <w:pPr>
        <w:pStyle w:val="FirstParagraph"/>
      </w:pPr>
      <w:r>
        <w:t xml:space="preserve">Il Pinealon è un tripeptide sintetico di San Pietroburgo che in colture cellulari e nei ratti ha protetto i neuroni dallo stress ossidativo; gli sviluppatori ipotizzano un effetto diretto sui geni. I pochi studi sull’uomo sono piccoli, non controllati e misurano soprattutto un’«età biologica» non standardizzata. Uno di essi ha persino trovato indizi di un effetto pro-ossidante e di un’inibizione dell’emopoiesi. I dati non bastano per valutare un beneficio o la sicurezza nell’uomo.</w:t>
      </w:r>
    </w:p>
    <w:bookmarkEnd w:id="680"/>
    <w:bookmarkEnd w:id="681"/>
    <w:bookmarkStart w:id="692" w:name="mots-c"/>
    <w:p>
      <w:pPr>
        <w:pStyle w:val="Heading2"/>
      </w:pPr>
      <w:r>
        <w:t xml:space="preserve">MOTS-c</w:t>
      </w:r>
    </w:p>
    <w:bookmarkStart w:id="682" w:name="scheda-41"/>
    <w:p>
      <w:pPr>
        <w:pStyle w:val="Heading3"/>
      </w:pPr>
      <w:r>
        <w:t xml:space="preserve">Scheda</w:t>
      </w:r>
    </w:p>
    <w:p>
      <w:pPr>
        <w:numPr>
          <w:ilvl w:val="0"/>
          <w:numId w:val="1226"/>
        </w:numPr>
        <w:pStyle w:val="Compact"/>
      </w:pPr>
      <w:r>
        <w:rPr>
          <w:bCs/>
          <w:b/>
        </w:rPr>
        <w:t xml:space="preserve">Tipo e struttura:</w:t>
      </w:r>
      <w:r>
        <w:t xml:space="preserve"> </w:t>
      </w:r>
      <w:r>
        <w:t xml:space="preserve">peptide di 16 amminoacidi. Il nome sta per</w:t>
      </w:r>
      <w:r>
        <w:t xml:space="preserve"> </w:t>
      </w:r>
      <w:r>
        <w:rPr>
          <w:iCs/>
          <w:i/>
        </w:rPr>
        <w:t xml:space="preserve">mitochondrial open reading frame of the 12S rRNA-c</w:t>
      </w:r>
      <w:r>
        <w:t xml:space="preserve">: non è codificato nel nucleo cellulare, ma nel genoma dei mitocondri, le «centrali energetiche» della cellula.</w:t>
      </w:r>
    </w:p>
    <w:p>
      <w:pPr>
        <w:numPr>
          <w:ilvl w:val="0"/>
          <w:numId w:val="1226"/>
        </w:numPr>
        <w:pStyle w:val="Compact"/>
      </w:pPr>
      <w:r>
        <w:rPr>
          <w:bCs/>
          <w:b/>
        </w:rPr>
        <w:t xml:space="preserve">Origine:</w:t>
      </w:r>
      <w:r>
        <w:t xml:space="preserve"> </w:t>
      </w:r>
      <w:r>
        <w:t xml:space="preserve">descritto nel 2015 da un gruppo di lavoro guidato da Pinchas Cohen presso la University of Southern California. L’organismo lo produce da sé, soprattutto nel muscolo scheletrico.</w:t>
      </w:r>
    </w:p>
    <w:p>
      <w:pPr>
        <w:numPr>
          <w:ilvl w:val="0"/>
          <w:numId w:val="1226"/>
        </w:numPr>
        <w:pStyle w:val="Compact"/>
      </w:pPr>
      <w:r>
        <w:rPr>
          <w:bCs/>
          <w:b/>
        </w:rPr>
        <w:t xml:space="preserve">Principio d’azione:</w:t>
      </w:r>
      <w:r>
        <w:t xml:space="preserve"> </w:t>
      </w:r>
      <w:r>
        <w:t xml:space="preserve">è considerato una «mitochina», una sostanza di segnalazione dei mitocondri. Nei topi ha attivato il sensore energetico AMPK, migliorato la sensibilità all’insulina e la capacità fisica; per questo viene discusso come «imitatore dell’esercizio fisico» (exercise mimetic).</w:t>
      </w:r>
    </w:p>
    <w:p>
      <w:pPr>
        <w:numPr>
          <w:ilvl w:val="0"/>
          <w:numId w:val="1226"/>
        </w:numPr>
        <w:pStyle w:val="Compact"/>
      </w:pPr>
      <w:r>
        <w:rPr>
          <w:bCs/>
          <w:b/>
        </w:rPr>
        <w:t xml:space="preserve">Autorizzazione UE:</w:t>
      </w:r>
      <w:r>
        <w:t xml:space="preserve"> </w:t>
      </w:r>
      <w:r>
        <w:t xml:space="preserve">no.</w:t>
      </w:r>
    </w:p>
    <w:p>
      <w:pPr>
        <w:numPr>
          <w:ilvl w:val="0"/>
          <w:numId w:val="1226"/>
        </w:numPr>
        <w:pStyle w:val="Compact"/>
      </w:pPr>
      <w:r>
        <w:rPr>
          <w:bCs/>
          <w:b/>
        </w:rPr>
        <w:t xml:space="preserve">Autorizzazione USA:</w:t>
      </w:r>
      <w:r>
        <w:t xml:space="preserve"> </w:t>
      </w:r>
      <w:r>
        <w:t xml:space="preserve">no. Nell’aprile 2026 è stato cancellato dalla «categoria 2» della FDA; nel luglio 2026 il comitato consultivo PCAC ha votato con 7 voti contro 5 a favore dell’inserimento nell’elenco delle sostanze ammesse per preparazioni magistrali (aggiornato a ottobre 2026, da verificare).</w:t>
      </w:r>
    </w:p>
    <w:p>
      <w:pPr>
        <w:numPr>
          <w:ilvl w:val="0"/>
          <w:numId w:val="1226"/>
        </w:numPr>
        <w:pStyle w:val="Compact"/>
      </w:pPr>
      <w:r>
        <w:rPr>
          <w:bCs/>
          <w:b/>
        </w:rPr>
        <w:t xml:space="preserve">WADA:</w:t>
      </w:r>
      <w:r>
        <w:t xml:space="preserve"> </w:t>
      </w:r>
      <w:r>
        <w:rPr>
          <w:bCs/>
          <w:b/>
        </w:rPr>
        <w:t xml:space="preserve">vietato</w:t>
      </w:r>
      <w:r>
        <w:t xml:space="preserve"> </w:t>
      </w:r>
      <w:r>
        <w:t xml:space="preserve">– citato espressamente nella categoria S4 (modulatori ormonali e metabolici) come esempio di attivatore dell’AMPK, in gara e fuori gara (aggiornato al 2026, da verificare).</w:t>
      </w:r>
    </w:p>
    <w:p>
      <w:pPr>
        <w:numPr>
          <w:ilvl w:val="0"/>
          <w:numId w:val="1226"/>
        </w:numPr>
        <w:pStyle w:val="Compact"/>
      </w:pPr>
      <w:r>
        <w:rPr>
          <w:bCs/>
          <w:b/>
        </w:rPr>
        <w:t xml:space="preserve">Livello di evidenza:</w:t>
      </w:r>
      <w:r>
        <w:t xml:space="preserve"> </w:t>
      </w:r>
      <w:r>
        <w:rPr>
          <w:bCs/>
          <w:b/>
        </w:rPr>
        <w:t xml:space="preserve">D</w:t>
      </w:r>
      <w:r>
        <w:t xml:space="preserve"> </w:t>
      </w:r>
      <w:r>
        <w:t xml:space="preserve">per la somministrazione come principio attivo – non esistono risultati pubblicati di studi controllati sull’uomo; nell’uomo esistono solo studi osservazionali sui livelli endogeni.</w:t>
      </w:r>
    </w:p>
    <w:bookmarkEnd w:id="682"/>
    <w:bookmarkStart w:id="683" w:name="come-dovrebbe-agire-41"/>
    <w:p>
      <w:pPr>
        <w:pStyle w:val="Heading3"/>
      </w:pPr>
      <w:r>
        <w:t xml:space="preserve">Come dovrebbe agire</w:t>
      </w:r>
    </w:p>
    <w:p>
      <w:pPr>
        <w:pStyle w:val="FirstParagraph"/>
      </w:pPr>
      <w:r>
        <w:t xml:space="preserve">I mitocondri possiedono un proprio piccolo genoma. A lungo è stato considerato il «progetto» di sole 13 proteine della produzione di energia. Dall’inizio degli anni Duemila vi sono stati scoperti anche brevi segmenti di lettura che codificano piccoli peptidi di segnalazione: prima l’umanina (si veda il capitolo successivo), poi il MOTS-c.</w:t>
      </w:r>
    </w:p>
    <w:p>
      <w:pPr>
        <w:pStyle w:val="BodyText"/>
      </w:pPr>
      <w:r>
        <w:t xml:space="preserve">La prima descrizione ha mostrato nei topi che il MOTS-c agisce soprattutto sul muscolo scheletrico: inibisce una via metabolica (ciclo dei folati e sintesi delle purine), per cui si accumula il messaggero AICAR e viene attivato l’enzima AMPK, lo stesso sensore energetico su cui agiscono anche l’esercizio fisico e il farmaco antidiabetico metformina. I topi a cui veniva iniettato MOTS-c sviluppavano con una dieta ricca di grassi meno sovrappeso e meno insulino-resistenza (Lee 2015, PMID 25738459). In condizioni di stress metabolico il MOTS-c, in colture cellulari, migrava nel nucleo e lì influenzava i geni (Kim 2018, PMID 29983246).</w:t>
      </w:r>
    </w:p>
    <w:p>
      <w:pPr>
        <w:pStyle w:val="BodyText"/>
      </w:pPr>
      <w:r>
        <w:t xml:space="preserve">In un secondo grande lavoro il MOTS-c ha aumentato la capacità fisica di topi giovani, di mezza età e anziani; un trattamento iniziato solo in età molto avanzata ha migliorato capacità fisica e «durata della vita in salute». Nell’uomo i livelli di MOTS-c nel muscolo e nel sangue sono aumentati dopo uno sforzo fisico (Reynolds 2021, PMID 33473109).</w:t>
      </w:r>
    </w:p>
    <w:p>
      <w:pPr>
        <w:pStyle w:val="BodyText"/>
      </w:pPr>
      <w:r>
        <w:t xml:space="preserve">Ne è nata l’immagine del MOTS-c come «sport in siringa». Importante è però l’ordine: che l’esercizio aumenti il MOTS-c non significa che le iniezioni di MOTS-c riproducano nell’uomo gli effetti dell’esercizio.</w:t>
      </w:r>
    </w:p>
    <w:bookmarkEnd w:id="683"/>
    <w:bookmarkStart w:id="686" w:name="studi-sulluomo-41"/>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5 pubblicazioni classificate come studi sull’uomo; in nessuna è stato somministrato MOTS-c. Complessivamente PubMed elenca circa 260 lavori con «MOTS-c», prevalentemente esperimenti su animali e cellule e studi osservazionali sui livelli ematici endogeni. Su ClinicalTrials.gov la ricerca ha dato 5 voci. Quattro di queste misurano solo livelli o riguardano altre questioni. La quinta, un presunto studio di fase 2 con MOTS-c nel prediabete, proviene da uno sponsor sotto il cui nome risultano evidentemente voci di esempio fittizie nel registro. Non la consideriamo quindi uno studio reale e non la conteggiamo; uno studio registrato con il MOTS-c stesso come principio attivo non è dunque documentato. A ciò si aggiunge uno studio concluso con il derivato del MOTS-c CB4211 (NCT03998514).</w:t>
      </w:r>
    </w:p>
    <w:p>
      <w:pPr>
        <w:pStyle w:val="BodyText"/>
      </w:pPr>
      <w:r>
        <w:t xml:space="preserve">Per comprendere questo capitolo è fondamentale una distinzione:</w:t>
      </w:r>
    </w:p>
    <w:p>
      <w:pPr>
        <w:numPr>
          <w:ilvl w:val="0"/>
          <w:numId w:val="1227"/>
        </w:numPr>
        <w:pStyle w:val="Compact"/>
      </w:pPr>
      <w:r>
        <w:rPr>
          <w:bCs/>
          <w:b/>
        </w:rPr>
        <w:t xml:space="preserve">Studi osservazionali sui livelli endogeni:</w:t>
      </w:r>
      <w:r>
        <w:t xml:space="preserve"> </w:t>
      </w:r>
      <w:r>
        <w:t xml:space="preserve">qui si misura quanto MOTS-c le persone hanno nel sangue e lo si mette in relazione con malattie o comportamenti.</w:t>
      </w:r>
    </w:p>
    <w:p>
      <w:pPr>
        <w:numPr>
          <w:ilvl w:val="0"/>
          <w:numId w:val="1227"/>
        </w:numPr>
        <w:pStyle w:val="Compact"/>
      </w:pPr>
      <w:r>
        <w:rPr>
          <w:bCs/>
          <w:b/>
        </w:rPr>
        <w:t xml:space="preserve">Studi in cui il MOTS-c (o un derivato) viene somministrato come principio attivo:</w:t>
      </w:r>
      <w:r>
        <w:t xml:space="preserve"> </w:t>
      </w:r>
      <w:r>
        <w:t xml:space="preserve">solo questi possono mostrare se un apporto produce un effetto.</w:t>
      </w:r>
    </w:p>
    <w:p>
      <w:pPr>
        <w:pStyle w:val="FirstParagraph"/>
      </w:pPr>
      <w:r>
        <w:t xml:space="preserve">I risultati del primo tipo vengono spesso presentati in internet come se dimostrassero l’effetto del secondo tipo. È un cortocircuito logico.</w:t>
      </w:r>
    </w:p>
    <w:bookmarkStart w:id="684" w:name="livelli-endogeni-osservazioni"/>
    <w:p>
      <w:pPr>
        <w:pStyle w:val="Heading4"/>
      </w:pPr>
      <w:r>
        <w:t xml:space="preserve">1. Livelli endogeni: osservazioni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Du 2018, PMID 29691953</w:t>
            </w:r>
          </w:p>
        </w:tc>
        <w:tc>
          <w:tcPr/>
          <w:p>
            <w:pPr>
              <w:pStyle w:val="Compact"/>
              <w:jc w:val="left"/>
            </w:pPr>
            <w:r>
              <w:t xml:space="preserve">40 bambini e adolescenti in sovrappeso, 57 controlli, studio caso-controllo</w:t>
            </w:r>
          </w:p>
        </w:tc>
        <w:tc>
          <w:tcPr/>
          <w:p>
            <w:pPr>
              <w:pStyle w:val="Compact"/>
              <w:jc w:val="left"/>
            </w:pPr>
            <w:r>
              <w:t xml:space="preserve">trasversale</w:t>
            </w:r>
          </w:p>
        </w:tc>
        <w:tc>
          <w:tcPr/>
          <w:p>
            <w:pPr>
              <w:pStyle w:val="Compact"/>
              <w:jc w:val="left"/>
            </w:pPr>
            <w:r>
              <w:t xml:space="preserve">livelli più bassi nei ragazzi in sovrappeso, non nelle ragazze</w:t>
            </w:r>
          </w:p>
        </w:tc>
      </w:tr>
      <w:tr>
        <w:tc>
          <w:tcPr/>
          <w:p>
            <w:pPr>
              <w:pStyle w:val="Compact"/>
              <w:jc w:val="left"/>
            </w:pPr>
            <w:r>
              <w:t xml:space="preserve">Kirik 2023, PMID 37750635</w:t>
            </w:r>
          </w:p>
        </w:tc>
        <w:tc>
          <w:tcPr/>
          <w:p>
            <w:pPr>
              <w:pStyle w:val="Compact"/>
              <w:jc w:val="left"/>
            </w:pPr>
            <w:r>
              <w:t xml:space="preserve">150 persone con fegato grasso, 84 persone sane</w:t>
            </w:r>
          </w:p>
        </w:tc>
        <w:tc>
          <w:tcPr/>
          <w:p>
            <w:pPr>
              <w:pStyle w:val="Compact"/>
              <w:jc w:val="left"/>
            </w:pPr>
            <w:r>
              <w:t xml:space="preserve">trasversale</w:t>
            </w:r>
          </w:p>
        </w:tc>
        <w:tc>
          <w:tcPr/>
          <w:p>
            <w:pPr>
              <w:pStyle w:val="Compact"/>
              <w:jc w:val="left"/>
            </w:pPr>
            <w:r>
              <w:t xml:space="preserve">livelli più bassi in caso di fegato grasso e sindrome metabolica</w:t>
            </w:r>
          </w:p>
        </w:tc>
      </w:tr>
      <w:tr>
        <w:tc>
          <w:tcPr/>
          <w:p>
            <w:pPr>
              <w:pStyle w:val="Compact"/>
              <w:jc w:val="left"/>
            </w:pPr>
            <w:r>
              <w:t xml:space="preserve">Ikonomidis 2020, PMID 32052315</w:t>
            </w:r>
          </w:p>
        </w:tc>
        <w:tc>
          <w:tcPr/>
          <w:p>
            <w:pPr>
              <w:pStyle w:val="Compact"/>
              <w:jc w:val="left"/>
            </w:pPr>
            <w:r>
              <w:t xml:space="preserve">121 persone con diabete di tipo 2 dopo intervento vascolare</w:t>
            </w:r>
          </w:p>
        </w:tc>
        <w:tc>
          <w:tcPr/>
          <w:p>
            <w:pPr>
              <w:pStyle w:val="Compact"/>
              <w:jc w:val="left"/>
            </w:pPr>
            <w:r>
              <w:t xml:space="preserve">2 anni</w:t>
            </w:r>
          </w:p>
        </w:tc>
        <w:tc>
          <w:tcPr/>
          <w:p>
            <w:pPr>
              <w:pStyle w:val="Compact"/>
              <w:jc w:val="left"/>
            </w:pPr>
            <w:r>
              <w:t xml:space="preserve">MOTS-c basso (sotto 167 ng/ml) prediceva eventi cardiovascolari (rischio relativo 3,8)</w:t>
            </w:r>
          </w:p>
        </w:tc>
      </w:tr>
      <w:tr>
        <w:tc>
          <w:tcPr/>
          <w:p>
            <w:pPr>
              <w:pStyle w:val="Compact"/>
              <w:jc w:val="left"/>
            </w:pPr>
            <w:r>
              <w:t xml:space="preserve">von Walden 2021, PMID 34351816</w:t>
            </w:r>
          </w:p>
        </w:tc>
        <w:tc>
          <w:tcPr/>
          <w:p>
            <w:pPr>
              <w:pStyle w:val="Compact"/>
              <w:jc w:val="left"/>
            </w:pPr>
            <w:r>
              <w:t xml:space="preserve">30 persone, allenamento di resistenza o di forza o controllo, randomizzato</w:t>
            </w:r>
          </w:p>
        </w:tc>
        <w:tc>
          <w:tcPr/>
          <w:p>
            <w:pPr>
              <w:pStyle w:val="Compact"/>
              <w:jc w:val="left"/>
            </w:pPr>
            <w:r>
              <w:t xml:space="preserve">sforzo singolo</w:t>
            </w:r>
          </w:p>
        </w:tc>
        <w:tc>
          <w:tcPr/>
          <w:p>
            <w:pPr>
              <w:pStyle w:val="Compact"/>
              <w:jc w:val="left"/>
            </w:pPr>
            <w:r>
              <w:t xml:space="preserve">l’umanina è aumentata dopo sforzo di resistenza, il MOTS-c ha mostrato solo una tendenza</w:t>
            </w:r>
          </w:p>
        </w:tc>
      </w:tr>
      <w:tr>
        <w:tc>
          <w:tcPr/>
          <w:p>
            <w:pPr>
              <w:pStyle w:val="Compact"/>
              <w:jc w:val="left"/>
            </w:pPr>
            <w:r>
              <w:t xml:space="preserve">Dieli-Conwright 2021, PMID 34413391</w:t>
            </w:r>
          </w:p>
        </w:tc>
        <w:tc>
          <w:tcPr/>
          <w:p>
            <w:pPr>
              <w:pStyle w:val="Compact"/>
              <w:jc w:val="left"/>
            </w:pPr>
            <w:r>
              <w:t xml:space="preserve">49 donne dopo cancro al seno, allenamento o assistenza standard, randomizzato</w:t>
            </w:r>
          </w:p>
        </w:tc>
        <w:tc>
          <w:tcPr/>
          <w:p>
            <w:pPr>
              <w:pStyle w:val="Compact"/>
              <w:jc w:val="left"/>
            </w:pPr>
            <w:r>
              <w:t xml:space="preserve">16 settimane</w:t>
            </w:r>
          </w:p>
        </w:tc>
        <w:tc>
          <w:tcPr/>
          <w:p>
            <w:pPr>
              <w:pStyle w:val="Compact"/>
              <w:jc w:val="left"/>
            </w:pPr>
            <w:r>
              <w:t xml:space="preserve">aumento del MOTS-c nelle donne bianche non ispaniche, non nelle donne ispaniche</w:t>
            </w:r>
          </w:p>
        </w:tc>
      </w:tr>
      <w:tr>
        <w:tc>
          <w:tcPr/>
          <w:p>
            <w:pPr>
              <w:pStyle w:val="Compact"/>
              <w:jc w:val="left"/>
            </w:pPr>
            <w:r>
              <w:t xml:space="preserve">Elhusseiny 2025, PMID 40674654</w:t>
            </w:r>
          </w:p>
        </w:tc>
        <w:tc>
          <w:tcPr/>
          <w:p>
            <w:pPr>
              <w:pStyle w:val="Compact"/>
              <w:jc w:val="left"/>
            </w:pPr>
            <w:r>
              <w:t xml:space="preserve">19 uomini attivi con gamba immobilizzata, trattamento termico o fittizio</w:t>
            </w:r>
          </w:p>
        </w:tc>
        <w:tc>
          <w:tcPr/>
          <w:p>
            <w:pPr>
              <w:pStyle w:val="Compact"/>
              <w:jc w:val="left"/>
            </w:pPr>
            <w:r>
              <w:t xml:space="preserve">2 settimane</w:t>
            </w:r>
          </w:p>
        </w:tc>
        <w:tc>
          <w:tcPr/>
          <w:p>
            <w:pPr>
              <w:pStyle w:val="Compact"/>
              <w:jc w:val="left"/>
            </w:pPr>
            <w:r>
              <w:t xml:space="preserve">il calore ha aumentato il MOTS-c nel sangue</w:t>
            </w:r>
          </w:p>
        </w:tc>
      </w:tr>
    </w:tbl>
    <w:p>
      <w:pPr>
        <w:pStyle w:val="BodyText"/>
      </w:pPr>
      <w:r>
        <w:t xml:space="preserve">Questi studi mostrano che livelli bassi di MOTS-c si accompagnano spesso a sovrappeso, insulino-resistenza, fegato grasso o problemi vascolari (Du 2018, PMID 29691953; Kirik 2023, PMID 37750635; Qin 2018, PMID 29242099) e che esercizio fisico o calore possono aumentare i livelli. Ciò che</w:t>
      </w:r>
      <w:r>
        <w:t xml:space="preserve"> </w:t>
      </w:r>
      <w:r>
        <w:rPr>
          <w:bCs/>
          <w:b/>
        </w:rPr>
        <w:t xml:space="preserve">non</w:t>
      </w:r>
      <w:r>
        <w:t xml:space="preserve"> </w:t>
      </w:r>
      <w:r>
        <w:t xml:space="preserve">mostrano: che i livelli bassi causino le malattie, o che il MOTS-c somministrato le prevenga. Potrebbe benissimo essere il contrario: la malattia abbassa il livello.</w:t>
      </w:r>
    </w:p>
    <w:p>
      <w:pPr>
        <w:pStyle w:val="BodyText"/>
      </w:pPr>
      <w:r>
        <w:t xml:space="preserve">Un’ulteriore difficoltà è la misurazione stessa. Gli studi usano procedure di test diverse (ELISA), i cui risultati differiscono fortemente: nei bambini i valori medi erano intorno a 470-560 ng/ml (Du 2018, PMID 29691953), nello studio sul diabete un valore sotto 167 ng/ml era considerato basso (Ikonomidis 2020, PMID 32052315). In uno studio su pazienti con cancro al seno persino la metformina, che agisce sullo stesso sensore energetico, non ha modificato i livelli misurati con un test commerciale (Cuyàs 2022, PMID 36490309).</w:t>
      </w:r>
    </w:p>
    <w:p>
      <w:pPr>
        <w:pStyle w:val="BodyText"/>
      </w:pPr>
      <w:r>
        <w:rPr>
          <w:bCs/>
          <w:b/>
        </w:rPr>
        <w:t xml:space="preserve">Indizi genetici:</w:t>
      </w:r>
      <w:r>
        <w:t xml:space="preserve"> </w:t>
      </w:r>
      <w:r>
        <w:t xml:space="preserve">una variante del genoma mitocondriale presente solo in Asia modifica un elemento del MOTS-c (K14Q). In tre coorti con complessivamente 27.527 persone, gli uomini con questa variante avevano più spesso il diabete di tipo 2, soprattutto se poco attivi fisicamente. Nei topi la forma modificata di MOTS-c era meno efficace (Zempo 2021, PMID 33468709). È un indizio interessante che il MOTS-c possa avere un ruolo nel metabolismo umano, ma non una prova del beneficio di un apporto.</w:t>
      </w:r>
    </w:p>
    <w:bookmarkEnd w:id="684"/>
    <w:bookmarkStart w:id="685" w:name="X9c7aa1455e36b549ef91bc6dcd98642480d1180"/>
    <w:p>
      <w:pPr>
        <w:pStyle w:val="Heading4"/>
      </w:pPr>
      <w:r>
        <w:t xml:space="preserve">2. Somministrazione come principio attivo: CB4211</w:t>
      </w:r>
    </w:p>
    <w:p>
      <w:pPr>
        <w:pStyle w:val="FirstParagraph"/>
      </w:pPr>
      <w:r>
        <w:t xml:space="preserve">Il</w:t>
      </w:r>
      <w:r>
        <w:t xml:space="preserve"> </w:t>
      </w:r>
      <w:r>
        <w:rPr>
          <w:bCs/>
          <w:b/>
        </w:rPr>
        <w:t xml:space="preserve">CB4211</w:t>
      </w:r>
      <w:r>
        <w:t xml:space="preserve"> </w:t>
      </w:r>
      <w:r>
        <w:t xml:space="preserve">è un derivato del MOTS-c sviluppato dall’azienda CohBar. Lo studio di fase 1a/1b (NCT03998514) era randomizzato, in doppio cieco e controllato con placebo e comprendeva 88 partecipanti: persone sane hanno ricevuto iniezioni sottocutanee singole o quotidiane per sette giorni, persone con obesità e fegato grasso per 28 giorni. Gli endpoint principali erano sicurezza e tollerabilità; obiettivi secondari erano tra l’altro grasso epatico e peso corporeo. Lo studio si è concluso nell’aprile 2021. Nel registro non sono stati depositati risultati, e la nostra ricerca non ha trovato una pubblicazione in una rivista scientifica. Nel 2021 l’azienda ha comunicato con un comunicato stampa variazioni favorevoli di singoli valori epatici e glicemici con buona tollerabilità; tali comunicazioni non sono sottoposte a revisione indipendente. Non è noto un ulteriore sviluppo in studi più ampi.</w:t>
      </w:r>
    </w:p>
    <w:p>
      <w:pPr>
        <w:pStyle w:val="BodyText"/>
      </w:pPr>
      <w:r>
        <w:t xml:space="preserve">Il</w:t>
      </w:r>
      <w:r>
        <w:t xml:space="preserve"> </w:t>
      </w:r>
      <w:r>
        <w:rPr>
          <w:bCs/>
          <w:b/>
        </w:rPr>
        <w:t xml:space="preserve">MOTS-c stesso</w:t>
      </w:r>
      <w:r>
        <w:t xml:space="preserve">, secondo la nostra ricerca, non è stato finora somministrato come principio attivo in alcuno studio sull’uomo pubblicato o registrato in modo affidabile. Una voce di registro che descrive un tale studio di fase 2 si è rivelata dubbia (si veda sopra).</w:t>
      </w:r>
    </w:p>
    <w:p>
      <w:pPr>
        <w:pStyle w:val="BodyText"/>
      </w:pPr>
      <w:r>
        <w:t xml:space="preserve">Fino ad allora vale:</w:t>
      </w:r>
      <w:r>
        <w:t xml:space="preserve"> </w:t>
      </w:r>
      <w:r>
        <w:rPr>
          <w:bCs/>
          <w:b/>
        </w:rPr>
        <w:t xml:space="preserve">non esistono dati pubblicati</w:t>
      </w:r>
      <w:r>
        <w:t xml:space="preserve"> </w:t>
      </w:r>
      <w:r>
        <w:t xml:space="preserve">sul fatto che le iniezioni di MOTS-c influenzino nell’uomo il metabolismo, le prestazioni o l’invecchiamento.</w:t>
      </w:r>
    </w:p>
    <w:bookmarkEnd w:id="685"/>
    <w:bookmarkEnd w:id="686"/>
    <w:bookmarkStart w:id="687" w:name="studi-su-animali-e-in-laboratorio-41"/>
    <w:p>
      <w:pPr>
        <w:pStyle w:val="Heading3"/>
      </w:pPr>
      <w:r>
        <w:t xml:space="preserve">Studi su animali e in laboratorio</w:t>
      </w:r>
    </w:p>
    <w:p>
      <w:pPr>
        <w:pStyle w:val="FirstParagraph"/>
      </w:pPr>
      <w:r>
        <w:t xml:space="preserve">La ricerca preclinica è ampia e cresce rapidamente:</w:t>
      </w:r>
    </w:p>
    <w:p>
      <w:pPr>
        <w:numPr>
          <w:ilvl w:val="0"/>
          <w:numId w:val="1228"/>
        </w:numPr>
        <w:pStyle w:val="Compact"/>
      </w:pPr>
      <w:r>
        <w:rPr>
          <w:bCs/>
          <w:b/>
        </w:rPr>
        <w:t xml:space="preserve">Metabolismo:</w:t>
      </w:r>
      <w:r>
        <w:t xml:space="preserve"> </w:t>
      </w:r>
      <w:r>
        <w:t xml:space="preserve">nei topi il MOTS-c ha impedito sovrappeso e insulino-resistenza di origine alimentare (Lee 2015, PMID 25738459).</w:t>
      </w:r>
    </w:p>
    <w:p>
      <w:pPr>
        <w:numPr>
          <w:ilvl w:val="0"/>
          <w:numId w:val="1228"/>
        </w:numPr>
        <w:pStyle w:val="Compact"/>
      </w:pPr>
      <w:r>
        <w:rPr>
          <w:bCs/>
          <w:b/>
        </w:rPr>
        <w:t xml:space="preserve">Muscolo:</w:t>
      </w:r>
      <w:r>
        <w:t xml:space="preserve"> </w:t>
      </w:r>
      <w:r>
        <w:t xml:space="preserve">il MOTS-c ha ridotto nei topi in sovrappeso il messaggero della perdita muscolare miostatina; nell’uomo i livelli ematici di MOTS-c e miostatina erano inversamente correlati (Kumagai 2021, PMID 33554779).</w:t>
      </w:r>
    </w:p>
    <w:p>
      <w:pPr>
        <w:numPr>
          <w:ilvl w:val="0"/>
          <w:numId w:val="1228"/>
        </w:numPr>
        <w:pStyle w:val="Compact"/>
      </w:pPr>
      <w:r>
        <w:rPr>
          <w:bCs/>
          <w:b/>
        </w:rPr>
        <w:t xml:space="preserve">Prestazioni ed età:</w:t>
      </w:r>
      <w:r>
        <w:t xml:space="preserve"> </w:t>
      </w:r>
      <w:r>
        <w:t xml:space="preserve">il MOTS-c ha aumentato la capacità fisica di topi di diverse età (Reynolds 2021, PMID 33473109).</w:t>
      </w:r>
    </w:p>
    <w:p>
      <w:pPr>
        <w:numPr>
          <w:ilvl w:val="0"/>
          <w:numId w:val="1228"/>
        </w:numPr>
        <w:pStyle w:val="Compact"/>
      </w:pPr>
      <w:r>
        <w:rPr>
          <w:bCs/>
          <w:b/>
        </w:rPr>
        <w:t xml:space="preserve">Pancreas:</w:t>
      </w:r>
      <w:r>
        <w:t xml:space="preserve"> </w:t>
      </w:r>
      <w:r>
        <w:t xml:space="preserve">nei topi il MOTS-c ha ritardato l’invecchiamento delle cellule produttrici di insulina e l’insorgenza di un diabete (Kong 2025, PMID 40855115).</w:t>
      </w:r>
    </w:p>
    <w:p>
      <w:pPr>
        <w:numPr>
          <w:ilvl w:val="0"/>
          <w:numId w:val="1228"/>
        </w:numPr>
        <w:pStyle w:val="Compact"/>
      </w:pPr>
      <w:r>
        <w:t xml:space="preserve">Numerosi altri lavori, prevalentemente dalla Cina, descrivono effetti protettivi in modelli di danno polmonare, cardiaco, epatico, osseo e renale.</w:t>
      </w:r>
    </w:p>
    <w:p>
      <w:pPr>
        <w:pStyle w:val="FirstParagraph"/>
      </w:pPr>
      <w:r>
        <w:t xml:space="preserve">L’abbondanza di studi animali positivi è vistosa. Mostra che il MOTS-c è biologicamente attivo; su efficacia e sicurezza nell’uomo dice poco.</w:t>
      </w:r>
    </w:p>
    <w:bookmarkEnd w:id="687"/>
    <w:bookmarkStart w:id="688" w:name="rischi-ed-effetti-collaterali-41"/>
    <w:p>
      <w:pPr>
        <w:pStyle w:val="Heading3"/>
      </w:pPr>
      <w:r>
        <w:t xml:space="preserve">Rischi ed effetti collaterali</w:t>
      </w:r>
    </w:p>
    <w:p>
      <w:pPr>
        <w:pStyle w:val="FirstParagraph"/>
      </w:pPr>
      <w:r>
        <w:rPr>
          <w:bCs/>
          <w:b/>
        </w:rPr>
        <w:t xml:space="preserve">Documentati:</w:t>
      </w:r>
      <w:r>
        <w:t xml:space="preserve"> </w:t>
      </w:r>
      <w:r>
        <w:t xml:space="preserve">non esistono dati di sicurezza pubblicati sulla somministrazione di MOTS-c nell’uomo.</w:t>
      </w:r>
    </w:p>
    <w:p>
      <w:pPr>
        <w:pStyle w:val="BodyText"/>
      </w:pPr>
      <w:r>
        <w:rPr>
          <w:bCs/>
          <w:b/>
        </w:rPr>
        <w:t xml:space="preserve">Teorici:</w:t>
      </w:r>
    </w:p>
    <w:p>
      <w:pPr>
        <w:numPr>
          <w:ilvl w:val="0"/>
          <w:numId w:val="1229"/>
        </w:numPr>
        <w:pStyle w:val="Compact"/>
      </w:pPr>
      <w:r>
        <w:rPr>
          <w:bCs/>
          <w:b/>
        </w:rPr>
        <w:t xml:space="preserve">Glicemia:</w:t>
      </w:r>
      <w:r>
        <w:t xml:space="preserve"> </w:t>
      </w:r>
      <w:r>
        <w:t xml:space="preserve">una sostanza che aumenta la sensibilità all’insulina potrebbe favorire ipoglicemie insieme ai farmaci antidiabetici.</w:t>
      </w:r>
    </w:p>
    <w:p>
      <w:pPr>
        <w:numPr>
          <w:ilvl w:val="0"/>
          <w:numId w:val="1229"/>
        </w:numPr>
        <w:pStyle w:val="Compact"/>
      </w:pPr>
      <w:r>
        <w:rPr>
          <w:bCs/>
          <w:b/>
        </w:rPr>
        <w:t xml:space="preserve">Cancro:</w:t>
      </w:r>
      <w:r>
        <w:t xml:space="preserve"> </w:t>
      </w:r>
      <w:r>
        <w:t xml:space="preserve">in studi di laboratorio il MOTS-c ha piuttosto frenato le cellule tumorali: ha inibito la crescita di cellule di cancro ovarico (Yin 2024, PMID 39321430) e ha reso le cellule di cancro del fegato più sensibili alla morte cellulare programmata in condizioni di carenza di ossigeno (Shen 2025, PMID 39581216). Se ciò valga nell’uomo e quali effetti abbia un apporto pluriennale di una sostanza di segnalazione metabolicamente attiva non è stato studiato.</w:t>
      </w:r>
    </w:p>
    <w:p>
      <w:pPr>
        <w:numPr>
          <w:ilvl w:val="0"/>
          <w:numId w:val="1229"/>
        </w:numPr>
        <w:pStyle w:val="Compact"/>
      </w:pPr>
      <w:r>
        <w:rPr>
          <w:bCs/>
          <w:b/>
        </w:rPr>
        <w:t xml:space="preserve">Reazioni immunitarie:</w:t>
      </w:r>
      <w:r>
        <w:t xml:space="preserve"> </w:t>
      </w:r>
      <w:r>
        <w:t xml:space="preserve">con iniezioni ripetute di un peptide possono formarsi anticorpi; per il MOTS-c ciò non è stato studiato.</w:t>
      </w:r>
    </w:p>
    <w:p>
      <w:pPr>
        <w:pStyle w:val="FirstParagraph"/>
      </w:pPr>
      <w:r>
        <w:rPr>
          <w:bCs/>
          <w:b/>
        </w:rPr>
        <w:t xml:space="preserve">Mercato grigio e sport:</w:t>
      </w:r>
      <w:r>
        <w:t xml:space="preserve"> </w:t>
      </w:r>
      <w:r>
        <w:t xml:space="preserve">il MOTS-c è tra i peptidi «della longevità» e per il fitness più popolari in internet e viene venduto in polvere per iniezione. Purezza e contenuto non sono verificati. Per sportive e sportivi l’uso è espressamente vietato (WADA S4).</w:t>
      </w:r>
    </w:p>
    <w:bookmarkEnd w:id="688"/>
    <w:bookmarkStart w:id="689" w:name="quadro-normativo-41"/>
    <w:p>
      <w:pPr>
        <w:pStyle w:val="Heading3"/>
      </w:pPr>
      <w:r>
        <w:t xml:space="preserve">Quadro normativo</w:t>
      </w:r>
    </w:p>
    <w:p>
      <w:pPr>
        <w:numPr>
          <w:ilvl w:val="0"/>
          <w:numId w:val="1230"/>
        </w:numPr>
        <w:pStyle w:val="Compact"/>
      </w:pPr>
      <w:r>
        <w:rPr>
          <w:bCs/>
          <w:b/>
        </w:rPr>
        <w:t xml:space="preserve">UE / Austria / Germania:</w:t>
      </w:r>
      <w:r>
        <w:t xml:space="preserve"> </w:t>
      </w:r>
      <w:r>
        <w:t xml:space="preserve">non autorizzato; in quanto sostanza con effetto farmacologico il MOTS-c è considerato un medicinale, e la vendita per uso umano non è consentita (aggiornato al 2026, da verificare).</w:t>
      </w:r>
    </w:p>
    <w:p>
      <w:pPr>
        <w:numPr>
          <w:ilvl w:val="0"/>
          <w:numId w:val="1230"/>
        </w:numPr>
        <w:pStyle w:val="Compact"/>
      </w:pPr>
      <w:r>
        <w:rPr>
          <w:bCs/>
          <w:b/>
        </w:rPr>
        <w:t xml:space="preserve">USA:</w:t>
      </w:r>
      <w:r>
        <w:t xml:space="preserve"> </w:t>
      </w:r>
      <w:r>
        <w:t xml:space="preserve">non autorizzato. Dopo il voto favorevole del PCAC del luglio 2026 il MOTS-c potrebbe in futuro essere usato nelle preparazioni magistrali in farmacia, se la FDA si adeguerà; la decisione era ancora in sospeso alla chiusura redazionale (aggiornato a ottobre 2026, da verificare).</w:t>
      </w:r>
    </w:p>
    <w:p>
      <w:pPr>
        <w:numPr>
          <w:ilvl w:val="0"/>
          <w:numId w:val="1230"/>
        </w:numPr>
        <w:pStyle w:val="Compact"/>
      </w:pPr>
      <w:r>
        <w:rPr>
          <w:bCs/>
          <w:b/>
        </w:rPr>
        <w:t xml:space="preserve">Sport:</w:t>
      </w:r>
      <w:r>
        <w:t xml:space="preserve"> </w:t>
      </w:r>
      <w:r>
        <w:t xml:space="preserve">vietato secondo la lista WADA, categoria S4 (aggiornato al 2026, da verificare).</w:t>
      </w:r>
    </w:p>
    <w:bookmarkEnd w:id="689"/>
    <w:bookmarkStart w:id="690" w:name="studi-in-corso-e-prospettive-41"/>
    <w:p>
      <w:pPr>
        <w:pStyle w:val="Heading3"/>
      </w:pPr>
      <w:r>
        <w:t xml:space="preserve">Studi in corso e prospettive</w:t>
      </w:r>
    </w:p>
    <w:p>
      <w:pPr>
        <w:pStyle w:val="FirstParagraph"/>
      </w:pPr>
      <w:r>
        <w:rPr>
          <w:bCs/>
          <w:b/>
        </w:rPr>
        <w:t xml:space="preserve">Assodato (studi registrati, aggiornato a ottobre 2026):</w:t>
      </w:r>
    </w:p>
    <w:p>
      <w:pPr>
        <w:numPr>
          <w:ilvl w:val="0"/>
          <w:numId w:val="1231"/>
        </w:numPr>
        <w:pStyle w:val="Compact"/>
      </w:pPr>
      <w:r>
        <w:t xml:space="preserve">Non esiste uno studio registrato in modo affidabile in cui il MOTS-c venga somministrato come principio attivo.</w:t>
      </w:r>
    </w:p>
    <w:p>
      <w:pPr>
        <w:numPr>
          <w:ilvl w:val="0"/>
          <w:numId w:val="1231"/>
        </w:numPr>
        <w:pStyle w:val="Compact"/>
      </w:pPr>
      <w:r>
        <w:t xml:space="preserve">Diversi studi osservazionali misurano i livelli di MOTS-c, per esempio nel trapianto di rene (NCT07678073) o nel diabete con diversi farmaci (NCT03878706).</w:t>
      </w:r>
    </w:p>
    <w:p>
      <w:pPr>
        <w:pStyle w:val="FirstParagraph"/>
      </w:pPr>
      <w:r>
        <w:rPr>
          <w:bCs/>
          <w:b/>
        </w:rPr>
        <w:t xml:space="preserve">Valutazione:</w:t>
      </w:r>
      <w:r>
        <w:t xml:space="preserve"> </w:t>
      </w:r>
      <w:r>
        <w:t xml:space="preserve">la questione centrale, cioè se il MOTS-c somministrato migliori nell’uomo la sensibilità all’insulina, non è stata finora verificata da nessuno in uno studio pubblicato. Servirebbe innanzitutto uno studio controllato di fase 1/2 con risultati pubblicati. Fino ad allora ogni affermazione su un effetto nell’uomo si basa su esperimenti sugli animali e misurazioni dei livelli.</w:t>
      </w:r>
    </w:p>
    <w:bookmarkEnd w:id="690"/>
    <w:bookmarkStart w:id="691" w:name="conclusione-41"/>
    <w:p>
      <w:pPr>
        <w:pStyle w:val="Heading3"/>
      </w:pPr>
      <w:r>
        <w:t xml:space="preserve">Conclusione</w:t>
      </w:r>
    </w:p>
    <w:p>
      <w:pPr>
        <w:pStyle w:val="FirstParagraph"/>
      </w:pPr>
      <w:r>
        <w:t xml:space="preserve">Il MOTS-c è un peptide endogeno, codificato nel genoma mitocondriale, che nei topi ha migliorato metabolismo e capacità fisica e che nell’uomo aumenta dopo l’esercizio. Gli studi osservazionali mostrano livelli più bassi in caso di sovrappeso, fegato grasso e malattie vascolari, ma non dimostrano né una causa né il beneficio di un apporto. L’unico studio concluso con un derivato del MOTS-c (CB4211) non è stato pubblicato in una rivista scientifica, e con il MOTS-c stesso non esiste alcuno studio pubblicato sull’uomo. I dati non bastano per valutare beneficio o sicurezza nell’uomo; nello sport il MOTS-c è vietato.</w:t>
      </w:r>
    </w:p>
    <w:bookmarkEnd w:id="691"/>
    <w:bookmarkEnd w:id="692"/>
    <w:bookmarkStart w:id="703" w:name="umanina-humanin"/>
    <w:p>
      <w:pPr>
        <w:pStyle w:val="Heading2"/>
      </w:pPr>
      <w:r>
        <w:t xml:space="preserve">Umanina (humanin)</w:t>
      </w:r>
    </w:p>
    <w:bookmarkStart w:id="693" w:name="scheda-42"/>
    <w:p>
      <w:pPr>
        <w:pStyle w:val="Heading3"/>
      </w:pPr>
      <w:r>
        <w:t xml:space="preserve">Scheda</w:t>
      </w:r>
    </w:p>
    <w:p>
      <w:pPr>
        <w:numPr>
          <w:ilvl w:val="0"/>
          <w:numId w:val="1232"/>
        </w:numPr>
        <w:pStyle w:val="Compact"/>
      </w:pPr>
      <w:r>
        <w:rPr>
          <w:bCs/>
          <w:b/>
        </w:rPr>
        <w:t xml:space="preserve">Tipo e struttura:</w:t>
      </w:r>
      <w:r>
        <w:t xml:space="preserve"> </w:t>
      </w:r>
      <w:r>
        <w:t xml:space="preserve">peptide endogeno di 24 amminoacidi. Sul mercato grigio e nella ricerca si usa per lo più la forma modificata</w:t>
      </w:r>
      <w:r>
        <w:t xml:space="preserve"> </w:t>
      </w:r>
      <w:r>
        <w:rPr>
          <w:bCs/>
          <w:b/>
        </w:rPr>
        <w:t xml:space="preserve">HNG</w:t>
      </w:r>
      <w:r>
        <w:t xml:space="preserve"> </w:t>
      </w:r>
      <w:r>
        <w:t xml:space="preserve">(umanina-G, anche S14G-umanina), in cui in posizione 14 la serina è sostituita dalla glicina; negli esperimenti di laboratorio è nettamente più potente.</w:t>
      </w:r>
    </w:p>
    <w:p>
      <w:pPr>
        <w:numPr>
          <w:ilvl w:val="0"/>
          <w:numId w:val="1232"/>
        </w:numPr>
        <w:pStyle w:val="Compact"/>
      </w:pPr>
      <w:r>
        <w:rPr>
          <w:bCs/>
          <w:b/>
        </w:rPr>
        <w:t xml:space="preserve">Origine:</w:t>
      </w:r>
      <w:r>
        <w:t xml:space="preserve"> </w:t>
      </w:r>
      <w:r>
        <w:t xml:space="preserve">scoperta nel 2001 da ricercatori giapponesi mentre cercavano, nel tessuto cerebrale di una persona con malattia di Alzheimer, fattori che proteggono i neuroni dalla morte (da qui il nome inglese «humanin»). È codificata nel genoma dei mitocondri; segmenti simili esistono anche nel genoma del nucleo cellulare.</w:t>
      </w:r>
    </w:p>
    <w:p>
      <w:pPr>
        <w:numPr>
          <w:ilvl w:val="0"/>
          <w:numId w:val="1232"/>
        </w:numPr>
        <w:pStyle w:val="Compact"/>
      </w:pPr>
      <w:r>
        <w:rPr>
          <w:bCs/>
          <w:b/>
        </w:rPr>
        <w:t xml:space="preserve">Principio d’azione:</w:t>
      </w:r>
      <w:r>
        <w:t xml:space="preserve"> </w:t>
      </w:r>
      <w:r>
        <w:t xml:space="preserve">«mitochina» (sostanza di segnalazione dei mitocondri) che dovrebbe proteggere le cellule dalla morte cellulare programmata. Si lega tra l’altro a un complesso recettoriale sulla superficie cellulare composto da recettore del CNTF, WSX-1 e gp130.</w:t>
      </w:r>
    </w:p>
    <w:p>
      <w:pPr>
        <w:numPr>
          <w:ilvl w:val="0"/>
          <w:numId w:val="1232"/>
        </w:numPr>
        <w:pStyle w:val="Compact"/>
      </w:pPr>
      <w:r>
        <w:rPr>
          <w:bCs/>
          <w:b/>
        </w:rPr>
        <w:t xml:space="preserve">Autorizzazione UE:</w:t>
      </w:r>
      <w:r>
        <w:t xml:space="preserve"> </w:t>
      </w:r>
      <w:r>
        <w:t xml:space="preserve">no.</w:t>
      </w:r>
    </w:p>
    <w:p>
      <w:pPr>
        <w:numPr>
          <w:ilvl w:val="0"/>
          <w:numId w:val="1232"/>
        </w:numPr>
        <w:pStyle w:val="Compact"/>
      </w:pPr>
      <w:r>
        <w:rPr>
          <w:bCs/>
          <w:b/>
        </w:rPr>
        <w:t xml:space="preserve">Autorizzazione USA:</w:t>
      </w:r>
      <w:r>
        <w:t xml:space="preserve"> </w:t>
      </w:r>
      <w:r>
        <w:t xml:space="preserve">no.</w:t>
      </w:r>
    </w:p>
    <w:p>
      <w:pPr>
        <w:numPr>
          <w:ilvl w:val="0"/>
          <w:numId w:val="1232"/>
        </w:numPr>
        <w:pStyle w:val="Compact"/>
      </w:pPr>
      <w:r>
        <w:rPr>
          <w:bCs/>
          <w:b/>
        </w:rPr>
        <w:t xml:space="preserve">WADA:</w:t>
      </w:r>
      <w:r>
        <w:t xml:space="preserve"> </w:t>
      </w:r>
      <w:r>
        <w:t xml:space="preserve">non elencata per nome; in quanto sostanza non autorizzata da nessuna parte, secondo la nostra valutazione l’umanina o l’HNG rientra nella categoria generale S0 (aggiornato al 2026, da verificare).</w:t>
      </w:r>
    </w:p>
    <w:p>
      <w:pPr>
        <w:numPr>
          <w:ilvl w:val="0"/>
          <w:numId w:val="1232"/>
        </w:numPr>
        <w:pStyle w:val="Compact"/>
      </w:pPr>
      <w:r>
        <w:rPr>
          <w:bCs/>
          <w:b/>
        </w:rPr>
        <w:t xml:space="preserve">Livello di evidenza:</w:t>
      </w:r>
      <w:r>
        <w:t xml:space="preserve"> </w:t>
      </w:r>
      <w:r>
        <w:rPr>
          <w:bCs/>
          <w:b/>
        </w:rPr>
        <w:t xml:space="preserve">D</w:t>
      </w:r>
      <w:r>
        <w:t xml:space="preserve"> </w:t>
      </w:r>
      <w:r>
        <w:t xml:space="preserve">per la somministrazione come principio attivo – nemmeno uno studio in cui delle persone abbiano ricevuto umanina o HNG; nell’uomo esistono solo misurazioni dei livelli endogeni.</w:t>
      </w:r>
    </w:p>
    <w:bookmarkEnd w:id="693"/>
    <w:bookmarkStart w:id="694" w:name="come-dovrebbe-agire-42"/>
    <w:p>
      <w:pPr>
        <w:pStyle w:val="Heading3"/>
      </w:pPr>
      <w:r>
        <w:t xml:space="preserve">Come dovrebbe agire</w:t>
      </w:r>
    </w:p>
    <w:p>
      <w:pPr>
        <w:pStyle w:val="FirstParagraph"/>
      </w:pPr>
      <w:r>
        <w:t xml:space="preserve">Nel 2001 gli scopritori cercarono in una libreria genica da tessuto cerebrale segmenti che proteggessero i neuroni dagli effetti tossici dei geni dell’Alzheimer. Trovarono un breve peptide che in colture cellulari preservava i neuroni da numerosi danni tipici dell’Alzheimer, contro la beta-amiloide e contro l’effetto di diverse mutazioni ereditarie dell’Alzheimer, ma non contro altre sostanze tossiche come il glutammato o frammenti di prioni (Hashimoto 2001, PMID 11717357). La variante HNG era più efficace di altri fattori protettivi testati.</w:t>
      </w:r>
    </w:p>
    <w:p>
      <w:pPr>
        <w:pStyle w:val="BodyText"/>
      </w:pPr>
      <w:r>
        <w:t xml:space="preserve">In seguito lo stesso gruppo ha mostrato che l’umanina si lega a un complesso recettoriale appartenente alla famiglia dei recettori delle citochine (recettore del CNTF, WSX-1 e gp130) e agisce tramite la molecola di segnalazione STAT3 (Hashimoto 2009, PMID 19386761). Inoltre studi di laboratorio descrivono legami con proteine che regolano la morte cellulare e con il partner di legame dei fattori di crescita IGFBP-3.</w:t>
      </w:r>
    </w:p>
    <w:p>
      <w:pPr>
        <w:pStyle w:val="BodyText"/>
      </w:pPr>
      <w:r>
        <w:t xml:space="preserve">Una particolarità: come il MOTS-c (si veda il capitolo precedente), l’umanina è codificata nel genoma dei mitocondri. Questi «peptidi mitocondriali» sono considerati un nuovo livello di segnalazione attraverso il quale i mitocondri comunicano con il resto dell’organismo (Miller 2022, PMID 35499074).</w:t>
      </w:r>
    </w:p>
    <w:bookmarkEnd w:id="694"/>
    <w:bookmarkStart w:id="697" w:name="studi-sulluomo-42"/>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8 pubblicazioni classificate come studi sull’uomo; in nessuna è stata somministrata umanina. Esaminano come i livelli endogeni cambino con allenamento, ossigenoterapia o integrazione alimentare, oppure riguardano cellule di pazienti in laboratorio. Complessivamente PubMed elenca circa 550 lavori sull’umanina. Su ClinicalTrials.gov sono registrati 3 studi, tutti studi osservazionali sui livelli di umanina (negli interventi cardiochirurgici, nell’insufficienza renale acuta e nel trapianto di rene).</w:t>
      </w:r>
    </w:p>
    <w:bookmarkStart w:id="695" w:name="livelli-ed-età"/>
    <w:p>
      <w:pPr>
        <w:pStyle w:val="Heading4"/>
      </w:pPr>
      <w:r>
        <w:t xml:space="preserve">Livelli ed età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Lee 2014, PMID 25040290</w:t>
            </w:r>
          </w:p>
        </w:tc>
        <w:tc>
          <w:tcPr/>
          <w:p>
            <w:pPr>
              <w:pStyle w:val="Compact"/>
              <w:jc w:val="left"/>
            </w:pPr>
            <w:r>
              <w:t xml:space="preserve">topi e persone, osservazione e somministrazione di ormoni</w:t>
            </w:r>
          </w:p>
        </w:tc>
        <w:tc>
          <w:tcPr/>
          <w:p>
            <w:pPr>
              <w:pStyle w:val="Compact"/>
              <w:jc w:val="left"/>
            </w:pPr>
            <w:r>
              <w:t xml:space="preserve">–</w:t>
            </w:r>
          </w:p>
        </w:tc>
        <w:tc>
          <w:tcPr/>
          <w:p>
            <w:pPr>
              <w:pStyle w:val="Compact"/>
              <w:jc w:val="left"/>
            </w:pPr>
            <w:r>
              <w:t xml:space="preserve">i livelli di umanina diminuiscono con l’età; ormone della crescita e IGF-1 li hanno abbassati in topi e persone</w:t>
            </w:r>
          </w:p>
        </w:tc>
      </w:tr>
      <w:tr>
        <w:tc>
          <w:tcPr/>
          <w:p>
            <w:pPr>
              <w:pStyle w:val="Compact"/>
              <w:jc w:val="left"/>
            </w:pPr>
            <w:r>
              <w:t xml:space="preserve">Yen 2020, PMID 32575074</w:t>
            </w:r>
          </w:p>
        </w:tc>
        <w:tc>
          <w:tcPr/>
          <w:p>
            <w:pPr>
              <w:pStyle w:val="Compact"/>
              <w:jc w:val="left"/>
            </w:pPr>
            <w:r>
              <w:t xml:space="preserve">figli di centenari e persone di confronto; modelli animali</w:t>
            </w:r>
          </w:p>
        </w:tc>
        <w:tc>
          <w:tcPr/>
          <w:p>
            <w:pPr>
              <w:pStyle w:val="Compact"/>
              <w:jc w:val="left"/>
            </w:pPr>
            <w:r>
              <w:t xml:space="preserve">trasversale</w:t>
            </w:r>
          </w:p>
        </w:tc>
        <w:tc>
          <w:tcPr/>
          <w:p>
            <w:pPr>
              <w:pStyle w:val="Compact"/>
              <w:jc w:val="left"/>
            </w:pPr>
            <w:r>
              <w:t xml:space="preserve">livelli nettamente più alti nei figli di centenari; più bassi in Alzheimer e MELAS</w:t>
            </w:r>
          </w:p>
        </w:tc>
      </w:tr>
      <w:tr>
        <w:tc>
          <w:tcPr/>
          <w:p>
            <w:pPr>
              <w:pStyle w:val="Compact"/>
              <w:jc w:val="left"/>
            </w:pPr>
            <w:r>
              <w:t xml:space="preserve">Miller 2024, PMID 38520065</w:t>
            </w:r>
          </w:p>
        </w:tc>
        <w:tc>
          <w:tcPr/>
          <w:p>
            <w:pPr>
              <w:pStyle w:val="Compact"/>
              <w:jc w:val="left"/>
            </w:pPr>
            <w:r>
              <w:t xml:space="preserve">centenari con il gene di rischio per l’Alzheimer APOE4; modello murino</w:t>
            </w:r>
          </w:p>
        </w:tc>
        <w:tc>
          <w:tcPr/>
          <w:p>
            <w:pPr>
              <w:pStyle w:val="Compact"/>
              <w:jc w:val="left"/>
            </w:pPr>
            <w:r>
              <w:t xml:space="preserve">analisi genetica</w:t>
            </w:r>
          </w:p>
        </w:tc>
        <w:tc>
          <w:tcPr/>
          <w:p>
            <w:pPr>
              <w:pStyle w:val="Compact"/>
              <w:jc w:val="left"/>
            </w:pPr>
            <w:r>
              <w:t xml:space="preserve">rara variante di umanina P3S più frequente nei portatori longevi di APOE4</w:t>
            </w:r>
          </w:p>
        </w:tc>
      </w:tr>
      <w:tr>
        <w:tc>
          <w:tcPr/>
          <w:p>
            <w:pPr>
              <w:pStyle w:val="Compact"/>
              <w:jc w:val="left"/>
            </w:pPr>
            <w:r>
              <w:t xml:space="preserve">Gidlund 2016, PMID 27923980</w:t>
            </w:r>
          </w:p>
        </w:tc>
        <w:tc>
          <w:tcPr/>
          <w:p>
            <w:pPr>
              <w:pStyle w:val="Compact"/>
              <w:jc w:val="left"/>
            </w:pPr>
            <w:r>
              <w:t xml:space="preserve">55 uomini con alterato metabolismo glucidico, allenamento di forza, nordic walking o controllo, randomizzato</w:t>
            </w:r>
          </w:p>
        </w:tc>
        <w:tc>
          <w:tcPr/>
          <w:p>
            <w:pPr>
              <w:pStyle w:val="Compact"/>
              <w:jc w:val="left"/>
            </w:pPr>
            <w:r>
              <w:t xml:space="preserve">12 settimane</w:t>
            </w:r>
          </w:p>
        </w:tc>
        <w:tc>
          <w:tcPr/>
          <w:p>
            <w:pPr>
              <w:pStyle w:val="Compact"/>
              <w:jc w:val="left"/>
            </w:pPr>
            <w:r>
              <w:t xml:space="preserve">umanina nel muscolo più alta del 35% dopo allenamento di forza, nel sangue invariata</w:t>
            </w:r>
          </w:p>
        </w:tc>
      </w:tr>
      <w:tr>
        <w:tc>
          <w:tcPr/>
          <w:p>
            <w:pPr>
              <w:pStyle w:val="Compact"/>
              <w:jc w:val="left"/>
            </w:pPr>
            <w:r>
              <w:t xml:space="preserve">von Walden 2021, PMID 34351816</w:t>
            </w:r>
          </w:p>
        </w:tc>
        <w:tc>
          <w:tcPr/>
          <w:p>
            <w:pPr>
              <w:pStyle w:val="Compact"/>
              <w:jc w:val="left"/>
            </w:pPr>
            <w:r>
              <w:t xml:space="preserve">30 persone, una seduta di resistenza o di forza o controllo, randomizzato</w:t>
            </w:r>
          </w:p>
        </w:tc>
        <w:tc>
          <w:tcPr/>
          <w:p>
            <w:pPr>
              <w:pStyle w:val="Compact"/>
              <w:jc w:val="left"/>
            </w:pPr>
            <w:r>
              <w:t xml:space="preserve">singola</w:t>
            </w:r>
          </w:p>
        </w:tc>
        <w:tc>
          <w:tcPr/>
          <w:p>
            <w:pPr>
              <w:pStyle w:val="Compact"/>
              <w:jc w:val="left"/>
            </w:pPr>
            <w:r>
              <w:t xml:space="preserve">umanina nel sangue aumentata dopo sforzo di resistenza</w:t>
            </w:r>
          </w:p>
        </w:tc>
      </w:tr>
      <w:tr>
        <w:tc>
          <w:tcPr/>
          <w:p>
            <w:pPr>
              <w:pStyle w:val="Compact"/>
              <w:jc w:val="left"/>
            </w:pPr>
            <w:r>
              <w:t xml:space="preserve">Xu 2019, PMID 31134827</w:t>
            </w:r>
          </w:p>
        </w:tc>
        <w:tc>
          <w:tcPr/>
          <w:p>
            <w:pPr>
              <w:pStyle w:val="Compact"/>
              <w:jc w:val="left"/>
            </w:pPr>
            <w:r>
              <w:t xml:space="preserve">158 persone con demenza vascolare, ossigenoterapia iperbarica o standard</w:t>
            </w:r>
          </w:p>
        </w:tc>
        <w:tc>
          <w:tcPr/>
          <w:p>
            <w:pPr>
              <w:pStyle w:val="Compact"/>
              <w:jc w:val="left"/>
            </w:pPr>
            <w:r>
              <w:t xml:space="preserve">12 settimane</w:t>
            </w:r>
          </w:p>
        </w:tc>
        <w:tc>
          <w:tcPr/>
          <w:p>
            <w:pPr>
              <w:pStyle w:val="Compact"/>
              <w:jc w:val="left"/>
            </w:pPr>
            <w:r>
              <w:t xml:space="preserve">livelli di umanina e punteggi MMSE più alti con terapia iperbarica</w:t>
            </w:r>
          </w:p>
        </w:tc>
      </w:tr>
    </w:tbl>
    <w:p>
      <w:pPr>
        <w:pStyle w:val="BodyText"/>
      </w:pPr>
      <w:r>
        <w:t xml:space="preserve">Le osservazioni danno un quadro coerente: i livelli di umanina diminuiscono con l’età, sono più alti nei figli di persone molto anziane, più bassi in alcune malattie e aumentano con l’esercizio. Interessante è il legame con il sistema dell’ormone della crescita: ormone della crescita e IGF-1 hanno abbassato i livelli di umanina in topi e persone, e topi longevi con deficit di ormone della crescita avevano livelli elevati (Lee 2014, PMID 25040290). È degno di nota, perché sullo stesso mercato grigio vengono spesso offerti secretagoghi dell’ormone della crescita (si veda la Parte II · C).</w:t>
      </w:r>
    </w:p>
    <w:p>
      <w:pPr>
        <w:pStyle w:val="BodyText"/>
      </w:pPr>
      <w:r>
        <w:t xml:space="preserve">Anche qui però vale: un livello associato alla salute non è una prova che un apporto renda più sani. L’umanina potrebbe altrettanto bene essere un segno di accompagnamento di mitocondri sani, senza esserne essa stessa la causa.</w:t>
      </w:r>
    </w:p>
    <w:bookmarkEnd w:id="695"/>
    <w:bookmarkStart w:id="696" w:name="somministrazione-come-principio-attivo"/>
    <w:p>
      <w:pPr>
        <w:pStyle w:val="Heading4"/>
      </w:pPr>
      <w:r>
        <w:t xml:space="preserve">Somministrazione come principio attivo</w:t>
      </w:r>
    </w:p>
    <w:p>
      <w:pPr>
        <w:pStyle w:val="FirstParagraph"/>
      </w:pPr>
      <w:r>
        <w:t xml:space="preserve">Non esiste alcuno studio pubblicato né alcuna voce di registro in cui delle persone abbiano ricevuto umanina o HNG (ricerca di ottobre 2026). Non sono stati trovati nemmeno casi clinici di effetti collaterali dopo autosomministrazione.</w:t>
      </w:r>
    </w:p>
    <w:bookmarkEnd w:id="696"/>
    <w:bookmarkEnd w:id="697"/>
    <w:bookmarkStart w:id="698" w:name="studi-su-animali-e-in-laboratorio-42"/>
    <w:p>
      <w:pPr>
        <w:pStyle w:val="Heading3"/>
      </w:pPr>
      <w:r>
        <w:t xml:space="preserve">Studi su animali e in laboratorio</w:t>
      </w:r>
    </w:p>
    <w:p>
      <w:pPr>
        <w:pStyle w:val="FirstParagraph"/>
      </w:pPr>
      <w:r>
        <w:t xml:space="preserve">La letteratura preclinica è ampia:</w:t>
      </w:r>
    </w:p>
    <w:p>
      <w:pPr>
        <w:numPr>
          <w:ilvl w:val="0"/>
          <w:numId w:val="1233"/>
        </w:numPr>
        <w:pStyle w:val="Compact"/>
      </w:pPr>
      <w:r>
        <w:rPr>
          <w:bCs/>
          <w:b/>
        </w:rPr>
        <w:t xml:space="preserve">Durata della vita:</w:t>
      </w:r>
      <w:r>
        <w:t xml:space="preserve"> </w:t>
      </w:r>
      <w:r>
        <w:t xml:space="preserve">nei nematodi una maggiore produzione di umanina ha prolungato la durata della vita; nei topi di mezza età l’HNG ha migliorato i valori metabolici e ridotto i marcatori infiammatori (Yen 2020, PMID 32575074).</w:t>
      </w:r>
    </w:p>
    <w:p>
      <w:pPr>
        <w:numPr>
          <w:ilvl w:val="0"/>
          <w:numId w:val="1233"/>
        </w:numPr>
        <w:pStyle w:val="Compact"/>
      </w:pPr>
      <w:r>
        <w:rPr>
          <w:bCs/>
          <w:b/>
        </w:rPr>
        <w:t xml:space="preserve">Cuore:</w:t>
      </w:r>
      <w:r>
        <w:t xml:space="preserve"> </w:t>
      </w:r>
      <w:r>
        <w:t xml:space="preserve">nei topi l’HNG ha ridotto le dimensioni dell’infarto dopo un infarto indotto artificialmente (Muzumdar 2010, PMID 20651283); un trattamento di 14 mesi di topi anziani ha ridotto la cicatrizzazione del muscolo cardiaco legata all’età (Qin 2018, PMID 30004252).</w:t>
      </w:r>
    </w:p>
    <w:p>
      <w:pPr>
        <w:numPr>
          <w:ilvl w:val="0"/>
          <w:numId w:val="1233"/>
        </w:numPr>
        <w:pStyle w:val="Compact"/>
      </w:pPr>
      <w:r>
        <w:rPr>
          <w:bCs/>
          <w:b/>
        </w:rPr>
        <w:t xml:space="preserve">Modelli di Alzheimer:</w:t>
      </w:r>
      <w:r>
        <w:t xml:space="preserve"> </w:t>
      </w:r>
      <w:r>
        <w:t xml:space="preserve">la rara variante P3S ha ridotto nei topi con APOE4 i depositi di amiloide più dell’umanina normale (Miller 2024, PMID 38520065).</w:t>
      </w:r>
    </w:p>
    <w:p>
      <w:pPr>
        <w:numPr>
          <w:ilvl w:val="0"/>
          <w:numId w:val="1233"/>
        </w:numPr>
        <w:pStyle w:val="Compact"/>
      </w:pPr>
      <w:r>
        <w:rPr>
          <w:bCs/>
          <w:b/>
        </w:rPr>
        <w:t xml:space="preserve">Retina:</w:t>
      </w:r>
      <w:r>
        <w:t xml:space="preserve"> </w:t>
      </w:r>
      <w:r>
        <w:t xml:space="preserve">in modelli cellulari con mitocondri di persone con degenerazione maculare legata all’età, l’HNG ha protetto dai danni cellulari (Nashine 2017, PMID 28726777).</w:t>
      </w:r>
    </w:p>
    <w:bookmarkEnd w:id="698"/>
    <w:bookmarkStart w:id="699" w:name="rischi-ed-effetti-collaterali-42"/>
    <w:p>
      <w:pPr>
        <w:pStyle w:val="Heading3"/>
      </w:pPr>
      <w:r>
        <w:t xml:space="preserve">Rischi ed effetti collaterali</w:t>
      </w:r>
    </w:p>
    <w:p>
      <w:pPr>
        <w:pStyle w:val="FirstParagraph"/>
      </w:pPr>
      <w:r>
        <w:rPr>
          <w:bCs/>
          <w:b/>
        </w:rPr>
        <w:t xml:space="preserve">Documentati:</w:t>
      </w:r>
      <w:r>
        <w:t xml:space="preserve"> </w:t>
      </w:r>
      <w:r>
        <w:t xml:space="preserve">non esistono dati di sicurezza sulla somministrazione nell’uomo.</w:t>
      </w:r>
    </w:p>
    <w:p>
      <w:pPr>
        <w:pStyle w:val="BodyText"/>
      </w:pPr>
      <w:r>
        <w:rPr>
          <w:bCs/>
          <w:b/>
        </w:rPr>
        <w:t xml:space="preserve">Teorici, con segnali d’allarme concreti dal laboratorio:</w:t>
      </w:r>
    </w:p>
    <w:p>
      <w:pPr>
        <w:numPr>
          <w:ilvl w:val="0"/>
          <w:numId w:val="1234"/>
        </w:numPr>
        <w:pStyle w:val="Compact"/>
      </w:pPr>
      <w:r>
        <w:rPr>
          <w:bCs/>
          <w:b/>
        </w:rPr>
        <w:t xml:space="preserve">Cancro:</w:t>
      </w:r>
      <w:r>
        <w:t xml:space="preserve"> </w:t>
      </w:r>
      <w:r>
        <w:t xml:space="preserve">l’umanina protegge le cellule dalla morte cellulare programmata, e ciò vale anche per le cellule tumorali. In topi con cancro al seno triplo negativo l’umanina somministrata ha ridotto la morte cellulare nel tumore, indebolito l’effetto della chemioterapia e accelerato crescita tumorale e metastasi polmonari. Nelle biopsie di questo tipo di cancro al seno l’umanina era rilevabile in quantità maggiore. Gli autori raccomandano espressamente cautela nell’uso dell’umanina contro malattie degenerative (Moreno Ayala 2020, PMID 32444831).</w:t>
      </w:r>
    </w:p>
    <w:p>
      <w:pPr>
        <w:numPr>
          <w:ilvl w:val="0"/>
          <w:numId w:val="1234"/>
        </w:numPr>
        <w:pStyle w:val="Compact"/>
      </w:pPr>
      <w:r>
        <w:rPr>
          <w:bCs/>
          <w:b/>
        </w:rPr>
        <w:t xml:space="preserve">Infiammazione nelle cellule invecchiate:</w:t>
      </w:r>
      <w:r>
        <w:t xml:space="preserve"> </w:t>
      </w:r>
      <w:r>
        <w:t xml:space="preserve">in esperimenti su cellule umanina e MOTS-c hanno aumentato il rilascio di messaggeri infiammatori da parte di cellule invecchiate («senescenti») (Mendelsohn 2018, PMID 30058454).</w:t>
      </w:r>
    </w:p>
    <w:p>
      <w:pPr>
        <w:numPr>
          <w:ilvl w:val="0"/>
          <w:numId w:val="1234"/>
        </w:numPr>
        <w:pStyle w:val="Compact"/>
      </w:pPr>
      <w:r>
        <w:rPr>
          <w:bCs/>
          <w:b/>
        </w:rPr>
        <w:t xml:space="preserve">Reazioni immunitarie:</w:t>
      </w:r>
      <w:r>
        <w:t xml:space="preserve"> </w:t>
      </w:r>
      <w:r>
        <w:t xml:space="preserve">con iniezioni ripetute di un peptide possono formarsi anticorpi; non studiato.</w:t>
      </w:r>
    </w:p>
    <w:p>
      <w:pPr>
        <w:pStyle w:val="FirstParagraph"/>
      </w:pPr>
      <w:r>
        <w:rPr>
          <w:bCs/>
          <w:b/>
        </w:rPr>
        <w:t xml:space="preserve">Mercato grigio:</w:t>
      </w:r>
      <w:r>
        <w:t xml:space="preserve"> </w:t>
      </w:r>
      <w:r>
        <w:t xml:space="preserve">umanina e HNG vengono offerte come «peptidi della longevità» per iniezione. Contenuto, purezza e sterilità non sono verificati.</w:t>
      </w:r>
    </w:p>
    <w:bookmarkEnd w:id="699"/>
    <w:bookmarkStart w:id="700" w:name="quadro-normativo-42"/>
    <w:p>
      <w:pPr>
        <w:pStyle w:val="Heading3"/>
      </w:pPr>
      <w:r>
        <w:t xml:space="preserve">Quadro normativo</w:t>
      </w:r>
    </w:p>
    <w:p>
      <w:pPr>
        <w:numPr>
          <w:ilvl w:val="0"/>
          <w:numId w:val="1235"/>
        </w:numPr>
        <w:pStyle w:val="Compact"/>
      </w:pPr>
      <w:r>
        <w:rPr>
          <w:bCs/>
          <w:b/>
        </w:rPr>
        <w:t xml:space="preserve">UE / Austria / Germania:</w:t>
      </w:r>
      <w:r>
        <w:t xml:space="preserve"> </w:t>
      </w:r>
      <w:r>
        <w:t xml:space="preserve">non autorizzata; in quanto sostanza con effetto farmacologico l’umanina è considerata un medicinale, e la vendita per uso umano non è consentita (aggiornato al 2026, da verificare).</w:t>
      </w:r>
    </w:p>
    <w:p>
      <w:pPr>
        <w:numPr>
          <w:ilvl w:val="0"/>
          <w:numId w:val="1235"/>
        </w:numPr>
        <w:pStyle w:val="Compact"/>
      </w:pPr>
      <w:r>
        <w:rPr>
          <w:bCs/>
          <w:b/>
        </w:rPr>
        <w:t xml:space="preserve">USA:</w:t>
      </w:r>
      <w:r>
        <w:t xml:space="preserve"> </w:t>
      </w:r>
      <w:r>
        <w:t xml:space="preserve">non autorizzata.</w:t>
      </w:r>
    </w:p>
    <w:p>
      <w:pPr>
        <w:numPr>
          <w:ilvl w:val="0"/>
          <w:numId w:val="1235"/>
        </w:numPr>
        <w:pStyle w:val="Compact"/>
      </w:pPr>
      <w:r>
        <w:rPr>
          <w:bCs/>
          <w:b/>
        </w:rPr>
        <w:t xml:space="preserve">Sport:</w:t>
      </w:r>
      <w:r>
        <w:t xml:space="preserve"> </w:t>
      </w:r>
      <w:r>
        <w:t xml:space="preserve">secondo la nostra valutazione categoria WADA S0 (aggiornato al 2026, da verificare).</w:t>
      </w:r>
    </w:p>
    <w:bookmarkEnd w:id="700"/>
    <w:bookmarkStart w:id="701" w:name="studi-in-corso-e-prospettive-42"/>
    <w:p>
      <w:pPr>
        <w:pStyle w:val="Heading3"/>
      </w:pPr>
      <w:r>
        <w:t xml:space="preserve">Studi in corso e prospettive</w:t>
      </w:r>
    </w:p>
    <w:p>
      <w:pPr>
        <w:pStyle w:val="FirstParagraph"/>
      </w:pPr>
      <w:r>
        <w:rPr>
          <w:bCs/>
          <w:b/>
        </w:rPr>
        <w:t xml:space="preserve">Assodato:</w:t>
      </w:r>
      <w:r>
        <w:t xml:space="preserve"> </w:t>
      </w:r>
      <w:r>
        <w:t xml:space="preserve">sono registrati solo studi osservazionali sui livelli di umanina, per esempio dopo interventi cardiochirurgici (NCT03431844, 106 partecipanti, concluso) e nel trapianto di rene (NCT07678073). Uno studio sulla somministrazione di umanina non esiste.</w:t>
      </w:r>
    </w:p>
    <w:p>
      <w:pPr>
        <w:pStyle w:val="BodyText"/>
      </w:pPr>
      <w:r>
        <w:rPr>
          <w:bCs/>
          <w:b/>
        </w:rPr>
        <w:t xml:space="preserve">Valutazione:</w:t>
      </w:r>
      <w:r>
        <w:t xml:space="preserve"> </w:t>
      </w:r>
      <w:r>
        <w:t xml:space="preserve">l’umanina è un peptide di segnalazione scientificamente affascinante e un possibile biomarcatore dell’invecchiamento. Se sarà mai sperimentata come farmaco è incerto; i risultati sul cancro dal modello animale dovrebbero essere chiariti con cura prima di qualsiasi impiego sull’uomo.</w:t>
      </w:r>
    </w:p>
    <w:bookmarkEnd w:id="701"/>
    <w:bookmarkStart w:id="702" w:name="conclusione-42"/>
    <w:p>
      <w:pPr>
        <w:pStyle w:val="Heading3"/>
      </w:pPr>
      <w:r>
        <w:t xml:space="preserve">Conclusione</w:t>
      </w:r>
    </w:p>
    <w:p>
      <w:pPr>
        <w:pStyle w:val="FirstParagraph"/>
      </w:pPr>
      <w:r>
        <w:t xml:space="preserve">L’umanina è un peptide mitocondriale endogeno scoperto nel 2001 come fattore protettivo per i neuroni. I suoi livelli diminuiscono con l’età, sono più alti nei figli di centenari e aumentano con l’esercizio; negli esperimenti sugli animali la variante HNG ha protetto cuore, cervello e metabolismo. Nell’uomo l’umanina non è mai stata somministrata come principio attivo, e nei topi ha favorito la crescita del cancro al seno. I dati non bastano per valutare beneficio o sicurezza di un apporto.</w:t>
      </w:r>
    </w:p>
    <w:bookmarkEnd w:id="702"/>
    <w:bookmarkEnd w:id="703"/>
    <w:bookmarkStart w:id="715" w:name="ss-31-elamipretide"/>
    <w:p>
      <w:pPr>
        <w:pStyle w:val="Heading2"/>
      </w:pPr>
      <w:r>
        <w:t xml:space="preserve">SS-31 (elamipretide)</w:t>
      </w:r>
    </w:p>
    <w:bookmarkStart w:id="704" w:name="scheda-43"/>
    <w:p>
      <w:pPr>
        <w:pStyle w:val="Heading3"/>
      </w:pPr>
      <w:r>
        <w:t xml:space="preserve">Scheda</w:t>
      </w:r>
    </w:p>
    <w:p>
      <w:pPr>
        <w:numPr>
          <w:ilvl w:val="0"/>
          <w:numId w:val="1236"/>
        </w:numPr>
        <w:pStyle w:val="Compact"/>
      </w:pPr>
      <w:r>
        <w:rPr>
          <w:bCs/>
          <w:b/>
        </w:rPr>
        <w:t xml:space="preserve">Tipo e struttura:</w:t>
      </w:r>
      <w:r>
        <w:t xml:space="preserve"> </w:t>
      </w:r>
      <w:r>
        <w:t xml:space="preserve">tetrapeptide sintetico di quattro elementi (D-arginina, dimetiltirosina, lisina, fenilalanina), che grazie a un’insolita sequenza di amminoacidi a carica positiva e ad anello attraversa le membrane cellulari. Denominazioni di ricerca SS-31, MTP-131 e Bendavia; denominazione del principio attivo elamipretide; nome commerciale Forzinity.</w:t>
      </w:r>
    </w:p>
    <w:p>
      <w:pPr>
        <w:numPr>
          <w:ilvl w:val="0"/>
          <w:numId w:val="1236"/>
        </w:numPr>
        <w:pStyle w:val="Compact"/>
      </w:pPr>
      <w:r>
        <w:rPr>
          <w:bCs/>
          <w:b/>
        </w:rPr>
        <w:t xml:space="preserve">Origine:</w:t>
      </w:r>
      <w:r>
        <w:t xml:space="preserve"> </w:t>
      </w:r>
      <w:r>
        <w:t xml:space="preserve">sviluppato da Hazel Szeto e Peter Schiller (da cui i peptidi «SS»), portato avanti nello sviluppo clinico dall’azienda statunitense Stealth BioTherapeutics.</w:t>
      </w:r>
    </w:p>
    <w:p>
      <w:pPr>
        <w:numPr>
          <w:ilvl w:val="0"/>
          <w:numId w:val="1236"/>
        </w:numPr>
        <w:pStyle w:val="Compact"/>
      </w:pPr>
      <w:r>
        <w:rPr>
          <w:bCs/>
          <w:b/>
        </w:rPr>
        <w:t xml:space="preserve">Principio d’azione:</w:t>
      </w:r>
      <w:r>
        <w:t xml:space="preserve"> </w:t>
      </w:r>
      <w:r>
        <w:t xml:space="preserve">si accumula nella membrana interna dei mitocondri e si lega lì alla cardiolipina, un lipide indispensabile per la produzione di energia. Dovrebbe stabilizzare la catena respiratoria e limitare l’ossidazione dannosa.</w:t>
      </w:r>
    </w:p>
    <w:p>
      <w:pPr>
        <w:numPr>
          <w:ilvl w:val="0"/>
          <w:numId w:val="1236"/>
        </w:numPr>
        <w:pStyle w:val="Compact"/>
      </w:pPr>
      <w:r>
        <w:rPr>
          <w:bCs/>
          <w:b/>
        </w:rPr>
        <w:t xml:space="preserve">Autorizzazione UE:</w:t>
      </w:r>
      <w:r>
        <w:t xml:space="preserve"> </w:t>
      </w:r>
      <w:r>
        <w:t xml:space="preserve">no (aggiornato al 2026, da verificare).</w:t>
      </w:r>
    </w:p>
    <w:p>
      <w:pPr>
        <w:numPr>
          <w:ilvl w:val="0"/>
          <w:numId w:val="1236"/>
        </w:numPr>
        <w:pStyle w:val="Compact"/>
      </w:pPr>
      <w:r>
        <w:rPr>
          <w:bCs/>
          <w:b/>
        </w:rPr>
        <w:t xml:space="preserve">Autorizzazione USA:</w:t>
      </w:r>
      <w:r>
        <w:t xml:space="preserve"> </w:t>
      </w:r>
      <w:r>
        <w:t xml:space="preserve">sì – nel settembre 2025</w:t>
      </w:r>
      <w:r>
        <w:t xml:space="preserve"> </w:t>
      </w:r>
      <w:r>
        <w:rPr>
          <w:bCs/>
          <w:b/>
        </w:rPr>
        <w:t xml:space="preserve">approvazione accelerata</w:t>
      </w:r>
      <w:r>
        <w:t xml:space="preserve"> </w:t>
      </w:r>
      <w:r>
        <w:t xml:space="preserve">(accelerated approval) come Forzinity per migliorare la forza muscolare nella sindrome di Barth per adulti e bambini a partire da 30 kg di peso corporeo. L’approvazione è vincolata a uno studio di conferma.</w:t>
      </w:r>
    </w:p>
    <w:p>
      <w:pPr>
        <w:numPr>
          <w:ilvl w:val="0"/>
          <w:numId w:val="1236"/>
        </w:numPr>
        <w:pStyle w:val="Compact"/>
      </w:pPr>
      <w:r>
        <w:rPr>
          <w:bCs/>
          <w:b/>
        </w:rPr>
        <w:t xml:space="preserve">WADA:</w:t>
      </w:r>
      <w:r>
        <w:t xml:space="preserve"> </w:t>
      </w:r>
      <w:r>
        <w:t xml:space="preserve">non elencato per nome (aggiornato al 2026, da verificare).</w:t>
      </w:r>
    </w:p>
    <w:p>
      <w:pPr>
        <w:numPr>
          <w:ilvl w:val="0"/>
          <w:numId w:val="1236"/>
        </w:numPr>
        <w:pStyle w:val="Compact"/>
      </w:pPr>
      <w:r>
        <w:rPr>
          <w:bCs/>
          <w:b/>
        </w:rPr>
        <w:t xml:space="preserve">Livello di evidenza:</w:t>
      </w:r>
      <w:r>
        <w:t xml:space="preserve"> </w:t>
      </w:r>
      <w:r>
        <w:rPr>
          <w:bCs/>
          <w:b/>
        </w:rPr>
        <w:t xml:space="preserve">B</w:t>
      </w:r>
      <w:r>
        <w:t xml:space="preserve"> </w:t>
      </w:r>
      <w:r>
        <w:t xml:space="preserve">– numerosi studi randomizzati, tra cui uno studio di fase 3 con 218 partecipanti; la maggior parte dei grandi studi ha però mancato l’endpoint principale, e l’approvazione si basa su uno studio molto piccolo in una malattia estremamente rara.</w:t>
      </w:r>
    </w:p>
    <w:bookmarkEnd w:id="704"/>
    <w:bookmarkStart w:id="705" w:name="come-dovrebbe-agire-43"/>
    <w:p>
      <w:pPr>
        <w:pStyle w:val="Heading3"/>
      </w:pPr>
      <w:r>
        <w:t xml:space="preserve">Come dovrebbe agire</w:t>
      </w:r>
    </w:p>
    <w:p>
      <w:pPr>
        <w:pStyle w:val="FirstParagraph"/>
      </w:pPr>
      <w:r>
        <w:t xml:space="preserve">I mitocondri producono energia attraverso una catena di complessi proteici nella loro membrana interna. Perché questi complessi collaborino correttamente serve la cardiolipina, un lipide particolare presente solo in questa membrana. Se la cardiolipina è danneggiata o manca, la catena respiratoria funziona peggio, e la proteina citocromo c può trasformarsi da trasportatore di elettroni in un enzima dannoso (una perossidasi).</w:t>
      </w:r>
    </w:p>
    <w:p>
      <w:pPr>
        <w:pStyle w:val="BodyText"/>
      </w:pPr>
      <w:r>
        <w:t xml:space="preserve">Secondo la sua sviluppatrice, l’SS-31 si lega in modo selettivo alla cardiolipina tramite forze elettriche e idrofobiche, impedisce questa trasformazione del citocromo c e protegge così la struttura dei mitocondri (Szeto 2014, PMID 24117165). Il principio è stato studiato in molti modelli animali di malattie cardiache, renali, muscolari e oculari.</w:t>
      </w:r>
    </w:p>
    <w:p>
      <w:pPr>
        <w:pStyle w:val="BodyText"/>
      </w:pPr>
      <w:r>
        <w:t xml:space="preserve">Il legame più chiaro è con la</w:t>
      </w:r>
      <w:r>
        <w:t xml:space="preserve"> </w:t>
      </w:r>
      <w:r>
        <w:rPr>
          <w:bCs/>
          <w:b/>
        </w:rPr>
        <w:t xml:space="preserve">sindrome di Barth</w:t>
      </w:r>
      <w:r>
        <w:t xml:space="preserve">: in questa malattia molto rara, a trasmissione legata al cromosoma X, che colpisce quasi solo ragazzi e uomini, è difettoso il gene</w:t>
      </w:r>
      <w:r>
        <w:t xml:space="preserve"> </w:t>
      </w:r>
      <w:r>
        <w:rPr>
          <w:iCs/>
          <w:i/>
        </w:rPr>
        <w:t xml:space="preserve">TAZ</w:t>
      </w:r>
      <w:r>
        <w:t xml:space="preserve">, necessario per il rimodellamento della cardiolipina. Le persone colpite hanno insufficienza del muscolo cardiaco, debolezza muscolare, forte affaticabilità e un numero ridotto di determinati globuli bianchi. Un principio attivo che agisce in modo mirato sulla cardiolipina è qui biologicamente particolarmente sensato.</w:t>
      </w:r>
    </w:p>
    <w:bookmarkEnd w:id="705"/>
    <w:bookmarkStart w:id="709" w:name="studi-sulluomo-43"/>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19 pubblicazioni classificate come studi sull’uomo; quattro di queste, a un esame più attento, riguardano altri principi attivi (la sigla «SS-31» compare anche altrove). Su ClinicalTrials.gov erano registrati 21 studi, quasi tutti del produttore, su sindrome di Barth, miopatie mitocondriali, insufficienza cardiaca, infarto, stenosi dell’arteria renale, degenerazione maculare secca e malattie oculari. L’elamipretide è quindi il peptide meglio studiato di questa parte.</w:t>
      </w:r>
    </w:p>
    <w:bookmarkStart w:id="706" w:name="X9e30b482dc8f6abcb3cb6a878492bd64d1e5605"/>
    <w:p>
      <w:pPr>
        <w:pStyle w:val="Heading4"/>
      </w:pPr>
      <w:r>
        <w:t xml:space="preserve">Sindrome di Barth: TAZPOWER e l’approvazione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TAZPOWER parte 1 (Reid Thompson 2021), PMID 33077895</w:t>
            </w:r>
          </w:p>
        </w:tc>
        <w:tc>
          <w:tcPr/>
          <w:p>
            <w:pPr>
              <w:pStyle w:val="Compact"/>
              <w:jc w:val="left"/>
            </w:pPr>
            <w:r>
              <w:t xml:space="preserve">12 persone, doppio cieco, crossover contro placebo</w:t>
            </w:r>
          </w:p>
        </w:tc>
        <w:tc>
          <w:tcPr/>
          <w:p>
            <w:pPr>
              <w:pStyle w:val="Compact"/>
              <w:jc w:val="left"/>
            </w:pPr>
            <w:r>
              <w:t xml:space="preserve">12 settimane ciascuna</w:t>
            </w:r>
          </w:p>
        </w:tc>
        <w:tc>
          <w:tcPr/>
          <w:p>
            <w:pPr>
              <w:pStyle w:val="Compact"/>
              <w:jc w:val="left"/>
            </w:pPr>
            <w:r>
              <w:t xml:space="preserve">entrambi gli endpoint principali (test del cammino di 6 minuti, scala dei sintomi) mancati</w:t>
            </w:r>
          </w:p>
        </w:tc>
      </w:tr>
      <w:tr>
        <w:tc>
          <w:tcPr/>
          <w:p>
            <w:pPr>
              <w:pStyle w:val="Compact"/>
              <w:jc w:val="left"/>
            </w:pPr>
            <w:r>
              <w:t xml:space="preserve">TAZPOWER estensione in aperto, PMID 33077895</w:t>
            </w:r>
          </w:p>
        </w:tc>
        <w:tc>
          <w:tcPr/>
          <w:p>
            <w:pPr>
              <w:pStyle w:val="Compact"/>
              <w:jc w:val="left"/>
            </w:pPr>
            <w:r>
              <w:t xml:space="preserve">10 persone, tutte con elamipretide</w:t>
            </w:r>
          </w:p>
        </w:tc>
        <w:tc>
          <w:tcPr/>
          <w:p>
            <w:pPr>
              <w:pStyle w:val="Compact"/>
              <w:jc w:val="left"/>
            </w:pPr>
            <w:r>
              <w:t xml:space="preserve">36 settimane</w:t>
            </w:r>
          </w:p>
        </w:tc>
        <w:tc>
          <w:tcPr/>
          <w:p>
            <w:pPr>
              <w:pStyle w:val="Compact"/>
              <w:jc w:val="left"/>
            </w:pPr>
            <w:r>
              <w:t xml:space="preserve">distanza percorsa +95,9 m, scala dei sintomi −2,1 punti</w:t>
            </w:r>
          </w:p>
        </w:tc>
      </w:tr>
      <w:tr>
        <w:tc>
          <w:tcPr/>
          <w:p>
            <w:pPr>
              <w:pStyle w:val="Compact"/>
              <w:jc w:val="left"/>
            </w:pPr>
            <w:r>
              <w:t xml:space="preserve">Estensione fino a 168 settimane (Thompson 2024), PMID 38602181</w:t>
            </w:r>
          </w:p>
        </w:tc>
        <w:tc>
          <w:tcPr/>
          <w:p>
            <w:pPr>
              <w:pStyle w:val="Compact"/>
              <w:jc w:val="left"/>
            </w:pPr>
            <w:r>
              <w:t xml:space="preserve">10 incluse, 8 fino alla settimana 168</w:t>
            </w:r>
          </w:p>
        </w:tc>
        <w:tc>
          <w:tcPr/>
          <w:p>
            <w:pPr>
              <w:pStyle w:val="Compact"/>
              <w:jc w:val="left"/>
            </w:pPr>
            <w:r>
              <w:t xml:space="preserve">168 settimane</w:t>
            </w:r>
          </w:p>
        </w:tc>
        <w:tc>
          <w:tcPr/>
          <w:p>
            <w:pPr>
              <w:pStyle w:val="Compact"/>
              <w:jc w:val="left"/>
            </w:pPr>
            <w:r>
              <w:t xml:space="preserve">distanza percorsa cumulativa +96,1 m; volumi cardiaci migliorati</w:t>
            </w:r>
          </w:p>
        </w:tc>
      </w:tr>
      <w:tr>
        <w:tc>
          <w:tcPr/>
          <w:p>
            <w:pPr>
              <w:pStyle w:val="Compact"/>
              <w:jc w:val="left"/>
            </w:pPr>
            <w:r>
              <w:t xml:space="preserve">Confronto con la storia naturale (Hornby 2022), PMID 36056411</w:t>
            </w:r>
          </w:p>
        </w:tc>
        <w:tc>
          <w:tcPr/>
          <w:p>
            <w:pPr>
              <w:pStyle w:val="Compact"/>
              <w:jc w:val="left"/>
            </w:pPr>
            <w:r>
              <w:t xml:space="preserve">8 persone trattate vs. 19 non trattate da registro di malattia</w:t>
            </w:r>
          </w:p>
        </w:tc>
        <w:tc>
          <w:tcPr/>
          <w:p>
            <w:pPr>
              <w:pStyle w:val="Compact"/>
              <w:jc w:val="left"/>
            </w:pPr>
            <w:r>
              <w:t xml:space="preserve">64–76 settimane</w:t>
            </w:r>
          </w:p>
        </w:tc>
        <w:tc>
          <w:tcPr/>
          <w:p>
            <w:pPr>
              <w:pStyle w:val="Compact"/>
              <w:jc w:val="left"/>
            </w:pPr>
            <w:r>
              <w:t xml:space="preserve">differenza nel test del cammino di 79,7 e 91,0 m a favore dell’elamipretide</w:t>
            </w:r>
          </w:p>
        </w:tc>
      </w:tr>
    </w:tbl>
    <w:p>
      <w:pPr>
        <w:pStyle w:val="BodyText"/>
      </w:pPr>
      <w:r>
        <w:t xml:space="preserve">La storia dell’approvazione mostra in modo esemplare come si decide nelle malattie estremamente rare:</w:t>
      </w:r>
    </w:p>
    <w:p>
      <w:pPr>
        <w:pStyle w:val="BodyText"/>
      </w:pPr>
      <w:r>
        <w:rPr>
          <w:bCs/>
          <w:b/>
        </w:rPr>
        <w:t xml:space="preserve">La parte controllata è fallita.</w:t>
      </w:r>
      <w:r>
        <w:t xml:space="preserve"> </w:t>
      </w:r>
      <w:r>
        <w:t xml:space="preserve">In TAZPOWER (NCT03098797) dodici persone con sindrome di Barth hanno ricevuto per dodici settimane elamipretide sottocutaneo quotidiano o placebo e poi l’altro trattamento. In questa parte in cieco non è stata raggiunta alcuna differenza significativa né nel test del cammino di 6 minuti né nella scala dei sintomi (Reid Thompson 2021, PMID 33077895).</w:t>
      </w:r>
    </w:p>
    <w:p>
      <w:pPr>
        <w:pStyle w:val="BodyText"/>
      </w:pPr>
      <w:r>
        <w:rPr>
          <w:bCs/>
          <w:b/>
        </w:rPr>
        <w:t xml:space="preserve">L’estensione in aperto è stata positiva.</w:t>
      </w:r>
      <w:r>
        <w:t xml:space="preserve"> </w:t>
      </w:r>
      <w:r>
        <w:t xml:space="preserve">Dieci persone hanno proseguito il trattamento in aperto. Dopo 36 settimane camminavano in media 95,9 m in più rispetto all’inizio, e sono migliorati anche la forza di estensione del ginocchio e singoli parametri cardiaci (Reid Thompson 2021, PMID 33077895). Il miglioramento è durato fino alla settimana 168; otto persone hanno raggiunto questo momento (Thompson 2024, PMID 38602181). Senza gruppo di controllo non si può però separare quale quota sia dovuta al farmaco e quale all’abitudine al test, alla motivazione o al caso.</w:t>
      </w:r>
    </w:p>
    <w:p>
      <w:pPr>
        <w:pStyle w:val="BodyText"/>
      </w:pPr>
      <w:r>
        <w:rPr>
          <w:bCs/>
          <w:b/>
        </w:rPr>
        <w:t xml:space="preserve">Confronto con un controllo da registro.</w:t>
      </w:r>
      <w:r>
        <w:t xml:space="preserve"> </w:t>
      </w:r>
      <w:r>
        <w:t xml:space="preserve">Per chiarirlo, un altro studio ha confrontato otto persone trattate con 19 non trattate da un’osservazione del decorso. Il vantaggio nel test del cammino era di 79,7 m dopo 64 settimane (Hornby 2022, PMID 36056411). Tali «controlli storici» sono spesso l’unica possibilità nelle malattie rare, ma sono considerati nettamente più deboli di una randomizzazione.</w:t>
      </w:r>
    </w:p>
    <w:p>
      <w:pPr>
        <w:pStyle w:val="BodyText"/>
      </w:pPr>
      <w:r>
        <w:rPr>
          <w:bCs/>
          <w:b/>
        </w:rPr>
        <w:t xml:space="preserve">La decisione FDA del 2025.</w:t>
      </w:r>
      <w:r>
        <w:t xml:space="preserve"> </w:t>
      </w:r>
      <w:r>
        <w:t xml:space="preserve">L’autorità statunitense dei medicinali ha inizialmente respinto la domanda nel maggio 2025 (Complete Response Letter). Nel settembre 2025 ha poi concesso un’</w:t>
      </w:r>
      <w:r>
        <w:rPr>
          <w:bCs/>
          <w:b/>
        </w:rPr>
        <w:t xml:space="preserve">approvazione accelerata</w:t>
      </w:r>
      <w:r>
        <w:t xml:space="preserve"> </w:t>
      </w:r>
      <w:r>
        <w:t xml:space="preserve">per l’elamipretide (Forzinity) per migliorare la forza muscolare nella sindrome di Barth per pazienti a partire da 30 kg, come primo trattamento specifico per questa malattia (Shirley 2026, PMID 41335372). La base era il miglioramento della forza di estensione del ginocchio, che l’autorità considera una misura surrogata che rende un beneficio clinico «ragionevolmente probabile». Un’approvazione accelerata obbliga il produttore a uno studio di conferma; se lì il beneficio non emerge, l’approvazione può essere revocata. Uno studio corrispondente con 48 partecipanti previsti è in reclutamento da luglio 2026 (NCT07531251).</w:t>
      </w:r>
    </w:p>
    <w:bookmarkEnd w:id="706"/>
    <w:bookmarkStart w:id="707" w:name="X3a4e72c68afffe7b49e440563a4ba2570581ad0"/>
    <w:p>
      <w:pPr>
        <w:pStyle w:val="Heading4"/>
      </w:pPr>
      <w:r>
        <w:t xml:space="preserve">Miopatia mitocondriale primaria: MMPOWER-3</w:t>
      </w:r>
    </w:p>
    <w:p>
      <w:pPr>
        <w:pStyle w:val="FirstParagraph"/>
      </w:pPr>
      <w:r>
        <w:t xml:space="preserve">Le miopatie mitocondriali sono malattie ereditarie in cui la produzione di energia nei muscoli è alterata; le persone colpite soffrono di debolezza muscolare e forte affaticabilità.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MMPOWER (Karaa 2018), PMID 29500292</w:t>
            </w:r>
          </w:p>
        </w:tc>
        <w:tc>
          <w:tcPr/>
          <w:p>
            <w:pPr>
              <w:pStyle w:val="Compact"/>
              <w:jc w:val="left"/>
            </w:pPr>
            <w:r>
              <w:t xml:space="preserve">36 persone, infusione a dose crescente contro placebo</w:t>
            </w:r>
          </w:p>
        </w:tc>
        <w:tc>
          <w:tcPr/>
          <w:p>
            <w:pPr>
              <w:pStyle w:val="Compact"/>
              <w:jc w:val="left"/>
            </w:pPr>
            <w:r>
              <w:t xml:space="preserve">5 giorni</w:t>
            </w:r>
          </w:p>
        </w:tc>
        <w:tc>
          <w:tcPr/>
          <w:p>
            <w:pPr>
              <w:pStyle w:val="Compact"/>
              <w:jc w:val="left"/>
            </w:pPr>
            <w:r>
              <w:t xml:space="preserve">dose più alta +64,5 m nel test del cammino vs. +20,4 m (p = 0,053)</w:t>
            </w:r>
          </w:p>
        </w:tc>
      </w:tr>
      <w:tr>
        <w:tc>
          <w:tcPr/>
          <w:p>
            <w:pPr>
              <w:pStyle w:val="Compact"/>
              <w:jc w:val="left"/>
            </w:pPr>
            <w:r>
              <w:t xml:space="preserve">MMPOWER-2 (Karaa 2020), PMID 32096613</w:t>
            </w:r>
          </w:p>
        </w:tc>
        <w:tc>
          <w:tcPr/>
          <w:p>
            <w:pPr>
              <w:pStyle w:val="Compact"/>
              <w:jc w:val="left"/>
            </w:pPr>
            <w:r>
              <w:t xml:space="preserve">30 persone, crossover contro placebo</w:t>
            </w:r>
          </w:p>
        </w:tc>
        <w:tc>
          <w:tcPr/>
          <w:p>
            <w:pPr>
              <w:pStyle w:val="Compact"/>
              <w:jc w:val="left"/>
            </w:pPr>
            <w:r>
              <w:t xml:space="preserve">4 settimane ciascuna</w:t>
            </w:r>
          </w:p>
        </w:tc>
        <w:tc>
          <w:tcPr/>
          <w:p>
            <w:pPr>
              <w:pStyle w:val="Compact"/>
              <w:jc w:val="left"/>
            </w:pPr>
            <w:r>
              <w:t xml:space="preserve">test del cammino +19,8 m (non significativo); meno affaticamento</w:t>
            </w:r>
          </w:p>
        </w:tc>
      </w:tr>
      <w:tr>
        <w:tc>
          <w:tcPr/>
          <w:p>
            <w:pPr>
              <w:pStyle w:val="Compact"/>
              <w:jc w:val="left"/>
            </w:pPr>
            <w:r>
              <w:t xml:space="preserve">MMPOWER-3 (Karaa 2023), PMID 37268435</w:t>
            </w:r>
          </w:p>
        </w:tc>
        <w:tc>
          <w:tcPr/>
          <w:p>
            <w:pPr>
              <w:pStyle w:val="Compact"/>
              <w:jc w:val="left"/>
            </w:pPr>
            <w:r>
              <w:t xml:space="preserve">218 persone, fase 3 contro placebo</w:t>
            </w:r>
          </w:p>
        </w:tc>
        <w:tc>
          <w:tcPr/>
          <w:p>
            <w:pPr>
              <w:pStyle w:val="Compact"/>
              <w:jc w:val="left"/>
            </w:pPr>
            <w:r>
              <w:t xml:space="preserve">24 settimane</w:t>
            </w:r>
          </w:p>
        </w:tc>
        <w:tc>
          <w:tcPr/>
          <w:p>
            <w:pPr>
              <w:pStyle w:val="Compact"/>
              <w:jc w:val="left"/>
            </w:pPr>
            <w:r>
              <w:t xml:space="preserve">entrambi gli endpoint principali mancati; differenza nel test del cammino −3,2 m</w:t>
            </w:r>
          </w:p>
        </w:tc>
      </w:tr>
    </w:tbl>
    <w:p>
      <w:pPr>
        <w:pStyle w:val="BodyText"/>
      </w:pPr>
      <w:r>
        <w:t xml:space="preserve">Dopo piccoli studi incoraggianti,</w:t>
      </w:r>
      <w:r>
        <w:t xml:space="preserve"> </w:t>
      </w:r>
      <w:r>
        <w:rPr>
          <w:bCs/>
          <w:b/>
        </w:rPr>
        <w:t xml:space="preserve">MMPOWER-3</w:t>
      </w:r>
      <w:r>
        <w:t xml:space="preserve"> </w:t>
      </w:r>
      <w:r>
        <w:t xml:space="preserve">(NCT03323749) avrebbe dovuto dimostrare l’efficacia. 218 adulti con miopatia mitocondriale geneticamente accertata hanno ricevuto per 24 settimane elamipretide o placebo. Lo studio ha mancato entrambi gli endpoint principali: nel test del cammino di 6 minuti la differenza era di −3,2 m (IC 95% da −18,7 a 12,3), e anche nella scala dell’affaticamento non c’era alcuna differenza. La tollerabilità era buona (Karaa 2023, PMID 37268435). Le autrici e gli autori lo classificano come prova della classe più alta del fatto che l’elamipretide non migliora distanza percorsa e affaticamento in questo gruppo.</w:t>
      </w:r>
    </w:p>
    <w:p>
      <w:pPr>
        <w:pStyle w:val="BodyText"/>
      </w:pPr>
      <w:r>
        <w:t xml:space="preserve">Un’analisi a posteriori ha trovato indizi di un beneficio in un sottogruppo: le persone con difetti in geni del nucleo necessari per la replicazione del DNA mitocondriale (come</w:t>
      </w:r>
      <w:r>
        <w:t xml:space="preserve"> </w:t>
      </w:r>
      <w:r>
        <w:rPr>
          <w:iCs/>
          <w:i/>
        </w:rPr>
        <w:t xml:space="preserve">POLG</w:t>
      </w:r>
      <w:r>
        <w:t xml:space="preserve"> </w:t>
      </w:r>
      <w:r>
        <w:t xml:space="preserve">e</w:t>
      </w:r>
      <w:r>
        <w:t xml:space="preserve"> </w:t>
      </w:r>
      <w:r>
        <w:rPr>
          <w:iCs/>
          <w:i/>
        </w:rPr>
        <w:t xml:space="preserve">TWNK</w:t>
      </w:r>
      <w:r>
        <w:t xml:space="preserve">) hanno camminato con elamipretide 25,2 m in più contro 2,0 m con placebo (p = 0,06) (Karaa 2024, PMID 39574155). Le analisi di sottogruppo a posteriori generano ipotesi, non prove. Su questa base è stato condotto lo studio di fase 3 NuPOWER (NCT05162768) con 102 partecipanti; secondo il registro è concluso da dicembre 2024, i risultati non erano pubblicati al momento della nostra ricerca.</w:t>
      </w:r>
    </w:p>
    <w:bookmarkEnd w:id="707"/>
    <w:bookmarkStart w:id="708" w:name="cuore-rene-occhio-ed-età"/>
    <w:p>
      <w:pPr>
        <w:pStyle w:val="Heading4"/>
      </w:pPr>
      <w:r>
        <w:t xml:space="preserve">Cuore, rene, occhio ed età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EMBRACE STEMI (Gibson 2016), PMID 26586786</w:t>
            </w:r>
          </w:p>
        </w:tc>
        <w:tc>
          <w:tcPr/>
          <w:p>
            <w:pPr>
              <w:pStyle w:val="Compact"/>
              <w:jc w:val="left"/>
            </w:pPr>
            <w:r>
              <w:t xml:space="preserve">persone con primo infarto della parete anteriore, infusione durante il trattamento con catetere, doppio cieco</w:t>
            </w:r>
          </w:p>
        </w:tc>
        <w:tc>
          <w:tcPr/>
          <w:p>
            <w:pPr>
              <w:pStyle w:val="Compact"/>
              <w:jc w:val="left"/>
            </w:pPr>
            <w:r>
              <w:t xml:space="preserve">72 ore</w:t>
            </w:r>
          </w:p>
        </w:tc>
        <w:tc>
          <w:tcPr/>
          <w:p>
            <w:pPr>
              <w:pStyle w:val="Compact"/>
              <w:jc w:val="left"/>
            </w:pPr>
            <w:r>
              <w:t xml:space="preserve">dimensioni dell’infarto non ridotte</w:t>
            </w:r>
          </w:p>
        </w:tc>
      </w:tr>
      <w:tr>
        <w:tc>
          <w:tcPr/>
          <w:p>
            <w:pPr>
              <w:pStyle w:val="Compact"/>
              <w:jc w:val="left"/>
            </w:pPr>
            <w:r>
              <w:t xml:space="preserve">PROGRESS-HF (Butler 2020), PMID 32068002</w:t>
            </w:r>
          </w:p>
        </w:tc>
        <w:tc>
          <w:tcPr/>
          <w:p>
            <w:pPr>
              <w:pStyle w:val="Compact"/>
              <w:jc w:val="left"/>
            </w:pPr>
            <w:r>
              <w:t xml:space="preserve">71 persone con insufficienza cardiaca (HFrEF), contro placebo</w:t>
            </w:r>
          </w:p>
        </w:tc>
        <w:tc>
          <w:tcPr/>
          <w:p>
            <w:pPr>
              <w:pStyle w:val="Compact"/>
              <w:jc w:val="left"/>
            </w:pPr>
            <w:r>
              <w:t xml:space="preserve">4 settimane</w:t>
            </w:r>
          </w:p>
        </w:tc>
        <w:tc>
          <w:tcPr/>
          <w:p>
            <w:pPr>
              <w:pStyle w:val="Compact"/>
              <w:jc w:val="left"/>
            </w:pPr>
            <w:r>
              <w:t xml:space="preserve">nessun miglioramento dei volumi cardiaci</w:t>
            </w:r>
          </w:p>
        </w:tc>
      </w:tr>
      <w:tr>
        <w:tc>
          <w:tcPr/>
          <w:p>
            <w:pPr>
              <w:pStyle w:val="Compact"/>
              <w:jc w:val="left"/>
            </w:pPr>
            <w:r>
              <w:t xml:space="preserve">Daubert 2017, PMID 29217757</w:t>
            </w:r>
          </w:p>
        </w:tc>
        <w:tc>
          <w:tcPr/>
          <w:p>
            <w:pPr>
              <w:pStyle w:val="Compact"/>
              <w:jc w:val="left"/>
            </w:pPr>
            <w:r>
              <w:t xml:space="preserve">36 persone con insufficienza cardiaca, infusione singola</w:t>
            </w:r>
          </w:p>
        </w:tc>
        <w:tc>
          <w:tcPr/>
          <w:p>
            <w:pPr>
              <w:pStyle w:val="Compact"/>
              <w:jc w:val="left"/>
            </w:pPr>
            <w:r>
              <w:t xml:space="preserve">24 ore</w:t>
            </w:r>
          </w:p>
        </w:tc>
        <w:tc>
          <w:tcPr/>
          <w:p>
            <w:pPr>
              <w:pStyle w:val="Compact"/>
              <w:jc w:val="left"/>
            </w:pPr>
            <w:r>
              <w:t xml:space="preserve">volumi cardiaci ridotti a breve termine alla dose più alta</w:t>
            </w:r>
          </w:p>
        </w:tc>
      </w:tr>
      <w:tr>
        <w:tc>
          <w:tcPr/>
          <w:p>
            <w:pPr>
              <w:pStyle w:val="Compact"/>
              <w:jc w:val="left"/>
            </w:pPr>
            <w:r>
              <w:t xml:space="preserve">Saad 2017, PMID 28916603</w:t>
            </w:r>
          </w:p>
        </w:tc>
        <w:tc>
          <w:tcPr/>
          <w:p>
            <w:pPr>
              <w:pStyle w:val="Compact"/>
              <w:jc w:val="left"/>
            </w:pPr>
            <w:r>
              <w:t xml:space="preserve">14 persone con stenosi dell’arteria renale durante trattamento con stent</w:t>
            </w:r>
          </w:p>
        </w:tc>
        <w:tc>
          <w:tcPr/>
          <w:p>
            <w:pPr>
              <w:pStyle w:val="Compact"/>
              <w:jc w:val="left"/>
            </w:pPr>
            <w:r>
              <w:t xml:space="preserve">3 mesi</w:t>
            </w:r>
          </w:p>
        </w:tc>
        <w:tc>
          <w:tcPr/>
          <w:p>
            <w:pPr>
              <w:pStyle w:val="Compact"/>
              <w:jc w:val="left"/>
            </w:pPr>
            <w:r>
              <w:t xml:space="preserve">meno carenza di ossigeno, migliore perfusione renale (studio pilota)</w:t>
            </w:r>
          </w:p>
        </w:tc>
      </w:tr>
      <w:tr>
        <w:tc>
          <w:tcPr/>
          <w:p>
            <w:pPr>
              <w:pStyle w:val="Compact"/>
              <w:jc w:val="left"/>
            </w:pPr>
            <w:r>
              <w:t xml:space="preserve">ReCLAIM-2 (Ehlers 2025), PMID 39605874</w:t>
            </w:r>
          </w:p>
        </w:tc>
        <w:tc>
          <w:tcPr/>
          <w:p>
            <w:pPr>
              <w:pStyle w:val="Compact"/>
              <w:jc w:val="left"/>
            </w:pPr>
            <w:r>
              <w:t xml:space="preserve">176 persone con degenerazione maculare secca, contro placebo</w:t>
            </w:r>
          </w:p>
        </w:tc>
        <w:tc>
          <w:tcPr/>
          <w:p>
            <w:pPr>
              <w:pStyle w:val="Compact"/>
              <w:jc w:val="left"/>
            </w:pPr>
            <w:r>
              <w:t xml:space="preserve">48 settimane</w:t>
            </w:r>
          </w:p>
        </w:tc>
        <w:tc>
          <w:tcPr/>
          <w:p>
            <w:pPr>
              <w:pStyle w:val="Compact"/>
              <w:jc w:val="left"/>
            </w:pPr>
            <w:r>
              <w:t xml:space="preserve">endpoint principali mancati; perdita più lenta delle strutture dei fotorecettori (endpoint secondario)</w:t>
            </w:r>
          </w:p>
        </w:tc>
      </w:tr>
      <w:tr>
        <w:tc>
          <w:tcPr/>
          <w:p>
            <w:pPr>
              <w:pStyle w:val="Compact"/>
              <w:jc w:val="left"/>
            </w:pPr>
            <w:r>
              <w:t xml:space="preserve">Roshanravan 2021, PMID 34264994</w:t>
            </w:r>
          </w:p>
        </w:tc>
        <w:tc>
          <w:tcPr/>
          <w:p>
            <w:pPr>
              <w:pStyle w:val="Compact"/>
              <w:jc w:val="left"/>
            </w:pPr>
            <w:r>
              <w:t xml:space="preserve">39 anziani sani, infusione singola contro placebo</w:t>
            </w:r>
          </w:p>
        </w:tc>
        <w:tc>
          <w:tcPr/>
          <w:p>
            <w:pPr>
              <w:pStyle w:val="Compact"/>
              <w:jc w:val="left"/>
            </w:pPr>
            <w:r>
              <w:t xml:space="preserve">7 giorni</w:t>
            </w:r>
          </w:p>
        </w:tc>
        <w:tc>
          <w:tcPr/>
          <w:p>
            <w:pPr>
              <w:pStyle w:val="Compact"/>
              <w:jc w:val="left"/>
            </w:pPr>
            <w:r>
              <w:t xml:space="preserve">capacità energetica nel muscolo della mano più alta a breve termine, ma nessuna migliore resistenza all’affaticamento</w:t>
            </w:r>
          </w:p>
        </w:tc>
      </w:tr>
    </w:tbl>
    <w:p>
      <w:pPr>
        <w:pStyle w:val="BodyText"/>
      </w:pPr>
      <w:r>
        <w:t xml:space="preserve">Lo schema è vistoso: nell’</w:t>
      </w:r>
      <w:r>
        <w:rPr>
          <w:bCs/>
          <w:b/>
        </w:rPr>
        <w:t xml:space="preserve">infarto</w:t>
      </w:r>
      <w:r>
        <w:t xml:space="preserve"> </w:t>
      </w:r>
      <w:r>
        <w:t xml:space="preserve">e nell’</w:t>
      </w:r>
      <w:r>
        <w:rPr>
          <w:bCs/>
          <w:b/>
        </w:rPr>
        <w:t xml:space="preserve">insufficienza cardiaca</w:t>
      </w:r>
      <w:r>
        <w:t xml:space="preserve"> </w:t>
      </w:r>
      <w:r>
        <w:t xml:space="preserve">gli studi controllati più ampi non hanno mostrato alcun beneficio (Gibson 2016, PMID 26586786; Butler 2020, PMID 32068002). Nella</w:t>
      </w:r>
      <w:r>
        <w:t xml:space="preserve"> </w:t>
      </w:r>
      <w:r>
        <w:rPr>
          <w:bCs/>
          <w:b/>
        </w:rPr>
        <w:t xml:space="preserve">degenerazione maculare secca</w:t>
      </w:r>
      <w:r>
        <w:t xml:space="preserve">, una causa frequente di perdita della vista in età avanzata, ReCLAIM-2 ha mancato entrambi gli endpoint principali (acuità visiva in condizioni di scarsa luce e crescita dell’area retinica danneggiata); un endpoint secondario stabilito in anticipo, la perdita dello strato dei fotorecettori, è progredito più lentamente con elamipretide (Ehlers 2025, PMID 39605874). Questa misura funge ora da endpoint principale dello studio di fase 3 in corso ReNEW (NCT06373731).</w:t>
      </w:r>
    </w:p>
    <w:p>
      <w:pPr>
        <w:pStyle w:val="BodyText"/>
      </w:pPr>
      <w:r>
        <w:t xml:space="preserve">Interessante per il mondo della longevità è lo studio su persone anziane: una singola infusione ha aumentato la capacità energetica di un muscolo della mano subito dopo; dopo sette giorni l’effetto era scomparso, e la resistenza muscolare non è migliorata (Roshanravan 2021, PMID 34264994). Da ciò non si può dedurre alcun beneficio «anti-aging».</w:t>
      </w:r>
    </w:p>
    <w:bookmarkEnd w:id="708"/>
    <w:bookmarkEnd w:id="709"/>
    <w:bookmarkStart w:id="710" w:name="studi-su-animali-e-in-laboratorio-43"/>
    <w:p>
      <w:pPr>
        <w:pStyle w:val="Heading3"/>
      </w:pPr>
      <w:r>
        <w:t xml:space="preserve">Studi su animali e in laboratorio</w:t>
      </w:r>
    </w:p>
    <w:p>
      <w:pPr>
        <w:pStyle w:val="FirstParagraph"/>
      </w:pPr>
      <w:r>
        <w:t xml:space="preserve">Nei modelli animali sono stati descritti effetti favorevoli in insufficienza cardiaca, danni renali, debolezza muscolare, malattie oculari e nervose (Szeto 2014, PMID 24117165). In cani con insufficienza cardiaca avanzata un trattamento prolungato ha migliorato la funzione di pompa e la funzione mitocondriale (Sabbah 2016, PMID 26839394). In un modello di ratto di insufficienza cardiaca con funzione di pompa conservata l’elamipretide ha sì migliorato il metabolismo energetico del muscolo cardiaco, ma non la funzione cardiaca (Schauer 2026, PMID 41596703). Questa discrepanza tra un migliore metabolismo energetico e la mancanza di beneficio clinico si riflette negli studi sull’uomo.</w:t>
      </w:r>
    </w:p>
    <w:bookmarkEnd w:id="710"/>
    <w:bookmarkStart w:id="711" w:name="rischi-ed-effetti-collaterali-43"/>
    <w:p>
      <w:pPr>
        <w:pStyle w:val="Heading3"/>
      </w:pPr>
      <w:r>
        <w:t xml:space="preserve">Rischi ed effetti collaterali</w:t>
      </w:r>
    </w:p>
    <w:p>
      <w:pPr>
        <w:pStyle w:val="FirstParagraph"/>
      </w:pPr>
      <w:r>
        <w:rPr>
          <w:bCs/>
          <w:b/>
        </w:rPr>
        <w:t xml:space="preserve">Documentati:</w:t>
      </w:r>
    </w:p>
    <w:p>
      <w:pPr>
        <w:numPr>
          <w:ilvl w:val="0"/>
          <w:numId w:val="1237"/>
        </w:numPr>
        <w:pStyle w:val="Compact"/>
      </w:pPr>
      <w:r>
        <w:t xml:space="preserve">Gli effetti collaterali più frequenti sono</w:t>
      </w:r>
      <w:r>
        <w:t xml:space="preserve"> </w:t>
      </w:r>
      <w:r>
        <w:rPr>
          <w:bCs/>
          <w:b/>
        </w:rPr>
        <w:t xml:space="preserve">reazioni nel sito di iniezione</w:t>
      </w:r>
      <w:r>
        <w:t xml:space="preserve"> </w:t>
      </w:r>
      <w:r>
        <w:t xml:space="preserve">(prurito, dolore, ematomi, arrossamento). In MMPOWER-2 si sono verificate nell’80% delle persone trattate, per lo più lievi (Karaa 2020, PMID 32096613). In ReCLAIM-2 l’86% con elamipretide e il 71% con placebo ha riferito un qualche evento avverso (Ehlers 2025, PMID 39605874).</w:t>
      </w:r>
    </w:p>
    <w:p>
      <w:pPr>
        <w:numPr>
          <w:ilvl w:val="0"/>
          <w:numId w:val="1237"/>
        </w:numPr>
        <w:pStyle w:val="Compact"/>
      </w:pPr>
      <w:r>
        <w:t xml:space="preserve">Gli effetti collaterali gravi non sono stati più frequenti negli studi; in MMPOWER-3 gli eventi erano prevalentemente da lievi a moderati (Karaa 2023, PMID 37268435).</w:t>
      </w:r>
    </w:p>
    <w:p>
      <w:pPr>
        <w:numPr>
          <w:ilvl w:val="0"/>
          <w:numId w:val="1237"/>
        </w:numPr>
        <w:pStyle w:val="Compact"/>
      </w:pPr>
      <w:r>
        <w:t xml:space="preserve">Esistono dati a lungo termine solo per poche persone con sindrome di Barth per poco più di tre anni (Thompson 2024, PMID 38602181).</w:t>
      </w:r>
    </w:p>
    <w:p>
      <w:pPr>
        <w:pStyle w:val="FirstParagraph"/>
      </w:pPr>
      <w:r>
        <w:rPr>
          <w:bCs/>
          <w:b/>
        </w:rPr>
        <w:t xml:space="preserve">Teorici:</w:t>
      </w:r>
      <w:r>
        <w:t xml:space="preserve"> </w:t>
      </w:r>
      <w:r>
        <w:t xml:space="preserve">un principio attivo che interviene in modo permanente nei mitocondri di tutte le cellule del corpo potrebbe avere effetti sconosciuti con un uso pluriennale in persone sane; non esistono dati in merito.</w:t>
      </w:r>
    </w:p>
    <w:p>
      <w:pPr>
        <w:pStyle w:val="BodyText"/>
      </w:pPr>
      <w:r>
        <w:rPr>
          <w:bCs/>
          <w:b/>
        </w:rPr>
        <w:t xml:space="preserve">Mercato grigio:</w:t>
      </w:r>
      <w:r>
        <w:t xml:space="preserve"> </w:t>
      </w:r>
      <w:r>
        <w:t xml:space="preserve">l’«SS-31» viene venduto online in polvere per iniezione per il «ringiovanimento dei mitocondri». Questi prodotti non sono il medicinale autorizzato; contenuto e purezza non sono verificati. Per le persone sane non è dimostrato alcun beneficio.</w:t>
      </w:r>
    </w:p>
    <w:bookmarkEnd w:id="711"/>
    <w:bookmarkStart w:id="712" w:name="quadro-normativo-43"/>
    <w:p>
      <w:pPr>
        <w:pStyle w:val="Heading3"/>
      </w:pPr>
      <w:r>
        <w:t xml:space="preserve">Quadro normativo</w:t>
      </w:r>
    </w:p>
    <w:p>
      <w:pPr>
        <w:numPr>
          <w:ilvl w:val="0"/>
          <w:numId w:val="1238"/>
        </w:numPr>
        <w:pStyle w:val="Compact"/>
      </w:pPr>
      <w:r>
        <w:rPr>
          <w:bCs/>
          <w:b/>
        </w:rPr>
        <w:t xml:space="preserve">UE / Austria / Germania:</w:t>
      </w:r>
      <w:r>
        <w:t xml:space="preserve"> </w:t>
      </w:r>
      <w:r>
        <w:t xml:space="preserve">non autorizzato. L’elamipretide è un medicinale; un impiego è possibile solo nell’ambito di studi o di programmi di uso compassionevole (aggiornato al 2026, da verificare).</w:t>
      </w:r>
    </w:p>
    <w:p>
      <w:pPr>
        <w:numPr>
          <w:ilvl w:val="0"/>
          <w:numId w:val="1238"/>
        </w:numPr>
        <w:pStyle w:val="Compact"/>
      </w:pPr>
      <w:r>
        <w:rPr>
          <w:bCs/>
          <w:b/>
        </w:rPr>
        <w:t xml:space="preserve">USA:</w:t>
      </w:r>
      <w:r>
        <w:t xml:space="preserve"> </w:t>
      </w:r>
      <w:r>
        <w:t xml:space="preserve">approvazione accelerata (Forzinity, settembre 2025) solo per la sindrome di Barth a partire da 30 kg di peso corporeo; rimando al riassunto delle caratteristiche del prodotto e accompagnamento medico. Per altre malattie esiste un programma di uso compassionevole (NCT04689360).</w:t>
      </w:r>
    </w:p>
    <w:p>
      <w:pPr>
        <w:numPr>
          <w:ilvl w:val="0"/>
          <w:numId w:val="1238"/>
        </w:numPr>
        <w:pStyle w:val="Compact"/>
      </w:pPr>
      <w:r>
        <w:rPr>
          <w:bCs/>
          <w:b/>
        </w:rPr>
        <w:t xml:space="preserve">Sport:</w:t>
      </w:r>
      <w:r>
        <w:t xml:space="preserve"> </w:t>
      </w:r>
      <w:r>
        <w:t xml:space="preserve">non elencato per nome nella lista WADA (aggiornato al 2026, da verificare).</w:t>
      </w:r>
    </w:p>
    <w:bookmarkEnd w:id="712"/>
    <w:bookmarkStart w:id="713" w:name="studi-in-corso-e-prospettive-43"/>
    <w:p>
      <w:pPr>
        <w:pStyle w:val="Heading3"/>
      </w:pPr>
      <w:r>
        <w:t xml:space="preserve">Studi in corso e prospettive</w:t>
      </w:r>
    </w:p>
    <w:p>
      <w:pPr>
        <w:pStyle w:val="FirstParagraph"/>
      </w:pPr>
      <w:r>
        <w:rPr>
          <w:bCs/>
          <w:b/>
        </w:rPr>
        <w:t xml:space="preserve">Assodato (studi registrati, aggiornato a ottobre 2026):</w:t>
      </w:r>
    </w:p>
    <w:p>
      <w:pPr>
        <w:numPr>
          <w:ilvl w:val="0"/>
          <w:numId w:val="1239"/>
        </w:numPr>
        <w:pStyle w:val="Compact"/>
      </w:pPr>
      <w:r>
        <w:rPr>
          <w:bCs/>
          <w:b/>
        </w:rPr>
        <w:t xml:space="preserve">ReNEW</w:t>
      </w:r>
      <w:r>
        <w:t xml:space="preserve"> </w:t>
      </w:r>
      <w:r>
        <w:t xml:space="preserve">(NCT06373731): fase 3 nella degenerazione maculare secca, 313 partecipanti, reclutamento concluso, fine prevista nel 2027.</w:t>
      </w:r>
    </w:p>
    <w:p>
      <w:pPr>
        <w:numPr>
          <w:ilvl w:val="0"/>
          <w:numId w:val="1239"/>
        </w:numPr>
        <w:pStyle w:val="Compact"/>
      </w:pPr>
      <w:r>
        <w:rPr>
          <w:bCs/>
          <w:b/>
        </w:rPr>
        <w:t xml:space="preserve">4TAZPower</w:t>
      </w:r>
      <w:r>
        <w:t xml:space="preserve"> </w:t>
      </w:r>
      <w:r>
        <w:t xml:space="preserve">(NCT07531251): studio di conferma nella sindrome di Barth con 48 partecipanti previsti, in reclutamento.</w:t>
      </w:r>
    </w:p>
    <w:p>
      <w:pPr>
        <w:numPr>
          <w:ilvl w:val="0"/>
          <w:numId w:val="1239"/>
        </w:numPr>
        <w:pStyle w:val="Compact"/>
      </w:pPr>
      <w:r>
        <w:rPr>
          <w:bCs/>
          <w:b/>
        </w:rPr>
        <w:t xml:space="preserve">NuPOWER</w:t>
      </w:r>
      <w:r>
        <w:t xml:space="preserve"> </w:t>
      </w:r>
      <w:r>
        <w:t xml:space="preserve">(NCT05162768): fase 3 nella malattia mitocondriale da mutazioni del DNA nucleare, 102 partecipanti, concluso; risultati attesi.</w:t>
      </w:r>
    </w:p>
    <w:p>
      <w:pPr>
        <w:numPr>
          <w:ilvl w:val="0"/>
          <w:numId w:val="1239"/>
        </w:numPr>
        <w:pStyle w:val="Compact"/>
      </w:pPr>
      <w:r>
        <w:t xml:space="preserve">Un piccolo studio di fase 2 su persone anziane sane esamina la funzionalità fisica (NCT07275424).</w:t>
      </w:r>
    </w:p>
    <w:p>
      <w:pPr>
        <w:pStyle w:val="FirstParagraph"/>
      </w:pPr>
      <w:r>
        <w:rPr>
          <w:bCs/>
          <w:b/>
        </w:rPr>
        <w:t xml:space="preserve">Valutazione:</w:t>
      </w:r>
      <w:r>
        <w:t xml:space="preserve"> </w:t>
      </w:r>
      <w:r>
        <w:t xml:space="preserve">se l’elamipretide troverà un posto oltre la sindrome di Barth lo decideranno ReNEW e NuPOWER. L’esperienza di MMPOWER-3, EMBRACE e PROGRESS-HF invita alla cautela: un meccanismo convincente non garantisce un beneficio clinico.</w:t>
      </w:r>
    </w:p>
    <w:bookmarkEnd w:id="713"/>
    <w:bookmarkStart w:id="714" w:name="conclusione-43"/>
    <w:p>
      <w:pPr>
        <w:pStyle w:val="Heading3"/>
      </w:pPr>
      <w:r>
        <w:t xml:space="preserve">Conclusione</w:t>
      </w:r>
    </w:p>
    <w:p>
      <w:pPr>
        <w:pStyle w:val="FirstParagraph"/>
      </w:pPr>
      <w:r>
        <w:t xml:space="preserve">L’elamipretide (SS-31) è un tetrapeptide che si lega alla cardiolipina nei mitocondri e che, come primo farmaco mitocondriale, ha ottenuto nel 2025 negli Stati Uniti un’approvazione accelerata per la rarissima sindrome di Barth, sulla base di uno studio con dodici persone, la cui parte controllata ha mancato gli endpoint principali, e di dati a lungo termine in aperto. In studi randomizzati più ampi su miopatia mitocondriale, infarto, insufficienza cardiaca e degenerazione maculare gli endpoint principali non sono stati raggiunti. Il farmaco è ben tollerato; sono frequenti soprattutto reazioni nel sito di iniezione. Per le persone sane o come rimedio «anti-aging» non esiste alcun beneficio dimostrato.</w:t>
      </w:r>
    </w:p>
    <w:bookmarkEnd w:id="714"/>
    <w:bookmarkEnd w:id="715"/>
    <w:bookmarkStart w:id="725" w:name="foxo4-dri"/>
    <w:p>
      <w:pPr>
        <w:pStyle w:val="Heading2"/>
      </w:pPr>
      <w:r>
        <w:t xml:space="preserve">FOXO4-DRI</w:t>
      </w:r>
    </w:p>
    <w:bookmarkStart w:id="716" w:name="scheda-44"/>
    <w:p>
      <w:pPr>
        <w:pStyle w:val="Heading3"/>
      </w:pPr>
      <w:r>
        <w:t xml:space="preserve">Scheda</w:t>
      </w:r>
    </w:p>
    <w:p>
      <w:pPr>
        <w:numPr>
          <w:ilvl w:val="0"/>
          <w:numId w:val="1240"/>
        </w:numPr>
        <w:pStyle w:val="Compact"/>
      </w:pPr>
      <w:r>
        <w:rPr>
          <w:bCs/>
          <w:b/>
        </w:rPr>
        <w:t xml:space="preserve">Tipo e struttura:</w:t>
      </w:r>
      <w:r>
        <w:t xml:space="preserve"> </w:t>
      </w:r>
      <w:r>
        <w:t xml:space="preserve">peptide sintetico relativamente lungo, derivato da un segmento della proteina FOXO4. «DRI» sta per</w:t>
      </w:r>
      <w:r>
        <w:t xml:space="preserve"> </w:t>
      </w:r>
      <w:r>
        <w:rPr>
          <w:iCs/>
          <w:i/>
        </w:rPr>
        <w:t xml:space="preserve">D-retro-inverso</w:t>
      </w:r>
      <w:r>
        <w:t xml:space="preserve">: il peptide è costituito da D-amminoacidi speculari in ordine inverso. Per questo viene a malapena degradato dagli enzimi dell’organismo. Un segmento aggiunto a carica positiva (derivato da una proteina virale) dovrebbe farlo entrare nelle cellule.</w:t>
      </w:r>
    </w:p>
    <w:p>
      <w:pPr>
        <w:numPr>
          <w:ilvl w:val="0"/>
          <w:numId w:val="1240"/>
        </w:numPr>
        <w:pStyle w:val="Compact"/>
      </w:pPr>
      <w:r>
        <w:rPr>
          <w:bCs/>
          <w:b/>
        </w:rPr>
        <w:t xml:space="preserve">Origine:</w:t>
      </w:r>
      <w:r>
        <w:t xml:space="preserve"> </w:t>
      </w:r>
      <w:r>
        <w:t xml:space="preserve">presentato nel 2017 da un gruppo di lavoro olandese guidato da Peter de Keizer (Erasmus MC Rotterdam).</w:t>
      </w:r>
    </w:p>
    <w:p>
      <w:pPr>
        <w:numPr>
          <w:ilvl w:val="0"/>
          <w:numId w:val="1240"/>
        </w:numPr>
        <w:pStyle w:val="Compact"/>
      </w:pPr>
      <w:r>
        <w:rPr>
          <w:bCs/>
          <w:b/>
        </w:rPr>
        <w:t xml:space="preserve">Principio d’azione:</w:t>
      </w:r>
      <w:r>
        <w:t xml:space="preserve"> </w:t>
      </w:r>
      <w:r>
        <w:rPr>
          <w:bCs/>
          <w:b/>
        </w:rPr>
        <w:t xml:space="preserve">senolitico</w:t>
      </w:r>
      <w:r>
        <w:t xml:space="preserve"> </w:t>
      </w:r>
      <w:r>
        <w:t xml:space="preserve">– una sostanza che dovrebbe spingere in modo mirato le cellule invecchiate, dette senescenti, verso la morte cellulare programmata, disturbando il legame tra FOXO4 e la proteina protettiva p53.</w:t>
      </w:r>
    </w:p>
    <w:p>
      <w:pPr>
        <w:numPr>
          <w:ilvl w:val="0"/>
          <w:numId w:val="1240"/>
        </w:numPr>
        <w:pStyle w:val="Compact"/>
      </w:pPr>
      <w:r>
        <w:rPr>
          <w:bCs/>
          <w:b/>
        </w:rPr>
        <w:t xml:space="preserve">Autorizzazione UE:</w:t>
      </w:r>
      <w:r>
        <w:t xml:space="preserve"> </w:t>
      </w:r>
      <w:r>
        <w:t xml:space="preserve">no.</w:t>
      </w:r>
    </w:p>
    <w:p>
      <w:pPr>
        <w:numPr>
          <w:ilvl w:val="0"/>
          <w:numId w:val="1240"/>
        </w:numPr>
        <w:pStyle w:val="Compact"/>
      </w:pPr>
      <w:r>
        <w:rPr>
          <w:bCs/>
          <w:b/>
        </w:rPr>
        <w:t xml:space="preserve">Autorizzazione USA:</w:t>
      </w:r>
      <w:r>
        <w:t xml:space="preserve"> </w:t>
      </w:r>
      <w:r>
        <w:t xml:space="preserve">no.</w:t>
      </w:r>
    </w:p>
    <w:p>
      <w:pPr>
        <w:numPr>
          <w:ilvl w:val="0"/>
          <w:numId w:val="1240"/>
        </w:numPr>
        <w:pStyle w:val="Compact"/>
      </w:pPr>
      <w:r>
        <w:rPr>
          <w:bCs/>
          <w:b/>
        </w:rPr>
        <w:t xml:space="preserve">WADA:</w:t>
      </w:r>
      <w:r>
        <w:t xml:space="preserve"> </w:t>
      </w:r>
      <w:r>
        <w:t xml:space="preserve">non elencato per nome; in quanto sostanza non autorizzata da nessuna parte, secondo la nostra valutazione il FOXO4-DRI rientra nella categoria generale S0 (aggiornato al 2026, da verificare).</w:t>
      </w:r>
    </w:p>
    <w:p>
      <w:pPr>
        <w:numPr>
          <w:ilvl w:val="0"/>
          <w:numId w:val="1240"/>
        </w:numPr>
        <w:pStyle w:val="Compact"/>
      </w:pPr>
      <w:r>
        <w:rPr>
          <w:bCs/>
          <w:b/>
        </w:rPr>
        <w:t xml:space="preserve">Livello di evidenza:</w:t>
      </w:r>
      <w:r>
        <w:t xml:space="preserve"> </w:t>
      </w:r>
      <w:r>
        <w:rPr>
          <w:bCs/>
          <w:b/>
        </w:rPr>
        <w:t xml:space="preserve">D</w:t>
      </w:r>
      <w:r>
        <w:t xml:space="preserve"> </w:t>
      </w:r>
      <w:r>
        <w:t xml:space="preserve">– esclusivamente studi su animali e in laboratorio.</w:t>
      </w:r>
    </w:p>
    <w:bookmarkEnd w:id="716"/>
    <w:bookmarkStart w:id="718" w:name="come-dovrebbe-agire-44"/>
    <w:p>
      <w:pPr>
        <w:pStyle w:val="Heading3"/>
      </w:pPr>
      <w:r>
        <w:t xml:space="preserve">Come dovrebbe agire</w:t>
      </w:r>
    </w:p>
    <w:p>
      <w:pPr>
        <w:pStyle w:val="FirstParagraph"/>
      </w:pPr>
      <w:r>
        <w:t xml:space="preserve">Le</w:t>
      </w:r>
      <w:r>
        <w:t xml:space="preserve"> </w:t>
      </w:r>
      <w:r>
        <w:rPr>
          <w:bCs/>
          <w:b/>
        </w:rPr>
        <w:t xml:space="preserve">cellule senescenti</w:t>
      </w:r>
      <w:r>
        <w:t xml:space="preserve"> </w:t>
      </w:r>
      <w:r>
        <w:t xml:space="preserve">sono cellule che, dopo danni (per esempio da radiazioni, chemioterapia, stress ossidativo o semplicemente da molte divisioni), non si dividono più, ma nemmeno muoiono. Restano nel tessuto e rilasciano una miscela di messaggeri infiammatori ed enzimi che degradano i tessuti, detta SASP (</w:t>
      </w:r>
      <w:r>
        <w:rPr>
          <w:iCs/>
          <w:i/>
        </w:rPr>
        <w:t xml:space="preserve">senescence-associated secretory phenotype</w:t>
      </w:r>
      <w:r>
        <w:t xml:space="preserve">). Con l’età aumentano in molti organi. Nei topi in cui tali cellule sono state rimosse in modo mirato con tecniche genetiche, diversi segni dell’invecchiamento sono stati ritardati. Ne è nata l’idea dei</w:t>
      </w:r>
      <w:r>
        <w:t xml:space="preserve"> </w:t>
      </w:r>
      <w:r>
        <w:rPr>
          <w:bCs/>
          <w:b/>
        </w:rPr>
        <w:t xml:space="preserve">senolitici</w:t>
      </w:r>
      <w:r>
        <w:t xml:space="preserve">: farmaci che eliminano le cellule senescenti.</w:t>
      </w:r>
    </w:p>
    <w:p>
      <w:pPr>
        <w:pStyle w:val="BodyText"/>
      </w:pPr>
      <w:r>
        <w:t xml:space="preserve">Le cellule senescenti sopravvivono tra l’altro perché sopprimono programmi di autodistruzione. Il gruppo di Rotterdam ha scoperto che qui la proteina FOXO4 ha un ruolo chiave: trattiene nel nucleo la proteina p53, che altrimenti provocherebbe la morte cellulare. Il peptide FOXO4-DRI disturba questo legame; p53 viene espulsa dal nucleo e la cellula senescente muore. Le cellule sane, che si dividono normalmente, dovrebbero esserne in gran parte risparmiate (Baar 2017, PMID 28340339). Studi strutturali del 2025 hanno confermato che il FOXO4-DRI si lega a un segmento disordinato di p53, e che anche il segmento del peptide che lo fa entrare nelle cellule partecipa al legame (Bourgeois 2025, PMID 40593617).</w:t>
      </w:r>
    </w:p>
    <w:bookmarkStart w:id="717" w:name="i-senolitici-nelluomo-il-contesto"/>
    <w:p>
      <w:pPr>
        <w:pStyle w:val="Heading4"/>
      </w:pPr>
      <w:r>
        <w:t xml:space="preserve">I senolitici nell’uomo: il contesto</w:t>
      </w:r>
    </w:p>
    <w:p>
      <w:pPr>
        <w:pStyle w:val="FirstParagraph"/>
      </w:pPr>
      <w:r>
        <w:t xml:space="preserve">Il FOXO4-DRI in sé non è mai stato sperimentato sull’uomo. Per inquadrarlo aiuta uno sguardo ad altri senolitici già studiati in clinica, soprattutto la combinazione del farmaco antitumorale dasatinib con la sostanza vegetale quercetina (in breve D+Q):</w:t>
      </w:r>
    </w:p>
    <w:p>
      <w:pPr>
        <w:numPr>
          <w:ilvl w:val="0"/>
          <w:numId w:val="1241"/>
        </w:numPr>
        <w:pStyle w:val="Compact"/>
      </w:pPr>
      <w:r>
        <w:t xml:space="preserve">In un primo studio pilota in aperto con 14 persone con fibrosi polmonare idiopatica sono migliorate distanza percorsa e velocità del cammino, ma non la funzione polmonare; si è verificato un evento avverso grave (Justice 2019, PMID 30616998).</w:t>
      </w:r>
    </w:p>
    <w:p>
      <w:pPr>
        <w:numPr>
          <w:ilvl w:val="0"/>
          <w:numId w:val="1241"/>
        </w:numPr>
        <w:pStyle w:val="Compact"/>
      </w:pPr>
      <w:r>
        <w:t xml:space="preserve">In uno studio randomizzato di fase 2 con 60 donne dopo la menopausa, D+Q non ha ridotto il marcatore del riassorbimento osseo (endpoint principale mancato); solo in un sottogruppo considerato a posteriori, con molte cellule senescenti, sono emersi effetti favorevoli (Farr 2024, PMID 38956196).</w:t>
      </w:r>
    </w:p>
    <w:p>
      <w:pPr>
        <w:pStyle w:val="FirstParagraph"/>
      </w:pPr>
      <w:r>
        <w:t xml:space="preserve">La ricerca clinica sui senolitici è quindi ancora agli inizi, e i primi risultati controllati sono modesti. È questo lo sfondo su cui il FOXO4-DRI viene venduto in internet come «peptide del ringiovanimento».</w:t>
      </w:r>
    </w:p>
    <w:bookmarkEnd w:id="717"/>
    <w:bookmarkEnd w:id="718"/>
    <w:bookmarkStart w:id="719" w:name="studi-sulluomo-44"/>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w:t>
      </w:r>
      <w:r>
        <w:t xml:space="preserve"> </w:t>
      </w:r>
      <w:r>
        <w:rPr>
          <w:bCs/>
          <w:b/>
        </w:rPr>
        <w:t xml:space="preserve">non</w:t>
      </w:r>
      <w:r>
        <w:t xml:space="preserve"> </w:t>
      </w:r>
      <w:r>
        <w:t xml:space="preserve">ha dato alcuno studio sull’uomo con FOXO4-DRI; complessivamente PubMed elenca circa 20 lavori con il termine. Su ClinicalTrials.gov non è registrato alcuno studio. Non sono stati trovati nemmeno casi clinici sull’uso nell’uomo o analisi di prodotti del mercato grigio.</w:t>
      </w:r>
    </w:p>
    <w:p>
      <w:pPr>
        <w:pStyle w:val="BodyText"/>
      </w:pPr>
      <w:r>
        <w:t xml:space="preserve">Il più vicino all’uomo è uno studio di laboratorio con cellule cartilaginee umane: in cellule moltiplicate in laboratorio per un trapianto di cartilagine, il FOXO4-DRI ha eliminato più della metà delle cellule molto espanse (e quindi più spesso senescenti), ma non ha migliorato la capacità di formare nuova cartilagine (Huang 2021, PMID 33996787).</w:t>
      </w:r>
    </w:p>
    <w:bookmarkEnd w:id="719"/>
    <w:bookmarkStart w:id="720" w:name="studi-su-animali-e-in-laboratorio-44"/>
    <w:p>
      <w:pPr>
        <w:pStyle w:val="Heading3"/>
      </w:pPr>
      <w:r>
        <w:t xml:space="preserve">Studi su animali e in laboratorio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Modello</w:t>
            </w:r>
          </w:p>
        </w:tc>
        <w:tc>
          <w:tcPr/>
          <w:p>
            <w:pPr>
              <w:pStyle w:val="Compact"/>
              <w:jc w:val="left"/>
            </w:pPr>
            <w:r>
              <w:t xml:space="preserve">Risultato</w:t>
            </w:r>
          </w:p>
        </w:tc>
      </w:tr>
      <w:tr>
        <w:tc>
          <w:tcPr/>
          <w:p>
            <w:pPr>
              <w:pStyle w:val="Compact"/>
              <w:jc w:val="left"/>
            </w:pPr>
            <w:r>
              <w:t xml:space="preserve">Baar 2017, PMID 28340339</w:t>
            </w:r>
          </w:p>
        </w:tc>
        <w:tc>
          <w:tcPr/>
          <w:p>
            <w:pPr>
              <w:pStyle w:val="Compact"/>
              <w:jc w:val="left"/>
            </w:pPr>
            <w:r>
              <w:t xml:space="preserve">topi a invecchiamento rapido e naturalmente invecchiati; danni da chemioterapia</w:t>
            </w:r>
          </w:p>
        </w:tc>
        <w:tc>
          <w:tcPr/>
          <w:p>
            <w:pPr>
              <w:pStyle w:val="Compact"/>
              <w:jc w:val="left"/>
            </w:pPr>
            <w:r>
              <w:t xml:space="preserve">migliore forma fisica, pelo più folto, migliore funzione renale; protezione dai danni da doxorubicina</w:t>
            </w:r>
          </w:p>
        </w:tc>
      </w:tr>
      <w:tr>
        <w:tc>
          <w:tcPr/>
          <w:p>
            <w:pPr>
              <w:pStyle w:val="Compact"/>
              <w:jc w:val="left"/>
            </w:pPr>
            <w:r>
              <w:t xml:space="preserve">Zhang 2020, PMID 31959736</w:t>
            </w:r>
          </w:p>
        </w:tc>
        <w:tc>
          <w:tcPr/>
          <w:p>
            <w:pPr>
              <w:pStyle w:val="Compact"/>
              <w:jc w:val="left"/>
            </w:pPr>
            <w:r>
              <w:t xml:space="preserve">topi naturalmente invecchiati</w:t>
            </w:r>
          </w:p>
        </w:tc>
        <w:tc>
          <w:tcPr/>
          <w:p>
            <w:pPr>
              <w:pStyle w:val="Compact"/>
              <w:jc w:val="left"/>
            </w:pPr>
            <w:r>
              <w:t xml:space="preserve">produzione di testosterone nei testicoli migliorata</w:t>
            </w:r>
          </w:p>
        </w:tc>
      </w:tr>
      <w:tr>
        <w:tc>
          <w:tcPr/>
          <w:p>
            <w:pPr>
              <w:pStyle w:val="Compact"/>
              <w:jc w:val="left"/>
            </w:pPr>
            <w:r>
              <w:t xml:space="preserve">Han 2022, PMID 35510614</w:t>
            </w:r>
          </w:p>
        </w:tc>
        <w:tc>
          <w:tcPr/>
          <w:p>
            <w:pPr>
              <w:pStyle w:val="Compact"/>
              <w:jc w:val="left"/>
            </w:pPr>
            <w:r>
              <w:t xml:space="preserve">fibrosi polmonare nei topi</w:t>
            </w:r>
          </w:p>
        </w:tc>
        <w:tc>
          <w:tcPr/>
          <w:p>
            <w:pPr>
              <w:pStyle w:val="Compact"/>
              <w:jc w:val="left"/>
            </w:pPr>
            <w:r>
              <w:t xml:space="preserve">meno cicatrizzazione</w:t>
            </w:r>
          </w:p>
        </w:tc>
      </w:tr>
      <w:tr>
        <w:tc>
          <w:tcPr/>
          <w:p>
            <w:pPr>
              <w:pStyle w:val="Compact"/>
              <w:jc w:val="left"/>
            </w:pPr>
            <w:r>
              <w:t xml:space="preserve">Kong 2025, PMID 39994346</w:t>
            </w:r>
          </w:p>
        </w:tc>
        <w:tc>
          <w:tcPr/>
          <w:p>
            <w:pPr>
              <w:pStyle w:val="Compact"/>
              <w:jc w:val="left"/>
            </w:pPr>
            <w:r>
              <w:t xml:space="preserve">tessuto di cheloide (cicatrici eccessive) in laboratorio</w:t>
            </w:r>
          </w:p>
        </w:tc>
        <w:tc>
          <w:tcPr/>
          <w:p>
            <w:pPr>
              <w:pStyle w:val="Compact"/>
              <w:jc w:val="left"/>
            </w:pPr>
            <w:r>
              <w:t xml:space="preserve">più morte cellulare dei fibroblasti senescenti</w:t>
            </w:r>
          </w:p>
        </w:tc>
      </w:tr>
      <w:tr>
        <w:tc>
          <w:tcPr/>
          <w:p>
            <w:pPr>
              <w:pStyle w:val="Compact"/>
              <w:jc w:val="left"/>
            </w:pPr>
            <w:r>
              <w:t xml:space="preserve">Born 2023, PMID 36515093</w:t>
            </w:r>
          </w:p>
        </w:tc>
        <w:tc>
          <w:tcPr/>
          <w:p>
            <w:pPr>
              <w:pStyle w:val="Compact"/>
              <w:jc w:val="left"/>
            </w:pPr>
            <w:r>
              <w:t xml:space="preserve">modelli di ipertensione polmonare in topi e ratti</w:t>
            </w:r>
          </w:p>
        </w:tc>
        <w:tc>
          <w:tcPr/>
          <w:p>
            <w:pPr>
              <w:pStyle w:val="Compact"/>
              <w:jc w:val="left"/>
            </w:pPr>
            <w:r>
              <w:t xml:space="preserve">l’eliminazione delle cellule senescenti, anche con FOXO4-DRI, ha</w:t>
            </w:r>
            <w:r>
              <w:t xml:space="preserve"> </w:t>
            </w:r>
            <w:r>
              <w:rPr>
                <w:bCs/>
                <w:b/>
              </w:rPr>
              <w:t xml:space="preserve">peggiorato</w:t>
            </w:r>
            <w:r>
              <w:t xml:space="preserve"> </w:t>
            </w:r>
            <w:r>
              <w:t xml:space="preserve">la circolazione polmonare</w:t>
            </w:r>
          </w:p>
        </w:tc>
      </w:tr>
    </w:tbl>
    <w:p>
      <w:pPr>
        <w:pStyle w:val="BodyText"/>
      </w:pPr>
      <w:r>
        <w:t xml:space="preserve">La prima descrizione ha suscitato grande attenzione: in topi a invecchiamento rapido e in animali invecchiati naturalmente sono migliorati forma fisica, aspetto del pelo e funzione renale (Baar 2017, PMID 28340339). Lavori successivi di altri gruppi, per lo più dalla Cina, hanno descritto effetti su testicoli, polmoni e pelle.</w:t>
      </w:r>
    </w:p>
    <w:p>
      <w:pPr>
        <w:pStyle w:val="BodyText"/>
      </w:pPr>
      <w:r>
        <w:t xml:space="preserve">Un importante risultato contrario viene dalla ricerca cardiovascolare: in modelli di ipertensione polmonare l’eliminazione delle cellule senescenti, sia genetica sia con i senolitici ABT263 o FOXO4-DRI, ha peggiorato la pressione nella circolazione polmonare e ha portato alla perdita di cellule endoteliali dei vasi polmonari. Gli autori ne concludono che i senolitici potrebbero danneggiare i vasi polmonari (Born 2023, PMID 36515093). Ciò mostra che le cellule senescenti non sono solo «scorie», ma in alcuni tessuti possono avere anche funzioni stabilizzanti.</w:t>
      </w:r>
    </w:p>
    <w:bookmarkEnd w:id="720"/>
    <w:bookmarkStart w:id="721" w:name="rischi-ed-effetti-collaterali-44"/>
    <w:p>
      <w:pPr>
        <w:pStyle w:val="Heading3"/>
      </w:pPr>
      <w:r>
        <w:t xml:space="preserve">Rischi ed effetti collaterali</w:t>
      </w:r>
    </w:p>
    <w:p>
      <w:pPr>
        <w:pStyle w:val="FirstParagraph"/>
      </w:pPr>
      <w:r>
        <w:rPr>
          <w:bCs/>
          <w:b/>
        </w:rPr>
        <w:t xml:space="preserve">Documentati:</w:t>
      </w:r>
      <w:r>
        <w:t xml:space="preserve"> </w:t>
      </w:r>
      <w:r>
        <w:t xml:space="preserve">nessun dato sull’uomo.</w:t>
      </w:r>
    </w:p>
    <w:p>
      <w:pPr>
        <w:pStyle w:val="BodyText"/>
      </w:pPr>
      <w:r>
        <w:rPr>
          <w:bCs/>
          <w:b/>
        </w:rPr>
        <w:t xml:space="preserve">Teorici, e in parte sostenuti da dati sugli animali:</w:t>
      </w:r>
    </w:p>
    <w:p>
      <w:pPr>
        <w:numPr>
          <w:ilvl w:val="0"/>
          <w:numId w:val="1242"/>
        </w:numPr>
        <w:pStyle w:val="Compact"/>
      </w:pPr>
      <w:r>
        <w:rPr>
          <w:bCs/>
          <w:b/>
        </w:rPr>
        <w:t xml:space="preserve">Vasi e polmoni:</w:t>
      </w:r>
      <w:r>
        <w:t xml:space="preserve"> </w:t>
      </w:r>
      <w:r>
        <w:t xml:space="preserve">nel modello animale il FOXO4-DRI ha peggiorato un’ipertensione polmonare esistente (Born 2023, PMID 36515093).</w:t>
      </w:r>
    </w:p>
    <w:p>
      <w:pPr>
        <w:numPr>
          <w:ilvl w:val="0"/>
          <w:numId w:val="1242"/>
        </w:numPr>
        <w:pStyle w:val="Compact"/>
      </w:pPr>
      <w:r>
        <w:rPr>
          <w:bCs/>
          <w:b/>
        </w:rPr>
        <w:t xml:space="preserve">p53 e cancro:</w:t>
      </w:r>
      <w:r>
        <w:t xml:space="preserve"> </w:t>
      </w:r>
      <w:r>
        <w:t xml:space="preserve">p53 è uno dei più importanti soppressori tumorali dell’organismo. Il FOXO4-DRI modifica in modo mirato dove si trova p53 nella cellula. Quali conseguenze ciò abbia a lungo termine per la difesa contro il cancro non è stato studiato. Gli sviluppatori vedono il principio, al contrario, anche come approccio per la terapia antitumorale (Bourgeois 2025, PMID 40593617).</w:t>
      </w:r>
    </w:p>
    <w:p>
      <w:pPr>
        <w:numPr>
          <w:ilvl w:val="0"/>
          <w:numId w:val="1242"/>
        </w:numPr>
        <w:pStyle w:val="Compact"/>
      </w:pPr>
      <w:r>
        <w:rPr>
          <w:bCs/>
          <w:b/>
        </w:rPr>
        <w:t xml:space="preserve">Guarigione delle ferite e riparazione dei tessuti:</w:t>
      </w:r>
      <w:r>
        <w:t xml:space="preserve"> </w:t>
      </w:r>
      <w:r>
        <w:t xml:space="preserve">le cellule senescenti partecipano anche alla guarigione delle ferite e al rimodellamento dei tessuti; la loro eliminazione può disturbare questi processi.</w:t>
      </w:r>
    </w:p>
    <w:p>
      <w:pPr>
        <w:numPr>
          <w:ilvl w:val="0"/>
          <w:numId w:val="1242"/>
        </w:numPr>
        <w:pStyle w:val="Compact"/>
      </w:pPr>
      <w:r>
        <w:rPr>
          <w:bCs/>
          <w:b/>
        </w:rPr>
        <w:t xml:space="preserve">Reazioni immunitarie:</w:t>
      </w:r>
      <w:r>
        <w:t xml:space="preserve"> </w:t>
      </w:r>
      <w:r>
        <w:t xml:space="preserve">il peptide contiene un segmento di una proteina virale ed è relativamente grande; reazioni immunitarie con somministrazioni ripetute sono ipotizzabili, ma non studiate.</w:t>
      </w:r>
    </w:p>
    <w:p>
      <w:pPr>
        <w:pStyle w:val="FirstParagraph"/>
      </w:pPr>
      <w:r>
        <w:rPr>
          <w:bCs/>
          <w:b/>
        </w:rPr>
        <w:t xml:space="preserve">Mercato grigio:</w:t>
      </w:r>
      <w:r>
        <w:t xml:space="preserve"> </w:t>
      </w:r>
      <w:r>
        <w:t xml:space="preserve">il FOXO4-DRI viene offerto online come «senolitico» per iniezione, spesso a prezzi elevati. La produzione di un peptide lungo di D-amminoacidi è complessa; se i prodotti venduti abbiano davvero la sequenza e la purezza corrette non è verificato.</w:t>
      </w:r>
    </w:p>
    <w:bookmarkEnd w:id="721"/>
    <w:bookmarkStart w:id="722" w:name="quadro-normativo-44"/>
    <w:p>
      <w:pPr>
        <w:pStyle w:val="Heading3"/>
      </w:pPr>
      <w:r>
        <w:t xml:space="preserve">Quadro normativo</w:t>
      </w:r>
    </w:p>
    <w:p>
      <w:pPr>
        <w:numPr>
          <w:ilvl w:val="0"/>
          <w:numId w:val="1243"/>
        </w:numPr>
        <w:pStyle w:val="Compact"/>
      </w:pPr>
      <w:r>
        <w:rPr>
          <w:bCs/>
          <w:b/>
        </w:rPr>
        <w:t xml:space="preserve">UE / Austria / Germania:</w:t>
      </w:r>
      <w:r>
        <w:t xml:space="preserve"> </w:t>
      </w:r>
      <w:r>
        <w:t xml:space="preserve">non autorizzato; in quanto sostanza con effetto farmacologico il FOXO4-DRI è considerato un medicinale, e la vendita per uso umano non è consentita (aggiornato al 2026, da verificare).</w:t>
      </w:r>
    </w:p>
    <w:p>
      <w:pPr>
        <w:numPr>
          <w:ilvl w:val="0"/>
          <w:numId w:val="1243"/>
        </w:numPr>
        <w:pStyle w:val="Compact"/>
      </w:pPr>
      <w:r>
        <w:rPr>
          <w:bCs/>
          <w:b/>
        </w:rPr>
        <w:t xml:space="preserve">USA:</w:t>
      </w:r>
      <w:r>
        <w:t xml:space="preserve"> </w:t>
      </w:r>
      <w:r>
        <w:t xml:space="preserve">non autorizzato.</w:t>
      </w:r>
    </w:p>
    <w:p>
      <w:pPr>
        <w:numPr>
          <w:ilvl w:val="0"/>
          <w:numId w:val="1243"/>
        </w:numPr>
        <w:pStyle w:val="Compact"/>
      </w:pPr>
      <w:r>
        <w:rPr>
          <w:bCs/>
          <w:b/>
        </w:rPr>
        <w:t xml:space="preserve">Sport:</w:t>
      </w:r>
      <w:r>
        <w:t xml:space="preserve"> </w:t>
      </w:r>
      <w:r>
        <w:t xml:space="preserve">secondo la nostra valutazione categoria WADA S0 (aggiornato al 2026, da verificare).</w:t>
      </w:r>
    </w:p>
    <w:bookmarkEnd w:id="722"/>
    <w:bookmarkStart w:id="723" w:name="studi-in-corso-e-prospettive-44"/>
    <w:p>
      <w:pPr>
        <w:pStyle w:val="Heading3"/>
      </w:pPr>
      <w:r>
        <w:t xml:space="preserve">Studi in corso e prospettive</w:t>
      </w:r>
    </w:p>
    <w:p>
      <w:pPr>
        <w:pStyle w:val="FirstParagraph"/>
      </w:pPr>
      <w:r>
        <w:rPr>
          <w:bCs/>
          <w:b/>
        </w:rPr>
        <w:t xml:space="preserve">Assodato:</w:t>
      </w:r>
      <w:r>
        <w:t xml:space="preserve"> </w:t>
      </w:r>
      <w:r>
        <w:t xml:space="preserve">nessuno studio clinico registrato con FOXO4-DRI (ricerca di ottobre 2026). Il gruppo degli sviluppatori lavora a ulteriori sviluppi del principio; gli studi clinici sui senolitici sono in corso soprattutto con altri principi attivi.</w:t>
      </w:r>
    </w:p>
    <w:p>
      <w:pPr>
        <w:pStyle w:val="BodyText"/>
      </w:pPr>
      <w:r>
        <w:rPr>
          <w:bCs/>
          <w:b/>
        </w:rPr>
        <w:t xml:space="preserve">Valutazione:</w:t>
      </w:r>
      <w:r>
        <w:t xml:space="preserve"> </w:t>
      </w:r>
      <w:r>
        <w:t xml:space="preserve">la ricerca sui senolitici è uno dei campi più affascinanti della ricerca sull’invecchiamento, ma i primi studi controllati sull’uomo sono stati deludenti. Per il FOXO4-DRI servirebbero innanzitutto studi sistematici di tossicità e un primo cauto studio sull’uomo, idealmente in una malattia chiaramente definita, non come «anti-aging» generico.</w:t>
      </w:r>
    </w:p>
    <w:bookmarkEnd w:id="723"/>
    <w:bookmarkStart w:id="724" w:name="conclusione-44"/>
    <w:p>
      <w:pPr>
        <w:pStyle w:val="Heading3"/>
      </w:pPr>
      <w:r>
        <w:t xml:space="preserve">Conclusione</w:t>
      </w:r>
    </w:p>
    <w:p>
      <w:pPr>
        <w:pStyle w:val="FirstParagraph"/>
      </w:pPr>
      <w:r>
        <w:t xml:space="preserve">Il FOXO4-DRI è un peptide artificiale che in colture cellulari e nei topi ha eliminato in modo mirato le cellule senescenti e negli animali invecchiati ha migliorato forma fisica, pelo e funzione renale. Non è mai stato studiato sull’uomo. Nei modelli animali di ipertensione polmonare l’eliminazione delle cellule senescenti con FOXO4-DRI ha peggiorato il decorso della malattia, e l’intervento sulla proteina di protezione dal cancro p53 solleva questioni aperte. I dati non bastano per valutare beneficio o sicurezza nell’uomo.</w:t>
      </w:r>
    </w:p>
    <w:bookmarkEnd w:id="724"/>
    <w:bookmarkEnd w:id="725"/>
    <w:bookmarkStart w:id="737" w:name="glutatione"/>
    <w:p>
      <w:pPr>
        <w:pStyle w:val="Heading2"/>
      </w:pPr>
      <w:r>
        <w:t xml:space="preserve">Glutatione</w:t>
      </w:r>
    </w:p>
    <w:bookmarkStart w:id="726" w:name="scheda-45"/>
    <w:p>
      <w:pPr>
        <w:pStyle w:val="Heading3"/>
      </w:pPr>
      <w:r>
        <w:t xml:space="preserve">Scheda</w:t>
      </w:r>
    </w:p>
    <w:p>
      <w:pPr>
        <w:numPr>
          <w:ilvl w:val="0"/>
          <w:numId w:val="1244"/>
        </w:numPr>
        <w:pStyle w:val="Compact"/>
      </w:pPr>
      <w:r>
        <w:rPr>
          <w:bCs/>
          <w:b/>
        </w:rPr>
        <w:t xml:space="preserve">Tipo e struttura:</w:t>
      </w:r>
      <w:r>
        <w:t xml:space="preserve"> </w:t>
      </w:r>
      <w:r>
        <w:t xml:space="preserve">tripeptide di tre amminoacidi: acido glutammico, cisteina e glicina (γ-glutamil-cisteinil-glicina, abbreviato GSH). La forma ridotta (GSH) è quella attiva; nella difesa dall’ossidazione due molecole si uniscono a formare glutatione ossidato (GSSG).</w:t>
      </w:r>
    </w:p>
    <w:p>
      <w:pPr>
        <w:numPr>
          <w:ilvl w:val="0"/>
          <w:numId w:val="1244"/>
        </w:numPr>
        <w:pStyle w:val="Compact"/>
      </w:pPr>
      <w:r>
        <w:rPr>
          <w:bCs/>
          <w:b/>
        </w:rPr>
        <w:t xml:space="preserve">Origine:</w:t>
      </w:r>
      <w:r>
        <w:t xml:space="preserve"> </w:t>
      </w:r>
      <w:r>
        <w:t xml:space="preserve">viene prodotto da praticamente tutte le cellule del corpo, in quantità particolarmente elevate nel fegato. Come preparato viene ottenuto per lo più per fermentazione con lieviti.</w:t>
      </w:r>
    </w:p>
    <w:p>
      <w:pPr>
        <w:numPr>
          <w:ilvl w:val="0"/>
          <w:numId w:val="1244"/>
        </w:numPr>
        <w:pStyle w:val="Compact"/>
      </w:pPr>
      <w:r>
        <w:rPr>
          <w:bCs/>
          <w:b/>
        </w:rPr>
        <w:t xml:space="preserve">Principio d’azione:</w:t>
      </w:r>
      <w:r>
        <w:t xml:space="preserve"> </w:t>
      </w:r>
      <w:r>
        <w:t xml:space="preserve">la più importante sostanza protettiva endogena contro l’ossidazione nelle cellule; partecipa alla detossificazione di farmaci e sostanze nocive (per esempio nella degradazione del paracetamolo) e alla regolazione delle cellule immunitarie. Nella pelle sposta la produzione di pigmento dalla melanina scura a quella più chiara.</w:t>
      </w:r>
    </w:p>
    <w:p>
      <w:pPr>
        <w:numPr>
          <w:ilvl w:val="0"/>
          <w:numId w:val="1244"/>
        </w:numPr>
        <w:pStyle w:val="Compact"/>
      </w:pPr>
      <w:r>
        <w:rPr>
          <w:bCs/>
          <w:b/>
        </w:rPr>
        <w:t xml:space="preserve">Autorizzazione UE:</w:t>
      </w:r>
      <w:r>
        <w:t xml:space="preserve"> </w:t>
      </w:r>
      <w:r>
        <w:t xml:space="preserve">ampiamente in commercio come integratore alimentare; come medicinale per iniezione solo in singoli Paesi per indicazioni ben delimitate, non per schiarire la pelle (aggiornato al 2026, da verificare).</w:t>
      </w:r>
    </w:p>
    <w:p>
      <w:pPr>
        <w:numPr>
          <w:ilvl w:val="0"/>
          <w:numId w:val="1244"/>
        </w:numPr>
        <w:pStyle w:val="Compact"/>
      </w:pPr>
      <w:r>
        <w:rPr>
          <w:bCs/>
          <w:b/>
        </w:rPr>
        <w:t xml:space="preserve">Autorizzazione USA:</w:t>
      </w:r>
      <w:r>
        <w:t xml:space="preserve"> </w:t>
      </w:r>
      <w:r>
        <w:t xml:space="preserve">nessun medicinale a base di glutatione autorizzato dalla FDA; disponibile come integratore alimentare e come preparazione magistrale in farmacia.</w:t>
      </w:r>
    </w:p>
    <w:p>
      <w:pPr>
        <w:numPr>
          <w:ilvl w:val="0"/>
          <w:numId w:val="1244"/>
        </w:numPr>
        <w:pStyle w:val="Compact"/>
      </w:pPr>
      <w:r>
        <w:rPr>
          <w:bCs/>
          <w:b/>
        </w:rPr>
        <w:t xml:space="preserve">WADA:</w:t>
      </w:r>
      <w:r>
        <w:t xml:space="preserve"> </w:t>
      </w:r>
      <w:r>
        <w:t xml:space="preserve">il glutatione in sé non è vietato. Infusioni o iniezioni di più di 100 ml nell’arco di dodici ore sono però classificate come metodo vietato (M2), salvo nell’ambito di un trattamento ospedaliero o di un esame (aggiornato al 2026, da verificare).</w:t>
      </w:r>
    </w:p>
    <w:p>
      <w:pPr>
        <w:numPr>
          <w:ilvl w:val="0"/>
          <w:numId w:val="1244"/>
        </w:numPr>
        <w:pStyle w:val="Compact"/>
      </w:pPr>
      <w:r>
        <w:rPr>
          <w:bCs/>
          <w:b/>
        </w:rPr>
        <w:t xml:space="preserve">Livello di evidenza:</w:t>
      </w:r>
      <w:r>
        <w:t xml:space="preserve"> </w:t>
      </w:r>
      <w:r>
        <w:rPr>
          <w:bCs/>
          <w:b/>
        </w:rPr>
        <w:t xml:space="preserve">B</w:t>
      </w:r>
      <w:r>
        <w:t xml:space="preserve"> </w:t>
      </w:r>
      <w:r>
        <w:t xml:space="preserve">– numerosi studi randomizzati, prevalentemente piccoli, con risultati variabili; nessuna autorizzazione basata su grandi studi con endpoint clinici.</w:t>
      </w:r>
    </w:p>
    <w:bookmarkEnd w:id="726"/>
    <w:bookmarkStart w:id="727" w:name="come-dovrebbe-agire-45"/>
    <w:p>
      <w:pPr>
        <w:pStyle w:val="Heading3"/>
      </w:pPr>
      <w:r>
        <w:t xml:space="preserve">Come dovrebbe agire</w:t>
      </w:r>
    </w:p>
    <w:p>
      <w:pPr>
        <w:pStyle w:val="FirstParagraph"/>
      </w:pPr>
      <w:r>
        <w:t xml:space="preserve">Il glutatione è un componente del tutto comune di ogni cellula. Neutralizza le specie reattive dell’ossigeno, aiuta gli enzimi nella detossificazione e mantiene nella loro forma attiva altre sostanze protettive come le vitamine C ed E. In molte malattie (per esempio diabete, malattie epatiche, HIV, Parkinson) e con l’avanzare dell’età i livelli di glutatione nel sangue o nei tessuti sono più bassi. Ne è nata l’idea ovvia di somministrare glutatione dall’esterno.</w:t>
      </w:r>
    </w:p>
    <w:p>
      <w:pPr>
        <w:pStyle w:val="BodyText"/>
      </w:pPr>
      <w:r>
        <w:t xml:space="preserve">Ciò è più difficile di quanto sembri, per tre motivi:</w:t>
      </w:r>
    </w:p>
    <w:p>
      <w:pPr>
        <w:numPr>
          <w:ilvl w:val="0"/>
          <w:numId w:val="1245"/>
        </w:numPr>
        <w:pStyle w:val="Compact"/>
      </w:pPr>
      <w:r>
        <w:rPr>
          <w:bCs/>
          <w:b/>
        </w:rPr>
        <w:t xml:space="preserve">Digestione:</w:t>
      </w:r>
      <w:r>
        <w:t xml:space="preserve"> </w:t>
      </w:r>
      <w:r>
        <w:t xml:space="preserve">in quanto peptide, il glutatione viene in parte scomposto nell’intestino; per questo a lungo è stato considerato poco efficace per via orale.</w:t>
      </w:r>
    </w:p>
    <w:p>
      <w:pPr>
        <w:numPr>
          <w:ilvl w:val="0"/>
          <w:numId w:val="1245"/>
        </w:numPr>
        <w:pStyle w:val="Compact"/>
      </w:pPr>
      <w:r>
        <w:rPr>
          <w:bCs/>
          <w:b/>
        </w:rPr>
        <w:t xml:space="preserve">Assorbimento nelle cellule:</w:t>
      </w:r>
      <w:r>
        <w:t xml:space="preserve"> </w:t>
      </w:r>
      <w:r>
        <w:t xml:space="preserve">il glutatione viene prodotto prevalentemente</w:t>
      </w:r>
      <w:r>
        <w:t xml:space="preserve"> </w:t>
      </w:r>
      <w:r>
        <w:rPr>
          <w:iCs/>
          <w:i/>
        </w:rPr>
        <w:t xml:space="preserve">all’interno</w:t>
      </w:r>
      <w:r>
        <w:t xml:space="preserve"> </w:t>
      </w:r>
      <w:r>
        <w:t xml:space="preserve">delle cellule; dal sangue vi entra solo in misura limitata.</w:t>
      </w:r>
    </w:p>
    <w:p>
      <w:pPr>
        <w:numPr>
          <w:ilvl w:val="0"/>
          <w:numId w:val="1245"/>
        </w:numPr>
        <w:pStyle w:val="Compact"/>
      </w:pPr>
      <w:r>
        <w:rPr>
          <w:bCs/>
          <w:b/>
        </w:rPr>
        <w:t xml:space="preserve">Breve permanenza:</w:t>
      </w:r>
      <w:r>
        <w:t xml:space="preserve"> </w:t>
      </w:r>
      <w:r>
        <w:t xml:space="preserve">il glutatione infuso viene degradato rapidamente nel sangue.</w:t>
      </w:r>
    </w:p>
    <w:p>
      <w:pPr>
        <w:pStyle w:val="FirstParagraph"/>
      </w:pPr>
      <w:r>
        <w:t xml:space="preserve">Per questo vengono offerte diverse forme di somministrazione: capsule e compresse, glutatione</w:t>
      </w:r>
      <w:r>
        <w:t xml:space="preserve"> </w:t>
      </w:r>
      <w:r>
        <w:rPr>
          <w:bCs/>
          <w:b/>
        </w:rPr>
        <w:t xml:space="preserve">liposomiale</w:t>
      </w:r>
      <w:r>
        <w:t xml:space="preserve"> </w:t>
      </w:r>
      <w:r>
        <w:t xml:space="preserve">(racchiuso in vescicole lipidiche), compresse da sciogliere in bocca e film per la mucosa orale, spray nasale, creme e</w:t>
      </w:r>
      <w:r>
        <w:t xml:space="preserve"> </w:t>
      </w:r>
      <w:r>
        <w:rPr>
          <w:bCs/>
          <w:b/>
        </w:rPr>
        <w:t xml:space="preserve">infusioni</w:t>
      </w:r>
      <w:r>
        <w:t xml:space="preserve"> </w:t>
      </w:r>
      <w:r>
        <w:t xml:space="preserve">in vena. Esistono inoltre precursori come la N-acetilcisteina (NAC) o glicina più NAC, che l’organismo usa per la produzione propria; non sono oggetto di questo capitolo.</w:t>
      </w:r>
    </w:p>
    <w:p>
      <w:pPr>
        <w:pStyle w:val="BodyText"/>
      </w:pPr>
      <w:r>
        <w:t xml:space="preserve">Per lo schiarimento della pelle si ipotizza un ulteriore meccanismo: in esperimenti di laboratorio il glutatione inibisce l’enzima tirosinasi e devia la produzione di pigmento dall’eumelanina scura alla feomelanina più chiara.</w:t>
      </w:r>
    </w:p>
    <w:bookmarkEnd w:id="727"/>
    <w:bookmarkStart w:id="731" w:name="studi-sulluomo-45"/>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161 pubblicazioni classificate come studi sull’uomo, più 15 rassegne e meta-analisi. Su ClinicalTrials.gov erano registrati 273 studi. Entrambi i numeri sovrastimano nettamente i dati diretti: molti risultati misurano il glutatione solo come valore di laboratorio (per esempio con selenio, vitamine, sport o NAC) o riguardano l’enzima glutatione-S-transferasi. Gli studi in cui è stato somministrato il glutatione stesso sono una minoranza, ma comunque alcune decine.</w:t>
      </w:r>
    </w:p>
    <w:bookmarkStart w:id="728" w:name="il-glutatione-ingerito-arriva-davvero"/>
    <w:p>
      <w:pPr>
        <w:pStyle w:val="Heading4"/>
      </w:pPr>
      <w:r>
        <w:t xml:space="preserve">Il glutatione ingerito arriva davvero?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Allen 2011, PMID 21875351</w:t>
            </w:r>
          </w:p>
        </w:tc>
        <w:tc>
          <w:tcPr/>
          <w:p>
            <w:pPr>
              <w:pStyle w:val="Compact"/>
              <w:jc w:val="left"/>
            </w:pPr>
            <w:r>
              <w:t xml:space="preserve">40 persone sane, capsule contro placebo, doppio cieco</w:t>
            </w:r>
          </w:p>
        </w:tc>
        <w:tc>
          <w:tcPr/>
          <w:p>
            <w:pPr>
              <w:pStyle w:val="Compact"/>
              <w:jc w:val="left"/>
            </w:pPr>
            <w:r>
              <w:t xml:space="preserve">4 settimane</w:t>
            </w:r>
          </w:p>
        </w:tc>
        <w:tc>
          <w:tcPr/>
          <w:p>
            <w:pPr>
              <w:pStyle w:val="Compact"/>
              <w:jc w:val="left"/>
            </w:pPr>
            <w:r>
              <w:t xml:space="preserve">nessuna variazione dei livelli di glutatione o dei marcatori di ossidazione</w:t>
            </w:r>
          </w:p>
        </w:tc>
      </w:tr>
      <w:tr>
        <w:tc>
          <w:tcPr/>
          <w:p>
            <w:pPr>
              <w:pStyle w:val="Compact"/>
              <w:jc w:val="left"/>
            </w:pPr>
            <w:r>
              <w:t xml:space="preserve">Richie 2015, PMID 24791752</w:t>
            </w:r>
          </w:p>
        </w:tc>
        <w:tc>
          <w:tcPr/>
          <w:p>
            <w:pPr>
              <w:pStyle w:val="Compact"/>
              <w:jc w:val="left"/>
            </w:pPr>
            <w:r>
              <w:t xml:space="preserve">54 persone sane, due dosi contro placebo, doppio cieco</w:t>
            </w:r>
          </w:p>
        </w:tc>
        <w:tc>
          <w:tcPr/>
          <w:p>
            <w:pPr>
              <w:pStyle w:val="Compact"/>
              <w:jc w:val="left"/>
            </w:pPr>
            <w:r>
              <w:t xml:space="preserve">6 mesi</w:t>
            </w:r>
          </w:p>
        </w:tc>
        <w:tc>
          <w:tcPr/>
          <w:p>
            <w:pPr>
              <w:pStyle w:val="Compact"/>
              <w:jc w:val="left"/>
            </w:pPr>
            <w:r>
              <w:t xml:space="preserve">livelli nelle cellule del sangue e nel plasma più alti del 30–35% (dose alta); ritorno ai valori iniziali dopo la sospensione</w:t>
            </w:r>
          </w:p>
        </w:tc>
      </w:tr>
      <w:tr>
        <w:tc>
          <w:tcPr/>
          <w:p>
            <w:pPr>
              <w:pStyle w:val="Compact"/>
              <w:jc w:val="left"/>
            </w:pPr>
            <w:r>
              <w:t xml:space="preserve">Sinha 2018, PMID 28853742</w:t>
            </w:r>
          </w:p>
        </w:tc>
        <w:tc>
          <w:tcPr/>
          <w:p>
            <w:pPr>
              <w:pStyle w:val="Compact"/>
              <w:jc w:val="left"/>
            </w:pPr>
            <w:r>
              <w:t xml:space="preserve">12 persone sane, glutatione liposomiale, senza placebo</w:t>
            </w:r>
          </w:p>
        </w:tc>
        <w:tc>
          <w:tcPr/>
          <w:p>
            <w:pPr>
              <w:pStyle w:val="Compact"/>
              <w:jc w:val="left"/>
            </w:pPr>
            <w:r>
              <w:t xml:space="preserve">4 settimane</w:t>
            </w:r>
          </w:p>
        </w:tc>
        <w:tc>
          <w:tcPr/>
          <w:p>
            <w:pPr>
              <w:pStyle w:val="Compact"/>
              <w:jc w:val="left"/>
            </w:pPr>
            <w:r>
              <w:t xml:space="preserve">livelli nel sangue intero fino al 40% più alti, nelle cellule immunitarie fino al 100%</w:t>
            </w:r>
          </w:p>
        </w:tc>
      </w:tr>
      <w:tr>
        <w:tc>
          <w:tcPr/>
          <w:p>
            <w:pPr>
              <w:pStyle w:val="Compact"/>
              <w:jc w:val="left"/>
            </w:pPr>
            <w:r>
              <w:t xml:space="preserve">Schmitt 2015, PMID 26262996</w:t>
            </w:r>
          </w:p>
        </w:tc>
        <w:tc>
          <w:tcPr/>
          <w:p>
            <w:pPr>
              <w:pStyle w:val="Compact"/>
              <w:jc w:val="left"/>
            </w:pPr>
            <w:r>
              <w:t xml:space="preserve">20 persone con sindrome metabolica, crossover: capsula, forma sublinguale, NAC</w:t>
            </w:r>
          </w:p>
        </w:tc>
        <w:tc>
          <w:tcPr/>
          <w:p>
            <w:pPr>
              <w:pStyle w:val="Compact"/>
              <w:jc w:val="left"/>
            </w:pPr>
            <w:r>
              <w:t xml:space="preserve">3 settimane ciascuna</w:t>
            </w:r>
          </w:p>
        </w:tc>
        <w:tc>
          <w:tcPr/>
          <w:p>
            <w:pPr>
              <w:pStyle w:val="Compact"/>
              <w:jc w:val="left"/>
            </w:pPr>
            <w:r>
              <w:t xml:space="preserve">la forma sublinguale ha aumentato i livelli plasmatici più delle capsule</w:t>
            </w:r>
          </w:p>
        </w:tc>
      </w:tr>
      <w:tr>
        <w:tc>
          <w:tcPr/>
          <w:p>
            <w:pPr>
              <w:pStyle w:val="Compact"/>
              <w:jc w:val="left"/>
            </w:pPr>
            <w:r>
              <w:t xml:space="preserve">Jung 2026, PMID 42392376</w:t>
            </w:r>
          </w:p>
        </w:tc>
        <w:tc>
          <w:tcPr/>
          <w:p>
            <w:pPr>
              <w:pStyle w:val="Compact"/>
              <w:jc w:val="left"/>
            </w:pPr>
            <w:r>
              <w:t xml:space="preserve">persone sane, film da sciogliere in bocca contro compressa</w:t>
            </w:r>
          </w:p>
        </w:tc>
        <w:tc>
          <w:tcPr/>
          <w:p>
            <w:pPr>
              <w:pStyle w:val="Compact"/>
              <w:jc w:val="left"/>
            </w:pPr>
            <w:r>
              <w:t xml:space="preserve">dose singola e 4 settimane</w:t>
            </w:r>
          </w:p>
        </w:tc>
        <w:tc>
          <w:tcPr/>
          <w:p>
            <w:pPr>
              <w:pStyle w:val="Compact"/>
              <w:jc w:val="left"/>
            </w:pPr>
            <w:r>
              <w:t xml:space="preserve">entrambe le forme hanno aumentato i livelli nel sangue; nessuna variazione dei marcatori di ossidazione</w:t>
            </w:r>
          </w:p>
        </w:tc>
      </w:tr>
    </w:tbl>
    <w:p>
      <w:pPr>
        <w:pStyle w:val="BodyText"/>
      </w:pPr>
      <w:r>
        <w:t xml:space="preserve">La questione è stata a lungo controversa. Un breve studio con 40 persone sane non ha trovato dopo quattro settimane alcuna variazione (Allen 2011, PMID 21875351). Uno studio più lungo, anch’esso in doppio cieco, con 54 persone sane ha invece trovato dopo sei mesi livelli di glutatione più alti, in modo dose-dipendente, nel sangue, nelle cellule del sangue e nella mucosa orale; un mese dopo la sospensione i valori erano tornati al livello iniziale (Richie 2015, PMID 24791752). Un piccolo studio pilota senza gruppo placebo ha riferito per il glutatione liposomiale aumenti già dopo una o due settimane (Sinha 2018, PMID 28853742).</w:t>
      </w:r>
    </w:p>
    <w:p>
      <w:pPr>
        <w:pStyle w:val="BodyText"/>
      </w:pPr>
      <w:r>
        <w:t xml:space="preserve">In sintesi: il glutatione ingerito può aumentare in modo misurabile i livelli nel sangue, presumibilmente in funzione di dose, durata e forma di somministrazione. Se livelli più alti nel sangue portino anche a un beneficio per la salute è un’altra questione.</w:t>
      </w:r>
    </w:p>
    <w:bookmarkEnd w:id="728"/>
    <w:bookmarkStart w:id="729" w:name="studi-relativi-a-malattie"/>
    <w:p>
      <w:pPr>
        <w:pStyle w:val="Heading4"/>
      </w:pPr>
      <w:r>
        <w:t xml:space="preserve">Studi relativi a malattie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Leal 2014, PMID 24619793</w:t>
            </w:r>
          </w:p>
        </w:tc>
        <w:tc>
          <w:tcPr/>
          <w:p>
            <w:pPr>
              <w:pStyle w:val="Compact"/>
              <w:jc w:val="left"/>
            </w:pPr>
            <w:r>
              <w:t xml:space="preserve">185 pazienti oncologici in trattamento con paclitaxel/carboplatino, infusione contro placebo, fase 3</w:t>
            </w:r>
          </w:p>
        </w:tc>
        <w:tc>
          <w:tcPr/>
          <w:p>
            <w:pPr>
              <w:pStyle w:val="Compact"/>
              <w:jc w:val="left"/>
            </w:pPr>
            <w:r>
              <w:t xml:space="preserve">durata della chemioterapia</w:t>
            </w:r>
          </w:p>
        </w:tc>
        <w:tc>
          <w:tcPr/>
          <w:p>
            <w:pPr>
              <w:pStyle w:val="Compact"/>
              <w:jc w:val="left"/>
            </w:pPr>
            <w:r>
              <w:rPr>
                <w:bCs/>
                <w:b/>
              </w:rPr>
              <w:t xml:space="preserve">nessuna</w:t>
            </w:r>
            <w:r>
              <w:t xml:space="preserve"> </w:t>
            </w:r>
            <w:r>
              <w:t xml:space="preserve">riduzione dei danni ai nervi da chemioterapia</w:t>
            </w:r>
          </w:p>
        </w:tc>
      </w:tr>
      <w:tr>
        <w:tc>
          <w:tcPr/>
          <w:p>
            <w:pPr>
              <w:pStyle w:val="Compact"/>
              <w:jc w:val="left"/>
            </w:pPr>
            <w:r>
              <w:t xml:space="preserve">Hauser 2009, PMID 19230029</w:t>
            </w:r>
          </w:p>
        </w:tc>
        <w:tc>
          <w:tcPr/>
          <w:p>
            <w:pPr>
              <w:pStyle w:val="Compact"/>
              <w:jc w:val="left"/>
            </w:pPr>
            <w:r>
              <w:t xml:space="preserve">21 persone con Parkinson, infusione contro placebo</w:t>
            </w:r>
          </w:p>
        </w:tc>
        <w:tc>
          <w:tcPr/>
          <w:p>
            <w:pPr>
              <w:pStyle w:val="Compact"/>
              <w:jc w:val="left"/>
            </w:pPr>
            <w:r>
              <w:t xml:space="preserve">4 settimane</w:t>
            </w:r>
          </w:p>
        </w:tc>
        <w:tc>
          <w:tcPr/>
          <w:p>
            <w:pPr>
              <w:pStyle w:val="Compact"/>
              <w:jc w:val="left"/>
            </w:pPr>
            <w:r>
              <w:t xml:space="preserve">nessuna differenza significativa sulla scala del Parkinson</w:t>
            </w:r>
          </w:p>
        </w:tc>
      </w:tr>
      <w:tr>
        <w:tc>
          <w:tcPr/>
          <w:p>
            <w:pPr>
              <w:pStyle w:val="Compact"/>
              <w:jc w:val="left"/>
            </w:pPr>
            <w:r>
              <w:t xml:space="preserve">Mischley 2017, PMID 28436395</w:t>
            </w:r>
          </w:p>
        </w:tc>
        <w:tc>
          <w:tcPr/>
          <w:p>
            <w:pPr>
              <w:pStyle w:val="Compact"/>
              <w:jc w:val="left"/>
            </w:pPr>
            <w:r>
              <w:t xml:space="preserve">45 persone con Parkinson, spray nasale in due dosi contro placebo</w:t>
            </w:r>
          </w:p>
        </w:tc>
        <w:tc>
          <w:tcPr/>
          <w:p>
            <w:pPr>
              <w:pStyle w:val="Compact"/>
              <w:jc w:val="left"/>
            </w:pPr>
            <w:r>
              <w:t xml:space="preserve">3 mesi</w:t>
            </w:r>
          </w:p>
        </w:tc>
        <w:tc>
          <w:tcPr/>
          <w:p>
            <w:pPr>
              <w:pStyle w:val="Compact"/>
              <w:jc w:val="left"/>
            </w:pPr>
            <w:r>
              <w:t xml:space="preserve">tutti i gruppi sono migliorati, glutatione non migliore del placebo</w:t>
            </w:r>
          </w:p>
        </w:tc>
      </w:tr>
      <w:tr>
        <w:tc>
          <w:tcPr/>
          <w:p>
            <w:pPr>
              <w:pStyle w:val="Compact"/>
              <w:jc w:val="left"/>
            </w:pPr>
            <w:r>
              <w:t xml:space="preserve">Bozic 2020, PMID 32960827</w:t>
            </w:r>
          </w:p>
        </w:tc>
        <w:tc>
          <w:tcPr/>
          <w:p>
            <w:pPr>
              <w:pStyle w:val="Compact"/>
              <w:jc w:val="left"/>
            </w:pPr>
            <w:r>
              <w:t xml:space="preserve">58 bambini con fibrosi cistica, capsule contro placebo</w:t>
            </w:r>
          </w:p>
        </w:tc>
        <w:tc>
          <w:tcPr/>
          <w:p>
            <w:pPr>
              <w:pStyle w:val="Compact"/>
              <w:jc w:val="left"/>
            </w:pPr>
            <w:r>
              <w:t xml:space="preserve">24 settimane</w:t>
            </w:r>
          </w:p>
        </w:tc>
        <w:tc>
          <w:tcPr/>
          <w:p>
            <w:pPr>
              <w:pStyle w:val="Compact"/>
              <w:jc w:val="left"/>
            </w:pPr>
            <w:r>
              <w:t xml:space="preserve">nessun effetto su crescita e marcatori infiammatori</w:t>
            </w:r>
          </w:p>
        </w:tc>
      </w:tr>
      <w:tr>
        <w:tc>
          <w:tcPr/>
          <w:p>
            <w:pPr>
              <w:pStyle w:val="Compact"/>
              <w:jc w:val="left"/>
            </w:pPr>
            <w:r>
              <w:t xml:space="preserve">Søndergård 2021, PMID 33740389</w:t>
            </w:r>
          </w:p>
        </w:tc>
        <w:tc>
          <w:tcPr/>
          <w:p>
            <w:pPr>
              <w:pStyle w:val="Compact"/>
              <w:jc w:val="left"/>
            </w:pPr>
            <w:r>
              <w:t xml:space="preserve">20 uomini in sovrappeso con e senza diabete di tipo 2, contro placebo</w:t>
            </w:r>
          </w:p>
        </w:tc>
        <w:tc>
          <w:tcPr/>
          <w:p>
            <w:pPr>
              <w:pStyle w:val="Compact"/>
              <w:jc w:val="left"/>
            </w:pPr>
            <w:r>
              <w:t xml:space="preserve">3 settimane</w:t>
            </w:r>
          </w:p>
        </w:tc>
        <w:tc>
          <w:tcPr/>
          <w:p>
            <w:pPr>
              <w:pStyle w:val="Compact"/>
              <w:jc w:val="left"/>
            </w:pPr>
            <w:r>
              <w:t xml:space="preserve">sensibilità all’insulina migliorata; marcatori di ossidazione invariati</w:t>
            </w:r>
          </w:p>
        </w:tc>
      </w:tr>
      <w:tr>
        <w:tc>
          <w:tcPr/>
          <w:p>
            <w:pPr>
              <w:pStyle w:val="Compact"/>
              <w:jc w:val="left"/>
            </w:pPr>
            <w:r>
              <w:t xml:space="preserve">Honda 2017, PMID 28789631</w:t>
            </w:r>
          </w:p>
        </w:tc>
        <w:tc>
          <w:tcPr/>
          <w:p>
            <w:pPr>
              <w:pStyle w:val="Compact"/>
              <w:jc w:val="left"/>
            </w:pPr>
            <w:r>
              <w:t xml:space="preserve">34 persone con fegato grasso, in aperto, senza gruppo di controllo</w:t>
            </w:r>
          </w:p>
        </w:tc>
        <w:tc>
          <w:tcPr/>
          <w:p>
            <w:pPr>
              <w:pStyle w:val="Compact"/>
              <w:jc w:val="left"/>
            </w:pPr>
            <w:r>
              <w:t xml:space="preserve">4 mesi</w:t>
            </w:r>
          </w:p>
        </w:tc>
        <w:tc>
          <w:tcPr/>
          <w:p>
            <w:pPr>
              <w:pStyle w:val="Compact"/>
              <w:jc w:val="left"/>
            </w:pPr>
            <w:r>
              <w:t xml:space="preserve">valore epatico ALT diminuito</w:t>
            </w:r>
          </w:p>
        </w:tc>
      </w:tr>
      <w:tr>
        <w:tc>
          <w:tcPr/>
          <w:p>
            <w:pPr>
              <w:pStyle w:val="Compact"/>
              <w:jc w:val="left"/>
            </w:pPr>
            <w:r>
              <w:t xml:space="preserve">Arrivi 2023, PMID 36083043</w:t>
            </w:r>
          </w:p>
        </w:tc>
        <w:tc>
          <w:tcPr/>
          <w:p>
            <w:pPr>
              <w:pStyle w:val="Compact"/>
              <w:jc w:val="left"/>
            </w:pPr>
            <w:r>
              <w:t xml:space="preserve">100 persone con infarto, infusione contro placebo (analisi successiva)</w:t>
            </w:r>
          </w:p>
        </w:tc>
        <w:tc>
          <w:tcPr/>
          <w:p>
            <w:pPr>
              <w:pStyle w:val="Compact"/>
              <w:jc w:val="left"/>
            </w:pPr>
            <w:r>
              <w:t xml:space="preserve">degenza ospedaliera</w:t>
            </w:r>
          </w:p>
        </w:tc>
        <w:tc>
          <w:tcPr/>
          <w:p>
            <w:pPr>
              <w:pStyle w:val="Compact"/>
              <w:jc w:val="left"/>
            </w:pPr>
            <w:r>
              <w:t xml:space="preserve">degenza di 8,6 invece di 10,8 giorni</w:t>
            </w:r>
          </w:p>
        </w:tc>
      </w:tr>
    </w:tbl>
    <w:p>
      <w:pPr>
        <w:pStyle w:val="BodyText"/>
      </w:pPr>
      <w:r>
        <w:t xml:space="preserve">Il quadro è deludente: lo studio più grande e metodologicamente più solido, uno studio di fase 3 con 185 pazienti oncologici, non ha trovato alcuna protezione dai danni ai nervi causati dalla chemioterapia; per singoli obiettivi secondari il placebo ha persino dato risultati migliori (Leal 2014, PMID 24619793). Nel Parkinson il glutatione non è risultato migliore del placebo né come infusione (Hauser 2009, PMID 19230029) né come spray nasale; nello studio sullo spray nasale una persona ha sviluppato con la dose più alta una malattia del muscolo cardiaco (Mischley 2017, PMID 28436395). Nei bambini con fibrosi cistica la crescita non è stata influenzata (Bozic 2020, PMID 32960827).</w:t>
      </w:r>
    </w:p>
    <w:p>
      <w:pPr>
        <w:pStyle w:val="BodyText"/>
      </w:pPr>
      <w:r>
        <w:t xml:space="preserve">I segnali positivi provengono da piccoli studi: in 20 uomini in sovrappeso la sensibilità all’insulina è migliorata dopo tre settimane (Søndergård 2021, PMID 33740389); nel fegato grasso i valori epatici sono diminuiti in uno studio non controllato (Honda 2017, PMID 28789631); dopo un infarto la durata della degenza è risultata più breve in un’analisi successiva (Arrivi 2023, PMID 36083043). Nessuno di questi risultati è stato finora confermato in uno studio più ampio.</w:t>
      </w:r>
    </w:p>
    <w:bookmarkEnd w:id="729"/>
    <w:bookmarkStart w:id="730" w:name="Xc8b8ab64f75920e13a805e148b083f75d7044f5"/>
    <w:p>
      <w:pPr>
        <w:pStyle w:val="Heading4"/>
      </w:pPr>
      <w:r>
        <w:t xml:space="preserve">Schiarimento della pelle: per via orale, topica, endovenosa</w:t>
      </w:r>
    </w:p>
    <w:p>
      <w:pPr>
        <w:pStyle w:val="FirstParagraph"/>
      </w:pPr>
      <w:r>
        <w:t xml:space="preserve">In parti dell’Asia, dell’Africa e sempre più anche in Europa il glutatione viene commercializzato soprattutto come «schiarente della pelle», in capsule, creme e sotto forma di infusioni in cliniche estetiche.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Arjinpathana 2012, PMID 20524875</w:t>
            </w:r>
          </w:p>
        </w:tc>
        <w:tc>
          <w:tcPr/>
          <w:p>
            <w:pPr>
              <w:pStyle w:val="Compact"/>
              <w:jc w:val="left"/>
            </w:pPr>
            <w:r>
              <w:t xml:space="preserve">60 studenti di medicina in Thailandia, capsule contro placebo</w:t>
            </w:r>
          </w:p>
        </w:tc>
        <w:tc>
          <w:tcPr/>
          <w:p>
            <w:pPr>
              <w:pStyle w:val="Compact"/>
              <w:jc w:val="left"/>
            </w:pPr>
            <w:r>
              <w:t xml:space="preserve">4 settimane</w:t>
            </w:r>
          </w:p>
        </w:tc>
        <w:tc>
          <w:tcPr/>
          <w:p>
            <w:pPr>
              <w:pStyle w:val="Compact"/>
              <w:jc w:val="left"/>
            </w:pPr>
            <w:r>
              <w:t xml:space="preserve">indice di melanina ridotto di più in 2 punti di misura su 6</w:t>
            </w:r>
          </w:p>
        </w:tc>
      </w:tr>
      <w:tr>
        <w:tc>
          <w:tcPr/>
          <w:p>
            <w:pPr>
              <w:pStyle w:val="Compact"/>
              <w:jc w:val="left"/>
            </w:pPr>
            <w:r>
              <w:t xml:space="preserve">Weschawalit 2017, PMID 28490897</w:t>
            </w:r>
          </w:p>
        </w:tc>
        <w:tc>
          <w:tcPr/>
          <w:p>
            <w:pPr>
              <w:pStyle w:val="Compact"/>
              <w:jc w:val="left"/>
            </w:pPr>
            <w:r>
              <w:t xml:space="preserve">donne sane, glutatione ridotto o ossidato contro placebo</w:t>
            </w:r>
          </w:p>
        </w:tc>
        <w:tc>
          <w:tcPr/>
          <w:p>
            <w:pPr>
              <w:pStyle w:val="Compact"/>
              <w:jc w:val="left"/>
            </w:pPr>
            <w:r>
              <w:t xml:space="preserve">12 settimane</w:t>
            </w:r>
          </w:p>
        </w:tc>
        <w:tc>
          <w:tcPr/>
          <w:p>
            <w:pPr>
              <w:pStyle w:val="Compact"/>
              <w:jc w:val="left"/>
            </w:pPr>
            <w:r>
              <w:t xml:space="preserve">indice di melanina tendenzialmente più basso; in parte meno rughe</w:t>
            </w:r>
          </w:p>
        </w:tc>
      </w:tr>
      <w:tr>
        <w:tc>
          <w:tcPr/>
          <w:p>
            <w:pPr>
              <w:pStyle w:val="Compact"/>
              <w:jc w:val="left"/>
            </w:pPr>
            <w:r>
              <w:t xml:space="preserve">Handog 2016, PMID 26148180</w:t>
            </w:r>
          </w:p>
        </w:tc>
        <w:tc>
          <w:tcPr/>
          <w:p>
            <w:pPr>
              <w:pStyle w:val="Compact"/>
              <w:jc w:val="left"/>
            </w:pPr>
            <w:r>
              <w:t xml:space="preserve">30 donne nelle Filippine, compressa da sciogliere in bocca, senza gruppo di controllo</w:t>
            </w:r>
          </w:p>
        </w:tc>
        <w:tc>
          <w:tcPr/>
          <w:p>
            <w:pPr>
              <w:pStyle w:val="Compact"/>
              <w:jc w:val="left"/>
            </w:pPr>
            <w:r>
              <w:t xml:space="preserve">8 settimane</w:t>
            </w:r>
          </w:p>
        </w:tc>
        <w:tc>
          <w:tcPr/>
          <w:p>
            <w:pPr>
              <w:pStyle w:val="Compact"/>
              <w:jc w:val="left"/>
            </w:pPr>
            <w:r>
              <w:t xml:space="preserve">indice di melanina diminuito</w:t>
            </w:r>
          </w:p>
        </w:tc>
      </w:tr>
      <w:tr>
        <w:tc>
          <w:tcPr/>
          <w:p>
            <w:pPr>
              <w:pStyle w:val="Compact"/>
              <w:jc w:val="left"/>
            </w:pPr>
            <w:r>
              <w:t xml:space="preserve">Wahab 2021, PMID 33871071</w:t>
            </w:r>
          </w:p>
        </w:tc>
        <w:tc>
          <w:tcPr/>
          <w:p>
            <w:pPr>
              <w:pStyle w:val="Compact"/>
              <w:jc w:val="left"/>
            </w:pPr>
            <w:r>
              <w:t xml:space="preserve">46 persone, combinazione crema e capsula contro placebo</w:t>
            </w:r>
          </w:p>
        </w:tc>
        <w:tc>
          <w:tcPr/>
          <w:p>
            <w:pPr>
              <w:pStyle w:val="Compact"/>
              <w:jc w:val="left"/>
            </w:pPr>
            <w:r>
              <w:t xml:space="preserve">8 settimane</w:t>
            </w:r>
          </w:p>
        </w:tc>
        <w:tc>
          <w:tcPr/>
          <w:p>
            <w:pPr>
              <w:pStyle w:val="Compact"/>
              <w:jc w:val="left"/>
            </w:pPr>
            <w:r>
              <w:t xml:space="preserve">combinazione forse più efficace dell’uso singolo</w:t>
            </w:r>
          </w:p>
        </w:tc>
      </w:tr>
    </w:tbl>
    <w:p>
      <w:pPr>
        <w:pStyle w:val="BodyText"/>
      </w:pPr>
      <w:r>
        <w:rPr>
          <w:bCs/>
          <w:b/>
        </w:rPr>
        <w:t xml:space="preserve">Per via orale e topica:</w:t>
      </w:r>
      <w:r>
        <w:t xml:space="preserve"> </w:t>
      </w:r>
      <w:r>
        <w:t xml:space="preserve">diversi piccoli studi randomizzati mostrano un lieve schiarimento, soprattutto nelle zone esposte al sole. Nel primo studio l’effetto era statisticamente significativo solo in due punti di misura su sei (Arjinpathana 2012, PMID 20524875). Una revisione sistematica nel 2019 ha concluso che le prove, a causa della qualità degli studi e di risultati contraddittori, erano «non ancora univoche» (Dilokthornsakul 2019, PMID 30895708). Una rassegna più recente giudica creme e capsule moderatamente efficaci, con effetti che non persistono dopo la sospensione (Sarkar 2025, PMID 39444151).</w:t>
      </w:r>
    </w:p>
    <w:p>
      <w:pPr>
        <w:pStyle w:val="BodyText"/>
      </w:pPr>
      <w:r>
        <w:rPr>
          <w:bCs/>
          <w:b/>
        </w:rPr>
        <w:t xml:space="preserve">Per via endovenosa:</w:t>
      </w:r>
      <w:r>
        <w:t xml:space="preserve"> </w:t>
      </w:r>
      <w:r>
        <w:t xml:space="preserve">per le infusioni a scopo schiarente esiste, secondo la stessa rassegna, un solo studio controllato con placebo, che non ha trovato differenze significative (37,5% contro 18,7%, p = 0,054). Le autrici e gli autori ritengono il glutatione endovenoso per schiarire la pelle</w:t>
      </w:r>
      <w:r>
        <w:t xml:space="preserve"> </w:t>
      </w:r>
      <w:r>
        <w:rPr>
          <w:bCs/>
          <w:b/>
        </w:rPr>
        <w:t xml:space="preserve">controindicato</w:t>
      </w:r>
      <w:r>
        <w:t xml:space="preserve">, cioè non giustificabile, per mancanza di efficacia ed effetti collaterali (Sarkar 2025, PMID 39444151). Una rassegna sudafricana non ha trovato nemmeno uno studio sulla sicurezza di infusioni ripetute per qualsiasi impiego (Davids 2016, PMID 27499402). Sul British Medical Journal la pratica è stata criticata come «sbiancamento non etico» (Dadzie 2016, PMID 27581922).</w:t>
      </w:r>
    </w:p>
    <w:bookmarkEnd w:id="730"/>
    <w:bookmarkEnd w:id="731"/>
    <w:bookmarkStart w:id="732" w:name="studi-su-animali-e-in-laboratorio-45"/>
    <w:p>
      <w:pPr>
        <w:pStyle w:val="Heading3"/>
      </w:pPr>
      <w:r>
        <w:t xml:space="preserve">Studi su animali e in laboratorio</w:t>
      </w:r>
    </w:p>
    <w:p>
      <w:pPr>
        <w:pStyle w:val="FirstParagraph"/>
      </w:pPr>
      <w:r>
        <w:t xml:space="preserve">La ricerca di laboratorio sul glutatione è enormemente ampia e riguarda quasi ogni ambito della biologia cellulare. Per questo libro è rilevante soprattutto che, in esperimenti su cellule e animali, il glutatione o i suoi precursori hanno potuto proteggere da danni ossidativi, tossicità dei farmaci e reazioni infiammatorie, effetti che negli studi clinici sull’uomo si ritrovano solo in parte e per lo più in forma debole.</w:t>
      </w:r>
    </w:p>
    <w:bookmarkEnd w:id="732"/>
    <w:bookmarkStart w:id="733" w:name="rischi-ed-effetti-collaterali-45"/>
    <w:p>
      <w:pPr>
        <w:pStyle w:val="Heading3"/>
      </w:pPr>
      <w:r>
        <w:t xml:space="preserve">Rischi ed effetti collaterali</w:t>
      </w:r>
    </w:p>
    <w:p>
      <w:pPr>
        <w:pStyle w:val="FirstParagraph"/>
      </w:pPr>
      <w:r>
        <w:rPr>
          <w:bCs/>
          <w:b/>
        </w:rPr>
        <w:t xml:space="preserve">Assunzione orale:</w:t>
      </w:r>
      <w:r>
        <w:t xml:space="preserve"> </w:t>
      </w:r>
      <w:r>
        <w:t xml:space="preserve">negli studi ben tollerata; vengono riferiti sporadicamente disturbi gastrointestinali. Mancano in gran parte dati a lungo termine oltre i sei mesi.</w:t>
      </w:r>
    </w:p>
    <w:p>
      <w:pPr>
        <w:pStyle w:val="BodyText"/>
      </w:pPr>
      <w:r>
        <w:rPr>
          <w:bCs/>
          <w:b/>
        </w:rPr>
        <w:t xml:space="preserve">Spray nasale:</w:t>
      </w:r>
      <w:r>
        <w:t xml:space="preserve"> </w:t>
      </w:r>
      <w:r>
        <w:t xml:space="preserve">in uno studio sul Parkinson una persona ha sviluppato con la dose più alta una malattia del muscolo cardiaco; un nesso non è dimostrato (Mischley 2017, PMID 28436395).</w:t>
      </w:r>
    </w:p>
    <w:p>
      <w:pPr>
        <w:pStyle w:val="BodyText"/>
      </w:pPr>
      <w:r>
        <w:rPr>
          <w:bCs/>
          <w:b/>
        </w:rPr>
        <w:t xml:space="preserve">Infusioni, i veri rischi:</w:t>
      </w:r>
    </w:p>
    <w:p>
      <w:pPr>
        <w:numPr>
          <w:ilvl w:val="0"/>
          <w:numId w:val="1246"/>
        </w:numPr>
        <w:pStyle w:val="Compact"/>
      </w:pPr>
      <w:r>
        <w:rPr>
          <w:bCs/>
          <w:b/>
        </w:rPr>
        <w:t xml:space="preserve">Preparazioni contaminate:</w:t>
      </w:r>
      <w:r>
        <w:t xml:space="preserve"> </w:t>
      </w:r>
      <w:r>
        <w:t xml:space="preserve">nel 2019 l’autorità statunitense dei medicinali FDA ha avvertito le farmacie di non usare per infusioni il glutatione di un determinato grossista, dopo che alcuni pazienti avevano sviluppato nausea, vomito e difficoltà respiratorie in seguito alle infusioni e dopo che erano stati misurati valori elevati di endotossine (componenti dei batteri che possono provocare febbre e shock). Nell’agosto 2026 la FDA ha di nuovo invitato le farmacie a non usare per iniezioni glutatione di qualità da integratore alimentare; dopo infusioni di un determinato lotto si erano verificati febbre, brividi, stati simili allo shock e ricoveri ospedalieri.</w:t>
      </w:r>
    </w:p>
    <w:p>
      <w:pPr>
        <w:numPr>
          <w:ilvl w:val="0"/>
          <w:numId w:val="1246"/>
        </w:numPr>
        <w:pStyle w:val="Compact"/>
      </w:pPr>
      <w:r>
        <w:rPr>
          <w:bCs/>
          <w:b/>
        </w:rPr>
        <w:t xml:space="preserve">Avvertenze delle autorità sullo schiarimento della pelle:</w:t>
      </w:r>
      <w:r>
        <w:t xml:space="preserve"> </w:t>
      </w:r>
      <w:r>
        <w:t xml:space="preserve">l’autorità filippina dei medicinali ha messo in guardia nel 2011 e nel 2019 contro le iniezioni di glutatione per schiarire la pelle; ha citato effetti collaterali che vanno dalle eruzioni cutanee alle reazioni cutanee potenzialmente letali sindrome di Stevens-Johnson e necrolisi epidermica tossica, nonché rischi legati a iniezioni non corrette come sepsi e trasmissione di infezioni. Anche la FDA statunitense ha avvertito consumatrici e consumatori che non esistono preparati iniettabili autorizzati per schiarire la pelle e che tali prodotti possono contenere componenti sconosciuti e dannosi.</w:t>
      </w:r>
    </w:p>
    <w:p>
      <w:pPr>
        <w:numPr>
          <w:ilvl w:val="0"/>
          <w:numId w:val="1246"/>
        </w:numPr>
        <w:pStyle w:val="Compact"/>
      </w:pPr>
      <w:r>
        <w:rPr>
          <w:bCs/>
          <w:b/>
        </w:rPr>
        <w:t xml:space="preserve">Cancro della pelle (teorico):</w:t>
      </w:r>
      <w:r>
        <w:t xml:space="preserve"> </w:t>
      </w:r>
      <w:r>
        <w:t xml:space="preserve">lo spostamento dalla melanina scura a quella chiara potrebbe ridurre la protezione solare naturale della pelle (Davids 2016, PMID 27499402).</w:t>
      </w:r>
    </w:p>
    <w:p>
      <w:pPr>
        <w:pStyle w:val="FirstParagraph"/>
      </w:pPr>
      <w:r>
        <w:rPr>
          <w:bCs/>
          <w:b/>
        </w:rPr>
        <w:t xml:space="preserve">Interazioni:</w:t>
      </w:r>
      <w:r>
        <w:t xml:space="preserve"> </w:t>
      </w:r>
      <w:r>
        <w:t xml:space="preserve">in uno studio oncologico il glutatione è stato somministrato prima della chemioterapia; il tempo fino alla progressione della malattia non differiva lì dal placebo (Leal 2014, PMID 24619793). In linea di principio si discute se gli antiossidanti possano attenuare l’effetto di alcune terapie antitumorali. Chi è in trattamento per un tumore dovrebbe assumere glutatione solo dopo aver consultato l’équipe curante.</w:t>
      </w:r>
    </w:p>
    <w:bookmarkEnd w:id="733"/>
    <w:bookmarkStart w:id="734" w:name="quadro-normativo-45"/>
    <w:p>
      <w:pPr>
        <w:pStyle w:val="Heading3"/>
      </w:pPr>
      <w:r>
        <w:t xml:space="preserve">Quadro normativo</w:t>
      </w:r>
    </w:p>
    <w:p>
      <w:pPr>
        <w:numPr>
          <w:ilvl w:val="0"/>
          <w:numId w:val="1247"/>
        </w:numPr>
        <w:pStyle w:val="Compact"/>
      </w:pPr>
      <w:r>
        <w:rPr>
          <w:bCs/>
          <w:b/>
        </w:rPr>
        <w:t xml:space="preserve">UE / Austria / Germania:</w:t>
      </w:r>
      <w:r>
        <w:t xml:space="preserve"> </w:t>
      </w:r>
      <w:r>
        <w:t xml:space="preserve">il glutatione viene venduto come integratore alimentare in capsule e polveri; le promesse sulla salute nella pubblicità non sono consentite senza indicazioni sulla salute (health claim) autorizzate. Infusioni e iniezioni sono medicinali; i preparati per lo schiarimento della pelle per infusione non sono autorizzati. In singoli Paesi (per quanto ci risulta per esempio l’Italia) esistono iniezioni di glutatione autorizzate per impieghi medici specifici; per i dettagli si veda il relativo riassunto delle caratteristiche del prodotto (aggiornato al 2026, da verificare).</w:t>
      </w:r>
    </w:p>
    <w:p>
      <w:pPr>
        <w:numPr>
          <w:ilvl w:val="0"/>
          <w:numId w:val="1247"/>
        </w:numPr>
        <w:pStyle w:val="Compact"/>
      </w:pPr>
      <w:r>
        <w:rPr>
          <w:bCs/>
          <w:b/>
        </w:rPr>
        <w:t xml:space="preserve">USA:</w:t>
      </w:r>
      <w:r>
        <w:t xml:space="preserve"> </w:t>
      </w:r>
      <w:r>
        <w:t xml:space="preserve">nessun medicinale a base di glutatione autorizzato; gli integratori alimentari sono consentiti, le infusioni vengono preparate come preparazioni magistrali in farmacia e sono soggette ai requisiti FDA per le preparazioni sterili.</w:t>
      </w:r>
    </w:p>
    <w:p>
      <w:pPr>
        <w:numPr>
          <w:ilvl w:val="0"/>
          <w:numId w:val="1247"/>
        </w:numPr>
        <w:pStyle w:val="Compact"/>
      </w:pPr>
      <w:r>
        <w:rPr>
          <w:bCs/>
          <w:b/>
        </w:rPr>
        <w:t xml:space="preserve">Sport:</w:t>
      </w:r>
      <w:r>
        <w:t xml:space="preserve"> </w:t>
      </w:r>
      <w:r>
        <w:t xml:space="preserve">il glutatione non è vietato; le infusioni oltre 100 ml in dodici ore rientrano, al di fuori dei trattamenti clinici, nel metodo WADA M2 (aggiornato al 2026, da verificare).</w:t>
      </w:r>
    </w:p>
    <w:bookmarkEnd w:id="734"/>
    <w:bookmarkStart w:id="735" w:name="studi-in-corso-e-prospettive-45"/>
    <w:p>
      <w:pPr>
        <w:pStyle w:val="Heading3"/>
      </w:pPr>
      <w:r>
        <w:t xml:space="preserve">Studi in corso e prospettive</w:t>
      </w:r>
    </w:p>
    <w:p>
      <w:pPr>
        <w:pStyle w:val="FirstParagraph"/>
      </w:pPr>
      <w:r>
        <w:rPr>
          <w:bCs/>
          <w:b/>
        </w:rPr>
        <w:t xml:space="preserve">Assodato (studi registrati, aggiornato a ottobre 2026):</w:t>
      </w:r>
    </w:p>
    <w:p>
      <w:pPr>
        <w:numPr>
          <w:ilvl w:val="0"/>
          <w:numId w:val="1248"/>
        </w:numPr>
        <w:pStyle w:val="Compact"/>
      </w:pPr>
      <w:r>
        <w:t xml:space="preserve">Uno studio di fase 1 in Cina esamina il glutatione in aggiunta a immunoterapia e chemioterapia nel cancro del polmone avanzato (NCT06896422, 80 partecipanti previsti).</w:t>
      </w:r>
    </w:p>
    <w:p>
      <w:pPr>
        <w:numPr>
          <w:ilvl w:val="0"/>
          <w:numId w:val="1248"/>
        </w:numPr>
        <w:pStyle w:val="Compact"/>
      </w:pPr>
      <w:r>
        <w:t xml:space="preserve">È registrato uno studio sul microneedling assistito da glutatione nel melasma (macchie pigmentate) (NCT07448415).</w:t>
      </w:r>
    </w:p>
    <w:p>
      <w:pPr>
        <w:numPr>
          <w:ilvl w:val="0"/>
          <w:numId w:val="1248"/>
        </w:numPr>
        <w:pStyle w:val="Compact"/>
      </w:pPr>
      <w:r>
        <w:t xml:space="preserve">Diversi piccoli studi esaminano nuove forme di somministrazione (liposomiale, micellare) e il recupero sportivo, spesso finanziati dai produttori.</w:t>
      </w:r>
    </w:p>
    <w:p>
      <w:pPr>
        <w:pStyle w:val="FirstParagraph"/>
      </w:pPr>
      <w:r>
        <w:rPr>
          <w:bCs/>
          <w:b/>
        </w:rPr>
        <w:t xml:space="preserve">Valutazione:</w:t>
      </w:r>
      <w:r>
        <w:t xml:space="preserve"> </w:t>
      </w:r>
      <w:r>
        <w:t xml:space="preserve">la questione aperta più importante non è più se il glutatione venga assorbito, ma se livelli più alti portino un beneficio clinico. I grandi studi finora condotti depongono piuttosto contro. Nelle infusioni per schiarire la pelle o come flebo «wellness» i rischi superano un beneficio non dimostrato.</w:t>
      </w:r>
    </w:p>
    <w:bookmarkEnd w:id="735"/>
    <w:bookmarkStart w:id="736" w:name="conclusione-45"/>
    <w:p>
      <w:pPr>
        <w:pStyle w:val="Heading3"/>
      </w:pPr>
      <w:r>
        <w:t xml:space="preserve">Conclusione</w:t>
      </w:r>
    </w:p>
    <w:p>
      <w:pPr>
        <w:pStyle w:val="FirstParagraph"/>
      </w:pPr>
      <w:r>
        <w:t xml:space="preserve">Il glutatione è il più importante peptide protettivo endogeno contro l’ossidazione; assunto in capsule può aumentare in modo misurabile i livelli nel sangue con un’assunzione prolungata. In clinica, però, gli studi più ampi non hanno mostrato alcun beneficio, né contro i danni ai nervi da chemioterapia né nel Parkinson o nella fibrosi cistica; gli indizi positivi provengono da piccoli studi. Capsule e creme hanno schiarito la pelle in piccoli studi in modo lieve e temporaneo. Le infusioni per schiarire la pelle non hanno un’efficacia dimostrata, non sono autorizzate e diverse autorità hanno espressamente messo in guardia contro di esse a causa di gravi effetti collaterali e preparati contaminati.</w:t>
      </w:r>
    </w:p>
    <w:bookmarkEnd w:id="736"/>
    <w:bookmarkEnd w:id="737"/>
    <w:bookmarkEnd w:id="738"/>
    <w:bookmarkStart w:id="853" w:name="X812c6247d0573a362efc2b1e3c09eafa08aa531"/>
    <w:p>
      <w:pPr>
        <w:pStyle w:val="Heading1"/>
      </w:pPr>
      <w:r>
        <w:t xml:space="preserve">Parte II · E – Ormoni, sessualità e pigmentazione</w:t>
      </w:r>
    </w:p>
    <w:p>
      <w:pPr>
        <w:pStyle w:val="FirstParagraph"/>
      </w:pPr>
      <w:r>
        <w:t xml:space="preserve">I sei peptidi di questo gruppo agiscono su aspetti molto diversi: colore della pelle, desiderio sessuale, fertilità e comportamento sociale. Hanno in comune il fatto di imitare vie di segnalazione endogene del cervello e delle ghiandole endocrine, strettamente intrecciate tra loro. Tre di essi appartengono a un’unica famiglia, il sistema delle melanocortine; altri tre regolano l’asse ormonale della riproduzione o sono collegati a esso.</w:t>
      </w:r>
    </w:p>
    <w:bookmarkStart w:id="739" w:name="il-sistema-delle-melanocortine"/>
    <w:p>
      <w:pPr>
        <w:pStyle w:val="Heading3"/>
      </w:pPr>
      <w:r>
        <w:t xml:space="preserve">Il sistema delle melanocortine</w:t>
      </w:r>
    </w:p>
    <w:p>
      <w:pPr>
        <w:pStyle w:val="FirstParagraph"/>
      </w:pPr>
      <w:r>
        <w:t xml:space="preserve">All’inizio c’è una grande proteina precursore chiamata proopiomelanocortina (POMC). Da essa alcuni enzimi ritagliano diversi peptidi più piccoli, tra cui l’ormone dello stress ACTH e gli ormoni melanocito-stimolanti (MSH), soprattutto l’alfa-MSH. Nel loro insieme questi messaggeri si chiamano melanocortine. Agiscono attraverso cinque recettori, da MC1R a MC5R, presenti in tessuti diversi:</w:t>
      </w:r>
    </w:p>
    <w:p>
      <w:pPr>
        <w:numPr>
          <w:ilvl w:val="0"/>
          <w:numId w:val="1249"/>
        </w:numPr>
        <w:pStyle w:val="Compact"/>
      </w:pPr>
      <w:r>
        <w:rPr>
          <w:bCs/>
          <w:b/>
        </w:rPr>
        <w:t xml:space="preserve">MC1R</w:t>
      </w:r>
      <w:r>
        <w:t xml:space="preserve">, sulle cellule pigmentate della pelle, determina se queste producono eumelanina scura e protettiva. Le persone con capelli rossi e pelle chiara portano spesso varianti meno efficaci di questo recettore.</w:t>
      </w:r>
    </w:p>
    <w:p>
      <w:pPr>
        <w:numPr>
          <w:ilvl w:val="0"/>
          <w:numId w:val="1249"/>
        </w:numPr>
        <w:pStyle w:val="Compact"/>
      </w:pPr>
      <w:r>
        <w:rPr>
          <w:bCs/>
          <w:b/>
        </w:rPr>
        <w:t xml:space="preserve">MC2R</w:t>
      </w:r>
      <w:r>
        <w:t xml:space="preserve">, nella ghiandola surrenale, è il recettore dell’ACTH e regola la produzione di cortisolo.</w:t>
      </w:r>
    </w:p>
    <w:p>
      <w:pPr>
        <w:numPr>
          <w:ilvl w:val="0"/>
          <w:numId w:val="1249"/>
        </w:numPr>
        <w:pStyle w:val="Compact"/>
      </w:pPr>
      <w:r>
        <w:rPr>
          <w:bCs/>
          <w:b/>
        </w:rPr>
        <w:t xml:space="preserve">MC3R e MC4R</w:t>
      </w:r>
      <w:r>
        <w:t xml:space="preserve">, nel cervello, influenzano appetito, dispendio energetico e – come si è scoperto per caso – l’eccitazione sessuale. I difetti di MC4R sono la causa genetica più frequente di obesità grave.</w:t>
      </w:r>
    </w:p>
    <w:p>
      <w:pPr>
        <w:numPr>
          <w:ilvl w:val="0"/>
          <w:numId w:val="1249"/>
        </w:numPr>
        <w:pStyle w:val="Compact"/>
      </w:pPr>
      <w:r>
        <w:rPr>
          <w:bCs/>
          <w:b/>
        </w:rPr>
        <w:t xml:space="preserve">MC5R</w:t>
      </w:r>
      <w:r>
        <w:t xml:space="preserve"> </w:t>
      </w:r>
      <w:r>
        <w:t xml:space="preserve">agisce, tra l’altro, sulle ghiandole sebacee e su altre ghiandole.</w:t>
      </w:r>
    </w:p>
    <w:p>
      <w:pPr>
        <w:pStyle w:val="FirstParagraph"/>
      </w:pPr>
      <w:r>
        <w:t xml:space="preserve">La storia dei tre peptidi melanocortinici di questa parte comincia all’Università dell’Arizona. Lì, negli anni Ottanta e Novanta, alcuni ricercatori svilupparono due varianti stabilizzate dell’alfa-MSH per ottenere un’abbronzatura senza sole: il Melanotan I lineare e il Melanotan II ciclico (Hadley 2006, PMID 16412534). Durante le prove con il Melanotan II alcuni uomini riferirono erezioni spontanee: fu la scoperta che le melanocortine nel cervello influenzano la funzione sessuale (Hadley 2005, PMID 15996790).</w:t>
      </w:r>
    </w:p>
    <w:p>
      <w:pPr>
        <w:pStyle w:val="BodyText"/>
      </w:pPr>
      <w:r>
        <w:t xml:space="preserve">Da questi inizi sono nate tre strade:</w:t>
      </w:r>
    </w:p>
    <w:p>
      <w:pPr>
        <w:numPr>
          <w:ilvl w:val="0"/>
          <w:numId w:val="1250"/>
        </w:numPr>
        <w:pStyle w:val="Compact"/>
      </w:pPr>
      <w:r>
        <w:rPr>
          <w:bCs/>
          <w:b/>
        </w:rPr>
        <w:t xml:space="preserve">Melanotan I</w:t>
      </w:r>
      <w:r>
        <w:t xml:space="preserve"> </w:t>
      </w:r>
      <w:r>
        <w:t xml:space="preserve">è stato sviluppato, con il nome di</w:t>
      </w:r>
      <w:r>
        <w:t xml:space="preserve"> </w:t>
      </w:r>
      <w:r>
        <w:rPr>
          <w:bCs/>
          <w:b/>
        </w:rPr>
        <w:t xml:space="preserve">afamelanotide</w:t>
      </w:r>
      <w:r>
        <w:t xml:space="preserve">, come impianto contro una rara e dolorosa fotosensibilità ed è approvato nell’UE e negli Stati Uniti.</w:t>
      </w:r>
    </w:p>
    <w:p>
      <w:pPr>
        <w:numPr>
          <w:ilvl w:val="0"/>
          <w:numId w:val="1250"/>
        </w:numPr>
        <w:pStyle w:val="Compact"/>
      </w:pPr>
      <w:r>
        <w:rPr>
          <w:bCs/>
          <w:b/>
        </w:rPr>
        <w:t xml:space="preserve">Melanotan II</w:t>
      </w:r>
      <w:r>
        <w:t xml:space="preserve"> </w:t>
      </w:r>
      <w:r>
        <w:t xml:space="preserve">non è mai stato approvato, ma è diffuso sul mercato grigio come «iniezione abbronzante».</w:t>
      </w:r>
    </w:p>
    <w:p>
      <w:pPr>
        <w:numPr>
          <w:ilvl w:val="0"/>
          <w:numId w:val="1250"/>
        </w:numPr>
        <w:pStyle w:val="Compact"/>
      </w:pPr>
      <w:r>
        <w:rPr>
          <w:bCs/>
          <w:b/>
        </w:rPr>
        <w:t xml:space="preserve">Bremelanotide</w:t>
      </w:r>
      <w:r>
        <w:t xml:space="preserve">, una variante del Melanotan II, è approvato negli Stati Uniti contro lo scarso desiderio sessuale nelle donne.</w:t>
      </w:r>
    </w:p>
    <w:p>
      <w:pPr>
        <w:pStyle w:val="FirstParagraph"/>
      </w:pPr>
      <w:r>
        <w:t xml:space="preserve">Un quarto principio attivo melanocortinico, il setmelanotide, agisce in modo mirato su MC4R ed è impiegato in rare forme genetiche di obesità; è trattato nella Parte II · A. Quanto più selettivamente un principio attivo si lega a un recettore, tanto più mirato è il suo effetto. Il Melanotan II li attiva quasi tutti e per questo riunisce in una sola molecola abbronzatura, nausea, perdita di appetito ed erezioni.</w:t>
      </w:r>
    </w:p>
    <w:bookmarkEnd w:id="739"/>
    <w:bookmarkStart w:id="740" w:name="lasse-ormonale-della-riproduzione"/>
    <w:p>
      <w:pPr>
        <w:pStyle w:val="Heading3"/>
      </w:pPr>
      <w:r>
        <w:t xml:space="preserve">L’asse ormonale della riproduzione</w:t>
      </w:r>
    </w:p>
    <w:p>
      <w:pPr>
        <w:pStyle w:val="FirstParagraph"/>
      </w:pPr>
      <w:r>
        <w:t xml:space="preserve">Gli altri tre peptidi di questa parte agiscono sull’asse che regola pubertà, ciclo e fertilità. La</w:t>
      </w:r>
      <w:r>
        <w:t xml:space="preserve"> </w:t>
      </w:r>
      <w:r>
        <w:rPr>
          <w:bCs/>
          <w:b/>
        </w:rPr>
        <w:t xml:space="preserve">kisspeptina</w:t>
      </w:r>
      <w:r>
        <w:t xml:space="preserve"> </w:t>
      </w:r>
      <w:r>
        <w:t xml:space="preserve">attiva nell’ipotalamo i neuroni che producono GnRH. La</w:t>
      </w:r>
      <w:r>
        <w:t xml:space="preserve"> </w:t>
      </w:r>
      <w:r>
        <w:rPr>
          <w:bCs/>
          <w:b/>
        </w:rPr>
        <w:t xml:space="preserve">gonadorelina</w:t>
      </w:r>
      <w:r>
        <w:t xml:space="preserve"> </w:t>
      </w:r>
      <w:r>
        <w:t xml:space="preserve">è la forma sintetica del GnRH stesso, che, rilasciato a impulsi, stimola l’ipofisi a secernere LH e FSH. Entrambe mostrano un principio comune: somministrate con il ritmo giusto attivano l’asse; come stimolo continuo lo frenano. L’</w:t>
      </w:r>
      <w:r>
        <w:rPr>
          <w:bCs/>
          <w:b/>
        </w:rPr>
        <w:t xml:space="preserve">ossitocina</w:t>
      </w:r>
      <w:r>
        <w:t xml:space="preserve">, infine, proviene dalle stesse regioni cerebrali, regola parto e allattamento e da due decenni viene studiata come spray nasale per il comportamento sociale – con risultati deludenti.</w:t>
      </w:r>
    </w:p>
    <w:bookmarkEnd w:id="740"/>
    <w:bookmarkStart w:id="741" w:name="panoramica-3"/>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w:t>
            </w:r>
          </w:p>
        </w:tc>
        <w:tc>
          <w:tcPr/>
          <w:p>
            <w:pPr>
              <w:pStyle w:val="Compact"/>
              <w:jc w:val="left"/>
            </w:pPr>
            <w:r>
              <w:t xml:space="preserve">In breve</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USA (Vyleesi), non UE</w:t>
            </w:r>
          </w:p>
        </w:tc>
        <w:tc>
          <w:tcPr/>
          <w:p>
            <w:pPr>
              <w:pStyle w:val="Compact"/>
              <w:jc w:val="left"/>
            </w:pPr>
            <w:r>
              <w:t xml:space="preserve">Desiderio nelle donne con HSDD; effetto piccolo, molta nausea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Abbronzatura da mercato grigio; casi clinici su nei e priapismo</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UE e USA (Scenesse)</w:t>
            </w:r>
          </w:p>
        </w:tc>
        <w:tc>
          <w:tcPr/>
          <w:p>
            <w:pPr>
              <w:pStyle w:val="Compact"/>
              <w:jc w:val="left"/>
            </w:pPr>
            <w:r>
              <w:t xml:space="preserve">Fotoprotezione nella EPP; vitiligine in sperimentazione</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Maturazione degli ovociti nella FIVET, test ormonali; ricerca</w:t>
            </w:r>
          </w:p>
        </w:tc>
      </w:tr>
      <w:tr>
        <w:tc>
          <w:tcPr/>
          <w:p>
            <w:pPr>
              <w:pStyle w:val="Compact"/>
              <w:jc w:val="left"/>
            </w:pPr>
            <w:r>
              <w:t xml:space="preserve">Ossitocina (spray nasale)</w:t>
            </w:r>
          </w:p>
        </w:tc>
        <w:tc>
          <w:tcPr/>
          <w:p>
            <w:pPr>
              <w:pStyle w:val="Compact"/>
              <w:jc w:val="left"/>
            </w:pPr>
            <w:r>
              <w:t xml:space="preserve">B</w:t>
            </w:r>
          </w:p>
        </w:tc>
        <w:tc>
          <w:tcPr/>
          <w:p>
            <w:pPr>
              <w:pStyle w:val="Compact"/>
              <w:jc w:val="left"/>
            </w:pPr>
            <w:r>
              <w:t xml:space="preserve">solo come infusione (ostetricia)</w:t>
            </w:r>
          </w:p>
        </w:tc>
        <w:tc>
          <w:tcPr/>
          <w:p>
            <w:pPr>
              <w:pStyle w:val="Compact"/>
              <w:jc w:val="left"/>
            </w:pPr>
            <w:r>
              <w:t xml:space="preserve">Autismo e fiducia: grandi studi negativi</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nazionale (UE), non più negli USA</w:t>
            </w:r>
          </w:p>
        </w:tc>
        <w:tc>
          <w:tcPr/>
          <w:p>
            <w:pPr>
              <w:pStyle w:val="Compact"/>
              <w:jc w:val="left"/>
            </w:pPr>
            <w:r>
              <w:t xml:space="preserve">Test al GnRH e pompa per il desiderio di figli; vietata come doping</w:t>
            </w:r>
          </w:p>
        </w:tc>
      </w:tr>
    </w:tbl>
    <w:p>
      <w:pPr>
        <w:pStyle w:val="BodyText"/>
      </w:pPr>
      <w:r>
        <w:t xml:space="preserve">Le informazioni sulle approvazioni corrispondono alla situazione del 2026 e andrebbero verificate.</w:t>
      </w:r>
    </w:p>
    <w:bookmarkEnd w:id="741"/>
    <w:bookmarkStart w:id="742" w:name="nota-di-lettura"/>
    <w:p>
      <w:pPr>
        <w:pStyle w:val="Heading3"/>
      </w:pPr>
      <w:r>
        <w:t xml:space="preserve">Nota di lettura</w:t>
      </w:r>
    </w:p>
    <w:p>
      <w:pPr>
        <w:pStyle w:val="FirstParagraph"/>
      </w:pPr>
      <w:r>
        <w:t xml:space="preserve">Chi è interessato agli abbronzanti dovrebbe leggere insieme i capitoli sul Melanotan II e sull’afamelanotide: mostrano quanto diversamente possa svilupparsi la stessa idea di fondo – da una parte come farmaco sperimentato in un ambulatorio specialistico, dall’altra come polvere non verificata acquistata su internet. Per il tema della sessualità vale la pena confrontare bremelanotide, kisspeptina e ossitocina; tutti e tre mostrano quanto siano forti gli effetti placebo in questo campo. Kisspeptina e gonadorelina spiegano insieme l’asse ormonale della fertilità. Le informazioni generali sui prodotti del mercato grigio si trovano nella Parte I, il confronto dei rischi nella Parte IV.</w:t>
      </w:r>
    </w:p>
    <w:bookmarkEnd w:id="742"/>
    <w:bookmarkStart w:id="760" w:name="bremelanotide-pt-141"/>
    <w:p>
      <w:pPr>
        <w:pStyle w:val="Heading2"/>
      </w:pPr>
      <w:r>
        <w:t xml:space="preserve">Bremelanotide (PT-141)</w:t>
      </w:r>
    </w:p>
    <w:bookmarkStart w:id="743" w:name="scheda-46"/>
    <w:p>
      <w:pPr>
        <w:pStyle w:val="Heading3"/>
      </w:pPr>
      <w:r>
        <w:t xml:space="preserve">Scheda</w:t>
      </w:r>
    </w:p>
    <w:p>
      <w:pPr>
        <w:numPr>
          <w:ilvl w:val="0"/>
          <w:numId w:val="1251"/>
        </w:numPr>
        <w:pStyle w:val="Compact"/>
      </w:pPr>
      <w:r>
        <w:rPr>
          <w:bCs/>
          <w:b/>
        </w:rPr>
        <w:t xml:space="preserve">Tipo/struttura:</w:t>
      </w:r>
      <w:r>
        <w:t xml:space="preserve"> </w:t>
      </w:r>
      <w:r>
        <w:t xml:space="preserve">peptide ad anello (ciclico) di sette aminoacidi, prodotto per sintesi. Deriva dall’ormone endogeno alfa-MSH (ormone alfa-melanocito-stimolante) ed è uno stretto parente del Melanotan II (capitolo 2E02). In letteratura è chiamato anche PT-141.</w:t>
      </w:r>
    </w:p>
    <w:p>
      <w:pPr>
        <w:numPr>
          <w:ilvl w:val="0"/>
          <w:numId w:val="1251"/>
        </w:numPr>
        <w:pStyle w:val="Compact"/>
      </w:pPr>
      <w:r>
        <w:rPr>
          <w:bCs/>
          <w:b/>
        </w:rPr>
        <w:t xml:space="preserve">Origine:</w:t>
      </w:r>
      <w:r>
        <w:t xml:space="preserve"> </w:t>
      </w:r>
      <w:r>
        <w:t xml:space="preserve">nato dallo sviluppo del Melanotan II all’Università dell’Arizona; sviluppato ulteriormente dall’azienda Palatin Technologies (Hadley 2006, PMID 16412534).</w:t>
      </w:r>
    </w:p>
    <w:p>
      <w:pPr>
        <w:numPr>
          <w:ilvl w:val="0"/>
          <w:numId w:val="1251"/>
        </w:numPr>
        <w:pStyle w:val="Compact"/>
      </w:pPr>
      <w:r>
        <w:rPr>
          <w:bCs/>
          <w:b/>
        </w:rPr>
        <w:t xml:space="preserve">Principio d’azione:</w:t>
      </w:r>
      <w:r>
        <w:t xml:space="preserve"> </w:t>
      </w:r>
      <w:r>
        <w:t xml:space="preserve">agonista dei recettori delle melanocortine, soprattutto di MC4R nel cervello. Non agisce sui vasi sanguigni degli organi genitali come il sildenafil, ma sulle regioni cerebrali coinvolte nel desiderio sessuale.</w:t>
      </w:r>
    </w:p>
    <w:p>
      <w:pPr>
        <w:numPr>
          <w:ilvl w:val="0"/>
          <w:numId w:val="1251"/>
        </w:numPr>
        <w:pStyle w:val="Compact"/>
      </w:pPr>
      <w:r>
        <w:rPr>
          <w:bCs/>
          <w:b/>
        </w:rPr>
        <w:t xml:space="preserve">Forma farmaceutica:</w:t>
      </w:r>
      <w:r>
        <w:t xml:space="preserve"> </w:t>
      </w:r>
      <w:r>
        <w:t xml:space="preserve">siringa preriempita (autoiniettore) per uso sottocutaneo al bisogno, circa 45 minuti prima dell’attività sessuale. I primi studi usavano uno spray nasale.</w:t>
      </w:r>
    </w:p>
    <w:p>
      <w:pPr>
        <w:numPr>
          <w:ilvl w:val="0"/>
          <w:numId w:val="1251"/>
        </w:numPr>
        <w:pStyle w:val="Compact"/>
      </w:pPr>
      <w:r>
        <w:rPr>
          <w:bCs/>
          <w:b/>
        </w:rPr>
        <w:t xml:space="preserve">Approvazione UE:</w:t>
      </w:r>
      <w:r>
        <w:t xml:space="preserve"> </w:t>
      </w:r>
      <w:r>
        <w:t xml:space="preserve">no.</w:t>
      </w:r>
    </w:p>
    <w:p>
      <w:pPr>
        <w:numPr>
          <w:ilvl w:val="0"/>
          <w:numId w:val="1251"/>
        </w:numPr>
        <w:pStyle w:val="Compact"/>
      </w:pPr>
      <w:r>
        <w:rPr>
          <w:bCs/>
          <w:b/>
        </w:rPr>
        <w:t xml:space="preserve">Approvazione USA:</w:t>
      </w:r>
      <w:r>
        <w:t xml:space="preserve"> </w:t>
      </w:r>
      <w:r>
        <w:t xml:space="preserve">sì, dal 2019 come Vyleesi per le donne in premenopausa con disturbo acquisito e generalizzato del desiderio sessuale (disturbo da desiderio sessuale ipoattivo, HSDD) (Dhillon 2019, PMID 31429064). Uso solo su prescrizione medica e secondo il riassunto delle caratteristiche del prodotto.</w:t>
      </w:r>
    </w:p>
    <w:p>
      <w:pPr>
        <w:numPr>
          <w:ilvl w:val="0"/>
          <w:numId w:val="1251"/>
        </w:numPr>
        <w:pStyle w:val="Compact"/>
      </w:pPr>
      <w:r>
        <w:rPr>
          <w:bCs/>
          <w:b/>
        </w:rPr>
        <w:t xml:space="preserve">WADA:</w:t>
      </w:r>
      <w:r>
        <w:t xml:space="preserve"> </w:t>
      </w:r>
      <w:r>
        <w:t xml:space="preserve">non elencato per nome (aggiornato al 2026, da verificare).</w:t>
      </w:r>
    </w:p>
    <w:p>
      <w:pPr>
        <w:numPr>
          <w:ilvl w:val="0"/>
          <w:numId w:val="1251"/>
        </w:numPr>
        <w:pStyle w:val="Compact"/>
      </w:pPr>
      <w:r>
        <w:rPr>
          <w:bCs/>
          <w:b/>
        </w:rPr>
        <w:t xml:space="preserve">Livello di evidenza:</w:t>
      </w:r>
      <w:r>
        <w:t xml:space="preserve"> </w:t>
      </w:r>
      <w:r>
        <w:rPr>
          <w:bCs/>
          <w:b/>
        </w:rPr>
        <w:t xml:space="preserve">A</w:t>
      </w:r>
      <w:r>
        <w:t xml:space="preserve"> </w:t>
      </w:r>
      <w:r>
        <w:t xml:space="preserve">– due grandi studi randomizzati di fase 3 con complessivamente oltre 1.200 partecipanti, approvazione negli Stati Uniti. Il beneficio clinico è però piccolo e controverso (vedi sotto).</w:t>
      </w:r>
    </w:p>
    <w:bookmarkEnd w:id="743"/>
    <w:bookmarkStart w:id="744" w:name="come-dovrebbe-agire-46"/>
    <w:p>
      <w:pPr>
        <w:pStyle w:val="Heading3"/>
      </w:pPr>
      <w:r>
        <w:t xml:space="preserve">Come dovrebbe agire</w:t>
      </w:r>
    </w:p>
    <w:p>
      <w:pPr>
        <w:pStyle w:val="FirstParagraph"/>
      </w:pPr>
      <w:r>
        <w:t xml:space="preserve">Il sistema delle melanocortine è una rete di messaggeri e cinque recettori (da MC1R a MC5R), descritta più in dettaglio nell’introduzione a questa parte. Per il bremelanotide è importante soprattutto il recettore MC4R. Si trova, tra l’altro, nell’ipotalamo, una centrale di controllo del diencefalo, dove influenza appetito, dispendio energetico e – come si è scoperto per caso – l’eccitazione sessuale.</w:t>
      </w:r>
    </w:p>
    <w:p>
      <w:pPr>
        <w:pStyle w:val="BodyText"/>
      </w:pPr>
      <w:r>
        <w:t xml:space="preserve">La scoperta fu un sottoprodotto della ricerca sull’abbronzatura: uomini che negli anni Novanta ricevevano il Melanotan II per abbronzare la pelle riferirono erezioni spontanee (Hadley 2005, PMID 15996790). Il bremelanotide è una forma leggermente modificata di questa molecola. Attiva diversi recettori delle melanocortine, ma alle dosi impiegate il più importante è MC4R (Pfaus 2022, PMID 33455598). Non è però del tutto privo di effetti sulla pelle: questo spiega le macchie pigmentate osservate.</w:t>
      </w:r>
    </w:p>
    <w:p>
      <w:pPr>
        <w:pStyle w:val="BodyText"/>
      </w:pPr>
      <w:r>
        <w:t xml:space="preserve">Come esattamente l’attivazione di MC4R influenzi il desiderio sessuale è compreso solo in parte. Gli esperimenti sugli animali indicano che il bremelanotide, in una determinata regione dell’ipotalamo (l’area preottica mediale), stimola il rilascio del messaggero dopamina, che favorisce il desiderio sessuale (Pfaus 2022, PMID 33455598). Uno studio britannico con risonanza magnetica funzionale (fMRI) su 31 donne con HSDD ha rilevato, sotto un agonista di MC4R, un’attività modificata nelle regioni cerebrali che elaborano gli stimoli erotici (Thurston 2022, PMID 36189794). Gli autori interpretano questo dato come una ridotta auto-osservazione e una maggiore ricettività agli stimoli erotici: un’interpretazione, non una spiegazione dimostrata.</w:t>
      </w:r>
    </w:p>
    <w:p>
      <w:pPr>
        <w:pStyle w:val="BodyText"/>
      </w:pPr>
      <w:r>
        <w:t xml:space="preserve">Un punto importante per la comprensione: l’approvazione non riguarda «più desiderio» nelle persone sane, ma una diagnosi definita. HSDD significa un desiderio sessuale persistentemente scarso, che causa sofferenza e non è spiegato da un’altra malattia, da farmaci o da problemi di coppia.</w:t>
      </w:r>
    </w:p>
    <w:bookmarkEnd w:id="744"/>
    <w:bookmarkStart w:id="751" w:name="studi-sulluomo-46"/>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16</w:t>
      </w:r>
      <w:r>
        <w:t xml:space="preserve"> </w:t>
      </w:r>
      <w:r>
        <w:t xml:space="preserve">studi sull’uomo in PubMed (</w:t>
      </w:r>
      <w:r>
        <w:rPr>
          <w:rStyle w:val="VerbatimChar"/>
        </w:rPr>
        <w:t xml:space="preserve">humanstudien_alle</w:t>
      </w:r>
      <w:r>
        <w:t xml:space="preserve">) e</w:t>
      </w:r>
      <w:r>
        <w:t xml:space="preserve"> </w:t>
      </w:r>
      <w:r>
        <w:rPr>
          <w:bCs/>
          <w:b/>
        </w:rPr>
        <w:t xml:space="preserve">10</w:t>
      </w:r>
      <w:r>
        <w:t xml:space="preserve"> </w:t>
      </w:r>
      <w:r>
        <w:t xml:space="preserve">voci su ClinicalTrials.gov. A questi si aggiungono diverse revisioni e meta-analisi. Per la valutazione contano soprattutto i due studi registrativi RECONNECT, la loro estensione e l’analisi di sicurezza dell’intero programma di sviluppo.</w:t>
      </w:r>
    </w:p>
    <w:bookmarkStart w:id="745" w:name="primi-studi-negli-uomini"/>
    <w:p>
      <w:pPr>
        <w:pStyle w:val="Heading4"/>
      </w:pPr>
      <w:r>
        <w:t xml:space="preserve">Primi studi negli uomini</w:t>
      </w:r>
    </w:p>
    <w:p>
      <w:pPr>
        <w:pStyle w:val="FirstParagraph"/>
      </w:pPr>
      <w:r>
        <w:t xml:space="preserve">Il bremelanotide fu sviluppato inizialmente come farmaco contro i disturbi dell’erezione. In studi di fase 1 con spray nasale (Diamond 2004, PMID 14963471) e iniezione (Rosen 2004, PMID 14999221) provocò erezioni misurabili in uomini sani e in uomini con disfunzione erettile, anche in quelli che rispondevano in modo insufficiente al Viagra. In un piccolo studio con 19 pazienti una dose bassa di bremelanotide rafforzò l’effetto di una dose bassa di sildenafil (Diamond 2005, PMID 15833522).</w:t>
      </w:r>
    </w:p>
    <w:p>
      <w:pPr>
        <w:pStyle w:val="BodyText"/>
      </w:pPr>
      <w:r>
        <w:t xml:space="preserve">Uno studio con 342 uomini nei quali il sildenafil non aveva funzionato riportò un esito positivo nel 33,5% con lo spray nasale di bremelanotide contro l’8,5% con placebo (Safarinejad 2008, PMID 18206919). Questo lavoro va letto con cautela: un secondo studio sul bremelanotide dello stesso primo autore, condotto su donne, è stato ritirato dalla rivista scientifica perché metodi e risultati non erano verificabili (Safarinejad 2008, PMID 18179455); anche altri lavori dell’autore sono stati ritirati.</w:t>
      </w:r>
    </w:p>
    <w:p>
      <w:pPr>
        <w:pStyle w:val="BodyText"/>
      </w:pPr>
      <w:r>
        <w:t xml:space="preserve">Lo sviluppo dello spray nasale fu interrotto dopo che negli studi erano emersi aumenti della pressione arteriosa. L’azienda passò all’iniezione e alle donne come gruppo di destinatari.</w:t>
      </w:r>
    </w:p>
    <w:bookmarkEnd w:id="745"/>
    <w:bookmarkStart w:id="746" w:name="ricerca-della-dose-nelle-donne"/>
    <w:p>
      <w:pPr>
        <w:pStyle w:val="Heading4"/>
      </w:pPr>
      <w:r>
        <w:t xml:space="preserve">Ricerca della dose nelle donne</w:t>
      </w:r>
    </w:p>
    <w:p>
      <w:pPr>
        <w:pStyle w:val="FirstParagraph"/>
      </w:pPr>
      <w:r>
        <w:t xml:space="preserve">Un primo piccolo studio di laboratorio con 18 donne con disturbo dell’eccitazione mostrò, dopo una singola somministrazione, un desiderio da moderato a elevato più frequente che dopo placebo, ma nessuna variazione misurabile dell’irrorazione sanguigna della vagina durante la visione di filmati erotici (Diamond 2006, PMID 16839319).</w:t>
      </w:r>
    </w:p>
    <w:p>
      <w:pPr>
        <w:pStyle w:val="BodyText"/>
      </w:pPr>
      <w:r>
        <w:t xml:space="preserve">Il decisivo studio di fase 2b (Clayton 2016, PMID 27181790; NCT01382719) ha confrontato tre dosaggi con placebo per dodici settimane in donne in premenopausa. Sono state analizzate 327 partecipanti. Considerando insieme le due dosi più alte, il numero di «eventi sessuali soddisfacenti» è aumentato di 0,7 al mese contro 0,2 con placebo. Nel questionario FSFI (Female Sexual Function Index, un punteggio della funzione sessuale) l’aumento è stato di 3,6 contro 1,9 punti. Un’analisi successiva ha stabilito da quale variazione un effetto sia da considerare clinicamente rilevante; queste soglie sono poi state adottate per gli studi di fase 3 (Althof 2019, PMID 31277966).</w:t>
      </w:r>
    </w:p>
    <w:bookmarkEnd w:id="746"/>
    <w:bookmarkStart w:id="747" w:name="gli-studi-registrativi-reconnect"/>
    <w:p>
      <w:pPr>
        <w:pStyle w:val="Heading4"/>
      </w:pPr>
      <w:r>
        <w:t xml:space="preserve">Gli studi registrativi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RECONNECT 301 e 302 (Kingsberg 2019), PMID 31599840</w:t>
            </w:r>
          </w:p>
        </w:tc>
        <w:tc>
          <w:tcPr/>
          <w:p>
            <w:pPr>
              <w:pStyle w:val="Compact"/>
              <w:jc w:val="left"/>
            </w:pPr>
            <w:r>
              <w:t xml:space="preserve">1.267 donne in premenopausa con HSDD, due RCT contro placebo, uso al bisogno</w:t>
            </w:r>
          </w:p>
        </w:tc>
        <w:tc>
          <w:tcPr/>
          <w:p>
            <w:pPr>
              <w:pStyle w:val="Compact"/>
              <w:jc w:val="left"/>
            </w:pPr>
            <w:r>
              <w:t xml:space="preserve">24 settimane</w:t>
            </w:r>
          </w:p>
        </w:tc>
        <w:tc>
          <w:tcPr/>
          <w:p>
            <w:pPr>
              <w:pStyle w:val="Compact"/>
              <w:jc w:val="left"/>
            </w:pPr>
            <w:r>
              <w:t xml:space="preserve">Desiderio (FSFI-Desire) +0,35 punti in più rispetto al placebo; sofferenza ridotta di −0,33 punti in più</w:t>
            </w:r>
          </w:p>
        </w:tc>
      </w:tr>
      <w:tr>
        <w:tc>
          <w:tcPr/>
          <w:p>
            <w:pPr>
              <w:pStyle w:val="Compact"/>
              <w:jc w:val="left"/>
            </w:pPr>
            <w:r>
              <w:t xml:space="preserve">Estensione in aperto (Simon 2019), PMID 31599847</w:t>
            </w:r>
          </w:p>
        </w:tc>
        <w:tc>
          <w:tcPr/>
          <w:p>
            <w:pPr>
              <w:pStyle w:val="Compact"/>
              <w:jc w:val="left"/>
            </w:pPr>
            <w:r>
              <w:t xml:space="preserve">684 donne da entrambi gli studi, tutte con bremelanotide</w:t>
            </w:r>
          </w:p>
        </w:tc>
        <w:tc>
          <w:tcPr/>
          <w:p>
            <w:pPr>
              <w:pStyle w:val="Compact"/>
              <w:jc w:val="left"/>
            </w:pPr>
            <w:r>
              <w:t xml:space="preserve">52 settimane</w:t>
            </w:r>
          </w:p>
        </w:tc>
        <w:tc>
          <w:tcPr/>
          <w:p>
            <w:pPr>
              <w:pStyle w:val="Compact"/>
              <w:jc w:val="left"/>
            </w:pPr>
            <w:r>
              <w:t xml:space="preserve">272 hanno completato l’estensione; nessun nuovo segnale di sicurezza</w:t>
            </w:r>
          </w:p>
        </w:tc>
      </w:tr>
      <w:tr>
        <w:tc>
          <w:tcPr/>
          <w:p>
            <w:pPr>
              <w:pStyle w:val="Compact"/>
              <w:jc w:val="left"/>
            </w:pPr>
            <w:r>
              <w:t xml:space="preserve">Analisi per sottogruppi (Simon 2022), PMID 35230162</w:t>
            </w:r>
          </w:p>
        </w:tc>
        <w:tc>
          <w:tcPr/>
          <w:p>
            <w:pPr>
              <w:pStyle w:val="Compact"/>
              <w:jc w:val="left"/>
            </w:pPr>
            <w:r>
              <w:t xml:space="preserve">1.202 donne da entrambi gli studi</w:t>
            </w:r>
          </w:p>
        </w:tc>
        <w:tc>
          <w:tcPr/>
          <w:p>
            <w:pPr>
              <w:pStyle w:val="Compact"/>
              <w:jc w:val="left"/>
            </w:pPr>
            <w:r>
              <w:t xml:space="preserve">24 settimane</w:t>
            </w:r>
          </w:p>
        </w:tc>
        <w:tc>
          <w:tcPr/>
          <w:p>
            <w:pPr>
              <w:pStyle w:val="Compact"/>
              <w:jc w:val="left"/>
            </w:pPr>
            <w:r>
              <w:t xml:space="preserve">Effetto simile in quasi tutti i sottogruppi per età, peso e stato ormonale</w:t>
            </w:r>
          </w:p>
        </w:tc>
      </w:tr>
      <w:tr>
        <w:tc>
          <w:tcPr/>
          <w:p>
            <w:pPr>
              <w:pStyle w:val="Compact"/>
              <w:jc w:val="left"/>
            </w:pPr>
            <w:r>
              <w:t xml:space="preserve">Analisi di sicurezza (Clayton 2022), PMID 35147466</w:t>
            </w:r>
          </w:p>
        </w:tc>
        <w:tc>
          <w:tcPr/>
          <w:p>
            <w:pPr>
              <w:pStyle w:val="Compact"/>
              <w:jc w:val="left"/>
            </w:pPr>
            <w:r>
              <w:t xml:space="preserve">circa 3.500 persone in 43 studi</w:t>
            </w:r>
          </w:p>
        </w:tc>
        <w:tc>
          <w:tcPr/>
          <w:p>
            <w:pPr>
              <w:pStyle w:val="Compact"/>
              <w:jc w:val="left"/>
            </w:pPr>
            <w:r>
              <w:t xml:space="preserve">fino a 18 mesi</w:t>
            </w:r>
          </w:p>
        </w:tc>
        <w:tc>
          <w:tcPr/>
          <w:p>
            <w:pPr>
              <w:pStyle w:val="Compact"/>
              <w:jc w:val="left"/>
            </w:pPr>
            <w:r>
              <w:t xml:space="preserve">Nausea 40,0% vs. 1,3%, vampate 20,3% vs. 1,3%</w:t>
            </w:r>
          </w:p>
        </w:tc>
      </w:tr>
    </w:tbl>
    <w:p>
      <w:pPr>
        <w:pStyle w:val="BodyText"/>
      </w:pPr>
      <w:r>
        <w:t xml:space="preserve">I due studi identici 301 e 302 (NCT02333071, NCT02338960) si sono svolti nel 2015 e nel 2016, prevalentemente negli Stati Uniti. Le partecipanti si iniettavano al bisogno, prima dell’attività sessuale, 1,75 mg di bremelanotide o placebo con un autoiniettore. Sono stati misurati due endpoint primari: il desiderio sessuale (dominio Desire del FSFI, scala da 1,2 a 6) e la sofferenza dovuta allo scarso desiderio (una singola domanda del questionario FSDS-DAO, scala da 0 a 4).</w:t>
      </w:r>
    </w:p>
    <w:p>
      <w:pPr>
        <w:pStyle w:val="BodyText"/>
      </w:pPr>
      <w:r>
        <w:t xml:space="preserve">Entrambi gli studi hanno raggiunto i loro obiettivi primari. Nell’analisi congiunta il desiderio è aumentato di 0,35 punti in più rispetto al placebo e la sofferenza è diminuita di 0,33 punti in più (Kingsberg 2019, PMID 31599840). Questi numeri sono statisticamente chiari, ma piccoli: su una scala fino a 6, un terzo di punto rappresenta una differenza modesta. Anche con il placebo i valori sono migliorati nettamente: un andamento ben noto in medicina sessuale.</w:t>
      </w:r>
    </w:p>
    <w:p>
      <w:pPr>
        <w:pStyle w:val="BodyText"/>
      </w:pPr>
      <w:r>
        <w:t xml:space="preserve">In interviste di uscita con 242 partecipanti che non sapevano ancora che cosa avessero ricevuto, le donne trattate con bremelanotide descrivevano più spesso eccitazione fisica e maggiore desiderio; con il placebo citavano piuttosto una migliore comunicazione nella coppia (Koochaki 2021, PMID 33538638).</w:t>
      </w:r>
    </w:p>
    <w:bookmarkEnd w:id="747"/>
    <w:bookmarkStart w:id="748" w:name="le-critiche-agli-studi-registrativi"/>
    <w:p>
      <w:pPr>
        <w:pStyle w:val="Heading4"/>
      </w:pPr>
      <w:r>
        <w:t xml:space="preserve">Le critiche agli studi registrativi</w:t>
      </w:r>
    </w:p>
    <w:p>
      <w:pPr>
        <w:pStyle w:val="FirstParagraph"/>
      </w:pPr>
      <w:r>
        <w:t xml:space="preserve">Una rianalisi indipendente basata sulla documentazione presentata all’autorità statunitense per i farmaci FDA è giunta a un giudizio complessivo diverso (Spielmans 2021, PMID 33678061). L’autore conferma gli effetti piccoli, ma critica il fatto che circa il 73% dei risultati previsti nel protocollo di studio non sia stato pubblicato. Due dati mancavano nella pubblicazione principale:</w:t>
      </w:r>
    </w:p>
    <w:p>
      <w:pPr>
        <w:numPr>
          <w:ilvl w:val="0"/>
          <w:numId w:val="1252"/>
        </w:numPr>
        <w:pStyle w:val="Compact"/>
      </w:pPr>
      <w:r>
        <w:t xml:space="preserve">Le interruzioni dovute agli effetti collaterali erano nettamente più frequenti con il bremelanotide (odds ratio 11,98). In termini di calcolo, circa una donna trattata su sei ha interrotto a causa di effetti collaterali, cosa che con il placebo non avrebbe fatto.</w:t>
      </w:r>
    </w:p>
    <w:p>
      <w:pPr>
        <w:numPr>
          <w:ilvl w:val="0"/>
          <w:numId w:val="1252"/>
        </w:numPr>
        <w:pStyle w:val="Compact"/>
      </w:pPr>
      <w:r>
        <w:t xml:space="preserve">Chi completava lo studio e poi passava all’estensione in aperto proveniva più spesso dal gruppo placebo. Anche l’analisi di sicurezza del produttore riporta queste cifre: il 70% del gruppo bremelanotide contro l’87% del gruppo placebo è passato all’estensione (Clayton 2022, PMID 35147466).</w:t>
      </w:r>
    </w:p>
    <w:p>
      <w:pPr>
        <w:pStyle w:val="FirstParagraph"/>
      </w:pPr>
      <w:r>
        <w:t xml:space="preserve">Spielmans conclude che il farmaco non è utile per la maggior parte delle donne. È un’opinione isolata e netta, che però si basa su dati pubblicati anche dal produttore.</w:t>
      </w:r>
    </w:p>
    <w:bookmarkEnd w:id="748"/>
    <w:bookmarkStart w:id="749" w:name="meta-analisi-1"/>
    <w:p>
      <w:pPr>
        <w:pStyle w:val="Heading4"/>
      </w:pPr>
      <w:r>
        <w:t xml:space="preserve">Meta-analisi</w:t>
      </w:r>
    </w:p>
    <w:p>
      <w:pPr>
        <w:pStyle w:val="FirstParagraph"/>
      </w:pPr>
      <w:r>
        <w:t xml:space="preserve">Una meta-analisi sui farmaci contro le disfunzioni sessuali femminili (tra cui bremelanotide, flibanserina e ossitocina intranasale) ha rilevato che circa il 67,7% del miglioramento nei gruppi di trattamento si verificava anche con il placebo (Weinberger 2018, PMID 29995725). Una meta-analisi più recente conferma per il bremelanotide piccoli miglioramenti del desiderio e dell’eccitazione e una riduzione della sofferenza, senza confronto con la psicoterapia (Toledo 2026, PMID 40543759). Una rassegna degli studi conclusi registrati su ClinicalTrials.gov lamenta endpoint disomogenei e resoconti incompleti (Ashour 2026, PMID 42254382).</w:t>
      </w:r>
    </w:p>
    <w:bookmarkEnd w:id="749"/>
    <w:bookmarkStart w:id="750" w:name="altre-questioni"/>
    <w:p>
      <w:pPr>
        <w:pStyle w:val="Heading4"/>
      </w:pPr>
      <w:r>
        <w:t xml:space="preserve">Altre questioni</w:t>
      </w:r>
    </w:p>
    <w:p>
      <w:pPr>
        <w:numPr>
          <w:ilvl w:val="0"/>
          <w:numId w:val="1253"/>
        </w:numPr>
        <w:pStyle w:val="Compact"/>
      </w:pPr>
      <w:r>
        <w:rPr>
          <w:bCs/>
          <w:b/>
        </w:rPr>
        <w:t xml:space="preserve">Alcol:</w:t>
      </w:r>
      <w:r>
        <w:t xml:space="preserve"> </w:t>
      </w:r>
      <w:r>
        <w:t xml:space="preserve">in uno studio di fase 1 con 24 persone sane non si sono verificate interazioni rilevanti con il consumo contemporaneo di alcol (Clayton 2017, PMID 28189361).</w:t>
      </w:r>
    </w:p>
    <w:p>
      <w:pPr>
        <w:numPr>
          <w:ilvl w:val="0"/>
          <w:numId w:val="1253"/>
        </w:numPr>
        <w:pStyle w:val="Compact"/>
      </w:pPr>
      <w:r>
        <w:rPr>
          <w:bCs/>
          <w:b/>
        </w:rPr>
        <w:t xml:space="preserve">Peso:</w:t>
      </w:r>
      <w:r>
        <w:t xml:space="preserve"> </w:t>
      </w:r>
      <w:r>
        <w:t xml:space="preserve">poiché MC4R regola anche l’appetito, il bremelanotide è stato testato in donne con obesità. In due piccoli studi di fase 1 l’apporto calorico è diminuito di circa 400 kcal al giorno; dopo 16 giorni il peso era inferiore di 1,3 kg rispetto al gruppo placebo (Spana 2022, PMID 35170192). Si tratta di dati a breve termine, che non dicono nulla su un trattamento prolungato.</w:t>
      </w:r>
    </w:p>
    <w:p>
      <w:pPr>
        <w:numPr>
          <w:ilvl w:val="0"/>
          <w:numId w:val="1253"/>
        </w:numPr>
        <w:pStyle w:val="Compact"/>
      </w:pPr>
      <w:r>
        <w:rPr>
          <w:bCs/>
          <w:b/>
        </w:rPr>
        <w:t xml:space="preserve">Cervello:</w:t>
      </w:r>
      <w:r>
        <w:t xml:space="preserve"> </w:t>
      </w:r>
      <w:r>
        <w:t xml:space="preserve">lo studio fMRI già citato (Thurston 2022, PMID 36189794; NCT04179734) è uno dei pochi lavori non condotti dal produttore.</w:t>
      </w:r>
    </w:p>
    <w:bookmarkEnd w:id="750"/>
    <w:bookmarkEnd w:id="751"/>
    <w:bookmarkStart w:id="752" w:name="studi-su-animali-e-in-laboratorio-46"/>
    <w:p>
      <w:pPr>
        <w:pStyle w:val="Heading3"/>
      </w:pPr>
      <w:r>
        <w:t xml:space="preserve">Studi su animali e in laboratorio</w:t>
      </w:r>
    </w:p>
    <w:p>
      <w:pPr>
        <w:pStyle w:val="FirstParagraph"/>
      </w:pPr>
      <w:r>
        <w:t xml:space="preserve">La ricerca sugli animali sul bremelanotide proviene prevalentemente dai ratti. Una rassegna la riassume così: il bremelanotide attiva MC4R sulle cellule nervose dell’ipotalamo, che di conseguenza rilasciano più dopamina; nei ratti femmina sono aumentati i comportamenti con cui le femmine mostrano interesse sessuale (Pfaus 2022, PMID 33455598). La rassegna è firmata da ricercatori legati allo sviluppo del farmaco.</w:t>
      </w:r>
    </w:p>
    <w:p>
      <w:pPr>
        <w:pStyle w:val="BodyText"/>
      </w:pPr>
      <w:r>
        <w:t xml:space="preserve">Uno studio indipendente su criceti femmina è giunto a un risultato deludente: il bremelanotide non ha modificato i recettori del sistema di ricompensa né ha rafforzato il «valore di ricompensa» degli incontri sessuali in un test comportamentale (Borland 2025, PMID 39793696). Gli autori concludono che il farmaco non agisce attraverso il classico circuito della ricompensa. Come agisca esattamente resta quindi una questione aperta.</w:t>
      </w:r>
    </w:p>
    <w:p>
      <w:pPr>
        <w:pStyle w:val="BodyText"/>
      </w:pPr>
      <w:r>
        <w:t xml:space="preserve">In colture cellulari il bremelanotide ha inibito la crescita di cellule di glioblastoma, un tipo di tumore cerebrale (Suzuki 2024, PMID 39197897). È un dato puramente di laboratorio, senza rilevanza clinica.</w:t>
      </w:r>
    </w:p>
    <w:bookmarkEnd w:id="752"/>
    <w:bookmarkStart w:id="756" w:name="rischi-ed-effetti-collaterali-46"/>
    <w:p>
      <w:pPr>
        <w:pStyle w:val="Heading3"/>
      </w:pPr>
      <w:r>
        <w:t xml:space="preserve">Rischi ed effetti collaterali</w:t>
      </w:r>
    </w:p>
    <w:bookmarkStart w:id="753" w:name="dimostrati"/>
    <w:p>
      <w:pPr>
        <w:pStyle w:val="Heading4"/>
      </w:pPr>
      <w:r>
        <w:t xml:space="preserve">Dimostrati</w:t>
      </w:r>
    </w:p>
    <w:p>
      <w:pPr>
        <w:numPr>
          <w:ilvl w:val="0"/>
          <w:numId w:val="1254"/>
        </w:numPr>
        <w:pStyle w:val="Compact"/>
      </w:pPr>
      <w:r>
        <w:rPr>
          <w:bCs/>
          <w:b/>
        </w:rPr>
        <w:t xml:space="preserve">Nausea:</w:t>
      </w:r>
      <w:r>
        <w:t xml:space="preserve"> </w:t>
      </w:r>
      <w:r>
        <w:t xml:space="preserve">l’effetto collaterale più frequente. Negli studi di fase 3 ha riguardato il 40,0% contro l’1,3% con placebo ed è stata il motivo di interruzione più frequente (Clayton 2022, PMID 35147466). Uno studio dedicato con 228 donne sane ha verificato se l’antinausea ondansetron aiuti in via preventiva (NCT03973047).</w:t>
      </w:r>
    </w:p>
    <w:p>
      <w:pPr>
        <w:numPr>
          <w:ilvl w:val="0"/>
          <w:numId w:val="1254"/>
        </w:numPr>
        <w:pStyle w:val="Compact"/>
      </w:pPr>
      <w:r>
        <w:rPr>
          <w:bCs/>
          <w:b/>
        </w:rPr>
        <w:t xml:space="preserve">Vampate di calore (flushing)</w:t>
      </w:r>
      <w:r>
        <w:t xml:space="preserve"> </w:t>
      </w:r>
      <w:r>
        <w:t xml:space="preserve">nel 20,3%,</w:t>
      </w:r>
      <w:r>
        <w:t xml:space="preserve"> </w:t>
      </w:r>
      <w:r>
        <w:rPr>
          <w:bCs/>
          <w:b/>
        </w:rPr>
        <w:t xml:space="preserve">mal di testa</w:t>
      </w:r>
      <w:r>
        <w:t xml:space="preserve"> </w:t>
      </w:r>
      <w:r>
        <w:t xml:space="preserve">nell’11,3%,</w:t>
      </w:r>
      <w:r>
        <w:t xml:space="preserve"> </w:t>
      </w:r>
      <w:r>
        <w:rPr>
          <w:bCs/>
          <w:b/>
        </w:rPr>
        <w:t xml:space="preserve">reazioni nel punto di iniezione</w:t>
      </w:r>
      <w:r>
        <w:t xml:space="preserve"> </w:t>
      </w:r>
      <w:r>
        <w:t xml:space="preserve">nel 5,4% (contro l’1,3%, l’1,9% e lo 0,5% con placebo).</w:t>
      </w:r>
    </w:p>
    <w:p>
      <w:pPr>
        <w:numPr>
          <w:ilvl w:val="0"/>
          <w:numId w:val="1254"/>
        </w:numPr>
        <w:pStyle w:val="Compact"/>
      </w:pPr>
      <w:r>
        <w:rPr>
          <w:bCs/>
          <w:b/>
        </w:rPr>
        <w:t xml:space="preserve">Pressione arteriosa:</w:t>
      </w:r>
      <w:r>
        <w:t xml:space="preserve"> </w:t>
      </w:r>
      <w:r>
        <w:t xml:space="preserve">in uno studio con misurazione nelle 24 ore su 397 donne, la pressione sistolica è aumentata temporaneamente dopo la somministrazione di 2,4–3,2 mmHg; i picchi duravano per lo più meno di 15 minuti. Contemporaneamente la frequenza cardiaca è diminuita di circa 4,6 battiti al minuto (White 2017, PMID 27977473). Il riassunto delle caratteristiche del prodotto sconsiglia quindi l’uso in caso di ipertensione non controllata o di malattia cardiovascolare nota.</w:t>
      </w:r>
    </w:p>
    <w:p>
      <w:pPr>
        <w:numPr>
          <w:ilvl w:val="0"/>
          <w:numId w:val="1254"/>
        </w:numPr>
        <w:pStyle w:val="Compact"/>
      </w:pPr>
      <w:r>
        <w:rPr>
          <w:bCs/>
          <w:b/>
        </w:rPr>
        <w:t xml:space="preserve">Macchie pigmentate:</w:t>
      </w:r>
      <w:r>
        <w:t xml:space="preserve"> </w:t>
      </w:r>
      <w:r>
        <w:t xml:space="preserve">rare con l’uso secondo il riassunto delle caratteristiche del prodotto. Quando però il bremelanotide è stato somministrato fino a 16 giorni consecutivi, più di un terzo dei partecipanti ha sviluppato macchie scure circoscritte (Clayton 2022, PMID 35147466): un indizio dell’effetto residuo sul recettore del pigmento.</w:t>
      </w:r>
    </w:p>
    <w:p>
      <w:pPr>
        <w:numPr>
          <w:ilvl w:val="0"/>
          <w:numId w:val="1254"/>
        </w:numPr>
        <w:pStyle w:val="Compact"/>
      </w:pPr>
      <w:r>
        <w:rPr>
          <w:bCs/>
          <w:b/>
        </w:rPr>
        <w:t xml:space="preserve">Interazioni:</w:t>
      </w:r>
      <w:r>
        <w:t xml:space="preserve"> </w:t>
      </w:r>
      <w:r>
        <w:t xml:space="preserve">il bremelanotide rallenta brevemente lo svuotamento gastrico e negli studi ha ridotto i livelli ematici di indometacina e naltrexone (Clayton 2022, PMID 35147466).</w:t>
      </w:r>
    </w:p>
    <w:bookmarkEnd w:id="753"/>
    <w:bookmarkStart w:id="754" w:name="aperti"/>
    <w:p>
      <w:pPr>
        <w:pStyle w:val="Heading4"/>
      </w:pPr>
      <w:r>
        <w:t xml:space="preserve">Aperti</w:t>
      </w:r>
    </w:p>
    <w:p>
      <w:pPr>
        <w:pStyle w:val="FirstParagraph"/>
      </w:pPr>
      <w:r>
        <w:t xml:space="preserve">Per la gravidanza non sono disponibili dati sufficienti. Un piccolo studio sta attualmente misurando il passaggio nel latte materno (NCT06867835). Mancano dati a lungo termine oltre i 18 mesi.</w:t>
      </w:r>
    </w:p>
    <w:bookmarkEnd w:id="754"/>
    <w:bookmarkStart w:id="755" w:name="mercato-grigio-1"/>
    <w:p>
      <w:pPr>
        <w:pStyle w:val="Heading4"/>
      </w:pPr>
      <w:r>
        <w:t xml:space="preserve">Mercato grigio</w:t>
      </w:r>
    </w:p>
    <w:p>
      <w:pPr>
        <w:pStyle w:val="FirstParagraph"/>
      </w:pPr>
      <w:r>
        <w:t xml:space="preserve">Con il nome «PT-141» il bremelanotide viene offerto su internet come polvere per l’autoiniezione, spesso insieme al Melanotan II. Laboratori forensi hanno identificato entrambe le sostanze in campioni sequestrati dalla polizia nell’ambiente del bodybuilding (Mestria 2021, PMID 33245851). Per questi prodotti valgono gli stessi rischi degli altri peptidi del mercato grigio (Parte I, capitolo «Il mercato grigio»): purezza sconosciuta, quantità errate, contaminazioni, produzione non sterile. Dello spray nasale di bremelanotide è noto che agiva più fortemente sulla pressione arteriosa; gli spray del mercato grigio non sono verificati.</w:t>
      </w:r>
    </w:p>
    <w:bookmarkEnd w:id="755"/>
    <w:bookmarkEnd w:id="756"/>
    <w:bookmarkStart w:id="757" w:name="quadro-normativo-46"/>
    <w:p>
      <w:pPr>
        <w:pStyle w:val="Heading3"/>
      </w:pPr>
      <w:r>
        <w:t xml:space="preserve">Quadro normativo</w:t>
      </w:r>
    </w:p>
    <w:p>
      <w:pPr>
        <w:pStyle w:val="FirstParagraph"/>
      </w:pPr>
      <w:r>
        <w:rPr>
          <w:iCs/>
          <w:i/>
        </w:rPr>
        <w:t xml:space="preserve">Aggiornato al 2026, da verificare.</w:t>
      </w:r>
    </w:p>
    <w:p>
      <w:pPr>
        <w:numPr>
          <w:ilvl w:val="0"/>
          <w:numId w:val="1255"/>
        </w:numPr>
        <w:pStyle w:val="Compact"/>
      </w:pPr>
      <w:r>
        <w:rPr>
          <w:bCs/>
          <w:b/>
        </w:rPr>
        <w:t xml:space="preserve">UE:</w:t>
      </w:r>
      <w:r>
        <w:t xml:space="preserve"> </w:t>
      </w:r>
      <w:r>
        <w:t xml:space="preserve">nessuna approvazione e nessuna procedura di autorizzazione in corso nota. La vendita per uso umano nell’UE non è consentita.</w:t>
      </w:r>
    </w:p>
    <w:p>
      <w:pPr>
        <w:numPr>
          <w:ilvl w:val="0"/>
          <w:numId w:val="1255"/>
        </w:numPr>
        <w:pStyle w:val="Compact"/>
      </w:pPr>
      <w:r>
        <w:rPr>
          <w:bCs/>
          <w:b/>
        </w:rPr>
        <w:t xml:space="preserve">Germania e Austria:</w:t>
      </w:r>
      <w:r>
        <w:t xml:space="preserve"> </w:t>
      </w:r>
      <w:r>
        <w:t xml:space="preserve">nessuna approvazione. L’importazione individuale di un farmaco approvato negli Stati Uniti su prescrizione medica è giuridicamente possibile entro limiti ristretti; i prodotti del mercato grigio non vi rientrano.</w:t>
      </w:r>
    </w:p>
    <w:p>
      <w:pPr>
        <w:numPr>
          <w:ilvl w:val="0"/>
          <w:numId w:val="1255"/>
        </w:numPr>
        <w:pStyle w:val="Compact"/>
      </w:pPr>
      <w:r>
        <w:rPr>
          <w:bCs/>
          <w:b/>
        </w:rPr>
        <w:t xml:space="preserve">USA:</w:t>
      </w:r>
      <w:r>
        <w:t xml:space="preserve"> </w:t>
      </w:r>
      <w:r>
        <w:t xml:space="preserve">approvato da giugno 2019 (Vyleesi) per le donne in premenopausa con HSDD acquisito e generalizzato. Non approvato per gli uomini, per le donne in postmenopausa o per aumentare il desiderio nelle persone sane. I diritti di commercializzazione sono passati di mano più volte; secondo le voci di registro ne è ora responsabile l’azienda Cosette Pharmaceuticals.</w:t>
      </w:r>
    </w:p>
    <w:p>
      <w:pPr>
        <w:numPr>
          <w:ilvl w:val="0"/>
          <w:numId w:val="1255"/>
        </w:numPr>
        <w:pStyle w:val="Compact"/>
      </w:pPr>
      <w:r>
        <w:rPr>
          <w:bCs/>
          <w:b/>
        </w:rPr>
        <w:t xml:space="preserve">Altri Paesi:</w:t>
      </w:r>
      <w:r>
        <w:t xml:space="preserve"> </w:t>
      </w:r>
      <w:r>
        <w:t xml:space="preserve">in Corea del Sud si è svolto uno studio ponte con 193 donne per un’approvazione locale (NCT04943068).</w:t>
      </w:r>
    </w:p>
    <w:p>
      <w:pPr>
        <w:numPr>
          <w:ilvl w:val="0"/>
          <w:numId w:val="1255"/>
        </w:numPr>
        <w:pStyle w:val="Compact"/>
      </w:pPr>
      <w:r>
        <w:rPr>
          <w:bCs/>
          <w:b/>
        </w:rPr>
        <w:t xml:space="preserve">WADA:</w:t>
      </w:r>
      <w:r>
        <w:t xml:space="preserve"> </w:t>
      </w:r>
      <w:r>
        <w:t xml:space="preserve">non elencato per nome. Si prega di consultare l’elenco aggiornato delle sostanze proibite.</w:t>
      </w:r>
    </w:p>
    <w:bookmarkEnd w:id="757"/>
    <w:bookmarkStart w:id="758" w:name="studi-in-corso-e-prospettive-46"/>
    <w:p>
      <w:pPr>
        <w:pStyle w:val="Heading3"/>
      </w:pPr>
      <w:r>
        <w:t xml:space="preserve">Studi in corso e prospettive</w:t>
      </w:r>
    </w:p>
    <w:p>
      <w:pPr>
        <w:pStyle w:val="FirstParagraph"/>
      </w:pPr>
      <w:r>
        <w:rPr>
          <w:bCs/>
          <w:b/>
        </w:rPr>
        <w:t xml:space="preserve">Dati certi (studi registrati):</w:t>
      </w:r>
    </w:p>
    <w:p>
      <w:pPr>
        <w:numPr>
          <w:ilvl w:val="0"/>
          <w:numId w:val="1256"/>
        </w:numPr>
        <w:pStyle w:val="Compact"/>
      </w:pPr>
      <w:r>
        <w:t xml:space="preserve">Uno studio di fase 2 con 108 persone valuta il bremelanotide in aggiunta alla tirzepatide nell’obesità (NCT06565611). Alla base c’è l’effetto di riduzione dell’appetito tramite MC4R. Alla chiusura redazionale non erano disponibili in PubMed risultati pubblicati e sottoposti a revisione paritaria.</w:t>
      </w:r>
    </w:p>
    <w:p>
      <w:pPr>
        <w:numPr>
          <w:ilvl w:val="0"/>
          <w:numId w:val="1256"/>
        </w:numPr>
        <w:pStyle w:val="Compact"/>
      </w:pPr>
      <w:r>
        <w:t xml:space="preserve">Un piccolo studio di fase 2 in aperto con 16 persone nella malattia renale diabetica è concluso (NCT05709444), anch’esso senza risultati pubblicati in PubMed.</w:t>
      </w:r>
    </w:p>
    <w:p>
      <w:pPr>
        <w:numPr>
          <w:ilvl w:val="0"/>
          <w:numId w:val="1256"/>
        </w:numPr>
        <w:pStyle w:val="Compact"/>
      </w:pPr>
      <w:r>
        <w:t xml:space="preserve">Lo studio sull’allattamento (NCT06867835) con 10 donne si è concluso nel 2025.</w:t>
      </w:r>
    </w:p>
    <w:p>
      <w:pPr>
        <w:pStyle w:val="FirstParagraph"/>
      </w:pPr>
      <w:r>
        <w:rPr>
          <w:bCs/>
          <w:b/>
        </w:rPr>
        <w:t xml:space="preserve">Valutazione dell’autore:</w:t>
      </w:r>
      <w:r>
        <w:t xml:space="preserve"> </w:t>
      </w:r>
      <w:r>
        <w:t xml:space="preserve">allo stato attuale manca l’interesse economico per un’approvazione in Europa; non è nota alcuna domanda. Più interessante è il ruolo di MC4R nella ricerca sull’obesità, dove con il setmelanotide (capitolo nella Parte II · A) è già approvato un agonista di MC4R per rare forme genetiche. Se il bremelanotide troverà qui una nicchia dipenderà dai risultati degli studi ancora attesi.</w:t>
      </w:r>
    </w:p>
    <w:bookmarkEnd w:id="758"/>
    <w:bookmarkStart w:id="759" w:name="conclusione-46"/>
    <w:p>
      <w:pPr>
        <w:pStyle w:val="Heading3"/>
      </w:pPr>
      <w:r>
        <w:t xml:space="preserve">Conclusione</w:t>
      </w:r>
    </w:p>
    <w:p>
      <w:pPr>
        <w:pStyle w:val="FirstParagraph"/>
      </w:pPr>
      <w:r>
        <w:t xml:space="preserve">Il bremelanotide è l’unico farmaco approvato che, attraverso il sistema delle melanocortine nel cervello, punta al desiderio sessuale – però solo negli Stati Uniti e solo per un gruppo di donne ben delimitato. In due grandi studi di fase 3 desiderio e sofferenza sono migliorati in modo statisticamente chiaro, ma in misura ridotta e con un forte effetto placebo. La nausea colpisce quasi la metà delle utilizzatrici e porta spesso all’interruzione; i brevi aumenti della pressione arteriosa richiedono cautela in presenza di rischi cardiovascolari. I prodotti del mercato grigio venduti come «PT-141» non sono verificati, e per gli uomini o per le persone senza diagnosi manca qualsiasi evidenza sufficiente per un’approvazione.</w:t>
      </w:r>
    </w:p>
    <w:bookmarkEnd w:id="759"/>
    <w:bookmarkEnd w:id="760"/>
    <w:bookmarkStart w:id="776" w:name="melanotan-ii"/>
    <w:p>
      <w:pPr>
        <w:pStyle w:val="Heading2"/>
      </w:pPr>
      <w:r>
        <w:t xml:space="preserve">Melanotan II</w:t>
      </w:r>
    </w:p>
    <w:bookmarkStart w:id="761" w:name="scheda-47"/>
    <w:p>
      <w:pPr>
        <w:pStyle w:val="Heading3"/>
      </w:pPr>
      <w:r>
        <w:t xml:space="preserve">Scheda</w:t>
      </w:r>
    </w:p>
    <w:p>
      <w:pPr>
        <w:numPr>
          <w:ilvl w:val="0"/>
          <w:numId w:val="1257"/>
        </w:numPr>
        <w:pStyle w:val="Compact"/>
      </w:pPr>
      <w:r>
        <w:rPr>
          <w:bCs/>
          <w:b/>
        </w:rPr>
        <w:t xml:space="preserve">Tipo/struttura:</w:t>
      </w:r>
      <w:r>
        <w:t xml:space="preserve"> </w:t>
      </w:r>
      <w:r>
        <w:t xml:space="preserve">peptide ad anello (ciclico) di sette aminoacidi, una variante accorciata e chimicamente stabilizzata dell’ormone endogeno alfa-MSH. La struttura ad anello protegge da una rapida degradazione e rende la molecola molto più potente del modello naturale (Dorr 1996, PMID 8637402).</w:t>
      </w:r>
    </w:p>
    <w:p>
      <w:pPr>
        <w:numPr>
          <w:ilvl w:val="0"/>
          <w:numId w:val="1257"/>
        </w:numPr>
        <w:pStyle w:val="Compact"/>
      </w:pPr>
      <w:r>
        <w:rPr>
          <w:bCs/>
          <w:b/>
        </w:rPr>
        <w:t xml:space="preserve">Origine:</w:t>
      </w:r>
      <w:r>
        <w:t xml:space="preserve"> </w:t>
      </w:r>
      <w:r>
        <w:t xml:space="preserve">sviluppato tra la fine degli anni Ottanta e l’inizio degli anni Novanta all’Università dell’Arizona a Tucson, in origine con l’obiettivo di produrre un’abbronzatura senza sole e prevenire così il cancro della pelle (Hadley 2006, PMID 16412534).</w:t>
      </w:r>
    </w:p>
    <w:p>
      <w:pPr>
        <w:numPr>
          <w:ilvl w:val="0"/>
          <w:numId w:val="1257"/>
        </w:numPr>
        <w:pStyle w:val="Compact"/>
      </w:pPr>
      <w:r>
        <w:rPr>
          <w:bCs/>
          <w:b/>
        </w:rPr>
        <w:t xml:space="preserve">Principio d’azione:</w:t>
      </w:r>
      <w:r>
        <w:t xml:space="preserve"> </w:t>
      </w:r>
      <w:r>
        <w:t xml:space="preserve">agonista non selettivo dei recettori delle melanocortine: MC1R (formazione del pigmento nella pelle), MC3R e MC4R (appetito, funzione sessuale) e altri.</w:t>
      </w:r>
    </w:p>
    <w:p>
      <w:pPr>
        <w:numPr>
          <w:ilvl w:val="0"/>
          <w:numId w:val="1257"/>
        </w:numPr>
        <w:pStyle w:val="Compact"/>
      </w:pPr>
      <w:r>
        <w:rPr>
          <w:bCs/>
          <w:b/>
        </w:rPr>
        <w:t xml:space="preserve">Approvazione UE:</w:t>
      </w:r>
      <w:r>
        <w:t xml:space="preserve"> </w:t>
      </w:r>
      <w:r>
        <w:t xml:space="preserve">no.</w:t>
      </w:r>
    </w:p>
    <w:p>
      <w:pPr>
        <w:numPr>
          <w:ilvl w:val="0"/>
          <w:numId w:val="1257"/>
        </w:numPr>
        <w:pStyle w:val="Compact"/>
      </w:pPr>
      <w:r>
        <w:rPr>
          <w:bCs/>
          <w:b/>
        </w:rPr>
        <w:t xml:space="preserve">Approvazione USA:</w:t>
      </w:r>
      <w:r>
        <w:t xml:space="preserve"> </w:t>
      </w:r>
      <w:r>
        <w:t xml:space="preserve">no.</w:t>
      </w:r>
    </w:p>
    <w:p>
      <w:pPr>
        <w:numPr>
          <w:ilvl w:val="0"/>
          <w:numId w:val="1257"/>
        </w:numPr>
        <w:pStyle w:val="Compact"/>
      </w:pPr>
      <w:r>
        <w:rPr>
          <w:bCs/>
          <w:b/>
        </w:rPr>
        <w:t xml:space="preserve">WADA:</w:t>
      </w:r>
      <w:r>
        <w:t xml:space="preserve"> </w:t>
      </w:r>
      <w:r>
        <w:t xml:space="preserve">non citato per nome; in quanto principio attivo non approvato in nessun Paese rientra nel gruppo S0 (sostanze non approvate) ed è quindi sempre vietato (aggiornato al 2026, da verificare).</w:t>
      </w:r>
    </w:p>
    <w:p>
      <w:pPr>
        <w:numPr>
          <w:ilvl w:val="0"/>
          <w:numId w:val="1257"/>
        </w:numPr>
        <w:pStyle w:val="Compact"/>
      </w:pPr>
      <w:r>
        <w:rPr>
          <w:bCs/>
          <w:b/>
        </w:rPr>
        <w:t xml:space="preserve">Livello di evidenza:</w:t>
      </w:r>
      <w:r>
        <w:t xml:space="preserve"> </w:t>
      </w:r>
      <w:r>
        <w:rPr>
          <w:bCs/>
          <w:b/>
        </w:rPr>
        <w:t xml:space="preserve">C</w:t>
      </w:r>
      <w:r>
        <w:t xml:space="preserve"> </w:t>
      </w:r>
      <w:r>
        <w:t xml:space="preserve">– solo studi pilota molto piccoli degli anni Novanta con complessivamente circa due dozzine di partecipanti, integrati da numerosi casi clinici su effetti collaterali in caso di autosomministrazione incontrollata.</w:t>
      </w:r>
    </w:p>
    <w:bookmarkEnd w:id="761"/>
    <w:bookmarkStart w:id="762" w:name="come-dovrebbe-agire-47"/>
    <w:p>
      <w:pPr>
        <w:pStyle w:val="Heading3"/>
      </w:pPr>
      <w:r>
        <w:t xml:space="preserve">Come dovrebbe agire</w:t>
      </w:r>
    </w:p>
    <w:p>
      <w:pPr>
        <w:pStyle w:val="FirstParagraph"/>
      </w:pPr>
      <w:r>
        <w:t xml:space="preserve">La pelle si abbronza quando le cellule pigmentate (melanociti) producono più melanina. Il segnale per questo proviene, tra l’altro, dall’ormone alfa-MSH, che si lega al recettore MC1R sulle cellule pigmentate. Dopo un’esposizione al sole aumenta la produzione di alfa-MSH nella pelle e le cellule pigmentate passano all’eumelanina scura e protettiva.</w:t>
      </w:r>
    </w:p>
    <w:p>
      <w:pPr>
        <w:pStyle w:val="BodyText"/>
      </w:pPr>
      <w:r>
        <w:t xml:space="preserve">Il Melanotan II imita questo segnale, senza che la radiazione UV debba prima danneggiare la pelle. Questa era l’idea originaria: un’«abbronzatura in siringa» che protegga dalle scottature. Il problema: il Melanotan II non si lega solo a MC1R, ma anche ai recettori MC3R e MC4R nel cervello. Questi regolano appetito, dispendio energetico ed eccitazione sessuale. Da qui derivano gli effetti concomitanti tipici: nausea, sbadigli e stiramenti, appetito ridotto ed erezioni spontanee.</w:t>
      </w:r>
    </w:p>
    <w:p>
      <w:pPr>
        <w:pStyle w:val="BodyText"/>
      </w:pPr>
      <w:r>
        <w:t xml:space="preserve">Dallo studio di questo «effetto collaterale» sono nati due altri principi attivi che, a differenza del Melanotan II, hanno proseguito lo sviluppo clinico:</w:t>
      </w:r>
    </w:p>
    <w:p>
      <w:pPr>
        <w:numPr>
          <w:ilvl w:val="0"/>
          <w:numId w:val="1258"/>
        </w:numPr>
        <w:pStyle w:val="Compact"/>
      </w:pPr>
      <w:r>
        <w:rPr>
          <w:bCs/>
          <w:b/>
        </w:rPr>
        <w:t xml:space="preserve">Afamelanotide</w:t>
      </w:r>
      <w:r>
        <w:t xml:space="preserve">, un tempo chiamato Melanotan I, è una molecola lineare più lunga che agisce preferibilmente sulla pelle ed è approvata come impianto per una rara malattia da fotosensibilità (capitolo 2E03).</w:t>
      </w:r>
    </w:p>
    <w:p>
      <w:pPr>
        <w:numPr>
          <w:ilvl w:val="0"/>
          <w:numId w:val="1258"/>
        </w:numPr>
        <w:pStyle w:val="Compact"/>
      </w:pPr>
      <w:r>
        <w:rPr>
          <w:bCs/>
          <w:b/>
        </w:rPr>
        <w:t xml:space="preserve">Bremelanotide</w:t>
      </w:r>
      <w:r>
        <w:t xml:space="preserve"> </w:t>
      </w:r>
      <w:r>
        <w:t xml:space="preserve">(PT-141) è una forma leggermente modificata del Melanotan II, approvata negli Stati Uniti per il trattamento dello scarso desiderio sessuale nelle donne (capitolo 2E01).</w:t>
      </w:r>
    </w:p>
    <w:p>
      <w:pPr>
        <w:pStyle w:val="FirstParagraph"/>
      </w:pPr>
      <w:r>
        <w:t xml:space="preserve">Su internet questi nomi vengono spesso confusi. «Melanotan» senza altre indicazioni può designare, a seconda del venditore, l’uno o l’altro – o qualcosa di completamente diverso (Langan 2011, PMID 21547334).</w:t>
      </w:r>
    </w:p>
    <w:bookmarkEnd w:id="762"/>
    <w:bookmarkStart w:id="766" w:name="studi-sulluomo-47"/>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8</w:t>
      </w:r>
      <w:r>
        <w:t xml:space="preserve"> </w:t>
      </w:r>
      <w:r>
        <w:t xml:space="preserve">studi sull’uomo in PubMed (</w:t>
      </w:r>
      <w:r>
        <w:rPr>
          <w:rStyle w:val="VerbatimChar"/>
        </w:rPr>
        <w:t xml:space="preserve">humanstudien_alle</w:t>
      </w:r>
      <w:r>
        <w:t xml:space="preserve">) e un’unica voce su ClinicalTrials.gov, che a un controllo si è rivelata non affidabile (vedi prospettive): non esistono quindi</w:t>
      </w:r>
      <w:r>
        <w:t xml:space="preserve"> </w:t>
      </w:r>
      <w:r>
        <w:rPr>
          <w:bCs/>
          <w:b/>
        </w:rPr>
        <w:t xml:space="preserve">0</w:t>
      </w:r>
      <w:r>
        <w:t xml:space="preserve"> </w:t>
      </w:r>
      <w:r>
        <w:t xml:space="preserve">studi registrati solidi. Anche il numero di PubMed trae in inganno: quattro degli otto studi riguardavano il Melanotan I, cioè il futuro afamelanotide, non il Melanotan II. Sul Melanotan II stesso esistono solo tre piccoli studi originali e una sintesi dello stesso gruppo di ricerca. Molto più ampia è la letteratura sugli effetti collaterali: casi clinici, serie di casi, analisi di forum online e analisi di laboratorio di prodotti del mercato grigio.</w:t>
      </w:r>
    </w:p>
    <w:bookmarkStart w:id="763" w:name="gli-studi-clinici-degli-anni-novanta"/>
    <w:p>
      <w:pPr>
        <w:pStyle w:val="Heading4"/>
      </w:pPr>
      <w:r>
        <w:t xml:space="preserve">Gli studi clinici degli anni Novanta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Dorr 1996, PMID 8637402</w:t>
            </w:r>
          </w:p>
        </w:tc>
        <w:tc>
          <w:tcPr/>
          <w:p>
            <w:pPr>
              <w:pStyle w:val="Compact"/>
              <w:jc w:val="left"/>
            </w:pPr>
            <w:r>
              <w:t xml:space="preserve">3 uomini sani, in singolo cieco, alternanza di principio attivo e soluzione salina</w:t>
            </w:r>
          </w:p>
        </w:tc>
        <w:tc>
          <w:tcPr/>
          <w:p>
            <w:pPr>
              <w:pStyle w:val="Compact"/>
              <w:jc w:val="left"/>
            </w:pPr>
            <w:r>
              <w:t xml:space="preserve">2 settimane</w:t>
            </w:r>
          </w:p>
        </w:tc>
        <w:tc>
          <w:tcPr/>
          <w:p>
            <w:pPr>
              <w:pStyle w:val="Compact"/>
              <w:jc w:val="left"/>
            </w:pPr>
            <w:r>
              <w:t xml:space="preserve">Abbronzatura di viso, tronco e glutei in 2 su 3; erezioni spontanee; nausea, stanchezza</w:t>
            </w:r>
          </w:p>
        </w:tc>
      </w:tr>
      <w:tr>
        <w:tc>
          <w:tcPr/>
          <w:p>
            <w:pPr>
              <w:pStyle w:val="Compact"/>
              <w:jc w:val="left"/>
            </w:pPr>
            <w:r>
              <w:t xml:space="preserve">Wessells 1998, PMID 9679884</w:t>
            </w:r>
          </w:p>
        </w:tc>
        <w:tc>
          <w:tcPr/>
          <w:p>
            <w:pPr>
              <w:pStyle w:val="Compact"/>
              <w:jc w:val="left"/>
            </w:pPr>
            <w:r>
              <w:t xml:space="preserve">10 uomini con disfunzione erettile psicogena, studio crossover in doppio cieco contro placebo</w:t>
            </w:r>
          </w:p>
        </w:tc>
        <w:tc>
          <w:tcPr/>
          <w:p>
            <w:pPr>
              <w:pStyle w:val="Compact"/>
              <w:jc w:val="left"/>
            </w:pPr>
            <w:r>
              <w:t xml:space="preserve">Dosi singole</w:t>
            </w:r>
          </w:p>
        </w:tc>
        <w:tc>
          <w:tcPr/>
          <w:p>
            <w:pPr>
              <w:pStyle w:val="Compact"/>
              <w:jc w:val="left"/>
            </w:pPr>
            <w:r>
              <w:t xml:space="preserve">Erezioni in 8 su 10; durata di rigidità elevata 38,0 vs. 3,0 minuti</w:t>
            </w:r>
          </w:p>
        </w:tc>
      </w:tr>
      <w:tr>
        <w:tc>
          <w:tcPr/>
          <w:p>
            <w:pPr>
              <w:pStyle w:val="Compact"/>
              <w:jc w:val="left"/>
            </w:pPr>
            <w:r>
              <w:t xml:space="preserve">Wessells 2000, PMID 11018622</w:t>
            </w:r>
          </w:p>
        </w:tc>
        <w:tc>
          <w:tcPr/>
          <w:p>
            <w:pPr>
              <w:pStyle w:val="Compact"/>
              <w:jc w:val="left"/>
            </w:pPr>
            <w:r>
              <w:t xml:space="preserve">10 uomini con disfunzione erettile organica, studio crossover in doppio cieco</w:t>
            </w:r>
          </w:p>
        </w:tc>
        <w:tc>
          <w:tcPr/>
          <w:p>
            <w:pPr>
              <w:pStyle w:val="Compact"/>
              <w:jc w:val="left"/>
            </w:pPr>
            <w:r>
              <w:t xml:space="preserve">Dosi singole</w:t>
            </w:r>
          </w:p>
        </w:tc>
        <w:tc>
          <w:tcPr/>
          <w:p>
            <w:pPr>
              <w:pStyle w:val="Compact"/>
              <w:jc w:val="left"/>
            </w:pPr>
            <w:r>
              <w:t xml:space="preserve">Erezioni dopo 12 su 19 iniezioni vs. 1 su 21 dosi di placebo; 4 su 19 iniezioni con nausea intensa</w:t>
            </w:r>
          </w:p>
        </w:tc>
      </w:tr>
      <w:tr>
        <w:tc>
          <w:tcPr/>
          <w:p>
            <w:pPr>
              <w:pStyle w:val="Compact"/>
              <w:jc w:val="left"/>
            </w:pPr>
            <w:r>
              <w:t xml:space="preserve">Wessells 2000 (sintesi), PMID 11035391</w:t>
            </w:r>
          </w:p>
        </w:tc>
        <w:tc>
          <w:tcPr/>
          <w:p>
            <w:pPr>
              <w:pStyle w:val="Compact"/>
              <w:jc w:val="left"/>
            </w:pPr>
            <w:r>
              <w:t xml:space="preserve">entrambi gli studi insieme, 20 uomini</w:t>
            </w:r>
          </w:p>
        </w:tc>
        <w:tc>
          <w:tcPr/>
          <w:p>
            <w:pPr>
              <w:pStyle w:val="Compact"/>
              <w:jc w:val="left"/>
            </w:pPr>
            <w:r>
              <w:t xml:space="preserve">Dosi singole</w:t>
            </w:r>
          </w:p>
        </w:tc>
        <w:tc>
          <w:tcPr/>
          <w:p>
            <w:pPr>
              <w:pStyle w:val="Compact"/>
              <w:jc w:val="left"/>
            </w:pPr>
            <w:r>
              <w:t xml:space="preserve">Erezioni senza stimoli sessuali in 17 su 20; desiderio maggiore dopo il 68% vs. il 19% delle dosi</w:t>
            </w:r>
          </w:p>
        </w:tc>
      </w:tr>
    </w:tbl>
    <w:p>
      <w:pPr>
        <w:pStyle w:val="BodyText"/>
      </w:pPr>
      <w:r>
        <w:t xml:space="preserve">Il primo studio sull’uomo (Dorr 1996, PMID 8637402) era uno studio pilota con soli tre uomini. Già qui emersero tutti gli effetti che in seguito gli utilizzatori avrebbero descritto su internet: due dei tre uomini si abbronzarono visibilmente, una lieve nausea si manifestò alla maggior parte dei livelli di dose, uno ebbe una stanchezza più marcata. Un «complesso di stiramento e sbadiglio» si accompagnava a erezioni spontanee, che a seconda della dose si ripresentavano per una-cinque ore.</w:t>
      </w:r>
    </w:p>
    <w:p>
      <w:pPr>
        <w:pStyle w:val="BodyText"/>
      </w:pPr>
      <w:r>
        <w:t xml:space="preserve">Il gruppo di lavoro dell’urologo Hunter Wessells approfondì quindi l’effetto sull’erezione. In due piccoli studi crossover (ogni partecipante riceveva in ordine casuale principio attivo e placebo) il Melanotan II provocò erezioni nella maggior parte degli uomini con disfunzione erettile, anche senza stimoli sessuali (Wessells 1998, PMID 9679884; Wessells 2000, PMID 11018622). Nella sintesi di entrambi gli studi gli uomini riferirono un desiderio aumentato dopo il 68% delle dosi di Melanotan, dopo placebo nel 19%. Nel 12,9% si verificò nausea intensa (Wessells 2000, PMID 11035391).</w:t>
      </w:r>
    </w:p>
    <w:p>
      <w:pPr>
        <w:pStyle w:val="BodyText"/>
      </w:pPr>
      <w:r>
        <w:t xml:space="preserve">Dopo di ciò la ricerca clinica sul Melanotan II si interruppe. Lo sviluppo passò al bremelanotide, testato come spray nasale e poi come iniezione. Per l’abbronzatura nelle persone sane non esiste un solo studio controllato con il Melanotan II.</w:t>
      </w:r>
    </w:p>
    <w:bookmarkEnd w:id="763"/>
    <w:bookmarkStart w:id="764" w:name="gli-studi-sul-melanotan-i"/>
    <w:p>
      <w:pPr>
        <w:pStyle w:val="Heading4"/>
      </w:pPr>
      <w:r>
        <w:t xml:space="preserve">Gli studi sul Melanotan I</w:t>
      </w:r>
    </w:p>
    <w:p>
      <w:pPr>
        <w:pStyle w:val="FirstParagraph"/>
      </w:pPr>
      <w:r>
        <w:t xml:space="preserve">Per inquadrare: gli altri studi della ricerca in banca dati riguardano il Melanotan I. In essi alcuni volontari, dopo le iniezioni, producevano più eumelanina, nella pelle dell’avambraccio quasi il doppio di prima (Dorr 2000, PMID 11045725). In combinazione con la luce solare l’abbronzatura risultava più intensa e duratura (Dorr 2004, PMID 15262693). Questi risultati appartengono alla storia dell’afamelanotide e non possono essere trasferiti al Melanotan II, che agisce più fortemente sul cervello.</w:t>
      </w:r>
    </w:p>
    <w:bookmarkEnd w:id="764"/>
    <w:bookmarkStart w:id="765" w:name="chi-usa-il-melanotan-ii"/>
    <w:p>
      <w:pPr>
        <w:pStyle w:val="Heading4"/>
      </w:pPr>
      <w:r>
        <w:t xml:space="preserve">Chi usa il Melanotan II</w:t>
      </w:r>
    </w:p>
    <w:p>
      <w:pPr>
        <w:pStyle w:val="FirstParagraph"/>
      </w:pPr>
      <w:r>
        <w:t xml:space="preserve">Poiché il Melanotan II non è mai stato approvato, quasi tutte le conoscenze sul suo uso attuale derivano da osservazioni al di fuori degli studi. Già nel 2009 esperti britannici descrissero sul British Medical Journal la diffusione di Melanotan I e II nella popolazione generale (Evans-Brown 2009, PMID 19224885). Una revisione sistematica ha incluso il Melanotan tra le sostanze iniettate di frequente per ottimizzare il corpo e le prestazioni, accanto agli steroidi anabolizzanti e all’ormone della crescita (Brennan 2017, PMID 26806443).</w:t>
      </w:r>
    </w:p>
    <w:p>
      <w:pPr>
        <w:pStyle w:val="BodyText"/>
      </w:pPr>
      <w:r>
        <w:t xml:space="preserve">Un’analisi di forum online britannici e irlandesi degli anni 2016 e 2017 ha esaminato 623 messaggi di 205 persone (Gilhooley 2021, PMID 34464955). Come motivazioni gli utenti citavano soprattutto una carnagione abbronzata prima delle vacanze e prima delle gare di bodybuilding. I forum mostravano disinformazione, schemi di dosaggio elaborati in proprio, la combinazione con i lettini abbronzanti e altre pratiche rischiose. Un sondaggio online tra gli utilizzatori descrive quanto fosse facile procurarsi la sostanza (Callaghan 2018, PMID 30142729).</w:t>
      </w:r>
    </w:p>
    <w:p>
      <w:pPr>
        <w:pStyle w:val="BodyText"/>
      </w:pPr>
      <w:r>
        <w:t xml:space="preserve">Negli ultimi anni la pubblicità si è spostata sempre più sui social media come TikTok, dove il Melanotan viene promosso come «Barbie Drug». Diverse riviste dermatologiche hanno analizzato questi contenuti e mettono in guardia dalla loro banalizzazione (Orr 2025, PMID 38808957; Herlihy 2025, PMID 39148422; Sidhu 2026, PMID 41559011).</w:t>
      </w:r>
    </w:p>
    <w:bookmarkEnd w:id="765"/>
    <w:bookmarkEnd w:id="766"/>
    <w:bookmarkStart w:id="767" w:name="studi-su-animali-e-in-laboratorio-47"/>
    <w:p>
      <w:pPr>
        <w:pStyle w:val="Heading3"/>
      </w:pPr>
      <w:r>
        <w:t xml:space="preserve">Studi su animali e in laboratorio</w:t>
      </w:r>
    </w:p>
    <w:p>
      <w:pPr>
        <w:pStyle w:val="FirstParagraph"/>
      </w:pPr>
      <w:r>
        <w:t xml:space="preserve">Nella ricerca di base il Melanotan II è uno strumento standard per attivare i recettori delle melanocortine. Di conseguenza sono numerosi gli esperimenti sugli animali, che però rispondono per lo più a domande delle neuroscienze e non riguardano la sicurezza nell’uomo:</w:t>
      </w:r>
    </w:p>
    <w:p>
      <w:pPr>
        <w:numPr>
          <w:ilvl w:val="0"/>
          <w:numId w:val="1259"/>
        </w:numPr>
        <w:pStyle w:val="Compact"/>
      </w:pPr>
      <w:r>
        <w:rPr>
          <w:bCs/>
          <w:b/>
        </w:rPr>
        <w:t xml:space="preserve">Peso e grasso:</w:t>
      </w:r>
      <w:r>
        <w:t xml:space="preserve"> </w:t>
      </w:r>
      <w:r>
        <w:t xml:space="preserve">in topi e ratti in sovrappeso sottoposti a dieta ricca di grassi, il Melanotan II ha ridotto peso e massa grassa, soprattutto attraverso una minore assunzione di cibo (Strader 2007, PMID 17567964).</w:t>
      </w:r>
    </w:p>
    <w:p>
      <w:pPr>
        <w:numPr>
          <w:ilvl w:val="0"/>
          <w:numId w:val="1259"/>
        </w:numPr>
        <w:pStyle w:val="Compact"/>
      </w:pPr>
      <w:r>
        <w:rPr>
          <w:bCs/>
          <w:b/>
        </w:rPr>
        <w:t xml:space="preserve">Temperatura corporea:</w:t>
      </w:r>
      <w:r>
        <w:t xml:space="preserve"> </w:t>
      </w:r>
      <w:r>
        <w:t xml:space="preserve">nei topi ha provocato un’ipotermia marcata e transitoria, mediata da mastociti e istamina (Jain 2018, PMID 29812984).</w:t>
      </w:r>
    </w:p>
    <w:p>
      <w:pPr>
        <w:numPr>
          <w:ilvl w:val="0"/>
          <w:numId w:val="1259"/>
        </w:numPr>
        <w:pStyle w:val="Compact"/>
      </w:pPr>
      <w:r>
        <w:rPr>
          <w:bCs/>
          <w:b/>
        </w:rPr>
        <w:t xml:space="preserve">Comportamento sociale:</w:t>
      </w:r>
      <w:r>
        <w:t xml:space="preserve"> </w:t>
      </w:r>
      <w:r>
        <w:t xml:space="preserve">in un modello murino di autismo una somministrazione di una settimana ha migliorato le misure del comportamento sociale (Minakova 2019, PMID 30629642). Il meccanismo ipotizzato passa per un’attivazione del sistema dell’ossitocina (capitolo 2E05).</w:t>
      </w:r>
    </w:p>
    <w:p>
      <w:pPr>
        <w:pStyle w:val="FirstParagraph"/>
      </w:pPr>
      <w:r>
        <w:t xml:space="preserve">Nessuno di questi risultati è stato confermato nell’uomo.</w:t>
      </w:r>
    </w:p>
    <w:bookmarkEnd w:id="767"/>
    <w:bookmarkStart w:id="772" w:name="rischi-ed-effetti-collaterali-47"/>
    <w:p>
      <w:pPr>
        <w:pStyle w:val="Heading3"/>
      </w:pPr>
      <w:r>
        <w:t xml:space="preserve">Rischi ed effetti collaterali</w:t>
      </w:r>
    </w:p>
    <w:p>
      <w:pPr>
        <w:pStyle w:val="FirstParagraph"/>
      </w:pPr>
      <w:r>
        <w:t xml:space="preserve">I rischi del Melanotan II si possono suddividere in tre gruppi: gli effetti prevedibili attraverso i recettori delle melanocortine, le alterazioni cutanee con la questione aperta del cancro della pelle, e singoli casi gravi.</w:t>
      </w:r>
    </w:p>
    <w:bookmarkStart w:id="768" w:name="effetti-prevedibili"/>
    <w:p>
      <w:pPr>
        <w:pStyle w:val="Heading4"/>
      </w:pPr>
      <w:r>
        <w:t xml:space="preserve">Effetti prevedibili</w:t>
      </w:r>
    </w:p>
    <w:p>
      <w:pPr>
        <w:pStyle w:val="FirstParagraph"/>
      </w:pPr>
      <w:r>
        <w:t xml:space="preserve">Nausea, arrossamento del viso, sbadigli e stiramenti, perdita di appetito, stanchezza ed erezioni spontanee si erano già manifestati negli studi (Dorr 1996, PMID 8637402; Wessells 2000, PMID 11035391). La pigmentazione non riguarda solo la pelle: casi clinici descrivono strisce scure trasversali nelle unghie delle dita (Paurobally 2013, PMID 22182016) e alterazioni del pigmento della mucosa orale (Bonchev 2026, PMID 41752902). Paradossalmente sono descritte anche macchie chiare, depigmentate (Ume 2026, PMID 42212476).</w:t>
      </w:r>
    </w:p>
    <w:bookmarkEnd w:id="768"/>
    <w:bookmarkStart w:id="769" w:name="nei-e-melanoma"/>
    <w:p>
      <w:pPr>
        <w:pStyle w:val="Heading4"/>
      </w:pPr>
      <w:r>
        <w:t xml:space="preserve">Nei e melanoma</w:t>
      </w:r>
    </w:p>
    <w:p>
      <w:pPr>
        <w:pStyle w:val="FirstParagraph"/>
      </w:pPr>
      <w:r>
        <w:t xml:space="preserve">È questa la preoccupazione che impegna di più i dermatologi. Il Melanotan II stimola tutte le cellule pigmentate, anche quelle dei nei esistenti (nevi). Diversi casi clinici descrivono:</w:t>
      </w:r>
    </w:p>
    <w:p>
      <w:pPr>
        <w:numPr>
          <w:ilvl w:val="0"/>
          <w:numId w:val="1260"/>
        </w:numPr>
        <w:pStyle w:val="Compact"/>
      </w:pPr>
      <w:r>
        <w:rPr>
          <w:bCs/>
          <w:b/>
        </w:rPr>
        <w:t xml:space="preserve">comparsa di numerosi nuovi nei</w:t>
      </w:r>
      <w:r>
        <w:t xml:space="preserve"> </w:t>
      </w:r>
      <w:r>
        <w:t xml:space="preserve">(nevi eruttivi) dopo iniezioni di Melanotan (Cousen 2009, PMID 19575725; Thestrup-Pedersen 2011, PMID 21453640), in parte con aspetto vistoso e atipico (Reid 2013, PMID 23914578);</w:t>
      </w:r>
    </w:p>
    <w:p>
      <w:pPr>
        <w:numPr>
          <w:ilvl w:val="0"/>
          <w:numId w:val="1260"/>
        </w:numPr>
        <w:pStyle w:val="Compact"/>
      </w:pPr>
      <w:r>
        <w:rPr>
          <w:bCs/>
          <w:b/>
        </w:rPr>
        <w:t xml:space="preserve">nei esistenti che si scuriscono e si modificano</w:t>
      </w:r>
      <w:r>
        <w:t xml:space="preserve">;</w:t>
      </w:r>
    </w:p>
    <w:p>
      <w:pPr>
        <w:numPr>
          <w:ilvl w:val="0"/>
          <w:numId w:val="1260"/>
        </w:numPr>
        <w:pStyle w:val="Compact"/>
      </w:pPr>
      <w:r>
        <w:rPr>
          <w:bCs/>
          <w:b/>
        </w:rPr>
        <w:t xml:space="preserve">melanomi</w:t>
      </w:r>
      <w:r>
        <w:t xml:space="preserve">, cioè tumori maligni della pelle, durante o poco dopo l’uso (Paurobally 2011, PMID 21564053; Ong 2012, PMID 22724573). Una donna di 20 anni con pelle chiara sviluppò un melanoma sul gluteo tre mesi dopo un’autosomministrazione di tre-quattro settimane, combinata con sedute al solarium (Hjuler 2014, PMID 24355990). Un caso pubblicato nel 2025 descrive un melanoma della mucosa orale in una ventiduenne che aveva usato uno spray nasale di Melanotan II (Yassin Alsabbagh 2025, PMID 40210573).</w:t>
      </w:r>
    </w:p>
    <w:p>
      <w:pPr>
        <w:pStyle w:val="FirstParagraph"/>
      </w:pPr>
      <w:r>
        <w:t xml:space="preserve">Una rassegna di tutti i casi pubblicati di nei a comparsa improvvisa (179 persone) ha individuato tra i fattori scatenanti, oltre a immunosoppressione e chemioterapia, anche il Melanotan; il 16% dei casi presentava almeno un neo displastico, cioè vistosamente alterato (Burian 2019, PMID 31119650).</w:t>
      </w:r>
    </w:p>
    <w:p>
      <w:pPr>
        <w:pStyle w:val="BodyText"/>
      </w:pPr>
      <w:r>
        <w:rPr>
          <w:bCs/>
          <w:b/>
        </w:rPr>
        <w:t xml:space="preserve">Che cosa significano questi dati:</w:t>
      </w:r>
      <w:r>
        <w:t xml:space="preserve"> </w:t>
      </w:r>
      <w:r>
        <w:t xml:space="preserve">i casi clinici non dimostrano un nesso causale. Molte delle persone coinvolte usavano contemporaneamente lettini abbronzanti o si esponevano intensamente al sole, il che aumenta il rischio di melanoma in modo indipendente. Una rassegna conclude che un nesso non è dimostrato in modo convincente, ma che l’accumulo di casi invita alla cautela (Habbema 2017, PMID 28266027). Poiché il Melanotan II non è mai stato studiato sistematicamente, nessuno può dire quanto sia elevato un eventuale rischio. Per confronto: per l’affine afamelanotide, che è approvato, un’indagine con dermatoscopia ha rilevato solo alterazioni transitorie dei nei, senza indizi di trasformazione maligna (capitolo 2E03) – questi dati però non valgono per il Melanotan II.</w:t>
      </w:r>
    </w:p>
    <w:bookmarkEnd w:id="769"/>
    <w:bookmarkStart w:id="770" w:name="singoli-casi-gravi"/>
    <w:p>
      <w:pPr>
        <w:pStyle w:val="Heading4"/>
      </w:pPr>
      <w:r>
        <w:t xml:space="preserve">Singoli casi gravi</w:t>
      </w:r>
    </w:p>
    <w:p>
      <w:pPr>
        <w:numPr>
          <w:ilvl w:val="0"/>
          <w:numId w:val="1261"/>
        </w:numPr>
        <w:pStyle w:val="Compact"/>
      </w:pPr>
      <w:r>
        <w:rPr>
          <w:bCs/>
          <w:b/>
        </w:rPr>
        <w:t xml:space="preserve">Priapismo:</w:t>
      </w:r>
      <w:r>
        <w:t xml:space="preserve"> </w:t>
      </w:r>
      <w:r>
        <w:t xml:space="preserve">erezione dolorosa e prolungata, un’emergenza urologica. Diversi casi clinici la descrivono dopo iniezioni di Melanotan (Devlin 2013, PMID 23537392; Dreyer 2019, PMID 30796078). In un caso è stato necessario un intervento chirurgico di decompressione (Mallory 2021, PMID 33460908); in un altro la capacità erettile non si era ancora ripristinata quattro settimane dopo (Dreyer 2019, PMID 30796078).</w:t>
      </w:r>
    </w:p>
    <w:p>
      <w:pPr>
        <w:numPr>
          <w:ilvl w:val="0"/>
          <w:numId w:val="1261"/>
        </w:numPr>
        <w:pStyle w:val="Compact"/>
      </w:pPr>
      <w:r>
        <w:rPr>
          <w:bCs/>
          <w:b/>
        </w:rPr>
        <w:t xml:space="preserve">Distruzione muscolare e danno renale:</w:t>
      </w:r>
      <w:r>
        <w:t xml:space="preserve"> </w:t>
      </w:r>
      <w:r>
        <w:t xml:space="preserve">un uomo di 39 anni si era iniettato, secondo quanto da lui riferito, sei volte la quantità iniziale raccomandata. Sviluppò tachicardia, agitazione e una grave distruzione muscolare (rabdomiolisi) con un aumento dell’enzima muscolare CK a 17.773 IU/L e un danno renale transitorio; la sostanza è stata confermata in laboratorio come Melanotan II (Nelson 2012, PMID 23121206).</w:t>
      </w:r>
    </w:p>
    <w:p>
      <w:pPr>
        <w:numPr>
          <w:ilvl w:val="0"/>
          <w:numId w:val="1261"/>
        </w:numPr>
        <w:pStyle w:val="Compact"/>
      </w:pPr>
      <w:r>
        <w:rPr>
          <w:bCs/>
          <w:b/>
        </w:rPr>
        <w:t xml:space="preserve">Infarto renale:</w:t>
      </w:r>
      <w:r>
        <w:t xml:space="preserve"> </w:t>
      </w:r>
      <w:r>
        <w:t xml:space="preserve">un caso clinico con rassegna della letteratura ipotizza il Melanotan II come causa di un’occlusione dei vasi renali (Peters 2020, PMID 31953620).</w:t>
      </w:r>
    </w:p>
    <w:p>
      <w:pPr>
        <w:numPr>
          <w:ilvl w:val="0"/>
          <w:numId w:val="1261"/>
        </w:numPr>
        <w:pStyle w:val="Compact"/>
      </w:pPr>
      <w:r>
        <w:rPr>
          <w:bCs/>
          <w:b/>
        </w:rPr>
        <w:t xml:space="preserve">Edema cerebrale:</w:t>
      </w:r>
      <w:r>
        <w:t xml:space="preserve"> </w:t>
      </w:r>
      <w:r>
        <w:t xml:space="preserve">un caso clinico descrive una sindrome da encefalopatia posteriore reversibile (PRES), un rigonfiamento nella regione occipitale del cervello, in relazione al Melanotan (Kaski 2013, PMID 23648958).</w:t>
      </w:r>
    </w:p>
    <w:p>
      <w:pPr>
        <w:numPr>
          <w:ilvl w:val="0"/>
          <w:numId w:val="1261"/>
        </w:numPr>
        <w:pStyle w:val="Compact"/>
      </w:pPr>
      <w:r>
        <w:rPr>
          <w:bCs/>
          <w:b/>
        </w:rPr>
        <w:t xml:space="preserve">Infiammazione cutanea:</w:t>
      </w:r>
      <w:r>
        <w:t xml:space="preserve"> </w:t>
      </w:r>
      <w:r>
        <w:t xml:space="preserve">è descritto anche un pioderma gangrenoso, una grave malattia ulcerativa della pelle (Dickson 2025, PMID 41487785).</w:t>
      </w:r>
    </w:p>
    <w:bookmarkEnd w:id="770"/>
    <w:bookmarkStart w:id="771" w:name="rischi-del-mercato-grigio-1"/>
    <w:p>
      <w:pPr>
        <w:pStyle w:val="Heading4"/>
      </w:pPr>
      <w:r>
        <w:t xml:space="preserve">Rischi del mercato grigio</w:t>
      </w:r>
    </w:p>
    <w:p>
      <w:pPr>
        <w:pStyle w:val="FirstParagraph"/>
      </w:pPr>
      <w:r>
        <w:t xml:space="preserve">Un laboratorio ha acquistato flaconi di Melanotan II da tre negozi online. Tutti promettevano 10 mg per flacone; in realtà contenevano tra 4,32 e 8,84 mg. Nei prodotti di due negozi sono stati trovati dal 4,1 al 5,9% di impurità sconosciute (Breindahl 2015, PMID 24771717). Un laboratorio forense ha determinato in un campione sequestrato una purezza del 30% (Deville 2024, PMID 39302005). A ciò si aggiungono i rischi di una preparazione non sterile e di aghi condivisi, sui quali gli esperti richiamano espressamente l’attenzione (Gilhooley 2021, PMID 34464955). Maggiori informazioni su purezza e contraffazioni nel mercato grigio si trovano nella Parte I e nella Parte IV.</w:t>
      </w:r>
    </w:p>
    <w:bookmarkEnd w:id="771"/>
    <w:bookmarkEnd w:id="772"/>
    <w:bookmarkStart w:id="773" w:name="quadro-normativo-47"/>
    <w:p>
      <w:pPr>
        <w:pStyle w:val="Heading3"/>
      </w:pPr>
      <w:r>
        <w:t xml:space="preserve">Quadro normativo</w:t>
      </w:r>
    </w:p>
    <w:p>
      <w:pPr>
        <w:pStyle w:val="FirstParagraph"/>
      </w:pPr>
      <w:r>
        <w:rPr>
          <w:iCs/>
          <w:i/>
        </w:rPr>
        <w:t xml:space="preserve">Aggiornato al 2026, da verificare.</w:t>
      </w:r>
    </w:p>
    <w:p>
      <w:pPr>
        <w:numPr>
          <w:ilvl w:val="0"/>
          <w:numId w:val="1262"/>
        </w:numPr>
        <w:pStyle w:val="Compact"/>
      </w:pPr>
      <w:r>
        <w:rPr>
          <w:bCs/>
          <w:b/>
        </w:rPr>
        <w:t xml:space="preserve">UE:</w:t>
      </w:r>
      <w:r>
        <w:t xml:space="preserve"> </w:t>
      </w:r>
      <w:r>
        <w:t xml:space="preserve">il Melanotan II non è approvato in nessuno Stato membro. Poiché viene offerto per l’uso umano con effetti sulle funzioni corporee, dal punto di vista giuridico è considerato un medicinale; produzione, importazione e vendita senza autorizzazione sono vietate. La dicitura «solo a scopo di ricerca» non cambia nulla.</w:t>
      </w:r>
    </w:p>
    <w:p>
      <w:pPr>
        <w:numPr>
          <w:ilvl w:val="0"/>
          <w:numId w:val="1262"/>
        </w:numPr>
        <w:pStyle w:val="Compact"/>
      </w:pPr>
      <w:r>
        <w:rPr>
          <w:bCs/>
          <w:b/>
        </w:rPr>
        <w:t xml:space="preserve">Germania e Austria:</w:t>
      </w:r>
      <w:r>
        <w:t xml:space="preserve"> </w:t>
      </w:r>
      <w:r>
        <w:t xml:space="preserve">non approvato. La cessione per l’uso umano viola la rispettiva legge sui medicinali. Autorità e dogane sequestrano le spedizioni.</w:t>
      </w:r>
    </w:p>
    <w:p>
      <w:pPr>
        <w:numPr>
          <w:ilvl w:val="0"/>
          <w:numId w:val="1262"/>
        </w:numPr>
        <w:pStyle w:val="Compact"/>
      </w:pPr>
      <w:r>
        <w:rPr>
          <w:bCs/>
          <w:b/>
        </w:rPr>
        <w:t xml:space="preserve">Avvertenze delle autorità:</w:t>
      </w:r>
      <w:r>
        <w:t xml:space="preserve"> </w:t>
      </w:r>
      <w:r>
        <w:t xml:space="preserve">diverse autorità nazionali per i farmaci e la salute hanno messo in guardia da Melanotan I e II (Habbema 2017, PMID 28266027). Per quanto noto all’autore, le autorità del Regno Unito e dell’Irlanda sono state dal 2008 tra le prime; in seguito si sono aggiunti altri Paesi europei e l’Australia. Nel Regno Unito la vendita è espressamente illegale (Yassin Alsabbagh 2025, PMID 40210573).</w:t>
      </w:r>
    </w:p>
    <w:p>
      <w:pPr>
        <w:numPr>
          <w:ilvl w:val="0"/>
          <w:numId w:val="1262"/>
        </w:numPr>
        <w:pStyle w:val="Compact"/>
      </w:pPr>
      <w:r>
        <w:rPr>
          <w:bCs/>
          <w:b/>
        </w:rPr>
        <w:t xml:space="preserve">USA:</w:t>
      </w:r>
      <w:r>
        <w:t xml:space="preserve"> </w:t>
      </w:r>
      <w:r>
        <w:t xml:space="preserve">nessuna approvazione FDA; la distribuzione come farmaco per uso umano non è consentita.</w:t>
      </w:r>
    </w:p>
    <w:p>
      <w:pPr>
        <w:numPr>
          <w:ilvl w:val="0"/>
          <w:numId w:val="1262"/>
        </w:numPr>
        <w:pStyle w:val="Compact"/>
      </w:pPr>
      <w:r>
        <w:rPr>
          <w:bCs/>
          <w:b/>
        </w:rPr>
        <w:t xml:space="preserve">WADA:</w:t>
      </w:r>
      <w:r>
        <w:t xml:space="preserve"> </w:t>
      </w:r>
      <w:r>
        <w:t xml:space="preserve">vietato come sostanza non approvata (S0).</w:t>
      </w:r>
    </w:p>
    <w:bookmarkEnd w:id="773"/>
    <w:bookmarkStart w:id="774" w:name="studi-in-corso-e-prospettive-47"/>
    <w:p>
      <w:pPr>
        <w:pStyle w:val="Heading3"/>
      </w:pPr>
      <w:r>
        <w:t xml:space="preserve">Studi in corso e prospettive</w:t>
      </w:r>
    </w:p>
    <w:p>
      <w:pPr>
        <w:pStyle w:val="FirstParagraph"/>
      </w:pPr>
      <w:r>
        <w:rPr>
          <w:bCs/>
          <w:b/>
        </w:rPr>
        <w:t xml:space="preserve">Dati certi (studi registrati):</w:t>
      </w:r>
      <w:r>
        <w:t xml:space="preserve"> </w:t>
      </w:r>
      <w:r>
        <w:t xml:space="preserve">nessuno. Su ClinicalTrials.gov si trovava sì una voce sul Melanotan II nella vitiligine; lo sponsor di questa voce ha però registrato anche voci che si definiscono esse stesse fittizie. Per questo la voce non viene considerata qui come uno studio reale. Ciò dimostra, tra l’altro, che anche una voce di registro non prova che uno studio si svolga davvero.</w:t>
      </w:r>
    </w:p>
    <w:p>
      <w:pPr>
        <w:pStyle w:val="BodyText"/>
      </w:pPr>
      <w:r>
        <w:rPr>
          <w:bCs/>
          <w:b/>
        </w:rPr>
        <w:t xml:space="preserve">Valutazione dell’autore:</w:t>
      </w:r>
      <w:r>
        <w:t xml:space="preserve"> </w:t>
      </w:r>
      <w:r>
        <w:t xml:space="preserve">per un’approvazione come abbronzante nelle persone sane non esiste una via realistica: il beneficio è cosmetico, gli effetti collaterali attraverso il cervello sono marcati e la questione di nei e melanoma dovrebbe essere chiarita in studi ampi e lunghi. Le applicazioni mediche sensate degli agonisti delle melanocortine vengono perseguite con molecole più selettive – afamelanotide per la pelle, bremelanotide e setmelanotide per il cervello. La popolarità sui social media farà probabilmente aumentare ancora il numero dei casi clinici.</w:t>
      </w:r>
    </w:p>
    <w:bookmarkEnd w:id="774"/>
    <w:bookmarkStart w:id="775" w:name="conclusione-47"/>
    <w:p>
      <w:pPr>
        <w:pStyle w:val="Heading3"/>
      </w:pPr>
      <w:r>
        <w:t xml:space="preserve">Conclusione</w:t>
      </w:r>
    </w:p>
    <w:p>
      <w:pPr>
        <w:pStyle w:val="FirstParagraph"/>
      </w:pPr>
      <w:r>
        <w:t xml:space="preserve">Il Melanotan II è un peptide di ricerca degli anni Novanta, testato solo su circa due dozzine di persone in piccoli studi e mai approvato. Abbronza la pelle, ma attraverso i recettori del cervello provoca regolarmente nausea ed erezioni spontanee. I casi clinici descrivono nei nuovi e alterati, melanomi, priapismo e distruzione muscolare; un nesso causale con il cancro della pelle non è dimostrato, ma nemmeno escluso. Nelle analisi di laboratorio i prodotti del mercato grigio contenevano meno principio attivo di quanto dichiarato e impurità sconosciute. I dati non bastano per definire sicuro il Melanotan II.</w:t>
      </w:r>
    </w:p>
    <w:bookmarkEnd w:id="775"/>
    <w:bookmarkEnd w:id="776"/>
    <w:bookmarkStart w:id="794" w:name="afamelanotide"/>
    <w:p>
      <w:pPr>
        <w:pStyle w:val="Heading2"/>
      </w:pPr>
      <w:r>
        <w:t xml:space="preserve">Afamelanotide</w:t>
      </w:r>
    </w:p>
    <w:bookmarkStart w:id="777" w:name="scheda-48"/>
    <w:p>
      <w:pPr>
        <w:pStyle w:val="Heading3"/>
      </w:pPr>
      <w:r>
        <w:t xml:space="preserve">Scheda</w:t>
      </w:r>
    </w:p>
    <w:p>
      <w:pPr>
        <w:numPr>
          <w:ilvl w:val="0"/>
          <w:numId w:val="1263"/>
        </w:numPr>
        <w:pStyle w:val="Compact"/>
      </w:pPr>
      <w:r>
        <w:rPr>
          <w:bCs/>
          <w:b/>
        </w:rPr>
        <w:t xml:space="preserve">Tipo/struttura:</w:t>
      </w:r>
      <w:r>
        <w:t xml:space="preserve"> </w:t>
      </w:r>
      <w:r>
        <w:t xml:space="preserve">peptide lineare di 13 aminoacidi. Corrisponde all’ormone endogeno alfa-MSH, in cui sono stati sostituiti due elementi (in posizione 4 la norleucina, in posizione 7 la forma speculare D della fenilalanina). Queste modifiche lo rendono più stabile e più potente. Nomi precedenti: Melanotan I, MT-I, NDP-MSH, CUV1647.</w:t>
      </w:r>
    </w:p>
    <w:p>
      <w:pPr>
        <w:numPr>
          <w:ilvl w:val="0"/>
          <w:numId w:val="1263"/>
        </w:numPr>
        <w:pStyle w:val="Compact"/>
      </w:pPr>
      <w:r>
        <w:rPr>
          <w:bCs/>
          <w:b/>
        </w:rPr>
        <w:t xml:space="preserve">Origine:</w:t>
      </w:r>
      <w:r>
        <w:t xml:space="preserve"> </w:t>
      </w:r>
      <w:r>
        <w:t xml:space="preserve">sviluppato all’Università dell’Arizona insieme al Melanotan II (Hadley 2006, PMID 16412534); in seguito trasformato in farmaco dall’azienda australiana Clinuvel.</w:t>
      </w:r>
    </w:p>
    <w:p>
      <w:pPr>
        <w:numPr>
          <w:ilvl w:val="0"/>
          <w:numId w:val="1263"/>
        </w:numPr>
        <w:pStyle w:val="Compact"/>
      </w:pPr>
      <w:r>
        <w:rPr>
          <w:bCs/>
          <w:b/>
        </w:rPr>
        <w:t xml:space="preserve">Principio d’azione:</w:t>
      </w:r>
      <w:r>
        <w:t xml:space="preserve"> </w:t>
      </w:r>
      <w:r>
        <w:t xml:space="preserve">agonista del recettore 1 delle melanocortine (MC1R) delle cellule pigmentate. Stimola la produzione del pigmento scuro e fotoprotettivo eumelanina – senza una precedente esposizione ai raggi UV.</w:t>
      </w:r>
    </w:p>
    <w:p>
      <w:pPr>
        <w:numPr>
          <w:ilvl w:val="0"/>
          <w:numId w:val="1263"/>
        </w:numPr>
        <w:pStyle w:val="Compact"/>
      </w:pPr>
      <w:r>
        <w:rPr>
          <w:bCs/>
          <w:b/>
        </w:rPr>
        <w:t xml:space="preserve">Forma farmaceutica:</w:t>
      </w:r>
      <w:r>
        <w:t xml:space="preserve"> </w:t>
      </w:r>
      <w:r>
        <w:t xml:space="preserve">piccolo impianto che si dissolve da solo (16 mg), inserito sotto la pelle, che rilascia il principio attivo nell’arco di settimane. Viene inserito in centri specializzati.</w:t>
      </w:r>
    </w:p>
    <w:p>
      <w:pPr>
        <w:numPr>
          <w:ilvl w:val="0"/>
          <w:numId w:val="1263"/>
        </w:numPr>
        <w:pStyle w:val="Compact"/>
      </w:pPr>
      <w:r>
        <w:rPr>
          <w:bCs/>
          <w:b/>
        </w:rPr>
        <w:t xml:space="preserve">Approvazione UE:</w:t>
      </w:r>
      <w:r>
        <w:t xml:space="preserve"> </w:t>
      </w:r>
      <w:r>
        <w:t xml:space="preserve">sì, dal 2014 (Scenesse) per la prevenzione dei danni da luce negli adulti con protoporfiria eritropoietica (EPP). L’approvazione era subordinata a condizioni, tra cui uno studio di sicurezza dopo l’approvazione e un registro dei pazienti (Homey 2025, PMID 40082741).</w:t>
      </w:r>
    </w:p>
    <w:p>
      <w:pPr>
        <w:numPr>
          <w:ilvl w:val="0"/>
          <w:numId w:val="1263"/>
        </w:numPr>
        <w:pStyle w:val="Compact"/>
      </w:pPr>
      <w:r>
        <w:rPr>
          <w:bCs/>
          <w:b/>
        </w:rPr>
        <w:t xml:space="preserve">Approvazione USA:</w:t>
      </w:r>
      <w:r>
        <w:t xml:space="preserve"> </w:t>
      </w:r>
      <w:r>
        <w:t xml:space="preserve">sì, dal 2019 per gli adulti con EPP.</w:t>
      </w:r>
    </w:p>
    <w:p>
      <w:pPr>
        <w:numPr>
          <w:ilvl w:val="0"/>
          <w:numId w:val="1263"/>
        </w:numPr>
        <w:pStyle w:val="Compact"/>
      </w:pPr>
      <w:r>
        <w:rPr>
          <w:bCs/>
          <w:b/>
        </w:rPr>
        <w:t xml:space="preserve">WADA:</w:t>
      </w:r>
      <w:r>
        <w:t xml:space="preserve"> </w:t>
      </w:r>
      <w:r>
        <w:t xml:space="preserve">non elencato (aggiornato al 2026, da verificare).</w:t>
      </w:r>
    </w:p>
    <w:p>
      <w:pPr>
        <w:numPr>
          <w:ilvl w:val="0"/>
          <w:numId w:val="1263"/>
        </w:numPr>
        <w:pStyle w:val="Compact"/>
      </w:pPr>
      <w:r>
        <w:rPr>
          <w:bCs/>
          <w:b/>
        </w:rPr>
        <w:t xml:space="preserve">Livello di evidenza:</w:t>
      </w:r>
      <w:r>
        <w:t xml:space="preserve"> </w:t>
      </w:r>
      <w:r>
        <w:rPr>
          <w:bCs/>
          <w:b/>
        </w:rPr>
        <w:t xml:space="preserve">A</w:t>
      </w:r>
      <w:r>
        <w:t xml:space="preserve"> </w:t>
      </w:r>
      <w:r>
        <w:t xml:space="preserve">– approvazione nell’UE e negli USA sulla base di due studi randomizzati controllati con placebo, integrati da diverse coorti a lungo termine. A causa della rarità della malattia gli studi sono più piccoli che per le malattie diffuse.</w:t>
      </w:r>
    </w:p>
    <w:bookmarkEnd w:id="777"/>
    <w:bookmarkStart w:id="778" w:name="come-dovrebbe-agire-48"/>
    <w:p>
      <w:pPr>
        <w:pStyle w:val="Heading3"/>
      </w:pPr>
      <w:r>
        <w:t xml:space="preserve">Come dovrebbe agire</w:t>
      </w:r>
    </w:p>
    <w:p>
      <w:pPr>
        <w:pStyle w:val="FirstParagraph"/>
      </w:pPr>
      <w:r>
        <w:t xml:space="preserve">La protoporfiria eritropoietica (EPP) è una rara malattia ereditaria. In Europa ne è colpita almeno una persona su 140.000 (Homey 2025, PMID 40082741). A causa di un difetto enzimatico nella produzione del pigmento rosso del sangue, un precursore, la protoporfirina IX, si accumula nel sangue e nella pelle. Questa sostanza viene attivata dalla luce visibile e danneggia quindi i tessuti e i piccoli vasi sanguigni della pelle.</w:t>
      </w:r>
    </w:p>
    <w:p>
      <w:pPr>
        <w:pStyle w:val="BodyText"/>
      </w:pPr>
      <w:r>
        <w:t xml:space="preserve">Le conseguenze sono dolori brucianti, spesso persistenti per giorni, dopo pochi minuti alla luce del sole – spesso senza alterazioni visibili della pelle. Le persone colpite evitano la luce del giorno fin dall’infanzia. La protezione solare convenzionale aiuta poco, perché a scatenare la reazione è soprattutto la luce visibile e non la radiazione UV. Una parte dei pazienti sviluppa inoltre danni al fegato, perché la protoporfirina in eccesso viene eliminata attraverso la bile (Minder 2023, PMID 37109595).</w:t>
      </w:r>
    </w:p>
    <w:p>
      <w:pPr>
        <w:pStyle w:val="BodyText"/>
      </w:pPr>
      <w:r>
        <w:t xml:space="preserve">L’afamelanotide non agisce sulla causa, ma sulla pelle: la abbronza, e l’eumelanina aggiuntiva intercetta una parte della luce prima che raggiunga la protoporfirina. Gli esperimenti di laboratorio suggeriscono inoltre effetti antinfiammatori e antiossidanti. Quanto di ciò abbia un ruolo nell’uomo non è chiaro.</w:t>
      </w:r>
    </w:p>
    <w:p>
      <w:pPr>
        <w:pStyle w:val="BodyText"/>
      </w:pPr>
      <w:r>
        <w:t xml:space="preserve">A differenza del Melanotan II (capitolo 2E02), l’afamelanotide agisce prevalentemente sul recettore del pigmento MC1R e solo poco sui recettori nel cervello. Per questo nausea ed effetti concomitanti di tipo sessuale sono molto più rari.</w:t>
      </w:r>
    </w:p>
    <w:bookmarkEnd w:id="778"/>
    <w:bookmarkStart w:id="785" w:name="studi-sulluomo-48"/>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10</w:t>
      </w:r>
      <w:r>
        <w:t xml:space="preserve"> </w:t>
      </w:r>
      <w:r>
        <w:t xml:space="preserve">studi sull’uomo in PubMed (</w:t>
      </w:r>
      <w:r>
        <w:rPr>
          <w:rStyle w:val="VerbatimChar"/>
        </w:rPr>
        <w:t xml:space="preserve">humanstudien_alle</w:t>
      </w:r>
      <w:r>
        <w:t xml:space="preserve">) e</w:t>
      </w:r>
      <w:r>
        <w:t xml:space="preserve"> </w:t>
      </w:r>
      <w:r>
        <w:rPr>
          <w:bCs/>
          <w:b/>
        </w:rPr>
        <w:t xml:space="preserve">23</w:t>
      </w:r>
      <w:r>
        <w:t xml:space="preserve"> </w:t>
      </w:r>
      <w:r>
        <w:t xml:space="preserve">voci su ClinicalTrials.gov. La ricerca registra però solo il nome «afamelanotide»; gli studi più vecchi con i nomi Melanotan I o NDP-MSH e diversi studi di coorte non vi sono compresi e vengono discussi qui in aggiunta.</w:t>
      </w:r>
    </w:p>
    <w:bookmarkStart w:id="779" w:name="Xe77ef4a4f8d1eab2c4a0a7cee7463e077711a6a"/>
    <w:p>
      <w:pPr>
        <w:pStyle w:val="Heading4"/>
      </w:pPr>
      <w:r>
        <w:t xml:space="preserve">Antefatti: il Melanotan I nelle persone sane</w:t>
      </w:r>
    </w:p>
    <w:p>
      <w:pPr>
        <w:pStyle w:val="FirstParagraph"/>
      </w:pPr>
      <w:r>
        <w:t xml:space="preserve">Negli anni Novanta e nei primi anni Duemila volontari sani in Arizona ricevettero iniezioni quotidiane. La loro pelle si scurì su viso, collo e avambracci; il contenuto di eumelanina della pelle dell’avambraccio aumentò in media del 98% (Dorr 2000, PMID 11045725). In combinazione con la luce solare la pelle si abbronzava più intensamente e più a lungo, e i partecipanti senza principio attivo avevano bisogno del 50% di tempo al sole in più per la stessa abbronzatura (Dorr 2004, PMID 15262693). In uno studio con 77 persone di carnagione chiara l’effetto era persino più forte nei portatori di determinate varianti genetiche di MC1R – cioè nelle persone con pelle particolarmente sensibile al sole (Fitzgerald 2006, PMID 16293341). Il progetto di ricavarne una protezione dal cancro della pelle per la popolazione generale non fu portato avanti.</w:t>
      </w:r>
    </w:p>
    <w:bookmarkEnd w:id="779"/>
    <w:bookmarkStart w:id="780" w:name="gli-studi-registrativi-nella-epp"/>
    <w:p>
      <w:pPr>
        <w:pStyle w:val="Heading4"/>
      </w:pPr>
      <w:r>
        <w:t xml:space="preserve">Gli studi registrativi nella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Harms 2009, PMID 19656325</w:t>
            </w:r>
          </w:p>
        </w:tc>
        <w:tc>
          <w:tcPr/>
          <w:p>
            <w:pPr>
              <w:pStyle w:val="Compact"/>
              <w:jc w:val="left"/>
            </w:pPr>
            <w:r>
              <w:t xml:space="preserve">5 persone con EPP, studio pilota in aperto</w:t>
            </w:r>
          </w:p>
        </w:tc>
        <w:tc>
          <w:tcPr/>
          <w:p>
            <w:pPr>
              <w:pStyle w:val="Compact"/>
              <w:jc w:val="left"/>
            </w:pPr>
            <w:r>
              <w:t xml:space="preserve">120 giorni</w:t>
            </w:r>
          </w:p>
        </w:tc>
        <w:tc>
          <w:tcPr/>
          <w:p>
            <w:pPr>
              <w:pStyle w:val="Compact"/>
              <w:jc w:val="left"/>
            </w:pPr>
            <w:r>
              <w:t xml:space="preserve">Tolleranza alla luce nettamente aumentata</w:t>
            </w:r>
          </w:p>
        </w:tc>
      </w:tr>
      <w:tr>
        <w:tc>
          <w:tcPr/>
          <w:p>
            <w:pPr>
              <w:pStyle w:val="Compact"/>
              <w:jc w:val="left"/>
            </w:pPr>
            <w:r>
              <w:t xml:space="preserve">Studio UE (Langendonk 2015), PMID 26132941</w:t>
            </w:r>
          </w:p>
        </w:tc>
        <w:tc>
          <w:tcPr/>
          <w:p>
            <w:pPr>
              <w:pStyle w:val="Compact"/>
              <w:jc w:val="left"/>
            </w:pPr>
            <w:r>
              <w:t xml:space="preserve">74 persone, RCT contro impianto placebo</w:t>
            </w:r>
          </w:p>
        </w:tc>
        <w:tc>
          <w:tcPr/>
          <w:p>
            <w:pPr>
              <w:pStyle w:val="Compact"/>
              <w:jc w:val="left"/>
            </w:pPr>
            <w:r>
              <w:t xml:space="preserve">9 mesi</w:t>
            </w:r>
          </w:p>
        </w:tc>
        <w:tc>
          <w:tcPr/>
          <w:p>
            <w:pPr>
              <w:pStyle w:val="Compact"/>
              <w:jc w:val="left"/>
            </w:pPr>
            <w:r>
              <w:t xml:space="preserve">tempo senza dolore al sole diretto, mediana 6,0 vs. 0,8 ore; 77 vs. 146 reazioni alla luce</w:t>
            </w:r>
          </w:p>
        </w:tc>
      </w:tr>
      <w:tr>
        <w:tc>
          <w:tcPr/>
          <w:p>
            <w:pPr>
              <w:pStyle w:val="Compact"/>
              <w:jc w:val="left"/>
            </w:pPr>
            <w:r>
              <w:t xml:space="preserve">Studio USA (Langendonk 2015), PMID 26132941</w:t>
            </w:r>
          </w:p>
        </w:tc>
        <w:tc>
          <w:tcPr/>
          <w:p>
            <w:pPr>
              <w:pStyle w:val="Compact"/>
              <w:jc w:val="left"/>
            </w:pPr>
            <w:r>
              <w:t xml:space="preserve">94 persone, RCT contro impianto placebo</w:t>
            </w:r>
          </w:p>
        </w:tc>
        <w:tc>
          <w:tcPr/>
          <w:p>
            <w:pPr>
              <w:pStyle w:val="Compact"/>
              <w:jc w:val="left"/>
            </w:pPr>
            <w:r>
              <w:t xml:space="preserve">6 mesi</w:t>
            </w:r>
          </w:p>
        </w:tc>
        <w:tc>
          <w:tcPr/>
          <w:p>
            <w:pPr>
              <w:pStyle w:val="Compact"/>
              <w:jc w:val="left"/>
            </w:pPr>
            <w:r>
              <w:t xml:space="preserve">tempo senza dolore al sole diretto, mediana 69,4 vs. 40,8 ore</w:t>
            </w:r>
          </w:p>
        </w:tc>
      </w:tr>
      <w:tr>
        <w:tc>
          <w:tcPr/>
          <w:p>
            <w:pPr>
              <w:pStyle w:val="Compact"/>
              <w:jc w:val="left"/>
            </w:pPr>
            <w:r>
              <w:t xml:space="preserve">Revisione sistematica (Heerfordt 2023), PMID 36525819</w:t>
            </w:r>
          </w:p>
        </w:tc>
        <w:tc>
          <w:tcPr/>
          <w:p>
            <w:pPr>
              <w:pStyle w:val="Compact"/>
              <w:jc w:val="left"/>
            </w:pPr>
            <w:r>
              <w:t xml:space="preserve">40 studi su 18 trattamenti nella EPP</w:t>
            </w:r>
          </w:p>
        </w:tc>
        <w:tc>
          <w:tcPr/>
          <w:p>
            <w:pPr>
              <w:pStyle w:val="Compact"/>
              <w:jc w:val="left"/>
            </w:pPr>
            <w:r>
              <w:t xml:space="preserve">–</w:t>
            </w:r>
          </w:p>
        </w:tc>
        <w:tc>
          <w:tcPr/>
          <w:p>
            <w:pPr>
              <w:pStyle w:val="Compact"/>
              <w:jc w:val="left"/>
            </w:pPr>
            <w:r>
              <w:t xml:space="preserve">effetto positivo moderato per afamelanotide e protezione solare minerale; nessun effetto per beta-carotene e altri</w:t>
            </w:r>
          </w:p>
        </w:tc>
      </w:tr>
    </w:tbl>
    <w:p>
      <w:pPr>
        <w:pStyle w:val="BodyText"/>
      </w:pPr>
      <w:r>
        <w:t xml:space="preserve">Nel primo studio pilota cinque pazienti ricevettero due impianti a distanza di 60 giorni. In seguito, in un test standardizzato alla luce, tolleravano molta più luce e la densità di melanina della pelle era aumentata (Harms 2009, PMID 19656325).</w:t>
      </w:r>
    </w:p>
    <w:p>
      <w:pPr>
        <w:pStyle w:val="BodyText"/>
      </w:pPr>
      <w:r>
        <w:t xml:space="preserve">L’approvazione si basa su due studi in doppio cieco pubblicati insieme sul New England Journal of Medicine (Langendonk 2015, PMID 26132941; NCT00979745, NCT01605136). Ogni 60 giorni i partecipanti ricevevano un impianto con afamelanotide o un impianto fittizio. L’endpoint primario era il numero di ore trascorse al sole diretto senza dolore, annotate dai partecipanti in un diario.</w:t>
      </w:r>
    </w:p>
    <w:p>
      <w:pPr>
        <w:pStyle w:val="BodyText"/>
      </w:pPr>
      <w:r>
        <w:t xml:space="preserve">Entrambi gli studi hanno mostrato un vantaggio per l’afamelanotide e in entrambi è migliorata la qualità della vita. I numeri assoluti sono però deludenti: nello studio europeo i partecipanti hanno trascorso in nove mesi, in mediana, sei ore senza dolore al sole diretto, con il placebo poco meno di un’ora. Il fatto che i valori siano così bassi dipende anche dalla malattia stessa: chi ha sofferto dolori per anni continua a evitare il sole, anche quando lo tollera meglio. Una misurazione tramite diario di questo tipo dipende inoltre molto dal tempo atmosferico e dalla stagione, il che rende gli studi difficilmente confrontabili (Heerfordt 2023, PMID 36525819).</w:t>
      </w:r>
    </w:p>
    <w:bookmarkEnd w:id="780"/>
    <w:bookmarkStart w:id="781" w:name="dati-a-lungo-termine-dalla-pratica"/>
    <w:p>
      <w:pPr>
        <w:pStyle w:val="Heading4"/>
      </w:pPr>
      <w:r>
        <w:t xml:space="preserve">Dati a lungo termine dalla pratica</w:t>
      </w:r>
    </w:p>
    <w:p>
      <w:pPr>
        <w:pStyle w:val="FirstParagraph"/>
      </w:pPr>
      <w:r>
        <w:t xml:space="preserve">Poiché gli studi registrativi erano brevi e piccoli, le osservazioni dalla pratica clinica di routine sono particolarmente importanti.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Biolcati 2015, PMID 25494545</w:t>
            </w:r>
          </w:p>
        </w:tc>
        <w:tc>
          <w:tcPr/>
          <w:p>
            <w:pPr>
              <w:pStyle w:val="Compact"/>
              <w:jc w:val="left"/>
            </w:pPr>
            <w:r>
              <w:t xml:space="preserve">115 persone a Roma e Zurigo, 1.023 impianti, studio osservazionale</w:t>
            </w:r>
          </w:p>
        </w:tc>
        <w:tc>
          <w:tcPr/>
          <w:p>
            <w:pPr>
              <w:pStyle w:val="Compact"/>
              <w:jc w:val="left"/>
            </w:pPr>
            <w:r>
              <w:t xml:space="preserve">fino a 8 anni</w:t>
            </w:r>
          </w:p>
        </w:tc>
        <w:tc>
          <w:tcPr/>
          <w:p>
            <w:pPr>
              <w:pStyle w:val="Compact"/>
              <w:jc w:val="left"/>
            </w:pPr>
            <w:r>
              <w:t xml:space="preserve">Qualità della vita dal 31% al 74% del valore massimo</w:t>
            </w:r>
          </w:p>
        </w:tc>
      </w:tr>
      <w:tr>
        <w:tc>
          <w:tcPr/>
          <w:p>
            <w:pPr>
              <w:pStyle w:val="Compact"/>
              <w:jc w:val="left"/>
            </w:pPr>
            <w:r>
              <w:t xml:space="preserve">Wensink 2020, PMID 32186677</w:t>
            </w:r>
          </w:p>
        </w:tc>
        <w:tc>
          <w:tcPr/>
          <w:p>
            <w:pPr>
              <w:pStyle w:val="Compact"/>
              <w:jc w:val="left"/>
            </w:pPr>
            <w:r>
              <w:t xml:space="preserve">117 persone a Rotterdam, coorte prospettica</w:t>
            </w:r>
          </w:p>
        </w:tc>
        <w:tc>
          <w:tcPr/>
          <w:p>
            <w:pPr>
              <w:pStyle w:val="Compact"/>
              <w:jc w:val="left"/>
            </w:pPr>
            <w:r>
              <w:t xml:space="preserve">mediana 2 anni</w:t>
            </w:r>
          </w:p>
        </w:tc>
        <w:tc>
          <w:tcPr/>
          <w:p>
            <w:pPr>
              <w:pStyle w:val="Compact"/>
              <w:jc w:val="left"/>
            </w:pPr>
            <w:r>
              <w:t xml:space="preserve">6,1 ore a settimana in più all’aperto; il 98% ha proseguito</w:t>
            </w:r>
          </w:p>
        </w:tc>
      </w:tr>
      <w:tr>
        <w:tc>
          <w:tcPr/>
          <w:p>
            <w:pPr>
              <w:pStyle w:val="Compact"/>
              <w:jc w:val="left"/>
            </w:pPr>
            <w:r>
              <w:t xml:space="preserve">Homey 2025, PMID 40082741</w:t>
            </w:r>
          </w:p>
        </w:tc>
        <w:tc>
          <w:tcPr/>
          <w:p>
            <w:pPr>
              <w:pStyle w:val="Compact"/>
              <w:jc w:val="left"/>
            </w:pPr>
            <w:r>
              <w:t xml:space="preserve">200 persone in Germania, studio di sicurezza post-approvazione</w:t>
            </w:r>
          </w:p>
        </w:tc>
        <w:tc>
          <w:tcPr/>
          <w:p>
            <w:pPr>
              <w:pStyle w:val="Compact"/>
              <w:jc w:val="left"/>
            </w:pPr>
            <w:r>
              <w:t xml:space="preserve">in corso</w:t>
            </w:r>
          </w:p>
        </w:tc>
        <w:tc>
          <w:tcPr/>
          <w:p>
            <w:pPr>
              <w:pStyle w:val="Compact"/>
              <w:jc w:val="left"/>
            </w:pPr>
            <w:r>
              <w:t xml:space="preserve">Qualità della vita significativamente migliore; il 91,0% ha proseguito</w:t>
            </w:r>
          </w:p>
        </w:tc>
      </w:tr>
      <w:tr>
        <w:tc>
          <w:tcPr/>
          <w:p>
            <w:pPr>
              <w:pStyle w:val="Compact"/>
              <w:jc w:val="left"/>
            </w:pPr>
            <w:r>
              <w:t xml:space="preserve">Seidl-Philipp 2026, PMID 41793078</w:t>
            </w:r>
          </w:p>
        </w:tc>
        <w:tc>
          <w:tcPr/>
          <w:p>
            <w:pPr>
              <w:pStyle w:val="Compact"/>
              <w:jc w:val="left"/>
            </w:pPr>
            <w:r>
              <w:t xml:space="preserve">20 persone in Austria</w:t>
            </w:r>
          </w:p>
        </w:tc>
        <w:tc>
          <w:tcPr/>
          <w:p>
            <w:pPr>
              <w:pStyle w:val="Compact"/>
              <w:jc w:val="left"/>
            </w:pPr>
            <w:r>
              <w:t xml:space="preserve">2023</w:t>
            </w:r>
          </w:p>
        </w:tc>
        <w:tc>
          <w:tcPr/>
          <w:p>
            <w:pPr>
              <w:pStyle w:val="Compact"/>
              <w:jc w:val="left"/>
            </w:pPr>
            <w:r>
              <w:t xml:space="preserve">Tolleranza alla luce, mediana da 15 a 250 minuti; reazioni alla luce nell’88% vs. 33%</w:t>
            </w:r>
          </w:p>
        </w:tc>
      </w:tr>
    </w:tbl>
    <w:p>
      <w:pPr>
        <w:pStyle w:val="BodyText"/>
      </w:pPr>
      <w:r>
        <w:t xml:space="preserve">Lo studio osservazionale italo-svizzero comprendeva trattamenti a partire dal 2006. Solo tre persone hanno dichiarato che l’effetto non corrispondeva alle loro aspettative; il 23% ha interrotto per altri motivi, per esempio gravidanza o costi (Biolcati 2015, PMID 25494545). Nella coorte olandese le reazioni alla luce sono diventate meno dolorose, ma il loro numero e la loro durata non sono cambiati in modo significativo (Wensink 2020, PMID 32186677). L’analisi austriaca di tutte le 20 persone trattate nel 2023 mostra miglioramenti particolarmente netti della qualità della vita (Seidl-Philipp 2026, PMID 41793078).</w:t>
      </w:r>
    </w:p>
    <w:p>
      <w:pPr>
        <w:pStyle w:val="BodyText"/>
      </w:pPr>
      <w:r>
        <w:t xml:space="preserve">Queste coorti non hanno un gruppo di controllo. Chi risponde bene tende a restare in trattamento, e l’aspettativa nei confronti di un farmaco costoso influenza le autovalutazioni. I tassi di prosecuzione costantemente elevati per un trattamento che richiede una visita medica ogni due mesi sono comunque un segnale notevole.</w:t>
      </w:r>
    </w:p>
    <w:bookmarkEnd w:id="781"/>
    <w:bookmarkStart w:id="782" w:name="altre-osservazioni-nella-epp"/>
    <w:p>
      <w:pPr>
        <w:pStyle w:val="Heading4"/>
      </w:pPr>
      <w:r>
        <w:t xml:space="preserve">Altre osservazioni nella EPP</w:t>
      </w:r>
    </w:p>
    <w:p>
      <w:pPr>
        <w:numPr>
          <w:ilvl w:val="0"/>
          <w:numId w:val="1264"/>
        </w:numPr>
        <w:pStyle w:val="Compact"/>
      </w:pPr>
      <w:r>
        <w:rPr>
          <w:bCs/>
          <w:b/>
        </w:rPr>
        <w:t xml:space="preserve">Fegato:</w:t>
      </w:r>
      <w:r>
        <w:t xml:space="preserve"> </w:t>
      </w:r>
      <w:r>
        <w:t xml:space="preserve">in un’analisi svizzera di 70 persone trattate con quasi 3.000 valori epatici, il valore epatico ALT e la bilirubina diminuivano quanto più numerosi erano gli impianti inseriti nell’anno precedente (Minder 2023, PMID 37109595). Si tratta di una correlazione da dati osservazionali, non della prova di una protezione epatica.</w:t>
      </w:r>
    </w:p>
    <w:p>
      <w:pPr>
        <w:numPr>
          <w:ilvl w:val="0"/>
          <w:numId w:val="1264"/>
        </w:numPr>
        <w:pStyle w:val="Compact"/>
      </w:pPr>
      <w:r>
        <w:rPr>
          <w:bCs/>
          <w:b/>
        </w:rPr>
        <w:t xml:space="preserve">Vitamina D:</w:t>
      </w:r>
      <w:r>
        <w:t xml:space="preserve"> </w:t>
      </w:r>
      <w:r>
        <w:t xml:space="preserve">l’afamelanotide non ha modificato il livello di vitamina D. In uno studio con 230 persone una carenza è persistita nel 71,8%; solo la somministrazione di vitamina D3 ha aumentato i valori (Kluijver 2024, PMID 38634774).</w:t>
      </w:r>
    </w:p>
    <w:p>
      <w:pPr>
        <w:numPr>
          <w:ilvl w:val="0"/>
          <w:numId w:val="1264"/>
        </w:numPr>
        <w:pStyle w:val="Compact"/>
      </w:pPr>
      <w:r>
        <w:rPr>
          <w:bCs/>
          <w:b/>
        </w:rPr>
        <w:t xml:space="preserve">Anticorpi:</w:t>
      </w:r>
      <w:r>
        <w:t xml:space="preserve"> </w:t>
      </w:r>
      <w:r>
        <w:t xml:space="preserve">in 23 persone su 26 non si sono formati anticorpi contro il principio attivo nell’arco di fino a sei anni; tre avevano già prima del trattamento anticorpi misurabili, che non si sono modificati (Lengweiler 2015, PMID 25402764).</w:t>
      </w:r>
    </w:p>
    <w:bookmarkEnd w:id="782"/>
    <w:bookmarkStart w:id="783" w:name="vitiligine"/>
    <w:p>
      <w:pPr>
        <w:pStyle w:val="Heading4"/>
      </w:pPr>
      <w:r>
        <w:t xml:space="preserve">Vitiligine</w:t>
      </w:r>
    </w:p>
    <w:p>
      <w:pPr>
        <w:pStyle w:val="FirstParagraph"/>
      </w:pPr>
      <w:r>
        <w:t xml:space="preserve">Nella vitiligine il sistema immunitario distrugge le cellule pigmentate; si formano macchie chiare. Il trattamento standard è una fototerapia con UVB a banda stretta. L’afamelanotide dovrebbe stimolare in aggiunta le cellule pigmentate rimaste.</w:t>
      </w:r>
    </w:p>
    <w:p>
      <w:pPr>
        <w:pStyle w:val="BodyText"/>
      </w:pPr>
      <w:r>
        <w:t xml:space="preserve">Dopo una serie di casi con quattro persone (Grimes 2013, PMID 23407924) è seguito uno studio randomizzato con 55 partecipanti (Lim 2015, PMID 25230094; NCT01430195). La combinazione di fototerapia e impianti mensili ha portato a una nuova pigmentazione più rapidamente della sola fototerapia. Dopo 168 giorni nel braccio di combinazione era ripigmentato il 48,64% della superficie, con la sola fototerapia il 33,26%. Il vantaggio si è manifestato soprattutto nei fototipi più scuri (da IV a VI). Uno svantaggio, segnalato dagli esperti: anche la pelle sana si scurisce, per cui il contrasto con le macchie chiare può inizialmente aumentare (Passeron 2015, PMID 25607635). È stato pubblicato anche uno studio su pazienti asiatici (Toh 2020, PMID 31987791).</w:t>
      </w:r>
    </w:p>
    <w:bookmarkEnd w:id="783"/>
    <w:bookmarkStart w:id="784" w:name="altri-impieghi-in-studi-pilota"/>
    <w:p>
      <w:pPr>
        <w:pStyle w:val="Heading4"/>
      </w:pPr>
      <w:r>
        <w:t xml:space="preserve">Altri impieghi in studi pilota</w:t>
      </w:r>
    </w:p>
    <w:p>
      <w:pPr>
        <w:pStyle w:val="FirstParagraph"/>
      </w:pPr>
      <w:r>
        <w:t xml:space="preserve">I seguenti risultati provengono da studi molto piccoli, per lo più in aperto, e vanno intesi come ipotesi:</w:t>
      </w:r>
    </w:p>
    <w:p>
      <w:pPr>
        <w:numPr>
          <w:ilvl w:val="0"/>
          <w:numId w:val="1265"/>
        </w:numPr>
        <w:pStyle w:val="Compact"/>
      </w:pPr>
      <w:r>
        <w:rPr>
          <w:bCs/>
          <w:b/>
        </w:rPr>
        <w:t xml:space="preserve">Orticaria solare</w:t>
      </w:r>
      <w:r>
        <w:t xml:space="preserve"> </w:t>
      </w:r>
      <w:r>
        <w:t xml:space="preserve">(orticaria provocata dalla luce): in 5 persone, dopo un impianto, minore formazione di pomfi (Haylett 2011, PMID 20969564).</w:t>
      </w:r>
    </w:p>
    <w:p>
      <w:pPr>
        <w:numPr>
          <w:ilvl w:val="0"/>
          <w:numId w:val="1265"/>
        </w:numPr>
        <w:pStyle w:val="Compact"/>
      </w:pPr>
      <w:r>
        <w:rPr>
          <w:bCs/>
          <w:b/>
        </w:rPr>
        <w:t xml:space="preserve">Acne:</w:t>
      </w:r>
      <w:r>
        <w:t xml:space="preserve"> </w:t>
      </w:r>
      <w:r>
        <w:t xml:space="preserve">in 3 persone meno lesioni infiammatorie (Böhm 2014, PMID 22845050).</w:t>
      </w:r>
    </w:p>
    <w:p>
      <w:pPr>
        <w:numPr>
          <w:ilvl w:val="0"/>
          <w:numId w:val="1265"/>
        </w:numPr>
        <w:pStyle w:val="Compact"/>
      </w:pPr>
      <w:r>
        <w:rPr>
          <w:bCs/>
          <w:b/>
        </w:rPr>
        <w:t xml:space="preserve">Malattia di Hailey-Hailey</w:t>
      </w:r>
      <w:r>
        <w:t xml:space="preserve"> </w:t>
      </w:r>
      <w:r>
        <w:t xml:space="preserve">(malattia bollosa ereditaria): guarigione delle lesioni cutanee in 2 persone (Biolcati 2014, PMID 24256215).</w:t>
      </w:r>
    </w:p>
    <w:p>
      <w:pPr>
        <w:numPr>
          <w:ilvl w:val="0"/>
          <w:numId w:val="1265"/>
        </w:numPr>
        <w:pStyle w:val="Compact"/>
      </w:pPr>
      <w:r>
        <w:rPr>
          <w:bCs/>
          <w:b/>
        </w:rPr>
        <w:t xml:space="preserve">Ictus:</w:t>
      </w:r>
      <w:r>
        <w:t xml:space="preserve"> </w:t>
      </w:r>
      <w:r>
        <w:t xml:space="preserve">in uno studio di fattibilità in aperto con 6 persone la somministrazione è risultata praticabile; una persona è morta per un nuovo ictus, che i ricercatori non hanno attribuito al farmaco (Stanislaus 2023, PMID 37496004).</w:t>
      </w:r>
    </w:p>
    <w:p>
      <w:pPr>
        <w:numPr>
          <w:ilvl w:val="0"/>
          <w:numId w:val="1265"/>
        </w:numPr>
        <w:pStyle w:val="Compact"/>
      </w:pPr>
      <w:r>
        <w:rPr>
          <w:bCs/>
          <w:b/>
        </w:rPr>
        <w:t xml:space="preserve">Pelle sana:</w:t>
      </w:r>
      <w:r>
        <w:t xml:space="preserve"> </w:t>
      </w:r>
      <w:r>
        <w:t xml:space="preserve">in 9 volontari sani l’arrossamento della pelle dopo irradiazione UV è risultato minore sei giorni dopo l’impianto (Griffin 2026, PMID 42678656).</w:t>
      </w:r>
    </w:p>
    <w:bookmarkEnd w:id="784"/>
    <w:bookmarkEnd w:id="785"/>
    <w:bookmarkStart w:id="786" w:name="studi-su-animali-e-in-laboratorio-48"/>
    <w:p>
      <w:pPr>
        <w:pStyle w:val="Heading3"/>
      </w:pPr>
      <w:r>
        <w:t xml:space="preserve">Studi su animali e in laboratorio</w:t>
      </w:r>
    </w:p>
    <w:p>
      <w:pPr>
        <w:pStyle w:val="FirstParagraph"/>
      </w:pPr>
      <w:r>
        <w:t xml:space="preserve">In colture cellulari l’afamelanotide ha effetti antiossidanti. In cellule cutanee di persone con malattia di Hailey-Hailey ha attivato il fattore protettivo Nrf2 e ha ripristinato in parte la divisione cellulare alterata (Biolcati 2014, PMID 24256215). Le indagini sulla stabilità e sui prodotti di degradazione del principio attivo riguardano la qualità del farmaco (Chawathe 2026, PMID 41547183). Per la valutazione nell’uomo i dati sugli animali hanno oggi un ruolo secondario, perché i dati clinici sono più significativi.</w:t>
      </w:r>
    </w:p>
    <w:bookmarkEnd w:id="786"/>
    <w:bookmarkStart w:id="790" w:name="rischi-ed-effetti-collaterali-48"/>
    <w:p>
      <w:pPr>
        <w:pStyle w:val="Heading3"/>
      </w:pPr>
      <w:r>
        <w:t xml:space="preserve">Rischi ed effetti collaterali</w:t>
      </w:r>
    </w:p>
    <w:bookmarkStart w:id="787" w:name="dimostrati-1"/>
    <w:p>
      <w:pPr>
        <w:pStyle w:val="Heading4"/>
      </w:pPr>
      <w:r>
        <w:t xml:space="preserve">Dimostrati</w:t>
      </w:r>
    </w:p>
    <w:p>
      <w:pPr>
        <w:numPr>
          <w:ilvl w:val="0"/>
          <w:numId w:val="1266"/>
        </w:numPr>
        <w:pStyle w:val="Compact"/>
      </w:pPr>
      <w:r>
        <w:rPr>
          <w:bCs/>
          <w:b/>
        </w:rPr>
        <w:t xml:space="preserve">Effetti collaterali frequenti, per lo più lievi:</w:t>
      </w:r>
      <w:r>
        <w:t xml:space="preserve"> </w:t>
      </w:r>
      <w:r>
        <w:t xml:space="preserve">nausea, mal di testa, stanchezza e reazioni nel punto di inserimento dell’impianto (Langendonk 2015, PMID 26132941; Wensink 2020, PMID 32186677; Biolcati 2015, PMID 25494545). Negli studi registrativi nessun evento avverso grave è stato attribuito al principio attivo.</w:t>
      </w:r>
    </w:p>
    <w:p>
      <w:pPr>
        <w:numPr>
          <w:ilvl w:val="0"/>
          <w:numId w:val="1266"/>
        </w:numPr>
        <w:pStyle w:val="Compact"/>
      </w:pPr>
      <w:r>
        <w:rPr>
          <w:bCs/>
          <w:b/>
        </w:rPr>
        <w:t xml:space="preserve">Pelle più scura e nei:</w:t>
      </w:r>
      <w:r>
        <w:t xml:space="preserve"> </w:t>
      </w:r>
      <w:r>
        <w:t xml:space="preserve">l’abbronzatura è l’effetto voluto. Anche nei e lentiggini si scuriscono. In uno studio con 15 persone e 103 nei sono emerse alla dermatoscopia alterazioni transitorie, regredite dopo un anno; non sono comparsi nuovi nei né indizi di malignità (Arisi 2021, PMID 33721252). Il riassunto delle caratteristiche del prodotto prevede controlli regolari della pelle.</w:t>
      </w:r>
    </w:p>
    <w:p>
      <w:pPr>
        <w:numPr>
          <w:ilvl w:val="0"/>
          <w:numId w:val="1266"/>
        </w:numPr>
        <w:pStyle w:val="Compact"/>
      </w:pPr>
      <w:r>
        <w:rPr>
          <w:bCs/>
          <w:b/>
        </w:rPr>
        <w:t xml:space="preserve">Alterazioni del pigmento della mucosa orale</w:t>
      </w:r>
      <w:r>
        <w:t xml:space="preserve"> </w:t>
      </w:r>
      <w:r>
        <w:t xml:space="preserve">sono descritte (de Baat 2020, PMID 32459219; la rassegna mescola però dati sull’impianto approvato con dati sul Melanotan del mercato grigio), così come un caso di apparente depigmentazione in presenza di dermatite atopica (von Bartenwerffer 2011, PMID 21597671).</w:t>
      </w:r>
    </w:p>
    <w:p>
      <w:pPr>
        <w:numPr>
          <w:ilvl w:val="0"/>
          <w:numId w:val="1266"/>
        </w:numPr>
        <w:pStyle w:val="Compact"/>
      </w:pPr>
      <w:r>
        <w:rPr>
          <w:bCs/>
          <w:b/>
        </w:rPr>
        <w:t xml:space="preserve">Nessun effetto sulla vitamina D:</w:t>
      </w:r>
      <w:r>
        <w:t xml:space="preserve"> </w:t>
      </w:r>
      <w:r>
        <w:t xml:space="preserve">vedi sopra (Kluijver 2024, PMID 38634774).</w:t>
      </w:r>
    </w:p>
    <w:bookmarkEnd w:id="787"/>
    <w:bookmarkStart w:id="788" w:name="aperti-1"/>
    <w:p>
      <w:pPr>
        <w:pStyle w:val="Heading4"/>
      </w:pPr>
      <w:r>
        <w:t xml:space="preserve">Aperti</w:t>
      </w:r>
    </w:p>
    <w:p>
      <w:pPr>
        <w:pStyle w:val="FirstParagraph"/>
      </w:pPr>
      <w:r>
        <w:t xml:space="preserve">I dati sulla gravidanza mancano in gran parte; nella pratica il trattamento viene sospeso. Per bambini e adolescenti l’afamelanotide non è approvato (Barman-Aksözen 2026, PMID 41885813), sebbene la EPP inizi per lo più nella prima infanzia. Singoli trattamenti di bambini al di fuori dell’indicazione approvata sono pubblicati come casi clinici (Minder 2026, PMID 41542313). Se la stimolazione delle cellule pigmentate per decenni influenzi il rischio di cancro della pelle non si può dire in modo definitivo con i periodi di osservazione finora disponibili.</w:t>
      </w:r>
    </w:p>
    <w:bookmarkEnd w:id="788"/>
    <w:bookmarkStart w:id="789" w:name="distinzione-dal-mercato-grigio"/>
    <w:p>
      <w:pPr>
        <w:pStyle w:val="Heading4"/>
      </w:pPr>
      <w:r>
        <w:t xml:space="preserve">Distinzione dal mercato grigio</w:t>
      </w:r>
    </w:p>
    <w:p>
      <w:pPr>
        <w:pStyle w:val="FirstParagraph"/>
      </w:pPr>
      <w:r>
        <w:t xml:space="preserve">Su internet il «Melanotan I» viene offerto come abbronzante. Questi prodotti hanno in comune con l’impianto approvato solo il nome del principio attivo: vengono venduti come polvere per l’autoiniezione, purezza e contenuto non sono verificati e non c’è alcun controllo medico della pelle. I dati di sicurezza del trattamento della EPP non possono essere trasferiti a essi (Habbema 2017, PMID 28266027).</w:t>
      </w:r>
    </w:p>
    <w:bookmarkEnd w:id="789"/>
    <w:bookmarkEnd w:id="790"/>
    <w:bookmarkStart w:id="791" w:name="quadro-normativo-48"/>
    <w:p>
      <w:pPr>
        <w:pStyle w:val="Heading3"/>
      </w:pPr>
      <w:r>
        <w:t xml:space="preserve">Quadro normativo</w:t>
      </w:r>
    </w:p>
    <w:p>
      <w:pPr>
        <w:pStyle w:val="FirstParagraph"/>
      </w:pPr>
      <w:r>
        <w:rPr>
          <w:iCs/>
          <w:i/>
        </w:rPr>
        <w:t xml:space="preserve">Aggiornato al 2026, da verificare.</w:t>
      </w:r>
    </w:p>
    <w:p>
      <w:pPr>
        <w:numPr>
          <w:ilvl w:val="0"/>
          <w:numId w:val="1267"/>
        </w:numPr>
        <w:pStyle w:val="Compact"/>
      </w:pPr>
      <w:r>
        <w:rPr>
          <w:bCs/>
          <w:b/>
        </w:rPr>
        <w:t xml:space="preserve">UE:</w:t>
      </w:r>
      <w:r>
        <w:t xml:space="preserve"> </w:t>
      </w:r>
      <w:r>
        <w:t xml:space="preserve">approvato con procedura centralizzata dal 2014 come medicinale orfano (Scenesse) per gli adulti con EPP. Il trattamento avviene in centri specializzati; uno studio di sicurezza e un registro europeo fanno parte delle condizioni (Homey 2025, PMID 40082741).</w:t>
      </w:r>
    </w:p>
    <w:p>
      <w:pPr>
        <w:numPr>
          <w:ilvl w:val="0"/>
          <w:numId w:val="1267"/>
        </w:numPr>
        <w:pStyle w:val="Compact"/>
      </w:pPr>
      <w:r>
        <w:rPr>
          <w:bCs/>
          <w:b/>
        </w:rPr>
        <w:t xml:space="preserve">Germania e Austria:</w:t>
      </w:r>
      <w:r>
        <w:t xml:space="preserve"> </w:t>
      </w:r>
      <w:r>
        <w:t xml:space="preserve">disponibile tramite cliniche specializzate in porfirie e dermatologia; la copertura dei costi va chiarita caso per caso. Esistono coorti di trattamento pubblicate in entrambi i Paesi (Homey 2025, PMID 40082741; Seidl-Philipp 2026, PMID 41793078).</w:t>
      </w:r>
    </w:p>
    <w:p>
      <w:pPr>
        <w:numPr>
          <w:ilvl w:val="0"/>
          <w:numId w:val="1267"/>
        </w:numPr>
        <w:pStyle w:val="Compact"/>
      </w:pPr>
      <w:r>
        <w:rPr>
          <w:bCs/>
          <w:b/>
        </w:rPr>
        <w:t xml:space="preserve">USA:</w:t>
      </w:r>
      <w:r>
        <w:t xml:space="preserve"> </w:t>
      </w:r>
      <w:r>
        <w:t xml:space="preserve">approvato dal 2019 per gli adulti con EPP e reazioni alla luce.</w:t>
      </w:r>
    </w:p>
    <w:p>
      <w:pPr>
        <w:numPr>
          <w:ilvl w:val="0"/>
          <w:numId w:val="1267"/>
        </w:numPr>
        <w:pStyle w:val="Compact"/>
      </w:pPr>
      <w:r>
        <w:rPr>
          <w:bCs/>
          <w:b/>
        </w:rPr>
        <w:t xml:space="preserve">Costi:</w:t>
      </w:r>
      <w:r>
        <w:t xml:space="preserve"> </w:t>
      </w:r>
      <w:r>
        <w:t xml:space="preserve">l’afamelanotide è tra i farmaci costosi per le malattie rare. In Inghilterra l’ente di valutazione NICE ha respinto il finanziamento – finora unica terapia nel suo programma per le malattie molto rare. I rappresentanti dei pazienti criticano il calcolo utilizzato (Barman-Aksözen 2024, PMID 38791830).</w:t>
      </w:r>
    </w:p>
    <w:p>
      <w:pPr>
        <w:numPr>
          <w:ilvl w:val="0"/>
          <w:numId w:val="1267"/>
        </w:numPr>
        <w:pStyle w:val="Compact"/>
      </w:pPr>
      <w:r>
        <w:rPr>
          <w:bCs/>
          <w:b/>
        </w:rPr>
        <w:t xml:space="preserve">WADA:</w:t>
      </w:r>
      <w:r>
        <w:t xml:space="preserve"> </w:t>
      </w:r>
      <w:r>
        <w:t xml:space="preserve">non elencato.</w:t>
      </w:r>
    </w:p>
    <w:bookmarkEnd w:id="791"/>
    <w:bookmarkStart w:id="792" w:name="studi-in-corso-e-prospettive-48"/>
    <w:p>
      <w:pPr>
        <w:pStyle w:val="Heading3"/>
      </w:pPr>
      <w:r>
        <w:t xml:space="preserve">Studi in corso e prospettive</w:t>
      </w:r>
    </w:p>
    <w:p>
      <w:pPr>
        <w:pStyle w:val="FirstParagraph"/>
      </w:pPr>
      <w:r>
        <w:rPr>
          <w:bCs/>
          <w:b/>
        </w:rPr>
        <w:t xml:space="preserve">Dati certi (studi registrati):</w:t>
      </w:r>
    </w:p>
    <w:p>
      <w:pPr>
        <w:numPr>
          <w:ilvl w:val="0"/>
          <w:numId w:val="1268"/>
        </w:numPr>
        <w:pStyle w:val="Compact"/>
      </w:pPr>
      <w:r>
        <w:rPr>
          <w:bCs/>
          <w:b/>
        </w:rPr>
        <w:t xml:space="preserve">Vitiligine, fase 3:</w:t>
      </w:r>
      <w:r>
        <w:t xml:space="preserve"> </w:t>
      </w:r>
      <w:r>
        <w:t xml:space="preserve">uno studio con 200 persone confronta afamelanotide più UVB a banda stretta con la sola fototerapia (NCT06109649). La conclusione prevista era a giugno 2026; alla chiusura redazionale non erano pubblicati in PubMed risultati sottoposti a revisione paritaria. È registrato un piccolo studio sulla vitiligine del viso (NCT05210582).</w:t>
      </w:r>
    </w:p>
    <w:p>
      <w:pPr>
        <w:numPr>
          <w:ilvl w:val="0"/>
          <w:numId w:val="1268"/>
        </w:numPr>
        <w:pStyle w:val="Compact"/>
      </w:pPr>
      <w:r>
        <w:rPr>
          <w:bCs/>
          <w:b/>
        </w:rPr>
        <w:t xml:space="preserve">Altre rare malattie da fotosensibilità:</w:t>
      </w:r>
      <w:r>
        <w:t xml:space="preserve"> </w:t>
      </w:r>
      <w:r>
        <w:t xml:space="preserve">piccoli studi di fase 2 sulla porfiria variegata (NCT05854784, concluso) e sullo xeroderma pigmentoso, una malattia ereditaria con alterata riparazione dei danni da UV (NCT05370235, NCT05159752).</w:t>
      </w:r>
    </w:p>
    <w:p>
      <w:pPr>
        <w:numPr>
          <w:ilvl w:val="0"/>
          <w:numId w:val="1268"/>
        </w:numPr>
        <w:pStyle w:val="Compact"/>
      </w:pPr>
      <w:r>
        <w:rPr>
          <w:bCs/>
          <w:b/>
        </w:rPr>
        <w:t xml:space="preserve">Farmacologia:</w:t>
      </w:r>
      <w:r>
        <w:t xml:space="preserve"> </w:t>
      </w:r>
      <w:r>
        <w:t xml:space="preserve">è concluso uno studio di farmacocinetica nella EPP con 28 persone (NCT06388642).</w:t>
      </w:r>
    </w:p>
    <w:p>
      <w:pPr>
        <w:pStyle w:val="FirstParagraph"/>
      </w:pPr>
      <w:r>
        <w:rPr>
          <w:bCs/>
          <w:b/>
        </w:rPr>
        <w:t xml:space="preserve">Nuova concorrenza:</w:t>
      </w:r>
      <w:r>
        <w:t xml:space="preserve"> </w:t>
      </w:r>
      <w:r>
        <w:t xml:space="preserve">per la EPP si stanno sviluppando due compresse: il dersimelagon, un agonista non peptidico di MC1R, e il bitopertin, che agisce sulla produzione del pigmento rosso del sangue. Entrambi hanno mostrato effetti rispetto al placebo negli studi; mancano ancora confronti con l’afamelanotide (Barman-Aksözen 2026, PMID 41885813).</w:t>
      </w:r>
    </w:p>
    <w:p>
      <w:pPr>
        <w:pStyle w:val="BodyText"/>
      </w:pPr>
      <w:r>
        <w:rPr>
          <w:bCs/>
          <w:b/>
        </w:rPr>
        <w:t xml:space="preserve">Valutazione dell’autore:</w:t>
      </w:r>
      <w:r>
        <w:t xml:space="preserve"> </w:t>
      </w:r>
      <w:r>
        <w:t xml:space="preserve">l’afamelanotide resterà per ora il riferimento per la EPP. Se avrà un ruolo nella vitiligine dipende dall’esito dello studio di fase 3; la combinazione con la fototerapia è impegnativa, e con le creme a base di inibitori JAK esistono ormai altre opzioni. Un’approvazione per gli adolescenti sarebbe particolarmente importante per la EPP, perché la malattia inizia nell’infanzia.</w:t>
      </w:r>
    </w:p>
    <w:bookmarkEnd w:id="792"/>
    <w:bookmarkStart w:id="793" w:name="conclusione-48"/>
    <w:p>
      <w:pPr>
        <w:pStyle w:val="Heading3"/>
      </w:pPr>
      <w:r>
        <w:t xml:space="preserve">Conclusione</w:t>
      </w:r>
    </w:p>
    <w:p>
      <w:pPr>
        <w:pStyle w:val="FirstParagraph"/>
      </w:pPr>
      <w:r>
        <w:t xml:space="preserve">L’afamelanotide è il peptide meglio studiato e l’unico approvato nell’UE che stimola l’abbronzatura attraverso il sistema delle melanocortine. Negli adulti con protoporfiria eritropoietica ha prolungato in due studi randomizzati il tempo senza dolore alla luce del sole e ha migliorato la qualità della vita; coorti a lungo termine di diversi Paesi mostrano tassi di prosecuzione elevati con effetti collaterali prevalentemente lievi. Nella vitiligine ha accelerato in uno studio randomizzato la ripigmentazione durante la fototerapia; i risultati di fase 3 sono attesi. Con il «Melanotan I» del mercato grigio per l’abbronzatura cosmetica, l’impianto controllato dell’ambulatorio specialistico non ha praticamente nulla in comune.</w:t>
      </w:r>
    </w:p>
    <w:bookmarkEnd w:id="793"/>
    <w:bookmarkEnd w:id="794"/>
    <w:bookmarkStart w:id="814" w:name="kisspeptina"/>
    <w:p>
      <w:pPr>
        <w:pStyle w:val="Heading2"/>
      </w:pPr>
      <w:r>
        <w:t xml:space="preserve">Kisspeptina</w:t>
      </w:r>
    </w:p>
    <w:bookmarkStart w:id="795" w:name="scheda-49"/>
    <w:p>
      <w:pPr>
        <w:pStyle w:val="Heading3"/>
      </w:pPr>
      <w:r>
        <w:t xml:space="preserve">Scheda</w:t>
      </w:r>
    </w:p>
    <w:p>
      <w:pPr>
        <w:numPr>
          <w:ilvl w:val="0"/>
          <w:numId w:val="1269"/>
        </w:numPr>
        <w:pStyle w:val="Compact"/>
      </w:pPr>
      <w:r>
        <w:rPr>
          <w:bCs/>
          <w:b/>
        </w:rPr>
        <w:t xml:space="preserve">Tipo/struttura:</w:t>
      </w:r>
      <w:r>
        <w:t xml:space="preserve"> </w:t>
      </w:r>
      <w:r>
        <w:t xml:space="preserve">famiglia di peptidi endogeni. Il gene KISS1 fornisce una proteina precursore da cui si formano frammenti di lunghezza diversa: kisspeptina-54 (54 aminoacidi, la forma prevalente nel sangue), kisspeptina-14, -13 e -10. La forma più corta, la kisspeptina-10, contiene già la parte pienamente attiva. Negli studi si impiegano le forme naturali e varianti sintetiche più stabili (per esempio MVT-602 e TAK-448).</w:t>
      </w:r>
    </w:p>
    <w:p>
      <w:pPr>
        <w:numPr>
          <w:ilvl w:val="0"/>
          <w:numId w:val="1269"/>
        </w:numPr>
        <w:pStyle w:val="Compact"/>
      </w:pPr>
      <w:r>
        <w:rPr>
          <w:bCs/>
          <w:b/>
        </w:rPr>
        <w:t xml:space="preserve">Origine:</w:t>
      </w:r>
      <w:r>
        <w:t xml:space="preserve"> </w:t>
      </w:r>
      <w:r>
        <w:t xml:space="preserve">scoperta nel 1996 dapprima come gene che frena la formazione di metastasi delle cellule di melanoma (Lee 1996, PMID 8944003). Il nome deriva dalla città di Hershey in Pennsylvania, patria dei cioccolatini «Kisses». Nel 2001 il peptide fu identificato come messaggero di un recettore fino ad allora «orfano» e chiamato inizialmente metastina (Ohtaki 2001, PMID 11385580).</w:t>
      </w:r>
    </w:p>
    <w:p>
      <w:pPr>
        <w:numPr>
          <w:ilvl w:val="0"/>
          <w:numId w:val="1269"/>
        </w:numPr>
        <w:pStyle w:val="Compact"/>
      </w:pPr>
      <w:r>
        <w:rPr>
          <w:bCs/>
          <w:b/>
        </w:rPr>
        <w:t xml:space="preserve">Principio d’azione:</w:t>
      </w:r>
      <w:r>
        <w:t xml:space="preserve"> </w:t>
      </w:r>
      <w:r>
        <w:t xml:space="preserve">agonista del recettore della kisspeptina (KISS1R, in precedenza GPR54) sui neuroni che producono GnRH nell’ipotalamo. La kisspeptina è il più importante fattore scatenante noto del rilascio di GnRH e quindi dell’intero asse ormonale della riproduzione.</w:t>
      </w:r>
    </w:p>
    <w:p>
      <w:pPr>
        <w:numPr>
          <w:ilvl w:val="0"/>
          <w:numId w:val="1269"/>
        </w:numPr>
        <w:pStyle w:val="Compact"/>
      </w:pPr>
      <w:r>
        <w:rPr>
          <w:bCs/>
          <w:b/>
        </w:rPr>
        <w:t xml:space="preserve">Approvazione UE:</w:t>
      </w:r>
      <w:r>
        <w:t xml:space="preserve"> </w:t>
      </w:r>
      <w:r>
        <w:t xml:space="preserve">no.</w:t>
      </w:r>
    </w:p>
    <w:p>
      <w:pPr>
        <w:numPr>
          <w:ilvl w:val="0"/>
          <w:numId w:val="1269"/>
        </w:numPr>
        <w:pStyle w:val="Compact"/>
      </w:pPr>
      <w:r>
        <w:rPr>
          <w:bCs/>
          <w:b/>
        </w:rPr>
        <w:t xml:space="preserve">Approvazione USA:</w:t>
      </w:r>
      <w:r>
        <w:t xml:space="preserve"> </w:t>
      </w:r>
      <w:r>
        <w:t xml:space="preserve">no.</w:t>
      </w:r>
    </w:p>
    <w:p>
      <w:pPr>
        <w:numPr>
          <w:ilvl w:val="0"/>
          <w:numId w:val="1269"/>
        </w:numPr>
        <w:pStyle w:val="Compact"/>
      </w:pPr>
      <w:r>
        <w:rPr>
          <w:bCs/>
          <w:b/>
        </w:rPr>
        <w:t xml:space="preserve">WADA:</w:t>
      </w:r>
      <w:r>
        <w:t xml:space="preserve"> </w:t>
      </w:r>
      <w:r>
        <w:t xml:space="preserve">non citata per nome. In quanto principio attivo non approvato, la kisspeptina rientra in S0; negli uomini il gruppo S2 comprende inoltre i fattori di rilascio dell’ormone luteinizzante (aggiornato al 2026, da verificare).</w:t>
      </w:r>
    </w:p>
    <w:p>
      <w:pPr>
        <w:numPr>
          <w:ilvl w:val="0"/>
          <w:numId w:val="1269"/>
        </w:numPr>
        <w:pStyle w:val="Compact"/>
      </w:pPr>
      <w:r>
        <w:rPr>
          <w:bCs/>
          <w:b/>
        </w:rPr>
        <w:t xml:space="preserve">Livello di evidenza:</w:t>
      </w:r>
      <w:r>
        <w:t xml:space="preserve"> </w:t>
      </w:r>
      <w:r>
        <w:rPr>
          <w:bCs/>
          <w:b/>
        </w:rPr>
        <w:t xml:space="preserve">B</w:t>
      </w:r>
      <w:r>
        <w:t xml:space="preserve"> </w:t>
      </w:r>
      <w:r>
        <w:t xml:space="preserve">– numerosi piccoli studi, in parte randomizzati, e diversi studi randomizzati di fase 2, soprattutto da Londra e Boston. Nessuno studio di fase 3, nessuna approvazione.</w:t>
      </w:r>
    </w:p>
    <w:bookmarkEnd w:id="795"/>
    <w:bookmarkStart w:id="796" w:name="come-dovrebbe-agire-49"/>
    <w:p>
      <w:pPr>
        <w:pStyle w:val="Heading3"/>
      </w:pPr>
      <w:r>
        <w:t xml:space="preserve">Come dovrebbe agire</w:t>
      </w:r>
    </w:p>
    <w:p>
      <w:pPr>
        <w:pStyle w:val="FirstParagraph"/>
      </w:pPr>
      <w:r>
        <w:t xml:space="preserve">La riproduzione umana è regolata da una catena di ormoni. Al vertice c’è l’ormone GnRH (ormone di rilascio delle gonadotropine) dell’ipotalamo, che viene secreto a impulsi. Esso induce l’ipofisi a rilasciare gli ormoni LH (ormone luteinizzante) e FSH (ormone follicolo-stimolante). Questi a loro volta regolano ovaie e testicoli: maturazione degli ovociti e ovulazione, produzione di spermatozoi, produzione di estrogeni e testosterone. Il capitolo sulla gonadorelina (2E06) descrive questo asse più in dettaglio.</w:t>
      </w:r>
    </w:p>
    <w:p>
      <w:pPr>
        <w:pStyle w:val="BodyText"/>
      </w:pPr>
      <w:r>
        <w:t xml:space="preserve">La kisspeptina si trova un gradino sopra il GnRH. Neuroni specializzati dell’ipotalamo la secernono e con essa «accendono» le cellule che producono GnRH. Quanto sia centrale questa funzione è emerso nel 2003: le persone con un recettore della kisspeptina difettoso non entrano nella pubertà e restano infertili (de Roux 2003, PMID 12944565; Seminara 2003, PMID 14573733).</w:t>
      </w:r>
    </w:p>
    <w:p>
      <w:pPr>
        <w:pStyle w:val="BodyText"/>
      </w:pPr>
      <w:r>
        <w:t xml:space="preserve">Per la medicina la kisspeptina è interessante per due motivi:</w:t>
      </w:r>
    </w:p>
    <w:p>
      <w:pPr>
        <w:numPr>
          <w:ilvl w:val="0"/>
          <w:numId w:val="1270"/>
        </w:numPr>
        <w:pStyle w:val="Compact"/>
      </w:pPr>
      <w:r>
        <w:rPr>
          <w:bCs/>
          <w:b/>
        </w:rPr>
        <w:t xml:space="preserve">Agisce «dall’alto».</w:t>
      </w:r>
      <w:r>
        <w:t xml:space="preserve"> </w:t>
      </w:r>
      <w:r>
        <w:t xml:space="preserve">A differenza dei farmaci che sostituiscono direttamente LH o FSH, la kisspeptina stimola la secrezione endogena di GnRH. Il successivo rilascio ormonale resta soggetto ai meccanismi naturali di retroazione. Questo rende meno probabile una iperstimolazione delle ovaie.</w:t>
      </w:r>
    </w:p>
    <w:p>
      <w:pPr>
        <w:numPr>
          <w:ilvl w:val="0"/>
          <w:numId w:val="1270"/>
        </w:numPr>
        <w:pStyle w:val="Compact"/>
      </w:pPr>
      <w:r>
        <w:rPr>
          <w:bCs/>
          <w:b/>
        </w:rPr>
        <w:t xml:space="preserve">Per breve tempo stimola, a lungo termine frena.</w:t>
      </w:r>
      <w:r>
        <w:t xml:space="preserve"> </w:t>
      </w:r>
      <w:r>
        <w:t xml:space="preserve">Con una somministrazione ininterrotta i recettori si abituano al segnale (tachifilassi) e l’asse ormonale si spegne. Questo è un problema se si vuole favorire la fertilità – e un’opportunità se si vogliono abbassare gli ormoni, per esempio nel cancro della prostata.</w:t>
      </w:r>
    </w:p>
    <w:p>
      <w:pPr>
        <w:pStyle w:val="FirstParagraph"/>
      </w:pPr>
      <w:r>
        <w:t xml:space="preserve">I recettori della kisspeptina si trovano anche in regioni cerebrali che elaborano emozioni e stimoli sessuali. Da qui è nata l’idea che la kisspeptina possa influenzare il desiderio sessuale.</w:t>
      </w:r>
    </w:p>
    <w:bookmarkEnd w:id="796"/>
    <w:bookmarkStart w:id="805" w:name="studi-sulluomo-49"/>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37</w:t>
      </w:r>
      <w:r>
        <w:t xml:space="preserve"> </w:t>
      </w:r>
      <w:r>
        <w:t xml:space="preserve">studi sull’uomo in PubMed (</w:t>
      </w:r>
      <w:r>
        <w:rPr>
          <w:rStyle w:val="VerbatimChar"/>
        </w:rPr>
        <w:t xml:space="preserve">humanstudien_alle</w:t>
      </w:r>
      <w:r>
        <w:t xml:space="preserve">) e</w:t>
      </w:r>
      <w:r>
        <w:t xml:space="preserve"> </w:t>
      </w:r>
      <w:r>
        <w:rPr>
          <w:bCs/>
          <w:b/>
        </w:rPr>
        <w:t xml:space="preserve">36</w:t>
      </w:r>
      <w:r>
        <w:t xml:space="preserve"> </w:t>
      </w:r>
      <w:r>
        <w:t xml:space="preserve">voci su ClinicalTrials.gov. Non in tutti la kisspeptina viene somministrata come principio attivo: alcuni studi misurano solo i livelli di kisspeptina nel sangue, per esempio in gravidanza. La somministrazione di kisspeptina nell’uomo è stata portata avanti da pochi gruppi di lavoro, soprattutto all’Imperial College London e al Massachusetts General Hospital di Boston. La maggior parte degli studi ha meno di 50 partecipanti.</w:t>
      </w:r>
    </w:p>
    <w:bookmarkStart w:id="797" w:name="prime-somministrazioni-e-basi"/>
    <w:p>
      <w:pPr>
        <w:pStyle w:val="Heading4"/>
      </w:pPr>
      <w:r>
        <w:t xml:space="preserve">Prime somministrazioni e basi</w:t>
      </w:r>
    </w:p>
    <w:p>
      <w:pPr>
        <w:pStyle w:val="FirstParagraph"/>
      </w:pPr>
      <w:r>
        <w:t xml:space="preserve">Il primo studio sull’uomo coinvolse nel 2005 sei uomini sani. Un’infusione di 90 minuti di kisspeptina-54 aumentò in modo significativo LH, FSH e testosterone rispetto alla soluzione salina (Dhillo 2005, PMID 16174713). L’emivita nel sangue era di poco meno di 28 minuti. Nelle donne l’effetto dipende fortemente dalla fase del ciclo ed è massimo poco prima dell’ovulazione (Dhillo 2007, PMID 17635940).</w:t>
      </w:r>
    </w:p>
    <w:p>
      <w:pPr>
        <w:pStyle w:val="BodyText"/>
      </w:pPr>
      <w:r>
        <w:t xml:space="preserve">La kisspeptina-10 ha provocato rapidamente negli uomini sani un aumento di LH dipendente dalla dose e, in infusione continua, ha aumentato la frequenza degli impulsi di LH (George 2011, PMID 21632807). I bambini con pubertà ritardata reagivano in modo molto diverso: alcuni avevano una risposta netta, altri nessuna (Chan 2018, PMID 29669934). Questo potrebbe in futuro aiutare a distinguere una pubertà semplicemente in ritardo da una carenza ormonale permanente.</w:t>
      </w:r>
    </w:p>
    <w:bookmarkEnd w:id="797"/>
    <w:bookmarkStart w:id="798" w:name="X4e63858d28b82127eddfe9e4674a340e19d9a8d"/>
    <w:p>
      <w:pPr>
        <w:pStyle w:val="Heading4"/>
      </w:pPr>
      <w:r>
        <w:t xml:space="preserve">Trattamento dell’infertilità: maturazione degli ovociti</w:t>
      </w:r>
    </w:p>
    <w:p>
      <w:pPr>
        <w:pStyle w:val="FirstParagraph"/>
      </w:pPr>
      <w:r>
        <w:t xml:space="preserve">L’applicazione finora più avanzata è l’induzione della maturazione degli ovociti nella fecondazione in vitro (FIVET). Normalmente a questo scopo si inietta l’ormone hCG. L’hCG agisce a lungo e nelle donne predisposte può provocare una sindrome da iperstimolazione ovarica (OHSS) – uno spostamento di liquidi che in casi estremi è potenzialmente letale. La kisspeptina provoca invece un picco di LH endogeno più breve.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Jayasena 2014, PMID 25036713</w:t>
            </w:r>
          </w:p>
        </w:tc>
        <w:tc>
          <w:tcPr/>
          <w:p>
            <w:pPr>
              <w:pStyle w:val="Compact"/>
              <w:jc w:val="left"/>
            </w:pPr>
            <w:r>
              <w:t xml:space="preserve">53 donne in trattamento FIVET, studio di dose senza gruppo di controllo</w:t>
            </w:r>
          </w:p>
        </w:tc>
        <w:tc>
          <w:tcPr/>
          <w:p>
            <w:pPr>
              <w:pStyle w:val="Compact"/>
              <w:jc w:val="left"/>
            </w:pPr>
            <w:r>
              <w:t xml:space="preserve">un ciclo</w:t>
            </w:r>
          </w:p>
        </w:tc>
        <w:tc>
          <w:tcPr/>
          <w:p>
            <w:pPr>
              <w:pStyle w:val="Compact"/>
              <w:jc w:val="left"/>
            </w:pPr>
            <w:r>
              <w:t xml:space="preserve">Maturazione degli ovociti a tutte le dosi; gravidanza clinica 23%</w:t>
            </w:r>
          </w:p>
        </w:tc>
      </w:tr>
      <w:tr>
        <w:tc>
          <w:tcPr/>
          <w:p>
            <w:pPr>
              <w:pStyle w:val="Compact"/>
              <w:jc w:val="left"/>
            </w:pPr>
            <w:r>
              <w:t xml:space="preserve">Abbara 2015, PMID 26192876</w:t>
            </w:r>
          </w:p>
        </w:tc>
        <w:tc>
          <w:tcPr/>
          <w:p>
            <w:pPr>
              <w:pStyle w:val="Compact"/>
              <w:jc w:val="left"/>
            </w:pPr>
            <w:r>
              <w:t xml:space="preserve">60 donne ad alto rischio di OHSS, studio di dose randomizzato</w:t>
            </w:r>
          </w:p>
        </w:tc>
        <w:tc>
          <w:tcPr/>
          <w:p>
            <w:pPr>
              <w:pStyle w:val="Compact"/>
              <w:jc w:val="left"/>
            </w:pPr>
            <w:r>
              <w:t xml:space="preserve">un ciclo</w:t>
            </w:r>
          </w:p>
        </w:tc>
        <w:tc>
          <w:tcPr/>
          <w:p>
            <w:pPr>
              <w:pStyle w:val="Compact"/>
              <w:jc w:val="left"/>
            </w:pPr>
            <w:r>
              <w:t xml:space="preserve">Maturazione degli ovociti nel 95%; nati vivi 45% per transfer; nessuna OHSS moderata o grave</w:t>
            </w:r>
          </w:p>
        </w:tc>
      </w:tr>
      <w:tr>
        <w:tc>
          <w:tcPr/>
          <w:p>
            <w:pPr>
              <w:pStyle w:val="Compact"/>
              <w:jc w:val="left"/>
            </w:pPr>
            <w:r>
              <w:t xml:space="preserve">Abbara 2017, PMID 28854728</w:t>
            </w:r>
          </w:p>
        </w:tc>
        <w:tc>
          <w:tcPr/>
          <w:p>
            <w:pPr>
              <w:pStyle w:val="Compact"/>
              <w:jc w:val="left"/>
            </w:pPr>
            <w:r>
              <w:t xml:space="preserve">62 donne ad alto rischio di OHSS, RCT: seconda dose vs. soluzione salina</w:t>
            </w:r>
          </w:p>
        </w:tc>
        <w:tc>
          <w:tcPr/>
          <w:p>
            <w:pPr>
              <w:pStyle w:val="Compact"/>
              <w:jc w:val="left"/>
            </w:pPr>
            <w:r>
              <w:t xml:space="preserve">un ciclo</w:t>
            </w:r>
          </w:p>
        </w:tc>
        <w:tc>
          <w:tcPr/>
          <w:p>
            <w:pPr>
              <w:pStyle w:val="Compact"/>
              <w:jc w:val="left"/>
            </w:pPr>
            <w:r>
              <w:t xml:space="preserve">resa sufficiente di ovociti nel 71% vs. 45%</w:t>
            </w:r>
          </w:p>
        </w:tc>
      </w:tr>
      <w:tr>
        <w:tc>
          <w:tcPr/>
          <w:p>
            <w:pPr>
              <w:pStyle w:val="Compact"/>
              <w:jc w:val="left"/>
            </w:pPr>
            <w:r>
              <w:t xml:space="preserve">Abbara 2024, PMID 37925096</w:t>
            </w:r>
          </w:p>
        </w:tc>
        <w:tc>
          <w:tcPr/>
          <w:p>
            <w:pPr>
              <w:pStyle w:val="Compact"/>
              <w:jc w:val="left"/>
            </w:pPr>
            <w:r>
              <w:t xml:space="preserve">24 e 75 donne sane, due RCT con l’analogo MVT-602</w:t>
            </w:r>
          </w:p>
        </w:tc>
        <w:tc>
          <w:tcPr/>
          <w:p>
            <w:pPr>
              <w:pStyle w:val="Compact"/>
              <w:jc w:val="left"/>
            </w:pPr>
            <w:r>
              <w:t xml:space="preserve">dose singola</w:t>
            </w:r>
          </w:p>
        </w:tc>
        <w:tc>
          <w:tcPr/>
          <w:p>
            <w:pPr>
              <w:pStyle w:val="Compact"/>
              <w:jc w:val="left"/>
            </w:pPr>
            <w:r>
              <w:t xml:space="preserve">Aumento di LH simile a quello naturale di metà ciclo; ovulazione entro 5 giorni fino al 100%</w:t>
            </w:r>
          </w:p>
        </w:tc>
      </w:tr>
    </w:tbl>
    <w:p>
      <w:pPr>
        <w:pStyle w:val="BodyText"/>
      </w:pPr>
      <w:r>
        <w:t xml:space="preserve">Nel primo studio (Jayasena 2014, PMID 25036713; NCT01667406) 53 donne ricevettero una singola iniezione di kisspeptina. A tutte le dosi testate gli ovociti maturarono; in 49 donne furono trasferiti embrioni, dodici ebbero una gravidanza clinica. Per la prima volta era così dimostrato che dopo una maturazione degli ovociti guidata dalla kisspeptina una gravidanza è possibile.</w:t>
      </w:r>
    </w:p>
    <w:p>
      <w:pPr>
        <w:pStyle w:val="BodyText"/>
      </w:pPr>
      <w:r>
        <w:t xml:space="preserve">Lo studio successivo si è concentrato sulle donne ad alto rischio di iperstimolazione (Abbara 2015, PMID 26192876). Nessuna delle 60 donne ha sviluppato una OHSS moderata o grave; il tasso di nati vivi per transfer embrionale è stato del 45%. Una seconda dose di kisspeptina dieci ore dopo la prima ha migliorato la resa di ovociti maturi (Abbara 2017, PMID 28854728).</w:t>
      </w:r>
    </w:p>
    <w:p>
      <w:pPr>
        <w:pStyle w:val="BodyText"/>
      </w:pPr>
      <w:r>
        <w:rPr>
          <w:bCs/>
          <w:b/>
        </w:rPr>
        <w:t xml:space="preserve">Inquadramento:</w:t>
      </w:r>
      <w:r>
        <w:t xml:space="preserve"> </w:t>
      </w:r>
      <w:r>
        <w:t xml:space="preserve">questi studi dimostrano che il principio funziona. Non erano però concepiti per confrontare direttamente la kisspeptina con le alternative consolidate – oltre all’hCG esiste già per le pazienti ad alto rischio l’induzione con un agonista del GnRH. Gli stessi autori chiedono studi comparativi di questo tipo (Abbara 2017, PMID 28854728).</w:t>
      </w:r>
    </w:p>
    <w:p>
      <w:pPr>
        <w:pStyle w:val="BodyText"/>
      </w:pPr>
      <w:r>
        <w:t xml:space="preserve">L’analogo sintetico MVT-602 agisce molto più a lungo della kisspeptina naturale: il picco di LH nelle donne sane arrivava dopo circa 21 ore anziché 5, e la quantità totale di LH secreto era circa quattro volte maggiore (Abbara 2020, PMID 33196464). In due studi randomizzati con complessivamente 99 donne MVT-602 è stato ben tollerato e nel secondo studio ha provocato entro cinque giorni un’ovulazione, a seconda della dose nel 75–100% delle donne – però anche nel 60% con placebo, perché le partecipanti erano sane (Abbara 2024, PMID 37925096).</w:t>
      </w:r>
    </w:p>
    <w:bookmarkEnd w:id="798"/>
    <w:bookmarkStart w:id="799" w:name="assenza-delle-mestruazioni-e-pcos"/>
    <w:p>
      <w:pPr>
        <w:pStyle w:val="Heading4"/>
      </w:pPr>
      <w:r>
        <w:t xml:space="preserve">Assenza delle mestruazioni e PCOS</w:t>
      </w:r>
    </w:p>
    <w:p>
      <w:pPr>
        <w:pStyle w:val="FirstParagraph"/>
      </w:pPr>
      <w:r>
        <w:t xml:space="preserve">Nell’amenorrea ipotalamica le mestruazioni si interrompono perché il cervello – spesso a causa di sottopeso, sport intenso o stress – secerne troppo poco GnRH. Una singola iniezione di kisspeptina ha aumentato fortemente LH e FSH nelle donne colpite. Con una somministrazione due volte al giorno per due settimane l’effetto era però quasi scomparso (Jayasena 2009, PMID 19820030). Somministrazioni due volte alla settimana hanno portato solo a un’abitudine parziale (Jayasena 2010, PMID 20980998), e un’infusione continua ha triplicato temporaneamente il numero di impulsi di LH (Jayasena 2014, PMID 24517142). In persone con un difetto genetico del sistema della neurochinina B un’infusione di kisspeptina ha ripristinato la secrezione ormonale pulsatile (Young 2013, PMID 22377698).</w:t>
      </w:r>
    </w:p>
    <w:p>
      <w:pPr>
        <w:pStyle w:val="BodyText"/>
      </w:pPr>
      <w:r>
        <w:t xml:space="preserve">Nella sindrome dell’ovaio policistico (PCOS) la situazione è più complicata. In uno studio pilota con 12 donne la kisspeptina ha aumentato il livello di LH solo leggermente; due donne hanno avuto un’ovulazione, nella maggior parte non è successo nulla (Romero-Ruiz 2019, PMID 31820802).</w:t>
      </w:r>
    </w:p>
    <w:bookmarkEnd w:id="799"/>
    <w:bookmarkStart w:id="800" w:name="uomini-testosterone-e-diabete"/>
    <w:p>
      <w:pPr>
        <w:pStyle w:val="Heading4"/>
      </w:pPr>
      <w:r>
        <w:t xml:space="preserve">Uomini: testosterone e diabete</w:t>
      </w:r>
    </w:p>
    <w:p>
      <w:pPr>
        <w:pStyle w:val="FirstParagraph"/>
      </w:pPr>
      <w:r>
        <w:t xml:space="preserve">In cinque uomini con diabete di tipo 2 e testosterone basso un’infusione di kisspeptina-10 ha aumentato LH, la frequenza degli impulsi di LH e il testosterone (George 2013, PMID 23153270). Un nuovo studio con 15 uomini sani ha mostrato che infusioni sottocutanee di otto ore al giorno mantenevano la secrezione ormonale per dodici giorni, mentre un’infusione continua dopo cinque giorni non aveva più alcun effetto su LH e FSH (Yeung 2026, PMID 42549827). È un passo importante verso un possibile trattamento a lungo termine.</w:t>
      </w:r>
    </w:p>
    <w:bookmarkEnd w:id="800"/>
    <w:bookmarkStart w:id="801" w:name="desiderio-sessuale-e-cervello"/>
    <w:p>
      <w:pPr>
        <w:pStyle w:val="Heading4"/>
      </w:pPr>
      <w:r>
        <w:t xml:space="preserve">Desiderio sessuale e cervello</w:t>
      </w:r>
    </w:p>
    <w:p>
      <w:pPr>
        <w:pStyle w:val="FirstParagraph"/>
      </w:pPr>
      <w:r>
        <w:t xml:space="preserve">Il gruppo londinese ha studiato con la risonanza magnetica funzionale (fMRI) come la kisspeptina modifichi l’elaborazione di immagini erotiche.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Comninos 2017, PMID 28112678</w:t>
            </w:r>
          </w:p>
        </w:tc>
        <w:tc>
          <w:tcPr/>
          <w:p>
            <w:pPr>
              <w:pStyle w:val="Compact"/>
              <w:jc w:val="left"/>
            </w:pPr>
            <w:r>
              <w:t xml:space="preserve">29 giovani uomini sani, studio crossover contro placebo</w:t>
            </w:r>
          </w:p>
        </w:tc>
        <w:tc>
          <w:tcPr/>
          <w:p>
            <w:pPr>
              <w:pStyle w:val="Compact"/>
              <w:jc w:val="left"/>
            </w:pPr>
            <w:r>
              <w:t xml:space="preserve">infusione singola</w:t>
            </w:r>
          </w:p>
        </w:tc>
        <w:tc>
          <w:tcPr/>
          <w:p>
            <w:pPr>
              <w:pStyle w:val="Compact"/>
              <w:jc w:val="left"/>
            </w:pPr>
            <w:r>
              <w:t xml:space="preserve">più attività nelle regioni limbiche del cervello con stimoli sessuali; meno umore negativo</w:t>
            </w:r>
          </w:p>
        </w:tc>
      </w:tr>
      <w:tr>
        <w:tc>
          <w:tcPr/>
          <w:p>
            <w:pPr>
              <w:pStyle w:val="Compact"/>
              <w:jc w:val="left"/>
            </w:pPr>
            <w:r>
              <w:t xml:space="preserve">Thurston 2022, PMID 36287566</w:t>
            </w:r>
          </w:p>
        </w:tc>
        <w:tc>
          <w:tcPr/>
          <w:p>
            <w:pPr>
              <w:pStyle w:val="Compact"/>
              <w:jc w:val="left"/>
            </w:pPr>
            <w:r>
              <w:t xml:space="preserve">32 donne con HSDD, studio crossover in doppio cieco</w:t>
            </w:r>
          </w:p>
        </w:tc>
        <w:tc>
          <w:tcPr/>
          <w:p>
            <w:pPr>
              <w:pStyle w:val="Compact"/>
              <w:jc w:val="left"/>
            </w:pPr>
            <w:r>
              <w:t xml:space="preserve">75 minuti</w:t>
            </w:r>
          </w:p>
        </w:tc>
        <w:tc>
          <w:tcPr/>
          <w:p>
            <w:pPr>
              <w:pStyle w:val="Compact"/>
              <w:jc w:val="left"/>
            </w:pPr>
            <w:r>
              <w:t xml:space="preserve">attività modificata nelle regioni cerebrali per stimoli sessuali e attrattività; nessun effetto collaterale</w:t>
            </w:r>
          </w:p>
        </w:tc>
      </w:tr>
      <w:tr>
        <w:tc>
          <w:tcPr/>
          <w:p>
            <w:pPr>
              <w:pStyle w:val="Compact"/>
              <w:jc w:val="left"/>
            </w:pPr>
            <w:r>
              <w:t xml:space="preserve">Mills 2023, PMID 36735255</w:t>
            </w:r>
          </w:p>
        </w:tc>
        <w:tc>
          <w:tcPr/>
          <w:p>
            <w:pPr>
              <w:pStyle w:val="Compact"/>
              <w:jc w:val="left"/>
            </w:pPr>
            <w:r>
              <w:t xml:space="preserve">32 uomini con HSDD, studio crossover in doppio cieco</w:t>
            </w:r>
          </w:p>
        </w:tc>
        <w:tc>
          <w:tcPr/>
          <w:p>
            <w:pPr>
              <w:pStyle w:val="Compact"/>
              <w:jc w:val="left"/>
            </w:pPr>
            <w:r>
              <w:t xml:space="preserve">75 minuti</w:t>
            </w:r>
          </w:p>
        </w:tc>
        <w:tc>
          <w:tcPr/>
          <w:p>
            <w:pPr>
              <w:pStyle w:val="Compact"/>
              <w:jc w:val="left"/>
            </w:pPr>
            <w:r>
              <w:t xml:space="preserve">attività cerebrale modificata; tumescenza peniena durante video erotici fino al 56% più forte che con placebo</w:t>
            </w:r>
          </w:p>
        </w:tc>
      </w:tr>
    </w:tbl>
    <w:p>
      <w:pPr>
        <w:pStyle w:val="BodyText"/>
      </w:pPr>
      <w:r>
        <w:t xml:space="preserve">HSDD (disturbo da desiderio sessuale ipoattivo) significa desiderio sessuale persistentemente scarso con sofferenza. Negli uomini con HSDD una singola infusione di kisspeptina ha rafforzato non solo l’attività delle regioni cerebrali sessuali, ma anche l’eccitazione fisica misurabile e singole indicazioni sul desiderio, per esempio la «voglia di sesso» (Mills 2023, PMID 36735255). Nelle donne con HSDD le variazioni dell’attività cerebrale erano correlate con la sofferenza e con l’avversione sessuale (Thurston 2022, PMID 36287566).</w:t>
      </w:r>
    </w:p>
    <w:p>
      <w:pPr>
        <w:pStyle w:val="BodyText"/>
      </w:pPr>
      <w:r>
        <w:rPr>
          <w:bCs/>
          <w:b/>
        </w:rPr>
        <w:t xml:space="preserve">Inquadramento:</w:t>
      </w:r>
      <w:r>
        <w:t xml:space="preserve"> </w:t>
      </w:r>
      <w:r>
        <w:t xml:space="preserve">questi studi valutano una singola infusione in laboratorio, con l’attività cerebrale come endpoint primario. Non dicono nulla sul fatto che la kisspeptina migliori l’esperienza sessuale nella vita quotidiana nell’arco di settimane. La somministrazione per infusione non è adatta a un trattamento quotidiano. Uno studio con 95 persone non ha trovato effetti su ansia, cortisolo, pressione arteriosa o frequenza cardiaca (Mills 2025, PMID 40036336) – un segnale rassicurante sulla tollerabilità, non una prova di efficacia.</w:t>
      </w:r>
    </w:p>
    <w:bookmarkEnd w:id="801"/>
    <w:bookmarkStart w:id="802" w:name="spray-nasale"/>
    <w:p>
      <w:pPr>
        <w:pStyle w:val="Heading4"/>
      </w:pPr>
      <w:r>
        <w:t xml:space="preserve">Spray nasale</w:t>
      </w:r>
    </w:p>
    <w:p>
      <w:pPr>
        <w:pStyle w:val="FirstParagraph"/>
      </w:pPr>
      <w:r>
        <w:t xml:space="preserve">Uno spray nasale con kisspeptina-54 ha aumentato l’LH in uomini e donne sani e in donne con amenorrea ipotalamica, senza effetti collaterali (Mills 2025, PMID 40215751). Questo indica una possibile strada verso un trattamento senza ago. Nei topi la kisspeptina è stata rilevata nella mucosa olfattiva, il che suggerisce una via attraverso il sistema olfattivo.</w:t>
      </w:r>
    </w:p>
    <w:bookmarkEnd w:id="802"/>
    <w:bookmarkStart w:id="803" w:name="altri-risultati"/>
    <w:p>
      <w:pPr>
        <w:pStyle w:val="Heading4"/>
      </w:pPr>
      <w:r>
        <w:t xml:space="preserve">Altri risultati</w:t>
      </w:r>
    </w:p>
    <w:p>
      <w:pPr>
        <w:numPr>
          <w:ilvl w:val="0"/>
          <w:numId w:val="1271"/>
        </w:numPr>
        <w:pStyle w:val="Compact"/>
      </w:pPr>
      <w:r>
        <w:rPr>
          <w:bCs/>
          <w:b/>
        </w:rPr>
        <w:t xml:space="preserve">Ossa:</w:t>
      </w:r>
      <w:r>
        <w:t xml:space="preserve"> </w:t>
      </w:r>
      <w:r>
        <w:t xml:space="preserve">in 26 uomini sani, dopo una somministrazione di kisspeptina, il marcatore di formazione ossea osteocalcina è aumentato fino al 20,3% (Comninos 2022, PMID 35244717).</w:t>
      </w:r>
    </w:p>
    <w:p>
      <w:pPr>
        <w:numPr>
          <w:ilvl w:val="0"/>
          <w:numId w:val="1271"/>
        </w:numPr>
        <w:pStyle w:val="Compact"/>
      </w:pPr>
      <w:r>
        <w:rPr>
          <w:bCs/>
          <w:b/>
        </w:rPr>
        <w:t xml:space="preserve">Metabolismo:</w:t>
      </w:r>
      <w:r>
        <w:t xml:space="preserve"> </w:t>
      </w:r>
      <w:r>
        <w:t xml:space="preserve">in 15 uomini sani la kisspeptina ha aumentato la secrezione di insulina dopo un carico di glucosio, senza modificare appetito o quantità di cibo assunta (Izzi-Engbeaya 2018, PMID 29974637).</w:t>
      </w:r>
    </w:p>
    <w:p>
      <w:pPr>
        <w:numPr>
          <w:ilvl w:val="0"/>
          <w:numId w:val="1271"/>
        </w:numPr>
        <w:pStyle w:val="Compact"/>
      </w:pPr>
      <w:r>
        <w:rPr>
          <w:bCs/>
          <w:b/>
        </w:rPr>
        <w:t xml:space="preserve">Ossitocina:</w:t>
      </w:r>
      <w:r>
        <w:t xml:space="preserve"> </w:t>
      </w:r>
      <w:r>
        <w:t xml:space="preserve">dopo un’iniezione di kisspeptina il livello di ossitocina nel sangue è aumentato, negli uomini più che nelle donne (Galbiati 2025, PMID 39965102). Questo viene studiato come possibile test per una carenza di ossitocina (capitolo 2E05).</w:t>
      </w:r>
    </w:p>
    <w:bookmarkEnd w:id="803"/>
    <w:bookmarkStart w:id="804" w:name="lopposto-abbassare-gli-ormoni"/>
    <w:p>
      <w:pPr>
        <w:pStyle w:val="Heading4"/>
      </w:pPr>
      <w:r>
        <w:t xml:space="preserve">L’opposto: abbassare gli ormoni</w:t>
      </w:r>
    </w:p>
    <w:p>
      <w:pPr>
        <w:pStyle w:val="FirstParagraph"/>
      </w:pPr>
      <w:r>
        <w:t xml:space="preserve">L’analogo sintetico TAK-448, in somministrazione continua, è diventato un bloccante ormonale. In uomini sani oltre i 50 anni, dopo una settimana di infusione continua, il testosterone è sceso a livelli di castrazione; in uomini con cancro della prostata un’iniezione depot ha abbassato il testosterone e il marcatore tumorale PSA (MacLean 2014, PMID 24762108). Altri due studi di fase 2 del produttore sono stati interrotti anticipatamente (NCT02369796, NCT02381288).</w:t>
      </w:r>
    </w:p>
    <w:bookmarkEnd w:id="804"/>
    <w:bookmarkEnd w:id="805"/>
    <w:bookmarkStart w:id="806" w:name="studi-su-animali-e-in-laboratorio-49"/>
    <w:p>
      <w:pPr>
        <w:pStyle w:val="Heading3"/>
      </w:pPr>
      <w:r>
        <w:t xml:space="preserve">Studi su animali e in laboratorio</w:t>
      </w:r>
    </w:p>
    <w:p>
      <w:pPr>
        <w:pStyle w:val="FirstParagraph"/>
      </w:pPr>
      <w:r>
        <w:t xml:space="preserve">Il ruolo della kisspeptina per pubertà e riproduzione è stato dimostrato per la prima volta in topi con il gene del recettore disattivato; gli animali restano sessualmente immaturi (Seminara 2003, PMID 14573733). In origine il peptide era stato descritto come freno della metastatizzazione: in coltura cellulare e nei topi ha inibito la diffusione delle cellule di melanoma (Lee 1996, PMID 8944003; Ohtaki 2001, PMID 11385580). Se ciò sia sfruttabile a fini terapeutici è una questione aperta.</w:t>
      </w:r>
    </w:p>
    <w:p>
      <w:pPr>
        <w:pStyle w:val="BodyText"/>
      </w:pPr>
      <w:r>
        <w:t xml:space="preserve">In modelli di PCOS nel ratto la kisspeptina ha ripristinato l’ovulazione in una parte degli animali, in altri no (Romero-Ruiz 2019, PMID 31820802). La ricerca di base su kisspeptina e neurochinina B è riassunta in una rassegna (Koysombat 2025, PMID 39813600).</w:t>
      </w:r>
    </w:p>
    <w:bookmarkEnd w:id="806"/>
    <w:bookmarkStart w:id="810" w:name="rischi-ed-effetti-collaterali-49"/>
    <w:p>
      <w:pPr>
        <w:pStyle w:val="Heading3"/>
      </w:pPr>
      <w:r>
        <w:t xml:space="preserve">Rischi ed effetti collaterali</w:t>
      </w:r>
    </w:p>
    <w:bookmarkStart w:id="807" w:name="dimostrati-2"/>
    <w:p>
      <w:pPr>
        <w:pStyle w:val="Heading4"/>
      </w:pPr>
      <w:r>
        <w:t xml:space="preserve">Dimostrati</w:t>
      </w:r>
    </w:p>
    <w:p>
      <w:pPr>
        <w:pStyle w:val="FirstParagraph"/>
      </w:pPr>
      <w:r>
        <w:t xml:space="preserve">In tutti gli studi pubblicati la kisspeptina è stata ben tollerata. Diversi studi riportano espressamente l’assenza di effetti collaterali (Jayasena 2010, PMID 20980998; Thurston 2022, PMID 36287566; Mills 2025, PMID 40215751). La kisspeptina non ha modificato né l’ormone della crescita né la prolattina né il TSH che regola la tiroide (Jayasena 2014, PMID 24863252) e non ha avuto effetti su ansia, pressione arteriosa o frequenza cardiaca (Mills 2025, PMID 40036336). Con l’analogo TAK-448 si sono verificati effetti collaterali da lievi a moderati nel 26% delle persone trattate (MacLean 2014, PMID 24762108).</w:t>
      </w:r>
    </w:p>
    <w:bookmarkEnd w:id="807"/>
    <w:bookmarkStart w:id="808" w:name="teorici-e-aperti"/>
    <w:p>
      <w:pPr>
        <w:pStyle w:val="Heading4"/>
      </w:pPr>
      <w:r>
        <w:t xml:space="preserve">Teorici e aperti</w:t>
      </w:r>
    </w:p>
    <w:p>
      <w:pPr>
        <w:numPr>
          <w:ilvl w:val="0"/>
          <w:numId w:val="1272"/>
        </w:numPr>
        <w:pStyle w:val="Compact"/>
      </w:pPr>
      <w:r>
        <w:rPr>
          <w:bCs/>
          <w:b/>
        </w:rPr>
        <w:t xml:space="preserve">Abitudine e calo ormonale:</w:t>
      </w:r>
      <w:r>
        <w:t xml:space="preserve"> </w:t>
      </w:r>
      <w:r>
        <w:t xml:space="preserve">con la somministrazione continua può verificarsi l’opposto dell’effetto desiderato, come mostrano gli studi su TAK-448. Chi usa la kisspeptina senza controllo medico rischia quindi una soppressione del proprio asse ormonale.</w:t>
      </w:r>
    </w:p>
    <w:p>
      <w:pPr>
        <w:numPr>
          <w:ilvl w:val="0"/>
          <w:numId w:val="1272"/>
        </w:numPr>
        <w:pStyle w:val="Compact"/>
      </w:pPr>
      <w:r>
        <w:rPr>
          <w:bCs/>
          <w:b/>
        </w:rPr>
        <w:t xml:space="preserve">Dati a lungo termine</w:t>
      </w:r>
      <w:r>
        <w:t xml:space="preserve"> </w:t>
      </w:r>
      <w:r>
        <w:t xml:space="preserve">mancano. Gli studi più lunghi sono durati otto settimane.</w:t>
      </w:r>
    </w:p>
    <w:p>
      <w:pPr>
        <w:numPr>
          <w:ilvl w:val="0"/>
          <w:numId w:val="1272"/>
        </w:numPr>
        <w:pStyle w:val="Compact"/>
      </w:pPr>
      <w:r>
        <w:rPr>
          <w:bCs/>
          <w:b/>
        </w:rPr>
        <w:t xml:space="preserve">Gravidanza:</w:t>
      </w:r>
      <w:r>
        <w:t xml:space="preserve"> </w:t>
      </w:r>
      <w:r>
        <w:t xml:space="preserve">con l’uso nella FIVET sono nati bambini; dati sistematici sulla salute di questi bambini non sono stati pubblicati.</w:t>
      </w:r>
    </w:p>
    <w:bookmarkEnd w:id="808"/>
    <w:bookmarkStart w:id="809" w:name="mercato-grigio-2"/>
    <w:p>
      <w:pPr>
        <w:pStyle w:val="Heading4"/>
      </w:pPr>
      <w:r>
        <w:t xml:space="preserve">Mercato grigio</w:t>
      </w:r>
    </w:p>
    <w:p>
      <w:pPr>
        <w:pStyle w:val="FirstParagraph"/>
      </w:pPr>
      <w:r>
        <w:t xml:space="preserve">La kisspeptina-10 viene offerta su internet come «Research Peptide» e pubblicizzata nei forum per aumentare testosterone o libido. Non esistono studi su questi prodotti. A causa della breve emivita e dell’abitudine in caso di somministrazione frequente, un effetto duraturo con l’autosomministrazione non è dimostrato; purezza e contenuto non sono verificati (vedi Parte I e Parte IV).</w:t>
      </w:r>
    </w:p>
    <w:bookmarkEnd w:id="809"/>
    <w:bookmarkEnd w:id="810"/>
    <w:bookmarkStart w:id="811" w:name="quadro-normativo-49"/>
    <w:p>
      <w:pPr>
        <w:pStyle w:val="Heading3"/>
      </w:pPr>
      <w:r>
        <w:t xml:space="preserve">Quadro normativo</w:t>
      </w:r>
    </w:p>
    <w:p>
      <w:pPr>
        <w:pStyle w:val="FirstParagraph"/>
      </w:pPr>
      <w:r>
        <w:rPr>
          <w:iCs/>
          <w:i/>
        </w:rPr>
        <w:t xml:space="preserve">Aggiornato al 2026, da verificare.</w:t>
      </w:r>
    </w:p>
    <w:p>
      <w:pPr>
        <w:numPr>
          <w:ilvl w:val="0"/>
          <w:numId w:val="1273"/>
        </w:numPr>
        <w:pStyle w:val="Compact"/>
      </w:pPr>
      <w:r>
        <w:rPr>
          <w:bCs/>
          <w:b/>
        </w:rPr>
        <w:t xml:space="preserve">UE, Germania, Austria:</w:t>
      </w:r>
      <w:r>
        <w:t xml:space="preserve"> </w:t>
      </w:r>
      <w:r>
        <w:t xml:space="preserve">nessuna approvazione. La kisspeptina può essere usata nell’uomo solo nell’ambito di studi clinici autorizzati. La vendita per uso umano non è consentita.</w:t>
      </w:r>
    </w:p>
    <w:p>
      <w:pPr>
        <w:numPr>
          <w:ilvl w:val="0"/>
          <w:numId w:val="1273"/>
        </w:numPr>
        <w:pStyle w:val="Compact"/>
      </w:pPr>
      <w:r>
        <w:rPr>
          <w:bCs/>
          <w:b/>
        </w:rPr>
        <w:t xml:space="preserve">USA:</w:t>
      </w:r>
      <w:r>
        <w:t xml:space="preserve"> </w:t>
      </w:r>
      <w:r>
        <w:t xml:space="preserve">nessuna approvazione; uso solo in studi autorizzati dalla FDA.</w:t>
      </w:r>
    </w:p>
    <w:p>
      <w:pPr>
        <w:numPr>
          <w:ilvl w:val="0"/>
          <w:numId w:val="1273"/>
        </w:numPr>
        <w:pStyle w:val="Compact"/>
      </w:pPr>
      <w:r>
        <w:rPr>
          <w:bCs/>
          <w:b/>
        </w:rPr>
        <w:t xml:space="preserve">WADA:</w:t>
      </w:r>
      <w:r>
        <w:t xml:space="preserve"> </w:t>
      </w:r>
      <w:r>
        <w:t xml:space="preserve">negli uomini i fattori di rilascio dell’LH sono vietati secondo S2, i principi attivi non approvati in generale secondo S0. La kisspeptina non è citata per nome, ma secondo la valutazione dell’autore rientra in questi gruppi.</w:t>
      </w:r>
    </w:p>
    <w:bookmarkEnd w:id="811"/>
    <w:bookmarkStart w:id="812" w:name="studi-in-corso-e-prospettive-49"/>
    <w:p>
      <w:pPr>
        <w:pStyle w:val="Heading3"/>
      </w:pPr>
      <w:r>
        <w:t xml:space="preserve">Studi in corso e prospettive</w:t>
      </w:r>
    </w:p>
    <w:p>
      <w:pPr>
        <w:pStyle w:val="FirstParagraph"/>
      </w:pPr>
      <w:r>
        <w:rPr>
          <w:bCs/>
          <w:b/>
        </w:rPr>
        <w:t xml:space="preserve">Dati certi (studi registrati):</w:t>
      </w:r>
    </w:p>
    <w:p>
      <w:pPr>
        <w:numPr>
          <w:ilvl w:val="0"/>
          <w:numId w:val="1274"/>
        </w:numPr>
        <w:pStyle w:val="Compact"/>
      </w:pPr>
      <w:r>
        <w:rPr>
          <w:bCs/>
          <w:b/>
        </w:rPr>
        <w:t xml:space="preserve">Massachusetts General Hospital, Boston:</w:t>
      </w:r>
      <w:r>
        <w:t xml:space="preserve"> </w:t>
      </w:r>
      <w:r>
        <w:t xml:space="preserve">diversi studi di fase 1 e fase 2 con somministrazione sottocutanea ripetuta di kisspeptina nella carenza ormonale congenita (ipogonadismo ipogonadotropo idiopatico, NCT05896293, 36 persone, fino al 2028) e nell’amenorrea ipotalamica (NCT07224438, 20 persone, fino al 2030). Un altro studio usa la kisspeptina come test della funzione dei neuroni che producono GnRH (NCT07224490).</w:t>
      </w:r>
    </w:p>
    <w:p>
      <w:pPr>
        <w:numPr>
          <w:ilvl w:val="0"/>
          <w:numId w:val="1274"/>
        </w:numPr>
        <w:pStyle w:val="Compact"/>
      </w:pPr>
      <w:r>
        <w:rPr>
          <w:bCs/>
          <w:b/>
        </w:rPr>
        <w:t xml:space="preserve">Imperial College London:</w:t>
      </w:r>
      <w:r>
        <w:t xml:space="preserve"> </w:t>
      </w:r>
      <w:r>
        <w:t xml:space="preserve">uno studio in corso dal 2014 sulla secrezione ormonale con somministrazione prolungata di kisspeptina (NCT02081924, 76 persone).</w:t>
      </w:r>
    </w:p>
    <w:p>
      <w:pPr>
        <w:numPr>
          <w:ilvl w:val="0"/>
          <w:numId w:val="1274"/>
        </w:numPr>
        <w:pStyle w:val="Compact"/>
      </w:pPr>
      <w:r>
        <w:t xml:space="preserve">Uno studio di fase 2 con somministrazione pulsatile di kisspeptina nell’ipogonadismo è concluso (NCT04648969); alla chiusura redazionale i risultati non erano pubblicati in PubMed.</w:t>
      </w:r>
    </w:p>
    <w:p>
      <w:pPr>
        <w:pStyle w:val="FirstParagraph"/>
      </w:pPr>
      <w:r>
        <w:rPr>
          <w:bCs/>
          <w:b/>
        </w:rPr>
        <w:t xml:space="preserve">Valutazione dell’autore:</w:t>
      </w:r>
      <w:r>
        <w:t xml:space="preserve"> </w:t>
      </w:r>
      <w:r>
        <w:t xml:space="preserve">la kisspeptina è, per quanto riguarda le basi, uno dei peptidi scientificamente più solidi di questo libro – il ruolo nella pubertà è dimostrato geneticamente. Lo sviluppo clinico è però lento, perché è sostenuto prevalentemente dalle università. L’ipotesi più realistica appare un’approvazione per la maturazione degli ovociti nelle donne a rischio di OHSS o come test diagnostico per i disturbi della pubertà; a tale scopo sarebbero però necessari studi comparativi più ampi. Per il trattamento della mancanza di desiderio sessuale manca finora qualsiasi prova di un beneficio nella vita quotidiana.</w:t>
      </w:r>
    </w:p>
    <w:bookmarkEnd w:id="812"/>
    <w:bookmarkStart w:id="813" w:name="conclusione-49"/>
    <w:p>
      <w:pPr>
        <w:pStyle w:val="Heading3"/>
      </w:pPr>
      <w:r>
        <w:t xml:space="preserve">Conclusione</w:t>
      </w:r>
    </w:p>
    <w:p>
      <w:pPr>
        <w:pStyle w:val="FirstParagraph"/>
      </w:pPr>
      <w:r>
        <w:t xml:space="preserve">La kisspeptina è l’interruttore principale endogeno degli ormoni della riproduzione, come dimostrano in modo eloquente le persone con un difetto del recettore. In piccoli studi ha provocato in modo affidabile la secrezione di LH e, nelle donne ad alto rischio di iperstimolazione, ha permesso una maturazione degli ovociti senza OHSS grave. Gli studi di laboratorio con neuroimaging indicano effetti sull’elaborazione degli stimoli sessuali, ma non sono una prova di un beneficio nella vita quotidiana. Il maggiore ostacolo pratico è l’abitudine con la somministrazione frequente, che può arrivare fino alla soppressione dell’asse ormonale. La kisspeptina non è approvata da nessuna parte; al di fuori degli studi non esiste un impiego verificato.</w:t>
      </w:r>
    </w:p>
    <w:bookmarkEnd w:id="813"/>
    <w:bookmarkEnd w:id="814"/>
    <w:bookmarkStart w:id="836" w:name="ossitocina-spray-nasale"/>
    <w:p>
      <w:pPr>
        <w:pStyle w:val="Heading2"/>
      </w:pPr>
      <w:r>
        <w:t xml:space="preserve">Ossitocina (spray nasale)</w:t>
      </w:r>
    </w:p>
    <w:bookmarkStart w:id="815" w:name="scheda-50"/>
    <w:p>
      <w:pPr>
        <w:pStyle w:val="Heading3"/>
      </w:pPr>
      <w:r>
        <w:t xml:space="preserve">Scheda</w:t>
      </w:r>
    </w:p>
    <w:p>
      <w:pPr>
        <w:numPr>
          <w:ilvl w:val="0"/>
          <w:numId w:val="1275"/>
        </w:numPr>
        <w:pStyle w:val="Compact"/>
      </w:pPr>
      <w:r>
        <w:rPr>
          <w:bCs/>
          <w:b/>
        </w:rPr>
        <w:t xml:space="preserve">Tipo/struttura:</w:t>
      </w:r>
      <w:r>
        <w:t xml:space="preserve"> </w:t>
      </w:r>
      <w:r>
        <w:t xml:space="preserve">ormone peptidico endogeno di nove aminoacidi. Due ponti disolfuro chiudono sei di essi in un anello. L’ossitocina è strettamente imparentata con l’ormone vasopressina (ormone antidiuretico), da cui differisce solo per due elementi.</w:t>
      </w:r>
    </w:p>
    <w:p>
      <w:pPr>
        <w:numPr>
          <w:ilvl w:val="0"/>
          <w:numId w:val="1275"/>
        </w:numPr>
        <w:pStyle w:val="Compact"/>
      </w:pPr>
      <w:r>
        <w:rPr>
          <w:bCs/>
          <w:b/>
        </w:rPr>
        <w:t xml:space="preserve">Origine:</w:t>
      </w:r>
      <w:r>
        <w:t xml:space="preserve"> </w:t>
      </w:r>
      <w:r>
        <w:t xml:space="preserve">prodotta nei neuroni dell’ipotalamo e rilasciata nel sangue dall’ipofisi posteriore; al tempo stesso è un messaggero all’interno del cervello. Nel 1953 l’ossitocina fu il primo ormone peptidico riprodotto in laboratorio; Vincent du Vigneaud ricevette per questo il premio Nobel per la chimica nel 1955.</w:t>
      </w:r>
    </w:p>
    <w:p>
      <w:pPr>
        <w:numPr>
          <w:ilvl w:val="0"/>
          <w:numId w:val="1275"/>
        </w:numPr>
        <w:pStyle w:val="Compact"/>
      </w:pPr>
      <w:r>
        <w:rPr>
          <w:bCs/>
          <w:b/>
        </w:rPr>
        <w:t xml:space="preserve">Principio d’azione:</w:t>
      </w:r>
      <w:r>
        <w:t xml:space="preserve"> </w:t>
      </w:r>
      <w:r>
        <w:t xml:space="preserve">agonista del recettore dell’ossitocina. Nel corpo provoca le contrazioni del travaglio e il riflesso di eiezione del latte; nel cervello è coinvolta nel legame affettivo, nel comportamento sociale e nella regolazione dello stress.</w:t>
      </w:r>
    </w:p>
    <w:p>
      <w:pPr>
        <w:numPr>
          <w:ilvl w:val="0"/>
          <w:numId w:val="1275"/>
        </w:numPr>
        <w:pStyle w:val="Compact"/>
      </w:pPr>
      <w:r>
        <w:rPr>
          <w:bCs/>
          <w:b/>
        </w:rPr>
        <w:t xml:space="preserve">Approvazione UE e USA (iniezione/infusione):</w:t>
      </w:r>
      <w:r>
        <w:t xml:space="preserve"> </w:t>
      </w:r>
      <w:r>
        <w:t xml:space="preserve">sì, da decenni in ostetricia, per l’induzione e il sostegno del travaglio e per la prevenzione delle emorragie gravi dopo il parto.</w:t>
      </w:r>
    </w:p>
    <w:p>
      <w:pPr>
        <w:numPr>
          <w:ilvl w:val="0"/>
          <w:numId w:val="1275"/>
        </w:numPr>
        <w:pStyle w:val="Compact"/>
      </w:pPr>
      <w:r>
        <w:rPr>
          <w:bCs/>
          <w:b/>
        </w:rPr>
        <w:t xml:space="preserve">Approvazione come spray nasale:</w:t>
      </w:r>
      <w:r>
        <w:t xml:space="preserve"> </w:t>
      </w:r>
      <w:r>
        <w:t xml:space="preserve">uno spray nasale di ossitocina era un tempo approvato in diversi Paesi europei per favorire il flusso del latte durante l’allattamento, ma in molti luoghi non è più in commercio. Per impieghi psichici, sociali o sessuali l’ossitocina non è approvata da nessuna parte (aggiornato al 2026, da verificare).</w:t>
      </w:r>
    </w:p>
    <w:p>
      <w:pPr>
        <w:numPr>
          <w:ilvl w:val="0"/>
          <w:numId w:val="1275"/>
        </w:numPr>
        <w:pStyle w:val="Compact"/>
      </w:pPr>
      <w:r>
        <w:rPr>
          <w:bCs/>
          <w:b/>
        </w:rPr>
        <w:t xml:space="preserve">WADA:</w:t>
      </w:r>
      <w:r>
        <w:t xml:space="preserve"> </w:t>
      </w:r>
      <w:r>
        <w:t xml:space="preserve">non elencata (aggiornato al 2026, da verificare).</w:t>
      </w:r>
    </w:p>
    <w:p>
      <w:pPr>
        <w:numPr>
          <w:ilvl w:val="0"/>
          <w:numId w:val="1275"/>
        </w:numPr>
        <w:pStyle w:val="Compact"/>
      </w:pPr>
      <w:r>
        <w:rPr>
          <w:bCs/>
          <w:b/>
        </w:rPr>
        <w:t xml:space="preserve">Livello di evidenza:</w:t>
      </w:r>
      <w:r>
        <w:t xml:space="preserve"> </w:t>
      </w:r>
      <w:r>
        <w:rPr>
          <w:bCs/>
          <w:b/>
        </w:rPr>
        <w:t xml:space="preserve">B</w:t>
      </w:r>
      <w:r>
        <w:t xml:space="preserve"> </w:t>
      </w:r>
      <w:r>
        <w:t xml:space="preserve">per l’uso come spray nasale – centinaia di studi randomizzati, ma per lo più piccoli e con dosi singole; i pochi grandi studi di trattamento sono stati negativi. Per l’ostetricia (infusione, iniezione) vale il livello A; non è il tema centrale di questo capitolo.</w:t>
      </w:r>
    </w:p>
    <w:bookmarkEnd w:id="815"/>
    <w:bookmarkStart w:id="819" w:name="come-dovrebbe-agire-50"/>
    <w:p>
      <w:pPr>
        <w:pStyle w:val="Heading3"/>
      </w:pPr>
      <w:r>
        <w:t xml:space="preserve">Come dovrebbe agire</w:t>
      </w:r>
    </w:p>
    <w:bookmarkStart w:id="816" w:name="X34b3abacba11f8d05b1ddcae21052101d758c79"/>
    <w:p>
      <w:pPr>
        <w:pStyle w:val="Heading4"/>
      </w:pPr>
      <w:r>
        <w:t xml:space="preserve">Dall’ormone del parto all’«ormone delle coccole»</w:t>
      </w:r>
    </w:p>
    <w:p>
      <w:pPr>
        <w:pStyle w:val="FirstParagraph"/>
      </w:pPr>
      <w:r>
        <w:t xml:space="preserve">L’ossitocina prende il nome dall’espressione greca per «parto rapido». I suoi compiti classici sono fisici: fa contrarre l’utero e spinge il latte fuori dalle ghiandole mammarie. Dagli anni Novanta è emerso un secondo ruolo. Nelle arvicole della prateria, che formano coppie per tutta la vita, il legame di coppia dipende dal sistema dell’ossitocina nel cervello (esperimenti sugli animali). Nelle pecore e nei roditori regola il comportamento di accudimento delle madri verso la prole.</w:t>
      </w:r>
    </w:p>
    <w:p>
      <w:pPr>
        <w:pStyle w:val="BodyText"/>
      </w:pPr>
      <w:r>
        <w:t xml:space="preserve">Da questi dati sugli animali è nata dal 2005 un’ondata di studi sull’uomo che somministravano l’ossitocina come spray nasale e misuravano il comportamento sociale. I media hanno coniato etichette come «ormone delle coccole», «ormone della fiducia» o «ormone dell’amore». Come mostra questo capitolo, i dati disponibili oggi sono molto più deludenti di questi slogan.</w:t>
      </w:r>
    </w:p>
    <w:bookmarkEnd w:id="816"/>
    <w:bookmarkStart w:id="817" w:name="il-problema-del-naso"/>
    <w:p>
      <w:pPr>
        <w:pStyle w:val="Heading4"/>
      </w:pPr>
      <w:r>
        <w:t xml:space="preserve">Il problema del naso</w:t>
      </w:r>
    </w:p>
    <w:p>
      <w:pPr>
        <w:pStyle w:val="FirstParagraph"/>
      </w:pPr>
      <w:r>
        <w:t xml:space="preserve">L’ossitocina, in quanto peptide, è troppo grande e troppo idrosolubile per superare in quantità apprezzabile la barriera ematoencefalica. Lo spray nasale dovrebbe trovare una via diretta verso il cervello attraverso i nervi olfattivi e trigeminali della mucosa nasale. Se ciò funzioni e in quale misura è una delle questioni aperte centrali del settore:</w:t>
      </w:r>
    </w:p>
    <w:p>
      <w:pPr>
        <w:numPr>
          <w:ilvl w:val="0"/>
          <w:numId w:val="1276"/>
        </w:numPr>
        <w:pStyle w:val="Compact"/>
      </w:pPr>
      <w:r>
        <w:rPr>
          <w:bCs/>
          <w:b/>
        </w:rPr>
        <w:t xml:space="preserve">Visione scettica:</w:t>
      </w:r>
      <w:r>
        <w:t xml:space="preserve"> </w:t>
      </w:r>
      <w:r>
        <w:t xml:space="preserve">solo una minima frazione della quantità spruzzata raggiunge il liquido cerebrospinale, mentre il livello nel sangue sale molto oltre i valori naturali. Molti effetti osservati potrebbero quindi derivare da azioni nel corpo, per esempio sul cuore o sull’intestino, che poi influenzano indirettamente il cervello (Leng 2016, PMID 26049207).</w:t>
      </w:r>
    </w:p>
    <w:p>
      <w:pPr>
        <w:numPr>
          <w:ilvl w:val="0"/>
          <w:numId w:val="1276"/>
        </w:numPr>
        <w:pStyle w:val="Compact"/>
      </w:pPr>
      <w:r>
        <w:rPr>
          <w:bCs/>
          <w:b/>
        </w:rPr>
        <w:t xml:space="preserve">Dati nelle scimmie:</w:t>
      </w:r>
      <w:r>
        <w:t xml:space="preserve"> </w:t>
      </w:r>
      <w:r>
        <w:t xml:space="preserve">nei macachi rhesus l’ossitocina marcata ha raggiunto il liquido cerebrospinale dopo somministrazione nasale e dopo somministrazione endovenosa; il naso non si è dimostrato superiore (Lee 2018, PMID 28289281). In un secondo studio l’ossitocina marcata è stata trovata dopo somministrazione nasale – non dopo somministrazione endovenosa – in regioni cerebrali lungo le vie olfattive e trigeminali (Lee 2020, PMID 32494001).</w:t>
      </w:r>
    </w:p>
    <w:p>
      <w:pPr>
        <w:numPr>
          <w:ilvl w:val="0"/>
          <w:numId w:val="1276"/>
        </w:numPr>
        <w:pStyle w:val="Compact"/>
      </w:pPr>
      <w:r>
        <w:rPr>
          <w:bCs/>
          <w:b/>
        </w:rPr>
        <w:t xml:space="preserve">Dati nell’uomo:</w:t>
      </w:r>
      <w:r>
        <w:t xml:space="preserve"> </w:t>
      </w:r>
      <w:r>
        <w:t xml:space="preserve">uno studio ha confrontato spray nasale, nebulizzatore e infusione. La diminuzione dell’irrorazione sanguigna dell’amigdala si poteva spiegare interamente con l’aumento nel sangue; al tempo stesso c’erano indizi di effetti diretti attraverso il naso in altre regioni (Martins 2020, PMID 32127545).</w:t>
      </w:r>
    </w:p>
    <w:p>
      <w:pPr>
        <w:numPr>
          <w:ilvl w:val="0"/>
          <w:numId w:val="1276"/>
        </w:numPr>
        <w:pStyle w:val="Compact"/>
      </w:pPr>
      <w:r>
        <w:rPr>
          <w:bCs/>
          <w:b/>
        </w:rPr>
        <w:t xml:space="preserve">Problemi di misurazione:</w:t>
      </w:r>
      <w:r>
        <w:t xml:space="preserve"> </w:t>
      </w:r>
      <w:r>
        <w:t xml:space="preserve">i livelli di ossitocina nel sangue non rispecchiano i valori nel cervello in condizioni di riposo (Valstad 2017, PMID 28442403). Molti studi meno recenti hanno inoltre usato metodi di misurazione oggi considerati inaffidabili (Leng 2016, PMID 26049207).</w:t>
      </w:r>
    </w:p>
    <w:p>
      <w:pPr>
        <w:pStyle w:val="FirstParagraph"/>
      </w:pPr>
      <w:r>
        <w:t xml:space="preserve">Gli esperti che valutano il settore complessivamente in modo positivo ritengono ormai dimostrata una via diretta dal naso al cervello, ma sottolineano che dose, tecnica di spruzzo e sesso dei partecipanti influenzano fortemente i risultati (Quintana 2021, PMID 32807845). Per i lettori ciò significa: se uno spray nasale di ossitocina arrivi al cervello dipende da molti dettagli, e persino gli esperti non sono d’accordo sull’ordine di grandezza.</w:t>
      </w:r>
    </w:p>
    <w:bookmarkEnd w:id="817"/>
    <w:bookmarkStart w:id="818" w:name="in-breve-lossitocina-in-ostetricia"/>
    <w:p>
      <w:pPr>
        <w:pStyle w:val="Heading4"/>
      </w:pPr>
      <w:r>
        <w:t xml:space="preserve">In breve: l’ossitocina in ostetricia</w:t>
      </w:r>
    </w:p>
    <w:p>
      <w:pPr>
        <w:pStyle w:val="FirstParagraph"/>
      </w:pPr>
      <w:r>
        <w:t xml:space="preserve">Come infusione o iniezione l’ossitocina è uno dei farmaci più importanti al mondo; l’Organizzazione mondiale della sanità la include nel suo elenco dei medicinali essenziali. Viene impiegata per indurre o rafforzare le contrazioni e per prevenire le emorragie gravi dopo il parto. Una revisione Cochrane con 24 studi ha concluso che l’ossitocina somministrata a scopo preventivo dimezza circa il rischio di una perdita di sangue di 500 ml o più (rischio relativo 0,51), con una qualità in parte bassa dei singoli studi (Salati 2019, PMID 31032882). Questo impiego spetta esclusivamente a ostetriche e medici; dosaggio e monitoraggio sono regolati dal riassunto delle caratteristiche del prodotto. Per la valutazione dello spray nasale in ambito psichico non ha alcun ruolo.</w:t>
      </w:r>
    </w:p>
    <w:bookmarkEnd w:id="818"/>
    <w:bookmarkEnd w:id="819"/>
    <w:bookmarkStart w:id="827" w:name="studi-sulluomo-50"/>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(termine «intranasal oxytocin» nel titolo o nell’abstract) ha trovato</w:t>
      </w:r>
      <w:r>
        <w:t xml:space="preserve"> </w:t>
      </w:r>
      <w:r>
        <w:rPr>
          <w:bCs/>
          <w:b/>
        </w:rPr>
        <w:t xml:space="preserve">349</w:t>
      </w:r>
      <w:r>
        <w:t xml:space="preserve"> </w:t>
      </w:r>
      <w:r>
        <w:t xml:space="preserve">studi sull’uomo in PubMed (</w:t>
      </w:r>
      <w:r>
        <w:rPr>
          <w:rStyle w:val="VerbatimChar"/>
        </w:rPr>
        <w:t xml:space="preserve">humanstudien_alle</w:t>
      </w:r>
      <w:r>
        <w:t xml:space="preserve">) e</w:t>
      </w:r>
      <w:r>
        <w:t xml:space="preserve"> </w:t>
      </w:r>
      <w:r>
        <w:rPr>
          <w:bCs/>
          <w:b/>
        </w:rPr>
        <w:t xml:space="preserve">263</w:t>
      </w:r>
      <w:r>
        <w:t xml:space="preserve"> </w:t>
      </w:r>
      <w:r>
        <w:t xml:space="preserve">voci su ClinicalTrials.gov, di cui circa 20 ancora in fase di reclutamento. A questi si aggiungono almeno 15 meta-analisi e revisioni sistematiche. L’ossitocina è quindi il peptide più studiato nell’uomo in questa parte del libro. La grande maggioranza degli studi ha però somministrato una sola dose a, per lo più, 20–60 giovani uomini sani e ha misurato variazioni a breve termine in test di laboratorio o allo scanner cerebrale.</w:t>
      </w:r>
    </w:p>
    <w:p>
      <w:pPr>
        <w:pStyle w:val="BodyText"/>
      </w:pPr>
      <w:r>
        <w:t xml:space="preserve">Questo capitolo suddivide gli studi in quattro gruppi: studi di base su persone sane con la successiva crisi della replicabilità, l’autismo come principale campo di trattamento, altri disturbi psichiatrici e infine metabolismo, dolore e sessualità.</w:t>
      </w:r>
    </w:p>
    <w:bookmarkStart w:id="820" w:name="X0192c36e55e92c3fb29334d1699daacecb672ad"/>
    <w:p>
      <w:pPr>
        <w:pStyle w:val="Heading4"/>
      </w:pPr>
      <w:r>
        <w:t xml:space="preserve">Comportamento sociale nelle persone sane: fiducia, stress, emozioni</w:t>
      </w:r>
    </w:p>
    <w:p>
      <w:pPr>
        <w:pStyle w:val="FirstParagraph"/>
      </w:pPr>
      <w:r>
        <w:rPr>
          <w:bCs/>
          <w:b/>
        </w:rPr>
        <w:t xml:space="preserve">Fiducia.</w:t>
      </w:r>
      <w:r>
        <w:t xml:space="preserve"> </w:t>
      </w:r>
      <w:r>
        <w:t xml:space="preserve">Lo studio che ha fondato il settore è uscito nel 2005 su Nature: uomini che avevano inalato ossitocina affidavano a uno sconosciuto più denaro in un gioco economico (Kosfeld 2005, PMID 15931222). In questo «gioco della fiducia» un investitore decide quanto denaro lasciare a un fiduciario; la somma viene moltiplicata e il fiduciario decide quanto restituire. L’ossitocina non aumentava la propensione al rischio in generale, ma specificamente la disponibilità ad assumersi rischi sociali.</w:t>
      </w:r>
    </w:p>
    <w:p>
      <w:pPr>
        <w:pStyle w:val="BodyText"/>
      </w:pPr>
      <w:r>
        <w:rPr>
          <w:bCs/>
          <w:b/>
        </w:rPr>
        <w:t xml:space="preserve">Stress.</w:t>
      </w:r>
      <w:r>
        <w:t xml:space="preserve"> </w:t>
      </w:r>
      <w:r>
        <w:t xml:space="preserve">In uno studio con 37 uomini sani l’ossitocina ha attenuato l’ansia durante un test di stress standardizzato (discorso pubblico e calcolo mentale davanti a un pubblico). I valori più bassi dell’ormone dello stress cortisolo si sono registrati negli uomini che ricevevano ossitocina e in più erano sostenuti dal loro migliore amico (Heinrichs 2003, PMID 14675803).</w:t>
      </w:r>
    </w:p>
    <w:p>
      <w:pPr>
        <w:pStyle w:val="BodyText"/>
      </w:pPr>
      <w:r>
        <w:rPr>
          <w:bCs/>
          <w:b/>
        </w:rPr>
        <w:t xml:space="preserve">Riconoscere le emozioni.</w:t>
      </w:r>
      <w:r>
        <w:t xml:space="preserve"> </w:t>
      </w:r>
      <w:r>
        <w:t xml:space="preserve">Una meta-analisi di 33 studi ha rilevato che una dose singola nelle persone sane migliorava leggermente il riconoscimento delle emozioni di base, soprattutto della paura. Nelle persone con disturbi psichici non è invece emerso alcun effetto (Leppanen 2017, PMID 28467893).</w:t>
      </w:r>
    </w:p>
    <w:p>
      <w:pPr>
        <w:pStyle w:val="BodyText"/>
      </w:pPr>
      <w:r>
        <w:t xml:space="preserve">Centinaia di altri studi hanno riportato effetti su direzione dello sguardo, empatia, memoria per i volti, appartenenza al gruppo, menzogna, generosità, gelosia e molto altro. Molti di questi risultati comparivano solo in sottogruppi, per esempio solo negli uomini, solo nelle persone ansiose o solo con determinate varianti genetiche del recettore dell’ossitocina.</w:t>
      </w:r>
    </w:p>
    <w:bookmarkEnd w:id="820"/>
    <w:bookmarkStart w:id="821" w:name="la-crisi-della-replicabilità"/>
    <w:p>
      <w:pPr>
        <w:pStyle w:val="Heading4"/>
      </w:pPr>
      <w:r>
        <w:t xml:space="preserve">La crisi della replicabilità</w:t>
      </w:r>
    </w:p>
    <w:p>
      <w:pPr>
        <w:pStyle w:val="FirstParagraph"/>
      </w:pPr>
      <w:r>
        <w:t xml:space="preserve">Dal 2015 circa si sono moltiplicati i dubbi. Il termine crisi della replicabilità descrive il problema per cui molti risultati pubblicati in psicologia e medicina non vengono confermati quando altri ricercatori li ripetono. L’ossitocina è diventata un esempio emblematico.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Tipo</w:t>
            </w:r>
          </w:p>
        </w:tc>
        <w:tc>
          <w:tcPr/>
          <w:p>
            <w:pPr>
              <w:pStyle w:val="Compact"/>
              <w:jc w:val="left"/>
            </w:pPr>
            <w:r>
              <w:t xml:space="preserve">Messaggio chiave</w:t>
            </w:r>
          </w:p>
        </w:tc>
      </w:tr>
      <w:tr>
        <w:tc>
          <w:tcPr/>
          <w:p>
            <w:pPr>
              <w:pStyle w:val="Compact"/>
              <w:jc w:val="left"/>
            </w:pPr>
            <w:r>
              <w:t xml:space="preserve">Kosfeld 2005, PMID 15931222</w:t>
            </w:r>
          </w:p>
        </w:tc>
        <w:tc>
          <w:tcPr/>
          <w:p>
            <w:pPr>
              <w:pStyle w:val="Compact"/>
              <w:jc w:val="left"/>
            </w:pPr>
            <w:r>
              <w:t xml:space="preserve">Studio originale, gioco della fiducia</w:t>
            </w:r>
          </w:p>
        </w:tc>
        <w:tc>
          <w:tcPr/>
          <w:p>
            <w:pPr>
              <w:pStyle w:val="Compact"/>
              <w:jc w:val="left"/>
            </w:pPr>
            <w:r>
              <w:t xml:space="preserve">L’ossitocina aumenta la fiducia</w:t>
            </w:r>
          </w:p>
        </w:tc>
      </w:tr>
      <w:tr>
        <w:tc>
          <w:tcPr/>
          <w:p>
            <w:pPr>
              <w:pStyle w:val="Compact"/>
              <w:jc w:val="left"/>
            </w:pPr>
            <w:r>
              <w:t xml:space="preserve">Nave 2015, PMID 26581735</w:t>
            </w:r>
          </w:p>
        </w:tc>
        <w:tc>
          <w:tcPr/>
          <w:p>
            <w:pPr>
              <w:pStyle w:val="Compact"/>
              <w:jc w:val="left"/>
            </w:pPr>
            <w:r>
              <w:t xml:space="preserve">rassegna critica</w:t>
            </w:r>
          </w:p>
        </w:tc>
        <w:tc>
          <w:tcPr/>
          <w:p>
            <w:pPr>
              <w:pStyle w:val="Compact"/>
              <w:jc w:val="left"/>
            </w:pPr>
            <w:r>
              <w:t xml:space="preserve">L’effetto sulla fiducia non si è potuto replicare in modo affidabile</w:t>
            </w:r>
          </w:p>
        </w:tc>
      </w:tr>
      <w:tr>
        <w:tc>
          <w:tcPr/>
          <w:p>
            <w:pPr>
              <w:pStyle w:val="Compact"/>
              <w:jc w:val="left"/>
            </w:pPr>
            <w:r>
              <w:t xml:space="preserve">Lane 2015, PMID 26368396</w:t>
            </w:r>
          </w:p>
        </w:tc>
        <w:tc>
          <w:tcPr/>
          <w:p>
            <w:pPr>
              <w:pStyle w:val="Compact"/>
              <w:jc w:val="left"/>
            </w:pPr>
            <w:r>
              <w:t xml:space="preserve">due studi di replica (95 e 61 persone)</w:t>
            </w:r>
          </w:p>
        </w:tc>
        <w:tc>
          <w:tcPr/>
          <w:p>
            <w:pPr>
              <w:pStyle w:val="Compact"/>
              <w:jc w:val="left"/>
            </w:pPr>
            <w:r>
              <w:t xml:space="preserve">grande effetto in un altro test di fiducia non confermato</w:t>
            </w:r>
          </w:p>
        </w:tc>
      </w:tr>
      <w:tr>
        <w:tc>
          <w:tcPr/>
          <w:p>
            <w:pPr>
              <w:pStyle w:val="Compact"/>
              <w:jc w:val="left"/>
            </w:pPr>
            <w:r>
              <w:t xml:space="preserve">Walum 2016, PMID 26210057</w:t>
            </w:r>
          </w:p>
        </w:tc>
        <w:tc>
          <w:tcPr/>
          <w:p>
            <w:pPr>
              <w:pStyle w:val="Compact"/>
              <w:jc w:val="left"/>
            </w:pPr>
            <w:r>
              <w:t xml:space="preserve">analisi statistica del settore</w:t>
            </w:r>
          </w:p>
        </w:tc>
        <w:tc>
          <w:tcPr/>
          <w:p>
            <w:pPr>
              <w:pStyle w:val="Compact"/>
              <w:jc w:val="left"/>
            </w:pPr>
            <w:r>
              <w:t xml:space="preserve">studi per lo più troppo piccoli; la maggior parte dei risultati pubblicati probabilmente non sono effetti reali</w:t>
            </w:r>
          </w:p>
        </w:tc>
      </w:tr>
      <w:tr>
        <w:tc>
          <w:tcPr/>
          <w:p>
            <w:pPr>
              <w:pStyle w:val="Compact"/>
              <w:jc w:val="left"/>
            </w:pPr>
            <w:r>
              <w:t xml:space="preserve">Mierop 2020, PMID 32633663</w:t>
            </w:r>
          </w:p>
        </w:tc>
        <w:tc>
          <w:tcPr/>
          <w:p>
            <w:pPr>
              <w:pStyle w:val="Compact"/>
              <w:jc w:val="left"/>
            </w:pPr>
            <w:r>
              <w:t xml:space="preserve">revisione sistematica</w:t>
            </w:r>
          </w:p>
        </w:tc>
        <w:tc>
          <w:tcPr/>
          <w:p>
            <w:pPr>
              <w:pStyle w:val="Compact"/>
              <w:jc w:val="left"/>
            </w:pPr>
            <w:r>
              <w:t xml:space="preserve">tentativi di replica sulle interazioni per lo più falliti; potenza statistica criticamente bassa</w:t>
            </w:r>
          </w:p>
        </w:tc>
      </w:tr>
      <w:tr>
        <w:tc>
          <w:tcPr/>
          <w:p>
            <w:pPr>
              <w:pStyle w:val="Compact"/>
              <w:jc w:val="left"/>
            </w:pPr>
            <w:r>
              <w:t xml:space="preserve">Declerck 2020, PMID 32514040</w:t>
            </w:r>
          </w:p>
        </w:tc>
        <w:tc>
          <w:tcPr/>
          <w:p>
            <w:pPr>
              <w:pStyle w:val="Compact"/>
              <w:jc w:val="left"/>
            </w:pPr>
            <w:r>
              <w:t xml:space="preserve">studio di replica preregistrato</w:t>
            </w:r>
          </w:p>
        </w:tc>
        <w:tc>
          <w:tcPr/>
          <w:p>
            <w:pPr>
              <w:pStyle w:val="Compact"/>
              <w:jc w:val="left"/>
            </w:pPr>
            <w:r>
              <w:t xml:space="preserve">nessun effetto sulla fiducia nella condizione originale</w:t>
            </w:r>
          </w:p>
        </w:tc>
      </w:tr>
      <w:tr>
        <w:tc>
          <w:tcPr/>
          <w:p>
            <w:pPr>
              <w:pStyle w:val="Compact"/>
              <w:jc w:val="left"/>
            </w:pPr>
            <w:r>
              <w:t xml:space="preserve">Vogt 2026, PMID 42561025</w:t>
            </w:r>
          </w:p>
        </w:tc>
        <w:tc>
          <w:tcPr/>
          <w:p>
            <w:pPr>
              <w:pStyle w:val="Compact"/>
              <w:jc w:val="left"/>
            </w:pPr>
            <w:r>
              <w:t xml:space="preserve">studio preregistrato, 359 uomini con bassa fiducia di base</w:t>
            </w:r>
          </w:p>
        </w:tc>
        <w:tc>
          <w:tcPr/>
          <w:p>
            <w:pPr>
              <w:pStyle w:val="Compact"/>
              <w:jc w:val="left"/>
            </w:pPr>
            <w:r>
              <w:t xml:space="preserve">fiducia aumentata di circa il 15%</w:t>
            </w:r>
          </w:p>
        </w:tc>
      </w:tr>
    </w:tbl>
    <w:p>
      <w:pPr>
        <w:pStyle w:val="BodyText"/>
      </w:pPr>
      <w:r>
        <w:t xml:space="preserve">Una rassegna del 2015 ha concluso che l’insieme dei dati non dimostra che la fiducia umana sia legata in modo affidabile all’ossitocina o causata da essa (Nave 2015, PMID 26581735). Un’analisi statistica di tutti gli studi sullo spray nasale è andata oltre: gli studi sarebbero di regola troppo piccoli per trovare effetti realistici, e con alta probabilità la maggior parte dei risultati pubblicati non rappresenterebbe effetti reali (Walum 2016, PMID 26210057).</w:t>
      </w:r>
    </w:p>
    <w:p>
      <w:pPr>
        <w:pStyle w:val="BodyText"/>
      </w:pPr>
      <w:r>
        <w:t xml:space="preserve">La prova decisiva è stata una grande replica preregistrata dello studio sulla fiducia, con una potenza statistica superiore al 95%. Nella condizione corrispondente allo studio originale l’ossitocina non ha mostrato alcun effetto. Un’analisi successiva indicava un effetto solo nelle persone con bassa fiducia di base (Declerck 2020, PMID 32514040). Proprio questa ipotesi è stata verificata nel 2026 da un altro studio preregistrato con 359 uomini con bassa fiducia di base, che ha trovato un aumento della fiducia di circa il 15% (Vogt 2026, PMID 42561025).</w:t>
      </w:r>
    </w:p>
    <w:p>
      <w:pPr>
        <w:pStyle w:val="BodyText"/>
      </w:pPr>
      <w:r>
        <w:rPr>
          <w:bCs/>
          <w:b/>
        </w:rPr>
        <w:t xml:space="preserve">Che cosa significa:</w:t>
      </w:r>
      <w:r>
        <w:t xml:space="preserve"> </w:t>
      </w:r>
      <w:r>
        <w:t xml:space="preserve">l’effetto originario e ampio «l’ossitocina rende più fiduciosi» non si è confermato. Forse esiste un effetto minore in un determinato sottogruppo e in determinate condizioni. Questo è scientificamente interessante, ma molto lontano da un beneficio pratico. L’esperienza ha cambiato il settore: oggi gli studi vengono più spesso preregistrati, sono più grandi e riportano anche risultati negativi. Una piattaforma online presentata nel 2026 dovrebbe analizzare in modo continuo i dati disponibili (Iversen 2026, PMID 41389446).</w:t>
      </w:r>
    </w:p>
    <w:bookmarkEnd w:id="821"/>
    <w:bookmarkStart w:id="822" w:name="autismo"/>
    <w:p>
      <w:pPr>
        <w:pStyle w:val="Heading4"/>
      </w:pPr>
      <w:r>
        <w:t xml:space="preserve">Autismo</w:t>
      </w:r>
    </w:p>
    <w:p>
      <w:pPr>
        <w:pStyle w:val="FirstParagraph"/>
      </w:pPr>
      <w:r>
        <w:t xml:space="preserve">I disturbi dello spettro autistico sono caratterizzati da difficoltà nella comunicazione sociale e da comportamenti ristretti e ripetitivi. Non esistono farmaci che modifichino queste caratteristiche centrali. L’ossitocina è stata quindi a lungo considerata una grande speranza, e in alcuni Paesi veniva già prescritta a bambini con autismo al di fuori degli studi (Sikich 2021, PMID 34644471).</w:t>
      </w:r>
    </w:p>
    <w:p>
      <w:pPr>
        <w:pStyle w:val="BodyText"/>
      </w:pPr>
      <w:r>
        <w:rPr>
          <w:bCs/>
          <w:b/>
        </w:rPr>
        <w:t xml:space="preserve">Primi studi.</w:t>
      </w:r>
      <w:r>
        <w:t xml:space="preserve"> </w:t>
      </w:r>
      <w:r>
        <w:t xml:space="preserve">Una revisione sistematica del 2014 ha trovato sette studi randomizzati con complessivamente 101 persone con autismo, quasi tutte di sesso maschile. Gli studi erano piccoli (in mediana 15 partecipanti) e avevano un rischio di distorsione da medio ad alto. Quasi tutti riportavano almeno un risultato positivo, per lo più nella direzione dello sguardo o nel riconoscimento delle emozioni (Preti 2014, PMID 24679173).</w:t>
      </w:r>
    </w:p>
    <w:p>
      <w:pPr>
        <w:pStyle w:val="BodyText"/>
      </w:pPr>
      <w:r>
        <w:rPr>
          <w:bCs/>
          <w:b/>
        </w:rPr>
        <w:t xml:space="preserve">Studi di trattamento della durata di settimane.</w:t>
      </w:r>
      <w:r>
        <w:t xml:space="preserve"> </w:t>
      </w:r>
      <w:r>
        <w:t xml:space="preserve">Sono seguiti studi in cui bambini e adulti ricevevano ossitocina per diverse settimane: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Anagnostou 2012, PMID 23216716</w:t>
            </w:r>
          </w:p>
        </w:tc>
        <w:tc>
          <w:tcPr/>
          <w:p>
            <w:pPr>
              <w:pStyle w:val="Compact"/>
              <w:jc w:val="left"/>
            </w:pPr>
            <w:r>
              <w:t xml:space="preserve">19 adulti, RCT</w:t>
            </w:r>
          </w:p>
        </w:tc>
        <w:tc>
          <w:tcPr/>
          <w:p>
            <w:pPr>
              <w:pStyle w:val="Compact"/>
              <w:jc w:val="left"/>
            </w:pPr>
            <w:r>
              <w:t xml:space="preserve">6 settimane</w:t>
            </w:r>
          </w:p>
        </w:tc>
        <w:tc>
          <w:tcPr/>
          <w:p>
            <w:pPr>
              <w:pStyle w:val="Compact"/>
              <w:jc w:val="left"/>
            </w:pPr>
            <w:r>
              <w:t xml:space="preserve">obiettivi primari non raggiunti; miglioramento negli obiettivi secondari</w:t>
            </w:r>
          </w:p>
        </w:tc>
      </w:tr>
      <w:tr>
        <w:tc>
          <w:tcPr/>
          <w:p>
            <w:pPr>
              <w:pStyle w:val="Compact"/>
              <w:jc w:val="left"/>
            </w:pPr>
            <w:r>
              <w:t xml:space="preserve">Guastella 2015, PMID 25087908</w:t>
            </w:r>
          </w:p>
        </w:tc>
        <w:tc>
          <w:tcPr/>
          <w:p>
            <w:pPr>
              <w:pStyle w:val="Compact"/>
              <w:jc w:val="left"/>
            </w:pPr>
            <w:r>
              <w:t xml:space="preserve">50 adolescenti maschi (12–18 anni), RCT</w:t>
            </w:r>
          </w:p>
        </w:tc>
        <w:tc>
          <w:tcPr/>
          <w:p>
            <w:pPr>
              <w:pStyle w:val="Compact"/>
              <w:jc w:val="left"/>
            </w:pPr>
            <w:r>
              <w:t xml:space="preserve">8 settimane</w:t>
            </w:r>
          </w:p>
        </w:tc>
        <w:tc>
          <w:tcPr/>
          <w:p>
            <w:pPr>
              <w:pStyle w:val="Compact"/>
              <w:jc w:val="left"/>
            </w:pPr>
            <w:r>
              <w:t xml:space="preserve">nessun beneficio negli obiettivi primari o secondari</w:t>
            </w:r>
          </w:p>
        </w:tc>
      </w:tr>
      <w:tr>
        <w:tc>
          <w:tcPr/>
          <w:p>
            <w:pPr>
              <w:pStyle w:val="Compact"/>
              <w:jc w:val="left"/>
            </w:pPr>
            <w:r>
              <w:t xml:space="preserve">Yatawara 2016, PMID 26503762</w:t>
            </w:r>
          </w:p>
        </w:tc>
        <w:tc>
          <w:tcPr/>
          <w:p>
            <w:pPr>
              <w:pStyle w:val="Compact"/>
              <w:jc w:val="left"/>
            </w:pPr>
            <w:r>
              <w:t xml:space="preserve">31 bambini piccoli, studio crossover contro placebo</w:t>
            </w:r>
          </w:p>
        </w:tc>
        <w:tc>
          <w:tcPr/>
          <w:p>
            <w:pPr>
              <w:pStyle w:val="Compact"/>
              <w:jc w:val="left"/>
            </w:pPr>
            <w:r>
              <w:t xml:space="preserve">5 settimane ciascuna</w:t>
            </w:r>
          </w:p>
        </w:tc>
        <w:tc>
          <w:tcPr/>
          <w:p>
            <w:pPr>
              <w:pStyle w:val="Compact"/>
              <w:jc w:val="left"/>
            </w:pPr>
            <w:r>
              <w:t xml:space="preserve">reattività sociale migliorata secondo i genitori</w:t>
            </w:r>
          </w:p>
        </w:tc>
      </w:tr>
      <w:tr>
        <w:tc>
          <w:tcPr/>
          <w:p>
            <w:pPr>
              <w:pStyle w:val="Compact"/>
              <w:jc w:val="left"/>
            </w:pPr>
            <w:r>
              <w:t xml:space="preserve">Parker 2017, PMID 28696286</w:t>
            </w:r>
          </w:p>
        </w:tc>
        <w:tc>
          <w:tcPr/>
          <w:p>
            <w:pPr>
              <w:pStyle w:val="Compact"/>
              <w:jc w:val="left"/>
            </w:pPr>
            <w:r>
              <w:t xml:space="preserve">32 bambini (6–12 anni), RCT</w:t>
            </w:r>
          </w:p>
        </w:tc>
        <w:tc>
          <w:tcPr/>
          <w:p>
            <w:pPr>
              <w:pStyle w:val="Compact"/>
              <w:jc w:val="left"/>
            </w:pPr>
            <w:r>
              <w:t xml:space="preserve">4 settimane</w:t>
            </w:r>
          </w:p>
        </w:tc>
        <w:tc>
          <w:tcPr/>
          <w:p>
            <w:pPr>
              <w:pStyle w:val="Compact"/>
              <w:jc w:val="left"/>
            </w:pPr>
            <w:r>
              <w:t xml:space="preserve">abilità sociali migliorate considerando i valori ematici iniziali; un livello iniziale basso prediceva la risposta</w:t>
            </w:r>
          </w:p>
        </w:tc>
      </w:tr>
      <w:tr>
        <w:tc>
          <w:tcPr/>
          <w:p>
            <w:pPr>
              <w:pStyle w:val="Compact"/>
              <w:jc w:val="left"/>
            </w:pPr>
            <w:r>
              <w:t xml:space="preserve">SOARS-B (Sikich 2021), PMID 34644471</w:t>
            </w:r>
          </w:p>
        </w:tc>
        <w:tc>
          <w:tcPr/>
          <w:p>
            <w:pPr>
              <w:pStyle w:val="Compact"/>
              <w:jc w:val="left"/>
            </w:pPr>
            <w:r>
              <w:t xml:space="preserve">290 bambini e adolescenti (3–17 anni), RCT</w:t>
            </w:r>
          </w:p>
        </w:tc>
        <w:tc>
          <w:tcPr/>
          <w:p>
            <w:pPr>
              <w:pStyle w:val="Compact"/>
              <w:jc w:val="left"/>
            </w:pPr>
            <w:r>
              <w:t xml:space="preserve">24 settimane</w:t>
            </w:r>
          </w:p>
        </w:tc>
        <w:tc>
          <w:tcPr/>
          <w:p>
            <w:pPr>
              <w:pStyle w:val="Compact"/>
              <w:jc w:val="left"/>
            </w:pPr>
            <w:r>
              <w:t xml:space="preserve">nessuna differenza: −3,7 vs. −3,5 punti nel ritiro sociale</w:t>
            </w:r>
          </w:p>
        </w:tc>
      </w:tr>
      <w:tr>
        <w:tc>
          <w:tcPr/>
          <w:p>
            <w:pPr>
              <w:pStyle w:val="Compact"/>
              <w:jc w:val="left"/>
            </w:pPr>
            <w:r>
              <w:t xml:space="preserve">Guastella 2023, PMID 36302965</w:t>
            </w:r>
          </w:p>
        </w:tc>
        <w:tc>
          <w:tcPr/>
          <w:p>
            <w:pPr>
              <w:pStyle w:val="Compact"/>
              <w:jc w:val="left"/>
            </w:pPr>
            <w:r>
              <w:t xml:space="preserve">87 bambini (3–12 anni), RCT dopo una fase preliminare con placebo</w:t>
            </w:r>
          </w:p>
        </w:tc>
        <w:tc>
          <w:tcPr/>
          <w:p>
            <w:pPr>
              <w:pStyle w:val="Compact"/>
              <w:jc w:val="left"/>
            </w:pPr>
            <w:r>
              <w:t xml:space="preserve">12 settimane</w:t>
            </w:r>
          </w:p>
        </w:tc>
        <w:tc>
          <w:tcPr/>
          <w:p>
            <w:pPr>
              <w:pStyle w:val="Compact"/>
              <w:jc w:val="left"/>
            </w:pPr>
            <w:r>
              <w:t xml:space="preserve">nel complesso nessun effetto; indizio di efficacia nei bambini di 3–5 anni</w:t>
            </w:r>
          </w:p>
        </w:tc>
      </w:tr>
    </w:tbl>
    <w:p>
      <w:pPr>
        <w:pStyle w:val="BodyText"/>
      </w:pPr>
      <w:r>
        <w:rPr>
          <w:bCs/>
          <w:b/>
        </w:rPr>
        <w:t xml:space="preserve">Lo studio SOARS-B.</w:t>
      </w:r>
      <w:r>
        <w:t xml:space="preserve"> </w:t>
      </w:r>
      <w:r>
        <w:t xml:space="preserve">Lo studio di gran lunga più grande e significativo è SOARS-B (Study of Oxytocin in Autism to Improve Reciprocal Social Behaviors), finanziato dalle autorità sanitarie statunitensi e pubblicato nel 2021 sul New England Journal of Medicine (Sikich 2021, PMID 34644471; NCT01944046). 290 bambini e adolescenti tra 3 e 17 anni hanno ricevuto per 24 settimane ogni giorno ossitocina o uno spray nasale placebo. L’endpoint primario era una scala del ritiro sociale (ABC-mSW, da 0 a 39 punti).</w:t>
      </w:r>
    </w:p>
    <w:p>
      <w:pPr>
        <w:pStyle w:val="BodyText"/>
      </w:pPr>
      <w:r>
        <w:t xml:space="preserve">Il risultato è stato chiaramente negativo: il punteggio è diminuito di 3,7 punti con l’ossitocina e di 3,5 punti con il placebo. La differenza di 0,2 punti non era rilevante né statisticamente né clinicamente. Anche gli obiettivi secondari – altre due misure della funzione sociale e un test di intelligenza – non differivano. Gli effetti collaterali sono stati ugualmente frequenti in entrambi i gruppi.</w:t>
      </w:r>
    </w:p>
    <w:p>
      <w:pPr>
        <w:pStyle w:val="BodyText"/>
      </w:pPr>
      <w:r>
        <w:rPr>
          <w:bCs/>
          <w:b/>
        </w:rPr>
        <w:t xml:space="preserve">Lo studio australiano sui bambini piccoli.</w:t>
      </w:r>
      <w:r>
        <w:t xml:space="preserve"> </w:t>
      </w:r>
      <w:r>
        <w:t xml:space="preserve">Il gruppo di Adam Guastella aveva in precedenza trovato un risultato positivo nei bambini piccoli (Yatawara 2016, PMID 26503762). Uno studio successivo più ampio con 87 bambini ha previsto una fase preliminare di tre settimane con placebo per filtrare il forte effetto placebo. Nel complesso l’ossitocina non ha mostrato alcun effetto sulla reattività sociale. Solo nel sottogruppo dei bambini di 3–5 anni si intravedeva un miglioramento secondo il giudizio dei genitori; il giudizio medico e tutte le altre misure non hanno mostrato alcun beneficio (Guastella 2023, PMID 36302965). Da notare: nello studio sugli adolescenti del 2015 i genitori che credevano che il figlio ricevesse ossitocina riferivano miglioramenti maggiori, indipendentemente da ciò che il ragazzo riceveva davvero (Guastella 2015, PMID 25087908).</w:t>
      </w:r>
    </w:p>
    <w:p>
      <w:pPr>
        <w:pStyle w:val="BodyText"/>
      </w:pPr>
      <w:r>
        <w:rPr>
          <w:bCs/>
          <w:b/>
        </w:rPr>
        <w:t xml:space="preserve">Effetti biologici senza beneficio clinico.</w:t>
      </w:r>
      <w:r>
        <w:t xml:space="preserve"> </w:t>
      </w:r>
      <w:r>
        <w:t xml:space="preserve">Uno studio con 79 bambini ha trovato, dopo quattro settimane di ossitocina, livelli di ossitocina più alti nella saliva e modificazioni della marcatura epigenetica del gene del recettore (Moerkerke 2024, PMID 38167302). Allo scanner cerebrale, invece, nello stesso gruppo non sono emersi effetti significativi del trattamento sull’elaborazione dei volti (Moerkerke 2024, PMID 39709442). Questi segnali biologici sono scientificamente interessanti, ma non dimostrano un miglioramento nella vita quotidiana.</w:t>
      </w:r>
    </w:p>
    <w:p>
      <w:pPr>
        <w:pStyle w:val="BodyText"/>
      </w:pPr>
      <w:r>
        <w:rPr>
          <w:bCs/>
          <w:b/>
        </w:rPr>
        <w:t xml:space="preserve">Meta-analisi.</w:t>
      </w:r>
      <w:r>
        <w:t xml:space="preserve"> </w:t>
      </w:r>
      <w:r>
        <w:t xml:space="preserve">Le sintesi giungono a risultati diversi a seconda degli studi che includono:</w:t>
      </w:r>
    </w:p>
    <w:p>
      <w:pPr>
        <w:numPr>
          <w:ilvl w:val="0"/>
          <w:numId w:val="1277"/>
        </w:numPr>
        <w:pStyle w:val="Compact"/>
      </w:pPr>
      <w:r>
        <w:t xml:space="preserve">Una meta-analisi di 17 studi randomizzati con 466 persone con disturbi dello sviluppo non ha trovato alcun effetto sul riconoscimento delle emozioni e un piccolo effetto sulla comprensione dei pensieri altrui (Keech 2018, PMID 29032324).</w:t>
      </w:r>
    </w:p>
    <w:p>
      <w:pPr>
        <w:numPr>
          <w:ilvl w:val="0"/>
          <w:numId w:val="1277"/>
        </w:numPr>
        <w:pStyle w:val="Compact"/>
      </w:pPr>
      <w:r>
        <w:t xml:space="preserve">Una meta-analisi di 28 studi con 726 persone con autismo, tra cui anche studi non controllati, è giunta a un giudizio più positivo sulla funzione sociale (Huang 2021, PMID 33400920). L’inclusione di studi non controllati rende questo risultato vulnerabile alle distorsioni.</w:t>
      </w:r>
    </w:p>
    <w:p>
      <w:pPr>
        <w:numPr>
          <w:ilvl w:val="0"/>
          <w:numId w:val="1277"/>
        </w:numPr>
        <w:pStyle w:val="Compact"/>
      </w:pPr>
      <w:r>
        <w:t xml:space="preserve">La più grande meta-analisi finora su tutti i disturbi psichici (42 studi in doppio cieco, 1.922 persone) non ha trovato nel complesso alcun effetto significativo. Dopo l’esclusione di due valori anomali la dimensione dell’effetto era vicina allo zero (Bonnieux 2026, PMID 42134427).</w:t>
      </w:r>
    </w:p>
    <w:p>
      <w:pPr>
        <w:pStyle w:val="FirstParagraph"/>
      </w:pPr>
      <w:r>
        <w:rPr>
          <w:bCs/>
          <w:b/>
        </w:rPr>
        <w:t xml:space="preserve">Bilancio intermedio sull’autismo:</w:t>
      </w:r>
      <w:r>
        <w:t xml:space="preserve"> </w:t>
      </w:r>
      <w:r>
        <w:t xml:space="preserve">dopo il grande studio SOARS-B e lo studio australiano successivo non esiste alcuna prova solida che lo spray nasale di ossitocina migliori nella vita quotidiana il comportamento sociale di bambini e adolescenti con autismo. I ricercatori discutono se determinati sottogruppi – bambini molto piccoli, bambini con livelli bassi di ossitocina – possano trarne beneficio e propongono un approccio personalizzato (Boulton 2026, PMID 42144048). Finché ciò non sarà confermato in studi dedicati, resta un’ipotesi.</w:t>
      </w:r>
    </w:p>
    <w:bookmarkEnd w:id="822"/>
    <w:bookmarkStart w:id="823" w:name="altri-disturbi-psichici"/>
    <w:p>
      <w:pPr>
        <w:pStyle w:val="Heading4"/>
      </w:pPr>
      <w:r>
        <w:t xml:space="preserve">Altri disturbi psichici</w:t>
      </w:r>
    </w:p>
    <w:p>
      <w:pPr>
        <w:pStyle w:val="FirstParagraph"/>
      </w:pPr>
      <w:r>
        <w:rPr>
          <w:bCs/>
          <w:b/>
        </w:rPr>
        <w:t xml:space="preserve">Schizofrenia.</w:t>
      </w:r>
      <w:r>
        <w:t xml:space="preserve"> </w:t>
      </w:r>
      <w:r>
        <w:t xml:space="preserve">In uno studio di dodici settimane con 68 persone l’ossitocina non ha migliorato la percezione sociale (Jarskog 2017, PMID 28094169). Una meta-analisi di nove studi non ha trovato alcun effetto coerente sui cosiddetti sintomi negativi come mancanza di iniziativa e ritiro sociale (Sabe 2021, PMID 33890987). La grande meta-analisi del 2026 ha rilevato in questo gruppo un effetto piccolo, appena significativo (dimensione dell’effetto 0,12), e ha osservato che gli studi con più donne tendevano a mostrare effetti maggiori (Bonnieux 2026, PMID 42134427).</w:t>
      </w:r>
    </w:p>
    <w:p>
      <w:pPr>
        <w:pStyle w:val="BodyText"/>
      </w:pPr>
      <w:r>
        <w:rPr>
          <w:bCs/>
          <w:b/>
        </w:rPr>
        <w:t xml:space="preserve">Alcol.</w:t>
      </w:r>
      <w:r>
        <w:t xml:space="preserve"> </w:t>
      </w:r>
      <w:r>
        <w:t xml:space="preserve">In uno studio norvegese con 40 persone in astinenza da alcol l’ossitocina non ha ridotto in modo significativo il fabbisogno di sedativi (Melby 2019, PMID 30784955). Una meta-analisi di sei studi randomizzati sulla dipendenza da alcol non ha trovato alcun effetto; un’analisi bayesiana deponeva persino moderatamente a favore dell’assenza di efficacia (Santos 2026, PMID 42335670).</w:t>
      </w:r>
    </w:p>
    <w:p>
      <w:pPr>
        <w:pStyle w:val="BodyText"/>
      </w:pPr>
      <w:r>
        <w:rPr>
          <w:bCs/>
          <w:b/>
        </w:rPr>
        <w:t xml:space="preserve">Combinazione con la psicoterapia.</w:t>
      </w:r>
      <w:r>
        <w:t xml:space="preserve"> </w:t>
      </w:r>
      <w:r>
        <w:t xml:space="preserve">Un’idea più recente è somministrare l’ossitocina non da sola, ma come potenziamento di una psicoterapia. Una rassegna di 13 studi con 518 partecipanti ha trovato indizi di meno sintomi depressivi e di una migliore relazione terapeutica, ma nessun effetto sui sintomi psichiatrici nel complesso o sulla funzione sociale; solo quattro studi hanno potuto essere aggregati (Pérez-Arqueros 2025, PMID 39366103).</w:t>
      </w:r>
    </w:p>
    <w:p>
      <w:pPr>
        <w:pStyle w:val="BodyText"/>
      </w:pPr>
      <w:r>
        <w:rPr>
          <w:bCs/>
          <w:b/>
        </w:rPr>
        <w:t xml:space="preserve">Dopo il parto.</w:t>
      </w:r>
      <w:r>
        <w:t xml:space="preserve"> </w:t>
      </w:r>
      <w:r>
        <w:t xml:space="preserve">In 45 madri con depressione post partum (in parte sottosoglia) una dose singola ha aumentato l’umore positivo e l’attenzione positiva verso il bambino, ma non la sensibilità nell’interazione (Riem 2025, PMID 40614394).</w:t>
      </w:r>
    </w:p>
    <w:bookmarkEnd w:id="823"/>
    <w:bookmarkStart w:id="824" w:name="metabolismo-peso-e-dolore"/>
    <w:p>
      <w:pPr>
        <w:pStyle w:val="Heading4"/>
      </w:pPr>
      <w:r>
        <w:t xml:space="preserve">Metabolismo, peso e dolore</w:t>
      </w:r>
    </w:p>
    <w:p>
      <w:pPr>
        <w:pStyle w:val="FirstParagraph"/>
      </w:pPr>
      <w:r>
        <w:rPr>
          <w:bCs/>
          <w:b/>
        </w:rPr>
        <w:t xml:space="preserve">Obesità.</w:t>
      </w:r>
      <w:r>
        <w:t xml:space="preserve"> </w:t>
      </w:r>
      <w:r>
        <w:t xml:space="preserve">Poiché negli animali l’ossitocina riduce l’assunzione di cibo e aumenta il dispendio energetico, è stata studiata come farmaco dimagrante. Una meta-analisi ha rilevato che una dose singola, nelle persone senza disturbi psichici, riduceva la quantità di cibo assunta durante un pasto di prova (Chen 2021, PMID 34600216). La verifica decisiva è stata uno studio con 61 adulti con obesità che per otto settimane hanno spruzzato quattro volte al giorno ossitocina o placebo. Il peso non è cambiato: +0,20 kg con l’ossitocina, +0,26 kg con il placebo. Anche grasso corporeo, grasso epatico e dispendio energetico sono rimasti invariati; solo durante un pasto di prova i partecipanti hanno mangiato meno (Plessow 2024, PMID 38815173). Un piccolo studio pilota su 21 persone anziane con sovrappeso e perdita muscolare ha rilevato un aumento della massa muscolare di 2,25 kg (Espinoza 2021, PMID 34029521); il dato deve essere confermato in studi più ampi.</w:t>
      </w:r>
    </w:p>
    <w:p>
      <w:pPr>
        <w:pStyle w:val="BodyText"/>
      </w:pPr>
      <w:r>
        <w:rPr>
          <w:bCs/>
          <w:b/>
        </w:rPr>
        <w:t xml:space="preserve">Sindrome di Prader-Willi.</w:t>
      </w:r>
      <w:r>
        <w:t xml:space="preserve"> </w:t>
      </w:r>
      <w:r>
        <w:t xml:space="preserve">In questa rara malattia genetica, con fame insaziabile e ossitocina ridotta nell’ipotalamo, le aspettative erano particolarmente alte. Una meta-analisi non ha trovato alcun effetto su fame compulsiva o peso (Shalma 2023, PMID 36774885). In uno studio con 23 bambini fame compulsiva e comportamenti ripetitivi sono migliorati semmai più con il placebo (Hollander 2021, PMID 33190843).</w:t>
      </w:r>
    </w:p>
    <w:p>
      <w:pPr>
        <w:pStyle w:val="BodyText"/>
      </w:pPr>
      <w:r>
        <w:rPr>
          <w:bCs/>
          <w:b/>
        </w:rPr>
        <w:t xml:space="preserve">Dolore.</w:t>
      </w:r>
      <w:r>
        <w:t xml:space="preserve"> </w:t>
      </w:r>
      <w:r>
        <w:t xml:space="preserve">Una meta-analisi di 15 studi non ha trovato alcun effetto significativo sull’intensità o sulla sgradevolezza del dolore (Lopes 2023, PMID 36463692).</w:t>
      </w:r>
    </w:p>
    <w:bookmarkEnd w:id="824"/>
    <w:bookmarkStart w:id="825" w:name="sessualità"/>
    <w:p>
      <w:pPr>
        <w:pStyle w:val="Heading4"/>
      </w:pPr>
      <w:r>
        <w:t xml:space="preserve">Sessualità</w:t>
      </w:r>
    </w:p>
    <w:p>
      <w:pPr>
        <w:pStyle w:val="FirstParagraph"/>
      </w:pPr>
      <w:r>
        <w:t xml:space="preserve">L’ossitocina viene rilasciata durante l’orgasmo ed è pubblicizzata su internet come mezzo per una vita amorosa più intensa. In uno studio di laboratorio con dieci uomini uno spray nasale ha aumentato nettamente il livello di ossitocina nel sangue, ma secondo i questionari non ha modificato desiderio, eccitazione, orgasmo e fase di recupero (Burri 2008, PMID 18375074). Una meta-analisi sui farmaci contro le disfunzioni sessuali femminili, che includeva anche studi sull’ossitocina, ha rilevato che circa due terzi del miglioramento si verificavano anche con il placebo (Weinberger 2018, PMID 29995725). Non esistono prove solide di un effetto sulla sessualità.</w:t>
      </w:r>
    </w:p>
    <w:bookmarkEnd w:id="825"/>
    <w:bookmarkStart w:id="826" w:name="la-carenza-di-ossitocina-come-malattia"/>
    <w:p>
      <w:pPr>
        <w:pStyle w:val="Heading4"/>
      </w:pPr>
      <w:r>
        <w:t xml:space="preserve">La carenza di ossitocina come malattia</w:t>
      </w:r>
    </w:p>
    <w:p>
      <w:pPr>
        <w:pStyle w:val="FirstParagraph"/>
      </w:pPr>
      <w:r>
        <w:t xml:space="preserve">Un campo nuovo e dal punto di vista medico plausibile è la vera carenza di ossitocina. Le persone il cui ipotalamo o la cui ipofisi sono danneggiati, per esempio da un tumore o da un intervento chirurgico, hanno spesso una carenza di vasopressina (un tempo diabete insipido centrale). Uno studio svizzero ha usato la droga MDMA, che nelle persone sane libera molta ossitocina, come test di provocazione. In 15 persone sane l’ossitocina è aumentata fortemente, in 15 persone colpite appena; l’area sotto la curva era dell’82% più grande nelle persone sane, e le persone colpite avvertivano a malapena i tipici effetti sociali e ansiolitici (Atila 2023, PMID 37192642). Questo suggerisce che molte di queste persone abbiano anche una carenza di ossitocina. Se una sostituzione con spray nasale allevi i loro disturbi psichici è oggetto di uno studio in corso (NCT06036004). Anche la kisspeptina viene studiata come possibile test per una carenza di ossitocina (Galbiati 2025, PMID 39965102; capitolo 2E04).</w:t>
      </w:r>
    </w:p>
    <w:bookmarkEnd w:id="826"/>
    <w:bookmarkEnd w:id="827"/>
    <w:bookmarkStart w:id="828" w:name="studi-su-animali-e-in-laboratorio-50"/>
    <w:p>
      <w:pPr>
        <w:pStyle w:val="Heading3"/>
      </w:pPr>
      <w:r>
        <w:t xml:space="preserve">Studi su animali e in laboratorio</w:t>
      </w:r>
    </w:p>
    <w:p>
      <w:pPr>
        <w:pStyle w:val="FirstParagraph"/>
      </w:pPr>
      <w:r>
        <w:t xml:space="preserve">L’entusiasmo per l’ossitocina si basa su convincenti dati sugli animali: nelle arvicole della prateria il sistema dell’ossitocina è necessario per il legame di coppia, nei roditori e nelle pecore per il comportamento materno. In topi di un modello di autismo una sostanza che stimola il sistema dell’ossitocina ha migliorato le misure del comportamento sociale (Minakova 2019, PMID 30629642). Nei macachi rhesus l’ossitocina marcata è arrivata attraverso il naso in determinate regioni cerebrali (Lee 2020, PMID 32494001).</w:t>
      </w:r>
    </w:p>
    <w:p>
      <w:pPr>
        <w:pStyle w:val="BodyText"/>
      </w:pPr>
      <w:r>
        <w:t xml:space="preserve">Questi dati però sono trasferibili solo in misura limitata: la distribuzione dei recettori dell’ossitocina nel cervello differisce molto tra le specie, persino tra specie di arvicole strettamente imparentate. Molti esperimenti sugli animali somministravano l’ossitocina direttamente nel cervello, cosa non possibile nell’uomo.</w:t>
      </w:r>
    </w:p>
    <w:bookmarkEnd w:id="828"/>
    <w:bookmarkStart w:id="832" w:name="rischi-ed-effetti-collaterali-50"/>
    <w:p>
      <w:pPr>
        <w:pStyle w:val="Heading3"/>
      </w:pPr>
      <w:r>
        <w:t xml:space="preserve">Rischi ed effetti collaterali</w:t>
      </w:r>
    </w:p>
    <w:bookmarkStart w:id="829" w:name="dimostrati-spray-nasale-negli-studi"/>
    <w:p>
      <w:pPr>
        <w:pStyle w:val="Heading4"/>
      </w:pPr>
      <w:r>
        <w:t xml:space="preserve">Dimostrati: spray nasale negli studi</w:t>
      </w:r>
    </w:p>
    <w:p>
      <w:pPr>
        <w:pStyle w:val="FirstParagraph"/>
      </w:pPr>
      <w:r>
        <w:t xml:space="preserve">Negli studi controllati lo spray nasale di ossitocina è considerato ben tollerato. Una revisione sistematica di 38 studi randomizzati con 1.529 partecipanti non ha trovato, con l’uso a breve termine, effetti collaterali più frequenti che con il placebo. I partecipanti non riuscivano neppure a capire se avessero ricevuto ossitocina o placebo (MacDonald 2011, PMID 21429671). In SOARS-B gli effetti collaterali nell’arco di 24 settimane sono stati ugualmente frequenti in entrambi i gruppi (Sikich 2021, PMID 34644471). In 95 uomini anziani non si sono verificate in quattro settimane variazioni di pressione arteriosa, valori urinari o ematici (Rung 2021, PMID 33982141). Negli studi sui bambini sono stati riportati sete, aumento della minzione e stitichezza (Yatawara 2016, PMID 26503762).</w:t>
      </w:r>
    </w:p>
    <w:bookmarkEnd w:id="829"/>
    <w:bookmarkStart w:id="830" w:name="possibili-e-da-considerare"/>
    <w:p>
      <w:pPr>
        <w:pStyle w:val="Heading4"/>
      </w:pPr>
      <w:r>
        <w:t xml:space="preserve">Possibili e da considerare</w:t>
      </w:r>
    </w:p>
    <w:p>
      <w:pPr>
        <w:numPr>
          <w:ilvl w:val="0"/>
          <w:numId w:val="1278"/>
        </w:numPr>
        <w:pStyle w:val="Compact"/>
      </w:pPr>
      <w:r>
        <w:rPr>
          <w:bCs/>
          <w:b/>
        </w:rPr>
        <w:t xml:space="preserve">Bilancio idrico:</w:t>
      </w:r>
      <w:r>
        <w:t xml:space="preserve"> </w:t>
      </w:r>
      <w:r>
        <w:t xml:space="preserve">l’ossitocina somiglia alla vasopressina e a dosi elevate può trattenere acqua nel corpo. In ostetricia l’intossicazione da acqua con carenza di sodio è una complicanza nota e rara delle infusioni ad alto dosaggio. Con lo spray nasale è descritto un caso di aumento della pressione intracranica in concomitanza con un’assunzione di liquidi molto elevata (Mayer-Hubner 1996, PMID 8596357).</w:t>
      </w:r>
    </w:p>
    <w:p>
      <w:pPr>
        <w:numPr>
          <w:ilvl w:val="0"/>
          <w:numId w:val="1278"/>
        </w:numPr>
        <w:pStyle w:val="Compact"/>
      </w:pPr>
      <w:r>
        <w:rPr>
          <w:bCs/>
          <w:b/>
        </w:rPr>
        <w:t xml:space="preserve">Circolazione:</w:t>
      </w:r>
      <w:r>
        <w:t xml:space="preserve"> </w:t>
      </w:r>
      <w:r>
        <w:t xml:space="preserve">in dodici uomini sani uno spray nasale ha aumentato l’attività dei nervi che restringono i vasi sanguigni e ha alzato leggermente la pressione diastolica (Meusel 2021, PMID 33296278).</w:t>
      </w:r>
    </w:p>
    <w:p>
      <w:pPr>
        <w:numPr>
          <w:ilvl w:val="0"/>
          <w:numId w:val="1278"/>
        </w:numPr>
        <w:pStyle w:val="Compact"/>
      </w:pPr>
      <w:r>
        <w:rPr>
          <w:bCs/>
          <w:b/>
        </w:rPr>
        <w:t xml:space="preserve">Gravidanza:</w:t>
      </w:r>
      <w:r>
        <w:t xml:space="preserve"> </w:t>
      </w:r>
      <w:r>
        <w:t xml:space="preserve">poiché l’ossitocina provoca le contrazioni, il suo uso in gravidanza al di fuori del controllo medico è pericoloso.</w:t>
      </w:r>
    </w:p>
    <w:p>
      <w:pPr>
        <w:numPr>
          <w:ilvl w:val="0"/>
          <w:numId w:val="1278"/>
        </w:numPr>
        <w:pStyle w:val="Compact"/>
      </w:pPr>
      <w:r>
        <w:rPr>
          <w:bCs/>
          <w:b/>
        </w:rPr>
        <w:t xml:space="preserve">Uso a lungo termine:</w:t>
      </w:r>
      <w:r>
        <w:t xml:space="preserve"> </w:t>
      </w:r>
      <w:r>
        <w:t xml:space="preserve">mancano dati oltre i sei mesi, soprattutto nei bambini.</w:t>
      </w:r>
    </w:p>
    <w:p>
      <w:pPr>
        <w:numPr>
          <w:ilvl w:val="0"/>
          <w:numId w:val="1278"/>
        </w:numPr>
        <w:pStyle w:val="Compact"/>
      </w:pPr>
      <w:r>
        <w:rPr>
          <w:bCs/>
          <w:b/>
        </w:rPr>
        <w:t xml:space="preserve">Effetti sociali:</w:t>
      </w:r>
      <w:r>
        <w:t xml:space="preserve"> </w:t>
      </w:r>
      <w:r>
        <w:t xml:space="preserve">singoli studi di laboratorio hanno riferito che l’ossitocina, in determinate condizioni, può rafforzare anche invidia, diffidenza verso gli estranei o preferenza per il proprio gruppo. Questi risultati sono incerti quanto quelli positivi.</w:t>
      </w:r>
    </w:p>
    <w:bookmarkEnd w:id="830"/>
    <w:bookmarkStart w:id="831" w:name="mercato-grigio-3"/>
    <w:p>
      <w:pPr>
        <w:pStyle w:val="Heading4"/>
      </w:pPr>
      <w:r>
        <w:t xml:space="preserve">Mercato grigio</w:t>
      </w:r>
    </w:p>
    <w:p>
      <w:pPr>
        <w:pStyle w:val="FirstParagraph"/>
      </w:pPr>
      <w:r>
        <w:t xml:space="preserve">Gli spray nasali di ossitocina vengono venduti su internet come «spray dell’amore» o «spray della fiducia». Contenuto e concentrazione di questi prodotti non sono verificati in modo indipendente. Per nessuno di questi prodotti esistono prove di efficacia.</w:t>
      </w:r>
    </w:p>
    <w:bookmarkEnd w:id="831"/>
    <w:bookmarkEnd w:id="832"/>
    <w:bookmarkStart w:id="833" w:name="quadro-normativo-50"/>
    <w:p>
      <w:pPr>
        <w:pStyle w:val="Heading3"/>
      </w:pPr>
      <w:r>
        <w:t xml:space="preserve">Quadro normativo</w:t>
      </w:r>
    </w:p>
    <w:p>
      <w:pPr>
        <w:pStyle w:val="FirstParagraph"/>
      </w:pPr>
      <w:r>
        <w:rPr>
          <w:iCs/>
          <w:i/>
        </w:rPr>
        <w:t xml:space="preserve">Aggiornato al 2026, da verificare.</w:t>
      </w:r>
    </w:p>
    <w:p>
      <w:pPr>
        <w:numPr>
          <w:ilvl w:val="0"/>
          <w:numId w:val="1279"/>
        </w:numPr>
        <w:pStyle w:val="Compact"/>
      </w:pPr>
      <w:r>
        <w:rPr>
          <w:bCs/>
          <w:b/>
        </w:rPr>
        <w:t xml:space="preserve">UE, Germania, Austria:</w:t>
      </w:r>
      <w:r>
        <w:t xml:space="preserve"> </w:t>
      </w:r>
      <w:r>
        <w:t xml:space="preserve">l’ossitocina per infusione e iniezione è approvata come farmaco soggetto a prescrizione per l’ostetricia. Non esiste uno spray nasale approvato per impieghi psichici o sociali; gli spray un tempo approvati per favorire il flusso del latte non sono più disponibili in molti luoghi. Una prescrizione per il trattamento dell’autismo o di altre malattie sarebbe un tentativo terapeutico individuale al di fuori dell’indicazione approvata (off-label), con i relativi obblighi di informazione e di responsabilità.</w:t>
      </w:r>
    </w:p>
    <w:p>
      <w:pPr>
        <w:numPr>
          <w:ilvl w:val="0"/>
          <w:numId w:val="1279"/>
        </w:numPr>
        <w:pStyle w:val="Compact"/>
      </w:pPr>
      <w:r>
        <w:rPr>
          <w:bCs/>
          <w:b/>
        </w:rPr>
        <w:t xml:space="preserve">USA:</w:t>
      </w:r>
      <w:r>
        <w:t xml:space="preserve"> </w:t>
      </w:r>
      <w:r>
        <w:t xml:space="preserve">ossitocina iniettabile (Pitocin e generici) approvata per l’ostetricia; nessuno spray nasale approvato. Le farmacie galeniche preparano spray nasali su prescrizione medica; la loro qualità non viene verificata come per i medicinali industriali.</w:t>
      </w:r>
    </w:p>
    <w:p>
      <w:pPr>
        <w:numPr>
          <w:ilvl w:val="0"/>
          <w:numId w:val="1279"/>
        </w:numPr>
        <w:pStyle w:val="Compact"/>
      </w:pPr>
      <w:r>
        <w:rPr>
          <w:bCs/>
          <w:b/>
        </w:rPr>
        <w:t xml:space="preserve">WADA:</w:t>
      </w:r>
      <w:r>
        <w:t xml:space="preserve"> </w:t>
      </w:r>
      <w:r>
        <w:t xml:space="preserve">non elencata.</w:t>
      </w:r>
    </w:p>
    <w:bookmarkEnd w:id="833"/>
    <w:bookmarkStart w:id="834" w:name="studi-in-corso-e-prospettive-50"/>
    <w:p>
      <w:pPr>
        <w:pStyle w:val="Heading3"/>
      </w:pPr>
      <w:r>
        <w:t xml:space="preserve">Studi in corso e prospettive</w:t>
      </w:r>
    </w:p>
    <w:p>
      <w:pPr>
        <w:pStyle w:val="FirstParagraph"/>
      </w:pPr>
      <w:r>
        <w:rPr>
          <w:bCs/>
          <w:b/>
        </w:rPr>
        <w:t xml:space="preserve">Dati certi (studi registrati):</w:t>
      </w:r>
      <w:r>
        <w:t xml:space="preserve"> </w:t>
      </w:r>
      <w:r>
        <w:t xml:space="preserve">tra gli studi in corso ve ne sono alcuni più grandi che potrebbero rispondere a singole questioni aperte:</w:t>
      </w:r>
    </w:p>
    <w:p>
      <w:pPr>
        <w:numPr>
          <w:ilvl w:val="0"/>
          <w:numId w:val="1280"/>
        </w:numPr>
        <w:pStyle w:val="Compact"/>
      </w:pPr>
      <w:r>
        <w:rPr>
          <w:bCs/>
          <w:b/>
        </w:rPr>
        <w:t xml:space="preserve">Dolore cronico:</w:t>
      </w:r>
      <w:r>
        <w:t xml:space="preserve"> </w:t>
      </w:r>
      <w:r>
        <w:t xml:space="preserve">uno studio canadese di fase 2/3 con 336 partecipanti (NCT04903002) è concluso, i risultati sono attesi.</w:t>
      </w:r>
    </w:p>
    <w:p>
      <w:pPr>
        <w:numPr>
          <w:ilvl w:val="0"/>
          <w:numId w:val="1280"/>
        </w:numPr>
        <w:pStyle w:val="Compact"/>
      </w:pPr>
      <w:r>
        <w:rPr>
          <w:bCs/>
          <w:b/>
        </w:rPr>
        <w:t xml:space="preserve">Psicoterapia più ossitocina:</w:t>
      </w:r>
      <w:r>
        <w:t xml:space="preserve"> </w:t>
      </w:r>
      <w:r>
        <w:t xml:space="preserve">uno studio del Dipartimento statunitense per gli affari dei veterani con 240 persone valuta l’ossitocina come integrazione di una terapia di coppia nel disturbo da stress post-traumatico (NCT06194851, fino al 2028). In Germania alcuni studi valutano l’ossitocina come integrazione del trattamento psicosociale nella schizofrenia (NCT06881810 con 98 persone; NCT07265180 alla Charité con 120 persone e confronto tra dosi).</w:t>
      </w:r>
    </w:p>
    <w:p>
      <w:pPr>
        <w:numPr>
          <w:ilvl w:val="0"/>
          <w:numId w:val="1280"/>
        </w:numPr>
        <w:pStyle w:val="Compact"/>
      </w:pPr>
      <w:r>
        <w:rPr>
          <w:bCs/>
          <w:b/>
        </w:rPr>
        <w:t xml:space="preserve">Carenza di ossitocina:</w:t>
      </w:r>
      <w:r>
        <w:t xml:space="preserve"> </w:t>
      </w:r>
      <w:r>
        <w:t xml:space="preserve">uno studio svizzero con 112 persone valuta una sostituzione di ossitocina nella carenza di vasopressina (NCT06036004).</w:t>
      </w:r>
    </w:p>
    <w:p>
      <w:pPr>
        <w:numPr>
          <w:ilvl w:val="0"/>
          <w:numId w:val="1280"/>
        </w:numPr>
        <w:pStyle w:val="Compact"/>
      </w:pPr>
      <w:r>
        <w:rPr>
          <w:bCs/>
          <w:b/>
        </w:rPr>
        <w:t xml:space="preserve">Autismo e ossa:</w:t>
      </w:r>
      <w:r>
        <w:t xml:space="preserve"> </w:t>
      </w:r>
      <w:r>
        <w:t xml:space="preserve">uno studio con 96 bambini indaga gli effetti sulla salute delle ossa (NCT05754073).</w:t>
      </w:r>
    </w:p>
    <w:p>
      <w:pPr>
        <w:numPr>
          <w:ilvl w:val="0"/>
          <w:numId w:val="1280"/>
        </w:numPr>
        <w:pStyle w:val="Compact"/>
      </w:pPr>
      <w:r>
        <w:rPr>
          <w:bCs/>
          <w:b/>
        </w:rPr>
        <w:t xml:space="preserve">Disturbi alimentari:</w:t>
      </w:r>
      <w:r>
        <w:t xml:space="preserve"> </w:t>
      </w:r>
      <w:r>
        <w:t xml:space="preserve">uno studio di fase 2 sul binge eating (NCT05664516).</w:t>
      </w:r>
    </w:p>
    <w:p>
      <w:pPr>
        <w:numPr>
          <w:ilvl w:val="0"/>
          <w:numId w:val="1280"/>
        </w:numPr>
        <w:pStyle w:val="Compact"/>
      </w:pPr>
      <w:r>
        <w:rPr>
          <w:bCs/>
          <w:b/>
        </w:rPr>
        <w:t xml:space="preserve">Sviluppo industriale:</w:t>
      </w:r>
      <w:r>
        <w:t xml:space="preserve"> </w:t>
      </w:r>
      <w:r>
        <w:t xml:space="preserve">un’azienda ha testato uno spray nasale di ossitocina ad alto dosaggio (TNX-1900) nell’emicrania cronica (NCT05679908, 88 persone, concluso) e prevede uno studio sul trattamento del dolore dopo interventi all’ipofisi (NCT07730294).</w:t>
      </w:r>
    </w:p>
    <w:p>
      <w:pPr>
        <w:pStyle w:val="FirstParagraph"/>
      </w:pPr>
      <w:r>
        <w:rPr>
          <w:bCs/>
          <w:b/>
        </w:rPr>
        <w:t xml:space="preserve">Valutazione dell’autore:</w:t>
      </w:r>
      <w:r>
        <w:t xml:space="preserve"> </w:t>
      </w:r>
      <w:r>
        <w:t xml:space="preserve">la storia dello spray nasale di ossitocina è una lezione sui limiti degli studi piccoli. Dopo due decenni di ricerca non esiste una sola applicazione in cui un beneficio sia stato confermato in studi ampi e ben condotti. Le direzioni più promettenti sono oggi più circoscritte: l’ossitocina come integrazione di una psicoterapia anziché come farmaco da solo, come sostituzione in caso di carenza dimostrata, e in modo mirato in sottogruppi definiti in anticipo. Un’approvazione per l’autismo o per l’ansia sociale appare improbabile nei prossimi anni.</w:t>
      </w:r>
    </w:p>
    <w:bookmarkEnd w:id="834"/>
    <w:bookmarkStart w:id="835" w:name="conclusione-50"/>
    <w:p>
      <w:pPr>
        <w:pStyle w:val="Heading3"/>
      </w:pPr>
      <w:r>
        <w:t xml:space="preserve">Conclusione</w:t>
      </w:r>
    </w:p>
    <w:p>
      <w:pPr>
        <w:pStyle w:val="FirstParagraph"/>
      </w:pPr>
      <w:r>
        <w:t xml:space="preserve">Come infusione l’ossitocina è un farmaco indispensabile dell’ostetricia, come spray nasale invece uno strumento di ricerca senza un beneficio terapeutico dimostrato. Il celebre risultato secondo cui l’ossitocina aumenta la fiducia non ha retto agli studi di replica; al massimo nelle persone con bassa fiducia di base si intravede un piccolo effetto. Il più grande studio sull’autismo, SOARS-B con 290 bambini e adolescenti, non ha trovato dopo 24 settimane alcuna differenza rispetto al placebo, e anche per obesità, dipendenza da alcol, sindrome di Prader-Willi e dolore i risultati sono stati negativi. Negli studi lo spray è stato ben tollerato. Chi oggi acquista uno «spray dell’amore» o «della fiducia» compra una promessa che la ricerca non mantiene.</w:t>
      </w:r>
    </w:p>
    <w:bookmarkEnd w:id="835"/>
    <w:bookmarkEnd w:id="836"/>
    <w:bookmarkStart w:id="852" w:name="gonadorelina"/>
    <w:p>
      <w:pPr>
        <w:pStyle w:val="Heading2"/>
      </w:pPr>
      <w:r>
        <w:t xml:space="preserve">Gonadorelina</w:t>
      </w:r>
    </w:p>
    <w:bookmarkStart w:id="837" w:name="scheda-51"/>
    <w:p>
      <w:pPr>
        <w:pStyle w:val="Heading3"/>
      </w:pPr>
      <w:r>
        <w:t xml:space="preserve">Scheda</w:t>
      </w:r>
    </w:p>
    <w:p>
      <w:pPr>
        <w:numPr>
          <w:ilvl w:val="0"/>
          <w:numId w:val="1281"/>
        </w:numPr>
        <w:pStyle w:val="Compact"/>
      </w:pPr>
      <w:r>
        <w:rPr>
          <w:bCs/>
          <w:b/>
        </w:rPr>
        <w:t xml:space="preserve">Tipo/struttura:</w:t>
      </w:r>
      <w:r>
        <w:t xml:space="preserve"> </w:t>
      </w:r>
      <w:r>
        <w:t xml:space="preserve">peptide di dieci aminoacidi, prodotto per sintesi e identico nella sequenza all’ormone umano GnRH (ormone di rilascio delle gonadotropine, chiamato anche LHRH o gonadoliberina).</w:t>
      </w:r>
    </w:p>
    <w:p>
      <w:pPr>
        <w:numPr>
          <w:ilvl w:val="0"/>
          <w:numId w:val="1281"/>
        </w:numPr>
        <w:pStyle w:val="Compact"/>
      </w:pPr>
      <w:r>
        <w:rPr>
          <w:bCs/>
          <w:b/>
        </w:rPr>
        <w:t xml:space="preserve">Origine:</w:t>
      </w:r>
      <w:r>
        <w:t xml:space="preserve"> </w:t>
      </w:r>
      <w:r>
        <w:t xml:space="preserve">il GnRH fu isolato e decifrato all’inizio degli anni Settanta da cervelli di maiale e di pecora; i ricercatori coinvolti, Andrew Schally e Roger Guillemin, ricevettero per questo il premio Nobel nel 1977. Gonadorelina è la denominazione comune internazionale dell’ormone sintetico.</w:t>
      </w:r>
    </w:p>
    <w:p>
      <w:pPr>
        <w:numPr>
          <w:ilvl w:val="0"/>
          <w:numId w:val="1281"/>
        </w:numPr>
        <w:pStyle w:val="Compact"/>
      </w:pPr>
      <w:r>
        <w:rPr>
          <w:bCs/>
          <w:b/>
        </w:rPr>
        <w:t xml:space="preserve">Principio d’azione:</w:t>
      </w:r>
      <w:r>
        <w:t xml:space="preserve"> </w:t>
      </w:r>
      <w:r>
        <w:t xml:space="preserve">agonista del recettore del GnRH dell’ipofisi. Somministrata a impulsi stimola la secrezione di LH e FSH; in somministrazione continua la frena.</w:t>
      </w:r>
    </w:p>
    <w:p>
      <w:pPr>
        <w:numPr>
          <w:ilvl w:val="0"/>
          <w:numId w:val="1281"/>
        </w:numPr>
        <w:pStyle w:val="Compact"/>
      </w:pPr>
      <w:r>
        <w:rPr>
          <w:bCs/>
          <w:b/>
        </w:rPr>
        <w:t xml:space="preserve">Forme farmaceutiche:</w:t>
      </w:r>
      <w:r>
        <w:t xml:space="preserve"> </w:t>
      </w:r>
      <w:r>
        <w:t xml:space="preserve">iniezione endovenosa per i test di funzionalità; pompa portatile che ogni 60–120 minuti rilascia una piccola quantità sotto la pelle o in vena (terapia pulsatile); in alcuni Paesi uno spray nasale per lattanti con criptorchidismo.</w:t>
      </w:r>
    </w:p>
    <w:p>
      <w:pPr>
        <w:numPr>
          <w:ilvl w:val="0"/>
          <w:numId w:val="1281"/>
        </w:numPr>
        <w:pStyle w:val="Compact"/>
      </w:pPr>
      <w:r>
        <w:rPr>
          <w:bCs/>
          <w:b/>
        </w:rPr>
        <w:t xml:space="preserve">Approvazione UE:</w:t>
      </w:r>
      <w:r>
        <w:t xml:space="preserve"> </w:t>
      </w:r>
      <w:r>
        <w:t xml:space="preserve">approvata a livello nazionale in singoli Stati membri, per esempio come diagnostico e per la terapia con pompa; preparati e disponibilità variano da Paese a Paese.</w:t>
      </w:r>
    </w:p>
    <w:p>
      <w:pPr>
        <w:numPr>
          <w:ilvl w:val="0"/>
          <w:numId w:val="1281"/>
        </w:numPr>
        <w:pStyle w:val="Compact"/>
      </w:pPr>
      <w:r>
        <w:rPr>
          <w:bCs/>
          <w:b/>
        </w:rPr>
        <w:t xml:space="preserve">Approvazione USA:</w:t>
      </w:r>
      <w:r>
        <w:t xml:space="preserve"> </w:t>
      </w:r>
      <w:r>
        <w:t xml:space="preserve">i preparati precedenti (Factrel per la diagnostica, Lutrepulse per la pompa) non sono più in commercio. Per quanto noto all’autore, non esiste attualmente un farmaco per uso umano approvato e commercializzato (da verificare).</w:t>
      </w:r>
    </w:p>
    <w:p>
      <w:pPr>
        <w:numPr>
          <w:ilvl w:val="0"/>
          <w:numId w:val="1281"/>
        </w:numPr>
        <w:pStyle w:val="Compact"/>
      </w:pPr>
      <w:r>
        <w:rPr>
          <w:bCs/>
          <w:b/>
        </w:rPr>
        <w:t xml:space="preserve">WADA:</w:t>
      </w:r>
      <w:r>
        <w:t xml:space="preserve"> </w:t>
      </w:r>
      <w:r>
        <w:t xml:space="preserve">vietata per gli uomini (gruppo S2, dove la gonadorelina è citata per nome), in gara e fuori gara (aggiornato al 2026, da verificare).</w:t>
      </w:r>
    </w:p>
    <w:p>
      <w:pPr>
        <w:numPr>
          <w:ilvl w:val="0"/>
          <w:numId w:val="1281"/>
        </w:numPr>
        <w:pStyle w:val="Compact"/>
      </w:pPr>
      <w:r>
        <w:rPr>
          <w:bCs/>
          <w:b/>
        </w:rPr>
        <w:t xml:space="preserve">Livello di evidenza:</w:t>
      </w:r>
      <w:r>
        <w:t xml:space="preserve"> </w:t>
      </w:r>
      <w:r>
        <w:rPr>
          <w:bCs/>
          <w:b/>
        </w:rPr>
        <w:t xml:space="preserve">B</w:t>
      </w:r>
      <w:r>
        <w:t xml:space="preserve"> </w:t>
      </w:r>
      <w:r>
        <w:t xml:space="preserve">– farmaco approvato con impiego pluridecennale; i dati di efficacia provengono però prevalentemente da ampie serie di casi, coorti e pochi piccoli studi randomizzati.</w:t>
      </w:r>
    </w:p>
    <w:bookmarkEnd w:id="837"/>
    <w:bookmarkStart w:id="838" w:name="come-dovrebbe-agire-51"/>
    <w:p>
      <w:pPr>
        <w:pStyle w:val="Heading3"/>
      </w:pPr>
      <w:r>
        <w:t xml:space="preserve">Come dovrebbe agire</w:t>
      </w:r>
    </w:p>
    <w:p>
      <w:pPr>
        <w:pStyle w:val="FirstParagraph"/>
      </w:pPr>
      <w:r>
        <w:t xml:space="preserve">L’asse ormonale della riproduzione inizia nell’ipotalamo. Lì neuroni specializzati secernono GnRH – non in modo uniforme, ma a impulsi ogni una-due ore circa. Ogni impulso induce l’ipofisi a rilasciare gli ormoni LH e FSH. Questi agiscono su ovaie e testicoli: regolano maturazione degli ovociti e ovulazione, produzione di spermatozoi e produzione di estrogeni e testosterone. Il messaggero kisspeptina (capitolo 2E04) si trova ancora un gradino sopra e accende i neuroni che producono GnRH.</w:t>
      </w:r>
    </w:p>
    <w:p>
      <w:pPr>
        <w:pStyle w:val="BodyText"/>
      </w:pPr>
      <w:r>
        <w:t xml:space="preserve">Il ritmo degli impulsi è decisivo. Lo dimostra un’apparente contraddizione:</w:t>
      </w:r>
    </w:p>
    <w:p>
      <w:pPr>
        <w:numPr>
          <w:ilvl w:val="0"/>
          <w:numId w:val="1282"/>
        </w:numPr>
        <w:pStyle w:val="Compact"/>
      </w:pPr>
      <w:r>
        <w:t xml:space="preserve">La</w:t>
      </w:r>
      <w:r>
        <w:t xml:space="preserve"> </w:t>
      </w:r>
      <w:r>
        <w:rPr>
          <w:bCs/>
          <w:b/>
        </w:rPr>
        <w:t xml:space="preserve">somministrazione pulsatile</w:t>
      </w:r>
      <w:r>
        <w:t xml:space="preserve"> </w:t>
      </w:r>
      <w:r>
        <w:t xml:space="preserve">– una piccola quantità ogni 60–120 minuti – imita il ritmo naturale e</w:t>
      </w:r>
      <w:r>
        <w:t xml:space="preserve"> </w:t>
      </w:r>
      <w:r>
        <w:rPr>
          <w:bCs/>
          <w:b/>
        </w:rPr>
        <w:t xml:space="preserve">attiva</w:t>
      </w:r>
      <w:r>
        <w:t xml:space="preserve"> </w:t>
      </w:r>
      <w:r>
        <w:t xml:space="preserve">l’asse. Su questo si basa la terapia con pompa nelle persone il cui ipotalamo produce troppo poco GnRH.</w:t>
      </w:r>
    </w:p>
    <w:p>
      <w:pPr>
        <w:numPr>
          <w:ilvl w:val="0"/>
          <w:numId w:val="1282"/>
        </w:numPr>
        <w:pStyle w:val="Compact"/>
      </w:pPr>
      <w:r>
        <w:t xml:space="preserve">La</w:t>
      </w:r>
      <w:r>
        <w:t xml:space="preserve"> </w:t>
      </w:r>
      <w:r>
        <w:rPr>
          <w:bCs/>
          <w:b/>
        </w:rPr>
        <w:t xml:space="preserve">stimolazione continua</w:t>
      </w:r>
      <w:r>
        <w:t xml:space="preserve">, dopo un breve aumento, porta allo spegnimento dei recettori dell’ipofisi. L’asse ormonale viene</w:t>
      </w:r>
      <w:r>
        <w:t xml:space="preserve"> </w:t>
      </w:r>
      <w:r>
        <w:rPr>
          <w:bCs/>
          <w:b/>
        </w:rPr>
        <w:t xml:space="preserve">frenato</w:t>
      </w:r>
      <w:r>
        <w:t xml:space="preserve">, fino a valori di testosterone come dopo una castrazione.</w:t>
      </w:r>
    </w:p>
    <w:p>
      <w:pPr>
        <w:pStyle w:val="FirstParagraph"/>
      </w:pPr>
      <w:r>
        <w:t xml:space="preserve">Sul secondo principio si basano gli analoghi del GnRH come leuprorelina, triptorelina o goserelina. Sono modificati chimicamente, agiscono molto più a lungo della gonadorelina e vengono impiegati come iniezione depot contro cancro della prostata, endometriosi, fibromi o pubertà precoce. Non sono oggetto di questo capitolo, ma distorcono notevolmente il quadro dei dati (vedi sotto).</w:t>
      </w:r>
    </w:p>
    <w:p>
      <w:pPr>
        <w:pStyle w:val="BodyText"/>
      </w:pPr>
      <w:r>
        <w:t xml:space="preserve">La gonadorelina stessa non è adatta a un blocco continuo: nel sangue viene degradata nel giro di pochi minuti.</w:t>
      </w:r>
    </w:p>
    <w:bookmarkEnd w:id="838"/>
    <w:bookmarkStart w:id="843" w:name="studi-sulluomo-51"/>
    <w:p>
      <w:pPr>
        <w:pStyle w:val="Heading3"/>
      </w:pPr>
      <w:r>
        <w:t xml:space="preserve">Studi sull’uomo</w:t>
      </w:r>
    </w:p>
    <w:p>
      <w:pPr>
        <w:pStyle w:val="FirstParagraph"/>
      </w:pPr>
      <w:r>
        <w:rPr>
          <w:bCs/>
          <w:b/>
        </w:rPr>
        <w:t xml:space="preserve">Entità degli studi disponibili (ricerca di ottobre 2026) – e perché i numeri ingannano:</w:t>
      </w:r>
      <w:r>
        <w:t xml:space="preserve"> </w:t>
      </w:r>
      <w:r>
        <w:t xml:space="preserve">la ricerca automatizzata di questo libro ha trovato</w:t>
      </w:r>
      <w:r>
        <w:t xml:space="preserve"> </w:t>
      </w:r>
      <w:r>
        <w:rPr>
          <w:bCs/>
          <w:b/>
        </w:rPr>
        <w:t xml:space="preserve">9</w:t>
      </w:r>
      <w:r>
        <w:t xml:space="preserve"> </w:t>
      </w:r>
      <w:r>
        <w:t xml:space="preserve">studi sull’uomo in PubMed (</w:t>
      </w:r>
      <w:r>
        <w:rPr>
          <w:rStyle w:val="VerbatimChar"/>
        </w:rPr>
        <w:t xml:space="preserve">humanstudien_alle</w:t>
      </w:r>
      <w:r>
        <w:t xml:space="preserve">) e su ClinicalTrials.gov il numero massimo di</w:t>
      </w:r>
      <w:r>
        <w:t xml:space="preserve"> </w:t>
      </w:r>
      <w:r>
        <w:rPr>
          <w:bCs/>
          <w:b/>
        </w:rPr>
        <w:t xml:space="preserve">1.000</w:t>
      </w:r>
      <w:r>
        <w:t xml:space="preserve"> </w:t>
      </w:r>
      <w:r>
        <w:t xml:space="preserve">voci di registro, al quale la ricerca si interrompe. Entrambi i numeri sono inutilizzabili per la valutazione della gonadorelina, e in direzioni opposte:</w:t>
      </w:r>
    </w:p>
    <w:p>
      <w:pPr>
        <w:numPr>
          <w:ilvl w:val="0"/>
          <w:numId w:val="1283"/>
        </w:numPr>
        <w:pStyle w:val="Compact"/>
      </w:pPr>
      <w:r>
        <w:rPr>
          <w:bCs/>
          <w:b/>
        </w:rPr>
        <w:t xml:space="preserve">Il numero del registro è fortemente sovrastimato.</w:t>
      </w:r>
      <w:r>
        <w:t xml:space="preserve"> </w:t>
      </w:r>
      <w:r>
        <w:t xml:space="preserve">ClinicalTrials.gov associa il termine di ricerca «gonadorelin» al termine generale «Gonadotropin-Releasing Hormone». Per questo compaiono tutti gli studi con analoghi e antagonisti del GnRH. Nei titoli dei 1.000 risultati la parola «prostate» compare 340 volte, «androgen deprivation» 57 volte, leuprorelina, goserelina e triptorelina insieme ben oltre cento volte. Un esame dei titoli ha individuato solo circa dieci voci che studiano davvero il GnRH nativo o la gonadorelina – per esempio come pompa, cerotto o test di funzionalità.</w:t>
      </w:r>
    </w:p>
    <w:p>
      <w:pPr>
        <w:numPr>
          <w:ilvl w:val="0"/>
          <w:numId w:val="1283"/>
        </w:numPr>
        <w:pStyle w:val="Compact"/>
      </w:pPr>
      <w:r>
        <w:rPr>
          <w:bCs/>
          <w:b/>
        </w:rPr>
        <w:t xml:space="preserve">Il numero di PubMed è sottostimato.</w:t>
      </w:r>
      <w:r>
        <w:t xml:space="preserve"> </w:t>
      </w:r>
      <w:r>
        <w:t xml:space="preserve">La maggior parte degli studi sull’ormone identico a quello endogeno usa i termini «GnRH» o «LHRH» e non il nome del principio attivo. Viceversa, diversi dei nove risultati non riguardano affatto la gonadorelina come trattamento: un lavoro ha studiato un analogo del GnRH nel cancro della prostata (Steg 1985, PMID 2934695), altri hanno usato la gonadorelina solo come sostanza di test, per esempio per verificare l’effetto di un ipocolesterolemizzante o della luce UV sull’asse ormonale (Segarra 1996, PMID 8773342; Falkenbach 1997, PMID 9189734).</w:t>
      </w:r>
    </w:p>
    <w:p>
      <w:pPr>
        <w:pStyle w:val="FirstParagraph"/>
      </w:pPr>
      <w:r>
        <w:t xml:space="preserve">Questo capitolo si basa quindi su una ricerca integrativa mirata di studi sulla terapia pulsatile con GnRH e sul test al GnRH.</w:t>
      </w:r>
    </w:p>
    <w:bookmarkStart w:id="839" w:name="diagnostica-il-test-al-gnrh"/>
    <w:p>
      <w:pPr>
        <w:pStyle w:val="Heading4"/>
      </w:pPr>
      <w:r>
        <w:t xml:space="preserve">Diagnostica: il test al GnRH</w:t>
      </w:r>
    </w:p>
    <w:p>
      <w:pPr>
        <w:pStyle w:val="FirstParagraph"/>
      </w:pPr>
      <w:r>
        <w:t xml:space="preserve">Nel test al GnRH (detto anche test LHRH) la gonadorelina viene iniettata in vena; successivamente si misura per una-due ore quanto aumentano LH e FSH. Il test aiuta soprattutto nei bambini con pubertà troppo precoce: un netto aumento di LH indica che l’asse ormonale nel cervello è già attivo (pubertà precoce centrale).</w:t>
      </w:r>
    </w:p>
    <w:p>
      <w:pPr>
        <w:pStyle w:val="BodyText"/>
      </w:pPr>
      <w:r>
        <w:t xml:space="preserve">In un’analisi di 584 test (di cui 314 a scopo diagnostico) un unico prelievo di sangue 40 minuti dopo l’iniezione bastava per la diagnosi: con una soglia di LH di 5 IU/L la sensibilità era del 98% e la specificità del 100% (Kandemir 2011, PMID 21448328). Una rassegna segnala dei limiti, per esempio negli stadi puberali molto precoci e nei bambini in sovrappeso, e soglie non uniformi tra gli studi (Ab Rahim 2020, PMID 32871650).</w:t>
      </w:r>
    </w:p>
    <w:p>
      <w:pPr>
        <w:pStyle w:val="BodyText"/>
      </w:pPr>
      <w:r>
        <w:t xml:space="preserve">Poiché il GnRH nativo è costoso e in molti luoghi non disponibile, viene sempre più spesso usato come sostituto un analogo a breve durata d’azione. In uno studio con 341 bambine un test con triptorelina è risultato accurato in modo simile al test con gonadorelina (Chioma 2025, PMID 41384863).</w:t>
      </w:r>
    </w:p>
    <w:bookmarkEnd w:id="839"/>
    <w:bookmarkStart w:id="840" w:name="Xd936af4a3d8ed85df52cb57221ffe00ecb277a6"/>
    <w:p>
      <w:pPr>
        <w:pStyle w:val="Heading4"/>
      </w:pPr>
      <w:r>
        <w:t xml:space="preserve">Desiderio di figli: la pompa di GnRH nelle donne</w:t>
      </w:r>
    </w:p>
    <w:p>
      <w:pPr>
        <w:pStyle w:val="FirstParagraph"/>
      </w:pPr>
      <w:r>
        <w:t xml:space="preserve">Nell’amenorrea ipotalamica le mestruazioni si interrompono perché il cervello produce troppo poco GnRH – spesso dopo una forte perdita di peso, sport intenso o stress, più raramente per cause congenite. Una piccola pompa portatile può sostituire il ritmo mancante.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Santoro 1990, PMID 2122733</w:t>
            </w:r>
          </w:p>
        </w:tc>
        <w:tc>
          <w:tcPr/>
          <w:p>
            <w:pPr>
              <w:pStyle w:val="Compact"/>
              <w:jc w:val="left"/>
            </w:pPr>
            <w:r>
              <w:t xml:space="preserve">109 donne con amenorrea ipotalamica, studio multicentrico con pompa endovenosa</w:t>
            </w:r>
          </w:p>
        </w:tc>
        <w:tc>
          <w:tcPr/>
          <w:p>
            <w:pPr>
              <w:pStyle w:val="Compact"/>
              <w:jc w:val="left"/>
            </w:pPr>
            <w:r>
              <w:t xml:space="preserve">diversi cicli</w:t>
            </w:r>
          </w:p>
        </w:tc>
        <w:tc>
          <w:tcPr/>
          <w:p>
            <w:pPr>
              <w:pStyle w:val="Compact"/>
              <w:jc w:val="left"/>
            </w:pPr>
            <w:r>
              <w:t xml:space="preserve">Ovulazione nel 91% e nel 96%; gravidanze multiple 12%</w:t>
            </w:r>
          </w:p>
        </w:tc>
      </w:tr>
      <w:tr>
        <w:tc>
          <w:tcPr/>
          <w:p>
            <w:pPr>
              <w:pStyle w:val="Compact"/>
              <w:jc w:val="left"/>
            </w:pPr>
            <w:r>
              <w:t xml:space="preserve">Filicori 1994, PMID 7962297</w:t>
            </w:r>
          </w:p>
        </w:tc>
        <w:tc>
          <w:tcPr/>
          <w:p>
            <w:pPr>
              <w:pStyle w:val="Compact"/>
              <w:jc w:val="left"/>
            </w:pPr>
            <w:r>
              <w:t xml:space="preserve">292 donne, 600 cicli, cause diverse</w:t>
            </w:r>
          </w:p>
        </w:tc>
        <w:tc>
          <w:tcPr/>
          <w:p>
            <w:pPr>
              <w:pStyle w:val="Compact"/>
              <w:jc w:val="left"/>
            </w:pPr>
            <w:r>
              <w:t xml:space="preserve">1984–1993</w:t>
            </w:r>
          </w:p>
        </w:tc>
        <w:tc>
          <w:tcPr/>
          <w:p>
            <w:pPr>
              <w:pStyle w:val="Compact"/>
              <w:jc w:val="left"/>
            </w:pPr>
            <w:r>
              <w:t xml:space="preserve">Ovulazione nel 75% dei cicli; gravidanza 18% per ciclo; gravidanze multiple 3,8%; aborti spontanei 30%</w:t>
            </w:r>
          </w:p>
        </w:tc>
      </w:tr>
      <w:tr>
        <w:tc>
          <w:tcPr/>
          <w:p>
            <w:pPr>
              <w:pStyle w:val="Compact"/>
              <w:jc w:val="left"/>
            </w:pPr>
            <w:r>
              <w:t xml:space="preserve">Christin-Maitre 2007, PMID 17293247</w:t>
            </w:r>
          </w:p>
        </w:tc>
        <w:tc>
          <w:tcPr/>
          <w:p>
            <w:pPr>
              <w:pStyle w:val="Compact"/>
              <w:jc w:val="left"/>
            </w:pPr>
            <w:r>
              <w:t xml:space="preserve">248 donne, 829 cicli, 24 centri francesi, retrospettivo</w:t>
            </w:r>
          </w:p>
        </w:tc>
        <w:tc>
          <w:tcPr/>
          <w:p>
            <w:pPr>
              <w:pStyle w:val="Compact"/>
              <w:jc w:val="left"/>
            </w:pPr>
            <w:r>
              <w:t xml:space="preserve">3 anni</w:t>
            </w:r>
          </w:p>
        </w:tc>
        <w:tc>
          <w:tcPr/>
          <w:p>
            <w:pPr>
              <w:pStyle w:val="Compact"/>
              <w:jc w:val="left"/>
            </w:pPr>
            <w:r>
              <w:t xml:space="preserve">Gravidanza 25% per ciclo; gravidanze multiple 8,8%; nessuna iperstimolazione grave</w:t>
            </w:r>
          </w:p>
        </w:tc>
      </w:tr>
      <w:tr>
        <w:tc>
          <w:tcPr/>
          <w:p>
            <w:pPr>
              <w:pStyle w:val="Compact"/>
              <w:jc w:val="left"/>
            </w:pPr>
            <w:r>
              <w:t xml:space="preserve">Dubourdieu 2013, PMID 23298894</w:t>
            </w:r>
          </w:p>
        </w:tc>
        <w:tc>
          <w:tcPr/>
          <w:p>
            <w:pPr>
              <w:pStyle w:val="Compact"/>
              <w:jc w:val="left"/>
            </w:pPr>
            <w:r>
              <w:t xml:space="preserve">30 donne con amenorrea e PCOS, RCT: pompa vs. gonadotropine</w:t>
            </w:r>
          </w:p>
        </w:tc>
        <w:tc>
          <w:tcPr/>
          <w:p>
            <w:pPr>
              <w:pStyle w:val="Compact"/>
              <w:jc w:val="left"/>
            </w:pPr>
            <w:r>
              <w:t xml:space="preserve">un ciclo</w:t>
            </w:r>
          </w:p>
        </w:tc>
        <w:tc>
          <w:tcPr/>
          <w:p>
            <w:pPr>
              <w:pStyle w:val="Compact"/>
              <w:jc w:val="left"/>
            </w:pPr>
            <w:r>
              <w:t xml:space="preserve">gravidanza clinica 46% vs. 0%</w:t>
            </w:r>
          </w:p>
        </w:tc>
      </w:tr>
      <w:tr>
        <w:tc>
          <w:tcPr/>
          <w:p>
            <w:pPr>
              <w:pStyle w:val="Compact"/>
              <w:jc w:val="left"/>
            </w:pPr>
            <w:r>
              <w:t xml:space="preserve">Quaas 2022, PMID 36378460</w:t>
            </w:r>
          </w:p>
        </w:tc>
        <w:tc>
          <w:tcPr/>
          <w:p>
            <w:pPr>
              <w:pStyle w:val="Compact"/>
              <w:jc w:val="left"/>
            </w:pPr>
            <w:r>
              <w:t xml:space="preserve">66 donne, 212 cicli, centro svizzero, retrospettivo</w:t>
            </w:r>
          </w:p>
        </w:tc>
        <w:tc>
          <w:tcPr/>
          <w:p>
            <w:pPr>
              <w:pStyle w:val="Compact"/>
              <w:jc w:val="left"/>
            </w:pPr>
            <w:r>
              <w:t xml:space="preserve">1996–2020</w:t>
            </w:r>
          </w:p>
        </w:tc>
        <w:tc>
          <w:tcPr/>
          <w:p>
            <w:pPr>
              <w:pStyle w:val="Compact"/>
              <w:jc w:val="left"/>
            </w:pPr>
            <w:r>
              <w:t xml:space="preserve">Nati vivi per trattamento 65,9%; un solo follicolo nel 75% dei cicli; una gravidanza gemellare</w:t>
            </w:r>
          </w:p>
        </w:tc>
      </w:tr>
    </w:tbl>
    <w:p>
      <w:pPr>
        <w:pStyle w:val="BodyText"/>
      </w:pPr>
      <w:r>
        <w:t xml:space="preserve">I numeri delineano un quadro coerente: nelle donne il cui problema si trova davvero nell’ipotalamo, la pompa porta all’ovulazione nella stragrande maggioranza dei cicli, spesso con un solo ovocita in maturazione. Poiché l’ipofisi mantiene la propria retroazione, iperstimolazione e gravidanze multiple sono più rare che con le gonadotropine iniettate direttamente (Quaas 2022, PMID 36378460). Nelle donne con sindrome dell’ovaio policistico o sovrappeso la pompa funziona peggio, e gli aborti spontanei erano frequenti nella più ampia serie singola (Filicori 1994, PMID 7962297).</w:t>
      </w:r>
    </w:p>
    <w:p>
      <w:pPr>
        <w:pStyle w:val="BodyText"/>
      </w:pPr>
      <w:r>
        <w:t xml:space="preserve">Gli svantaggi sono di natura pratica: la pompa deve essere portata per settimane. Con la somministrazione endovenosa si sono verificate complicanze all’accesso, in media nel 7% (Santoro 1990, PMID 2122733). Oggi si pompa per lo più sotto la pelle; nello studio francese si sono verificate reazioni allergiche locali nell’1,7% dei cicli (Christin-Maitre 2007, PMID 17293247).</w:t>
      </w:r>
    </w:p>
    <w:p>
      <w:pPr>
        <w:pStyle w:val="BodyText"/>
      </w:pPr>
      <w:r>
        <w:t xml:space="preserve">I dati sono datati e prevalentemente non randomizzati. Mancano grandi studi comparativi con i moderni protocolli a base di gonadotropine. Gli esperti considerano comunque la pompa un metodo particolarmente fisiologico e sicuro nell’amenorrea ipotalamica con desiderio di figli (Quaas 2022, PMID 36378460) – purché sia disponibile.</w:t>
      </w:r>
    </w:p>
    <w:bookmarkEnd w:id="840"/>
    <w:bookmarkStart w:id="841" w:name="uomini-con-carenza-ormonale"/>
    <w:p>
      <w:pPr>
        <w:pStyle w:val="Heading4"/>
      </w:pPr>
      <w:r>
        <w:t xml:space="preserve">Uomini con carenza ormonale</w:t>
      </w:r>
    </w:p>
    <w:p>
      <w:pPr>
        <w:pStyle w:val="FirstParagraph"/>
      </w:pPr>
      <w:r>
        <w:t xml:space="preserve">Anche gli uomini con carenza congenita di GnRH – per esempio nella sindrome di Kallmann, in cui manca anche l’olfatto – possono essere trattati con la pompa per stimolare la crescita dei testicoli e la produzione di spermatozoi.</w:t>
      </w:r>
    </w:p>
    <w:p>
      <w:pPr>
        <w:pStyle w:val="BodyText"/>
      </w:pPr>
      <w:r>
        <w:t xml:space="preserve">In un’analisi di 26 uomini in un centro universitario tedesco, in 30 cicli di trattamento su 33 sono comparsi spermatozoi nell’eiaculato; in 15 casi su 18 con desiderio di figli la partner è rimasta incinta. Pompa e gonadotropine iniettate sono risultate ugualmente efficaci (Kliesch 1994, PMID 7921222). In ragazzi cinesi in età puberale i testicoli sono cresciuti di più con la pompa che con le iniezioni di hCG (Gong 2015, PMID 25978110). Un piccolo studio randomizzato ha trovato indizi che un pretrattamento con FSH prima della pompa potrebbe migliorare la produzione di spermatozoi: tutti e sette gli uomini pretrattati hanno poi avuto spermatozoi, contro quattro su sei senza pretrattamento (Dwyer 2013, PMID 24037890).</w:t>
      </w:r>
    </w:p>
    <w:bookmarkEnd w:id="841"/>
    <w:bookmarkStart w:id="842" w:name="lattanti-con-criptorchidismo"/>
    <w:p>
      <w:pPr>
        <w:pStyle w:val="Heading4"/>
      </w:pPr>
      <w:r>
        <w:t xml:space="preserve">Lattanti con criptorchidismo</w:t>
      </w:r>
    </w:p>
    <w:p>
      <w:pPr>
        <w:pStyle w:val="FirstParagraph"/>
      </w:pPr>
      <w:r>
        <w:t xml:space="preserve">In alcuni Paesi europei uno spray nasale di gonadorelina viene somministrato prima o dopo l’intervento per criptorchidismo, per favorire la maturazione delle cellule germinali. Uno studio randomizzato con 62 lattanti ha riportato reperti ecografici più favorevoli dopo il trattamento combinato (Spinelli 2014, PMID 25106891). Un altro studio randomizzato con 36 bambini non ha invece trovato differenze in dimensioni del pene, volume testicolare o valori ormonali al momento dell’intervento; il trattamento si è però dimostrato sicuro (Fiala 2022, PMID 35691791). Il beneficio è controverso; in primo piano c’è l’intervento precoce.</w:t>
      </w:r>
    </w:p>
    <w:bookmarkEnd w:id="842"/>
    <w:bookmarkEnd w:id="843"/>
    <w:bookmarkStart w:id="844" w:name="studi-su-animali-e-in-laboratorio-51"/>
    <w:p>
      <w:pPr>
        <w:pStyle w:val="Heading3"/>
      </w:pPr>
      <w:r>
        <w:t xml:space="preserve">Studi su animali e in laboratorio</w:t>
      </w:r>
    </w:p>
    <w:p>
      <w:pPr>
        <w:pStyle w:val="FirstParagraph"/>
      </w:pPr>
      <w:r>
        <w:t xml:space="preserve">La gonadorelina è uno degli ormoni meglio compresi in assoluto; le sue basi derivano da esperimenti sugli animali degli anni Settanta. Oggi la ricerca sugli animali non ha quasi più alcun ruolo nella valutazione per l’uomo. In medicina veterinaria la gonadorelina è ampiamente impiegata, soprattutto nei bovini per controllare l’ovulazione. Questi preparati sono approvati per gli animali e non per l’uomo.</w:t>
      </w:r>
    </w:p>
    <w:bookmarkEnd w:id="844"/>
    <w:bookmarkStart w:id="847" w:name="rischi-ed-effetti-collaterali-51"/>
    <w:p>
      <w:pPr>
        <w:pStyle w:val="Heading3"/>
      </w:pPr>
      <w:r>
        <w:t xml:space="preserve">Rischi ed effetti collaterali</w:t>
      </w:r>
    </w:p>
    <w:bookmarkStart w:id="845" w:name="dimostrati-3"/>
    <w:p>
      <w:pPr>
        <w:pStyle w:val="Heading4"/>
      </w:pPr>
      <w:r>
        <w:t xml:space="preserve">Dimostrati</w:t>
      </w:r>
    </w:p>
    <w:p>
      <w:pPr>
        <w:pStyle w:val="FirstParagraph"/>
      </w:pPr>
      <w:r>
        <w:t xml:space="preserve">La gonadorelina è considerata ben tollerata. Negli studi sulla terapia con pompa erano in primo piano i problemi con l’accesso (infiammazione, irritazione venosa con la somministrazione endovenosa) e le reazioni cutanee locali (Santoro 1990, PMID 2122733; Christin-Maitre 2007, PMID 17293247). Le gravidanze multiple si verificano, anche se più raramente che con le gonadotropine; le iperstimolazioni gravi sono l’eccezione. Durante il test possono comparire temporaneamente mal di testa, nausea o vampate di calore. Le reazioni allergiche sono descritte raramente. I dettagli sono riportati nel riassunto delle caratteristiche del prodotto; l’uso spetta al medico.</w:t>
      </w:r>
    </w:p>
    <w:bookmarkEnd w:id="845"/>
    <w:bookmarkStart w:id="846" w:name="in-caso-di-uso-scorretto"/>
    <w:p>
      <w:pPr>
        <w:pStyle w:val="Heading4"/>
      </w:pPr>
      <w:r>
        <w:t xml:space="preserve">In caso di uso scorretto</w:t>
      </w:r>
    </w:p>
    <w:p>
      <w:pPr>
        <w:pStyle w:val="FirstParagraph"/>
      </w:pPr>
      <w:r>
        <w:t xml:space="preserve">Se la gonadorelina non viene somministrata con il ritmo giusto, ma troppo spesso o in modo continuo, può sopprimere anziché stimolare il proprio asse ormonale. Non è un rischio teorico, ma il principio d’azione degli analoghi del GnRH.</w:t>
      </w:r>
    </w:p>
    <w:bookmarkEnd w:id="846"/>
    <w:bookmarkEnd w:id="847"/>
    <w:bookmarkStart w:id="848" w:name="X02f6b41a84b9d0099a6630373ad8e8c2b5a550d"/>
    <w:p>
      <w:pPr>
        <w:pStyle w:val="Heading3"/>
      </w:pPr>
      <w:r>
        <w:t xml:space="preserve">Inquadramento: la gonadorelina nel bodybuilding</w:t>
      </w:r>
    </w:p>
    <w:p>
      <w:pPr>
        <w:pStyle w:val="FirstParagraph"/>
      </w:pPr>
      <w:r>
        <w:t xml:space="preserve">Nei forum online e presso alcuni fornitori di «ottimizzazione ormonale» la gonadorelina viene pubblicizzata come parte di una cosiddetta Post-Cycle-Therapy (PCT). Si intende la fase successiva a un ciclo di steroidi anabolizzanti: gli ormoni somministrati artificialmente hanno soppresso la propria produzione di testosterone, e la gonadorelina dovrebbe «rimettere in moto» l’asse ormonale. Negli Stati Uniti, secondo alcune segnalazioni, viene offerta anche come sostituto dell’hCG.</w:t>
      </w:r>
    </w:p>
    <w:p>
      <w:pPr>
        <w:pStyle w:val="BodyText"/>
      </w:pPr>
      <w:r>
        <w:t xml:space="preserve">Che cosa si sa in merito:</w:t>
      </w:r>
    </w:p>
    <w:p>
      <w:pPr>
        <w:numPr>
          <w:ilvl w:val="0"/>
          <w:numId w:val="1284"/>
        </w:numPr>
        <w:pStyle w:val="Compact"/>
      </w:pPr>
      <w:r>
        <w:rPr>
          <w:bCs/>
          <w:b/>
        </w:rPr>
        <w:t xml:space="preserve">Non esistono studi</w:t>
      </w:r>
      <w:r>
        <w:t xml:space="preserve"> </w:t>
      </w:r>
      <w:r>
        <w:t xml:space="preserve">sulla gonadorelina in questa situazione. I dati sulla PCT nel complesso sono scarsi; sono stati studiati quasi solo antiestrogeni, hCG e inibitori dell’aromatasi, e anche per questi ci sono prevalentemente dati osservazionali. Dal punto di vista scientifico una PCT per lo più non viene raccomandata (Smit 2026, PMID 42644333).</w:t>
      </w:r>
    </w:p>
    <w:p>
      <w:pPr>
        <w:numPr>
          <w:ilvl w:val="0"/>
          <w:numId w:val="1284"/>
        </w:numPr>
        <w:pStyle w:val="Compact"/>
      </w:pPr>
      <w:r>
        <w:rPr>
          <w:bCs/>
          <w:b/>
        </w:rPr>
        <w:t xml:space="preserve">Il recupero avviene per lo più spontaneamente.</w:t>
      </w:r>
      <w:r>
        <w:t xml:space="preserve"> </w:t>
      </w:r>
      <w:r>
        <w:t xml:space="preserve">Nello studio olandese HAARLEM con 100 atleti di forza, tre mesi dopo la fine del ciclo di steroidi il testosterone si era normalizzato nella maggior parte dei casi; dopo un anno era ancora sotto l’intervallo di normalità nell’11%, e nel 34% il numero di spermatozoi era ancora ridotto (Smit 2021, PMID 33550376).</w:t>
      </w:r>
    </w:p>
    <w:p>
      <w:pPr>
        <w:numPr>
          <w:ilvl w:val="0"/>
          <w:numId w:val="1284"/>
        </w:numPr>
        <w:pStyle w:val="Compact"/>
      </w:pPr>
      <w:r>
        <w:rPr>
          <w:bCs/>
          <w:b/>
        </w:rPr>
        <w:t xml:space="preserve">Il principio d’azione depone contro un uso ingenuo.</w:t>
      </w:r>
      <w:r>
        <w:t xml:space="preserve"> </w:t>
      </w:r>
      <w:r>
        <w:t xml:space="preserve">Singole iniezioni producono solo brevi picchi di LH; somministrazioni frequenti possono piuttosto desensibilizzare l’ipofisi. Senza pompa e controlli di laboratorio non ci si può aspettare un beneficio, e un ritardo del recupero non è da escludere.</w:t>
      </w:r>
    </w:p>
    <w:p>
      <w:pPr>
        <w:numPr>
          <w:ilvl w:val="0"/>
          <w:numId w:val="1284"/>
        </w:numPr>
        <w:pStyle w:val="Compact"/>
      </w:pPr>
      <w:r>
        <w:rPr>
          <w:bCs/>
          <w:b/>
        </w:rPr>
        <w:t xml:space="preserve">Chi dopo l’uso di steroidi ha disturbi</w:t>
      </w:r>
      <w:r>
        <w:t xml:space="preserve">, per esempio mancanza di energia, perdita della libido o desiderio di figli insoddisfatto, dovrebbe farli valutare da un medico, idealmente in un ambulatorio di andrologia o endocrinologia.</w:t>
      </w:r>
    </w:p>
    <w:p>
      <w:pPr>
        <w:pStyle w:val="FirstParagraph"/>
      </w:pPr>
      <w:r>
        <w:t xml:space="preserve">Nello sport la gonadorelina è vietata per gli uomini. I laboratori antidoping hanno sviluppato metodi di rilevamento specifici; una rassegna descrive la gonadorelina come esempio di peptide di cui negli ultimi anni si è abusato nello sport agonistico (Torrini 2023, PMID 36858006).</w:t>
      </w:r>
    </w:p>
    <w:bookmarkEnd w:id="848"/>
    <w:bookmarkStart w:id="849" w:name="quadro-normativo-51"/>
    <w:p>
      <w:pPr>
        <w:pStyle w:val="Heading3"/>
      </w:pPr>
      <w:r>
        <w:t xml:space="preserve">Quadro normativo</w:t>
      </w:r>
    </w:p>
    <w:p>
      <w:pPr>
        <w:pStyle w:val="FirstParagraph"/>
      </w:pPr>
      <w:r>
        <w:rPr>
          <w:iCs/>
          <w:i/>
        </w:rPr>
        <w:t xml:space="preserve">Aggiornato al 2026, da verificare.</w:t>
      </w:r>
    </w:p>
    <w:p>
      <w:pPr>
        <w:numPr>
          <w:ilvl w:val="0"/>
          <w:numId w:val="1285"/>
        </w:numPr>
        <w:pStyle w:val="Compact"/>
      </w:pPr>
      <w:r>
        <w:rPr>
          <w:bCs/>
          <w:b/>
        </w:rPr>
        <w:t xml:space="preserve">UE:</w:t>
      </w:r>
      <w:r>
        <w:t xml:space="preserve"> </w:t>
      </w:r>
      <w:r>
        <w:t xml:space="preserve">nessuna approvazione centralizzata UE; approvazioni nazionali in diversi Stati membri, tra l’altro come diagnostico, per la terapia pulsatile con pompa e come spray nasale nel criptorchidismo. I preparati sono soggetti a prescrizione.</w:t>
      </w:r>
    </w:p>
    <w:p>
      <w:pPr>
        <w:numPr>
          <w:ilvl w:val="0"/>
          <w:numId w:val="1285"/>
        </w:numPr>
        <w:pStyle w:val="Compact"/>
      </w:pPr>
      <w:r>
        <w:rPr>
          <w:bCs/>
          <w:b/>
        </w:rPr>
        <w:t xml:space="preserve">Germania:</w:t>
      </w:r>
      <w:r>
        <w:t xml:space="preserve"> </w:t>
      </w:r>
      <w:r>
        <w:t xml:space="preserve">preparati per il test al GnRH e per la terapia con pompa erano o sono in commercio; la disponibilità attuale varia. Il trattamento avviene in centri specializzati.</w:t>
      </w:r>
    </w:p>
    <w:p>
      <w:pPr>
        <w:numPr>
          <w:ilvl w:val="0"/>
          <w:numId w:val="1285"/>
        </w:numPr>
        <w:pStyle w:val="Compact"/>
      </w:pPr>
      <w:r>
        <w:rPr>
          <w:bCs/>
          <w:b/>
        </w:rPr>
        <w:t xml:space="preserve">Austria:</w:t>
      </w:r>
      <w:r>
        <w:t xml:space="preserve"> </w:t>
      </w:r>
      <w:r>
        <w:t xml:space="preserve">soggetta a prescrizione; la disponibilità dei singoli preparati va verificata nell’elenco aggiornato delle specialità medicinali.</w:t>
      </w:r>
    </w:p>
    <w:p>
      <w:pPr>
        <w:numPr>
          <w:ilvl w:val="0"/>
          <w:numId w:val="1285"/>
        </w:numPr>
        <w:pStyle w:val="Compact"/>
      </w:pPr>
      <w:r>
        <w:rPr>
          <w:bCs/>
          <w:b/>
        </w:rPr>
        <w:t xml:space="preserve">USA:</w:t>
      </w:r>
      <w:r>
        <w:t xml:space="preserve"> </w:t>
      </w:r>
      <w:r>
        <w:t xml:space="preserve">i preparati per uso umano un tempo approvati sono stati ritirati dal mercato. Secondo alcune segnalazioni la gonadorelina viene offerta da farmacie galeniche; la valutazione regolatoria di tali preparazioni è in evoluzione. I farmaci veterinari contenenti gonadorelina non sono destinati all’uomo.</w:t>
      </w:r>
    </w:p>
    <w:p>
      <w:pPr>
        <w:numPr>
          <w:ilvl w:val="0"/>
          <w:numId w:val="1285"/>
        </w:numPr>
        <w:pStyle w:val="Compact"/>
      </w:pPr>
      <w:r>
        <w:rPr>
          <w:bCs/>
          <w:b/>
        </w:rPr>
        <w:t xml:space="preserve">WADA:</w:t>
      </w:r>
      <w:r>
        <w:t xml:space="preserve"> </w:t>
      </w:r>
      <w:r>
        <w:t xml:space="preserve">S2 – vietata per gli uomini in gara e fuori gara.</w:t>
      </w:r>
    </w:p>
    <w:bookmarkEnd w:id="849"/>
    <w:bookmarkStart w:id="850" w:name="studi-in-corso-e-prospettive-51"/>
    <w:p>
      <w:pPr>
        <w:pStyle w:val="Heading3"/>
      </w:pPr>
      <w:r>
        <w:t xml:space="preserve">Studi in corso e prospettive</w:t>
      </w:r>
    </w:p>
    <w:p>
      <w:pPr>
        <w:pStyle w:val="FirstParagraph"/>
      </w:pPr>
      <w:r>
        <w:rPr>
          <w:bCs/>
          <w:b/>
        </w:rPr>
        <w:t xml:space="preserve">Dati certi (studi registrati):</w:t>
      </w:r>
      <w:r>
        <w:t xml:space="preserve"> </w:t>
      </w:r>
      <w:r>
        <w:t xml:space="preserve">tra le poche voci di registro che riguardano davvero il GnRH nativo si trovano:</w:t>
      </w:r>
    </w:p>
    <w:p>
      <w:pPr>
        <w:numPr>
          <w:ilvl w:val="0"/>
          <w:numId w:val="1286"/>
        </w:numPr>
        <w:pStyle w:val="Compact"/>
      </w:pPr>
      <w:r>
        <w:t xml:space="preserve">studi conclusi del produttore Ferring su un cerotto che rilascia GnRH in modo pulsatile attraverso la pelle mediante una debole corrente (NCT00296465 con 132 e NCT00796289 con 350 partecipanti). Per quanto noto all’autore, i risultati di questi studi non sono pubblicati in PubMed, e il cerotto non è arrivato sul mercato;</w:t>
      </w:r>
    </w:p>
    <w:p>
      <w:pPr>
        <w:numPr>
          <w:ilvl w:val="0"/>
          <w:numId w:val="1286"/>
        </w:numPr>
        <w:pStyle w:val="Compact"/>
      </w:pPr>
      <w:r>
        <w:t xml:space="preserve">uno studio ritirato nel 2025 sulla somministrazione di GnRH con una moderna pompa per insulina senza tubo (NCT07152730);</w:t>
      </w:r>
    </w:p>
    <w:p>
      <w:pPr>
        <w:numPr>
          <w:ilvl w:val="0"/>
          <w:numId w:val="1286"/>
        </w:numPr>
        <w:pStyle w:val="Compact"/>
      </w:pPr>
      <w:r>
        <w:t xml:space="preserve">studi cinesi sulla pompa nella carenza ormonale congenita (NCT02310074) e nella PCOS (NCT03989024), entrambi con stato sconosciuto.</w:t>
      </w:r>
    </w:p>
    <w:p>
      <w:pPr>
        <w:pStyle w:val="FirstParagraph"/>
      </w:pPr>
      <w:r>
        <w:rPr>
          <w:bCs/>
          <w:b/>
        </w:rPr>
        <w:t xml:space="preserve">Valutazione dell’autore:</w:t>
      </w:r>
      <w:r>
        <w:t xml:space="preserve"> </w:t>
      </w:r>
      <w:r>
        <w:t xml:space="preserve">la gonadorelina è un principio attivo vecchio e ben compreso, la cui importanza in diagnostica diminuisce perché gli analoghi a breve durata d’azione sono più economici e disponibili. Per la terapia con pompa nell’amenorrea ipotalamica e nella carenza ormonale congenita resta un’opzione fisiologica, il cui futuro dipende meno da nuove ricerche che dalla questione se i produttori continueranno a rifornire i piccoli mercati. Pompe moderne senza tubo potrebbero rendere il trattamento più comodo. Per un beneficio nel contesto del bodybuilding non esistono prove.</w:t>
      </w:r>
    </w:p>
    <w:bookmarkEnd w:id="850"/>
    <w:bookmarkStart w:id="851" w:name="conclusione-51"/>
    <w:p>
      <w:pPr>
        <w:pStyle w:val="Heading3"/>
      </w:pPr>
      <w:r>
        <w:t xml:space="preserve">Conclusione</w:t>
      </w:r>
    </w:p>
    <w:p>
      <w:pPr>
        <w:pStyle w:val="FirstParagraph"/>
      </w:pPr>
      <w:r>
        <w:t xml:space="preserve">La gonadorelina è la copia sintetica del GnRH endogeno ed è in uso da decenni per i test di funzionalità e la terapia con pompa. Somministrata con il giusto ritmo a impulsi, in ampie serie di casi ha portato all’ovulazione nella maggior parte dei cicli nelle donne con amenorrea ipotalamica, con meno gravidanze multiple rispetto alle gonadotropine, e negli uomini con carenza ormonale congenita alla produzione di spermatozoi. I dati sono datati e prevalentemente non randomizzati; i numeri dei registri sono fortemente distorti dagli analoghi del GnRH. L’impiego nell’ambiente del bodybuilding dopo i cicli di steroidi non è studiato, contraddice il principio d’azione ed è vietato nello sport.</w:t>
      </w:r>
    </w:p>
    <w:bookmarkEnd w:id="851"/>
    <w:bookmarkEnd w:id="852"/>
    <w:bookmarkEnd w:id="853"/>
    <w:bookmarkStart w:id="933" w:name="Xb7de65269475bb931b5ac98c8149256b2b91199"/>
    <w:p>
      <w:pPr>
        <w:pStyle w:val="Heading1"/>
      </w:pPr>
      <w:r>
        <w:t xml:space="preserve">Parte II · F – Collagene, alimentazione e cosmetica</w:t>
      </w:r>
    </w:p>
    <w:p>
      <w:pPr>
        <w:pStyle w:val="FirstParagraph"/>
      </w:pPr>
      <w:r>
        <w:t xml:space="preserve">La maggior parte delle persone non incontra i peptidi di questo gruppo nello studio medico, ma al supermercato, in profumeria e nella pubblicità: come bevanda al collagene, come yogurt per la pressione, come capsula per lo sport o come «peptide anti-aging» in una crema per il viso. Sono di libera vendita, sono considerati innocui e vengono pubblicizzati con studi. Proprio per questo vale la pena guardare con attenzione che cosa mostrano questi studi.</w:t>
      </w:r>
    </w:p>
    <w:bookmarkStart w:id="854" w:name="che-cosa-accomuna-il-gruppo"/>
    <w:p>
      <w:pPr>
        <w:pStyle w:val="Heading3"/>
      </w:pPr>
      <w:r>
        <w:t xml:space="preserve">Che cosa accomuna il gruppo</w:t>
      </w:r>
    </w:p>
    <w:p>
      <w:pPr>
        <w:pStyle w:val="FirstParagraph"/>
      </w:pPr>
      <w:r>
        <w:t xml:space="preserve">Tutte e sei le sostanze sono frammenti di proteine endogene o presenti negli alimenti (peptidi di collagene, lattotripeptidi del latte, carnosina, GHK-Cu) oppure ne sono riproduzioni mirate (Matrixyl, Argireline). Nessuna di esse è approvata come farmaco. Non vengono quindi valutate secondo i criteri rigorosi che valgono per i medicinali, ma secondo le regole per alimenti o cosmetici.</w:t>
      </w:r>
    </w:p>
    <w:p>
      <w:pPr>
        <w:pStyle w:val="BodyText"/>
      </w:pPr>
      <w:r>
        <w:t xml:space="preserve">Ne derivano schemi comuni che ricorrono in tutti i capitoli:</w:t>
      </w:r>
    </w:p>
    <w:p>
      <w:pPr>
        <w:numPr>
          <w:ilvl w:val="0"/>
          <w:numId w:val="1287"/>
        </w:numPr>
        <w:pStyle w:val="Compact"/>
      </w:pPr>
      <w:r>
        <w:rPr>
          <w:bCs/>
          <w:b/>
        </w:rPr>
        <w:t xml:space="preserve">Molti studi piccoli, pochi grandi.</w:t>
      </w:r>
      <w:r>
        <w:t xml:space="preserve"> </w:t>
      </w:r>
      <w:r>
        <w:t xml:space="preserve">Tipici sono 20–150 partecipanti per 4–24 settimane. Endpoint concreti come fratture ossee, infarti o protesi articolari non sono mai stati studiati.</w:t>
      </w:r>
    </w:p>
    <w:p>
      <w:pPr>
        <w:numPr>
          <w:ilvl w:val="0"/>
          <w:numId w:val="1287"/>
        </w:numPr>
        <w:pStyle w:val="Compact"/>
      </w:pPr>
      <w:r>
        <w:rPr>
          <w:bCs/>
          <w:b/>
        </w:rPr>
        <w:t xml:space="preserve">Finanziamento da parte dei produttori.</w:t>
      </w:r>
      <w:r>
        <w:t xml:space="preserve"> </w:t>
      </w:r>
      <w:r>
        <w:t xml:space="preserve">Gran parte degli studi è stata pagata da produttori di materie prime o di prodotti. Per il collagene una meta-analisi mostra che il beneficio per la pelle scompare se si considerano solo gli studi finanziati in modo indipendente (Myung 2025, PMID 40324552).</w:t>
      </w:r>
    </w:p>
    <w:p>
      <w:pPr>
        <w:numPr>
          <w:ilvl w:val="0"/>
          <w:numId w:val="1287"/>
        </w:numPr>
        <w:pStyle w:val="Compact"/>
      </w:pPr>
      <w:r>
        <w:rPr>
          <w:bCs/>
          <w:b/>
        </w:rPr>
        <w:t xml:space="preserve">Il problema del sito d’azione.</w:t>
      </w:r>
      <w:r>
        <w:t xml:space="preserve"> </w:t>
      </w:r>
      <w:r>
        <w:t xml:space="preserve">Un peptide deve arrivare là dove dovrebbe agire. I peptidi ingeriti vengono in gran parte digeriti; i peptidi nelle creme attraversano la barriera cutanea solo in misura ridotta. Per ogni capitolo è quindi centrale la questione se il meccanismo dimostrato in laboratorio entri davvero in gioco nel corpo.</w:t>
      </w:r>
    </w:p>
    <w:p>
      <w:pPr>
        <w:numPr>
          <w:ilvl w:val="0"/>
          <w:numId w:val="1287"/>
        </w:numPr>
        <w:pStyle w:val="Compact"/>
      </w:pPr>
      <w:r>
        <w:rPr>
          <w:bCs/>
          <w:b/>
        </w:rPr>
        <w:t xml:space="preserve">Prodotti combinati.</w:t>
      </w:r>
      <w:r>
        <w:t xml:space="preserve"> </w:t>
      </w:r>
      <w:r>
        <w:t xml:space="preserve">Molti prodotti contengono più principi attivi. Un risultato positivo di uno studio non può allora essere attribuito al singolo peptide.</w:t>
      </w:r>
    </w:p>
    <w:bookmarkEnd w:id="854"/>
    <w:bookmarkStart w:id="855" w:name="X643e2ec42786c340e06ff85a58892ac5ab3a150"/>
    <w:p>
      <w:pPr>
        <w:pStyle w:val="Heading3"/>
      </w:pPr>
      <w:r>
        <w:t xml:space="preserve">Alimenti, cosmetici, farmaci – tre mondi giuridici</w:t>
      </w:r>
    </w:p>
    <w:p>
      <w:pPr>
        <w:pStyle w:val="FirstParagraph"/>
      </w:pPr>
      <w:r>
        <w:t xml:space="preserve">Se una sostanza sia considerata alimento, cosmetico o farmaco non lo decide la sua chimica, ma la sua destinazione d’uso e la sua presentazione. La Parte I spiega dettagliatamente il quadro giuridico; per questo gruppo sono importanti tre punti:</w:t>
      </w:r>
    </w:p>
    <w:p>
      <w:pPr>
        <w:numPr>
          <w:ilvl w:val="0"/>
          <w:numId w:val="1288"/>
        </w:numPr>
        <w:pStyle w:val="Compact"/>
      </w:pPr>
      <w:r>
        <w:rPr>
          <w:bCs/>
          <w:b/>
        </w:rPr>
        <w:t xml:space="preserve">Alimenti e integratori alimentari</w:t>
      </w:r>
      <w:r>
        <w:t xml:space="preserve"> </w:t>
      </w:r>
      <w:r>
        <w:t xml:space="preserve">(peptidi di collagene, lattotripeptidi, carnosina) nell’UE non necessitano di approvazione né di prova di efficacia. In compenso è rigorosamente regolato che cosa possono vantare nella pubblicità. Secondo il regolamento sulle indicazioni sulla salute (Regolamento (CE) n. 1924/2006) le indicazioni sulla salute sono consentite solo se valutate dall’Autorità europea per la sicurezza alimentare (EFSA) e autorizzate dalla Commissione europea.</w:t>
      </w:r>
      <w:r>
        <w:t xml:space="preserve"> </w:t>
      </w:r>
      <w:r>
        <w:rPr>
          <w:bCs/>
          <w:b/>
        </w:rPr>
        <w:t xml:space="preserve">Per collagene, peptidi di collagene, lattotripeptidi e carnosina non esiste un solo health claim autorizzato.</w:t>
      </w:r>
      <w:r>
        <w:t xml:space="preserve"> </w:t>
      </w:r>
      <w:r>
        <w:t xml:space="preserve">L’EFSA ha valutato negativamente le indicazioni richieste – per esempio sulle articolazioni per il collagene o sulla pressione arteriosa per i lattotripeptidi. Se una confezione di collagene fa comunque pubblicità per pelle od ossa, l’affermazione giuridicamente ammessa si riferisce di regola alla vitamina C aggiunta, per la quale è autorizzata l’indicazione «contribuisce alla normale formazione del collagene».</w:t>
      </w:r>
    </w:p>
    <w:p>
      <w:pPr>
        <w:numPr>
          <w:ilvl w:val="0"/>
          <w:numId w:val="1288"/>
        </w:numPr>
        <w:pStyle w:val="Compact"/>
      </w:pPr>
      <w:r>
        <w:rPr>
          <w:bCs/>
          <w:b/>
        </w:rPr>
        <w:t xml:space="preserve">I cosmetici</w:t>
      </w:r>
      <w:r>
        <w:t xml:space="preserve"> </w:t>
      </w:r>
      <w:r>
        <w:t xml:space="preserve">(GHK-Cu, Matrixyl, Argireline) sono soggetti al regolamento UE sui prodotti cosmetici (Regolamento (CE) n. 1223/2009). Possono essere usati solo esternamente, devono essere sicuri e non possono rivendicare un effetto farmacologico. Le affermazioni pubblicitarie devono essere dimostrabili, ma non esiste una verifica dell’efficacia da parte delle autorità prima della vendita.</w:t>
      </w:r>
    </w:p>
    <w:p>
      <w:pPr>
        <w:numPr>
          <w:ilvl w:val="0"/>
          <w:numId w:val="1288"/>
        </w:numPr>
        <w:pStyle w:val="Compact"/>
      </w:pPr>
      <w:r>
        <w:rPr>
          <w:bCs/>
          <w:b/>
        </w:rPr>
        <w:t xml:space="preserve">I farmaci</w:t>
      </w:r>
      <w:r>
        <w:t xml:space="preserve"> </w:t>
      </w:r>
      <w:r>
        <w:t xml:space="preserve">devono dimostrare la loro efficacia e sicurezza in studi ed essere approvati. Se un peptide cosmetico viene iniettato – come accade sul mercato grigio con GHK-Cu e Argireline –, esce dal mondo della cosmetica: diventa un farmaco non approvato, senza che esistano studi o controlli di qualità.</w:t>
      </w:r>
    </w:p>
    <w:p>
      <w:pPr>
        <w:pStyle w:val="FirstParagraph"/>
      </w:pPr>
      <w:r>
        <w:t xml:space="preserve">Negli Stati Uniti valgono principi simili; lì però gli integratori alimentari possono fare pubblicità con generiche «affermazioni su struttura e funzione», purché riportino un’avvertenza che la FDA non le ha verificate (aggiornato al 2026, da verificare).</w:t>
      </w:r>
    </w:p>
    <w:bookmarkEnd w:id="855"/>
    <w:bookmarkStart w:id="856" w:name="panoramica-4"/>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w:t>
            </w:r>
          </w:p>
        </w:tc>
        <w:tc>
          <w:tcPr/>
          <w:p>
            <w:pPr>
              <w:pStyle w:val="Compact"/>
              <w:jc w:val="left"/>
            </w:pPr>
            <w:r>
              <w:t xml:space="preserve">In breve</w:t>
            </w:r>
          </w:p>
        </w:tc>
      </w:tr>
      <w:tr>
        <w:tc>
          <w:tcPr/>
          <w:p>
            <w:pPr>
              <w:pStyle w:val="Compact"/>
              <w:jc w:val="left"/>
            </w:pPr>
            <w:r>
              <w:t xml:space="preserve">Peptidi di collagene</w:t>
            </w:r>
          </w:p>
        </w:tc>
        <w:tc>
          <w:tcPr/>
          <w:p>
            <w:pPr>
              <w:pStyle w:val="Compact"/>
              <w:jc w:val="left"/>
            </w:pPr>
            <w:r>
              <w:t xml:space="preserve">B</w:t>
            </w:r>
          </w:p>
        </w:tc>
        <w:tc>
          <w:tcPr/>
          <w:p>
            <w:pPr>
              <w:pStyle w:val="Compact"/>
              <w:jc w:val="left"/>
            </w:pPr>
            <w:r>
              <w:t xml:space="preserve">Alimento, nessun health claim</w:t>
            </w:r>
          </w:p>
        </w:tc>
        <w:tc>
          <w:tcPr/>
          <w:p>
            <w:pPr>
              <w:pStyle w:val="Compact"/>
              <w:jc w:val="left"/>
            </w:pPr>
            <w:r>
              <w:t xml:space="preserve">Piccoli effetti sul dolore articolare; beneficio per la pelle non dimostrato negli studi indipendenti</w:t>
            </w:r>
          </w:p>
        </w:tc>
      </w:tr>
      <w:tr>
        <w:tc>
          <w:tcPr/>
          <w:p>
            <w:pPr>
              <w:pStyle w:val="Compact"/>
              <w:jc w:val="left"/>
            </w:pPr>
            <w:r>
              <w:t xml:space="preserve">Lattotripeptidi (VPP/IPP)</w:t>
            </w:r>
          </w:p>
        </w:tc>
        <w:tc>
          <w:tcPr/>
          <w:p>
            <w:pPr>
              <w:pStyle w:val="Compact"/>
              <w:jc w:val="left"/>
            </w:pPr>
            <w:r>
              <w:t xml:space="preserve">B</w:t>
            </w:r>
          </w:p>
        </w:tc>
        <w:tc>
          <w:tcPr/>
          <w:p>
            <w:pPr>
              <w:pStyle w:val="Compact"/>
              <w:jc w:val="left"/>
            </w:pPr>
            <w:r>
              <w:t xml:space="preserve">Alimento, claim sulla pressione respinto</w:t>
            </w:r>
          </w:p>
        </w:tc>
        <w:tc>
          <w:tcPr/>
          <w:p>
            <w:pPr>
              <w:pStyle w:val="Compact"/>
              <w:jc w:val="left"/>
            </w:pPr>
            <w:r>
              <w:t xml:space="preserve">Riduzione della pressione di circa 1–4 mmHg, in Europa appena rilevabile</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Integratore, nessun health claim</w:t>
            </w:r>
          </w:p>
        </w:tc>
        <w:tc>
          <w:tcPr/>
          <w:p>
            <w:pPr>
              <w:pStyle w:val="Compact"/>
              <w:jc w:val="left"/>
            </w:pPr>
            <w:r>
              <w:t xml:space="preserve">Indizi sulla glicemia; nello sport è meglio documentato il precursore beta-alanina</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Cosmetico; iniezione non approvata</w:t>
            </w:r>
          </w:p>
        </w:tc>
        <w:tc>
          <w:tcPr/>
          <w:p>
            <w:pPr>
              <w:pStyle w:val="Compact"/>
              <w:jc w:val="left"/>
            </w:pPr>
            <w:r>
              <w:t xml:space="preserve">Un vecchio studio sulle ferite; pochissimi dati sulla pelle; iniezione non verificata</w:t>
            </w:r>
          </w:p>
        </w:tc>
      </w:tr>
      <w:tr>
        <w:tc>
          <w:tcPr/>
          <w:p>
            <w:pPr>
              <w:pStyle w:val="Compact"/>
              <w:jc w:val="left"/>
            </w:pPr>
            <w:r>
              <w:t xml:space="preserve">Palmitoil pentapeptide-4 (Matrixyl)</w:t>
            </w:r>
          </w:p>
        </w:tc>
        <w:tc>
          <w:tcPr/>
          <w:p>
            <w:pPr>
              <w:pStyle w:val="Compact"/>
              <w:jc w:val="left"/>
            </w:pPr>
            <w:r>
              <w:t xml:space="preserve">B</w:t>
            </w:r>
          </w:p>
        </w:tc>
        <w:tc>
          <w:tcPr/>
          <w:p>
            <w:pPr>
              <w:pStyle w:val="Compact"/>
              <w:jc w:val="left"/>
            </w:pPr>
            <w:r>
              <w:t xml:space="preserve">Cosmetico</w:t>
            </w:r>
          </w:p>
        </w:tc>
        <w:tc>
          <w:tcPr/>
          <w:p>
            <w:pPr>
              <w:pStyle w:val="Compact"/>
              <w:jc w:val="left"/>
            </w:pPr>
            <w:r>
              <w:t xml:space="preserve">Uno studio a metà viso del 2005; permeabilità cutanea non chiara</w:t>
            </w:r>
          </w:p>
        </w:tc>
      </w:tr>
      <w:tr>
        <w:tc>
          <w:tcPr/>
          <w:p>
            <w:pPr>
              <w:pStyle w:val="Compact"/>
              <w:jc w:val="left"/>
            </w:pPr>
            <w:r>
              <w:t xml:space="preserve">Acetil esapeptide-8 (Argireline)</w:t>
            </w:r>
          </w:p>
        </w:tc>
        <w:tc>
          <w:tcPr/>
          <w:p>
            <w:pPr>
              <w:pStyle w:val="Compact"/>
              <w:jc w:val="left"/>
            </w:pPr>
            <w:r>
              <w:t xml:space="preserve">B</w:t>
            </w:r>
          </w:p>
        </w:tc>
        <w:tc>
          <w:tcPr/>
          <w:p>
            <w:pPr>
              <w:pStyle w:val="Compact"/>
              <w:jc w:val="left"/>
            </w:pPr>
            <w:r>
              <w:t xml:space="preserve">Cosmetico</w:t>
            </w:r>
          </w:p>
        </w:tc>
        <w:tc>
          <w:tcPr/>
          <w:p>
            <w:pPr>
              <w:pStyle w:val="Compact"/>
              <w:jc w:val="left"/>
            </w:pPr>
            <w:r>
              <w:t xml:space="preserve">«Botox in tubetto» non dimostrato; penetra appena nella pelle</w:t>
            </w:r>
          </w:p>
        </w:tc>
      </w:tr>
    </w:tbl>
    <w:p>
      <w:pPr>
        <w:pStyle w:val="BodyText"/>
      </w:pPr>
      <w:r>
        <w:t xml:space="preserve">In questo gruppo il livello B non significa espressamente che un effetto sia certo, ma solo che esistono studi randomizzati.</w:t>
      </w:r>
    </w:p>
    <w:bookmarkEnd w:id="856"/>
    <w:bookmarkStart w:id="857" w:name="nota-di-lettura-1"/>
    <w:p>
      <w:pPr>
        <w:pStyle w:val="Heading3"/>
      </w:pPr>
      <w:r>
        <w:t xml:space="preserve">Nota di lettura</w:t>
      </w:r>
    </w:p>
    <w:p>
      <w:pPr>
        <w:pStyle w:val="FirstParagraph"/>
      </w:pPr>
      <w:r>
        <w:t xml:space="preserve">Il capitolo sui</w:t>
      </w:r>
      <w:r>
        <w:t xml:space="preserve"> </w:t>
      </w:r>
      <w:r>
        <w:rPr>
          <w:bCs/>
          <w:b/>
        </w:rPr>
        <w:t xml:space="preserve">peptidi di collagene</w:t>
      </w:r>
      <w:r>
        <w:t xml:space="preserve"> </w:t>
      </w:r>
      <w:r>
        <w:t xml:space="preserve">è il più dettagliato, perché su di essi esistono più studi e perché permettono di mostrare bene come interagiscono meta-analisi, finanziamento dei produttori ed effetto placebo. Chi legge un solo capitolo di questo gruppo dovrebbe scegliere questo. Il capitolo sui</w:t>
      </w:r>
      <w:r>
        <w:t xml:space="preserve"> </w:t>
      </w:r>
      <w:r>
        <w:rPr>
          <w:bCs/>
          <w:b/>
        </w:rPr>
        <w:t xml:space="preserve">lattotripeptidi</w:t>
      </w:r>
      <w:r>
        <w:t xml:space="preserve"> </w:t>
      </w:r>
      <w:r>
        <w:t xml:space="preserve">è una lezione su come un meccanismo di laboratorio convincente possa ridimensionarsi in studi più ampi. I tre</w:t>
      </w:r>
      <w:r>
        <w:t xml:space="preserve"> </w:t>
      </w:r>
      <w:r>
        <w:rPr>
          <w:bCs/>
          <w:b/>
        </w:rPr>
        <w:t xml:space="preserve">peptidi cosmetici</w:t>
      </w:r>
      <w:r>
        <w:t xml:space="preserve"> </w:t>
      </w:r>
      <w:r>
        <w:t xml:space="preserve">sono più brevi; condividono la stessa domanda centrale – se un principio attivo contenuto in una crema arrivi davvero là dove dovrebbe agire. I rischi delle iniezioni del mercato grigio sono trattati in dettaglio nella Parte IV.</w:t>
      </w:r>
    </w:p>
    <w:bookmarkEnd w:id="857"/>
    <w:bookmarkStart w:id="873" w:name="X452cd4f30a8122fe666a39355bde4399fabb477"/>
    <w:p>
      <w:pPr>
        <w:pStyle w:val="Heading2"/>
      </w:pPr>
      <w:r>
        <w:t xml:space="preserve">Peptidi di collagene (collagene idrolizzato)</w:t>
      </w:r>
    </w:p>
    <w:bookmarkStart w:id="858" w:name="scheda-52"/>
    <w:p>
      <w:pPr>
        <w:pStyle w:val="Heading3"/>
      </w:pPr>
      <w:r>
        <w:t xml:space="preserve">Scheda</w:t>
      </w:r>
    </w:p>
    <w:p>
      <w:pPr>
        <w:numPr>
          <w:ilvl w:val="0"/>
          <w:numId w:val="1289"/>
        </w:numPr>
        <w:pStyle w:val="Compact"/>
      </w:pPr>
      <w:r>
        <w:rPr>
          <w:bCs/>
          <w:b/>
        </w:rPr>
        <w:t xml:space="preserve">Tipo/struttura:</w:t>
      </w:r>
      <w:r>
        <w:t xml:space="preserve"> </w:t>
      </w:r>
      <w:r>
        <w:t xml:space="preserve">miscela di peptidi di lunghezza diversa, ottenuta mediante scissione enzimatica (idrolisi) del collagene o della gelatina. I prodotti tipici contengono frammenti con una massa molecolare media di circa 2.000–5.000 dalton. Caratteristici sono gli aminoacidi glicina, prolina e idrossiprolina; manca l’aminoacido essenziale triptofano.</w:t>
      </w:r>
    </w:p>
    <w:p>
      <w:pPr>
        <w:numPr>
          <w:ilvl w:val="0"/>
          <w:numId w:val="1289"/>
        </w:numPr>
        <w:pStyle w:val="Compact"/>
      </w:pPr>
      <w:r>
        <w:rPr>
          <w:bCs/>
          <w:b/>
        </w:rPr>
        <w:t xml:space="preserve">Origine:</w:t>
      </w:r>
      <w:r>
        <w:t xml:space="preserve"> </w:t>
      </w:r>
      <w:r>
        <w:t xml:space="preserve">pelle, ossa o squame di bovino, suino, pollo e pesce – sottoprodotti della lavorazione di carne e pesce. Molti studi usano materie prime di marchi protetti (per es. Verisol, Fortigel, Bodybalance, Tendoforte), che provengono da pochi produttori.</w:t>
      </w:r>
    </w:p>
    <w:p>
      <w:pPr>
        <w:numPr>
          <w:ilvl w:val="0"/>
          <w:numId w:val="1289"/>
        </w:numPr>
        <w:pStyle w:val="Compact"/>
      </w:pPr>
      <w:r>
        <w:rPr>
          <w:bCs/>
          <w:b/>
        </w:rPr>
        <w:t xml:space="preserve">Principio d’azione:</w:t>
      </w:r>
      <w:r>
        <w:t xml:space="preserve"> </w:t>
      </w:r>
      <w:r>
        <w:t xml:space="preserve">fornitura di elementi costitutivi per il tessuto connettivo dell’organismo; si discute inoltre che determinati piccoli peptidi (soprattutto prolil-idrossiprolina) agiscano come segnali sulle cellule del tessuto connettivo.</w:t>
      </w:r>
    </w:p>
    <w:p>
      <w:pPr>
        <w:numPr>
          <w:ilvl w:val="0"/>
          <w:numId w:val="1289"/>
        </w:numPr>
        <w:pStyle w:val="Compact"/>
      </w:pPr>
      <w:r>
        <w:rPr>
          <w:bCs/>
          <w:b/>
        </w:rPr>
        <w:t xml:space="preserve">Distinzione:</w:t>
      </w:r>
      <w:r>
        <w:t xml:space="preserve"> </w:t>
      </w:r>
      <w:r>
        <w:t xml:space="preserve">il collagene di tipo II</w:t>
      </w:r>
      <w:r>
        <w:t xml:space="preserve"> </w:t>
      </w:r>
      <w:r>
        <w:rPr>
          <w:iCs/>
          <w:i/>
        </w:rPr>
        <w:t xml:space="preserve">non denaturato</w:t>
      </w:r>
      <w:r>
        <w:t xml:space="preserve"> </w:t>
      </w:r>
      <w:r>
        <w:t xml:space="preserve">(per es. UC-II) è un prodotto diverso con un diverso principio d’azione e viene discusso separatamente più avanti.</w:t>
      </w:r>
    </w:p>
    <w:p>
      <w:pPr>
        <w:numPr>
          <w:ilvl w:val="0"/>
          <w:numId w:val="1289"/>
        </w:numPr>
        <w:pStyle w:val="Compact"/>
      </w:pPr>
      <w:r>
        <w:rPr>
          <w:bCs/>
          <w:b/>
        </w:rPr>
        <w:t xml:space="preserve">Approvazione UE:</w:t>
      </w:r>
      <w:r>
        <w:t xml:space="preserve"> </w:t>
      </w:r>
      <w:r>
        <w:t xml:space="preserve">nessuna autorizzazione come farmaco; commerciabile come alimento o integratore alimentare. Per il collagene stesso</w:t>
      </w:r>
      <w:r>
        <w:t xml:space="preserve"> </w:t>
      </w:r>
      <w:r>
        <w:rPr>
          <w:bCs/>
          <w:b/>
        </w:rPr>
        <w:t xml:space="preserve">non esiste</w:t>
      </w:r>
      <w:r>
        <w:t xml:space="preserve"> </w:t>
      </w:r>
      <w:r>
        <w:t xml:space="preserve">alcuna indicazione sulla salute autorizzata (health claim).</w:t>
      </w:r>
    </w:p>
    <w:p>
      <w:pPr>
        <w:numPr>
          <w:ilvl w:val="0"/>
          <w:numId w:val="1289"/>
        </w:numPr>
        <w:pStyle w:val="Compact"/>
      </w:pPr>
      <w:r>
        <w:rPr>
          <w:bCs/>
          <w:b/>
        </w:rPr>
        <w:t xml:space="preserve">Approvazione USA:</w:t>
      </w:r>
      <w:r>
        <w:t xml:space="preserve"> </w:t>
      </w:r>
      <w:r>
        <w:t xml:space="preserve">nessuna autorizzazione come farmaco; in commercio come integratore alimentare (dietary supplement).</w:t>
      </w:r>
    </w:p>
    <w:p>
      <w:pPr>
        <w:numPr>
          <w:ilvl w:val="0"/>
          <w:numId w:val="1289"/>
        </w:numPr>
        <w:pStyle w:val="Compact"/>
      </w:pPr>
      <w:r>
        <w:rPr>
          <w:bCs/>
          <w:b/>
        </w:rPr>
        <w:t xml:space="preserve">WADA:</w:t>
      </w:r>
      <w:r>
        <w:t xml:space="preserve"> </w:t>
      </w:r>
      <w:r>
        <w:t xml:space="preserve">non elencato (aggiornato al 2026, da verificare).</w:t>
      </w:r>
    </w:p>
    <w:p>
      <w:pPr>
        <w:numPr>
          <w:ilvl w:val="0"/>
          <w:numId w:val="1289"/>
        </w:numPr>
        <w:pStyle w:val="Compact"/>
      </w:pPr>
      <w:r>
        <w:rPr>
          <w:bCs/>
          <w:b/>
        </w:rPr>
        <w:t xml:space="preserve">Livello di evidenza:</w:t>
      </w:r>
      <w:r>
        <w:t xml:space="preserve"> </w:t>
      </w:r>
      <w:r>
        <w:rPr>
          <w:bCs/>
          <w:b/>
        </w:rPr>
        <w:t xml:space="preserve">B</w:t>
      </w:r>
      <w:r>
        <w:t xml:space="preserve"> </w:t>
      </w:r>
      <w:r>
        <w:t xml:space="preserve">– numerosi studi randomizzati controllati con placebo, che però sono per lo più piccoli, brevi e finanziati dai produttori.</w:t>
      </w:r>
    </w:p>
    <w:bookmarkEnd w:id="858"/>
    <w:bookmarkStart w:id="859" w:name="come-dovrebbe-agire-52"/>
    <w:p>
      <w:pPr>
        <w:pStyle w:val="Heading3"/>
      </w:pPr>
      <w:r>
        <w:t xml:space="preserve">Come dovrebbe agire</w:t>
      </w:r>
    </w:p>
    <w:p>
      <w:pPr>
        <w:pStyle w:val="FirstParagraph"/>
      </w:pPr>
      <w:r>
        <w:t xml:space="preserve">Il collagene è la proteina più abbondante del corpo umano. Forma l’impalcatura di pelle, tendini, legamenti, cartilagine e ossa. La sua unità di base è una tripla elica di tre catene proteiche, in cui uno schema si ripete continuamente: glicina, poi un aminoacido qualsiasi, poi spesso prolina o idrossiprolina. Con l’età la produzione di collagene nella pelle diminuisce e la rete di collagene diventa più fragile – visibile come rughe e perdita di tono.</w:t>
      </w:r>
    </w:p>
    <w:p>
      <w:pPr>
        <w:pStyle w:val="BodyText"/>
      </w:pPr>
      <w:r>
        <w:t xml:space="preserve">La pubblicità suggerisce spesso una logica semplice: chi mangia collagene costruisce collagene. Ma la digestione non funziona così. Le proteine vengono scomposte nello stomaco e nell’intestino tenue in gran parte in singoli aminoacidi e peptidi piccolissimi; da questi il corpo ricostruisce le proprie proteine secondo il proprio fabbisogno. Il collagene alimentare quindi non viene «incorporato» come collagene nella pelle.</w:t>
      </w:r>
    </w:p>
    <w:p>
      <w:pPr>
        <w:pStyle w:val="BodyText"/>
      </w:pPr>
      <w:r>
        <w:t xml:space="preserve">Esistono però due ipotesi da prendere sul serio sul perché i peptidi di collagene potrebbero comunque avere un effetto:</w:t>
      </w:r>
    </w:p>
    <w:p>
      <w:pPr>
        <w:numPr>
          <w:ilvl w:val="0"/>
          <w:numId w:val="1290"/>
        </w:numPr>
        <w:pStyle w:val="Compact"/>
      </w:pPr>
      <w:r>
        <w:rPr>
          <w:bCs/>
          <w:b/>
        </w:rPr>
        <w:t xml:space="preserve">Peptidi segnale.</w:t>
      </w:r>
      <w:r>
        <w:t xml:space="preserve"> </w:t>
      </w:r>
      <w:r>
        <w:t xml:space="preserve">I dipeptidi e tripeptidi contenenti idrossiprolina sono insolitamente stabili nei confronti degli enzimi digestivi. Dopo aver bevuto idrolizzato di gelatina, nei volontari la concentrazione di idrossiprolina legata a peptidi nel sangue è aumentata nettamente, raggiungendo un massimo dopo una-due ore; il componente principale era il dipeptide prolil-idrossiprolina (Iwai 2005, PMID 16076145). Qualcosa di simile è emerso per un preparato con un’elevata quota di tripeptidi (Yamamoto 2016, PMID 26934933). In esperimenti su colture cellulari e sugli animali questi peptidi stimolano le cellule del tessuto connettivo (fibroblasti) a crescere e a produrre componenti della matrice. Se le quantità raggiunte nel sangue nell’uomo bastino a provocare un effetto misurabile nella pelle o nella cartilagine non è dimostrato con certezza.</w:t>
      </w:r>
    </w:p>
    <w:p>
      <w:pPr>
        <w:numPr>
          <w:ilvl w:val="0"/>
          <w:numId w:val="1290"/>
        </w:numPr>
        <w:pStyle w:val="Compact"/>
      </w:pPr>
      <w:r>
        <w:rPr>
          <w:bCs/>
          <w:b/>
        </w:rPr>
        <w:t xml:space="preserve">Fornitura di materiale costruttivo.</w:t>
      </w:r>
      <w:r>
        <w:t xml:space="preserve"> </w:t>
      </w:r>
      <w:r>
        <w:t xml:space="preserve">I peptidi di collagene forniscono grandi quantità di glicina, prolina e idrossiprolina. In un piccolo studio con otto uomini il marcatore ematico della neoformazione di collagene è raddoppiato quando avevano assunto 15 g di gelatina arricchita di vitamina C un’ora prima di un breve esercizio di salti (Shaw 2017, PMID 27852613). Questo sostiene l’idea di combinare temporalmente i peptidi di collagene con lo sforzo fisico, ma si tratta di un valore misurato nel sangue, non della prova di tendini più forti.</w:t>
      </w:r>
    </w:p>
    <w:p>
      <w:pPr>
        <w:pStyle w:val="FirstParagraph"/>
      </w:pPr>
      <w:r>
        <w:t xml:space="preserve">Importante per l’inquadramento: il collagene è una fonte proteica incompleta. Poiché gli manca il triptofano, una miscela di peptidi a base di gelatina viene persino usata nella ricerca in modo mirato per abbassare temporaneamente il livello di triptofano nel sangue (Stenbæk 2016, PMID 26655163). Per la costruzione muscolare il collagene è quindi inferiore ad altre proteine – maggiori dettagli più avanti.</w:t>
      </w:r>
    </w:p>
    <w:bookmarkEnd w:id="859"/>
    <w:bookmarkStart w:id="867" w:name="studi-sulluomo-52"/>
    <w:p>
      <w:pPr>
        <w:pStyle w:val="Heading3"/>
      </w:pPr>
      <w:r>
        <w:t xml:space="preserve">Studi sull’uomo</w:t>
      </w:r>
    </w:p>
    <w:p>
      <w:pPr>
        <w:pStyle w:val="FirstParagraph"/>
      </w:pPr>
      <w:r>
        <w:t xml:space="preserve">I dati disponibili sono numerosi, ma disomogenei. La ricerca in PubMed valutata per questo libro (collagene idrolizzato o peptidi di collagene in combinazione con assunzione o supplementazione, data della ricerca ottobre 2026) ha restituito 101 studi sull’uomo. Su ClinicalTrials.gov la ricerca «collagen peptides» ha trovato 237 voci di registro; una parte considerevole riguarda però altri temi (per esempio impianti di collagene in odontoiatria o il farmaco antitumorale endostatina, un frammento di collagene). A questi si aggiungono almeno una dozzina di meta-analisi.</w:t>
      </w:r>
    </w:p>
    <w:p>
      <w:pPr>
        <w:pStyle w:val="BodyText"/>
      </w:pPr>
      <w:r>
        <w:t xml:space="preserve">Tre caratteristiche contraddistinguono quasi tutti gli studi e andrebbero tenute presenti durante la lettura:</w:t>
      </w:r>
    </w:p>
    <w:p>
      <w:pPr>
        <w:numPr>
          <w:ilvl w:val="0"/>
          <w:numId w:val="1291"/>
        </w:numPr>
        <w:pStyle w:val="Compact"/>
      </w:pPr>
      <w:r>
        <w:rPr>
          <w:bCs/>
          <w:b/>
        </w:rPr>
        <w:t xml:space="preserve">Campioni piccoli e durata breve:</w:t>
      </w:r>
      <w:r>
        <w:t xml:space="preserve"> </w:t>
      </w:r>
      <w:r>
        <w:t xml:space="preserve">per lo più 40–150 partecipanti per 8–24 settimane.</w:t>
      </w:r>
    </w:p>
    <w:p>
      <w:pPr>
        <w:numPr>
          <w:ilvl w:val="0"/>
          <w:numId w:val="1291"/>
        </w:numPr>
        <w:pStyle w:val="Compact"/>
      </w:pPr>
      <w:r>
        <w:rPr>
          <w:bCs/>
          <w:b/>
        </w:rPr>
        <w:t xml:space="preserve">Finanziamento da parte dei produttori:</w:t>
      </w:r>
      <w:r>
        <w:t xml:space="preserve"> </w:t>
      </w:r>
      <w:r>
        <w:t xml:space="preserve">gran parte degli studi è stata pagata dai produttori delle materie prime o dei prodotti, oppure è stata scritta insieme a loro dipendenti. Spesso vengono testate miscele di peptidi con marchio protetto.</w:t>
      </w:r>
    </w:p>
    <w:p>
      <w:pPr>
        <w:numPr>
          <w:ilvl w:val="0"/>
          <w:numId w:val="1291"/>
        </w:numPr>
        <w:pStyle w:val="Compact"/>
      </w:pPr>
      <w:r>
        <w:rPr>
          <w:bCs/>
          <w:b/>
        </w:rPr>
        <w:t xml:space="preserve">Prodotti combinati:</w:t>
      </w:r>
      <w:r>
        <w:t xml:space="preserve"> </w:t>
      </w:r>
      <w:r>
        <w:t xml:space="preserve">molte «bevande al collagene» contengono in più vitamina C, zinco, biotina, acido ialuronico o estratti vegetali. Un risultato positivo non può allora essere attribuito al solo collagene.</w:t>
      </w:r>
    </w:p>
    <w:bookmarkStart w:id="860" w:name="pelle-idratazione-elasticità-rughe"/>
    <w:p>
      <w:pPr>
        <w:pStyle w:val="Heading4"/>
      </w:pPr>
      <w:r>
        <w:t xml:space="preserve">Pelle: idratazione, elasticità, rughe</w:t>
      </w:r>
    </w:p>
    <w:p>
      <w:pPr>
        <w:pStyle w:val="FirstParagraph"/>
      </w:pPr>
      <w:r>
        <w:t xml:space="preserve">Gli studi sulla pelle sono i più numerosi. Le misurazioni avvengono per lo più con strumenti: corneometro (idratazione dello strato corneo), cutometro (elasticità), calchi cutanei o fotocamere 3D (profondità delle rughe), ecografia (densità del derma).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Proksch 2014a, PMID 23949208</w:t>
            </w:r>
          </w:p>
        </w:tc>
        <w:tc>
          <w:tcPr/>
          <w:p>
            <w:pPr>
              <w:pStyle w:val="Compact"/>
              <w:jc w:val="left"/>
            </w:pPr>
            <w:r>
              <w:t xml:space="preserve">69 donne (35–55 anni), 2,5 g o 5 g vs. placebo</w:t>
            </w:r>
          </w:p>
        </w:tc>
        <w:tc>
          <w:tcPr/>
          <w:p>
            <w:pPr>
              <w:pStyle w:val="Compact"/>
              <w:jc w:val="left"/>
            </w:pPr>
            <w:r>
              <w:t xml:space="preserve">8 settimane</w:t>
            </w:r>
          </w:p>
        </w:tc>
        <w:tc>
          <w:tcPr/>
          <w:p>
            <w:pPr>
              <w:pStyle w:val="Compact"/>
              <w:jc w:val="left"/>
            </w:pPr>
            <w:r>
              <w:t xml:space="preserve">Elasticità significativamente migliore del placebo in entrambi i gruppi di dose; idratazione non significativa</w:t>
            </w:r>
          </w:p>
        </w:tc>
      </w:tr>
      <w:tr>
        <w:tc>
          <w:tcPr/>
          <w:p>
            <w:pPr>
              <w:pStyle w:val="Compact"/>
              <w:jc w:val="left"/>
            </w:pPr>
            <w:r>
              <w:t xml:space="preserve">Proksch 2014b, PMID 24401291</w:t>
            </w:r>
          </w:p>
        </w:tc>
        <w:tc>
          <w:tcPr/>
          <w:p>
            <w:pPr>
              <w:pStyle w:val="Compact"/>
              <w:jc w:val="left"/>
            </w:pPr>
            <w:r>
              <w:t xml:space="preserve">114 donne (45–65 anni), 2,5 g di Verisol vs. placebo</w:t>
            </w:r>
          </w:p>
        </w:tc>
        <w:tc>
          <w:tcPr/>
          <w:p>
            <w:pPr>
              <w:pStyle w:val="Compact"/>
              <w:jc w:val="left"/>
            </w:pPr>
            <w:r>
              <w:t xml:space="preserve">8 settimane</w:t>
            </w:r>
          </w:p>
        </w:tc>
        <w:tc>
          <w:tcPr/>
          <w:p>
            <w:pPr>
              <w:pStyle w:val="Compact"/>
              <w:jc w:val="left"/>
            </w:pPr>
            <w:r>
              <w:t xml:space="preserve">Volume delle rughe perioculari −20% vs. placebo; procollagene I nei campioni cutanei +65%</w:t>
            </w:r>
          </w:p>
        </w:tc>
      </w:tr>
      <w:tr>
        <w:tc>
          <w:tcPr/>
          <w:p>
            <w:pPr>
              <w:pStyle w:val="Compact"/>
              <w:jc w:val="left"/>
            </w:pPr>
            <w:r>
              <w:t xml:space="preserve">Kim 2018, PMID 29949889</w:t>
            </w:r>
          </w:p>
        </w:tc>
        <w:tc>
          <w:tcPr/>
          <w:p>
            <w:pPr>
              <w:pStyle w:val="Compact"/>
              <w:jc w:val="left"/>
            </w:pPr>
            <w:r>
              <w:t xml:space="preserve">64 persone, 1 g di peptide a basso peso molecolare vs. placebo</w:t>
            </w:r>
          </w:p>
        </w:tc>
        <w:tc>
          <w:tcPr/>
          <w:p>
            <w:pPr>
              <w:pStyle w:val="Compact"/>
              <w:jc w:val="left"/>
            </w:pPr>
            <w:r>
              <w:t xml:space="preserve">12 settimane</w:t>
            </w:r>
          </w:p>
        </w:tc>
        <w:tc>
          <w:tcPr/>
          <w:p>
            <w:pPr>
              <w:pStyle w:val="Compact"/>
              <w:jc w:val="left"/>
            </w:pPr>
            <w:r>
              <w:t xml:space="preserve">Idratazione e tre parametri delle rughe migliori del placebo; elasticità in parte</w:t>
            </w:r>
          </w:p>
        </w:tc>
      </w:tr>
      <w:tr>
        <w:tc>
          <w:tcPr/>
          <w:p>
            <w:pPr>
              <w:pStyle w:val="Compact"/>
              <w:jc w:val="left"/>
            </w:pPr>
            <w:r>
              <w:t xml:space="preserve">Bolke 2019, PMID 31627309</w:t>
            </w:r>
          </w:p>
        </w:tc>
        <w:tc>
          <w:tcPr/>
          <w:p>
            <w:pPr>
              <w:pStyle w:val="Compact"/>
              <w:jc w:val="left"/>
            </w:pPr>
            <w:r>
              <w:t xml:space="preserve">72 donne dai 35 anni, fiala da bere con 2,5 g di peptidi più vitamine, zinco, acerola vs. placebo</w:t>
            </w:r>
          </w:p>
        </w:tc>
        <w:tc>
          <w:tcPr/>
          <w:p>
            <w:pPr>
              <w:pStyle w:val="Compact"/>
              <w:jc w:val="left"/>
            </w:pPr>
            <w:r>
              <w:t xml:space="preserve">12 settimane</w:t>
            </w:r>
          </w:p>
        </w:tc>
        <w:tc>
          <w:tcPr/>
          <w:p>
            <w:pPr>
              <w:pStyle w:val="Compact"/>
              <w:jc w:val="left"/>
            </w:pPr>
            <w:r>
              <w:t xml:space="preserve">Idratazione, elasticità, ruvidità e densità migliori del placebo (prodotto combinato)</w:t>
            </w:r>
          </w:p>
        </w:tc>
      </w:tr>
      <w:tr>
        <w:tc>
          <w:tcPr/>
          <w:p>
            <w:pPr>
              <w:pStyle w:val="Compact"/>
              <w:jc w:val="left"/>
            </w:pPr>
            <w:r>
              <w:t xml:space="preserve">Kim 2022, PMID 36516059</w:t>
            </w:r>
          </w:p>
        </w:tc>
        <w:tc>
          <w:tcPr/>
          <w:p>
            <w:pPr>
              <w:pStyle w:val="Compact"/>
              <w:jc w:val="left"/>
            </w:pPr>
            <w:r>
              <w:t xml:space="preserve">100 persone, peptidi a basso peso molecolare vs. placebo</w:t>
            </w:r>
          </w:p>
        </w:tc>
        <w:tc>
          <w:tcPr/>
          <w:p>
            <w:pPr>
              <w:pStyle w:val="Compact"/>
              <w:jc w:val="left"/>
            </w:pPr>
            <w:r>
              <w:t xml:space="preserve">12 settimane</w:t>
            </w:r>
          </w:p>
        </w:tc>
        <w:tc>
          <w:tcPr/>
          <w:p>
            <w:pPr>
              <w:pStyle w:val="Compact"/>
              <w:jc w:val="left"/>
            </w:pPr>
            <w:r>
              <w:t xml:space="preserve">Zampe di gallina, ruvidità, elasticità, idratazione migliori del placebo (analisi di 84 persone)</w:t>
            </w:r>
          </w:p>
        </w:tc>
      </w:tr>
      <w:tr>
        <w:tc>
          <w:tcPr/>
          <w:p>
            <w:pPr>
              <w:pStyle w:val="Compact"/>
              <w:jc w:val="left"/>
            </w:pPr>
            <w:r>
              <w:t xml:space="preserve">Vleminckx 2024, PMID 39143887</w:t>
            </w:r>
          </w:p>
        </w:tc>
        <w:tc>
          <w:tcPr/>
          <w:p>
            <w:pPr>
              <w:pStyle w:val="Compact"/>
              <w:jc w:val="left"/>
            </w:pPr>
            <w:r>
              <w:t xml:space="preserve">85 donne dell’Asia orientale (43–65 anni), 5 g vs. maltodestrina</w:t>
            </w:r>
          </w:p>
        </w:tc>
        <w:tc>
          <w:tcPr/>
          <w:p>
            <w:pPr>
              <w:pStyle w:val="Compact"/>
              <w:jc w:val="left"/>
            </w:pPr>
            <w:r>
              <w:t xml:space="preserve">12 settimane</w:t>
            </w:r>
          </w:p>
        </w:tc>
        <w:tc>
          <w:tcPr/>
          <w:p>
            <w:pPr>
              <w:pStyle w:val="Compact"/>
              <w:jc w:val="left"/>
            </w:pPr>
            <w:r>
              <w:t xml:space="preserve">Densità cutanea e idratazione dopo 84 giorni migliori del placebo</w:t>
            </w:r>
          </w:p>
        </w:tc>
      </w:tr>
    </w:tbl>
    <w:p>
      <w:pPr>
        <w:pStyle w:val="BodyText"/>
      </w:pPr>
      <w:r>
        <w:t xml:space="preserve">Singoli studi hanno esaminato anche la cellulite (105 donne, sei mesi; miglioramento soprattutto nelle donne normopeso, Schunck 2015, PMID 26561784) e le unghie fragili. Lo studio sulle unghie era però in aperto e senza gruppo di controllo: 25 partecipanti, crescita delle unghie +12%, unghie spezzate −42% (Hexsel 2017, PMID 28786550). Senza un gruppo di confronto qui non si può escludere un effetto placebo.</w:t>
      </w:r>
    </w:p>
    <w:p>
      <w:pPr>
        <w:pStyle w:val="BodyText"/>
      </w:pPr>
      <w:r>
        <w:t xml:space="preserve">In pazienti con ulcere da pressione (decubito) è stato testato, in aggiunta al trattamento standard, un collagene idrolizzato con un’elevata quota di prolil-idrossiprolina. Su 120 partecipanti la guarigione delle ferite dopo 16 settimane era migliore in questo gruppo che con il placebo (Sugihara 2018, PMID 30061579). Un piccolo studio del 2026 nella dermatite atopica moderata ha riportato un minor consumo di crema al cortisone con 5 g di peptidi di collagene (0,94 g contro 5,60 g; Proksch 2026, PMID 41758763); gli autori stessi chiedono studi di conferma più ampi.</w:t>
      </w:r>
    </w:p>
    <w:bookmarkEnd w:id="860"/>
    <w:bookmarkStart w:id="861" w:name="Xda0348087de9b10f7a844a2f098a0b047c9ce8e"/>
    <w:p>
      <w:pPr>
        <w:pStyle w:val="Heading4"/>
      </w:pPr>
      <w:r>
        <w:t xml:space="preserve">Le meta-analisi sulla pelle – e la questione del finanziamento</w:t>
      </w:r>
    </w:p>
    <w:p>
      <w:pPr>
        <w:pStyle w:val="FirstParagraph"/>
      </w:pPr>
      <w:r>
        <w:t xml:space="preserve">Se si riassumono gli studi sulla pelle, a prima vista il quadro è chiaro:</w:t>
      </w:r>
    </w:p>
    <w:p>
      <w:pPr>
        <w:numPr>
          <w:ilvl w:val="0"/>
          <w:numId w:val="1292"/>
        </w:numPr>
        <w:pStyle w:val="Compact"/>
      </w:pPr>
      <w:r>
        <w:t xml:space="preserve">19 studi con 1.125 partecipanti: effetto favorevole su idratazione, elasticità e rughe (de Miranda 2021, PMID 33742704).</w:t>
      </w:r>
    </w:p>
    <w:p>
      <w:pPr>
        <w:numPr>
          <w:ilvl w:val="0"/>
          <w:numId w:val="1292"/>
        </w:numPr>
        <w:pStyle w:val="Compact"/>
      </w:pPr>
      <w:r>
        <w:t xml:space="preserve">26 studi con 1.721 partecipanti: miglioramento significativo di idratazione ed elasticità; gli autori segnalano però diverse fonti di distorsione e chiedono studi ampi (Pu 2023, PMID 37432180).</w:t>
      </w:r>
    </w:p>
    <w:p>
      <w:pPr>
        <w:numPr>
          <w:ilvl w:val="0"/>
          <w:numId w:val="1292"/>
        </w:numPr>
        <w:pStyle w:val="Compact"/>
      </w:pPr>
      <w:r>
        <w:t xml:space="preserve">10 studi con 646 partecipanti: idratazione ed elasticità migliorate, con eterogeneità media e rischio di distorsione per lo più non chiaro (Danessa 2025, PMID 40826844).</w:t>
      </w:r>
    </w:p>
    <w:p>
      <w:pPr>
        <w:pStyle w:val="FirstParagraph"/>
      </w:pPr>
      <w:r>
        <w:t xml:space="preserve">Una meta-analisi del 2025 ha fatto un passo in più, separando gli studi per finanziatore e qualità. Sull’insieme dei 23 studi con 1.474 partecipanti è emerso di nuovo un vantaggio. Considerando però solo gli studi</w:t>
      </w:r>
      <w:r>
        <w:t xml:space="preserve"> </w:t>
      </w:r>
      <w:r>
        <w:rPr>
          <w:iCs/>
          <w:i/>
        </w:rPr>
        <w:t xml:space="preserve">senza</w:t>
      </w:r>
      <w:r>
        <w:t xml:space="preserve"> </w:t>
      </w:r>
      <w:r>
        <w:t xml:space="preserve">finanziamento dell’industria, l’effetto su idratazione, elasticità e rughe scompariva. Anche gli studi metodologicamente di alta qualità non mostravano in nessuna categoria un effetto significativo; solo negli studi di bassa qualità si trovava un miglioramento dell’elasticità. Gli autori concludono che al momento non esistono prove cliniche a sostegno dell’impiego di preparati di collagene per prevenire o trattare l’invecchiamento cutaneo (Myung 2025, PMID 40324552).</w:t>
      </w:r>
    </w:p>
    <w:p>
      <w:pPr>
        <w:pStyle w:val="BodyText"/>
      </w:pPr>
      <w:r>
        <w:t xml:space="preserve">Questo risultato non è un giudizio definitivo – il numero di studi indipendenti è piccolo, e l’assenza di significatività statistica non significa automaticamente che non ci sia un effetto. Mostra però quanto il bilancio complessivo positivo dipenda da studi finanziati dagli stessi fornitori. Per i lettori ciò significa: l’affermazione «clinicamente dimostrato» su una confezione di collagene si basa di regola su studi del proprio fornitore di materie prime.</w:t>
      </w:r>
    </w:p>
    <w:bookmarkEnd w:id="861"/>
    <w:bookmarkStart w:id="862" w:name="articolazioni-e-artrosi"/>
    <w:p>
      <w:pPr>
        <w:pStyle w:val="Heading4"/>
      </w:pPr>
      <w:r>
        <w:t xml:space="preserve">Articolazioni e artrosi</w:t>
      </w:r>
    </w:p>
    <w:p>
      <w:pPr>
        <w:pStyle w:val="FirstParagraph"/>
      </w:pPr>
      <w:r>
        <w:t xml:space="preserve">Il secondo grande gruppo di studi riguarda il dolore articolare – sia nell’artrosi sia nelle persone sportivamente attive senza diagnosi.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Clark 2008, PMID 18416885</w:t>
            </w:r>
          </w:p>
        </w:tc>
        <w:tc>
          <w:tcPr/>
          <w:p>
            <w:pPr>
              <w:pStyle w:val="Compact"/>
              <w:jc w:val="left"/>
            </w:pPr>
            <w:r>
              <w:t xml:space="preserve">147 atleti con dolori articolari da sforzo, 10 g vs. placebo</w:t>
            </w:r>
          </w:p>
        </w:tc>
        <w:tc>
          <w:tcPr/>
          <w:p>
            <w:pPr>
              <w:pStyle w:val="Compact"/>
              <w:jc w:val="left"/>
            </w:pPr>
            <w:r>
              <w:t xml:space="preserve">24 settimane</w:t>
            </w:r>
          </w:p>
        </w:tc>
        <w:tc>
          <w:tcPr/>
          <w:p>
            <w:pPr>
              <w:pStyle w:val="Compact"/>
              <w:jc w:val="left"/>
            </w:pPr>
            <w:r>
              <w:t xml:space="preserve">Diversi valori del dolore migliori del placebo; solo 97 su 147 valutabili</w:t>
            </w:r>
          </w:p>
        </w:tc>
      </w:tr>
      <w:tr>
        <w:tc>
          <w:tcPr/>
          <w:p>
            <w:pPr>
              <w:pStyle w:val="Compact"/>
              <w:jc w:val="left"/>
            </w:pPr>
            <w:r>
              <w:t xml:space="preserve">Bruyère 2012, PMID 22500661</w:t>
            </w:r>
          </w:p>
        </w:tc>
        <w:tc>
          <w:tcPr/>
          <w:p>
            <w:pPr>
              <w:pStyle w:val="Compact"/>
              <w:jc w:val="left"/>
            </w:pPr>
            <w:r>
              <w:t xml:space="preserve">200 persone dai 50 anni con dolori articolari, 1,2 g vs. placebo</w:t>
            </w:r>
          </w:p>
        </w:tc>
        <w:tc>
          <w:tcPr/>
          <w:p>
            <w:pPr>
              <w:pStyle w:val="Compact"/>
              <w:jc w:val="left"/>
            </w:pPr>
            <w:r>
              <w:t xml:space="preserve">6 mesi</w:t>
            </w:r>
          </w:p>
        </w:tc>
        <w:tc>
          <w:tcPr/>
          <w:p>
            <w:pPr>
              <w:pStyle w:val="Compact"/>
              <w:jc w:val="left"/>
            </w:pPr>
            <w:r>
              <w:t xml:space="preserve">Tasso di risposta 51,6% vs. 36,5% dopo 6 mesi; dopo 3 mesi nessuna differenza</w:t>
            </w:r>
          </w:p>
        </w:tc>
      </w:tr>
      <w:tr>
        <w:tc>
          <w:tcPr/>
          <w:p>
            <w:pPr>
              <w:pStyle w:val="Compact"/>
              <w:jc w:val="left"/>
            </w:pPr>
            <w:r>
              <w:t xml:space="preserve">Kumar 2015, PMID 24852756</w:t>
            </w:r>
          </w:p>
        </w:tc>
        <w:tc>
          <w:tcPr/>
          <w:p>
            <w:pPr>
              <w:pStyle w:val="Compact"/>
              <w:jc w:val="left"/>
            </w:pPr>
            <w:r>
              <w:t xml:space="preserve">artrosi del ginocchio, peptidi da pelle suina o ossa bovine vs. placebo</w:t>
            </w:r>
          </w:p>
        </w:tc>
        <w:tc>
          <w:tcPr/>
          <w:p>
            <w:pPr>
              <w:pStyle w:val="Compact"/>
              <w:jc w:val="left"/>
            </w:pPr>
            <w:r>
              <w:t xml:space="preserve">13 settimane</w:t>
            </w:r>
          </w:p>
        </w:tc>
        <w:tc>
          <w:tcPr/>
          <w:p>
            <w:pPr>
              <w:pStyle w:val="Compact"/>
              <w:jc w:val="left"/>
            </w:pPr>
            <w:r>
              <w:t xml:space="preserve">Valori WOMAC, del dolore e della qualità della vita migliori del placebo</w:t>
            </w:r>
          </w:p>
        </w:tc>
      </w:tr>
      <w:tr>
        <w:tc>
          <w:tcPr/>
          <w:p>
            <w:pPr>
              <w:pStyle w:val="Compact"/>
              <w:jc w:val="left"/>
            </w:pPr>
            <w:r>
              <w:t xml:space="preserve">Zdzieblik 2017, PMID 28177710</w:t>
            </w:r>
          </w:p>
        </w:tc>
        <w:tc>
          <w:tcPr/>
          <w:p>
            <w:pPr>
              <w:pStyle w:val="Compact"/>
              <w:jc w:val="left"/>
            </w:pPr>
            <w:r>
              <w:t xml:space="preserve">139 sportivi con disturbi al ginocchio, 5 g vs. placebo</w:t>
            </w:r>
          </w:p>
        </w:tc>
        <w:tc>
          <w:tcPr/>
          <w:p>
            <w:pPr>
              <w:pStyle w:val="Compact"/>
              <w:jc w:val="left"/>
            </w:pPr>
            <w:r>
              <w:t xml:space="preserve">12 settimane</w:t>
            </w:r>
          </w:p>
        </w:tc>
        <w:tc>
          <w:tcPr/>
          <w:p>
            <w:pPr>
              <w:pStyle w:val="Compact"/>
              <w:jc w:val="left"/>
            </w:pPr>
            <w:r>
              <w:t xml:space="preserve">Dolore da sforzo migliore del placebo (p = 0,046); dolore a riposo no</w:t>
            </w:r>
          </w:p>
        </w:tc>
      </w:tr>
      <w:tr>
        <w:tc>
          <w:tcPr/>
          <w:p>
            <w:pPr>
              <w:pStyle w:val="Compact"/>
              <w:jc w:val="left"/>
            </w:pPr>
            <w:r>
              <w:t xml:space="preserve">Bongers 2020, PMID 31990581</w:t>
            </w:r>
          </w:p>
        </w:tc>
        <w:tc>
          <w:tcPr/>
          <w:p>
            <w:pPr>
              <w:pStyle w:val="Compact"/>
              <w:jc w:val="left"/>
            </w:pPr>
            <w:r>
              <w:t xml:space="preserve">167 persone attive (mediana 63 anni) con dolore al ginocchio, 10 g vs. placebo</w:t>
            </w:r>
          </w:p>
        </w:tc>
        <w:tc>
          <w:tcPr/>
          <w:p>
            <w:pPr>
              <w:pStyle w:val="Compact"/>
              <w:jc w:val="left"/>
            </w:pPr>
            <w:r>
              <w:t xml:space="preserve">12 settimane</w:t>
            </w:r>
          </w:p>
        </w:tc>
        <w:tc>
          <w:tcPr/>
          <w:p>
            <w:pPr>
              <w:pStyle w:val="Compact"/>
              <w:jc w:val="left"/>
            </w:pPr>
            <w:r>
              <w:t xml:space="preserve">Nessuna differenza: il dolore è diminuito in egual misura in entrambi i gruppi</w:t>
            </w:r>
          </w:p>
        </w:tc>
      </w:tr>
    </w:tbl>
    <w:p>
      <w:pPr>
        <w:pStyle w:val="BodyText"/>
      </w:pPr>
      <w:r>
        <w:t xml:space="preserve">Lo studio di Bongers è notevole perché è tra i più grandi e riporta un risultato chiaramente negativo: dolore e funzione del ginocchio sono migliorati – ma con il placebo esattamente come con il collagene. Questo illustra quanto sia grande l’effetto placebo nel dolore articolare.</w:t>
      </w:r>
    </w:p>
    <w:p>
      <w:pPr>
        <w:pStyle w:val="BodyText"/>
      </w:pPr>
      <w:r>
        <w:t xml:space="preserve">Le meta-analisi giungono comunque per lo più a un risultato favorevole:</w:t>
      </w:r>
    </w:p>
    <w:p>
      <w:pPr>
        <w:numPr>
          <w:ilvl w:val="0"/>
          <w:numId w:val="1293"/>
        </w:numPr>
        <w:pStyle w:val="Compact"/>
      </w:pPr>
      <w:r>
        <w:t xml:space="preserve">Una meta-analisi di studi randomizzati controllati con placebo ha trovato una riduzione significativa del punteggio WOMAC totale (un questionario per l’artrosi) e del punteggio del dolore sulla scala visuoanalogica; le sottoscale dolore e limitazione funzionale del WOMAC non differivano però in modo significativo (García-Coronado 2019, PMID 30368550).</w:t>
      </w:r>
    </w:p>
    <w:p>
      <w:pPr>
        <w:numPr>
          <w:ilvl w:val="0"/>
          <w:numId w:val="1293"/>
        </w:numPr>
        <w:pStyle w:val="Compact"/>
      </w:pPr>
      <w:r>
        <w:t xml:space="preserve">L’analisi finora più ampia ha incluso 35 studi con 3.165 pazienti con artrosi. I derivati del collagene – qui il collagene idrolizzato e quello non denaturato sono considerati insieme – hanno avuto effetti da piccoli a moderati su dolore (differenza media standardizzata −0,35) e funzione (−0,31). Effetti collaterali e interruzioni dello studio non erano più frequenti che nel controllo (Liang 2024, PMID 38218227).</w:t>
      </w:r>
    </w:p>
    <w:p>
      <w:pPr>
        <w:numPr>
          <w:ilvl w:val="0"/>
          <w:numId w:val="1293"/>
        </w:numPr>
        <w:pStyle w:val="Compact"/>
      </w:pPr>
      <w:r>
        <w:t xml:space="preserve">Un’analisi di soli quattro studi con 507 pazienti con artrosi del ginocchio ha trovato anch’essa un sollievo dal dolore, ma ha classificato tutti e quattro gli studi come ad alto rischio di distorsione (Lin 2023, PMID 37717022).</w:t>
      </w:r>
    </w:p>
    <w:p>
      <w:pPr>
        <w:numPr>
          <w:ilvl w:val="0"/>
          <w:numId w:val="1293"/>
        </w:numPr>
        <w:pStyle w:val="Compact"/>
      </w:pPr>
      <w:r>
        <w:t xml:space="preserve">Una meta-analisi aggiornata con 11 studi e 870 partecipanti ha riportato miglioramenti di funzione e dolore, però con un’eterogeneità molto elevata (I² 75 e 88%) (Simental-Mendía 2025, PMID 39212129).</w:t>
      </w:r>
    </w:p>
    <w:p>
      <w:pPr>
        <w:pStyle w:val="FirstParagraph"/>
      </w:pPr>
      <w:r>
        <w:t xml:space="preserve">Per inquadrare: una differenza media standardizzata di circa 0,3 è considerata un effetto piccolo. È di un ordine di grandezza simile a quello di alcuni altri integratori alimentari per l’artrosi ed è nettamente inferiore all’effetto che ci si aspetta da un antidolorifico. Un’ampia rassegna sugli integratori alimentari nell’artrosi ha trovato per il collagene idrolizzato grandi effetti a breve termine sul dolore, ma nel complesso ha concluso che la qualità delle prove è molto bassa e che nessun preparato ha mostrato effetti clinicamente rilevanti a lungo termine (Liu 2018, PMID 29018060).</w:t>
      </w:r>
    </w:p>
    <w:bookmarkEnd w:id="862"/>
    <w:bookmarkStart w:id="863" w:name="Xeafc5bff1e4c403bf96fc7ce3a72b8ab7ee3c0a"/>
    <w:p>
      <w:pPr>
        <w:pStyle w:val="Heading4"/>
      </w:pPr>
      <w:r>
        <w:t xml:space="preserve">Distinzione: collagene di tipo II non denaturato (UC-II)</w:t>
      </w:r>
    </w:p>
    <w:p>
      <w:pPr>
        <w:pStyle w:val="FirstParagraph"/>
      </w:pPr>
      <w:r>
        <w:t xml:space="preserve">Il collagene di tipo II non denaturato viene ricavato con delicatezza dalla cartilagine dello sterno di pollo, in modo che la struttura originaria del collagene si conservi in parte. Viene assunto in quantità molto piccole – negli studi 40 milligrammi al giorno, cioè circa da un centesimo a un duecentocinquantesimo delle quantità in grammi del collagene idrolizzato. Non dovrebbe agire come materiale costruttivo, ma attraverso la cosiddetta tolleranza orale: il sistema immunitario dell’intestino dovrebbe imparare a non trattare il collagene della cartilagine come bersaglio. Questa idea deriva da modelli animali di artrite.</w:t>
      </w:r>
    </w:p>
    <w:p>
      <w:pPr>
        <w:pStyle w:val="BodyText"/>
      </w:pPr>
      <w:r>
        <w:t xml:space="preserve">Storicamente il principio fu testato per la prima volta nell’artrite reumatoide. Un piccolo studio con 60 pazienti riportò nel 1993 una diminuzione delle articolazioni gonfie e dolenti alla pressione (Trentham 1993, PMID 8378772). Uno studio più ampio con 274 partecipanti e quattro dosaggi trovò in seguito un vantaggio significativo solo con la dose più bassa e solo secondo uno dei tre criteri di valutazione (Barnett 1998, PMID 9485087). Come terapia reumatologica l’approccio non si è affermato.</w:t>
      </w:r>
    </w:p>
    <w:p>
      <w:pPr>
        <w:pStyle w:val="BodyText"/>
      </w:pPr>
      <w:r>
        <w:t xml:space="preserve">Per l’artrosi e i disturbi articolari esistono soprattutto studi vicini ai produttori: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Lugo 2016, PMID 26822714</w:t>
            </w:r>
          </w:p>
        </w:tc>
        <w:tc>
          <w:tcPr/>
          <w:p>
            <w:pPr>
              <w:pStyle w:val="Compact"/>
              <w:jc w:val="left"/>
            </w:pPr>
            <w:r>
              <w:t xml:space="preserve">191 persone con artrosi del ginocchio, UC-II vs. glucosamina/condroitina vs. placebo</w:t>
            </w:r>
          </w:p>
        </w:tc>
        <w:tc>
          <w:tcPr/>
          <w:p>
            <w:pPr>
              <w:pStyle w:val="Compact"/>
              <w:jc w:val="left"/>
            </w:pPr>
            <w:r>
              <w:t xml:space="preserve">180 giorni</w:t>
            </w:r>
          </w:p>
        </w:tc>
        <w:tc>
          <w:tcPr/>
          <w:p>
            <w:pPr>
              <w:pStyle w:val="Compact"/>
              <w:jc w:val="left"/>
            </w:pPr>
            <w:r>
              <w:t xml:space="preserve">Punteggio WOMAC totale migliore del placebo (p = 0,002) e di glucosamina/condroitina (p = 0,04)</w:t>
            </w:r>
          </w:p>
        </w:tc>
      </w:tr>
      <w:tr>
        <w:tc>
          <w:tcPr/>
          <w:p>
            <w:pPr>
              <w:pStyle w:val="Compact"/>
              <w:jc w:val="left"/>
            </w:pPr>
            <w:r>
              <w:t xml:space="preserve">Lugo 2013, PMID 24153020</w:t>
            </w:r>
          </w:p>
        </w:tc>
        <w:tc>
          <w:tcPr/>
          <w:p>
            <w:pPr>
              <w:pStyle w:val="Compact"/>
              <w:jc w:val="left"/>
            </w:pPr>
            <w:r>
              <w:t xml:space="preserve">55 persone sane con dolore al ginocchio da sforzo, UC-II vs. placebo</w:t>
            </w:r>
          </w:p>
        </w:tc>
        <w:tc>
          <w:tcPr/>
          <w:p>
            <w:pPr>
              <w:pStyle w:val="Compact"/>
              <w:jc w:val="left"/>
            </w:pPr>
            <w:r>
              <w:t xml:space="preserve">120 giorni</w:t>
            </w:r>
          </w:p>
        </w:tc>
        <w:tc>
          <w:tcPr/>
          <w:p>
            <w:pPr>
              <w:pStyle w:val="Compact"/>
              <w:jc w:val="left"/>
            </w:pPr>
            <w:r>
              <w:t xml:space="preserve">Estensione del ginocchio 81,0° vs. 74,0°; sforzo senza dolore più prolungato</w:t>
            </w:r>
          </w:p>
        </w:tc>
      </w:tr>
      <w:tr>
        <w:tc>
          <w:tcPr/>
          <w:p>
            <w:pPr>
              <w:pStyle w:val="Compact"/>
              <w:jc w:val="left"/>
            </w:pPr>
            <w:r>
              <w:t xml:space="preserve">Yuenyongviwat 2025, PMID 40897777</w:t>
            </w:r>
          </w:p>
        </w:tc>
        <w:tc>
          <w:tcPr/>
          <w:p>
            <w:pPr>
              <w:pStyle w:val="Compact"/>
              <w:jc w:val="left"/>
            </w:pPr>
            <w:r>
              <w:t xml:space="preserve">68 persone con artrosi del ginocchio, UC-II più collagene idrolizzato vs. placebo</w:t>
            </w:r>
          </w:p>
        </w:tc>
        <w:tc>
          <w:tcPr/>
          <w:p>
            <w:pPr>
              <w:pStyle w:val="Compact"/>
              <w:jc w:val="left"/>
            </w:pPr>
            <w:r>
              <w:t xml:space="preserve">12 settimane</w:t>
            </w:r>
          </w:p>
        </w:tc>
        <w:tc>
          <w:tcPr/>
          <w:p>
            <w:pPr>
              <w:pStyle w:val="Compact"/>
              <w:jc w:val="left"/>
            </w:pPr>
            <w:r>
              <w:t xml:space="preserve">Nessuna differenza in dolore, funzione, farmaci al bisogno</w:t>
            </w:r>
          </w:p>
        </w:tc>
      </w:tr>
    </w:tbl>
    <w:p>
      <w:pPr>
        <w:pStyle w:val="BodyText"/>
      </w:pPr>
      <w:r>
        <w:t xml:space="preserve">Lo studio più recente proviene da un gruppo di lavoro indipendente, che sottolinea espressamente come la maggior parte degli studi precedenti sul collagene sia stata finanziata dall’industria. Ha trovato – come Bongers 2020 – miglioramenti in entrambi i gruppi, ma nessun vantaggio rispetto al placebo (Yuenyongviwat 2025, PMID 40897777, registrato come NCT06229951).</w:t>
      </w:r>
    </w:p>
    <w:p>
      <w:pPr>
        <w:pStyle w:val="BodyText"/>
      </w:pPr>
      <w:r>
        <w:t xml:space="preserve">Importante per i consumatori: UC-II e collagene idrolizzato non sono intercambiabili. Chi legge studi su un prodotto non può dedurne nulla sull’altro.</w:t>
      </w:r>
    </w:p>
    <w:bookmarkEnd w:id="863"/>
    <w:bookmarkStart w:id="864" w:name="ossa"/>
    <w:p>
      <w:pPr>
        <w:pStyle w:val="Heading4"/>
      </w:pPr>
      <w:r>
        <w:t xml:space="preserve">Ossa</w:t>
      </w:r>
    </w:p>
    <w:p>
      <w:pPr>
        <w:pStyle w:val="FirstParagraph"/>
      </w:pPr>
      <w:r>
        <w:t xml:space="preserve">Per le ossa i dati sono scarsi, ma interessanti: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König 2018, PMID 29337906</w:t>
            </w:r>
          </w:p>
        </w:tc>
        <w:tc>
          <w:tcPr/>
          <w:p>
            <w:pPr>
              <w:pStyle w:val="Compact"/>
              <w:jc w:val="left"/>
            </w:pPr>
            <w:r>
              <w:t xml:space="preserve">131 donne in postmenopausa con densità ossea ridotta, 5 g vs. placebo</w:t>
            </w:r>
          </w:p>
        </w:tc>
        <w:tc>
          <w:tcPr/>
          <w:p>
            <w:pPr>
              <w:pStyle w:val="Compact"/>
              <w:jc w:val="left"/>
            </w:pPr>
            <w:r>
              <w:t xml:space="preserve">12 mesi</w:t>
            </w:r>
          </w:p>
        </w:tc>
        <w:tc>
          <w:tcPr/>
          <w:p>
            <w:pPr>
              <w:pStyle w:val="Compact"/>
              <w:jc w:val="left"/>
            </w:pPr>
            <w:r>
              <w:t xml:space="preserve">T-score colonna +0,1 vs. −0,03; collo del femore +0,09 vs. −0,01</w:t>
            </w:r>
          </w:p>
        </w:tc>
      </w:tr>
      <w:tr>
        <w:tc>
          <w:tcPr/>
          <w:p>
            <w:pPr>
              <w:pStyle w:val="Compact"/>
              <w:jc w:val="left"/>
            </w:pPr>
            <w:r>
              <w:t xml:space="preserve">Elam 2015, PMID 25314004</w:t>
            </w:r>
          </w:p>
        </w:tc>
        <w:tc>
          <w:tcPr/>
          <w:p>
            <w:pPr>
              <w:pStyle w:val="Compact"/>
              <w:jc w:val="left"/>
            </w:pPr>
            <w:r>
              <w:t xml:space="preserve">39 donne con osteopenia, chelato di calcio-collagene più vitamina D vs. calcio più vitamina D</w:t>
            </w:r>
          </w:p>
        </w:tc>
        <w:tc>
          <w:tcPr/>
          <w:p>
            <w:pPr>
              <w:pStyle w:val="Compact"/>
              <w:jc w:val="left"/>
            </w:pPr>
            <w:r>
              <w:t xml:space="preserve">12 mesi</w:t>
            </w:r>
          </w:p>
        </w:tc>
        <w:tc>
          <w:tcPr/>
          <w:p>
            <w:pPr>
              <w:pStyle w:val="Compact"/>
              <w:jc w:val="left"/>
            </w:pPr>
            <w:r>
              <w:t xml:space="preserve">Perdita di densità ossea total body −1,33% vs. −3,75% (partecipanti che hanno completato lo studio)</w:t>
            </w:r>
          </w:p>
        </w:tc>
      </w:tr>
      <w:tr>
        <w:tc>
          <w:tcPr/>
          <w:p>
            <w:pPr>
              <w:pStyle w:val="Compact"/>
              <w:jc w:val="left"/>
            </w:pPr>
            <w:r>
              <w:t xml:space="preserve">Lampropoulou-Adamidou 2022, PMID 34980546</w:t>
            </w:r>
          </w:p>
        </w:tc>
        <w:tc>
          <w:tcPr/>
          <w:p>
            <w:pPr>
              <w:pStyle w:val="Compact"/>
              <w:jc w:val="left"/>
            </w:pPr>
            <w:r>
              <w:t xml:space="preserve">51 donne con osteopenia, 5 g di peptidi più calcio/vitamina D vs. calcio/vitamina D</w:t>
            </w:r>
          </w:p>
        </w:tc>
        <w:tc>
          <w:tcPr/>
          <w:p>
            <w:pPr>
              <w:pStyle w:val="Compact"/>
              <w:jc w:val="left"/>
            </w:pPr>
            <w:r>
              <w:t xml:space="preserve">12 mesi</w:t>
            </w:r>
          </w:p>
        </w:tc>
        <w:tc>
          <w:tcPr/>
          <w:p>
            <w:pPr>
              <w:pStyle w:val="Compact"/>
              <w:jc w:val="left"/>
            </w:pPr>
            <w:r>
              <w:t xml:space="preserve">Densità ossea più alta a tibia e colonna lombare con il collagene</w:t>
            </w:r>
          </w:p>
        </w:tc>
      </w:tr>
    </w:tbl>
    <w:p>
      <w:pPr>
        <w:pStyle w:val="BodyText"/>
      </w:pPr>
      <w:r>
        <w:t xml:space="preserve">Le differenze sono piccole, gli studi brevi, e nessuno studio ha esaminato le fratture – l’endpoint davvero decisivo. I peptidi di collagene non sostituiscono una terapia per l’osteoporosi con riduzione delle fratture dimostrata.</w:t>
      </w:r>
    </w:p>
    <w:bookmarkEnd w:id="864"/>
    <w:bookmarkStart w:id="865" w:name="muscoli-e-tendini"/>
    <w:p>
      <w:pPr>
        <w:pStyle w:val="Heading4"/>
      </w:pPr>
      <w:r>
        <w:t xml:space="preserve">Muscoli e tendini</w:t>
      </w:r>
    </w:p>
    <w:p>
      <w:pPr>
        <w:pStyle w:val="FirstParagraph"/>
      </w:pPr>
      <w:r>
        <w:t xml:space="preserve">Nello sport i peptidi di collagene vengono pubblicizzati per due obiettivi diversi: costruzione muscolare e rafforzamento di tendini e legamenti.</w:t>
      </w:r>
    </w:p>
    <w:p>
      <w:pPr>
        <w:pStyle w:val="BodyText"/>
      </w:pPr>
      <w:r>
        <w:rPr>
          <w:bCs/>
          <w:b/>
        </w:rPr>
        <w:t xml:space="preserve">Costruzione muscolare.</w:t>
      </w:r>
      <w:r>
        <w:t xml:space="preserve"> </w:t>
      </w:r>
      <w:r>
        <w:t xml:space="preserve">Lo studio più citato ha esaminato 53 uomini anziani con sarcopenia (perdita muscolare legata all’età), che per dodici settimane hanno fatto allenamento di forza ricevendo 15 g di peptidi di collagene o placebo (biossido di silicio). La massa magra è aumentata di 4,2 kg con il collagene e di 2,9 kg con il placebo (Zdzieblik 2015, PMID 26353786). Il problema: il gruppo placebo non riceveva alcuna proteina. Il vantaggio potrebbe quindi dipendere semplicemente dall’apporto proteico aggiuntivo.</w:t>
      </w:r>
    </w:p>
    <w:p>
      <w:pPr>
        <w:pStyle w:val="BodyText"/>
      </w:pPr>
      <w:r>
        <w:t xml:space="preserve">È proprio a questa domanda che rispondono i confronti con proteine di alta qualità. In 22 donne anziane le proteine del siero di latte hanno aumentato la sintesi proteica muscolare sia a breve termine sia nell’arco di sei giorni, i peptidi di collagene no (Oikawa 2020, PMID 31919527). In giovani adulti lo spessore muscolare è aumentato di più dopo dieci settimane di allenamento di forza con proteine del siero di latte che con il collagene, anche quando il collagene era arricchito di leucina fino allo stesso contenuto (Jacinto 2022, PMID 35042187). Uno studio con 25 giovani uomini non ha trovato con 2 × 15 g di collagene al giorno una sintesi di proteine muscolari o del tessuto connettivo superiore a quella con il placebo (Kirmse 2024, PMID 39086044).</w:t>
      </w:r>
    </w:p>
    <w:p>
      <w:pPr>
        <w:pStyle w:val="BodyText"/>
      </w:pPr>
      <w:r>
        <w:rPr>
          <w:bCs/>
          <w:b/>
        </w:rPr>
        <w:t xml:space="preserve">Tendini.</w:t>
      </w:r>
      <w:r>
        <w:t xml:space="preserve"> </w:t>
      </w:r>
      <w:r>
        <w:t xml:space="preserve">Qui i risultati sono contraddittori: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Jerger 2023, PMID 37424319</w:t>
            </w:r>
          </w:p>
        </w:tc>
        <w:tc>
          <w:tcPr/>
          <w:p>
            <w:pPr>
              <w:pStyle w:val="Compact"/>
              <w:jc w:val="left"/>
            </w:pPr>
            <w:r>
              <w:t xml:space="preserve">50 uomini, allenamento di forza più 5 g vs. placebo</w:t>
            </w:r>
          </w:p>
        </w:tc>
        <w:tc>
          <w:tcPr/>
          <w:p>
            <w:pPr>
              <w:pStyle w:val="Compact"/>
              <w:jc w:val="left"/>
            </w:pPr>
            <w:r>
              <w:t xml:space="preserve">14 settimane</w:t>
            </w:r>
          </w:p>
        </w:tc>
        <w:tc>
          <w:tcPr/>
          <w:p>
            <w:pPr>
              <w:pStyle w:val="Compact"/>
              <w:jc w:val="left"/>
            </w:pPr>
            <w:r>
              <w:t xml:space="preserve">Sezione trasversale del tendine rotuleo aumentata di più; rigidità e forza senza differenze tra i gruppi</w:t>
            </w:r>
          </w:p>
        </w:tc>
      </w:tr>
      <w:tr>
        <w:tc>
          <w:tcPr/>
          <w:p>
            <w:pPr>
              <w:pStyle w:val="Compact"/>
              <w:jc w:val="left"/>
            </w:pPr>
            <w:r>
              <w:t xml:space="preserve">Balshaw 2023, PMID 37436929</w:t>
            </w:r>
          </w:p>
        </w:tc>
        <w:tc>
          <w:tcPr/>
          <w:p>
            <w:pPr>
              <w:pStyle w:val="Compact"/>
              <w:jc w:val="left"/>
            </w:pPr>
            <w:r>
              <w:t xml:space="preserve">39 giovani uomini, allenamento di forza più 15 g vs. placebo</w:t>
            </w:r>
          </w:p>
        </w:tc>
        <w:tc>
          <w:tcPr/>
          <w:p>
            <w:pPr>
              <w:pStyle w:val="Compact"/>
              <w:jc w:val="left"/>
            </w:pPr>
            <w:r>
              <w:t xml:space="preserve">15 settimane</w:t>
            </w:r>
          </w:p>
        </w:tc>
        <w:tc>
          <w:tcPr/>
          <w:p>
            <w:pPr>
              <w:pStyle w:val="Compact"/>
              <w:jc w:val="left"/>
            </w:pPr>
            <w:r>
              <w:t xml:space="preserve">Nessuna differenza in dimensioni o meccanica del tendine</w:t>
            </w:r>
          </w:p>
        </w:tc>
      </w:tr>
      <w:tr>
        <w:tc>
          <w:tcPr/>
          <w:p>
            <w:pPr>
              <w:pStyle w:val="Compact"/>
              <w:jc w:val="left"/>
            </w:pPr>
            <w:r>
              <w:t xml:space="preserve">Miyamoto 2025, PMID 40623147</w:t>
            </w:r>
          </w:p>
        </w:tc>
        <w:tc>
          <w:tcPr/>
          <w:p>
            <w:pPr>
              <w:pStyle w:val="Compact"/>
              <w:jc w:val="left"/>
            </w:pPr>
            <w:r>
              <w:t xml:space="preserve">50 uomini non allenati, 10 g vs. placebo</w:t>
            </w:r>
          </w:p>
        </w:tc>
        <w:tc>
          <w:tcPr/>
          <w:p>
            <w:pPr>
              <w:pStyle w:val="Compact"/>
              <w:jc w:val="left"/>
            </w:pPr>
            <w:r>
              <w:t xml:space="preserve">16 settimane</w:t>
            </w:r>
          </w:p>
        </w:tc>
        <w:tc>
          <w:tcPr/>
          <w:p>
            <w:pPr>
              <w:pStyle w:val="Compact"/>
              <w:jc w:val="left"/>
            </w:pPr>
            <w:r>
              <w:t xml:space="preserve">Rigidità del polpaccio e del tendine d’Achille aumentata; sezione trasversale invariata</w:t>
            </w:r>
          </w:p>
        </w:tc>
      </w:tr>
      <w:tr>
        <w:tc>
          <w:tcPr/>
          <w:p>
            <w:pPr>
              <w:pStyle w:val="Compact"/>
              <w:jc w:val="left"/>
            </w:pPr>
            <w:r>
              <w:t xml:space="preserve">Praet 2019, PMID 30609761</w:t>
            </w:r>
          </w:p>
        </w:tc>
        <w:tc>
          <w:tcPr/>
          <w:p>
            <w:pPr>
              <w:pStyle w:val="Compact"/>
              <w:jc w:val="left"/>
            </w:pPr>
            <w:r>
              <w:t xml:space="preserve">20 persone con disturbi al tendine d’Achille, crossover con allenamento</w:t>
            </w:r>
          </w:p>
        </w:tc>
        <w:tc>
          <w:tcPr/>
          <w:p>
            <w:pPr>
              <w:pStyle w:val="Compact"/>
              <w:jc w:val="left"/>
            </w:pPr>
            <w:r>
              <w:t xml:space="preserve">6 mesi</w:t>
            </w:r>
          </w:p>
        </w:tc>
        <w:tc>
          <w:tcPr/>
          <w:p>
            <w:pPr>
              <w:pStyle w:val="Compact"/>
              <w:jc w:val="left"/>
            </w:pPr>
            <w:r>
              <w:t xml:space="preserve">Miglioramento più rapido nel questionario sui disturbi nella fase con collagene (studio pilota)</w:t>
            </w:r>
          </w:p>
        </w:tc>
      </w:tr>
      <w:tr>
        <w:tc>
          <w:tcPr/>
          <w:p>
            <w:pPr>
              <w:pStyle w:val="Compact"/>
              <w:jc w:val="left"/>
            </w:pPr>
            <w:r>
              <w:t xml:space="preserve">Dressler 2018, PMID 29769831</w:t>
            </w:r>
          </w:p>
        </w:tc>
        <w:tc>
          <w:tcPr/>
          <w:p>
            <w:pPr>
              <w:pStyle w:val="Compact"/>
              <w:jc w:val="left"/>
            </w:pPr>
            <w:r>
              <w:t xml:space="preserve">50 sportivi con instabilità cronica della caviglia, 5 g vs. placebo</w:t>
            </w:r>
          </w:p>
        </w:tc>
        <w:tc>
          <w:tcPr/>
          <w:p>
            <w:pPr>
              <w:pStyle w:val="Compact"/>
              <w:jc w:val="left"/>
            </w:pPr>
            <w:r>
              <w:t xml:space="preserve">6 mesi</w:t>
            </w:r>
          </w:p>
        </w:tc>
        <w:tc>
          <w:tcPr/>
          <w:p>
            <w:pPr>
              <w:pStyle w:val="Compact"/>
              <w:jc w:val="left"/>
            </w:pPr>
            <w:r>
              <w:t xml:space="preserve">Stabilità soggettiva migliore; stabilità meccanica invariata</w:t>
            </w:r>
          </w:p>
        </w:tc>
      </w:tr>
    </w:tbl>
    <w:p>
      <w:pPr>
        <w:pStyle w:val="BodyText"/>
      </w:pPr>
      <w:r>
        <w:t xml:space="preserve">Una meta-analisi di 19 studi con 768 adulti sani ha trovato, con l’assunzione di collagene a lungo termine in combinazione con l’allenamento, piccoli vantaggi in massa magra, morfologia tendinea, architettura muscolare e forza massima. L’affidabilità delle prove è stata valutata moderata per la composizione corporea, molto bassa per la morfologia tendinea e bassa per gli altri risultati (Bischof 2024, PMID 39060741). Una revisione sistematica precedente aveva concluso che il collagene non è all’altezza delle fonti proteiche di qualità superiore per la sintesi proteica muscolare (Khatri 2021, PMID 34491424).</w:t>
      </w:r>
    </w:p>
    <w:p>
      <w:pPr>
        <w:pStyle w:val="BodyText"/>
      </w:pPr>
      <w:r>
        <w:rPr>
          <w:bCs/>
          <w:b/>
        </w:rPr>
        <w:t xml:space="preserve">Bilancio intermedio sullo sport:</w:t>
      </w:r>
      <w:r>
        <w:t xml:space="preserve"> </w:t>
      </w:r>
      <w:r>
        <w:t xml:space="preserve">per la costruzione muscolare esistono fonti proteiche migliori e più economiche. Per tendini e legamenti un beneficio è biologicamente plausibile ed è suggerito da alcuni studi, ma non è dimostrato in modo solido.</w:t>
      </w:r>
    </w:p>
    <w:bookmarkEnd w:id="865"/>
    <w:bookmarkStart w:id="866" w:name="altri-ambiti-di-impiego"/>
    <w:p>
      <w:pPr>
        <w:pStyle w:val="Heading4"/>
      </w:pPr>
      <w:r>
        <w:t xml:space="preserve">Altri ambiti di impiego</w:t>
      </w:r>
    </w:p>
    <w:p>
      <w:pPr>
        <w:pStyle w:val="FirstParagraph"/>
      </w:pPr>
      <w:r>
        <w:t xml:space="preserve">In studi più piccoli i peptidi di collagene sono stati studiati tra l’altro per pressione arteriosa e funzione vascolare, sonno, appetito, gengivite e disturbi intestinali. Una meta-analisi di 12 studi controllati con placebo ha riportato una riduzione della pressione sistolica di 5,04 mmHg e del colesterolo LDL di 4,09 mg/dl, però con un’eterogeneità estremamente alta dei singoli studi (I² 98,9 e 93,4%) (Jalili 2023, PMID 35658958). Questi campi sono troppo poco studiati per poter fare affermazioni solide.</w:t>
      </w:r>
    </w:p>
    <w:bookmarkEnd w:id="866"/>
    <w:bookmarkEnd w:id="867"/>
    <w:bookmarkStart w:id="868" w:name="studi-su-animali-e-in-laboratorio-52"/>
    <w:p>
      <w:pPr>
        <w:pStyle w:val="Heading3"/>
      </w:pPr>
      <w:r>
        <w:t xml:space="preserve">Studi su animali e in laboratorio</w:t>
      </w:r>
    </w:p>
    <w:p>
      <w:pPr>
        <w:pStyle w:val="FirstParagraph"/>
      </w:pPr>
      <w:r>
        <w:t xml:space="preserve">In colture cellulari i peptidi di collagene, e in particolare la prolil-idrossiprolina, stimolano la crescita dei fibroblasti della pelle; in topi e ratti hanno migliorato negli esperimenti barriera cutanea, densità ossea e metabolismo della cartilagine. Su campioni di pelle umana in laboratorio (ex vivo) i peptidi di collagene hanno favorito la formazione di collagene e glicosaminoglicani (Asserin 2015, PMID 26362110). Una revisione sistematica di undici studi prevalentemente sperimentali ha concluso che gli idrolizzati di collagene a concentrazioni di 50–500 microgrammi per millilitro stimolano i fibroblasti senza effetti tossici (Inacio 2024, PMID 38892477). In esperimenti su roditori con alimentazione ipercalorica una meta-analisi ha descritto effetti su peso e massa grassa (Bischof 2026, PMID 41168365) – un risultato non dimostrato nell’uomo.</w:t>
      </w:r>
    </w:p>
    <w:p>
      <w:pPr>
        <w:pStyle w:val="BodyText"/>
      </w:pPr>
      <w:r>
        <w:t xml:space="preserve">Questi risultati rendono plausibili le ipotesi. Non dimostrano però che le concentrazioni di peptidi raggiunte nell’uomo dopo averli bevuti siano sufficienti nel tessuto bersaglio.</w:t>
      </w:r>
    </w:p>
    <w:bookmarkEnd w:id="868"/>
    <w:bookmarkStart w:id="869" w:name="rischi-ed-effetti-collaterali-52"/>
    <w:p>
      <w:pPr>
        <w:pStyle w:val="Heading3"/>
      </w:pPr>
      <w:r>
        <w:t xml:space="preserve">Rischi ed effetti collaterali</w:t>
      </w:r>
    </w:p>
    <w:p>
      <w:pPr>
        <w:pStyle w:val="FirstParagraph"/>
      </w:pPr>
      <w:r>
        <w:rPr>
          <w:bCs/>
          <w:b/>
        </w:rPr>
        <w:t xml:space="preserve">Dimostrati:</w:t>
      </w:r>
      <w:r>
        <w:t xml:space="preserve"> </w:t>
      </w:r>
      <w:r>
        <w:t xml:space="preserve">negli studi randomizzati gli effetti collaterali non sono stati più frequenti che con il placebo. La grande meta-analisi sull’artrosi non ha trovato un rischio aumentato di eventi avversi o di interruzioni dello studio (Liang 2024, PMID 38218227). Occasionalmente vengono riferiti senso di pienezza, flatulenza o un sapore sgradevole.</w:t>
      </w:r>
    </w:p>
    <w:p>
      <w:pPr>
        <w:pStyle w:val="BodyText"/>
      </w:pPr>
      <w:r>
        <w:rPr>
          <w:bCs/>
          <w:b/>
        </w:rPr>
        <w:t xml:space="preserve">Da considerare:</w:t>
      </w:r>
    </w:p>
    <w:p>
      <w:pPr>
        <w:numPr>
          <w:ilvl w:val="0"/>
          <w:numId w:val="1294"/>
        </w:numPr>
        <w:pStyle w:val="Compact"/>
      </w:pPr>
      <w:r>
        <w:rPr>
          <w:bCs/>
          <w:b/>
        </w:rPr>
        <w:t xml:space="preserve">Allergie e intolleranze:</w:t>
      </w:r>
      <w:r>
        <w:t xml:space="preserve"> </w:t>
      </w:r>
      <w:r>
        <w:t xml:space="preserve">il collagene di pesce può essere problematico in caso di allergia al pesce; i prodotti di origine bovina o suina sono rilevanti per chi evita questi animali per motivi religiosi o etici. L’origine è indicata nell’elenco degli ingredienti.</w:t>
      </w:r>
    </w:p>
    <w:p>
      <w:pPr>
        <w:numPr>
          <w:ilvl w:val="0"/>
          <w:numId w:val="1294"/>
        </w:numPr>
        <w:pStyle w:val="Compact"/>
      </w:pPr>
      <w:r>
        <w:rPr>
          <w:bCs/>
          <w:b/>
        </w:rPr>
        <w:t xml:space="preserve">Ossalato e calcoli renali:</w:t>
      </w:r>
      <w:r>
        <w:t xml:space="preserve"> </w:t>
      </w:r>
      <w:r>
        <w:t xml:space="preserve">l’idrossiprolina viene in parte trasformata nel corpo in ossalato. In uno studio l’escrezione urinaria di ossalato è aumentata del 43% con 30 g di gelatina al giorno rispetto alle proteine del siero di latte; già 5–10 g di gelatina hanno portato a variazioni misurabili (Knight 2006, PMID 17021603). Per le persone sane il significato non è chiaro. Chi ha calcoli renali di ossalato di calcio o un’iperossaluria congenita dovrebbe discutere l’assunzione con il medico (rischio teorico, ma biologicamente fondato).</w:t>
      </w:r>
    </w:p>
    <w:p>
      <w:pPr>
        <w:numPr>
          <w:ilvl w:val="0"/>
          <w:numId w:val="1294"/>
        </w:numPr>
        <w:pStyle w:val="Compact"/>
      </w:pPr>
      <w:r>
        <w:rPr>
          <w:bCs/>
          <w:b/>
        </w:rPr>
        <w:t xml:space="preserve">Quantità di proteine:</w:t>
      </w:r>
      <w:r>
        <w:t xml:space="preserve"> </w:t>
      </w:r>
      <w:r>
        <w:t xml:space="preserve">nelle malattie renali con restrizione proteica anche il collagene conta nell’apporto proteico giornaliero.</w:t>
      </w:r>
    </w:p>
    <w:p>
      <w:pPr>
        <w:numPr>
          <w:ilvl w:val="0"/>
          <w:numId w:val="1294"/>
        </w:numPr>
        <w:pStyle w:val="Compact"/>
      </w:pPr>
      <w:r>
        <w:rPr>
          <w:bCs/>
          <w:b/>
        </w:rPr>
        <w:t xml:space="preserve">Qualità del prodotto:</w:t>
      </w:r>
      <w:r>
        <w:t xml:space="preserve"> </w:t>
      </w:r>
      <w:r>
        <w:t xml:space="preserve">gli integratori alimentari non vengono verificati per l’efficacia prima della vendita. Della purezza e dell’assenza di sostanze nocive è responsabile il produttore; il controllo ufficiale degli alimenti effettua solo verifiche a campione.</w:t>
      </w:r>
    </w:p>
    <w:p>
      <w:pPr>
        <w:numPr>
          <w:ilvl w:val="0"/>
          <w:numId w:val="1294"/>
        </w:numPr>
        <w:pStyle w:val="Compact"/>
      </w:pPr>
      <w:r>
        <w:rPr>
          <w:bCs/>
          <w:b/>
        </w:rPr>
        <w:t xml:space="preserve">Falsa sicurezza:</w:t>
      </w:r>
      <w:r>
        <w:t xml:space="preserve"> </w:t>
      </w:r>
      <w:r>
        <w:t xml:space="preserve">il rischio pratico maggiore consiste nell’impiegare il collagene al posto di misure efficaci – per esempio invece della protezione UV contro l’invecchiamento cutaneo o invece di un trattamento dell’osteoporosi.</w:t>
      </w:r>
    </w:p>
    <w:bookmarkEnd w:id="869"/>
    <w:bookmarkStart w:id="870" w:name="quadro-normativo-52"/>
    <w:p>
      <w:pPr>
        <w:pStyle w:val="Heading3"/>
      </w:pPr>
      <w:r>
        <w:t xml:space="preserve">Quadro normativo</w:t>
      </w:r>
    </w:p>
    <w:p>
      <w:pPr>
        <w:numPr>
          <w:ilvl w:val="0"/>
          <w:numId w:val="1295"/>
        </w:numPr>
        <w:pStyle w:val="Compact"/>
      </w:pPr>
      <w:r>
        <w:rPr>
          <w:bCs/>
          <w:b/>
        </w:rPr>
        <w:t xml:space="preserve">UE / Austria / Germania:</w:t>
      </w:r>
      <w:r>
        <w:t xml:space="preserve"> </w:t>
      </w:r>
      <w:r>
        <w:t xml:space="preserve">i peptidi di collagene sono alimenti. In Germania gli integratori alimentari devono essere notificati all’Ufficio federale per la tutela dei consumatori e la sicurezza alimentare (BVL) prima della prima vendita; in Austria valgono regole proprie. In nessuno dei due Paesi si verifica l’efficacia. Le indicazioni sulla salute sono consentite secondo il regolamento UE sulle indicazioni sulla salute (Regolamento (CE) n. 1924/2006) solo se autorizzate nell’elenco UE.</w:t>
      </w:r>
      <w:r>
        <w:t xml:space="preserve"> </w:t>
      </w:r>
      <w:r>
        <w:rPr>
          <w:bCs/>
          <w:b/>
        </w:rPr>
        <w:t xml:space="preserve">Per il collagene o i peptidi di collagene non esiste alcun health claim autorizzato.</w:t>
      </w:r>
      <w:r>
        <w:t xml:space="preserve"> </w:t>
      </w:r>
      <w:r>
        <w:t xml:space="preserve">L’Autorità europea per la sicurezza alimentare (EFSA) ha valutato negativamente le indicazioni richieste, per esempio sulla salute articolare, perché non era dimostrato un rapporto di causa-effetto. Per questo molti prodotti contengono vitamina C: per la vitamina C è autorizzata l’indicazione che contribuisce alla normale formazione del collagene per la normale funzione di pelle, cartilagine, ossa, gengive, denti e vasi sanguigni. La frase pubblicitaria si riferisce allora giuridicamente alla vitamina, non al collagene. Le affermazioni sulla bellezza («per una pelle più tonica») si muovono in una zona grigia e vengono giudicate in modo diverso dai tribunali.</w:t>
      </w:r>
    </w:p>
    <w:p>
      <w:pPr>
        <w:numPr>
          <w:ilvl w:val="0"/>
          <w:numId w:val="1295"/>
        </w:numPr>
        <w:pStyle w:val="Compact"/>
      </w:pPr>
      <w:r>
        <w:rPr>
          <w:bCs/>
          <w:b/>
        </w:rPr>
        <w:t xml:space="preserve">USA:</w:t>
      </w:r>
      <w:r>
        <w:t xml:space="preserve"> </w:t>
      </w:r>
      <w:r>
        <w:t xml:space="preserve">i peptidi di collagene sono venduti come dietary supplement. I produttori possono fare le cosiddette affermazioni su struttura e funzione («sostiene una pelle sana»), ma devono riportare l’avvertenza che l’affermazione non è stata verificata dalla FDA. Le promesse relative a malattie non sono consentite.</w:t>
      </w:r>
    </w:p>
    <w:p>
      <w:pPr>
        <w:numPr>
          <w:ilvl w:val="0"/>
          <w:numId w:val="1295"/>
        </w:numPr>
        <w:pStyle w:val="Compact"/>
      </w:pPr>
      <w:r>
        <w:rPr>
          <w:bCs/>
          <w:b/>
        </w:rPr>
        <w:t xml:space="preserve">Sport:</w:t>
      </w:r>
      <w:r>
        <w:t xml:space="preserve"> </w:t>
      </w:r>
      <w:r>
        <w:t xml:space="preserve">i peptidi di collagene non figurano nell’elenco delle sostanze proibite della WADA. Come per tutti gli integratori alimentari esiste un rischio residuo di contaminazione; gli atleti agonisti dovrebbero fare attenzione a elenchi verificati (per es. Kölner Liste) (aggiornato al 2026, da verificare).</w:t>
      </w:r>
    </w:p>
    <w:bookmarkEnd w:id="870"/>
    <w:bookmarkStart w:id="871" w:name="studi-in-corso-e-prospettive-52"/>
    <w:p>
      <w:pPr>
        <w:pStyle w:val="Heading3"/>
      </w:pPr>
      <w:r>
        <w:t xml:space="preserve">Studi in corso e prospettive</w:t>
      </w:r>
    </w:p>
    <w:p>
      <w:pPr>
        <w:pStyle w:val="FirstParagraph"/>
      </w:pPr>
      <w:r>
        <w:rPr>
          <w:bCs/>
          <w:b/>
        </w:rPr>
        <w:t xml:space="preserve">Dati certi (studi registrati, situazione a ottobre 2026):</w:t>
      </w:r>
    </w:p>
    <w:p>
      <w:pPr>
        <w:numPr>
          <w:ilvl w:val="0"/>
          <w:numId w:val="1296"/>
        </w:numPr>
        <w:pStyle w:val="Compact"/>
      </w:pPr>
      <w:r>
        <w:rPr>
          <w:bCs/>
          <w:b/>
        </w:rPr>
        <w:t xml:space="preserve">Artrosi del ginocchio:</w:t>
      </w:r>
      <w:r>
        <w:t xml:space="preserve"> </w:t>
      </w:r>
      <w:r>
        <w:t xml:space="preserve">uno studio dell’Istituto Ortopedico Rizzoli confronta una formulazione di collagene idrolizzato con placebo in 204 partecipanti (NCT04998188). Uno studio più piccolo confronta diverse forme di collagene (NCT07800780).</w:t>
      </w:r>
    </w:p>
    <w:p>
      <w:pPr>
        <w:numPr>
          <w:ilvl w:val="0"/>
          <w:numId w:val="1296"/>
        </w:numPr>
        <w:pStyle w:val="Compact"/>
      </w:pPr>
      <w:r>
        <w:rPr>
          <w:bCs/>
          <w:b/>
        </w:rPr>
        <w:t xml:space="preserve">Protesi del ginocchio:</w:t>
      </w:r>
      <w:r>
        <w:t xml:space="preserve"> </w:t>
      </w:r>
      <w:r>
        <w:t xml:space="preserve">peptidi di collagene dopo protesi totale del ginocchio, endpoint rimodellamento del tessuto connettivo e guarigione delle ferite (NCT05823727).</w:t>
      </w:r>
    </w:p>
    <w:p>
      <w:pPr>
        <w:numPr>
          <w:ilvl w:val="0"/>
          <w:numId w:val="1296"/>
        </w:numPr>
        <w:pStyle w:val="Compact"/>
      </w:pPr>
      <w:r>
        <w:rPr>
          <w:bCs/>
          <w:b/>
        </w:rPr>
        <w:t xml:space="preserve">Pelle:</w:t>
      </w:r>
      <w:r>
        <w:t xml:space="preserve"> </w:t>
      </w:r>
      <w:r>
        <w:t xml:space="preserve">un confronto tra applicazione orale ed esterna di collagene, da sole e combinate, con 165 donne previste (NCT07473037).</w:t>
      </w:r>
    </w:p>
    <w:p>
      <w:pPr>
        <w:numPr>
          <w:ilvl w:val="0"/>
          <w:numId w:val="1296"/>
        </w:numPr>
        <w:pStyle w:val="Compact"/>
      </w:pPr>
      <w:r>
        <w:rPr>
          <w:bCs/>
          <w:b/>
        </w:rPr>
        <w:t xml:space="preserve">Invecchiamento:</w:t>
      </w:r>
      <w:r>
        <w:t xml:space="preserve"> </w:t>
      </w:r>
      <w:r>
        <w:t xml:space="preserve">uno studio dell’Università di Vienna esamina peptidi di collagene e marcatori dell’invecchiamento cellulare in 125 partecipanti previsti (NCT07456449).</w:t>
      </w:r>
    </w:p>
    <w:p>
      <w:pPr>
        <w:numPr>
          <w:ilvl w:val="0"/>
          <w:numId w:val="1296"/>
        </w:numPr>
        <w:pStyle w:val="Compact"/>
      </w:pPr>
      <w:r>
        <w:rPr>
          <w:bCs/>
          <w:b/>
        </w:rPr>
        <w:t xml:space="preserve">Metabolismo:</w:t>
      </w:r>
      <w:r>
        <w:t xml:space="preserve"> </w:t>
      </w:r>
      <w:r>
        <w:t xml:space="preserve">uno studio al King’s College London esamina qualità della vita, appetito e controllo glicemico (NCT07229014).</w:t>
      </w:r>
    </w:p>
    <w:p>
      <w:pPr>
        <w:pStyle w:val="FirstParagraph"/>
      </w:pPr>
      <w:r>
        <w:rPr>
          <w:bCs/>
          <w:b/>
        </w:rPr>
        <w:t xml:space="preserve">Valutazione:</w:t>
      </w:r>
      <w:r>
        <w:t xml:space="preserve"> </w:t>
      </w:r>
      <w:r>
        <w:t xml:space="preserve">la questione decisiva per i prossimi anni non è se ci saranno altri piccoli studi positivi – è prevedibile di sì –, ma se grandi studi finanziati in modo indipendente e con endpoint preregistrati confermeranno gli effetti. La meta-analisi per fonte di finanziamento (Myung 2025, PMID 40324552) ha reso visibile l’asticella. Per il dolore articolare un piccolo effetto è quello meglio documentato; per pelle e tendini la situazione resta aperta. Un’approvazione come farmaco non è da attendersi, poiché i prodotti sono già di libera vendita come alimenti e nessun produttore dovrebbe sostenere l’onere di un programma di autorizzazione.</w:t>
      </w:r>
    </w:p>
    <w:bookmarkEnd w:id="871"/>
    <w:bookmarkStart w:id="872" w:name="conclusione-52"/>
    <w:p>
      <w:pPr>
        <w:pStyle w:val="Heading3"/>
      </w:pPr>
      <w:r>
        <w:t xml:space="preserve">Conclusione</w:t>
      </w:r>
    </w:p>
    <w:p>
      <w:pPr>
        <w:pStyle w:val="FirstParagraph"/>
      </w:pPr>
      <w:r>
        <w:t xml:space="preserve">I peptidi di collagene sono un prodotto alimentare ben tollerato con un’ampia base di studi, ma metodologicamente debole. Per il dolore articolare nell’artrosi le meta-analisi mostrano piccoli effetti, mentre singoli studi più grandi non hanno trovato differenze rispetto al placebo. Per la pelle il beneficio misurato negli studi dei produttori scompare se si considerano solo studi finanziati in modo indipendente o metodologicamente di alta qualità. Per la costruzione muscolare il collagene è inferiore ad altre fonti proteiche; il collagene di tipo II non denaturato è un prodotto a sé con dati propri, anch’essi limitati. Nell’UE il collagene non può essere pubblicizzato con indicazioni sulla salute – i messaggi pubblicitari si riferiscono per lo più alla vitamina C aggiunta.</w:t>
      </w:r>
    </w:p>
    <w:bookmarkEnd w:id="872"/>
    <w:bookmarkEnd w:id="873"/>
    <w:bookmarkStart w:id="886" w:name="lattotripeptidi-vpp-e-ipp"/>
    <w:p>
      <w:pPr>
        <w:pStyle w:val="Heading2"/>
      </w:pPr>
      <w:r>
        <w:t xml:space="preserve">Lattotripeptidi (VPP e IPP)</w:t>
      </w:r>
    </w:p>
    <w:bookmarkStart w:id="874" w:name="scheda-53"/>
    <w:p>
      <w:pPr>
        <w:pStyle w:val="Heading3"/>
      </w:pPr>
      <w:r>
        <w:t xml:space="preserve">Scheda</w:t>
      </w:r>
    </w:p>
    <w:p>
      <w:pPr>
        <w:numPr>
          <w:ilvl w:val="0"/>
          <w:numId w:val="1297"/>
        </w:numPr>
        <w:pStyle w:val="Compact"/>
      </w:pPr>
      <w:r>
        <w:rPr>
          <w:bCs/>
          <w:b/>
        </w:rPr>
        <w:t xml:space="preserve">Tipo/struttura:</w:t>
      </w:r>
      <w:r>
        <w:t xml:space="preserve"> </w:t>
      </w:r>
      <w:r>
        <w:t xml:space="preserve">due tripeptidi di tre aminoacidi ciascuno: valina-prolina-prolina (VPP) e isoleucina-prolina-prolina (IPP). La doppia prolina all’estremità li rende relativamente resistenti agli enzimi digestivi.</w:t>
      </w:r>
    </w:p>
    <w:p>
      <w:pPr>
        <w:numPr>
          <w:ilvl w:val="0"/>
          <w:numId w:val="1297"/>
        </w:numPr>
        <w:pStyle w:val="Compact"/>
      </w:pPr>
      <w:r>
        <w:rPr>
          <w:bCs/>
          <w:b/>
        </w:rPr>
        <w:t xml:space="preserve">Origine:</w:t>
      </w:r>
      <w:r>
        <w:t xml:space="preserve"> </w:t>
      </w:r>
      <w:r>
        <w:t xml:space="preserve">frammenti della proteina del latte caseina. Si formano quando il latte viene fermentato con determinati batteri (soprattutto</w:t>
      </w:r>
      <w:r>
        <w:t xml:space="preserve"> </w:t>
      </w:r>
      <w:r>
        <w:rPr>
          <w:iCs/>
          <w:i/>
        </w:rPr>
        <w:t xml:space="preserve">Lactobacillus helveticus</w:t>
      </w:r>
      <w:r>
        <w:t xml:space="preserve">) oppure mediante scissione enzimatica della caseina con enzimi della muffa</w:t>
      </w:r>
      <w:r>
        <w:t xml:space="preserve"> </w:t>
      </w:r>
      <w:r>
        <w:rPr>
          <w:iCs/>
          <w:i/>
        </w:rPr>
        <w:t xml:space="preserve">Aspergillus oryzae</w:t>
      </w:r>
      <w:r>
        <w:t xml:space="preserve">. Prodotti noti erano una bevanda giapponese a base di latte acido (Calpis) e un prodotto lattiero finlandese (Evolus di Valio).</w:t>
      </w:r>
    </w:p>
    <w:p>
      <w:pPr>
        <w:numPr>
          <w:ilvl w:val="0"/>
          <w:numId w:val="1297"/>
        </w:numPr>
        <w:pStyle w:val="Compact"/>
      </w:pPr>
      <w:r>
        <w:rPr>
          <w:bCs/>
          <w:b/>
        </w:rPr>
        <w:t xml:space="preserve">Principio d’azione:</w:t>
      </w:r>
      <w:r>
        <w:t xml:space="preserve"> </w:t>
      </w:r>
      <w:r>
        <w:t xml:space="preserve">dovrebbero inibire l’enzima di conversione dell’angiotensina (ACE) – lo stesso enzima bloccato dagli ACE-inibitori antipertensivi come ramipril o enalapril, solo in modo molto più debole.</w:t>
      </w:r>
    </w:p>
    <w:p>
      <w:pPr>
        <w:numPr>
          <w:ilvl w:val="0"/>
          <w:numId w:val="1297"/>
        </w:numPr>
        <w:pStyle w:val="Compact"/>
      </w:pPr>
      <w:r>
        <w:rPr>
          <w:bCs/>
          <w:b/>
        </w:rPr>
        <w:t xml:space="preserve">Approvazione UE:</w:t>
      </w:r>
      <w:r>
        <w:t xml:space="preserve"> </w:t>
      </w:r>
      <w:r>
        <w:t xml:space="preserve">nessuna autorizzazione come farmaco; come ingrediente alimentare o negli integratori alimentari. Nessuna indicazione sulla salute autorizzata relativa alla pressione arteriosa.</w:t>
      </w:r>
    </w:p>
    <w:p>
      <w:pPr>
        <w:numPr>
          <w:ilvl w:val="0"/>
          <w:numId w:val="1297"/>
        </w:numPr>
        <w:pStyle w:val="Compact"/>
      </w:pPr>
      <w:r>
        <w:rPr>
          <w:bCs/>
          <w:b/>
        </w:rPr>
        <w:t xml:space="preserve">Approvazione USA:</w:t>
      </w:r>
      <w:r>
        <w:t xml:space="preserve"> </w:t>
      </w:r>
      <w:r>
        <w:t xml:space="preserve">nessuna autorizzazione come farmaco; disponibili come integratori alimentari.</w:t>
      </w:r>
    </w:p>
    <w:p>
      <w:pPr>
        <w:numPr>
          <w:ilvl w:val="0"/>
          <w:numId w:val="1297"/>
        </w:numPr>
        <w:pStyle w:val="Compact"/>
      </w:pPr>
      <w:r>
        <w:rPr>
          <w:bCs/>
          <w:b/>
        </w:rPr>
        <w:t xml:space="preserve">WADA:</w:t>
      </w:r>
      <w:r>
        <w:t xml:space="preserve"> </w:t>
      </w:r>
      <w:r>
        <w:t xml:space="preserve">non elencati (aggiornato al 2026, da verificare).</w:t>
      </w:r>
    </w:p>
    <w:p>
      <w:pPr>
        <w:numPr>
          <w:ilvl w:val="0"/>
          <w:numId w:val="1297"/>
        </w:numPr>
        <w:pStyle w:val="Compact"/>
      </w:pPr>
      <w:r>
        <w:rPr>
          <w:bCs/>
          <w:b/>
        </w:rPr>
        <w:t xml:space="preserve">Livello di evidenza:</w:t>
      </w:r>
      <w:r>
        <w:t xml:space="preserve"> </w:t>
      </w:r>
      <w:r>
        <w:rPr>
          <w:bCs/>
          <w:b/>
        </w:rPr>
        <w:t xml:space="preserve">B</w:t>
      </w:r>
      <w:r>
        <w:t xml:space="preserve"> </w:t>
      </w:r>
      <w:r>
        <w:t xml:space="preserve">– circa 30 studi randomizzati con complessivamente alcune migliaia di partecipanti, ma ciascuno piccolo, con risultati contraddittori e senza endpoint concreti.</w:t>
      </w:r>
    </w:p>
    <w:bookmarkEnd w:id="874"/>
    <w:bookmarkStart w:id="875" w:name="come-dovrebbe-agire-53"/>
    <w:p>
      <w:pPr>
        <w:pStyle w:val="Heading3"/>
      </w:pPr>
      <w:r>
        <w:t xml:space="preserve">Come dovrebbe agire</w:t>
      </w:r>
    </w:p>
    <w:p>
      <w:pPr>
        <w:pStyle w:val="FirstParagraph"/>
      </w:pPr>
      <w:r>
        <w:t xml:space="preserve">La pressione arteriosa è regolata, tra l’altro, dal sistema renina-angiotensina. Un passaggio centrale è la trasformazione dell’angiotensina I inattiva nell’angiotensina II vasocostrittrice da parte dell’enzima ACE. Lo stesso enzima degrada inoltre la bradichinina, una sostanza che dilata i vasi. Se l’ACE viene inibito, si forma meno angiotensina II e più bradichinina – la pressione scende. Su questo principio si basano gli ACE-inibitori, uno dei gruppi più importanti di farmaci antipertensivi. Curiosità storica: il primo ACE-inibitore, il captopril, è stato sviluppato a partire da un peptide del veleno di un serpente.</w:t>
      </w:r>
    </w:p>
    <w:p>
      <w:pPr>
        <w:pStyle w:val="BodyText"/>
      </w:pPr>
      <w:r>
        <w:t xml:space="preserve">Negli anni Novanta ricercatori giapponesi isolarono dal latte acido due tripeptidi che inibiscono l’ACE in provetta. In ratti con ipertensione congenita una singola somministrazione del latte acido o dei peptidi isolati VPP e IPP abbassò la pressione sistolica per alcune ore; nei ratti con pressione normale non cambiò nulla (Nakamura 1995, PMID 7673515). Da qui nacque l’idea di un «alimento che abbassa la pressione».</w:t>
      </w:r>
    </w:p>
    <w:p>
      <w:pPr>
        <w:pStyle w:val="BodyText"/>
      </w:pPr>
      <w:r>
        <w:t xml:space="preserve">Perché funzioni, i peptidi devono arrivare intatti nel circolo sanguigno. Un piccolo studio ha mostrato che l’IPP, dopo l’assunzione di una bevanda allo yogurt arricchita, è effettivamente rilevabile intatto nel sangue – però in concentrazioni nell’ordine dei picomoli per litro (Foltz 2007, PMID 17374660). Uno studio svizzero con dodici uomini sani ha poi verificato direttamente se i peptidi inibiscono l’ACE nel corpo: dopo sette giorni di latte fermentato i marcatori dell’attività dell’ACE e la renina sono rimasti invariati, mentre una sola compressa di captopril ha ridotto l’attività dell’ACE nel plasma dell’82%. L’IPP è aumentato nel sangue solo brevemente e di poco, il VPP era sotto il limite di rilevabilità (Wuerzner 2009, PMID 19506528).</w:t>
      </w:r>
    </w:p>
    <w:p>
      <w:pPr>
        <w:pStyle w:val="BodyText"/>
      </w:pPr>
      <w:r>
        <w:t xml:space="preserve">Ciò significa: il meccanismo plausibile in laboratorio non si è potuto dimostrare nell’uomo alle quantità testate. Si discutono quindi anche altre vie, per esempio un miglioramento della funzione della parete interna dei vasi tramite ossido nitrico. Queste derivano finora soprattutto da esperimenti su colture cellulari e sugli animali.</w:t>
      </w:r>
    </w:p>
    <w:bookmarkEnd w:id="875"/>
    <w:bookmarkStart w:id="880" w:name="studi-sulluomo-53"/>
    <w:p>
      <w:pPr>
        <w:pStyle w:val="Heading3"/>
      </w:pPr>
      <w:r>
        <w:t xml:space="preserve">Studi sull’uomo</w:t>
      </w:r>
    </w:p>
    <w:p>
      <w:pPr>
        <w:pStyle w:val="FirstParagraph"/>
      </w:pPr>
      <w:r>
        <w:t xml:space="preserve">La ricerca in PubMed valutata per questo libro (lattotripeptidi o valil-prolil-prolina, data della ricerca ottobre 2026) ha restituito 21 studi sull’uomo; su ClinicalTrials.gov la ricerca «lactotripeptides» non ha trovato alcuna voce di registro. La maggior parte degli studi è stata condotta prima dell’introduzione dell’obbligo di registrazione per gli studi nutrizionali. Le meta-analisi si riferiscono a fino a 30 studi randomizzati, tra cui molti studi giapponesi non completamente coperti dalla ricerca in PubMed.</w:t>
      </w:r>
    </w:p>
    <w:bookmarkStart w:id="876" w:name="i-primi-studi-positivi"/>
    <w:p>
      <w:pPr>
        <w:pStyle w:val="Heading4"/>
      </w:pPr>
      <w:r>
        <w:t xml:space="preserve">I primi studi positivi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Hata 1996, PMID 8901799</w:t>
            </w:r>
          </w:p>
        </w:tc>
        <w:tc>
          <w:tcPr/>
          <w:p>
            <w:pPr>
              <w:pStyle w:val="Compact"/>
              <w:jc w:val="left"/>
            </w:pPr>
            <w:r>
              <w:t xml:space="preserve">30 anziani con ipertensione (per lo più in terapia farmacologica), latte acido vs. latte acidificato</w:t>
            </w:r>
          </w:p>
        </w:tc>
        <w:tc>
          <w:tcPr/>
          <w:p>
            <w:pPr>
              <w:pStyle w:val="Compact"/>
              <w:jc w:val="left"/>
            </w:pPr>
            <w:r>
              <w:t xml:space="preserve">8 settimane</w:t>
            </w:r>
          </w:p>
        </w:tc>
        <w:tc>
          <w:tcPr/>
          <w:p>
            <w:pPr>
              <w:pStyle w:val="Compact"/>
              <w:jc w:val="left"/>
            </w:pPr>
            <w:r>
              <w:t xml:space="preserve">Sistolica −14,1 mmHg rispetto al valore iniziale nel gruppo latte acido; placebo invariato</w:t>
            </w:r>
          </w:p>
        </w:tc>
      </w:tr>
      <w:tr>
        <w:tc>
          <w:tcPr/>
          <w:p>
            <w:pPr>
              <w:pStyle w:val="Compact"/>
              <w:jc w:val="left"/>
            </w:pPr>
            <w:r>
              <w:t xml:space="preserve">Seppo 2003, PMID 12540390</w:t>
            </w:r>
          </w:p>
        </w:tc>
        <w:tc>
          <w:tcPr/>
          <w:p>
            <w:pPr>
              <w:pStyle w:val="Compact"/>
              <w:jc w:val="left"/>
            </w:pPr>
            <w:r>
              <w:t xml:space="preserve">39 persone con ipertensione, latte fermentato vs. controllo</w:t>
            </w:r>
          </w:p>
        </w:tc>
        <w:tc>
          <w:tcPr/>
          <w:p>
            <w:pPr>
              <w:pStyle w:val="Compact"/>
              <w:jc w:val="left"/>
            </w:pPr>
            <w:r>
              <w:t xml:space="preserve">21 settimane</w:t>
            </w:r>
          </w:p>
        </w:tc>
        <w:tc>
          <w:tcPr/>
          <w:p>
            <w:pPr>
              <w:pStyle w:val="Compact"/>
              <w:jc w:val="left"/>
            </w:pPr>
            <w:r>
              <w:t xml:space="preserve">Differenza sistolica 6,7 mmHg (p = 0,03), diastolica 3,6 mmHg (non significativa)</w:t>
            </w:r>
          </w:p>
        </w:tc>
      </w:tr>
      <w:tr>
        <w:tc>
          <w:tcPr/>
          <w:p>
            <w:pPr>
              <w:pStyle w:val="Compact"/>
              <w:jc w:val="left"/>
            </w:pPr>
            <w:r>
              <w:t xml:space="preserve">Tuomilehto 2004, PMID 15175633</w:t>
            </w:r>
          </w:p>
        </w:tc>
        <w:tc>
          <w:tcPr/>
          <w:p>
            <w:pPr>
              <w:pStyle w:val="Compact"/>
              <w:jc w:val="left"/>
            </w:pPr>
            <w:r>
              <w:t xml:space="preserve">60 persone con ipertensione lieve, crossover</w:t>
            </w:r>
          </w:p>
        </w:tc>
        <w:tc>
          <w:tcPr/>
          <w:p>
            <w:pPr>
              <w:pStyle w:val="Compact"/>
              <w:jc w:val="left"/>
            </w:pPr>
            <w:r>
              <w:t xml:space="preserve">2 × fasi</w:t>
            </w:r>
          </w:p>
        </w:tc>
        <w:tc>
          <w:tcPr/>
          <w:p>
            <w:pPr>
              <w:pStyle w:val="Compact"/>
              <w:jc w:val="left"/>
            </w:pPr>
            <w:r>
              <w:t xml:space="preserve">Analisi complessiva: differenza sistolica 2,6 mmHg, non significativa</w:t>
            </w:r>
          </w:p>
        </w:tc>
      </w:tr>
      <w:tr>
        <w:tc>
          <w:tcPr/>
          <w:p>
            <w:pPr>
              <w:pStyle w:val="Compact"/>
              <w:jc w:val="left"/>
            </w:pPr>
            <w:r>
              <w:t xml:space="preserve">Jauhiainen 2005, PMID 16364832</w:t>
            </w:r>
          </w:p>
        </w:tc>
        <w:tc>
          <w:tcPr/>
          <w:p>
            <w:pPr>
              <w:pStyle w:val="Compact"/>
              <w:jc w:val="left"/>
            </w:pPr>
            <w:r>
              <w:t xml:space="preserve">94 persone con ipertensione non trattata, latte fermentato vs. controllo, misurazione nelle 24 ore</w:t>
            </w:r>
          </w:p>
        </w:tc>
        <w:tc>
          <w:tcPr/>
          <w:p>
            <w:pPr>
              <w:pStyle w:val="Compact"/>
              <w:jc w:val="left"/>
            </w:pPr>
            <w:r>
              <w:t xml:space="preserve">10 settimane</w:t>
            </w:r>
          </w:p>
        </w:tc>
        <w:tc>
          <w:tcPr/>
          <w:p>
            <w:pPr>
              <w:pStyle w:val="Compact"/>
              <w:jc w:val="left"/>
            </w:pPr>
            <w:r>
              <w:t xml:space="preserve">Sistolica −4,1 mmHg, diastolica −1,8 mmHg rispetto al controllo</w:t>
            </w:r>
          </w:p>
        </w:tc>
      </w:tr>
    </w:tbl>
    <w:p>
      <w:pPr>
        <w:pStyle w:val="BodyText"/>
      </w:pPr>
      <w:r>
        <w:t xml:space="preserve">Il primo studio di Hata era piccolo, la maggior parte dei partecipanti assumeva già farmaci antipertensivi e il confronto avveniva soprattutto con il valore iniziale. Lo studio di Jauhiainen è metodologicamente più solido, perché ha usato la misurazione della pressione nelle 24 ore, meno soggetta all’«effetto camice bianco» dal medico.</w:t>
      </w:r>
    </w:p>
    <w:bookmarkEnd w:id="876"/>
    <w:bookmarkStart w:id="877" w:name="gli-studi-negativi-dai-paesi-bassi"/>
    <w:p>
      <w:pPr>
        <w:pStyle w:val="Heading4"/>
      </w:pPr>
      <w:r>
        <w:t xml:space="preserve">Gli studi negativi dai Paesi Bassi</w:t>
      </w:r>
    </w:p>
    <w:p>
      <w:pPr>
        <w:pStyle w:val="FirstParagraph"/>
      </w:pPr>
      <w:r>
        <w:t xml:space="preserve">Dal 2008 sono usciti diversi studi più ampi e accurati da Paesi europei, che non hanno trovato alcun effetto: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Engberink 2008, PMID 18086944</w:t>
            </w:r>
          </w:p>
        </w:tc>
        <w:tc>
          <w:tcPr/>
          <w:p>
            <w:pPr>
              <w:pStyle w:val="Compact"/>
              <w:jc w:val="left"/>
            </w:pPr>
            <w:r>
              <w:t xml:space="preserve">135 olandesi con pressione sistolica elevata, tre metodi di produzione di LTP vs. placebo</w:t>
            </w:r>
          </w:p>
        </w:tc>
        <w:tc>
          <w:tcPr/>
          <w:p>
            <w:pPr>
              <w:pStyle w:val="Compact"/>
              <w:jc w:val="left"/>
            </w:pPr>
            <w:r>
              <w:t xml:space="preserve">8 settimane</w:t>
            </w:r>
          </w:p>
        </w:tc>
        <w:tc>
          <w:tcPr/>
          <w:p>
            <w:pPr>
              <w:pStyle w:val="Compact"/>
              <w:jc w:val="left"/>
            </w:pPr>
            <w:r>
              <w:t xml:space="preserve">Nessuna differenza rispetto al placebo per pressione in ambulatorio, a domicilio e nelle 24 ore, attività dell’ACE o angiotensina II</w:t>
            </w:r>
          </w:p>
        </w:tc>
      </w:tr>
      <w:tr>
        <w:tc>
          <w:tcPr/>
          <w:p>
            <w:pPr>
              <w:pStyle w:val="Compact"/>
              <w:jc w:val="left"/>
            </w:pPr>
            <w:r>
              <w:t xml:space="preserve">van der Zander 2008, PMID 19064533</w:t>
            </w:r>
          </w:p>
        </w:tc>
        <w:tc>
          <w:tcPr/>
          <w:p>
            <w:pPr>
              <w:pStyle w:val="Compact"/>
              <w:jc w:val="left"/>
            </w:pPr>
            <w:r>
              <w:t xml:space="preserve">275 olandesi con ipertensione, LTP prodotti per via enzimatica in una bevanda allo yogurt vs. placebo</w:t>
            </w:r>
          </w:p>
        </w:tc>
        <w:tc>
          <w:tcPr/>
          <w:p>
            <w:pPr>
              <w:pStyle w:val="Compact"/>
              <w:jc w:val="left"/>
            </w:pPr>
            <w:r>
              <w:t xml:space="preserve">8 settimane</w:t>
            </w:r>
          </w:p>
        </w:tc>
        <w:tc>
          <w:tcPr/>
          <w:p>
            <w:pPr>
              <w:pStyle w:val="Compact"/>
              <w:jc w:val="left"/>
            </w:pPr>
            <w:r>
              <w:t xml:space="preserve">Nessuna differenza sistolica (p = 0,66) o diastolica (p = 0,72)</w:t>
            </w:r>
          </w:p>
        </w:tc>
      </w:tr>
      <w:tr>
        <w:tc>
          <w:tcPr/>
          <w:p>
            <w:pPr>
              <w:pStyle w:val="Compact"/>
              <w:jc w:val="left"/>
            </w:pPr>
            <w:r>
              <w:t xml:space="preserve">van Mierlo 2009, PMID 19106238</w:t>
            </w:r>
          </w:p>
        </w:tc>
        <w:tc>
          <w:tcPr/>
          <w:p>
            <w:pPr>
              <w:pStyle w:val="Compact"/>
              <w:jc w:val="left"/>
            </w:pPr>
            <w:r>
              <w:t xml:space="preserve">2 studi crossover con 69 e 93 adulti non trattati, misurazione nelle 24 ore</w:t>
            </w:r>
          </w:p>
        </w:tc>
        <w:tc>
          <w:tcPr/>
          <w:p>
            <w:pPr>
              <w:pStyle w:val="Compact"/>
              <w:jc w:val="left"/>
            </w:pPr>
            <w:r>
              <w:t xml:space="preserve">4 settimane ciascuno</w:t>
            </w:r>
          </w:p>
        </w:tc>
        <w:tc>
          <w:tcPr/>
          <w:p>
            <w:pPr>
              <w:pStyle w:val="Compact"/>
              <w:jc w:val="left"/>
            </w:pPr>
            <w:r>
              <w:t xml:space="preserve">Nessuna differenza nella pressione nelle 24 ore</w:t>
            </w:r>
          </w:p>
        </w:tc>
      </w:tr>
      <w:tr>
        <w:tc>
          <w:tcPr/>
          <w:p>
            <w:pPr>
              <w:pStyle w:val="Compact"/>
              <w:jc w:val="left"/>
            </w:pPr>
            <w:r>
              <w:t xml:space="preserve">Usinger 2010, PMID 20147968</w:t>
            </w:r>
          </w:p>
        </w:tc>
        <w:tc>
          <w:tcPr/>
          <w:p>
            <w:pPr>
              <w:pStyle w:val="Compact"/>
              <w:jc w:val="left"/>
            </w:pPr>
            <w:r>
              <w:t xml:space="preserve">94 persone con pressione normale-alta o al limite, 150 o 300 ml di latte fermentato vs. placebo</w:t>
            </w:r>
          </w:p>
        </w:tc>
        <w:tc>
          <w:tcPr/>
          <w:p>
            <w:pPr>
              <w:pStyle w:val="Compact"/>
              <w:jc w:val="left"/>
            </w:pPr>
            <w:r>
              <w:t xml:space="preserve">8 settimane</w:t>
            </w:r>
          </w:p>
        </w:tc>
        <w:tc>
          <w:tcPr/>
          <w:p>
            <w:pPr>
              <w:pStyle w:val="Compact"/>
              <w:jc w:val="left"/>
            </w:pPr>
            <w:r>
              <w:t xml:space="preserve">Nessuna differenza significativa nella pressione nelle 24 ore</w:t>
            </w:r>
          </w:p>
        </w:tc>
      </w:tr>
    </w:tbl>
    <w:p>
      <w:pPr>
        <w:pStyle w:val="BodyText"/>
      </w:pPr>
      <w:r>
        <w:t xml:space="preserve">Notevole nello studio di Engberink: ha testato lattotripeptidi da tre fonti – da latte fermentato concentrato, prodotti per via enzimatica e sintetizzati chimicamente. Nessuna delle tre varianti ha abbassato la pressione o inibito l’ACE in modo misurabile. Una rassegna ha riassunto sei di questi studi con 780 partecipanti dal Regno Unito e dai Paesi Bassi e ha concluso che i dati più recenti non sostengono un ruolo dei lattotripeptidi nella regolazione della pressione arteriosa (Geleijnse 2010, PMID 19884823).</w:t>
      </w:r>
    </w:p>
    <w:bookmarkEnd w:id="877"/>
    <w:bookmarkStart w:id="878" w:name="studi-successivi"/>
    <w:p>
      <w:pPr>
        <w:pStyle w:val="Heading4"/>
      </w:pPr>
      <w:r>
        <w:t xml:space="preserve">Studi successivi</w:t>
      </w:r>
    </w:p>
    <w:p>
      <w:pPr>
        <w:pStyle w:val="FirstParagraph"/>
      </w:pPr>
      <w:r>
        <w:t xml:space="preserve">Anche dopo il 2010 i risultati sono rimasti contrastanti. In Finlandia una dose di 50 mg di lattotripeptidi al giorno ha abbassato la pressione nelle 24 ore rispetto al valore iniziale, ma non in modo significativo rispetto al placebo (−2,6 mmHg sistolica); 5 mg al giorno non hanno avuto effetto (Jauhiainen 2012, PMID 22617279). Una margarina spalmabile con IPP, VPP e steroli vegetali ha abbassato la pressione sistolica misurata a domicilio più del placebo (−4,1 contro −0,5 mmHg), ma non il valore in ambulatorio o nelle 24 ore (Turpeinen 2012, PMID 22398753). Studi italiani hanno riportato effetti favorevoli sulla pressione in ambulatorio e sulla rigidità vascolare (Cicero 2011, PMID 21753776; Cicero 2016, PMID 26683986), in uno dei due senza effetto sulla pressione nelle 24 ore. Negli Stati Uniti, in uno studio con 91 persone con ipertensione di stadio 1 e 2, la pressione sistolica diurna è diminuita di 3,6 mmHg, con il placebo no (Germino 2010, PMID 20433527).</w:t>
      </w:r>
    </w:p>
    <w:p>
      <w:pPr>
        <w:pStyle w:val="BodyText"/>
      </w:pPr>
      <w:r>
        <w:t xml:space="preserve">Esistono inoltre piccoli studi su funzione vascolare, irrorazione cerebrale, affaticamento muscolare e prestazioni cognitive, per lo più con 15–50 partecipanti (per es. Akazawa 2018, PMID 29703414). Vanno letti come indizi, non come prove.</w:t>
      </w:r>
    </w:p>
    <w:bookmarkEnd w:id="878"/>
    <w:bookmarkStart w:id="879" w:name="X60cac3d5f86810366d1264456a5c7d48edd8b57"/>
    <w:p>
      <w:pPr>
        <w:pStyle w:val="Heading4"/>
      </w:pPr>
      <w:r>
        <w:t xml:space="preserve">Meta-analisi: effetto piccolo, forte influenza dell’origine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Meta-analisi</w:t>
            </w:r>
          </w:p>
        </w:tc>
        <w:tc>
          <w:tcPr/>
          <w:p>
            <w:pPr>
              <w:pStyle w:val="Compact"/>
              <w:jc w:val="left"/>
            </w:pPr>
            <w:r>
              <w:t xml:space="preserve">Ampiezza</w:t>
            </w:r>
          </w:p>
        </w:tc>
        <w:tc>
          <w:tcPr/>
          <w:p>
            <w:pPr>
              <w:pStyle w:val="Compact"/>
              <w:jc w:val="left"/>
            </w:pPr>
            <w:r>
              <w:t xml:space="preserve">Effetto sulla pressione sistolica</w:t>
            </w:r>
          </w:p>
        </w:tc>
      </w:tr>
      <w:tr>
        <w:tc>
          <w:tcPr/>
          <w:p>
            <w:pPr>
              <w:pStyle w:val="Compact"/>
              <w:jc w:val="left"/>
            </w:pPr>
            <w:r>
              <w:t xml:space="preserve">Cicero 2011, PMID 20811398</w:t>
            </w:r>
          </w:p>
        </w:tc>
        <w:tc>
          <w:tcPr/>
          <w:p>
            <w:pPr>
              <w:pStyle w:val="Compact"/>
              <w:jc w:val="left"/>
            </w:pPr>
            <w:r>
              <w:t xml:space="preserve">18 studi</w:t>
            </w:r>
          </w:p>
        </w:tc>
        <w:tc>
          <w:tcPr/>
          <w:p>
            <w:pPr>
              <w:pStyle w:val="Compact"/>
              <w:jc w:val="left"/>
            </w:pPr>
            <w:r>
              <w:t xml:space="preserve">−3,73 mmHg complessivo; Asia −6,93 mmHg; Europa −1,17 mmHg (non significativo)</w:t>
            </w:r>
          </w:p>
        </w:tc>
      </w:tr>
      <w:tr>
        <w:tc>
          <w:tcPr/>
          <w:p>
            <w:pPr>
              <w:pStyle w:val="Compact"/>
              <w:jc w:val="left"/>
            </w:pPr>
            <w:r>
              <w:t xml:space="preserve">Turpeinen 2013, PMID 23305234</w:t>
            </w:r>
          </w:p>
        </w:tc>
        <w:tc>
          <w:tcPr/>
          <w:p>
            <w:pPr>
              <w:pStyle w:val="Compact"/>
              <w:jc w:val="left"/>
            </w:pPr>
            <w:r>
              <w:t xml:space="preserve">19 studi, circa 1.500 persone</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bracci di studio, 1.919 persone</w:t>
            </w:r>
          </w:p>
        </w:tc>
        <w:tc>
          <w:tcPr/>
          <w:p>
            <w:pPr>
              <w:pStyle w:val="Compact"/>
              <w:jc w:val="left"/>
            </w:pPr>
            <w:r>
              <w:t xml:space="preserve">−1,66 mmHg; nella pressione nelle 24 ore −1,30 mmHg</w:t>
            </w:r>
          </w:p>
        </w:tc>
      </w:tr>
      <w:tr>
        <w:tc>
          <w:tcPr/>
          <w:p>
            <w:pPr>
              <w:pStyle w:val="Compact"/>
              <w:jc w:val="left"/>
            </w:pPr>
            <w:r>
              <w:t xml:space="preserve">Cicero 2013, PMID 23382495</w:t>
            </w:r>
          </w:p>
        </w:tc>
        <w:tc>
          <w:tcPr/>
          <w:p>
            <w:pPr>
              <w:pStyle w:val="Compact"/>
              <w:jc w:val="left"/>
            </w:pPr>
            <w:r>
              <w:t xml:space="preserve">14 studi europei, 1.306 persone</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w:t>
            </w:r>
          </w:p>
        </w:tc>
        <w:tc>
          <w:tcPr/>
          <w:p>
            <w:pPr>
              <w:pStyle w:val="Compact"/>
              <w:jc w:val="left"/>
            </w:pPr>
            <w:r>
              <w:t xml:space="preserve">−2,95 mmHg; pressione nelle 24 ore non significativa</w:t>
            </w:r>
          </w:p>
        </w:tc>
      </w:tr>
      <w:tr>
        <w:tc>
          <w:tcPr/>
          <w:p>
            <w:pPr>
              <w:pStyle w:val="Compact"/>
              <w:jc w:val="left"/>
            </w:pPr>
            <w:r>
              <w:t xml:space="preserve">Chanson-Rolle 2015, PMID 26536628</w:t>
            </w:r>
          </w:p>
        </w:tc>
        <w:tc>
          <w:tcPr/>
          <w:p>
            <w:pPr>
              <w:pStyle w:val="Compact"/>
              <w:jc w:val="left"/>
            </w:pPr>
            <w:r>
              <w:t xml:space="preserve">18 studi giapponesi, 1.194 persone</w:t>
            </w:r>
          </w:p>
        </w:tc>
        <w:tc>
          <w:tcPr/>
          <w:p>
            <w:pPr>
              <w:pStyle w:val="Compact"/>
              <w:jc w:val="left"/>
            </w:pPr>
            <w:r>
              <w:t xml:space="preserve">−5,63 mmHg</w:t>
            </w:r>
          </w:p>
        </w:tc>
      </w:tr>
    </w:tbl>
    <w:p>
      <w:pPr>
        <w:pStyle w:val="BodyText"/>
      </w:pPr>
      <w:r>
        <w:t xml:space="preserve">Tre schemi attraversano tutte le analisi:</w:t>
      </w:r>
    </w:p>
    <w:p>
      <w:pPr>
        <w:numPr>
          <w:ilvl w:val="0"/>
          <w:numId w:val="1298"/>
        </w:numPr>
        <w:pStyle w:val="Compact"/>
      </w:pPr>
      <w:r>
        <w:rPr>
          <w:bCs/>
          <w:b/>
        </w:rPr>
        <w:t xml:space="preserve">L’effetto è piccolo.</w:t>
      </w:r>
      <w:r>
        <w:t xml:space="preserve"> </w:t>
      </w:r>
      <w:r>
        <w:t xml:space="preserve">In forma aggregata si colloca per lo più tra 1 e 4 mmHg di sistolica – molto meno di quanto ottengano i farmaci antipertensivi approvati.</w:t>
      </w:r>
    </w:p>
    <w:p>
      <w:pPr>
        <w:numPr>
          <w:ilvl w:val="0"/>
          <w:numId w:val="1298"/>
        </w:numPr>
        <w:pStyle w:val="Compact"/>
      </w:pPr>
      <w:r>
        <w:rPr>
          <w:bCs/>
          <w:b/>
        </w:rPr>
        <w:t xml:space="preserve">Gli studi asiatici, soprattutto giapponesi, mostrano effetti nettamente maggiori di quelli europei.</w:t>
      </w:r>
      <w:r>
        <w:t xml:space="preserve"> </w:t>
      </w:r>
      <w:r>
        <w:t xml:space="preserve">Se ciò dipenda da differenze genetiche, dall’alimentazione (per esempio un maggiore consumo di sale) o da differenze metodologiche non è chiarito.</w:t>
      </w:r>
    </w:p>
    <w:p>
      <w:pPr>
        <w:numPr>
          <w:ilvl w:val="0"/>
          <w:numId w:val="1298"/>
        </w:numPr>
        <w:pStyle w:val="Compact"/>
      </w:pPr>
      <w:r>
        <w:rPr>
          <w:bCs/>
          <w:b/>
        </w:rPr>
        <w:t xml:space="preserve">Indizi di distorsione da pubblicazione.</w:t>
      </w:r>
      <w:r>
        <w:t xml:space="preserve"> </w:t>
      </w:r>
      <w:r>
        <w:t xml:space="preserve">La meta-analisi di Fekete ha trovato sia una distorsione da pubblicazione sia un «effetto piccoli studi»: gli studi piccoli mostravano effetti maggiori. Dopo la correzione la riduzione sistolica si è ridotta e quella diastolica non era più significativa. Nella pressione nelle 24 ore – il metodo di misurazione più affidabile – l’effetto non era significativo (Fekete 2015, PMID 25608938).</w:t>
      </w:r>
    </w:p>
    <w:p>
      <w:pPr>
        <w:pStyle w:val="FirstParagraph"/>
      </w:pPr>
      <w:r>
        <w:t xml:space="preserve">Manca uno studio che dimostri che i lattotripeptidi prevengano infarti, ictus o decessi. Vista l’entità ridotta dell’effetto, uno studio del genere non è nemmeno da attendersi.</w:t>
      </w:r>
    </w:p>
    <w:bookmarkEnd w:id="879"/>
    <w:bookmarkEnd w:id="880"/>
    <w:bookmarkStart w:id="881" w:name="studi-su-animali-e-in-laboratorio-53"/>
    <w:p>
      <w:pPr>
        <w:pStyle w:val="Heading3"/>
      </w:pPr>
      <w:r>
        <w:t xml:space="preserve">Studi su animali e in laboratorio</w:t>
      </w:r>
    </w:p>
    <w:p>
      <w:pPr>
        <w:pStyle w:val="FirstParagraph"/>
      </w:pPr>
      <w:r>
        <w:t xml:space="preserve">In ratti con ipertensione congenita (ratti SHR) VPP e IPP hanno abbassato la pressione in modo dipendente dalla dose; nei ratti con pressione normale no (Nakamura 1995, PMID 7673515). In colture cellulari VPP e IPP, a concentrazioni superiori a 100 nanomoli per litro, hanno stimolato la produzione di ossido nitrico nelle cellule vascolari, e su aorte isolate di ratto hanno provocato una vasodilatazione (Hirota 2011, PMID 21221598). Per confronto: nel sangue umano, dopo l’assunzione di una bevanda arricchita, sono state misurate meno di 1 nanomole per litro di IPP (Foltz 2007, PMID 17374660). Le analisi cristallografiche a raggi X mostrano che entrambi i peptidi si legano preferibilmente a uno dei due siti attivi della molecola di ACE (Gregory 2024, PMID 37904282). In ratti e conigli gli studi di tossicità – comprese indagini sullo sviluppo renale della prole, poiché gli ACE-inibitori in gravidanza possono danneggiare il nascituro – non hanno trovato effetti collaterali alle dosi più alte testate (Dent 2007, PMID 17383063). Un idrolizzato di proteine del latte contenente IPP non è risultato mutageno nei test genetici; la dose più alta testata nell’esperimento di 90 giorni sui ratti era circa 141 volte superiore all’assunzione massima prevista (Ponstein-Simarro Doorten 2009, PMID 18955104).</w:t>
      </w:r>
    </w:p>
    <w:bookmarkEnd w:id="881"/>
    <w:bookmarkStart w:id="882" w:name="rischi-ed-effetti-collaterali-53"/>
    <w:p>
      <w:pPr>
        <w:pStyle w:val="Heading3"/>
      </w:pPr>
      <w:r>
        <w:t xml:space="preserve">Rischi ed effetti collaterali</w:t>
      </w:r>
    </w:p>
    <w:p>
      <w:pPr>
        <w:pStyle w:val="FirstParagraph"/>
      </w:pPr>
      <w:r>
        <w:rPr>
          <w:bCs/>
          <w:b/>
        </w:rPr>
        <w:t xml:space="preserve">Dimostrati:</w:t>
      </w:r>
      <w:r>
        <w:t xml:space="preserve"> </w:t>
      </w:r>
      <w:r>
        <w:t xml:space="preserve">negli studi sull’uomo con i lattotripeptidi non si sono verificati più effetti collaterali che con il placebo (per es. Jauhiainen 2005, PMID 16364832). I peptidi derivano da proteine del latte che si consumano da sempre; le quantità nei prodotti sono nell’ordine dei milligrammi.</w:t>
      </w:r>
    </w:p>
    <w:p>
      <w:pPr>
        <w:pStyle w:val="BodyText"/>
      </w:pPr>
      <w:r>
        <w:rPr>
          <w:bCs/>
          <w:b/>
        </w:rPr>
        <w:t xml:space="preserve">Teorici o da considerare:</w:t>
      </w:r>
    </w:p>
    <w:p>
      <w:pPr>
        <w:numPr>
          <w:ilvl w:val="0"/>
          <w:numId w:val="1299"/>
        </w:numPr>
        <w:pStyle w:val="Compact"/>
      </w:pPr>
      <w:r>
        <w:rPr>
          <w:bCs/>
          <w:b/>
        </w:rPr>
        <w:t xml:space="preserve">Allergia al latte:</w:t>
      </w:r>
      <w:r>
        <w:t xml:space="preserve"> </w:t>
      </w:r>
      <w:r>
        <w:t xml:space="preserve">i prodotti a base di latte o caseina non sono adatti in caso di allergia alle proteine del latte vaccino.</w:t>
      </w:r>
    </w:p>
    <w:p>
      <w:pPr>
        <w:numPr>
          <w:ilvl w:val="0"/>
          <w:numId w:val="1299"/>
        </w:numPr>
        <w:pStyle w:val="Compact"/>
      </w:pPr>
      <w:r>
        <w:rPr>
          <w:bCs/>
          <w:b/>
        </w:rPr>
        <w:t xml:space="preserve">Combinazione con farmaci antipertensivi:</w:t>
      </w:r>
      <w:r>
        <w:t xml:space="preserve"> </w:t>
      </w:r>
      <w:r>
        <w:t xml:space="preserve">un potenziamento rilevante è improbabile visto l’effetto debole, ma non è stato studiato sistematicamente.</w:t>
      </w:r>
    </w:p>
    <w:p>
      <w:pPr>
        <w:numPr>
          <w:ilvl w:val="0"/>
          <w:numId w:val="1299"/>
        </w:numPr>
        <w:pStyle w:val="Compact"/>
      </w:pPr>
      <w:r>
        <w:rPr>
          <w:bCs/>
          <w:b/>
        </w:rPr>
        <w:t xml:space="preserve">Gravidanza:</w:t>
      </w:r>
      <w:r>
        <w:t xml:space="preserve"> </w:t>
      </w:r>
      <w:r>
        <w:t xml:space="preserve">gli ACE-inibitori sono controindicati in gravidanza. Per i lattotripeptidi negli esperimenti sugli animali non è stato trovato un danno corrispondente; mancano dati sull’uomo.</w:t>
      </w:r>
    </w:p>
    <w:p>
      <w:pPr>
        <w:numPr>
          <w:ilvl w:val="0"/>
          <w:numId w:val="1299"/>
        </w:numPr>
        <w:pStyle w:val="Compact"/>
      </w:pPr>
      <w:r>
        <w:rPr>
          <w:bCs/>
          <w:b/>
        </w:rPr>
        <w:t xml:space="preserve">Il rischio più importante:</w:t>
      </w:r>
      <w:r>
        <w:t xml:space="preserve"> </w:t>
      </w:r>
      <w:r>
        <w:t xml:space="preserve">chi tratta un’ipertensione che richiede terapia con una bevanda al latte invece che con misure efficaci rinuncia alla protezione da infarto e ictus. Riduzione del peso, meno sale, attività fisica e – se necessario – farmaci abbassano la pressione in modo dimostrato e più marcato.</w:t>
      </w:r>
    </w:p>
    <w:bookmarkEnd w:id="882"/>
    <w:bookmarkStart w:id="883" w:name="quadro-normativo-53"/>
    <w:p>
      <w:pPr>
        <w:pStyle w:val="Heading3"/>
      </w:pPr>
      <w:r>
        <w:t xml:space="preserve">Quadro normativo</w:t>
      </w:r>
    </w:p>
    <w:p>
      <w:pPr>
        <w:numPr>
          <w:ilvl w:val="0"/>
          <w:numId w:val="1300"/>
        </w:numPr>
        <w:pStyle w:val="Compact"/>
      </w:pPr>
      <w:r>
        <w:rPr>
          <w:bCs/>
          <w:b/>
        </w:rPr>
        <w:t xml:space="preserve">UE / Austria / Germania:</w:t>
      </w:r>
      <w:r>
        <w:t xml:space="preserve"> </w:t>
      </w:r>
      <w:r>
        <w:t xml:space="preserve">i lattotripeptidi sono ingredienti alimentari. Le indicazioni sulla salute relative alla pressione arteriosa</w:t>
      </w:r>
      <w:r>
        <w:t xml:space="preserve"> </w:t>
      </w:r>
      <w:r>
        <w:rPr>
          <w:bCs/>
          <w:b/>
        </w:rPr>
        <w:t xml:space="preserve">non sono autorizzate</w:t>
      </w:r>
      <w:r>
        <w:t xml:space="preserve"> </w:t>
      </w:r>
      <w:r>
        <w:t xml:space="preserve">secondo il regolamento sulle indicazioni sulla salute (Regolamento (CE) n. 1924/2006). L’Autorità europea per la sicurezza alimentare (EFSA) ha esaminato le domande sui lattotripeptidi e il mantenimento di una pressione arteriosa normale, concludendo che un rapporto di causa-effetto non è sufficientemente dimostrato. Determinanti sono stati, tra l’altro, gli studi europei contraddittori. Nell’UE i prodotti non possono quindi essere pubblicizzati con «abbassa la pressione» o «contribuisce al mantenimento di una pressione arteriosa normale».</w:t>
      </w:r>
    </w:p>
    <w:p>
      <w:pPr>
        <w:numPr>
          <w:ilvl w:val="0"/>
          <w:numId w:val="1300"/>
        </w:numPr>
        <w:pStyle w:val="Compact"/>
      </w:pPr>
      <w:r>
        <w:rPr>
          <w:bCs/>
          <w:b/>
        </w:rPr>
        <w:t xml:space="preserve">Giappone:</w:t>
      </w:r>
      <w:r>
        <w:t xml:space="preserve"> </w:t>
      </w:r>
      <w:r>
        <w:t xml:space="preserve">lì bevande di questo tipo sono state commercializzate come «alimenti per usi sanitari specifici» (FOSHU) con un’indicazione sulla pressione autorizzata dalle autorità. Questo spiega in parte perché una gran parte degli studi provenga dal Giappone.</w:t>
      </w:r>
    </w:p>
    <w:p>
      <w:pPr>
        <w:numPr>
          <w:ilvl w:val="0"/>
          <w:numId w:val="1300"/>
        </w:numPr>
        <w:pStyle w:val="Compact"/>
      </w:pPr>
      <w:r>
        <w:rPr>
          <w:bCs/>
          <w:b/>
        </w:rPr>
        <w:t xml:space="preserve">USA:</w:t>
      </w:r>
      <w:r>
        <w:t xml:space="preserve"> </w:t>
      </w:r>
      <w:r>
        <w:t xml:space="preserve">vendibili come integratori alimentari; le indicazioni relative a malattie non sono consentite.</w:t>
      </w:r>
    </w:p>
    <w:p>
      <w:pPr>
        <w:numPr>
          <w:ilvl w:val="0"/>
          <w:numId w:val="1300"/>
        </w:numPr>
        <w:pStyle w:val="Compact"/>
      </w:pPr>
      <w:r>
        <w:rPr>
          <w:bCs/>
          <w:b/>
        </w:rPr>
        <w:t xml:space="preserve">Sport:</w:t>
      </w:r>
      <w:r>
        <w:t xml:space="preserve"> </w:t>
      </w:r>
      <w:r>
        <w:t xml:space="preserve">non figurano nell’elenco delle sostanze proibite della WADA (aggiornato al 2026, da verificare).</w:t>
      </w:r>
    </w:p>
    <w:bookmarkEnd w:id="883"/>
    <w:bookmarkStart w:id="884" w:name="studi-in-corso-e-prospettive-53"/>
    <w:p>
      <w:pPr>
        <w:pStyle w:val="Heading3"/>
      </w:pPr>
      <w:r>
        <w:t xml:space="preserve">Studi in corso e prospettive</w:t>
      </w:r>
    </w:p>
    <w:p>
      <w:pPr>
        <w:pStyle w:val="FirstParagraph"/>
      </w:pPr>
      <w:r>
        <w:rPr>
          <w:bCs/>
          <w:b/>
        </w:rPr>
        <w:t xml:space="preserve">Dati certi:</w:t>
      </w:r>
      <w:r>
        <w:t xml:space="preserve"> </w:t>
      </w:r>
      <w:r>
        <w:t xml:space="preserve">su ClinicalTrials.gov non è registrato alcuno studio in corso con il termine «lactotripeptides». Con termini affini si trova uno studio concluso su IPP e funzione vascolare nella cardiopatia coronarica con 54 partecipanti (NCT00924157). La ricerca sui lattotripeptidi si è nettamente affievolita dal 2015 circa; i lavori recenti indagano soprattutto, in generale, perché le persone rispondano in modo diverso ai peptidi alimentari.</w:t>
      </w:r>
    </w:p>
    <w:p>
      <w:pPr>
        <w:pStyle w:val="BodyText"/>
      </w:pPr>
      <w:r>
        <w:rPr>
          <w:bCs/>
          <w:b/>
        </w:rPr>
        <w:t xml:space="preserve">Valutazione:</w:t>
      </w:r>
      <w:r>
        <w:t xml:space="preserve"> </w:t>
      </w:r>
      <w:r>
        <w:t xml:space="preserve">i lattotripeptidi sono un esempio da manuale di come un meccanismo convincente in laboratorio e i primi studi positivi possano ridimensionarsi in indagini più ampie e indipendenti. Un piccolo effetto sulla pressione è possibile – soprattutto nelle popolazioni asiatiche studiate –, ma per l’Europa non è dimostrato in modo convincente. Una rinascita non è in vista.</w:t>
      </w:r>
    </w:p>
    <w:bookmarkEnd w:id="884"/>
    <w:bookmarkStart w:id="885" w:name="conclusione-53"/>
    <w:p>
      <w:pPr>
        <w:pStyle w:val="Heading3"/>
      </w:pPr>
      <w:r>
        <w:t xml:space="preserve">Conclusione</w:t>
      </w:r>
    </w:p>
    <w:p>
      <w:pPr>
        <w:pStyle w:val="FirstParagraph"/>
      </w:pPr>
      <w:r>
        <w:t xml:space="preserve">I lattotripeptidi sono due piccoli peptidi del latte che in provetta inibiscono l’enzima ACE, che regola la pressione arteriosa. Nei primi studi giapponesi e finlandesi hanno abbassato la pressione, in diversi studi olandesi più ampi invece no, e un’inibizione misurabile dell’ACE non si è potuta dimostrare nell’uomo. Le meta-analisi indicano una riduzione della pressione sistolica di circa 1–4 mmHg, con indizi di distorsione da pubblicazione e un effetto nettamente minore in Europa. L’EFSA ha respinto un’indicazione sulla pressione arteriosa. Sono innocui, ma non sostituiscono un trattamento dell’ipertensione.</w:t>
      </w:r>
    </w:p>
    <w:bookmarkEnd w:id="885"/>
    <w:bookmarkEnd w:id="886"/>
    <w:bookmarkStart w:id="903" w:name="carnosina"/>
    <w:p>
      <w:pPr>
        <w:pStyle w:val="Heading2"/>
      </w:pPr>
      <w:r>
        <w:t xml:space="preserve">Carnosina</w:t>
      </w:r>
    </w:p>
    <w:bookmarkStart w:id="887" w:name="scheda-54"/>
    <w:p>
      <w:pPr>
        <w:pStyle w:val="Heading3"/>
      </w:pPr>
      <w:r>
        <w:t xml:space="preserve">Scheda</w:t>
      </w:r>
    </w:p>
    <w:p>
      <w:pPr>
        <w:numPr>
          <w:ilvl w:val="0"/>
          <w:numId w:val="1301"/>
        </w:numPr>
        <w:pStyle w:val="Compact"/>
      </w:pPr>
      <w:r>
        <w:rPr>
          <w:bCs/>
          <w:b/>
        </w:rPr>
        <w:t xml:space="preserve">Tipo/struttura:</w:t>
      </w:r>
      <w:r>
        <w:t xml:space="preserve"> </w:t>
      </w:r>
      <w:r>
        <w:t xml:space="preserve">dipeptide composto dagli aminoacidi beta-alanina e istidina (β-alanil-L-istidina). Sostanze affini sono l’anserina (nel pollame e nel pesce) e l’omocarnosina (nel cervello); insieme sono chiamate dipeptidi contenenti istidina.</w:t>
      </w:r>
    </w:p>
    <w:p>
      <w:pPr>
        <w:numPr>
          <w:ilvl w:val="0"/>
          <w:numId w:val="1301"/>
        </w:numPr>
        <w:pStyle w:val="Compact"/>
      </w:pPr>
      <w:r>
        <w:rPr>
          <w:bCs/>
          <w:b/>
        </w:rPr>
        <w:t xml:space="preserve">Origine:</w:t>
      </w:r>
      <w:r>
        <w:t xml:space="preserve"> </w:t>
      </w:r>
      <w:r>
        <w:t xml:space="preserve">endogena, in alta concentrazione nella muscolatura scheletrica, inoltre nel cuore e nel cervello. Con l’alimentazione la carnosina viene assunta soprattutto con carne e pesce; gli alimenti vegetali non ne contengono praticamente. Per gli integratori alimentari viene prodotta per sintesi.</w:t>
      </w:r>
    </w:p>
    <w:p>
      <w:pPr>
        <w:numPr>
          <w:ilvl w:val="0"/>
          <w:numId w:val="1301"/>
        </w:numPr>
        <w:pStyle w:val="Compact"/>
      </w:pPr>
      <w:r>
        <w:rPr>
          <w:bCs/>
          <w:b/>
        </w:rPr>
        <w:t xml:space="preserve">Principio d’azione:</w:t>
      </w:r>
      <w:r>
        <w:t xml:space="preserve"> </w:t>
      </w:r>
      <w:r>
        <w:t xml:space="preserve">tampone contro l’acidificazione nel muscolo; in laboratorio inoltre cattura di prodotti reattivi della degradazione di zuccheri e grassi (anti-glicazione) ed effetto antiossidante.</w:t>
      </w:r>
    </w:p>
    <w:p>
      <w:pPr>
        <w:numPr>
          <w:ilvl w:val="0"/>
          <w:numId w:val="1301"/>
        </w:numPr>
        <w:pStyle w:val="Compact"/>
      </w:pPr>
      <w:r>
        <w:rPr>
          <w:bCs/>
          <w:b/>
        </w:rPr>
        <w:t xml:space="preserve">Principi attivi affini:</w:t>
      </w:r>
      <w:r>
        <w:t xml:space="preserve"> </w:t>
      </w:r>
      <w:r>
        <w:t xml:space="preserve">beta-alanina (il precursore, integratore sportivo diffuso); zinco-carnosina (polaprezinc, in Giappone un farmaco contro l’ulcera gastrica); N-acetilcarnosina (nei colliri).</w:t>
      </w:r>
    </w:p>
    <w:p>
      <w:pPr>
        <w:numPr>
          <w:ilvl w:val="0"/>
          <w:numId w:val="1301"/>
        </w:numPr>
        <w:pStyle w:val="Compact"/>
      </w:pPr>
      <w:r>
        <w:rPr>
          <w:bCs/>
          <w:b/>
        </w:rPr>
        <w:t xml:space="preserve">Approvazione UE:</w:t>
      </w:r>
      <w:r>
        <w:t xml:space="preserve"> </w:t>
      </w:r>
      <w:r>
        <w:t xml:space="preserve">nessuna autorizzazione come farmaco per la carnosina; in commercio come integratore alimentare. Nessuna indicazione sulla salute autorizzata.</w:t>
      </w:r>
    </w:p>
    <w:p>
      <w:pPr>
        <w:numPr>
          <w:ilvl w:val="0"/>
          <w:numId w:val="1301"/>
        </w:numPr>
        <w:pStyle w:val="Compact"/>
      </w:pPr>
      <w:r>
        <w:rPr>
          <w:bCs/>
          <w:b/>
        </w:rPr>
        <w:t xml:space="preserve">Approvazione USA:</w:t>
      </w:r>
      <w:r>
        <w:t xml:space="preserve"> </w:t>
      </w:r>
      <w:r>
        <w:t xml:space="preserve">nessuna autorizzazione come farmaco; disponibile come integratore alimentare.</w:t>
      </w:r>
    </w:p>
    <w:p>
      <w:pPr>
        <w:numPr>
          <w:ilvl w:val="0"/>
          <w:numId w:val="1301"/>
        </w:numPr>
        <w:pStyle w:val="Compact"/>
      </w:pPr>
      <w:r>
        <w:rPr>
          <w:bCs/>
          <w:b/>
        </w:rPr>
        <w:t xml:space="preserve">WADA:</w:t>
      </w:r>
      <w:r>
        <w:t xml:space="preserve"> </w:t>
      </w:r>
      <w:r>
        <w:t xml:space="preserve">carnosina e beta-alanina non sono elencate (aggiornato al 2026, da verificare).</w:t>
      </w:r>
    </w:p>
    <w:p>
      <w:pPr>
        <w:numPr>
          <w:ilvl w:val="0"/>
          <w:numId w:val="1301"/>
        </w:numPr>
        <w:pStyle w:val="Compact"/>
      </w:pPr>
      <w:r>
        <w:rPr>
          <w:bCs/>
          <w:b/>
        </w:rPr>
        <w:t xml:space="preserve">Livello di evidenza:</w:t>
      </w:r>
      <w:r>
        <w:t xml:space="preserve"> </w:t>
      </w:r>
      <w:r>
        <w:rPr>
          <w:bCs/>
          <w:b/>
        </w:rPr>
        <w:t xml:space="preserve">B</w:t>
      </w:r>
      <w:r>
        <w:t xml:space="preserve"> </w:t>
      </w:r>
      <w:r>
        <w:t xml:space="preserve">– diversi piccoli studi randomizzati, uno studio più ampio con quasi 300 partecipanti; molti risultati disomogenei.</w:t>
      </w:r>
    </w:p>
    <w:bookmarkEnd w:id="887"/>
    <w:bookmarkStart w:id="890" w:name="come-dovrebbe-agire-54"/>
    <w:p>
      <w:pPr>
        <w:pStyle w:val="Heading3"/>
      </w:pPr>
      <w:r>
        <w:t xml:space="preserve">Come dovrebbe agire</w:t>
      </w:r>
    </w:p>
    <w:p>
      <w:pPr>
        <w:pStyle w:val="FirstParagraph"/>
      </w:pPr>
      <w:r>
        <w:t xml:space="preserve">Durante sforzi brevi e molto intensi – una corsa di 400 metri o una gara di canottaggio – il muscolo produce più acido di quanto riesca a smaltire. L’acidità aumenta e il lavoro muscolare cala. La carnosina è nel muscolo uno dei tamponi che neutralizzano questo acido. In 18 canottieri belgi di alto livello il contenuto di carnosina della muscolatura del polpaccio era strettamente correlato alla velocità su distanze da 100 a 6.000 metri (Baguet 2010, PMID 20671038).</w:t>
      </w:r>
    </w:p>
    <w:p>
      <w:pPr>
        <w:pStyle w:val="BodyText"/>
      </w:pPr>
      <w:r>
        <w:t xml:space="preserve">In laboratorio la carnosina ha anche altre proprietà: cattura molecole reattive che si formano con la glicemia alta o con la degradazione dei grassi e che possono danneggiare le proteine (la cosiddetta glicazione e la perossidazione lipidica). Da qui derivano le ipotesi che la carnosina possa essere utile nel diabete, nei danni vascolari e renali, nell’invecchiamento cerebrale o nell’invecchiamento cutaneo.</w:t>
      </w:r>
    </w:p>
    <w:bookmarkStart w:id="888" w:name="Xd324d7fce52a6857089cdc5a1c949ff139d46a1"/>
    <w:p>
      <w:pPr>
        <w:pStyle w:val="Heading4"/>
      </w:pPr>
      <w:r>
        <w:t xml:space="preserve">Il problema dell’assorbimento: la carnosinasi</w:t>
      </w:r>
    </w:p>
    <w:p>
      <w:pPr>
        <w:pStyle w:val="FirstParagraph"/>
      </w:pPr>
      <w:r>
        <w:t xml:space="preserve">Nel sangue umano esiste un enzima molto attivo, la carnosinasi sierica (CN1), che scinde rapidamente la carnosina in beta-alanina e istidina. I roditori non possiedono praticamente questo enzima nel sangue – un motivo importante per cui i risultati degli esperimenti sugli animali sono trasferibili solo in misura limitata. Già nel 1991 uno studio dimostrò che una parte della carnosina ingerita viene sì assorbita immodificata dall’intestino (fino al 14% si ritrovava nelle urine), ma nel sangue era rilevabile solo se la carnosinasi veniva bloccata nella provetta. La quantità nelle urine variava molto ed era tanto più bassa quanto più attiva era la carnosinasi della persona (Gardner 1991, PMID 1910085).</w:t>
      </w:r>
    </w:p>
    <w:p>
      <w:pPr>
        <w:pStyle w:val="BodyText"/>
      </w:pPr>
      <w:r>
        <w:t xml:space="preserve">Nello studio finora più grande, con 2 g di carnosina al giorno i valori di carnosina nei globuli rossi sono circa raddoppiati dopo 6 e 12 settimane, nelle urine sono aumentati di circa sette volte (Baba 2024, PMID 39215872). La carnosina quindi arriva nel corpo – quanta ne raggiunga muscoli, cervello o reni è però in gran parte una questione aperta.</w:t>
      </w:r>
    </w:p>
    <w:bookmarkEnd w:id="888"/>
    <w:bookmarkStart w:id="889" w:name="X15de0fe7da5078aedd7d34221ba24172d07b196"/>
    <w:p>
      <w:pPr>
        <w:pStyle w:val="Heading4"/>
      </w:pPr>
      <w:r>
        <w:t xml:space="preserve">Beta-alanina: la via indiretta attraverso il precursore</w:t>
      </w:r>
    </w:p>
    <w:p>
      <w:pPr>
        <w:pStyle w:val="FirstParagraph"/>
      </w:pPr>
      <w:r>
        <w:t xml:space="preserve">Per il muscolo si è affermata un’altra via. Il corpo costruisce la carnosina nella cellula muscolare a partire da beta-alanina e istidina; la beta-alanina è l’elemento limitante. Se si assume beta-alanina, il contenuto di carnosina nel muscolo aumenta nettamente. In uno studio iniziale quattro settimane di beta-alanina hanno aumentato il contenuto di carnosina muscolare di circa il 42–64% stimato; quantità isomolari di carnosina hanno avuto un effetto simile (Harris 2006, PMID 16554972). Dopo la sospensione ci sono volute 12–16 settimane perché il valore tornasse al livello iniziale (Yamaguchi 2021, PMID 33148972). Praticamente tutte le persone rispondono alla beta-alanina (Rezende 2020, PMID 32922303).</w:t>
      </w:r>
    </w:p>
    <w:p>
      <w:pPr>
        <w:pStyle w:val="BodyText"/>
      </w:pPr>
      <w:r>
        <w:t xml:space="preserve">La beta-alanina non è un peptide, ma un singolo aminoacido. Viene trattata qui solo brevemente perché aumenta il contenuto di carnosina muscolare in modo più affidabile della carnosina stessa e per questo nello sport ha un ruolo di gran lunga maggiore.</w:t>
      </w:r>
    </w:p>
    <w:bookmarkEnd w:id="889"/>
    <w:bookmarkEnd w:id="890"/>
    <w:bookmarkStart w:id="897" w:name="studi-sulluomo-54"/>
    <w:p>
      <w:pPr>
        <w:pStyle w:val="Heading3"/>
      </w:pPr>
      <w:r>
        <w:t xml:space="preserve">Studi sull’uomo</w:t>
      </w:r>
    </w:p>
    <w:p>
      <w:pPr>
        <w:pStyle w:val="FirstParagraph"/>
      </w:pPr>
      <w:r>
        <w:t xml:space="preserve">La ricerca in PubMed valutata per questo libro (carnosina nel titolo, combinata con supplementazione o somministrazione orale, data della ricerca ottobre 2026) ha restituito 57 studi sull’uomo; su ClinicalTrials.gov sono registrate 53 voci. Una parte di queste riguarda in realtà la beta-alanina o la zinco-carnosina. Gli studi si distribuiscono su molti piccoli ambiti di impiego.</w:t>
      </w:r>
    </w:p>
    <w:bookmarkStart w:id="891" w:name="sport-e-prestazione-fisica"/>
    <w:p>
      <w:pPr>
        <w:pStyle w:val="Heading4"/>
      </w:pPr>
      <w:r>
        <w:t xml:space="preserve">Sport e prestazione fisica</w:t>
      </w:r>
    </w:p>
    <w:p>
      <w:pPr>
        <w:pStyle w:val="FirstParagraph"/>
      </w:pPr>
      <w:r>
        <w:t xml:space="preserve">Negli sportivi i dati sono nettamente migliori per la</w:t>
      </w:r>
      <w:r>
        <w:t xml:space="preserve"> </w:t>
      </w:r>
      <w:r>
        <w:rPr>
          <w:bCs/>
          <w:b/>
        </w:rPr>
        <w:t xml:space="preserve">beta-alanina</w:t>
      </w:r>
      <w:r>
        <w:t xml:space="preserve"> </w:t>
      </w:r>
      <w:r>
        <w:t xml:space="preserve">che per la carnosina. Una meta-analisi di 40 studi in doppio cieco controllati con placebo con 1.461 partecipanti ha trovato un piccolo effetto complessivo (dimensione dell’effetto 0,18). Era più evidente negli sforzi di durata compresa tra 0,5 e 10 minuti e nei test di resistenza fino all’esaurimento, meno nelle prestazioni di gara (Saunders 2017, PMID 27797728). Un esempio: in 15 velocisti la beta-alanina ha aumentato il contenuto di carnosina nei muscoli del polpaccio del 37–47% e ha attenuato l’affaticamento in serie ripetute di forza, ma non ha migliorato il tempo sui 400 metri (Derave 2007, PMID 17690198). Anche un raddoppio della carnosina muscolare non ha migliorato nei ciclisti il tempo su un’ora (Chung 2014, PMID 24457999) – logico, perché negli sforzi di resistenza il tamponamento dell’acido ha un ruolo minore.</w:t>
      </w:r>
    </w:p>
    <w:p>
      <w:pPr>
        <w:pStyle w:val="BodyText"/>
      </w:pPr>
      <w:r>
        <w:t xml:space="preserve">Per la</w:t>
      </w:r>
      <w:r>
        <w:t xml:space="preserve"> </w:t>
      </w:r>
      <w:r>
        <w:rPr>
          <w:bCs/>
          <w:b/>
        </w:rPr>
        <w:t xml:space="preserve">carnosina stessa</w:t>
      </w:r>
      <w:r>
        <w:t xml:space="preserve"> </w:t>
      </w:r>
      <w:r>
        <w:t xml:space="preserve">esistono solo pochi studi sulla prestazione. Nello studio NEAT (Nucleophilic Defense Against PM Toxicity, NCT03314987) 299 adulti hanno ricevuto 2 g di carnosina o placebo per dodici settimane. In forza di presa, velocità del cammino e nella maggior parte dei test non ci sono state differenze; miglioramenti significativi sono emersi solo in singoli sottogruppi (determinati gruppi di età e sesso) nel sollevamento sui polpacci e nello step test (O’Toole 2026, PMID 42308284). Risultati di sottogruppi di questo tipo sono soggetti a esiti casuali e devono essere confermati.</w:t>
      </w:r>
    </w:p>
    <w:bookmarkEnd w:id="891"/>
    <w:bookmarkStart w:id="892" w:name="diabete-e-metabolismo"/>
    <w:p>
      <w:pPr>
        <w:pStyle w:val="Heading4"/>
      </w:pPr>
      <w:r>
        <w:t xml:space="preserve">Diabete e metabolismo</w:t>
      </w:r>
    </w:p>
    <w:p>
      <w:pPr>
        <w:pStyle w:val="FirstParagraph"/>
      </w:pPr>
      <w:r>
        <w:t xml:space="preserve">È questo il campo medico studiato più intensamente: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de Courten 2016, PMID 27040154</w:t>
            </w:r>
          </w:p>
        </w:tc>
        <w:tc>
          <w:tcPr/>
          <w:p>
            <w:pPr>
              <w:pStyle w:val="Compact"/>
              <w:jc w:val="left"/>
            </w:pPr>
            <w:r>
              <w:t xml:space="preserve">30 adulti in sovrappeso senza diabete, 2 g vs. placebo</w:t>
            </w:r>
          </w:p>
        </w:tc>
        <w:tc>
          <w:tcPr/>
          <w:p>
            <w:pPr>
              <w:pStyle w:val="Compact"/>
              <w:jc w:val="left"/>
            </w:pPr>
            <w:r>
              <w:t xml:space="preserve">12 settimane</w:t>
            </w:r>
          </w:p>
        </w:tc>
        <w:tc>
          <w:tcPr/>
          <w:p>
            <w:pPr>
              <w:pStyle w:val="Compact"/>
              <w:jc w:val="left"/>
            </w:pPr>
            <w:r>
              <w:t xml:space="preserve">Aumento di insulina a digiuno e insulino-resistenza frenato con la carnosina (studio pilota)</w:t>
            </w:r>
          </w:p>
        </w:tc>
      </w:tr>
      <w:tr>
        <w:tc>
          <w:tcPr/>
          <w:p>
            <w:pPr>
              <w:pStyle w:val="Compact"/>
              <w:jc w:val="left"/>
            </w:pPr>
            <w:r>
              <w:t xml:space="preserve">Houjeghani 2018, PMID 29420997</w:t>
            </w:r>
          </w:p>
        </w:tc>
        <w:tc>
          <w:tcPr/>
          <w:p>
            <w:pPr>
              <w:pStyle w:val="Compact"/>
              <w:jc w:val="left"/>
            </w:pPr>
            <w:r>
              <w:t xml:space="preserve">54 persone con diabete di tipo 2, 1 g vs. placebo</w:t>
            </w:r>
          </w:p>
        </w:tc>
        <w:tc>
          <w:tcPr/>
          <w:p>
            <w:pPr>
              <w:pStyle w:val="Compact"/>
              <w:jc w:val="left"/>
            </w:pPr>
            <w:r>
              <w:t xml:space="preserve">12 settimane</w:t>
            </w:r>
          </w:p>
        </w:tc>
        <w:tc>
          <w:tcPr/>
          <w:p>
            <w:pPr>
              <w:pStyle w:val="Compact"/>
              <w:jc w:val="left"/>
            </w:pPr>
            <w:r>
              <w:t xml:space="preserve">Glicemia a digiuno −13,1 mg/dl, HbA1c −0,6 punti percentuali vs. placebo</w:t>
            </w:r>
          </w:p>
        </w:tc>
      </w:tr>
      <w:tr>
        <w:tc>
          <w:tcPr/>
          <w:p>
            <w:pPr>
              <w:pStyle w:val="Compact"/>
              <w:jc w:val="left"/>
            </w:pPr>
            <w:r>
              <w:t xml:space="preserve">Hariharan 2024, PMID 38172006</w:t>
            </w:r>
          </w:p>
        </w:tc>
        <w:tc>
          <w:tcPr/>
          <w:p>
            <w:pPr>
              <w:pStyle w:val="Compact"/>
              <w:jc w:val="left"/>
            </w:pPr>
            <w:r>
              <w:t xml:space="preserve">43 adulti con prediabete o diabete di tipo 2, 2 g vs. placebo</w:t>
            </w:r>
          </w:p>
        </w:tc>
        <w:tc>
          <w:tcPr/>
          <w:p>
            <w:pPr>
              <w:pStyle w:val="Compact"/>
              <w:jc w:val="left"/>
            </w:pPr>
            <w:r>
              <w:t xml:space="preserve">14 settimane</w:t>
            </w:r>
          </w:p>
        </w:tc>
        <w:tc>
          <w:tcPr/>
          <w:p>
            <w:pPr>
              <w:pStyle w:val="Compact"/>
              <w:jc w:val="left"/>
            </w:pPr>
            <w:r>
              <w:t xml:space="preserve">Glicemia più bassa 90 e 120 minuti dopo carico di glucosio; insulina invariata</w:t>
            </w:r>
          </w:p>
        </w:tc>
      </w:tr>
      <w:tr>
        <w:tc>
          <w:tcPr/>
          <w:p>
            <w:pPr>
              <w:pStyle w:val="Compact"/>
              <w:jc w:val="left"/>
            </w:pPr>
            <w:r>
              <w:t xml:space="preserve">Saadati 2023, PMID 38004228</w:t>
            </w:r>
          </w:p>
        </w:tc>
        <w:tc>
          <w:tcPr/>
          <w:p>
            <w:pPr>
              <w:pStyle w:val="Compact"/>
              <w:jc w:val="left"/>
            </w:pPr>
            <w:r>
              <w:t xml:space="preserve">49 adulti con prediabete o diabete di tipo 2 ben controllato, 2 g vs. placebo</w:t>
            </w:r>
          </w:p>
        </w:tc>
        <w:tc>
          <w:tcPr/>
          <w:p>
            <w:pPr>
              <w:pStyle w:val="Compact"/>
              <w:jc w:val="left"/>
            </w:pPr>
            <w:r>
              <w:t xml:space="preserve">14 settimane</w:t>
            </w:r>
          </w:p>
        </w:tc>
        <w:tc>
          <w:tcPr/>
          <w:p>
            <w:pPr>
              <w:pStyle w:val="Compact"/>
              <w:jc w:val="left"/>
            </w:pPr>
            <w:r>
              <w:t xml:space="preserve">Nessun effetto su funzione vascolare, rigidità vascolare, lipidi ematici, pressione, valori epatici e renali</w:t>
            </w:r>
          </w:p>
        </w:tc>
      </w:tr>
      <w:tr>
        <w:tc>
          <w:tcPr/>
          <w:p>
            <w:pPr>
              <w:pStyle w:val="Compact"/>
              <w:jc w:val="left"/>
            </w:pPr>
            <w:r>
              <w:t xml:space="preserve">Elbarbary 2018, PMID 28744992</w:t>
            </w:r>
          </w:p>
        </w:tc>
        <w:tc>
          <w:tcPr/>
          <w:p>
            <w:pPr>
              <w:pStyle w:val="Compact"/>
              <w:jc w:val="left"/>
            </w:pPr>
            <w:r>
              <w:t xml:space="preserve">90 bambini e adolescenti con diabete di tipo 1 e danno renale, 1 g vs. placebo</w:t>
            </w:r>
          </w:p>
        </w:tc>
        <w:tc>
          <w:tcPr/>
          <w:p>
            <w:pPr>
              <w:pStyle w:val="Compact"/>
              <w:jc w:val="left"/>
            </w:pPr>
            <w:r>
              <w:t xml:space="preserve">12 settimane</w:t>
            </w:r>
          </w:p>
        </w:tc>
        <w:tc>
          <w:tcPr/>
          <w:p>
            <w:pPr>
              <w:pStyle w:val="Compact"/>
              <w:jc w:val="left"/>
            </w:pPr>
            <w:r>
              <w:t xml:space="preserve">Albumina urinaria, HbA1c e marcatori di ossidazione migliorati</w:t>
            </w:r>
          </w:p>
        </w:tc>
      </w:tr>
    </w:tbl>
    <w:p>
      <w:pPr>
        <w:pStyle w:val="BodyText"/>
      </w:pPr>
      <w:r>
        <w:t xml:space="preserve">Diverse meta-analisi riassumono questi studi. Un’analisi di quattro studi con 184 partecipanti ha trovato una riduzione dell’HbA1c di 0,92 punti percentuali, ma nessun effetto su glicemia a digiuno, insulino-resistenza o lipidi ematici (Peng 2020, PMID 31987255). Una meta-analisi bayesiana, che considerava insieme carnosina e beta-alanina, ha stimato per l’uomo una riduzione dell’HbA1c di 0,91 punti percentuali – sulla base di soli quattro studi sull’uomo (Matthews 2021, PMID 34333586). Una meta-analisi più recente con otto studi e 377 partecipanti con prediabete o diabete di tipo 2 ha trovato miglioramenti di glicemia a digiuno e HbA1c, ma non di insulina o peso corporeo (Li 2025, PMID 40999397).</w:t>
      </w:r>
    </w:p>
    <w:p>
      <w:pPr>
        <w:pStyle w:val="BodyText"/>
      </w:pPr>
      <w:r>
        <w:t xml:space="preserve">Gli effetti sembrano notevoli sulla carta, ma poggiano su una base molto ristretta: studi pochi, piccoli, brevi, spesso da singoli centri, con risultati in parte contraddittori (cfr. gli studi di 14 settimane impostati in modo simile di Hariharan 2024 e Saadati 2023, di cui uno ha trovato effetti favorevoli sulla glicemia, l’altro nessun effetto su vasi e valori metabolici). Se la carnosina prevenga a lungo termine le complicanze del diabete non è mai stato studiato.</w:t>
      </w:r>
    </w:p>
    <w:bookmarkEnd w:id="892"/>
    <w:bookmarkStart w:id="893" w:name="infiammazione-e-stress-ossidativo"/>
    <w:p>
      <w:pPr>
        <w:pStyle w:val="Heading4"/>
      </w:pPr>
      <w:r>
        <w:t xml:space="preserve">Infiammazione e stress ossidativo</w:t>
      </w:r>
    </w:p>
    <w:p>
      <w:pPr>
        <w:pStyle w:val="FirstParagraph"/>
      </w:pPr>
      <w:r>
        <w:t xml:space="preserve">Una meta-analisi di nove studi con 350 partecipanti ha trovato con la carnosina o i dipeptidi contenenti istidina valori più bassi del marcatore infiammatorio PCR e del marcatore di ossidazione malondialdeide, ma nessuna variazione di diversi altri marcatori (Saadati 2024, PMID 38086332). I valori di laboratorio sono però parametri surrogati – se si accompagnino a un beneficio per la salute è una questione aperta.</w:t>
      </w:r>
    </w:p>
    <w:bookmarkEnd w:id="893"/>
    <w:bookmarkStart w:id="894" w:name="cervello-memoria-e-psiche"/>
    <w:p>
      <w:pPr>
        <w:pStyle w:val="Heading4"/>
      </w:pPr>
      <w:r>
        <w:t xml:space="preserve">Cervello, memoria e psiche</w:t>
      </w:r>
    </w:p>
    <w:p>
      <w:pPr>
        <w:numPr>
          <w:ilvl w:val="0"/>
          <w:numId w:val="1302"/>
        </w:numPr>
        <w:pStyle w:val="Compact"/>
      </w:pPr>
      <w:r>
        <w:rPr>
          <w:bCs/>
          <w:b/>
        </w:rPr>
        <w:t xml:space="preserve">Persone anziane:</w:t>
      </w:r>
      <w:r>
        <w:t xml:space="preserve"> </w:t>
      </w:r>
      <w:r>
        <w:t xml:space="preserve">in studi giapponesi di un unico gruppo di lavoro gli anziani hanno ricevuto una miscela di anserina e carnosina (3:1). In 39 anziani sani la rievocazione differita di contenuti verbali si è mantenuta meglio che con il placebo (Hisatsune 2016, PMID 26682691). In 54 persone con lieve deterioramento cognitivo un indice globale di gravità della demenza era più favorevole con la miscela, la maggior parte degli altri test non differiva (Masuoka 2019, PMID 31319510).</w:t>
      </w:r>
    </w:p>
    <w:p>
      <w:pPr>
        <w:numPr>
          <w:ilvl w:val="0"/>
          <w:numId w:val="1302"/>
        </w:numPr>
        <w:pStyle w:val="Compact"/>
      </w:pPr>
      <w:r>
        <w:rPr>
          <w:bCs/>
          <w:b/>
        </w:rPr>
        <w:t xml:space="preserve">Adulti più giovani:</w:t>
      </w:r>
      <w:r>
        <w:t xml:space="preserve"> </w:t>
      </w:r>
      <w:r>
        <w:t xml:space="preserve">in un’analisi successiva dello studio NEAT velocità ed efficienza nei test cognitivi sono migliorate solo nella fascia di età più giovane (23–35 anni) (O’Toole 2025, PMID 39919936).</w:t>
      </w:r>
    </w:p>
    <w:p>
      <w:pPr>
        <w:numPr>
          <w:ilvl w:val="0"/>
          <w:numId w:val="1302"/>
        </w:numPr>
        <w:pStyle w:val="Compact"/>
      </w:pPr>
      <w:r>
        <w:rPr>
          <w:bCs/>
          <w:b/>
        </w:rPr>
        <w:t xml:space="preserve">Sintesi:</w:t>
      </w:r>
      <w:r>
        <w:t xml:space="preserve"> </w:t>
      </w:r>
      <w:r>
        <w:t xml:space="preserve">una meta-analisi del 2026 ha incluso 13 studi. La maggior parte dei test cognitivi non ha mostrato differenze rispetto al placebo; gli effetti aggregati favorevoli si basavano in parte su tre studi dello stesso gruppo di ricerca. Gli autori valutano bassa la forza delle prove (Hsiao 2026, PMID 42123986). Un’altra meta-analisi ha trovato una riduzione dei punteggi di depressione (affidabilità moderata), ma sottolinea studi piccoli con rischio di distorsione da moderato ad alto (Kabthymer 2025, PMID 38545720).</w:t>
      </w:r>
    </w:p>
    <w:p>
      <w:pPr>
        <w:numPr>
          <w:ilvl w:val="0"/>
          <w:numId w:val="1302"/>
        </w:numPr>
        <w:pStyle w:val="Compact"/>
      </w:pPr>
      <w:r>
        <w:rPr>
          <w:bCs/>
          <w:b/>
        </w:rPr>
        <w:t xml:space="preserve">Autismo:</w:t>
      </w:r>
      <w:r>
        <w:t xml:space="preserve"> </w:t>
      </w:r>
      <w:r>
        <w:t xml:space="preserve">uno studio iniziale con 31 bambini ha riportato miglioramenti in una scala comportamentale (Chez 2002, PMID 12585724). Uno studio randomizzato successivo con 63 bambini valutabili non ha invece trovato differenze in nessun endpoint (Abraham 2020, PMID 33170378).</w:t>
      </w:r>
    </w:p>
    <w:bookmarkEnd w:id="894"/>
    <w:bookmarkStart w:id="895" w:name="altri-impieghi-4"/>
    <w:p>
      <w:pPr>
        <w:pStyle w:val="Heading4"/>
      </w:pPr>
      <w:r>
        <w:t xml:space="preserve">Altri impieghi</w:t>
      </w:r>
    </w:p>
    <w:p>
      <w:pPr>
        <w:numPr>
          <w:ilvl w:val="0"/>
          <w:numId w:val="1303"/>
        </w:numPr>
        <w:pStyle w:val="Compact"/>
      </w:pPr>
      <w:r>
        <w:rPr>
          <w:bCs/>
          <w:b/>
        </w:rPr>
        <w:t xml:space="preserve">Danni nervosi da chemioterapia:</w:t>
      </w:r>
      <w:r>
        <w:t xml:space="preserve"> </w:t>
      </w:r>
      <w:r>
        <w:t xml:space="preserve">in uno studio pilota randomizzato con 65 pazienti con tumore del colon-retto, durante la chemioterapia con oxaliplatino più carnosina si sono verificati più raramente danni nervosi di secondo grado (1 su 30 contro 19 su 31 senza carnosina) (Yehia 2019, PMID 30592963). Lo studio non era in cieco e senza placebo; manca una conferma.</w:t>
      </w:r>
    </w:p>
    <w:p>
      <w:pPr>
        <w:numPr>
          <w:ilvl w:val="0"/>
          <w:numId w:val="1303"/>
        </w:numPr>
        <w:pStyle w:val="Compact"/>
      </w:pPr>
      <w:r>
        <w:rPr>
          <w:bCs/>
          <w:b/>
        </w:rPr>
        <w:t xml:space="preserve">Insufficienza cardiaca:</w:t>
      </w:r>
      <w:r>
        <w:t xml:space="preserve"> </w:t>
      </w:r>
      <w:r>
        <w:t xml:space="preserve">in 50 pazienti con grave insufficienza cardiaca distanza percorsa, consumo massimo di ossigeno e qualità della vita sono migliorati con la carnosina rispetto al trattamento standard (Lombardi 2015, PMID 25287762) – anche qui senza placebo.</w:t>
      </w:r>
    </w:p>
    <w:p>
      <w:pPr>
        <w:numPr>
          <w:ilvl w:val="0"/>
          <w:numId w:val="1303"/>
        </w:numPr>
        <w:pStyle w:val="Compact"/>
      </w:pPr>
      <w:r>
        <w:rPr>
          <w:bCs/>
          <w:b/>
        </w:rPr>
        <w:t xml:space="preserve">Sindrome della Guerra del Golfo:</w:t>
      </w:r>
      <w:r>
        <w:t xml:space="preserve"> </w:t>
      </w:r>
      <w:r>
        <w:t xml:space="preserve">in un piccolo studio con 25 veterani è migliorato un test cognitivo; stanchezza e dolore sono rimasti invariati (Baraniuk 2013, PMID 23618477).</w:t>
      </w:r>
    </w:p>
    <w:p>
      <w:pPr>
        <w:numPr>
          <w:ilvl w:val="0"/>
          <w:numId w:val="1303"/>
        </w:numPr>
        <w:pStyle w:val="Compact"/>
      </w:pPr>
      <w:r>
        <w:rPr>
          <w:bCs/>
          <w:b/>
        </w:rPr>
        <w:t xml:space="preserve">Pelle:</w:t>
      </w:r>
      <w:r>
        <w:t xml:space="preserve"> </w:t>
      </w:r>
      <w:r>
        <w:t xml:space="preserve">uno studio con una preparazione di carnosina «non idrolizzabile» ha riportato miglioramenti cutanei; proviene dall’inventore della formulazione brevettata e mescola esperimenti di laboratorio con una sperimentazione clinica (Babizhayev 2012, PMID 21756141).</w:t>
      </w:r>
    </w:p>
    <w:bookmarkEnd w:id="895"/>
    <w:bookmarkStart w:id="896" w:name="X91947e67ffdfb83ea3dd1b1f261e3d7a5cab5ce"/>
    <w:p>
      <w:pPr>
        <w:pStyle w:val="Heading4"/>
      </w:pPr>
      <w:r>
        <w:t xml:space="preserve">Sostanze affini: zinco-carnosina e N-acetilcarnosina</w:t>
      </w:r>
    </w:p>
    <w:p>
      <w:pPr>
        <w:pStyle w:val="FirstParagraph"/>
      </w:pPr>
      <w:r>
        <w:t xml:space="preserve">La</w:t>
      </w:r>
      <w:r>
        <w:t xml:space="preserve"> </w:t>
      </w:r>
      <w:r>
        <w:rPr>
          <w:bCs/>
          <w:b/>
        </w:rPr>
        <w:t xml:space="preserve">zinco-carnosina (polaprezinc)</w:t>
      </w:r>
      <w:r>
        <w:t xml:space="preserve"> </w:t>
      </w:r>
      <w:r>
        <w:t xml:space="preserve">è un composto di zinco e carnosina impiegato in Giappone come farmaco contro l’ulcera gastrica. In uno studio multicentrico con 224 pazienti è risultata dopo otto settimane efficace in modo simile al farmaco di confronto rebamipide (tasso di guarigione 81,5% contro 74,3%, differenza non significativa) (Shen 2022, PMID 35999163). Questo effetto è probabilmente legato in gran parte allo zinco e non può essere trasferito alla carnosina pura.</w:t>
      </w:r>
    </w:p>
    <w:p>
      <w:pPr>
        <w:pStyle w:val="BodyText"/>
      </w:pPr>
      <w:r>
        <w:t xml:space="preserve">I</w:t>
      </w:r>
      <w:r>
        <w:t xml:space="preserve"> </w:t>
      </w:r>
      <w:r>
        <w:rPr>
          <w:bCs/>
          <w:b/>
        </w:rPr>
        <w:t xml:space="preserve">colliri di N-acetilcarnosina</w:t>
      </w:r>
      <w:r>
        <w:t xml:space="preserve"> </w:t>
      </w:r>
      <w:r>
        <w:t xml:space="preserve">vengono pubblicizzati su internet contro la cataratta. Una revisione Cochrane ha trovato solo due possibili studi con 114 partecipanti, la cui metodologia non era ricostruibile, e ha concluso che non esistono prove convincenti che i colliri facciano regredire una cataratta o ne impediscano la progressione (Dubois 2017, PMID 28245346). L’unico trattamento efficace resta l’intervento chirurgico.</w:t>
      </w:r>
    </w:p>
    <w:bookmarkEnd w:id="896"/>
    <w:bookmarkEnd w:id="897"/>
    <w:bookmarkStart w:id="898" w:name="studi-su-animali-e-in-laboratorio-54"/>
    <w:p>
      <w:pPr>
        <w:pStyle w:val="Heading3"/>
      </w:pPr>
      <w:r>
        <w:t xml:space="preserve">Studi su animali e in laboratorio</w:t>
      </w:r>
    </w:p>
    <w:p>
      <w:pPr>
        <w:pStyle w:val="FirstParagraph"/>
      </w:pPr>
      <w:r>
        <w:t xml:space="preserve">In colture cellulari e nei roditori la carnosina agisce come antiossidante, inibisce la glicazione delle proteine e lega aldeidi reattive. In topi e ratti ha migliorato in molti esperimenti glicemia, danni renali nel diabete, guarigione delle ferite e funzione vascolare. La meta-analisi di Matthews 2021 ha incluso, oltre a quattro studi sull’uomo, 16 studi sui roditori e ha valutato molto bassa l’affidabilità dei dati animali (Matthews 2021, PMID 34333586).</w:t>
      </w:r>
    </w:p>
    <w:p>
      <w:pPr>
        <w:pStyle w:val="BodyText"/>
      </w:pPr>
      <w:r>
        <w:t xml:space="preserve">Resta un problema di fondo di trasferibilità: i roditori non possiedono praticamente carnosinasi nel sangue. Nei topi in cui è stato inserito con l’ingegneria genetica l’enzima umano, diabete e danni renali hanno avuto un decorso più grave (Qiu 2020, PMID 32803273). Questo suggerisce che nell’uomo l’enzima potrebbe limitare nettamente l’effetto della carnosina assunta.</w:t>
      </w:r>
    </w:p>
    <w:bookmarkEnd w:id="898"/>
    <w:bookmarkStart w:id="899" w:name="rischi-ed-effetti-collaterali-54"/>
    <w:p>
      <w:pPr>
        <w:pStyle w:val="Heading3"/>
      </w:pPr>
      <w:r>
        <w:t xml:space="preserve">Rischi ed effetti collaterali</w:t>
      </w:r>
    </w:p>
    <w:p>
      <w:pPr>
        <w:pStyle w:val="FirstParagraph"/>
      </w:pPr>
      <w:r>
        <w:rPr>
          <w:bCs/>
          <w:b/>
        </w:rPr>
        <w:t xml:space="preserve">Dimostrati:</w:t>
      </w:r>
      <w:r>
        <w:t xml:space="preserve"> </w:t>
      </w:r>
      <w:r>
        <w:t xml:space="preserve">negli studi finora condotti – con quantità giornaliere fino a 2 g per fino a 14 settimane – non sono stati riportati effetti collaterali rilevanti. Nello studio NEAT con quasi 300 partecipanti non sono state riscontrate variazioni della funzione renale, epatica e cardiaca o degli elettroliti (Baba 2024, PMID 39215872).</w:t>
      </w:r>
    </w:p>
    <w:p>
      <w:pPr>
        <w:pStyle w:val="BodyText"/>
      </w:pPr>
      <w:r>
        <w:rPr>
          <w:bCs/>
          <w:b/>
        </w:rPr>
        <w:t xml:space="preserve">Beta-alanina:</w:t>
      </w:r>
      <w:r>
        <w:t xml:space="preserve"> </w:t>
      </w:r>
      <w:r>
        <w:t xml:space="preserve">l’unico effetto collaterale riferito regolarmente è un formicolio della pelle innocuo ma sgradevole (parestesia), per lo più al viso e alle mani, poco dopo l’assunzione. Una valutazione del rischio con 101 studi sull’uomo ha stimato la probabilità (odds) di questo effetto con la beta-alanina circa nove volte superiore a quella con il placebo (odds ratio 8,9); i tassi di interruzione non differivano, e un lieve aumento di un valore epatico è rimasto entro la norma (Dolan 2019, PMID 30980076).</w:t>
      </w:r>
    </w:p>
    <w:p>
      <w:pPr>
        <w:pStyle w:val="BodyText"/>
      </w:pPr>
      <w:r>
        <w:rPr>
          <w:bCs/>
          <w:b/>
        </w:rPr>
        <w:t xml:space="preserve">Teorici o non chiari:</w:t>
      </w:r>
    </w:p>
    <w:p>
      <w:pPr>
        <w:numPr>
          <w:ilvl w:val="0"/>
          <w:numId w:val="1304"/>
        </w:numPr>
        <w:pStyle w:val="Compact"/>
      </w:pPr>
      <w:r>
        <w:t xml:space="preserve">Mancano dati a lungo termine oltre un anno.</w:t>
      </w:r>
    </w:p>
    <w:p>
      <w:pPr>
        <w:numPr>
          <w:ilvl w:val="0"/>
          <w:numId w:val="1304"/>
        </w:numPr>
        <w:pStyle w:val="Compact"/>
      </w:pPr>
      <w:r>
        <w:t xml:space="preserve">Per gravidanza, allattamento e bambini (a parte i piccoli studi citati) non esistono dati di sicurezza.</w:t>
      </w:r>
    </w:p>
    <w:p>
      <w:pPr>
        <w:numPr>
          <w:ilvl w:val="0"/>
          <w:numId w:val="1304"/>
        </w:numPr>
        <w:pStyle w:val="Compact"/>
      </w:pPr>
      <w:r>
        <w:t xml:space="preserve">Con i farmaci antidiabetici è ipotizzabile un potenziamento della riduzione glicemica, ma non dimostrato; controlli della glicemia e un consulto medico sono opportuni.</w:t>
      </w:r>
    </w:p>
    <w:p>
      <w:pPr>
        <w:numPr>
          <w:ilvl w:val="0"/>
          <w:numId w:val="1304"/>
        </w:numPr>
        <w:pStyle w:val="Compact"/>
      </w:pPr>
      <w:r>
        <w:t xml:space="preserve">Come per tutti gli integratori alimentari, la qualità dipende dal produttore.</w:t>
      </w:r>
    </w:p>
    <w:bookmarkEnd w:id="899"/>
    <w:bookmarkStart w:id="900" w:name="quadro-normativo-54"/>
    <w:p>
      <w:pPr>
        <w:pStyle w:val="Heading3"/>
      </w:pPr>
      <w:r>
        <w:t xml:space="preserve">Quadro normativo</w:t>
      </w:r>
    </w:p>
    <w:p>
      <w:pPr>
        <w:numPr>
          <w:ilvl w:val="0"/>
          <w:numId w:val="1305"/>
        </w:numPr>
        <w:pStyle w:val="Compact"/>
      </w:pPr>
      <w:r>
        <w:rPr>
          <w:bCs/>
          <w:b/>
        </w:rPr>
        <w:t xml:space="preserve">UE / Austria / Germania:</w:t>
      </w:r>
      <w:r>
        <w:t xml:space="preserve"> </w:t>
      </w:r>
      <w:r>
        <w:t xml:space="preserve">la carnosina è in commercio come integratore alimentare. Per la carnosina non esiste alcuna indicazione sulla salute autorizzata secondo il regolamento sulle indicazioni sulla salute (Regolamento (CE) n. 1924/2006); affermazioni pubblicitarie come «anti-aging» o «protegge le cellule» non sono quindi consentite. Se singole preparazioni debbano essere classificate come nuovi alimenti (novel food) può variare da prodotto a prodotto – da verificare. La zinco-carnosina non è approvata come farmaco nell’UE; per i colliri di N-acetilcarnosina non esiste un’autorizzazione come farmaco contro la cataratta.</w:t>
      </w:r>
    </w:p>
    <w:p>
      <w:pPr>
        <w:numPr>
          <w:ilvl w:val="0"/>
          <w:numId w:val="1305"/>
        </w:numPr>
        <w:pStyle w:val="Compact"/>
      </w:pPr>
      <w:r>
        <w:rPr>
          <w:bCs/>
          <w:b/>
        </w:rPr>
        <w:t xml:space="preserve">USA:</w:t>
      </w:r>
      <w:r>
        <w:t xml:space="preserve"> </w:t>
      </w:r>
      <w:r>
        <w:t xml:space="preserve">disponibile come integratore alimentare, senza autorizzazione come farmaco.</w:t>
      </w:r>
    </w:p>
    <w:p>
      <w:pPr>
        <w:numPr>
          <w:ilvl w:val="0"/>
          <w:numId w:val="1305"/>
        </w:numPr>
        <w:pStyle w:val="Compact"/>
      </w:pPr>
      <w:r>
        <w:rPr>
          <w:bCs/>
          <w:b/>
        </w:rPr>
        <w:t xml:space="preserve">Giappone:</w:t>
      </w:r>
      <w:r>
        <w:t xml:space="preserve"> </w:t>
      </w:r>
      <w:r>
        <w:t xml:space="preserve">il polaprezinc (zinco-carnosina) è un farmaco gastrico approvato.</w:t>
      </w:r>
    </w:p>
    <w:p>
      <w:pPr>
        <w:numPr>
          <w:ilvl w:val="0"/>
          <w:numId w:val="1305"/>
        </w:numPr>
        <w:pStyle w:val="Compact"/>
      </w:pPr>
      <w:r>
        <w:rPr>
          <w:bCs/>
          <w:b/>
        </w:rPr>
        <w:t xml:space="preserve">Sport:</w:t>
      </w:r>
      <w:r>
        <w:t xml:space="preserve"> </w:t>
      </w:r>
      <w:r>
        <w:t xml:space="preserve">né la carnosina né la beta-alanina figurano nell’elenco delle sostanze proibite della WADA (aggiornato al 2026, da verificare).</w:t>
      </w:r>
    </w:p>
    <w:bookmarkEnd w:id="900"/>
    <w:bookmarkStart w:id="901" w:name="studi-in-corso-e-prospettive-54"/>
    <w:p>
      <w:pPr>
        <w:pStyle w:val="Heading3"/>
      </w:pPr>
      <w:r>
        <w:t xml:space="preserve">Studi in corso e prospettive</w:t>
      </w:r>
    </w:p>
    <w:p>
      <w:pPr>
        <w:pStyle w:val="FirstParagraph"/>
      </w:pPr>
      <w:r>
        <w:rPr>
          <w:bCs/>
          <w:b/>
        </w:rPr>
        <w:t xml:space="preserve">Dati certi (studi registrati, situazione a ottobre 2026):</w:t>
      </w:r>
    </w:p>
    <w:p>
      <w:pPr>
        <w:numPr>
          <w:ilvl w:val="0"/>
          <w:numId w:val="1306"/>
        </w:numPr>
        <w:pStyle w:val="Compact"/>
      </w:pPr>
      <w:r>
        <w:rPr>
          <w:bCs/>
          <w:b/>
        </w:rPr>
        <w:t xml:space="preserve">Arteriopatia periferica:</w:t>
      </w:r>
      <w:r>
        <w:t xml:space="preserve"> </w:t>
      </w:r>
      <w:r>
        <w:t xml:space="preserve">uno studio di fase 1/2 con 144 partecipanti previsti esamina la carnosina nei disturbi circolatori delle gambe (NCT06480760); studi precedenti più piccoli sullo stesso tema sono conclusi o elencati con stato sconosciuto.</w:t>
      </w:r>
    </w:p>
    <w:p>
      <w:pPr>
        <w:numPr>
          <w:ilvl w:val="0"/>
          <w:numId w:val="1306"/>
        </w:numPr>
        <w:pStyle w:val="Compact"/>
      </w:pPr>
      <w:r>
        <w:rPr>
          <w:bCs/>
          <w:b/>
        </w:rPr>
        <w:t xml:space="preserve">Geroterapia:</w:t>
      </w:r>
      <w:r>
        <w:t xml:space="preserve"> </w:t>
      </w:r>
      <w:r>
        <w:t xml:space="preserve">un piccolo studio di fase 3 con 30 partecipanti valuta combinazioni di sostanze per migliorare la durata della vita in salute, tra cui la carnosina (NCT07475546).</w:t>
      </w:r>
    </w:p>
    <w:p>
      <w:pPr>
        <w:numPr>
          <w:ilvl w:val="0"/>
          <w:numId w:val="1306"/>
        </w:numPr>
        <w:pStyle w:val="Compact"/>
      </w:pPr>
      <w:r>
        <w:t xml:space="preserve">Lo studio NEAT (NCT03314987) è concluso; sono possibili ulteriori analisi su vasi e inquinamento atmosferico.</w:t>
      </w:r>
    </w:p>
    <w:p>
      <w:pPr>
        <w:pStyle w:val="FirstParagraph"/>
      </w:pPr>
      <w:r>
        <w:rPr>
          <w:bCs/>
          <w:b/>
        </w:rPr>
        <w:t xml:space="preserve">Valutazione:</w:t>
      </w:r>
      <w:r>
        <w:t xml:space="preserve"> </w:t>
      </w:r>
      <w:r>
        <w:t xml:space="preserve">la carnosina è biologicamente interessante, ma gli studi sull’uomo sono piccoli e disomogenei. Per lo sport il precursore beta-alanina è la via meglio documentata. Per diabete e invecchiamento cerebrale sarebbero necessari studi più ampi e più lunghi con endpoint clinici. Una linea di ricerca sono i derivati resistenti alla carnosinasi, che nel sangue non vengono degradati subito – si trovano però ancora allo stadio di laboratorio.</w:t>
      </w:r>
    </w:p>
    <w:bookmarkEnd w:id="901"/>
    <w:bookmarkStart w:id="902" w:name="conclusione-54"/>
    <w:p>
      <w:pPr>
        <w:pStyle w:val="Heading3"/>
      </w:pPr>
      <w:r>
        <w:t xml:space="preserve">Conclusione</w:t>
      </w:r>
    </w:p>
    <w:p>
      <w:pPr>
        <w:pStyle w:val="FirstParagraph"/>
      </w:pPr>
      <w:r>
        <w:t xml:space="preserve">La carnosina è un dipeptide endogeno che nel muscolo tampona l’acido e in laboratorio protegge le cellule dai prodotti della degradazione di zuccheri e grassi. Nell’uomo viene degradata rapidamente nel sangue dall’enzima carnosinasi, per cui i risultati sugli animali sono trasferibili solo in misura limitata. Piccoli studi e meta-analisi indicano un lieve miglioramento della glicemia a lungo termine nel diabete ed effetti sui marcatori infiammatori; per prestazioni, memoria e invecchiamento cutaneo i dati sono deboli o contraddittori. Per la prestazione sportiva il precursore beta-alanina è meglio studiato e associato a piccoli vantaggi negli sforzi brevi e intensi. Alle quantità studiate la carnosina è considerata ben tollerata.</w:t>
      </w:r>
    </w:p>
    <w:bookmarkEnd w:id="902"/>
    <w:bookmarkEnd w:id="903"/>
    <w:bookmarkStart w:id="913" w:name="ghk-cu-peptide-di-rame"/>
    <w:p>
      <w:pPr>
        <w:pStyle w:val="Heading2"/>
      </w:pPr>
      <w:r>
        <w:t xml:space="preserve">GHK-Cu (peptide di rame)</w:t>
      </w:r>
    </w:p>
    <w:bookmarkStart w:id="904" w:name="scheda-55"/>
    <w:p>
      <w:pPr>
        <w:pStyle w:val="Heading3"/>
      </w:pPr>
      <w:r>
        <w:t xml:space="preserve">Scheda</w:t>
      </w:r>
    </w:p>
    <w:p>
      <w:pPr>
        <w:numPr>
          <w:ilvl w:val="0"/>
          <w:numId w:val="1307"/>
        </w:numPr>
        <w:pStyle w:val="Compact"/>
      </w:pPr>
      <w:r>
        <w:rPr>
          <w:bCs/>
          <w:b/>
        </w:rPr>
        <w:t xml:space="preserve">Tipo/struttura:</w:t>
      </w:r>
      <w:r>
        <w:t xml:space="preserve"> </w:t>
      </w:r>
      <w:r>
        <w:t xml:space="preserve">tripeptide composto da glicina, istidina e lisina (Gly-His-Lys, in breve GHK), che lega saldamente uno ione rame. Negli elenchi degli ingredienti cosmetici è chiamato per lo più</w:t>
      </w:r>
      <w:r>
        <w:t xml:space="preserve"> </w:t>
      </w:r>
      <w:r>
        <w:rPr>
          <w:iCs/>
          <w:i/>
        </w:rPr>
        <w:t xml:space="preserve">Copper Tripeptide-1</w:t>
      </w:r>
      <w:r>
        <w:t xml:space="preserve">. Una forma affine senza rame, ma con un residuo di acido grasso, è il palmitoil tripeptide-1 (Pal-GHK), un componente di «Matrixyl 3000».</w:t>
      </w:r>
    </w:p>
    <w:p>
      <w:pPr>
        <w:numPr>
          <w:ilvl w:val="0"/>
          <w:numId w:val="1307"/>
        </w:numPr>
        <w:pStyle w:val="Compact"/>
      </w:pPr>
      <w:r>
        <w:rPr>
          <w:bCs/>
          <w:b/>
        </w:rPr>
        <w:t xml:space="preserve">Origine:</w:t>
      </w:r>
      <w:r>
        <w:t xml:space="preserve"> </w:t>
      </w:r>
      <w:r>
        <w:t xml:space="preserve">endogena. Il GHK fu scoperto negli anni Settanta nel plasma sanguigno umano (Pickart 1973, PMID 4349963) ed è presente anche in saliva e urine. La sequenza GHK fa parte del collagene e potrebbe essere liberata durante la sua degradazione. Per i prodotti viene ottenuto per sintesi.</w:t>
      </w:r>
    </w:p>
    <w:p>
      <w:pPr>
        <w:numPr>
          <w:ilvl w:val="0"/>
          <w:numId w:val="1307"/>
        </w:numPr>
        <w:pStyle w:val="Compact"/>
      </w:pPr>
      <w:r>
        <w:rPr>
          <w:bCs/>
          <w:b/>
        </w:rPr>
        <w:t xml:space="preserve">Principio d’azione:</w:t>
      </w:r>
      <w:r>
        <w:t xml:space="preserve"> </w:t>
      </w:r>
      <w:r>
        <w:t xml:space="preserve">dovrebbe stimolare la guarigione delle ferite e il rimodellamento del tessuto connettivo, tra l’altro attraverso il trasporto di rame nelle cellule e la stimolazione della produzione di collagene.</w:t>
      </w:r>
    </w:p>
    <w:p>
      <w:pPr>
        <w:numPr>
          <w:ilvl w:val="0"/>
          <w:numId w:val="1307"/>
        </w:numPr>
        <w:pStyle w:val="Compact"/>
      </w:pPr>
      <w:r>
        <w:rPr>
          <w:bCs/>
          <w:b/>
        </w:rPr>
        <w:t xml:space="preserve">Uso:</w:t>
      </w:r>
      <w:r>
        <w:t xml:space="preserve"> </w:t>
      </w:r>
      <w:r>
        <w:t xml:space="preserve">ammesso come ingrediente nei cosmetici (creme, sieri, prodotti per capelli). Offerto inoltre sul mercato grigio come «Research Peptide» per iniezione.</w:t>
      </w:r>
    </w:p>
    <w:p>
      <w:pPr>
        <w:numPr>
          <w:ilvl w:val="0"/>
          <w:numId w:val="1307"/>
        </w:numPr>
        <w:pStyle w:val="Compact"/>
      </w:pPr>
      <w:r>
        <w:rPr>
          <w:bCs/>
          <w:b/>
        </w:rPr>
        <w:t xml:space="preserve">Approvazione UE:</w:t>
      </w:r>
      <w:r>
        <w:t xml:space="preserve"> </w:t>
      </w:r>
      <w:r>
        <w:t xml:space="preserve">nessuna autorizzazione come farmaco. Utilizzabile come ingrediente cosmetico.</w:t>
      </w:r>
    </w:p>
    <w:p>
      <w:pPr>
        <w:numPr>
          <w:ilvl w:val="0"/>
          <w:numId w:val="1307"/>
        </w:numPr>
        <w:pStyle w:val="Compact"/>
      </w:pPr>
      <w:r>
        <w:rPr>
          <w:bCs/>
          <w:b/>
        </w:rPr>
        <w:t xml:space="preserve">Approvazione USA:</w:t>
      </w:r>
      <w:r>
        <w:t xml:space="preserve"> </w:t>
      </w:r>
      <w:r>
        <w:t xml:space="preserve">nessuna autorizzazione come farmaco; in commercio come ingrediente cosmetico. Per la preparazione in farmacia di formulazioni iniettabili esistono limitazioni (vedi quadro normativo).</w:t>
      </w:r>
    </w:p>
    <w:p>
      <w:pPr>
        <w:numPr>
          <w:ilvl w:val="0"/>
          <w:numId w:val="1307"/>
        </w:numPr>
        <w:pStyle w:val="Compact"/>
      </w:pPr>
      <w:r>
        <w:rPr>
          <w:bCs/>
          <w:b/>
        </w:rPr>
        <w:t xml:space="preserve">WADA:</w:t>
      </w:r>
      <w:r>
        <w:t xml:space="preserve"> </w:t>
      </w:r>
      <w:r>
        <w:t xml:space="preserve">non elencato per nome. In caso di iniezione, come principio attivo non approvato può rientrare nella categoria S0 («sostanze non approvate») (aggiornato al 2026, da verificare).</w:t>
      </w:r>
    </w:p>
    <w:p>
      <w:pPr>
        <w:numPr>
          <w:ilvl w:val="0"/>
          <w:numId w:val="1307"/>
        </w:numPr>
        <w:pStyle w:val="Compact"/>
      </w:pPr>
      <w:r>
        <w:rPr>
          <w:bCs/>
          <w:b/>
        </w:rPr>
        <w:t xml:space="preserve">Livello di evidenza:</w:t>
      </w:r>
      <w:r>
        <w:t xml:space="preserve"> </w:t>
      </w:r>
      <w:r>
        <w:rPr>
          <w:bCs/>
          <w:b/>
        </w:rPr>
        <w:t xml:space="preserve">C</w:t>
      </w:r>
      <w:r>
        <w:t xml:space="preserve"> </w:t>
      </w:r>
      <w:r>
        <w:t xml:space="preserve">– un vecchio studio randomizzato sulle ferite e pochi studi molto piccoli sulla pelle; per gli impieghi oggi pubblicizzati (cosmetica anti-aging, iniezioni) nessun dato solido controllato sull’uomo.</w:t>
      </w:r>
    </w:p>
    <w:bookmarkEnd w:id="904"/>
    <w:bookmarkStart w:id="906" w:name="come-dovrebbe-agire-55"/>
    <w:p>
      <w:pPr>
        <w:pStyle w:val="Heading3"/>
      </w:pPr>
      <w:r>
        <w:t xml:space="preserve">Come dovrebbe agire</w:t>
      </w:r>
    </w:p>
    <w:p>
      <w:pPr>
        <w:pStyle w:val="FirstParagraph"/>
      </w:pPr>
      <w:r>
        <w:t xml:space="preserve">Il GHK lega il rame così saldamente da poter trasportare questo oligoelemento vitale nelle cellule. Il rame è necessario a diversi enzimi importanti per il tessuto connettivo, per esempio la lisil ossidasi, che collega tra loro le fibre di collagene ed elastina. Un lavoro iniziale ipotizzò già nel 1980 che il GHK esercitasse il suo effetto sulle cellule facilitando l’assorbimento del rame (Pickart 1980, PMID 7453802).</w:t>
      </w:r>
    </w:p>
    <w:p>
      <w:pPr>
        <w:pStyle w:val="BodyText"/>
      </w:pPr>
      <w:r>
        <w:t xml:space="preserve">In colture cellulari il GHK-Cu ha stimolato la produzione di collagene dei fibroblasti già a concentrazioni estremamente basse; il massimo era a circa un nanomole per litro (Maquart 1988, PMID 3169264). Lo scopritore del GHK, Loren Pickart, ha descritto in diverse rassegne una moltitudine di ulteriori effetti – su guarigione delle ferite, crescita dei capelli, infiammazione, crescita nervosa e persino sull’attività di migliaia di geni (Pickart 2015, PMID 26236730; Pickart 2018, PMID 29986520). Queste affermazioni si basano prevalentemente su esperimenti cellulari e sugli animali e su dati di espressione genica tratti da banche dati, non su studi sull’uomo. Inoltre molte di queste rassegne provengono dall’ambiente delle persone che hanno sviluppato il GHK-Cu anche a livello commerciale – una circostanza che i lettori dovrebbero conoscere nella valutazione.</w:t>
      </w:r>
    </w:p>
    <w:bookmarkStart w:id="905" w:name="il-peptide-attraversa-la-pelle"/>
    <w:p>
      <w:pPr>
        <w:pStyle w:val="Heading4"/>
      </w:pPr>
      <w:r>
        <w:t xml:space="preserve">Il peptide attraversa la pelle?</w:t>
      </w:r>
    </w:p>
    <w:p>
      <w:pPr>
        <w:pStyle w:val="FirstParagraph"/>
      </w:pPr>
      <w:r>
        <w:t xml:space="preserve">Per l’uso cosmetico è decisivo se il GHK-Cu superi la barriera cutanea. Lo strato corneo della pelle è poco permeabile a molecole idrosolubili e cariche come il GHK. Una rassegna del 2025 conclude che negli esperimenti cellulari il GHK potrebbe senza dubbio essere considerato un principio attivo antirughe, ma che gli studi clinici sono sorprendentemente pochi; il legame con il rame e l’aggiunta di acidi grassi migliorano la permeabilità, e microaghi e altri ausili sono oggetto di ricerca (Mortazavi 2025, PMID 39963574). Un’indagine su tre volontari ha trovato l’affine Pal-GHK, dopo l’applicazione, in tutti gli strati dello strato corneo, però solo tra le cellule e in quantità decrescente in profondità (Trzaska 2026, PMID 42790608). Se quantità sufficienti raggiungano gli strati più profondi della pelle, in cui si forma il collagene, non è chiarito.</w:t>
      </w:r>
    </w:p>
    <w:bookmarkEnd w:id="905"/>
    <w:bookmarkEnd w:id="906"/>
    <w:bookmarkStart w:id="907" w:name="studi-sulluomo-55"/>
    <w:p>
      <w:pPr>
        <w:pStyle w:val="Heading3"/>
      </w:pPr>
      <w:r>
        <w:t xml:space="preserve">Studi sull’uomo</w:t>
      </w:r>
    </w:p>
    <w:p>
      <w:pPr>
        <w:pStyle w:val="FirstParagraph"/>
      </w:pPr>
      <w:r>
        <w:t xml:space="preserve">La ricerca in PubMed valutata per questo libro (GHK-Cu, tripeptide di rame o peptide di rame GHK nel titolo o nell’abstract, data della ricerca ottobre 2026) ha restituito</w:t>
      </w:r>
      <w:r>
        <w:t xml:space="preserve"> </w:t>
      </w:r>
      <w:r>
        <w:rPr>
          <w:bCs/>
          <w:b/>
        </w:rPr>
        <w:t xml:space="preserve">un solo</w:t>
      </w:r>
      <w:r>
        <w:t xml:space="preserve"> </w:t>
      </w:r>
      <w:r>
        <w:t xml:space="preserve">studio sull’uomo. Su ClinicalTrials.gov la ricerca ha dato 25 voci, che però riguardano quasi tutte altri composti del rame (per esempio il rame-64 radioattivo per l’imaging). Solo una voce credibile studia davvero GHK o GHK-Cu; un’altra voce su un gel per ferite al GHK-Cu proviene da uno sponsor le cui voci di registro, secondo la nostra verifica, sono evidentemente voci di esempio o di prova fittizie, e per questo non viene considerata qui. Una ricerca ampliata ha individuato in più il vecchio studio sulle ferite citato sotto e singoli casi clinici.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Mulder 1994, PMID 17147644</w:t>
            </w:r>
          </w:p>
        </w:tc>
        <w:tc>
          <w:tcPr/>
          <w:p>
            <w:pPr>
              <w:pStyle w:val="Compact"/>
              <w:jc w:val="left"/>
            </w:pPr>
            <w:r>
              <w:t xml:space="preserve">Persone con ulcere del piede diabetico, multicentrico, randomizzato, valutazione in cieco, gel di GHK-Cu vs. gel veicolo</w:t>
            </w:r>
          </w:p>
        </w:tc>
        <w:tc>
          <w:tcPr/>
          <w:p>
            <w:pPr>
              <w:pStyle w:val="Compact"/>
              <w:jc w:val="left"/>
            </w:pPr>
            <w:r>
              <w:t xml:space="preserve">n. d. nell’abstract</w:t>
            </w:r>
          </w:p>
        </w:tc>
        <w:tc>
          <w:tcPr/>
          <w:p>
            <w:pPr>
              <w:pStyle w:val="Compact"/>
              <w:jc w:val="left"/>
            </w:pPr>
            <w:r>
              <w:t xml:space="preserve">Riduzione mediana dell’area della ferita 98,5% vs. 60,8%; infezioni 7% vs. 34%</w:t>
            </w:r>
          </w:p>
        </w:tc>
      </w:tr>
      <w:tr>
        <w:tc>
          <w:tcPr/>
          <w:p>
            <w:pPr>
              <w:pStyle w:val="Compact"/>
              <w:jc w:val="left"/>
            </w:pPr>
            <w:r>
              <w:t xml:space="preserve">Miller 2006, PMID 16847171</w:t>
            </w:r>
          </w:p>
        </w:tc>
        <w:tc>
          <w:tcPr/>
          <w:p>
            <w:pPr>
              <w:pStyle w:val="Compact"/>
              <w:jc w:val="left"/>
            </w:pPr>
            <w:r>
              <w:t xml:space="preserve">Cura della pelle dopo trattamento laser CO₂, randomizzato, 13 valutabili</w:t>
            </w:r>
          </w:p>
        </w:tc>
        <w:tc>
          <w:tcPr/>
          <w:p>
            <w:pPr>
              <w:pStyle w:val="Compact"/>
              <w:jc w:val="left"/>
            </w:pPr>
            <w:r>
              <w:t xml:space="preserve">12 settimane</w:t>
            </w:r>
          </w:p>
        </w:tc>
        <w:tc>
          <w:tcPr/>
          <w:p>
            <w:pPr>
              <w:pStyle w:val="Compact"/>
              <w:jc w:val="left"/>
            </w:pPr>
            <w:r>
              <w:t xml:space="preserve">Nessuna differenza in arrossamento, rughe o qualità della pelle secondo misurazioni e valutazione in cieco; maggiore soddisfazione nel questionario</w:t>
            </w:r>
          </w:p>
        </w:tc>
      </w:tr>
      <w:tr>
        <w:tc>
          <w:tcPr/>
          <w:p>
            <w:pPr>
              <w:pStyle w:val="Compact"/>
              <w:jc w:val="left"/>
            </w:pPr>
            <w:r>
              <w:t xml:space="preserve">Byun 2016, PMID 27064823</w:t>
            </w:r>
          </w:p>
        </w:tc>
        <w:tc>
          <w:tcPr/>
          <w:p>
            <w:pPr>
              <w:pStyle w:val="Compact"/>
              <w:jc w:val="left"/>
            </w:pPr>
            <w:r>
              <w:t xml:space="preserve">1 uomo, miscela di GHK-Cu, acido ialuronico, estratto vegetale, acido tranexamico e beta-glucano con nebulizzatore</w:t>
            </w:r>
          </w:p>
        </w:tc>
        <w:tc>
          <w:tcPr/>
          <w:p>
            <w:pPr>
              <w:pStyle w:val="Compact"/>
              <w:jc w:val="left"/>
            </w:pPr>
            <w:r>
              <w:t xml:space="preserve">12 settimane</w:t>
            </w:r>
          </w:p>
        </w:tc>
        <w:tc>
          <w:tcPr/>
          <w:p>
            <w:pPr>
              <w:pStyle w:val="Compact"/>
              <w:jc w:val="left"/>
            </w:pPr>
            <w:r>
              <w:t xml:space="preserve">Meno rughe perioculari; più collagene nei campioni cutanei (caso singolo, prodotto combinato)</w:t>
            </w:r>
          </w:p>
        </w:tc>
      </w:tr>
    </w:tbl>
    <w:p>
      <w:pPr>
        <w:pStyle w:val="BodyText"/>
      </w:pPr>
      <w:r>
        <w:rPr>
          <w:bCs/>
          <w:b/>
        </w:rPr>
        <w:t xml:space="preserve">Lo studio sulle ferite del 1994</w:t>
      </w:r>
      <w:r>
        <w:t xml:space="preserve"> </w:t>
      </w:r>
      <w:r>
        <w:t xml:space="preserve">è l’unico studio controllato che abbia migliorato un endpoint clinicamente rilevante. Il preparato (sviluppato con il nome Iamin) non ha però ottenuto l’autorizzazione come farmaco. L’abstract non riporta né il numero di partecipanti né la durata dello studio; studi di conferma successivi non si trovano in PubMed.</w:t>
      </w:r>
    </w:p>
    <w:p>
      <w:pPr>
        <w:pStyle w:val="BodyText"/>
      </w:pPr>
      <w:r>
        <w:rPr>
          <w:bCs/>
          <w:b/>
        </w:rPr>
        <w:t xml:space="preserve">Lo studio laser del 2006</w:t>
      </w:r>
      <w:r>
        <w:t xml:space="preserve"> </w:t>
      </w:r>
      <w:r>
        <w:t xml:space="preserve">è l’unico studio randomizzato con un quesito cosmetico registrato in PubMed. Con soli 13 pazienti valutabili era troppo piccolo per riconoscere con certezza delle differenze – e oggettivamente non ne ha trovate.</w:t>
      </w:r>
    </w:p>
    <w:p>
      <w:pPr>
        <w:pStyle w:val="BodyText"/>
      </w:pPr>
      <w:r>
        <w:rPr>
          <w:bCs/>
          <w:b/>
        </w:rPr>
        <w:t xml:space="preserve">Studi cosmetici:</w:t>
      </w:r>
      <w:r>
        <w:t xml:space="preserve"> </w:t>
      </w:r>
      <w:r>
        <w:t xml:space="preserve">in manuali specialistici e materiali pubblicitari vengono citati studi secondo cui creme al GHK-Cu avrebbero migliorato rughe, densità ed elasticità della pelle. Questi sono usciti per lo più in riviste non indicizzate in PubMed oppure sono disponibili solo come contributi congressuali e rapporti dei produttori, e non è stato possibile verificarli nell’originale per questo libro. Una meta-analisi del 2026 sui peptidi orali e topici contro l’invecchiamento cutaneo ha rilevato che il beneficio sulle rughe era sostenuto soprattutto dai peptidi assunti</w:t>
      </w:r>
      <w:r>
        <w:t xml:space="preserve"> </w:t>
      </w:r>
      <w:r>
        <w:rPr>
          <w:iCs/>
          <w:i/>
        </w:rPr>
        <w:t xml:space="preserve">per via orale</w:t>
      </w:r>
      <w:r>
        <w:t xml:space="preserve">; l’abstract non riporta risultati specifici per il GHK-Cu (Nukaly 2026, PMID 41924746).</w:t>
      </w:r>
    </w:p>
    <w:p>
      <w:pPr>
        <w:pStyle w:val="BodyText"/>
      </w:pPr>
      <w:r>
        <w:rPr>
          <w:bCs/>
          <w:b/>
        </w:rPr>
        <w:t xml:space="preserve">Iniezioni:</w:t>
      </w:r>
      <w:r>
        <w:t xml:space="preserve"> </w:t>
      </w:r>
      <w:r>
        <w:t xml:space="preserve">per il GHK-Cu iniettato non esiste un solo studio controllato pubblicato sull’uomo. Una rassegna di ortopedia e medicina dello sport constata che per l’impiego nelle malattie dell’apparato locomotore non sono disponibili dati clinici e che dosaggio, frequenza e durata di un trattamento sono sconosciuti (Mayfield 2026, PMID 41476424). Un’altra rassegna sui peptidi non approvati in medicina dello sport conclude che mancano dati di sicurezza solidi sull’uomo e che esiste un potenziale di danno (Mendias 2026, PMID 41966639).</w:t>
      </w:r>
    </w:p>
    <w:bookmarkEnd w:id="907"/>
    <w:bookmarkStart w:id="908" w:name="studi-su-animali-e-in-laboratorio-55"/>
    <w:p>
      <w:pPr>
        <w:pStyle w:val="Heading3"/>
      </w:pPr>
      <w:r>
        <w:t xml:space="preserve">Studi su animali e in laboratorio</w:t>
      </w:r>
    </w:p>
    <w:p>
      <w:pPr>
        <w:pStyle w:val="FirstParagraph"/>
      </w:pPr>
      <w:r>
        <w:t xml:space="preserve">La letteratura preclinica è ampia:</w:t>
      </w:r>
    </w:p>
    <w:p>
      <w:pPr>
        <w:numPr>
          <w:ilvl w:val="0"/>
          <w:numId w:val="1308"/>
        </w:numPr>
        <w:pStyle w:val="Compact"/>
      </w:pPr>
      <w:r>
        <w:rPr>
          <w:bCs/>
          <w:b/>
        </w:rPr>
        <w:t xml:space="preserve">Coltura cellulare:</w:t>
      </w:r>
      <w:r>
        <w:t xml:space="preserve"> </w:t>
      </w:r>
      <w:r>
        <w:t xml:space="preserve">aumento della produzione di collagene nei fibroblasti (Maquart 1988, PMID 3169264); influenza sugli enzimi che costruiscono e degradano il tessuto connettivo.</w:t>
      </w:r>
    </w:p>
    <w:p>
      <w:pPr>
        <w:numPr>
          <w:ilvl w:val="0"/>
          <w:numId w:val="1308"/>
        </w:numPr>
        <w:pStyle w:val="Compact"/>
      </w:pPr>
      <w:r>
        <w:rPr>
          <w:bCs/>
          <w:b/>
        </w:rPr>
        <w:t xml:space="preserve">Guarigione delle ferite negli animali:</w:t>
      </w:r>
      <w:r>
        <w:t xml:space="preserve"> </w:t>
      </w:r>
      <w:r>
        <w:t xml:space="preserve">in ratti con ferite scarsamente irrorate l’area della ferita si è ridotta dopo 13 giorni del 64,5% con il gel di GHK-Cu, del 45,6% con il gel veicolo e del 28,2% senza trattamento (Canapp 2003, PMID 14648529). Nei topi liposomi contenenti GHK-Cu hanno favorito la neoformazione di vasi nella pelle ustionata e accorciato i tempi di guarigione (Wang 2017, PMID 28370978).</w:t>
      </w:r>
    </w:p>
    <w:p>
      <w:pPr>
        <w:numPr>
          <w:ilvl w:val="0"/>
          <w:numId w:val="1308"/>
        </w:numPr>
        <w:pStyle w:val="Compact"/>
      </w:pPr>
      <w:r>
        <w:rPr>
          <w:bCs/>
          <w:b/>
        </w:rPr>
        <w:t xml:space="preserve">Altri organi (negli animali):</w:t>
      </w:r>
      <w:r>
        <w:t xml:space="preserve"> </w:t>
      </w:r>
      <w:r>
        <w:t xml:space="preserve">nei topi il GHK-Cu, iniettato nella cavità addominale, ha attenuato una fibrosi polmonare indotta sperimentalmente (Ma 2020, PMID 31809714); altri studi sui topi descrivono effetti su danni polmonari, infiammazione intestinale e debolezza muscolare dopo fumo di sigaretta. Nei ratti ha migliorato la guarigione dopo ricostruzione del legamento crociato solo temporaneamente (Fu 2015, PMID 25731775).</w:t>
      </w:r>
    </w:p>
    <w:p>
      <w:pPr>
        <w:numPr>
          <w:ilvl w:val="0"/>
          <w:numId w:val="1308"/>
        </w:numPr>
        <w:pStyle w:val="Compact"/>
      </w:pPr>
      <w:r>
        <w:rPr>
          <w:bCs/>
          <w:b/>
        </w:rPr>
        <w:t xml:space="preserve">Cervello (nei topi):</w:t>
      </w:r>
      <w:r>
        <w:t xml:space="preserve"> </w:t>
      </w:r>
      <w:r>
        <w:t xml:space="preserve">una pubblicazione preliminare del 2026, non ancora sottoposta a revisione paritaria, ha descritto in topi anziani migliori prestazioni di apprendimento dopo otto settimane di somministrazione nasale, e dopo una breve somministrazione nella cavità addominale solo temporaneamente e solo nei maschi (Mazzola 2026, PMID 42245779).</w:t>
      </w:r>
    </w:p>
    <w:p>
      <w:pPr>
        <w:pStyle w:val="FirstParagraph"/>
      </w:pPr>
      <w:r>
        <w:t xml:space="preserve">Questi risultati mostrano un’attività biologica, ma non sono trasferibili senza riserve all’uomo – tanto meno a creme cosmetiche con una permeabilità cutanea non chiara.</w:t>
      </w:r>
    </w:p>
    <w:bookmarkEnd w:id="908"/>
    <w:bookmarkStart w:id="909" w:name="rischi-ed-effetti-collaterali-55"/>
    <w:p>
      <w:pPr>
        <w:pStyle w:val="Heading3"/>
      </w:pPr>
      <w:r>
        <w:t xml:space="preserve">Rischi ed effetti collaterali</w:t>
      </w:r>
    </w:p>
    <w:p>
      <w:pPr>
        <w:pStyle w:val="FirstParagraph"/>
      </w:pPr>
      <w:r>
        <w:rPr>
          <w:bCs/>
          <w:b/>
        </w:rPr>
        <w:t xml:space="preserve">Uso cosmetico (dimostrato o probabile):</w:t>
      </w:r>
      <w:r>
        <w:t xml:space="preserve"> </w:t>
      </w:r>
      <w:r>
        <w:t xml:space="preserve">il GHK-Cu viene usato da decenni nei cosmetici; nei pochi studi non sono stati riportati effetti collaterali rilevanti. Come per qualsiasi ingrediente cosmetico sono possibili irritazioni cutanee e allergie da contatto. I sieri contenenti rame possono essere chimicamente compatibili o meno con altri principi attivi (per esempio vitamina C o acidi) – è una questione di formulazione.</w:t>
      </w:r>
    </w:p>
    <w:p>
      <w:pPr>
        <w:pStyle w:val="BodyText"/>
      </w:pPr>
      <w:r>
        <w:rPr>
          <w:bCs/>
          <w:b/>
        </w:rPr>
        <w:t xml:space="preserve">Iniezione (teorici, ma da prendere sul serio):</w:t>
      </w:r>
    </w:p>
    <w:p>
      <w:pPr>
        <w:numPr>
          <w:ilvl w:val="0"/>
          <w:numId w:val="1309"/>
        </w:numPr>
        <w:pStyle w:val="Compact"/>
      </w:pPr>
      <w:r>
        <w:rPr>
          <w:bCs/>
          <w:b/>
        </w:rPr>
        <w:t xml:space="preserve">Nessun dato di sicurezza:</w:t>
      </w:r>
      <w:r>
        <w:t xml:space="preserve"> </w:t>
      </w:r>
      <w:r>
        <w:t xml:space="preserve">non esistono dati sistematici su tollerabilità, dosaggio o conseguenze a lungo termine nell’uomo.</w:t>
      </w:r>
    </w:p>
    <w:p>
      <w:pPr>
        <w:numPr>
          <w:ilvl w:val="0"/>
          <w:numId w:val="1309"/>
        </w:numPr>
        <w:pStyle w:val="Compact"/>
      </w:pPr>
      <w:r>
        <w:rPr>
          <w:bCs/>
          <w:b/>
        </w:rPr>
        <w:t xml:space="preserve">Effetti cellulari disomogenei:</w:t>
      </w:r>
      <w:r>
        <w:t xml:space="preserve"> </w:t>
      </w:r>
      <w:r>
        <w:t xml:space="preserve">già i primi lavori di laboratorio descrivevano che il GHK, a seconda del sistema cellulare, può favorire la crescita ma anche agire in modo tossico (Pickart 1980, PMID 7453802).</w:t>
      </w:r>
    </w:p>
    <w:p>
      <w:pPr>
        <w:numPr>
          <w:ilvl w:val="0"/>
          <w:numId w:val="1309"/>
        </w:numPr>
        <w:pStyle w:val="Compact"/>
      </w:pPr>
      <w:r>
        <w:rPr>
          <w:bCs/>
          <w:b/>
        </w:rPr>
        <w:t xml:space="preserve">Carico di rame:</w:t>
      </w:r>
      <w:r>
        <w:t xml:space="preserve"> </w:t>
      </w:r>
      <w:r>
        <w:t xml:space="preserve">il rame in quantità elevate è tossico. Quanto rame rimanga nel corpo con iniezioni ripetute non è stato studiato. Particolarmente a rischio sarebbero le persone con malattia di Wilson, una malattia congenita da accumulo di rame.</w:t>
      </w:r>
    </w:p>
    <w:p>
      <w:pPr>
        <w:numPr>
          <w:ilvl w:val="0"/>
          <w:numId w:val="1309"/>
        </w:numPr>
        <w:pStyle w:val="Compact"/>
      </w:pPr>
      <w:r>
        <w:rPr>
          <w:bCs/>
          <w:b/>
        </w:rPr>
        <w:t xml:space="preserve">Segnali di crescita:</w:t>
      </w:r>
      <w:r>
        <w:t xml:space="preserve"> </w:t>
      </w:r>
      <w:r>
        <w:t xml:space="preserve">negli esperimenti sugli animali il GHK-Cu favorisce la formazione di nuovi vasi sanguigni (angiogenesi). Se ciò rappresenti un rischio in presenza di tumori esistenti è sconosciuto (rischio teorico).</w:t>
      </w:r>
    </w:p>
    <w:p>
      <w:pPr>
        <w:numPr>
          <w:ilvl w:val="0"/>
          <w:numId w:val="1309"/>
        </w:numPr>
        <w:pStyle w:val="Compact"/>
      </w:pPr>
      <w:r>
        <w:rPr>
          <w:bCs/>
          <w:b/>
        </w:rPr>
        <w:t xml:space="preserve">Qualità del mercato grigio:</w:t>
      </w:r>
      <w:r>
        <w:t xml:space="preserve"> </w:t>
      </w:r>
      <w:r>
        <w:t xml:space="preserve">i «Research Peptides» vengono prodotti senza controllo di qualità farmaceutico. Sono possibili impurità, quantità errate o contaminazione batterica; le iniezioni di prodotti non sterili possono portare ad ascessi e infezioni. Una rassegna descrive questi rischi per i peptidi iniettabili di «biohacking» in generale (Moiz 2026, PMID 42757290). La Parte IV tratta il tema in dettaglio.</w:t>
      </w:r>
    </w:p>
    <w:bookmarkEnd w:id="909"/>
    <w:bookmarkStart w:id="910" w:name="quadro-normativo-55"/>
    <w:p>
      <w:pPr>
        <w:pStyle w:val="Heading3"/>
      </w:pPr>
      <w:r>
        <w:t xml:space="preserve">Quadro normativo</w:t>
      </w:r>
    </w:p>
    <w:p>
      <w:pPr>
        <w:numPr>
          <w:ilvl w:val="0"/>
          <w:numId w:val="1310"/>
        </w:numPr>
        <w:pStyle w:val="Compact"/>
      </w:pPr>
      <w:r>
        <w:rPr>
          <w:bCs/>
          <w:b/>
        </w:rPr>
        <w:t xml:space="preserve">UE / Austria / Germania:</w:t>
      </w:r>
      <w:r>
        <w:t xml:space="preserve"> </w:t>
      </w:r>
      <w:r>
        <w:t xml:space="preserve">il GHK-Cu (Copper Tripeptide-1) può essere usato come ingrediente nei cosmetici; si applica il regolamento UE sui prodotti cosmetici (Regolamento (CE) n. 1223/2009). I cosmetici possono essere destinati solo all’applicazione sulla pelle e sui suoi annessi e non possono rivendicare effetti farmacologici; le affermazioni pubblicitarie devono essere dimostrabili secondo il Regolamento (UE) n. 655/2013. Un GHK-Cu destinato all’iniezione non è un cosmetico, ma un farmaco non approvato. La sua vendita per uso umano non è consentita; etichette come «solo a scopo di ricerca» non cambiano nulla.</w:t>
      </w:r>
    </w:p>
    <w:p>
      <w:pPr>
        <w:numPr>
          <w:ilvl w:val="0"/>
          <w:numId w:val="1310"/>
        </w:numPr>
        <w:pStyle w:val="Compact"/>
      </w:pPr>
      <w:r>
        <w:rPr>
          <w:bCs/>
          <w:b/>
        </w:rPr>
        <w:t xml:space="preserve">USA:</w:t>
      </w:r>
      <w:r>
        <w:t xml:space="preserve"> </w:t>
      </w:r>
      <w:r>
        <w:t xml:space="preserve">ammesso nei cosmetici. Secondo le nostre informazioni, nel 2023 la FDA ha inserito il GHK-Cu per iniezione in un elenco di principi attivi per cui ravvisa gravi problemi di sicurezza nella preparazione in farmacia (compounding); la classificazione di diversi peptidi è stata da allora nuovamente discussa (aggiornato al 2026, da verificare).</w:t>
      </w:r>
    </w:p>
    <w:p>
      <w:pPr>
        <w:numPr>
          <w:ilvl w:val="0"/>
          <w:numId w:val="1310"/>
        </w:numPr>
        <w:pStyle w:val="Compact"/>
      </w:pPr>
      <w:r>
        <w:rPr>
          <w:bCs/>
          <w:b/>
        </w:rPr>
        <w:t xml:space="preserve">Sport:</w:t>
      </w:r>
      <w:r>
        <w:t xml:space="preserve"> </w:t>
      </w:r>
      <w:r>
        <w:t xml:space="preserve">il GHK-Cu non è elencato per nome nella lista WADA. Le creme cosmetiche sono considerate non problematiche. Il GHK-Cu iniettato, come sostanza non approvata, potrebbe rientrare nella categoria S0; in caso di dubbio gli atleti dovrebbero rivolgersi all’agenzia nazionale antidoping (aggiornato al 2026, da verificare).</w:t>
      </w:r>
    </w:p>
    <w:bookmarkEnd w:id="910"/>
    <w:bookmarkStart w:id="911" w:name="studi-in-corso-e-prospettive-55"/>
    <w:p>
      <w:pPr>
        <w:pStyle w:val="Heading3"/>
      </w:pPr>
      <w:r>
        <w:t xml:space="preserve">Studi in corso e prospettive</w:t>
      </w:r>
    </w:p>
    <w:p>
      <w:pPr>
        <w:pStyle w:val="FirstParagraph"/>
      </w:pPr>
      <w:r>
        <w:rPr>
          <w:bCs/>
          <w:b/>
        </w:rPr>
        <w:t xml:space="preserve">Dati certi (studi registrati, situazione a ottobre 2026):</w:t>
      </w:r>
    </w:p>
    <w:p>
      <w:pPr>
        <w:numPr>
          <w:ilvl w:val="0"/>
          <w:numId w:val="1311"/>
        </w:numPr>
        <w:pStyle w:val="Compact"/>
      </w:pPr>
      <w:r>
        <w:rPr>
          <w:bCs/>
          <w:b/>
        </w:rPr>
        <w:t xml:space="preserve">Cerotto:</w:t>
      </w:r>
      <w:r>
        <w:t xml:space="preserve"> </w:t>
      </w:r>
      <w:r>
        <w:t xml:space="preserve">uno studio con 100 persone sane previste dovrebbe esaminare se un cerotto (X39) modifichi i livelli ematici di GHK e GHK-Cu; inizio previsto nel 2027 (NCT07706361). Lo sponsor è un’azienda che commercializza il cerotto.</w:t>
      </w:r>
    </w:p>
    <w:p>
      <w:pPr>
        <w:pStyle w:val="FirstParagraph"/>
      </w:pPr>
      <w:r>
        <w:rPr>
          <w:bCs/>
          <w:b/>
        </w:rPr>
        <w:t xml:space="preserve">Valutazione:</w:t>
      </w:r>
      <w:r>
        <w:t xml:space="preserve"> </w:t>
      </w:r>
      <w:r>
        <w:t xml:space="preserve">al momento non si intravede uno studio serio e registrato su un endpoint clinicamente rilevante – per esempio la guarigione delle ferite, da cui provengono gli unici dati positivi controllati sull’uomo. Per l’uso cosmetico sarebbero necessari studi indipendenti, sufficientemente ampi e controllati con placebo con una crema senza altri principi attivi. Per le iniezioni non è in vista alcuno studio serio; l’interesse è alimentato soprattutto dai social media e dal mercato grigio.</w:t>
      </w:r>
    </w:p>
    <w:bookmarkEnd w:id="911"/>
    <w:bookmarkStart w:id="912" w:name="conclusione-55"/>
    <w:p>
      <w:pPr>
        <w:pStyle w:val="Heading3"/>
      </w:pPr>
      <w:r>
        <w:t xml:space="preserve">Conclusione</w:t>
      </w:r>
    </w:p>
    <w:p>
      <w:pPr>
        <w:pStyle w:val="FirstParagraph"/>
      </w:pPr>
      <w:r>
        <w:t xml:space="preserve">Il GHK-Cu è un peptide di rame endogeno che in laboratorio stimola la produzione di collagene e negli esperimenti sugli animali accelera la guarigione delle ferite. Nell’uomo esistono solo un vecchio studio randomizzato sulle ulcere del piede diabetico con esito positivo e un minuscolo studio cosmetico senza effetto misurabile. Se il GHK-Cu contenuto nelle creme penetri nella pelle in quantità sufficiente non è chiarito; le affermazioni pubblicitarie si basano soprattutto su dati di laboratorio e su studi dei produttori non verificati in modo indipendente. Come ingrediente cosmetico è legale ed è considerato ben tollerato. Le iniezioni di GHK-Cu del mercato grigio non sono né studiate né approvate e comportano rischi evitabili.</w:t>
      </w:r>
    </w:p>
    <w:bookmarkEnd w:id="912"/>
    <w:bookmarkEnd w:id="913"/>
    <w:bookmarkStart w:id="922" w:name="palmitoil-pentapeptide-4-matrixyl"/>
    <w:p>
      <w:pPr>
        <w:pStyle w:val="Heading2"/>
      </w:pPr>
      <w:r>
        <w:t xml:space="preserve">Palmitoil pentapeptide-4 (Matrixyl)</w:t>
      </w:r>
    </w:p>
    <w:bookmarkStart w:id="914" w:name="scheda-56"/>
    <w:p>
      <w:pPr>
        <w:pStyle w:val="Heading3"/>
      </w:pPr>
      <w:r>
        <w:t xml:space="preserve">Scheda</w:t>
      </w:r>
    </w:p>
    <w:p>
      <w:pPr>
        <w:numPr>
          <w:ilvl w:val="0"/>
          <w:numId w:val="1312"/>
        </w:numPr>
        <w:pStyle w:val="Compact"/>
      </w:pPr>
      <w:r>
        <w:rPr>
          <w:bCs/>
          <w:b/>
        </w:rPr>
        <w:t xml:space="preserve">Tipo/struttura:</w:t>
      </w:r>
      <w:r>
        <w:t xml:space="preserve"> </w:t>
      </w:r>
      <w:r>
        <w:t xml:space="preserve">pentapeptide composto da lisina, treonina, treonina, lisina e serina (KTTKS), a cui è legato un acido palmitico (un acido grasso con 16 atomi di carbonio). Sigla Pal-KTTKS; in passato indicato come palmitoil pentapeptide-3. Nome commerciale della materia prima: Matrixyl.</w:t>
      </w:r>
    </w:p>
    <w:p>
      <w:pPr>
        <w:numPr>
          <w:ilvl w:val="0"/>
          <w:numId w:val="1312"/>
        </w:numPr>
        <w:pStyle w:val="Compact"/>
      </w:pPr>
      <w:r>
        <w:rPr>
          <w:bCs/>
          <w:b/>
        </w:rPr>
        <w:t xml:space="preserve">Origine:</w:t>
      </w:r>
      <w:r>
        <w:t xml:space="preserve"> </w:t>
      </w:r>
      <w:r>
        <w:t xml:space="preserve">sintetica. La sequenza KTTKS deriva dalla molecola precursore del collagene di tipo I (procollagene). L’appendice di acido grasso dovrebbe migliorare la penetrazione nella pelle.</w:t>
      </w:r>
    </w:p>
    <w:p>
      <w:pPr>
        <w:numPr>
          <w:ilvl w:val="0"/>
          <w:numId w:val="1312"/>
        </w:numPr>
        <w:pStyle w:val="Compact"/>
      </w:pPr>
      <w:r>
        <w:rPr>
          <w:bCs/>
          <w:b/>
        </w:rPr>
        <w:t xml:space="preserve">Principio d’azione:</w:t>
      </w:r>
      <w:r>
        <w:t xml:space="preserve"> </w:t>
      </w:r>
      <w:r>
        <w:t xml:space="preserve">come «matrichina» – un frammento della matrice del tessuto connettivo con funzione di segnale – dovrebbe stimolare i fibroblasti della pelle a produrre collagene e altri componenti della matrice.</w:t>
      </w:r>
    </w:p>
    <w:p>
      <w:pPr>
        <w:numPr>
          <w:ilvl w:val="0"/>
          <w:numId w:val="1312"/>
        </w:numPr>
        <w:pStyle w:val="Compact"/>
      </w:pPr>
      <w:r>
        <w:rPr>
          <w:bCs/>
          <w:b/>
        </w:rPr>
        <w:t xml:space="preserve">Distinzione:</w:t>
      </w:r>
      <w:r>
        <w:t xml:space="preserve"> </w:t>
      </w:r>
      <w:r>
        <w:t xml:space="preserve">«Matrixyl 3000» è un prodotto diverso, una combinazione di palmitoil tripeptide-1 (Pal-GHK, vedi capitolo GHK-Cu) e palmitoil tetrapeptide-7.</w:t>
      </w:r>
    </w:p>
    <w:p>
      <w:pPr>
        <w:numPr>
          <w:ilvl w:val="0"/>
          <w:numId w:val="1312"/>
        </w:numPr>
        <w:pStyle w:val="Compact"/>
      </w:pPr>
      <w:r>
        <w:rPr>
          <w:bCs/>
          <w:b/>
        </w:rPr>
        <w:t xml:space="preserve">Approvazione UE:</w:t>
      </w:r>
      <w:r>
        <w:t xml:space="preserve"> </w:t>
      </w:r>
      <w:r>
        <w:t xml:space="preserve">non è un farmaco; ingrediente cosmetico.</w:t>
      </w:r>
    </w:p>
    <w:p>
      <w:pPr>
        <w:numPr>
          <w:ilvl w:val="0"/>
          <w:numId w:val="1312"/>
        </w:numPr>
        <w:pStyle w:val="Compact"/>
      </w:pPr>
      <w:r>
        <w:rPr>
          <w:bCs/>
          <w:b/>
        </w:rPr>
        <w:t xml:space="preserve">Approvazione USA:</w:t>
      </w:r>
      <w:r>
        <w:t xml:space="preserve"> </w:t>
      </w:r>
      <w:r>
        <w:t xml:space="preserve">non è un farmaco; ingrediente cosmetico.</w:t>
      </w:r>
    </w:p>
    <w:p>
      <w:pPr>
        <w:numPr>
          <w:ilvl w:val="0"/>
          <w:numId w:val="1312"/>
        </w:numPr>
        <w:pStyle w:val="Compact"/>
      </w:pPr>
      <w:r>
        <w:rPr>
          <w:bCs/>
          <w:b/>
        </w:rPr>
        <w:t xml:space="preserve">WADA:</w:t>
      </w:r>
      <w:r>
        <w:t xml:space="preserve"> </w:t>
      </w:r>
      <w:r>
        <w:t xml:space="preserve">non elencato; come componente cosmetico senza rilevanza per il diritto sportivo (aggiornato al 2026, da verificare).</w:t>
      </w:r>
    </w:p>
    <w:p>
      <w:pPr>
        <w:numPr>
          <w:ilvl w:val="0"/>
          <w:numId w:val="1312"/>
        </w:numPr>
        <w:pStyle w:val="Compact"/>
      </w:pPr>
      <w:r>
        <w:rPr>
          <w:bCs/>
          <w:b/>
        </w:rPr>
        <w:t xml:space="preserve">Livello di evidenza:</w:t>
      </w:r>
      <w:r>
        <w:t xml:space="preserve"> </w:t>
      </w:r>
      <w:r>
        <w:rPr>
          <w:bCs/>
          <w:b/>
        </w:rPr>
        <w:t xml:space="preserve">B</w:t>
      </w:r>
      <w:r>
        <w:t xml:space="preserve"> </w:t>
      </w:r>
      <w:r>
        <w:t xml:space="preserve">(debole) – uno studio randomizzato a metà viso più ampio del 2005 e uno studio randomizzato molto piccolo; nessuno studio di conferma indipendente.</w:t>
      </w:r>
    </w:p>
    <w:bookmarkEnd w:id="914"/>
    <w:bookmarkStart w:id="915" w:name="come-dovrebbe-agire-56"/>
    <w:p>
      <w:pPr>
        <w:pStyle w:val="Heading3"/>
      </w:pPr>
      <w:r>
        <w:t xml:space="preserve">Come dovrebbe agire</w:t>
      </w:r>
    </w:p>
    <w:p>
      <w:pPr>
        <w:pStyle w:val="FirstParagraph"/>
      </w:pPr>
      <w:r>
        <w:t xml:space="preserve">Quando il tessuto connettivo viene lesionato, alcuni enzimi scompongono il collagene e altri componenti della matrice in frammenti. Alcuni di questi frammenti agiscono come segnale: indicano alle cellule del tessuto connettivo che c’è bisogno di riparazione. Questi frammenti di segnale sono chiamati matrichine.</w:t>
      </w:r>
    </w:p>
    <w:p>
      <w:pPr>
        <w:pStyle w:val="BodyText"/>
      </w:pPr>
      <w:r>
        <w:t xml:space="preserve">Nel 1993 un gruppo di lavoro descrisse che il pentapeptide KTTKS – un piccolo pezzo dell’estremità del procollagene di tipo I – aumenta fortemente, in colture di fibroblasti, la produzione di collagene di tipo I e di tipo III e di fibronectina. KTTKS era la sequenza più piccola che provocava ancora questo effetto (Katayama 1993, PMID 8486721). L’industria cosmetica riprese l’idea: un peptide che segnala alla pelle un «bisogno di riparazione» potrebbe rilanciare la produzione di collagene che cala con l’età.</w:t>
      </w:r>
    </w:p>
    <w:p>
      <w:pPr>
        <w:pStyle w:val="BodyText"/>
      </w:pPr>
      <w:r>
        <w:t xml:space="preserve">Il KTTKS puro però penetra appena nella pelle. Legando un acido grasso (palmitoilazione) la molecola diventa più liposolubile. In coltura cellulare il Pal-KTTKS ha stimolato la produzione di collagene dei fibroblasti cutanei e corneali in funzione della concentrazione; l’effetto si manifestava vicino alla concentrazione a partire dalla quale le molecole si aggregano in nanostrutture a forma di nastro (Jones 2013, PMID 23320752).</w:t>
      </w:r>
    </w:p>
    <w:p>
      <w:pPr>
        <w:pStyle w:val="BodyText"/>
      </w:pPr>
      <w:r>
        <w:t xml:space="preserve">Resta aperta la questione di quanto Pal-KTTKS contenuto in una crema raggiunga effettivamente il derma, dove si trovano i fibroblasti. Per l’affine Pal-GHK un’indagine su volontari ha mostrato che dopo l’applicazione si distribuisce solo tra le cellule dello strato corneo e diminuisce con la profondità (Trzaska 2026, PMID 42790608). Per il Pal-KTTKS stesso mancano nella letteratura valutata misurazioni comparabili nell’uomo.</w:t>
      </w:r>
    </w:p>
    <w:bookmarkEnd w:id="915"/>
    <w:bookmarkStart w:id="916" w:name="studi-sulluomo-56"/>
    <w:p>
      <w:pPr>
        <w:pStyle w:val="Heading3"/>
      </w:pPr>
      <w:r>
        <w:t xml:space="preserve">Studi sull’uomo</w:t>
      </w:r>
    </w:p>
    <w:p>
      <w:pPr>
        <w:pStyle w:val="FirstParagraph"/>
      </w:pPr>
      <w:r>
        <w:t xml:space="preserve">La ricerca in PubMed valutata per questo libro (palmitoil pentapeptide o Matrixyl nel titolo o nell’abstract, data della ricerca ottobre 2026) ha restituito</w:t>
      </w:r>
      <w:r>
        <w:t xml:space="preserve"> </w:t>
      </w:r>
      <w:r>
        <w:rPr>
          <w:bCs/>
          <w:b/>
        </w:rPr>
        <w:t xml:space="preserve">un solo</w:t>
      </w:r>
      <w:r>
        <w:t xml:space="preserve"> </w:t>
      </w:r>
      <w:r>
        <w:t xml:space="preserve">lavoro classificato come studio sull’uomo; su ClinicalTrials.gov non è registrata alcuna voce. All’esame manuale sono emersi altri due studi controllati e studi con prodotti combinati.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Robinson 2005, PMID 18492182</w:t>
            </w:r>
          </w:p>
        </w:tc>
        <w:tc>
          <w:tcPr/>
          <w:p>
            <w:pPr>
              <w:pStyle w:val="Compact"/>
              <w:jc w:val="left"/>
            </w:pPr>
            <w:r>
              <w:t xml:space="preserve">93 donne di carnagione chiara (35–55 anni), crema idratante con Pal-KTTKS su una metà del viso vs. la stessa crema senza principio attivo sull’altra, in doppio cieco</w:t>
            </w:r>
          </w:p>
        </w:tc>
        <w:tc>
          <w:tcPr/>
          <w:p>
            <w:pPr>
              <w:pStyle w:val="Compact"/>
              <w:jc w:val="left"/>
            </w:pPr>
            <w:r>
              <w:t xml:space="preserve">12 settimane</w:t>
            </w:r>
          </w:p>
        </w:tc>
        <w:tc>
          <w:tcPr/>
          <w:p>
            <w:pPr>
              <w:pStyle w:val="Compact"/>
              <w:jc w:val="left"/>
            </w:pPr>
            <w:r>
              <w:t xml:space="preserve">Riduzione significativa di rughe e linee sottili rispetto al lato di controllo, misurata con analisi d’immagine e da esperti; ben tollerata</w:t>
            </w:r>
          </w:p>
        </w:tc>
      </w:tr>
      <w:tr>
        <w:tc>
          <w:tcPr/>
          <w:p>
            <w:pPr>
              <w:pStyle w:val="Compact"/>
              <w:jc w:val="left"/>
            </w:pPr>
            <w:r>
              <w:t xml:space="preserve">Aruan 2023, PMID 36909866</w:t>
            </w:r>
          </w:p>
        </w:tc>
        <w:tc>
          <w:tcPr/>
          <w:p>
            <w:pPr>
              <w:pStyle w:val="Compact"/>
              <w:jc w:val="left"/>
            </w:pPr>
            <w:r>
              <w:t xml:space="preserve">21 donne indonesiane (26–55 anni), crema con palmitoil pentapeptide-4 vs. acetil esapeptide-3 vs. placebo, in doppio cieco</w:t>
            </w:r>
          </w:p>
        </w:tc>
        <w:tc>
          <w:tcPr/>
          <w:p>
            <w:pPr>
              <w:pStyle w:val="Compact"/>
              <w:jc w:val="left"/>
            </w:pPr>
            <w:r>
              <w:t xml:space="preserve">8 settimane</w:t>
            </w:r>
          </w:p>
        </w:tc>
        <w:tc>
          <w:tcPr/>
          <w:p>
            <w:pPr>
              <w:pStyle w:val="Compact"/>
              <w:jc w:val="left"/>
            </w:pPr>
            <w:r>
              <w:t xml:space="preserve">Miglioramenti «in alcune partecipanti»; il palmitoil pentapeptide-4 ha avuto risultati migliori dei gruppi di confronto; nessuna dimensione dell’effetto solida nell’abstract</w:t>
            </w:r>
          </w:p>
        </w:tc>
      </w:tr>
      <w:tr>
        <w:tc>
          <w:tcPr/>
          <w:p>
            <w:pPr>
              <w:pStyle w:val="Compact"/>
              <w:jc w:val="left"/>
            </w:pPr>
            <w:r>
              <w:t xml:space="preserve">Röper 2004, PMID 15127162</w:t>
            </w:r>
          </w:p>
        </w:tc>
        <w:tc>
          <w:tcPr/>
          <w:p>
            <w:pPr>
              <w:pStyle w:val="Compact"/>
              <w:jc w:val="left"/>
            </w:pPr>
            <w:r>
              <w:t xml:space="preserve">20 donne con tumore al seno in radioterapia, crema con Matrixyl e altri principi attivi vs. lozione al dexpantenolo</w:t>
            </w:r>
          </w:p>
        </w:tc>
        <w:tc>
          <w:tcPr/>
          <w:p>
            <w:pPr>
              <w:pStyle w:val="Compact"/>
              <w:jc w:val="left"/>
            </w:pPr>
            <w:r>
              <w:t xml:space="preserve">durata della terapia</w:t>
            </w:r>
          </w:p>
        </w:tc>
        <w:tc>
          <w:tcPr/>
          <w:p>
            <w:pPr>
              <w:pStyle w:val="Compact"/>
              <w:jc w:val="left"/>
            </w:pPr>
            <w:r>
              <w:t xml:space="preserve">Nessun vantaggio sulle reazioni cutanee; prurito più frequente, un sospetto di reazione allergica solo nel gruppo Matrixyl</w:t>
            </w:r>
          </w:p>
        </w:tc>
      </w:tr>
    </w:tbl>
    <w:p>
      <w:pPr>
        <w:pStyle w:val="BodyText"/>
      </w:pPr>
      <w:r>
        <w:rPr>
          <w:bCs/>
          <w:b/>
        </w:rPr>
        <w:t xml:space="preserve">Robinson 2005</w:t>
      </w:r>
      <w:r>
        <w:t xml:space="preserve"> </w:t>
      </w:r>
      <w:r>
        <w:t xml:space="preserve">è lo studio centrale. Il disegno a metà viso è intelligente, perché ogni partecipante è il proprio controllo. La concentrazione nel prodotto era di 3 ppm (parti per milione). Limiti: l’abstract non riporta dimensioni dell’effetto; lo studio è stato pubblicato in una rivista di cosmetologia e da allora non è stato ripetuto da parti indipendenti. Sono state studiate esclusivamente donne di carnagione chiara con pelle fotoinvecchiata; se i risultati siano trasferibili ad altri tipi di pelle è una questione aperta.</w:t>
      </w:r>
    </w:p>
    <w:p>
      <w:pPr>
        <w:pStyle w:val="BodyText"/>
      </w:pPr>
      <w:r>
        <w:rPr>
          <w:bCs/>
          <w:b/>
        </w:rPr>
        <w:t xml:space="preserve">Aruan 2023</w:t>
      </w:r>
      <w:r>
        <w:t xml:space="preserve">, con 21 partecipanti in tre gruppi, era troppo piccolo per affermazioni affidabili; gli autori stessi lo definiscono un punto di partenza per studi più ampi.</w:t>
      </w:r>
    </w:p>
    <w:p>
      <w:pPr>
        <w:pStyle w:val="BodyText"/>
      </w:pPr>
      <w:r>
        <w:rPr>
          <w:bCs/>
          <w:b/>
        </w:rPr>
        <w:t xml:space="preserve">Röper 2004</w:t>
      </w:r>
      <w:r>
        <w:t xml:space="preserve"> </w:t>
      </w:r>
      <w:r>
        <w:t xml:space="preserve">ha valutato un prodotto combinato in un contesto medico e non ha trovato alcun beneficio.</w:t>
      </w:r>
    </w:p>
    <w:p>
      <w:pPr>
        <w:pStyle w:val="BodyText"/>
      </w:pPr>
      <w:r>
        <w:rPr>
          <w:bCs/>
          <w:b/>
        </w:rPr>
        <w:t xml:space="preserve">Prodotti combinati:</w:t>
      </w:r>
      <w:r>
        <w:t xml:space="preserve"> </w:t>
      </w:r>
      <w:r>
        <w:t xml:space="preserve">in due studi a metà viso con 42 e 35 donne, prodotti per la cura della pelle che contenevano Pal-KTTKS insieme a niacinamide, un altro peptide, carnosina e in parte retinil propionato hanno migliorato la levigatezza della pelle intorno agli occhi rispetto alla pelle non trattata (Kaczvinsky 2009, PMID 19735523). Poiché sono stati testati contemporaneamente più principi attivi e il confronto era con «nessun trattamento», l’effetto non può essere attribuito al peptide.</w:t>
      </w:r>
    </w:p>
    <w:p>
      <w:pPr>
        <w:pStyle w:val="BodyText"/>
      </w:pPr>
      <w:r>
        <w:rPr>
          <w:bCs/>
          <w:b/>
        </w:rPr>
        <w:t xml:space="preserve">Meta-analisi:</w:t>
      </w:r>
      <w:r>
        <w:t xml:space="preserve"> </w:t>
      </w:r>
      <w:r>
        <w:t xml:space="preserve">una meta-analisi sui peptidi orali e topici contro l’invecchiamento cutaneo (19 studi, 1.341 partecipanti) ha trovato un modesto effetto complessivo sulle rughe, sostenuto soprattutto dai peptidi assunti per via orale (Nukaly 2026, PMID 41924746). Per i peptidi applicati sulla pelle come il Pal-KTTKS non ne deriva una prova propria.</w:t>
      </w:r>
    </w:p>
    <w:bookmarkEnd w:id="916"/>
    <w:bookmarkStart w:id="917" w:name="studi-su-animali-e-in-laboratorio-56"/>
    <w:p>
      <w:pPr>
        <w:pStyle w:val="Heading3"/>
      </w:pPr>
      <w:r>
        <w:t xml:space="preserve">Studi su animali e in laboratorio</w:t>
      </w:r>
    </w:p>
    <w:p>
      <w:pPr>
        <w:numPr>
          <w:ilvl w:val="0"/>
          <w:numId w:val="1313"/>
        </w:numPr>
        <w:pStyle w:val="Compact"/>
      </w:pPr>
      <w:r>
        <w:rPr>
          <w:bCs/>
          <w:b/>
        </w:rPr>
        <w:t xml:space="preserve">Coltura cellulare:</w:t>
      </w:r>
      <w:r>
        <w:t xml:space="preserve"> </w:t>
      </w:r>
      <w:r>
        <w:t xml:space="preserve">KTTKS e Pal-KTTKS aumentano la produzione di collagene e fibronectina nei fibroblasti (Katayama 1993, PMID 8486721; Jones 2013, PMID 23320752). In un altro studio cellulare il Pal-KTTKS a bassa concentrazione ha ridotto la trasformazione dei fibroblasti in miofibroblasti che formano cicatrici; a concentrazione più alta l’effetto non era significativo (Park 2017, PMID 30603464).</w:t>
      </w:r>
    </w:p>
    <w:p>
      <w:pPr>
        <w:numPr>
          <w:ilvl w:val="0"/>
          <w:numId w:val="1313"/>
        </w:numPr>
        <w:pStyle w:val="Compact"/>
      </w:pPr>
      <w:r>
        <w:rPr>
          <w:bCs/>
          <w:b/>
        </w:rPr>
        <w:t xml:space="preserve">Esperimenti sugli animali:</w:t>
      </w:r>
      <w:r>
        <w:t xml:space="preserve"> </w:t>
      </w:r>
      <w:r>
        <w:t xml:space="preserve">negli animali da laboratorio cerotti e creme con Matrixyl hanno migliorato la guarigione di ferite cutanee rispetto ai controlli non trattati (Kachooeian 2022, PMID 35874243).</w:t>
      </w:r>
    </w:p>
    <w:p>
      <w:pPr>
        <w:numPr>
          <w:ilvl w:val="0"/>
          <w:numId w:val="1313"/>
        </w:numPr>
        <w:pStyle w:val="Compact"/>
      </w:pPr>
      <w:r>
        <w:rPr>
          <w:bCs/>
          <w:b/>
        </w:rPr>
        <w:t xml:space="preserve">Nuove varianti:</w:t>
      </w:r>
      <w:r>
        <w:t xml:space="preserve"> </w:t>
      </w:r>
      <w:r>
        <w:t xml:space="preserve">alcuni gruppi di ricerca legano il KTTKS ad altre molecole per ottenere varianti antibatteriche o con una maggiore stimolazione del collagene – finora esclusivamente in laboratorio.</w:t>
      </w:r>
    </w:p>
    <w:bookmarkEnd w:id="917"/>
    <w:bookmarkStart w:id="918" w:name="rischi-ed-effetti-collaterali-56"/>
    <w:p>
      <w:pPr>
        <w:pStyle w:val="Heading3"/>
      </w:pPr>
      <w:r>
        <w:t xml:space="preserve">Rischi ed effetti collaterali</w:t>
      </w:r>
    </w:p>
    <w:p>
      <w:pPr>
        <w:pStyle w:val="FirstParagraph"/>
      </w:pPr>
      <w:r>
        <w:rPr>
          <w:bCs/>
          <w:b/>
        </w:rPr>
        <w:t xml:space="preserve">Dimostrati:</w:t>
      </w:r>
      <w:r>
        <w:t xml:space="preserve"> </w:t>
      </w:r>
      <w:r>
        <w:t xml:space="preserve">nello studio di Robinson il peptide è stato ben tollerato. Nello studio sulla radioterapia il prurito si è verificato più spesso con il prodotto combinato contenente Matrixyl, e un sospetto di reazione allergica solo con questo prodotto (Röper 2004, PMID 15127162); quale componente ne fosse responsabile non è chiaro.</w:t>
      </w:r>
    </w:p>
    <w:p>
      <w:pPr>
        <w:pStyle w:val="BodyText"/>
      </w:pPr>
      <w:r>
        <w:rPr>
          <w:bCs/>
          <w:b/>
        </w:rPr>
        <w:t xml:space="preserve">In generale:</w:t>
      </w:r>
      <w:r>
        <w:t xml:space="preserve"> </w:t>
      </w:r>
      <w:r>
        <w:t xml:space="preserve">come per qualsiasi componente cosmetico sono possibili irritazioni e allergie da contatto, che però sembrano rare. Un lavoro dell’industria cosmetica, che ha esaminato i peptidi con strumenti bioinformatici per il potenziale tossico e allergenico, ha trovato per il palmitoil pentapeptide-4 somiglianze con proteine del tessuto connettivo della pelle, ma nessun indizio di strutture tossiche o allergeniche (Bjerke 2026, PMID 41953401). Analisi al computer di questo tipo non sostituiscono l’osservazione clinica.</w:t>
      </w:r>
    </w:p>
    <w:p>
      <w:pPr>
        <w:pStyle w:val="BodyText"/>
      </w:pPr>
      <w:r>
        <w:rPr>
          <w:bCs/>
          <w:b/>
        </w:rPr>
        <w:t xml:space="preserve">Teorici:</w:t>
      </w:r>
      <w:r>
        <w:t xml:space="preserve"> </w:t>
      </w:r>
      <w:r>
        <w:t xml:space="preserve">una sostanza segnale che stimoli davvero i fibroblasti a produrre collagene potrebbe essere indesiderata in caso di tendenza alle cicatrici ipertrofiche. Non ci sono casi clinici in merito; la scarsa permeabilità cutanea depone contro un effetto rilevante.</w:t>
      </w:r>
    </w:p>
    <w:bookmarkEnd w:id="918"/>
    <w:bookmarkStart w:id="919" w:name="quadro-normativo-56"/>
    <w:p>
      <w:pPr>
        <w:pStyle w:val="Heading3"/>
      </w:pPr>
      <w:r>
        <w:t xml:space="preserve">Quadro normativo</w:t>
      </w:r>
    </w:p>
    <w:p>
      <w:pPr>
        <w:numPr>
          <w:ilvl w:val="0"/>
          <w:numId w:val="1314"/>
        </w:numPr>
        <w:pStyle w:val="Compact"/>
      </w:pPr>
      <w:r>
        <w:rPr>
          <w:bCs/>
          <w:b/>
        </w:rPr>
        <w:t xml:space="preserve">UE / Austria / Germania:</w:t>
      </w:r>
      <w:r>
        <w:t xml:space="preserve"> </w:t>
      </w:r>
      <w:r>
        <w:t xml:space="preserve">il palmitoil pentapeptide-4 è un ingrediente cosmetico ammesso secondo il regolamento UE sui prodotti cosmetici (Regolamento (CE) n. 1223/2009). I cosmetici non vengono verificati dalle autorità per l’efficacia prima della vendita; il produttore deve redigere una valutazione della sicurezza e poter dimostrare le affermazioni pubblicitarie secondo il Regolamento (UE) n. 655/2013. Affermazioni come «agisce come un filler per le rughe» o «ricostruisce il collagene» sono quindi giuridicamente delicate, se non sono coperte da studi sul prodotto.</w:t>
      </w:r>
    </w:p>
    <w:p>
      <w:pPr>
        <w:numPr>
          <w:ilvl w:val="0"/>
          <w:numId w:val="1314"/>
        </w:numPr>
        <w:pStyle w:val="Compact"/>
      </w:pPr>
      <w:r>
        <w:rPr>
          <w:bCs/>
          <w:b/>
        </w:rPr>
        <w:t xml:space="preserve">USA:</w:t>
      </w:r>
      <w:r>
        <w:t xml:space="preserve"> </w:t>
      </w:r>
      <w:r>
        <w:t xml:space="preserve">ingrediente cosmetico senza verifica preventiva da parte della FDA. Le affermazioni pubblicitarie che promettono una modifica della struttura cutanea possono trasformare giuridicamente un prodotto in un farmaco.</w:t>
      </w:r>
    </w:p>
    <w:p>
      <w:pPr>
        <w:numPr>
          <w:ilvl w:val="0"/>
          <w:numId w:val="1314"/>
        </w:numPr>
        <w:pStyle w:val="Compact"/>
      </w:pPr>
      <w:r>
        <w:rPr>
          <w:bCs/>
          <w:b/>
        </w:rPr>
        <w:t xml:space="preserve">Sport:</w:t>
      </w:r>
      <w:r>
        <w:t xml:space="preserve"> </w:t>
      </w:r>
      <w:r>
        <w:t xml:space="preserve">senza rilevanza (aggiornato al 2026, da verificare).</w:t>
      </w:r>
    </w:p>
    <w:bookmarkEnd w:id="919"/>
    <w:bookmarkStart w:id="920" w:name="studi-in-corso-e-prospettive-56"/>
    <w:p>
      <w:pPr>
        <w:pStyle w:val="Heading3"/>
      </w:pPr>
      <w:r>
        <w:t xml:space="preserve">Studi in corso e prospettive</w:t>
      </w:r>
    </w:p>
    <w:p>
      <w:pPr>
        <w:pStyle w:val="FirstParagraph"/>
      </w:pPr>
      <w:r>
        <w:rPr>
          <w:bCs/>
          <w:b/>
        </w:rPr>
        <w:t xml:space="preserve">Dati certi:</w:t>
      </w:r>
      <w:r>
        <w:t xml:space="preserve"> </w:t>
      </w:r>
      <w:r>
        <w:t xml:space="preserve">su ClinicalTrials.gov non è registrato alcuno studio con «palmitoyl pentapeptide» (situazione a ottobre 2026). Gli studi di efficacia cosmetica di regola non vengono registrati, ma commissionati dai produttori e pubblicati solo in parte.</w:t>
      </w:r>
    </w:p>
    <w:p>
      <w:pPr>
        <w:pStyle w:val="BodyText"/>
      </w:pPr>
      <w:r>
        <w:rPr>
          <w:bCs/>
          <w:b/>
        </w:rPr>
        <w:t xml:space="preserve">Valutazione:</w:t>
      </w:r>
      <w:r>
        <w:t xml:space="preserve"> </w:t>
      </w:r>
      <w:r>
        <w:t xml:space="preserve">il Matrixyl è uno dei «peptidi anti-aging» più vecchi e più usati nei cosmetici. La sua base scientifica – un lavoro su colture cellulari del 1993 e uno studio a metà viso del 2005 – è sorprendentemente esigua per un prodotto così diffuso. I nuovi sviluppi puntano a una migliore penetrazione cutanea (microaghi, nanostrutture) e a combinazioni con altri peptidi. Senza studi indipendenti e sufficientemente ampi con il singolo principio attivo, lo stato delle conoscenze cambierà poco.</w:t>
      </w:r>
    </w:p>
    <w:bookmarkEnd w:id="920"/>
    <w:bookmarkStart w:id="921" w:name="conclusione-56"/>
    <w:p>
      <w:pPr>
        <w:pStyle w:val="Heading3"/>
      </w:pPr>
      <w:r>
        <w:t xml:space="preserve">Conclusione</w:t>
      </w:r>
    </w:p>
    <w:p>
      <w:pPr>
        <w:pStyle w:val="FirstParagraph"/>
      </w:pPr>
      <w:r>
        <w:t xml:space="preserve">Il palmitoil pentapeptide-4 è un frammento del precursore del collagene legato a un acido grasso, che in laboratorio stimola i fibroblasti a produrre collagene. Nell’uomo l’efficacia si basa soprattutto su uno studio a metà viso con 93 donne del 2005, che ha mostrato una riduzione delle linee sottili, e su uno studio molto piccolo del 2023. Quanto principio attivo raggiunga effettivamente la pelle più profonda non è chiarito. Come ingrediente cosmetico è considerato ben tollerato. Chi usa prodotti al Matrixyl dovrebbe aspettarsi un piccolo effetto cosmetico – non un sostituto della protezione UV o di principi attivi verificati dal punto di vista medico come i retinoidi.</w:t>
      </w:r>
    </w:p>
    <w:bookmarkEnd w:id="921"/>
    <w:bookmarkEnd w:id="922"/>
    <w:bookmarkStart w:id="932" w:name="acetil-esapeptide-8-argireline"/>
    <w:p>
      <w:pPr>
        <w:pStyle w:val="Heading2"/>
      </w:pPr>
      <w:r>
        <w:t xml:space="preserve">Acetil esapeptide-8 (Argireline)</w:t>
      </w:r>
    </w:p>
    <w:bookmarkStart w:id="923" w:name="scheda-57"/>
    <w:p>
      <w:pPr>
        <w:pStyle w:val="Heading3"/>
      </w:pPr>
      <w:r>
        <w:t xml:space="preserve">Scheda</w:t>
      </w:r>
    </w:p>
    <w:p>
      <w:pPr>
        <w:numPr>
          <w:ilvl w:val="0"/>
          <w:numId w:val="1315"/>
        </w:numPr>
        <w:pStyle w:val="Compact"/>
      </w:pPr>
      <w:r>
        <w:rPr>
          <w:bCs/>
          <w:b/>
        </w:rPr>
        <w:t xml:space="preserve">Tipo/struttura:</w:t>
      </w:r>
      <w:r>
        <w:t xml:space="preserve"> </w:t>
      </w:r>
      <w:r>
        <w:t xml:space="preserve">esapeptide con la sequenza glutammato-glutammato-metionina-glutammina-arginina-arginina (Ac-EEMQRR-NH₂), acetilato all’inizio e amidato alla fine. In passato indicato come acetil esapeptide-3; nome commerciale della materia prima: Argireline.</w:t>
      </w:r>
    </w:p>
    <w:p>
      <w:pPr>
        <w:numPr>
          <w:ilvl w:val="0"/>
          <w:numId w:val="1315"/>
        </w:numPr>
        <w:pStyle w:val="Compact"/>
      </w:pPr>
      <w:r>
        <w:rPr>
          <w:bCs/>
          <w:b/>
        </w:rPr>
        <w:t xml:space="preserve">Origine:</w:t>
      </w:r>
      <w:r>
        <w:t xml:space="preserve"> </w:t>
      </w:r>
      <w:r>
        <w:t xml:space="preserve">sintetica, progettata in modo mirato all’inizio degli anni Duemila. La sequenza riproduce il tratto iniziale della proteina neuronale SNAP-25.</w:t>
      </w:r>
    </w:p>
    <w:p>
      <w:pPr>
        <w:numPr>
          <w:ilvl w:val="0"/>
          <w:numId w:val="1315"/>
        </w:numPr>
        <w:pStyle w:val="Compact"/>
      </w:pPr>
      <w:r>
        <w:rPr>
          <w:bCs/>
          <w:b/>
        </w:rPr>
        <w:t xml:space="preserve">Principio d’azione:</w:t>
      </w:r>
      <w:r>
        <w:t xml:space="preserve"> </w:t>
      </w:r>
      <w:r>
        <w:t xml:space="preserve">dovrebbe attenuare il rilascio del messaggero acetilcolina nella giunzione tra nervo e muscolo e così distendere le rughe d’espressione – un bersaglio simile a quello della tossina botulinica, solo molto più debole. Da qui l’espressione pubblicitaria «Botox in tubetto».</w:t>
      </w:r>
    </w:p>
    <w:p>
      <w:pPr>
        <w:numPr>
          <w:ilvl w:val="0"/>
          <w:numId w:val="1315"/>
        </w:numPr>
        <w:pStyle w:val="Compact"/>
      </w:pPr>
      <w:r>
        <w:rPr>
          <w:bCs/>
          <w:b/>
        </w:rPr>
        <w:t xml:space="preserve">Approvazione UE:</w:t>
      </w:r>
      <w:r>
        <w:t xml:space="preserve"> </w:t>
      </w:r>
      <w:r>
        <w:t xml:space="preserve">non è un farmaco; ingrediente cosmetico.</w:t>
      </w:r>
    </w:p>
    <w:p>
      <w:pPr>
        <w:numPr>
          <w:ilvl w:val="0"/>
          <w:numId w:val="1315"/>
        </w:numPr>
        <w:pStyle w:val="Compact"/>
      </w:pPr>
      <w:r>
        <w:rPr>
          <w:bCs/>
          <w:b/>
        </w:rPr>
        <w:t xml:space="preserve">Approvazione USA:</w:t>
      </w:r>
      <w:r>
        <w:t xml:space="preserve"> </w:t>
      </w:r>
      <w:r>
        <w:t xml:space="preserve">non è un farmaco; ingrediente cosmetico.</w:t>
      </w:r>
    </w:p>
    <w:p>
      <w:pPr>
        <w:numPr>
          <w:ilvl w:val="0"/>
          <w:numId w:val="1315"/>
        </w:numPr>
        <w:pStyle w:val="Compact"/>
      </w:pPr>
      <w:r>
        <w:rPr>
          <w:bCs/>
          <w:b/>
        </w:rPr>
        <w:t xml:space="preserve">WADA:</w:t>
      </w:r>
      <w:r>
        <w:t xml:space="preserve"> </w:t>
      </w:r>
      <w:r>
        <w:t xml:space="preserve">non elencato (aggiornato al 2026, da verificare).</w:t>
      </w:r>
    </w:p>
    <w:p>
      <w:pPr>
        <w:numPr>
          <w:ilvl w:val="0"/>
          <w:numId w:val="1315"/>
        </w:numPr>
        <w:pStyle w:val="Compact"/>
      </w:pPr>
      <w:r>
        <w:rPr>
          <w:bCs/>
          <w:b/>
        </w:rPr>
        <w:t xml:space="preserve">Livello di evidenza:</w:t>
      </w:r>
      <w:r>
        <w:t xml:space="preserve"> </w:t>
      </w:r>
      <w:r>
        <w:rPr>
          <w:bCs/>
          <w:b/>
        </w:rPr>
        <w:t xml:space="preserve">B</w:t>
      </w:r>
      <w:r>
        <w:t xml:space="preserve"> </w:t>
      </w:r>
      <w:r>
        <w:t xml:space="preserve">(debole) – alcuni piccoli studi randomizzati con durate per lo più brevi e risultati disomogenei.</w:t>
      </w:r>
    </w:p>
    <w:bookmarkEnd w:id="923"/>
    <w:bookmarkStart w:id="924" w:name="come-dovrebbe-agire-57"/>
    <w:p>
      <w:pPr>
        <w:pStyle w:val="Heading3"/>
      </w:pPr>
      <w:r>
        <w:t xml:space="preserve">Come dovrebbe agire</w:t>
      </w:r>
    </w:p>
    <w:p>
      <w:pPr>
        <w:pStyle w:val="FirstParagraph"/>
      </w:pPr>
      <w:r>
        <w:t xml:space="preserve">Perché un muscolo si contragga, una cellula nervosa deve rilasciare il messaggero acetilcolina. A questo scopo piccole vescicole, riempite del messaggero, si fondono con la membrana cellulare. Questa fusione è mediata da un complesso proteico, il complesso SNARE, di cui fa parte tra l’altro la proteina SNAP-25. La tossina botulinica di tipo A taglia la SNAP-25 e blocca così per mesi il rilascio del messaggero – il muscolo si rilassa, la ruga sovrastante si distende.</w:t>
      </w:r>
    </w:p>
    <w:p>
      <w:pPr>
        <w:pStyle w:val="BodyText"/>
      </w:pPr>
      <w:r>
        <w:t xml:space="preserve">L’Argireline è stata progettata come riproduzione del tratto iniziale della SNAP-25. L’idea: il breve peptide compete con la vera SNAP-25 per il suo posto nel complesso SNARE e ne disturba la formazione. Nella prima descrizione l’Argireline inibiva negli esperimenti cellulari il rilascio di messaggeri con una</w:t>
      </w:r>
      <w:r>
        <w:t xml:space="preserve"> </w:t>
      </w:r>
      <w:r>
        <w:rPr>
          <w:iCs/>
          <w:i/>
        </w:rPr>
        <w:t xml:space="preserve">potenza</w:t>
      </w:r>
      <w:r>
        <w:t xml:space="preserve"> </w:t>
      </w:r>
      <w:r>
        <w:t xml:space="preserve">simile a quella della tossina botulinica A, ma raggiungeva, come previsto, un’</w:t>
      </w:r>
      <w:r>
        <w:rPr>
          <w:iCs/>
          <w:i/>
        </w:rPr>
        <w:t xml:space="preserve">efficacia</w:t>
      </w:r>
      <w:r>
        <w:t xml:space="preserve"> </w:t>
      </w:r>
      <w:r>
        <w:t xml:space="preserve">molto minore – cioè un effetto massimo nettamente inferiore (Blanes-Mira 2002, PMID 18498523).</w:t>
      </w:r>
    </w:p>
    <w:p>
      <w:pPr>
        <w:pStyle w:val="BodyText"/>
      </w:pPr>
      <w:r>
        <w:t xml:space="preserve">Il punto critico decisivo: per agire, l’Argireline contenuta in una crema dovrebbe attraversare epidermide e derma fino alle terminazioni nervose dei muscoli facciali. La molecola è idrosolubile, carica elettricamente e relativamente grande per la pelle. In un esperimento di laboratorio con pelle di donatori di corpo, dopo 24 ore la maggior parte era rimasta sulla superficie cutanea; lo 0,22% del peptide applicato si trovava nello strato corneo, lo 0,01% nell’epidermide, nel derma e sotto non era rilevabile nulla (Kraeling 2015, PMID 24754410). Una rassegna del 2025 constata che resta poco chiaro se il peptide raggiunga davvero la giunzione neuromuscolare (Zdrada-Nowak 2025, PMID 40565185).</w:t>
      </w:r>
    </w:p>
    <w:p>
      <w:pPr>
        <w:pStyle w:val="BodyText"/>
      </w:pPr>
      <w:r>
        <w:t xml:space="preserve">Questo non esclude effetti sulla pelle – per esempio sull’idratazione o attraverso terminazioni nervose negli strati superiori della pelle –, ma rende poco probabile il pubblicizzato «meccanismo Botox» con l’applicazione sulla pelle.</w:t>
      </w:r>
    </w:p>
    <w:bookmarkEnd w:id="924"/>
    <w:bookmarkStart w:id="926" w:name="studi-sulluomo-57"/>
    <w:p>
      <w:pPr>
        <w:pStyle w:val="Heading3"/>
      </w:pPr>
      <w:r>
        <w:t xml:space="preserve">Studi sull’uomo</w:t>
      </w:r>
    </w:p>
    <w:p>
      <w:pPr>
        <w:pStyle w:val="FirstParagraph"/>
      </w:pPr>
      <w:r>
        <w:t xml:space="preserve">La ricerca in PubMed valutata per questo libro (acetil esapeptide o Argireline nel titolo o nell’abstract, data della ricerca ottobre 2026) ha restituito tre lavori classificati come studi sull’uomo; su ClinicalTrials.gov sono registrate sette voci. All’esame sono emersi alcuni altri piccoli studi.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Blanes-Mira 2002, PMID 18498523</w:t>
            </w:r>
          </w:p>
        </w:tc>
        <w:tc>
          <w:tcPr/>
          <w:p>
            <w:pPr>
              <w:pStyle w:val="Compact"/>
              <w:jc w:val="left"/>
            </w:pPr>
            <w:r>
              <w:t xml:space="preserve">donne sane, emulsione con il 10% di Argireline (dati scarni nell’abstract)</w:t>
            </w:r>
          </w:p>
        </w:tc>
        <w:tc>
          <w:tcPr/>
          <w:p>
            <w:pPr>
              <w:pStyle w:val="Compact"/>
              <w:jc w:val="left"/>
            </w:pPr>
            <w:r>
              <w:t xml:space="preserve">30 giorni</w:t>
            </w:r>
          </w:p>
        </w:tc>
        <w:tc>
          <w:tcPr/>
          <w:p>
            <w:pPr>
              <w:pStyle w:val="Compact"/>
              <w:jc w:val="left"/>
            </w:pPr>
            <w:r>
              <w:t xml:space="preserve">Profondità delle rughe ridotta fino al 30%</w:t>
            </w:r>
          </w:p>
        </w:tc>
      </w:tr>
      <w:tr>
        <w:tc>
          <w:tcPr/>
          <w:p>
            <w:pPr>
              <w:pStyle w:val="Compact"/>
              <w:jc w:val="left"/>
            </w:pPr>
            <w:r>
              <w:t xml:space="preserve">Wang 2013, PMID 23417317</w:t>
            </w:r>
          </w:p>
        </w:tc>
        <w:tc>
          <w:tcPr/>
          <w:p>
            <w:pPr>
              <w:pStyle w:val="Compact"/>
              <w:jc w:val="left"/>
            </w:pPr>
            <w:r>
              <w:t xml:space="preserve">60 adulti cinesi con rughe perioculari, Argireline vs. placebo in rapporto 3:1</w:t>
            </w:r>
          </w:p>
        </w:tc>
        <w:tc>
          <w:tcPr/>
          <w:p>
            <w:pPr>
              <w:pStyle w:val="Compact"/>
              <w:jc w:val="left"/>
            </w:pPr>
            <w:r>
              <w:t xml:space="preserve">4 settimane</w:t>
            </w:r>
          </w:p>
        </w:tc>
        <w:tc>
          <w:tcPr/>
          <w:p>
            <w:pPr>
              <w:pStyle w:val="Compact"/>
              <w:jc w:val="left"/>
            </w:pPr>
            <w:r>
              <w:t xml:space="preserve">«Efficacia complessiva» soggettiva 48,9% vs. 0%; valori di ruvidità nei calchi cutanei diminuiti</w:t>
            </w:r>
          </w:p>
        </w:tc>
      </w:tr>
      <w:tr>
        <w:tc>
          <w:tcPr/>
          <w:p>
            <w:pPr>
              <w:pStyle w:val="Compact"/>
              <w:jc w:val="left"/>
            </w:pPr>
            <w:r>
              <w:t xml:space="preserve">Raikou 2017, PMID 28150423</w:t>
            </w:r>
          </w:p>
        </w:tc>
        <w:tc>
          <w:tcPr/>
          <w:p>
            <w:pPr>
              <w:pStyle w:val="Compact"/>
              <w:jc w:val="left"/>
            </w:pPr>
            <w:r>
              <w:t xml:space="preserve">24 persone sane, quattro gruppi: Argireline, tripeptide-10 citrullina, entrambi o nessuno</w:t>
            </w:r>
          </w:p>
        </w:tc>
        <w:tc>
          <w:tcPr/>
          <w:p>
            <w:pPr>
              <w:pStyle w:val="Compact"/>
              <w:jc w:val="left"/>
            </w:pPr>
            <w:r>
              <w:t xml:space="preserve">60 giorni</w:t>
            </w:r>
          </w:p>
        </w:tc>
        <w:tc>
          <w:tcPr/>
          <w:p>
            <w:pPr>
              <w:pStyle w:val="Compact"/>
              <w:jc w:val="left"/>
            </w:pPr>
            <w:r>
              <w:t xml:space="preserve">Singoli parametri delle rughe e perdita d’acqua della pelle migliori con Argireline</w:t>
            </w:r>
          </w:p>
        </w:tc>
      </w:tr>
      <w:tr>
        <w:tc>
          <w:tcPr/>
          <w:p>
            <w:pPr>
              <w:pStyle w:val="Compact"/>
              <w:jc w:val="left"/>
            </w:pPr>
            <w:r>
              <w:t xml:space="preserve">Henseler 2023, PMID 38024099</w:t>
            </w:r>
          </w:p>
        </w:tc>
        <w:tc>
          <w:tcPr/>
          <w:p>
            <w:pPr>
              <w:pStyle w:val="Compact"/>
              <w:jc w:val="left"/>
            </w:pPr>
            <w:r>
              <w:t xml:space="preserve">19 donne, confronto a metà viso: siero all’acido ialuronico con vs. senza Argireline, in doppio cieco</w:t>
            </w:r>
          </w:p>
        </w:tc>
        <w:tc>
          <w:tcPr/>
          <w:p>
            <w:pPr>
              <w:pStyle w:val="Compact"/>
              <w:jc w:val="left"/>
            </w:pPr>
            <w:r>
              <w:t xml:space="preserve">4 settimane</w:t>
            </w:r>
          </w:p>
        </w:tc>
        <w:tc>
          <w:tcPr/>
          <w:p>
            <w:pPr>
              <w:pStyle w:val="Compact"/>
              <w:jc w:val="left"/>
            </w:pPr>
            <w:r>
              <w:t xml:space="preserve">Nessuna differenza significativa tra le due metà del viso</w:t>
            </w:r>
          </w:p>
        </w:tc>
      </w:tr>
      <w:tr>
        <w:tc>
          <w:tcPr/>
          <w:p>
            <w:pPr>
              <w:pStyle w:val="Compact"/>
              <w:jc w:val="left"/>
            </w:pPr>
            <w:r>
              <w:t xml:space="preserve">Aruan 2023, PMID 36909866</w:t>
            </w:r>
          </w:p>
        </w:tc>
        <w:tc>
          <w:tcPr/>
          <w:p>
            <w:pPr>
              <w:pStyle w:val="Compact"/>
              <w:jc w:val="left"/>
            </w:pPr>
            <w:r>
              <w:t xml:space="preserve">21 donne, acetil esapeptide-3 vs. palmitoil pentapeptide-4 vs. placebo</w:t>
            </w:r>
          </w:p>
        </w:tc>
        <w:tc>
          <w:tcPr/>
          <w:p>
            <w:pPr>
              <w:pStyle w:val="Compact"/>
              <w:jc w:val="left"/>
            </w:pPr>
            <w:r>
              <w:t xml:space="preserve">8 settimane</w:t>
            </w:r>
          </w:p>
        </w:tc>
        <w:tc>
          <w:tcPr/>
          <w:p>
            <w:pPr>
              <w:pStyle w:val="Compact"/>
              <w:jc w:val="left"/>
            </w:pPr>
            <w:r>
              <w:t xml:space="preserve">Il palmitoil pentapeptide-4 ha avuto risultati migliori di Argireline e placebo</w:t>
            </w:r>
          </w:p>
        </w:tc>
      </w:tr>
    </w:tbl>
    <w:p>
      <w:pPr>
        <w:pStyle w:val="BodyText"/>
      </w:pPr>
      <w:r>
        <w:rPr>
          <w:bCs/>
          <w:b/>
        </w:rPr>
        <w:t xml:space="preserve">Per inquadrare gli studi positivi:</w:t>
      </w:r>
    </w:p>
    <w:p>
      <w:pPr>
        <w:numPr>
          <w:ilvl w:val="0"/>
          <w:numId w:val="1316"/>
        </w:numPr>
        <w:pStyle w:val="Compact"/>
      </w:pPr>
      <w:r>
        <w:t xml:space="preserve">La prima descrizione del 2002 proviene dagli sviluppatori e nell’abstract non riporta né il numero di partecipanti né un gruppo di controllo. Ha testato una concentrazione del 10% – molto superiore a quella che una valutazione di sicurezza statunitense ha poi considerato sufficientemente studiata (vedi rischi).</w:t>
      </w:r>
    </w:p>
    <w:p>
      <w:pPr>
        <w:numPr>
          <w:ilvl w:val="0"/>
          <w:numId w:val="1316"/>
        </w:numPr>
        <w:pStyle w:val="Compact"/>
      </w:pPr>
      <w:r>
        <w:t xml:space="preserve">Lo studio cinese (Wang 2013) è il più grande. I gruppi erano di dimensioni diverse (circa 45 contro 15), la valutazione principale era soggettiva, e gli stessi dati clinici compaiono insieme a esperimenti sui topi in un’altra pubblicazione dello stesso gruppo (Wang 2013, PMID 23607739). Nei confronti con il valore iniziale solo il gruppo Argireline mostrava valori di ruvidità in calo – un confronto statistico diretto tra i gruppi non è riportato nell’abstract.</w:t>
      </w:r>
    </w:p>
    <w:p>
      <w:pPr>
        <w:numPr>
          <w:ilvl w:val="0"/>
          <w:numId w:val="1316"/>
        </w:numPr>
        <w:pStyle w:val="Compact"/>
      </w:pPr>
      <w:r>
        <w:t xml:space="preserve">Lo studio di Raikou aveva solo sei partecipanti per gruppo e una moltitudine di confronti singoli; alcune differenze erano significative, altre no.</w:t>
      </w:r>
    </w:p>
    <w:p>
      <w:pPr>
        <w:pStyle w:val="FirstParagraph"/>
      </w:pPr>
      <w:r>
        <w:rPr>
          <w:bCs/>
          <w:b/>
        </w:rPr>
        <w:t xml:space="preserve">Lo studio negativo:</w:t>
      </w:r>
      <w:r>
        <w:t xml:space="preserve"> </w:t>
      </w:r>
      <w:r>
        <w:t xml:space="preserve">uno studio a metà viso in doppio cieco di uno studio di chirurgia plastica, con misurazione oggettiva tramite fotocamera (Henseler 2023), non ha trovato differenze tra la metà del viso con e quella senza Argireline. I responsabili dello studio hanno concluso che un effetto non è stato dimostrato e che l’Argireline non va classificata come alternativa alla tossina botulinica. Con 19 partecipanti, però, anche questo studio era piccolo.</w:t>
      </w:r>
    </w:p>
    <w:bookmarkStart w:id="925" w:name="altri-impieghi-5"/>
    <w:p>
      <w:pPr>
        <w:pStyle w:val="Heading4"/>
      </w:pPr>
      <w:r>
        <w:t xml:space="preserve">Altri impieghi</w:t>
      </w:r>
    </w:p>
    <w:p>
      <w:pPr>
        <w:numPr>
          <w:ilvl w:val="0"/>
          <w:numId w:val="1317"/>
        </w:numPr>
        <w:pStyle w:val="Compact"/>
      </w:pPr>
      <w:r>
        <w:rPr>
          <w:bCs/>
          <w:b/>
        </w:rPr>
        <w:t xml:space="preserve">Spasmo palpebrale (blefarospasmo):</w:t>
      </w:r>
      <w:r>
        <w:t xml:space="preserve"> </w:t>
      </w:r>
      <w:r>
        <w:t xml:space="preserve">in questa malattia neurologica i muscoli palpebrali si contraggono involontariamente; il trattamento standard è l’iniezione di tossina botulinica ogni tre mesi. In uno studio pilota con 24 pazienti una crema all’Argireline doveva prolungare la durata dell’effetto dell’iniezione. C’è stato un trend non significativo (3,7 contro 3,0 mesi fino al ritorno dei disturbi) e nessun effetto collaterale rilevante (Lungu 2013, PMID 23146065; registrato come NCT00942851). Uno studio successivo è stato interrotto dopo otto partecipanti (NCT01750346).</w:t>
      </w:r>
    </w:p>
    <w:p>
      <w:pPr>
        <w:numPr>
          <w:ilvl w:val="0"/>
          <w:numId w:val="1317"/>
        </w:numPr>
        <w:pStyle w:val="Compact"/>
      </w:pPr>
      <w:r>
        <w:rPr>
          <w:bCs/>
          <w:b/>
        </w:rPr>
        <w:t xml:space="preserve">Cerotti a microaghi:</w:t>
      </w:r>
      <w:r>
        <w:t xml:space="preserve"> </w:t>
      </w:r>
      <w:r>
        <w:t xml:space="preserve">in uno studio coreano a metà viso con 52 donne un cerotto a microaghi di acido ialuronico con Argireline ha migliorato le rughe più del cerotto da solo (An 2019, PMID 33911590). Qui il peptide viene portato nella pelle attraverso aghi minuscoli – il risultato non è trasferibile alle normali creme.</w:t>
      </w:r>
    </w:p>
    <w:p>
      <w:pPr>
        <w:numPr>
          <w:ilvl w:val="0"/>
          <w:numId w:val="1317"/>
        </w:numPr>
        <w:pStyle w:val="Compact"/>
      </w:pPr>
      <w:r>
        <w:rPr>
          <w:bCs/>
          <w:b/>
        </w:rPr>
        <w:t xml:space="preserve">Prodotti combinati:</w:t>
      </w:r>
      <w:r>
        <w:t xml:space="preserve"> </w:t>
      </w:r>
      <w:r>
        <w:t xml:space="preserve">molti studi testano sieri che contengono Argireline insieme a retinolo, acido ialuronico o altri peptidi. Il loro risultato non può essere attribuito al singolo peptide.</w:t>
      </w:r>
    </w:p>
    <w:p>
      <w:pPr>
        <w:numPr>
          <w:ilvl w:val="0"/>
          <w:numId w:val="1317"/>
        </w:numPr>
        <w:pStyle w:val="Compact"/>
      </w:pPr>
      <w:r>
        <w:rPr>
          <w:bCs/>
          <w:b/>
        </w:rPr>
        <w:t xml:space="preserve">Piccoli studi registrati:</w:t>
      </w:r>
      <w:r>
        <w:t xml:space="preserve"> </w:t>
      </w:r>
      <w:r>
        <w:t xml:space="preserve">su ClinicalTrials.gov sono elencati, tra gli altri, uno studio concluso sulla pelle grassa con 14 partecipanti (NCT02597777) e uno studio definito di fase 3 sulle rughe perioculari con 70 partecipanti (NCT01381484); non è stato possibile chiarire in modo univoco se quest’ultimo corrisponda allo studio cinese citato sopra.</w:t>
      </w:r>
    </w:p>
    <w:bookmarkEnd w:id="925"/>
    <w:bookmarkEnd w:id="926"/>
    <w:bookmarkStart w:id="927" w:name="studi-su-animali-e-in-laboratorio-57"/>
    <w:p>
      <w:pPr>
        <w:pStyle w:val="Heading3"/>
      </w:pPr>
      <w:r>
        <w:t xml:space="preserve">Studi su animali e in laboratorio</w:t>
      </w:r>
    </w:p>
    <w:p>
      <w:pPr>
        <w:numPr>
          <w:ilvl w:val="0"/>
          <w:numId w:val="1318"/>
        </w:numPr>
        <w:pStyle w:val="Compact"/>
      </w:pPr>
      <w:r>
        <w:rPr>
          <w:bCs/>
          <w:b/>
        </w:rPr>
        <w:t xml:space="preserve">Esperimenti cellulari:</w:t>
      </w:r>
      <w:r>
        <w:t xml:space="preserve"> </w:t>
      </w:r>
      <w:r>
        <w:t xml:space="preserve">inibizione del rilascio di messaggeri e alterazione della formazione del complesso SNARE (Blanes-Mira 2002, PMID 18498523). In colture di fibroblasti cutanei umani e di altre linee cellulari l’Argireline ha inibito la proliferazione cellulare in modo dipendente dalla dose, però solo a concentrazioni da 18 a 10.000 volte superiori a quelle della sostanza di confronto doxorubicina, un farmaco antitumorale (Grosicki 2014, PMID 24644551).</w:t>
      </w:r>
    </w:p>
    <w:p>
      <w:pPr>
        <w:numPr>
          <w:ilvl w:val="0"/>
          <w:numId w:val="1318"/>
        </w:numPr>
        <w:pStyle w:val="Compact"/>
      </w:pPr>
      <w:r>
        <w:rPr>
          <w:bCs/>
          <w:b/>
        </w:rPr>
        <w:t xml:space="preserve">Esperimenti sugli animali:</w:t>
      </w:r>
      <w:r>
        <w:t xml:space="preserve"> </w:t>
      </w:r>
      <w:r>
        <w:t xml:space="preserve">in topi con invecchiamento accelerato artificialmente (con D-galattosio) la quota di fibre di collagene di tipo I nella pelle è aumentata con l’Argireline (Wang 2013, PMID 23464592).</w:t>
      </w:r>
    </w:p>
    <w:p>
      <w:pPr>
        <w:numPr>
          <w:ilvl w:val="0"/>
          <w:numId w:val="1318"/>
        </w:numPr>
        <w:pStyle w:val="Compact"/>
      </w:pPr>
      <w:r>
        <w:rPr>
          <w:bCs/>
          <w:b/>
        </w:rPr>
        <w:t xml:space="preserve">Permeabilità cutanea:</w:t>
      </w:r>
      <w:r>
        <w:t xml:space="preserve"> </w:t>
      </w:r>
      <w:r>
        <w:t xml:space="preserve">oltre allo studio sulla pelle di donatori di corpo (Kraeling 2015, PMID 24754410), numerosi lavori di laboratorio studiano emulsioni, microaghi, ionoforesi e modifiche chimiche per portare più principio attivo nella pelle.</w:t>
      </w:r>
    </w:p>
    <w:bookmarkEnd w:id="927"/>
    <w:bookmarkStart w:id="928" w:name="rischi-ed-effetti-collaterali-57"/>
    <w:p>
      <w:pPr>
        <w:pStyle w:val="Heading3"/>
      </w:pPr>
      <w:r>
        <w:t xml:space="preserve">Rischi ed effetti collaterali</w:t>
      </w:r>
    </w:p>
    <w:p>
      <w:pPr>
        <w:pStyle w:val="FirstParagraph"/>
      </w:pPr>
      <w:r>
        <w:rPr>
          <w:bCs/>
          <w:b/>
        </w:rPr>
        <w:t xml:space="preserve">Come crema (dimostrati):</w:t>
      </w:r>
      <w:r>
        <w:t xml:space="preserve"> </w:t>
      </w:r>
      <w:r>
        <w:t xml:space="preserve">negli studi non sono stati osservati effetti collaterali rilevanti; irritazioni cutanee e allergie sono possibili come per qualsiasi componente cosmetico. Il comitato indipendente di esperti statunitense per la sicurezza degli ingredienti cosmetici (Cosmetic Ingredient Review) è giunto nel 2025 alla conclusione che l’acetil esapeptide-8 è sicuro alle concentrazioni attualmente usuali fino allo 0,005%. Per concentrazioni più alte i dati disponibili non bastavano per una valutazione della sicurezza (Johnson 2025, PMID 40673537).</w:t>
      </w:r>
    </w:p>
    <w:p>
      <w:pPr>
        <w:pStyle w:val="BodyText"/>
      </w:pPr>
      <w:r>
        <w:rPr>
          <w:bCs/>
          <w:b/>
        </w:rPr>
        <w:t xml:space="preserve">Come iniezione:</w:t>
      </w:r>
      <w:r>
        <w:t xml:space="preserve"> </w:t>
      </w:r>
      <w:r>
        <w:t xml:space="preserve">l’Argireline viene in parte anche iniettata nella pelle, per esempio in centri estetici o tramite prodotti del mercato grigio. Per questo non esistono né autorizzazione né studi. Un caso clinico descrive una donna di 45 anni in cui, dopo iniezioni di Argireline su fronte e tempie, sono comparsi arrossamenti, noduli e ascessi; la causa era un’infezione da</w:t>
      </w:r>
      <w:r>
        <w:t xml:space="preserve"> </w:t>
      </w:r>
      <w:r>
        <w:rPr>
          <w:iCs/>
          <w:i/>
        </w:rPr>
        <w:t xml:space="preserve">Mycobacterium abscessus</w:t>
      </w:r>
      <w:r>
        <w:t xml:space="preserve">, un batterio difficile da trattare, che ha richiesto una terapia antibiotica di cinque mesi (Chen 2021, PMID 33748252). Il rischio qui sta meno nel peptide stesso che in prodotti e procedure non sterili.</w:t>
      </w:r>
    </w:p>
    <w:p>
      <w:pPr>
        <w:pStyle w:val="BodyText"/>
      </w:pPr>
      <w:r>
        <w:rPr>
          <w:bCs/>
          <w:b/>
        </w:rPr>
        <w:t xml:space="preserve">Teorici:</w:t>
      </w:r>
      <w:r>
        <w:t xml:space="preserve"> </w:t>
      </w:r>
      <w:r>
        <w:t xml:space="preserve">se l’Argireline arrivasse in quantità apprezzabile alle giunzioni neuromuscolari, sarebbero ipotizzabili – come con la tossina botulinica – debolezze muscolari indesiderate. Con l’applicazione esterna non ci sono indizi in tal senso.</w:t>
      </w:r>
    </w:p>
    <w:bookmarkEnd w:id="928"/>
    <w:bookmarkStart w:id="929" w:name="quadro-normativo-57"/>
    <w:p>
      <w:pPr>
        <w:pStyle w:val="Heading3"/>
      </w:pPr>
      <w:r>
        <w:t xml:space="preserve">Quadro normativo</w:t>
      </w:r>
    </w:p>
    <w:p>
      <w:pPr>
        <w:numPr>
          <w:ilvl w:val="0"/>
          <w:numId w:val="1319"/>
        </w:numPr>
        <w:pStyle w:val="Compact"/>
      </w:pPr>
      <w:r>
        <w:rPr>
          <w:bCs/>
          <w:b/>
        </w:rPr>
        <w:t xml:space="preserve">UE / Austria / Germania:</w:t>
      </w:r>
      <w:r>
        <w:t xml:space="preserve"> </w:t>
      </w:r>
      <w:r>
        <w:t xml:space="preserve">l’acetil esapeptide-8 è un ingrediente cosmetico ammesso secondo il regolamento UE sui prodotti cosmetici (Regolamento (CE) n. 1223/2009). Le affermazioni pubblicitarie devono essere dimostrabili secondo il Regolamento (UE) n. 655/2013. I confronti con la tossina botulinica («come il Botox») sono ingannevoli se suggeriscono un effetto paragonabile. Un’iniezione non è un impiego cosmetico; un prodotto destinato all’iniezione sarebbe un farmaco o un dispositivo medico non approvato e non può essere commercializzato come tale.</w:t>
      </w:r>
    </w:p>
    <w:p>
      <w:pPr>
        <w:numPr>
          <w:ilvl w:val="0"/>
          <w:numId w:val="1319"/>
        </w:numPr>
        <w:pStyle w:val="Compact"/>
      </w:pPr>
      <w:r>
        <w:rPr>
          <w:bCs/>
          <w:b/>
        </w:rPr>
        <w:t xml:space="preserve">USA:</w:t>
      </w:r>
      <w:r>
        <w:t xml:space="preserve"> </w:t>
      </w:r>
      <w:r>
        <w:t xml:space="preserve">ingrediente cosmetico senza verifica preventiva da parte della FDA; le affermazioni che promettono un effetto sui muscoli possono trasformare giuridicamente un prodotto in un farmaco.</w:t>
      </w:r>
    </w:p>
    <w:p>
      <w:pPr>
        <w:numPr>
          <w:ilvl w:val="0"/>
          <w:numId w:val="1319"/>
        </w:numPr>
        <w:pStyle w:val="Compact"/>
      </w:pPr>
      <w:r>
        <w:rPr>
          <w:bCs/>
          <w:b/>
        </w:rPr>
        <w:t xml:space="preserve">Sport:</w:t>
      </w:r>
      <w:r>
        <w:t xml:space="preserve"> </w:t>
      </w:r>
      <w:r>
        <w:t xml:space="preserve">senza rilevanza (aggiornato al 2026, da verificare).</w:t>
      </w:r>
    </w:p>
    <w:bookmarkEnd w:id="929"/>
    <w:bookmarkStart w:id="930" w:name="studi-in-corso-e-prospettive-57"/>
    <w:p>
      <w:pPr>
        <w:pStyle w:val="Heading3"/>
      </w:pPr>
      <w:r>
        <w:t xml:space="preserve">Studi in corso e prospettive</w:t>
      </w:r>
    </w:p>
    <w:p>
      <w:pPr>
        <w:pStyle w:val="FirstParagraph"/>
      </w:pPr>
      <w:r>
        <w:rPr>
          <w:bCs/>
          <w:b/>
        </w:rPr>
        <w:t xml:space="preserve">Dati certi:</w:t>
      </w:r>
      <w:r>
        <w:t xml:space="preserve"> </w:t>
      </w:r>
      <w:r>
        <w:t xml:space="preserve">su ClinicalTrials.gov (situazione a ottobre 2026) non è registrato alcuno studio in corso con l’acetil esapeptide-8 come singolo principio attivo; le voci elencate sono concluse o interrotte. Gli studi di efficacia cosmetica vengono registrati raramente.</w:t>
      </w:r>
    </w:p>
    <w:p>
      <w:pPr>
        <w:pStyle w:val="BodyText"/>
      </w:pPr>
      <w:r>
        <w:rPr>
          <w:bCs/>
          <w:b/>
        </w:rPr>
        <w:t xml:space="preserve">Valutazione:</w:t>
      </w:r>
      <w:r>
        <w:t xml:space="preserve"> </w:t>
      </w:r>
      <w:r>
        <w:t xml:space="preserve">l’Argireline è un esempio di peptide progettato razionalmente, il cui risultato di laboratorio è convincente, ma la cui via verso il sito d’azione resta irrisolta. La ricerca si concentra quindi su sistemi di trasporto come microaghi e nanovettori. Se questi raggiungano un effetto visibile per gli utilizzatori e superiore a quello di un buon prodotto idratante dovranno dimostrarlo studi più ampi e indipendenti. Un’alternativa reale alla tossina botulinica, secondo le conoscenze attuali, non è da attendersi.</w:t>
      </w:r>
    </w:p>
    <w:bookmarkEnd w:id="930"/>
    <w:bookmarkStart w:id="931" w:name="conclusione-57"/>
    <w:p>
      <w:pPr>
        <w:pStyle w:val="Heading3"/>
      </w:pPr>
      <w:r>
        <w:t xml:space="preserve">Conclusione</w:t>
      </w:r>
    </w:p>
    <w:p>
      <w:pPr>
        <w:pStyle w:val="FirstParagraph"/>
      </w:pPr>
      <w:r>
        <w:t xml:space="preserve">L’acetil esapeptide-8 è un peptide sintetico che in laboratorio inibisce il rilascio di messaggeri nelle cellule nervose in modo simile alla tossina botulinica, ma molto più debolmente. Dalle creme penetra appena nella pelle; in un esperimento di laboratorio è rimasto quasi completamente negli strati superficiali. Piccoli studi brevi – in parte degli sviluppatori, in parte con prodotti combinati – riportano meno rughe sottili; uno studio a metà viso in cieco con misurazione oggettiva non ha invece trovato differenze. Come crema è considerato sicuro alle concentrazioni usuali; le iniezioni non sono né studiate né approvate e possono portare a infezioni gravi. L’espressione pubblicitaria «Botox in tubetto» non è supportata dai dati.</w:t>
      </w:r>
    </w:p>
    <w:bookmarkEnd w:id="931"/>
    <w:bookmarkEnd w:id="932"/>
    <w:bookmarkEnd w:id="933"/>
    <w:bookmarkStart w:id="974" w:name="parte-iii-il-grande-confronto"/>
    <w:p>
      <w:pPr>
        <w:pStyle w:val="Heading1"/>
      </w:pPr>
      <w:r>
        <w:t xml:space="preserve">Parte III – Il grande confronto</w:t>
      </w:r>
    </w:p>
    <w:p>
      <w:pPr>
        <w:pStyle w:val="FirstParagraph"/>
      </w:pPr>
      <w:r>
        <w:t xml:space="preserve">Nella Parte II ogni peptide è stato considerato singolarmente. Questa parte affianca i risultati e risponde a tre domande: quanto è studiato un peptide rispetto agli altri? Come si confrontano tra loro i farmaci per dimagrire e per il diabete? E che cosa resta delle promesse di internet se si considerano validi solo gli studi sull’uomo?</w:t>
      </w:r>
    </w:p>
    <w:p>
      <w:pPr>
        <w:pStyle w:val="BodyText"/>
      </w:pPr>
      <w:r>
        <w:t xml:space="preserve">Le tabelle sono sintesi. Fonti e limiti di ogni numero si trovano nei capitoli della Parte II. Tutte le informazioni su approvazione e stato antidoping riflettono la situazione del 2026 e andrebbero verificate.</w:t>
      </w:r>
    </w:p>
    <w:bookmarkStart w:id="946" w:name="tutti-i-peptidi-in-sintesi"/>
    <w:p>
      <w:pPr>
        <w:pStyle w:val="Heading2"/>
      </w:pPr>
      <w:r>
        <w:t xml:space="preserve">Tutti i peptidi in sintesi</w:t>
      </w:r>
    </w:p>
    <w:bookmarkStart w:id="934" w:name="come-leggere-le-tabelle"/>
    <w:p>
      <w:pPr>
        <w:pStyle w:val="Heading3"/>
      </w:pPr>
      <w:r>
        <w:t xml:space="preserve">Come leggere le tabelle</w:t>
      </w:r>
    </w:p>
    <w:p>
      <w:pPr>
        <w:pStyle w:val="FirstParagraph"/>
      </w:pPr>
      <w:r>
        <w:t xml:space="preserve">Per ogni gruppo della Parte II seguono due tabelle: la prima con livello di evidenza, approvazione e ordine di grandezza degli studi disponibili, la seconda con il risultato di studio più importante e il rischio principale.</w:t>
      </w:r>
    </w:p>
    <w:p>
      <w:pPr>
        <w:pStyle w:val="BodyText"/>
      </w:pPr>
      <w:r>
        <w:rPr>
          <w:bCs/>
          <w:b/>
        </w:rPr>
        <w:t xml:space="preserve">Livello di evidenza</w:t>
      </w:r>
      <w:r>
        <w:t xml:space="preserve"> </w:t>
      </w:r>
      <w:r>
        <w:t xml:space="preserve">(come nella Parte II):</w:t>
      </w:r>
    </w:p>
    <w:p>
      <w:pPr>
        <w:numPr>
          <w:ilvl w:val="0"/>
          <w:numId w:val="1320"/>
        </w:numPr>
        <w:pStyle w:val="Compact"/>
      </w:pPr>
      <w:r>
        <w:rPr>
          <w:bCs/>
          <w:b/>
        </w:rPr>
        <w:t xml:space="preserve">A</w:t>
      </w:r>
      <w:r>
        <w:t xml:space="preserve">: diversi grandi studi randomizzati sull’uomo, per lo più con approvazione</w:t>
      </w:r>
    </w:p>
    <w:p>
      <w:pPr>
        <w:numPr>
          <w:ilvl w:val="0"/>
          <w:numId w:val="1320"/>
        </w:numPr>
        <w:pStyle w:val="Compact"/>
      </w:pPr>
      <w:r>
        <w:rPr>
          <w:bCs/>
          <w:b/>
        </w:rPr>
        <w:t xml:space="preserve">B</w:t>
      </w:r>
      <w:r>
        <w:t xml:space="preserve">: singoli studi randomizzati sull’uomo</w:t>
      </w:r>
    </w:p>
    <w:p>
      <w:pPr>
        <w:numPr>
          <w:ilvl w:val="0"/>
          <w:numId w:val="1320"/>
        </w:numPr>
        <w:pStyle w:val="Compact"/>
      </w:pPr>
      <w:r>
        <w:rPr>
          <w:bCs/>
          <w:b/>
        </w:rPr>
        <w:t xml:space="preserve">C</w:t>
      </w:r>
      <w:r>
        <w:t xml:space="preserve">: solo studi sull’uomo piccoli o non controllati</w:t>
      </w:r>
    </w:p>
    <w:p>
      <w:pPr>
        <w:numPr>
          <w:ilvl w:val="0"/>
          <w:numId w:val="1320"/>
        </w:numPr>
        <w:pStyle w:val="Compact"/>
      </w:pPr>
      <w:r>
        <w:rPr>
          <w:bCs/>
          <w:b/>
        </w:rPr>
        <w:t xml:space="preserve">D</w:t>
      </w:r>
      <w:r>
        <w:t xml:space="preserve">: solo studi su animali e in laboratorio</w:t>
      </w:r>
    </w:p>
    <w:p>
      <w:pPr>
        <w:pStyle w:val="FirstParagraph"/>
      </w:pPr>
      <w:r>
        <w:t xml:space="preserve">Il livello descrive</w:t>
      </w:r>
      <w:r>
        <w:t xml:space="preserve"> </w:t>
      </w:r>
      <w:r>
        <w:rPr>
          <w:iCs/>
          <w:i/>
        </w:rPr>
        <w:t xml:space="preserve">quanto bene</w:t>
      </w:r>
      <w:r>
        <w:t xml:space="preserve"> </w:t>
      </w:r>
      <w:r>
        <w:t xml:space="preserve">qualcosa è stato studiato, non</w:t>
      </w:r>
      <w:r>
        <w:t xml:space="preserve"> </w:t>
      </w:r>
      <w:r>
        <w:rPr>
          <w:iCs/>
          <w:i/>
        </w:rPr>
        <w:t xml:space="preserve">se</w:t>
      </w:r>
      <w:r>
        <w:t xml:space="preserve"> </w:t>
      </w:r>
      <w:r>
        <w:t xml:space="preserve">funziona – e vale solo per l’impiego studiato.</w:t>
      </w:r>
    </w:p>
    <w:p>
      <w:pPr>
        <w:pStyle w:val="BodyText"/>
      </w:pPr>
      <w:r>
        <w:rPr>
          <w:bCs/>
          <w:b/>
        </w:rPr>
        <w:t xml:space="preserve">Studi sull’uomo / registro:</w:t>
      </w:r>
      <w:r>
        <w:t xml:space="preserve"> </w:t>
      </w:r>
      <w:r>
        <w:t xml:space="preserve">i numeri provengono dalla ricerca automatizzata per questo libro (ottobre 2026, metodologia in appendice): pubblicazioni classificate come studi sull’uomo in PubMed e voci nel registro degli studi ClinicalTrials.gov. Indicano solo l’ordine di grandezza, dipendono molto dal termine di ricerca e contengono in parte risultati non pertinenti, mentre possono mancare lavori più vecchi pubblicati con altri nomi. Dove un numero è nettamente fuorviante, è contrassegnato con «(nota)» e spiegato sotto la tabella. Le voci di registro di uno sponsor le cui voci, al controllo, si sono rivelate evidentemente voci di esempio o di prova fittizie non sono conteggiate.</w:t>
      </w:r>
    </w:p>
    <w:bookmarkEnd w:id="934"/>
    <w:bookmarkStart w:id="935" w:name="a.-metabolismo-e-peso"/>
    <w:p>
      <w:pPr>
        <w:pStyle w:val="Heading3"/>
      </w:pPr>
      <w:r>
        <w:t xml:space="preserve">A. Metabolismo e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sì / sì (anche generici)</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sì / sì (iniezione e compressa)</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 / no (solo Cina,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(nota)</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 / sì</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sì / sì (rare forme genetiche)</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(non è un peptide)</w:t>
            </w:r>
          </w:p>
        </w:tc>
        <w:tc>
          <w:tcPr/>
          <w:p>
            <w:pPr>
              <w:pStyle w:val="Compact"/>
              <w:jc w:val="left"/>
            </w:pPr>
            <w:r>
              <w:t xml:space="preserve">A</w:t>
            </w:r>
          </w:p>
        </w:tc>
        <w:tc>
          <w:tcPr/>
          <w:p>
            <w:pPr>
              <w:pStyle w:val="Compact"/>
              <w:jc w:val="left"/>
            </w:pPr>
            <w:r>
              <w:t xml:space="preserve">no / domanda presentata (da verificare)</w:t>
            </w:r>
          </w:p>
        </w:tc>
        <w:tc>
          <w:tcPr/>
          <w:p>
            <w:pPr>
              <w:pStyle w:val="Compact"/>
              <w:jc w:val="left"/>
            </w:pPr>
            <w:r>
              <w:t xml:space="preserve">20 / 53</w:t>
            </w:r>
          </w:p>
        </w:tc>
      </w:tr>
    </w:tbl>
    <w:p>
      <w:pPr>
        <w:pStyle w:val="BodyText"/>
      </w:pPr>
      <w:r>
        <w:t xml:space="preserve">Nota alla tabella: per l’</w:t>
      </w:r>
      <w:r>
        <w:rPr>
          <w:bCs/>
          <w:b/>
        </w:rPr>
        <w:t xml:space="preserve">amycretin</w:t>
      </w:r>
      <w:r>
        <w:t xml:space="preserve"> </w:t>
      </w:r>
      <w:r>
        <w:t xml:space="preserve">la ricerca nel registro ha trovato una sola voce; con il nome zenagamtide e il codice di sviluppo sono registrati circa 30 studi, tra cui il programma di fase 3 avviato nel 2026. Per la</w:t>
      </w:r>
      <w:r>
        <w:t xml:space="preserve"> </w:t>
      </w:r>
      <w:r>
        <w:rPr>
          <w:bCs/>
          <w:b/>
        </w:rPr>
        <w:t xml:space="preserve">mazdutide</w:t>
      </w:r>
      <w:r>
        <w:t xml:space="preserve"> </w:t>
      </w:r>
      <w:r>
        <w:t xml:space="preserve">gli studi provengono quasi solo dalla Cina; per l’</w:t>
      </w:r>
      <w:r>
        <w:rPr>
          <w:bCs/>
          <w:b/>
        </w:rPr>
        <w:t xml:space="preserve">orforglipron</w:t>
      </w:r>
      <w:r>
        <w:t xml:space="preserve"> </w:t>
      </w:r>
      <w:r>
        <w:t xml:space="preserve">l’approvazione era in sospeso alla chiusura redazionale.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Exenatide</w:t>
            </w:r>
          </w:p>
        </w:tc>
        <w:tc>
          <w:tcPr/>
          <w:p>
            <w:pPr>
              <w:pStyle w:val="Compact"/>
              <w:jc w:val="left"/>
            </w:pPr>
            <w:r>
              <w:t xml:space="preserve">EXSCEL: rischio cardiovascolare non aumentato, ma nemmeno ridotto in modo significativo (HR 0,91; PMID 28910237)</w:t>
            </w:r>
          </w:p>
        </w:tc>
        <w:tc>
          <w:tcPr/>
          <w:p>
            <w:pPr>
              <w:pStyle w:val="Compact"/>
              <w:jc w:val="left"/>
            </w:pPr>
            <w:r>
              <w:t xml:space="preserve">Nausea, noduli, anticorpi</w:t>
            </w:r>
          </w:p>
        </w:tc>
      </w:tr>
      <w:tr>
        <w:tc>
          <w:tcPr/>
          <w:p>
            <w:pPr>
              <w:pStyle w:val="Compact"/>
              <w:jc w:val="left"/>
            </w:pPr>
            <w:r>
              <w:t xml:space="preserve">Liraglutide</w:t>
            </w:r>
          </w:p>
        </w:tc>
        <w:tc>
          <w:tcPr/>
          <w:p>
            <w:pPr>
              <w:pStyle w:val="Compact"/>
              <w:jc w:val="left"/>
            </w:pPr>
            <w:r>
              <w:t xml:space="preserve">LEADER: 13% in meno di eventi cardiovascolari (PMID 27295427); SCALE: −8,4 vs. −2,8 kg (PMID 26132939)</w:t>
            </w:r>
          </w:p>
        </w:tc>
        <w:tc>
          <w:tcPr/>
          <w:p>
            <w:pPr>
              <w:pStyle w:val="Compact"/>
              <w:jc w:val="left"/>
            </w:pPr>
            <w:r>
              <w:t xml:space="preserve">Disturbi gastrointestinali, colecisti</w:t>
            </w:r>
          </w:p>
        </w:tc>
      </w:tr>
      <w:tr>
        <w:tc>
          <w:tcPr/>
          <w:p>
            <w:pPr>
              <w:pStyle w:val="Compact"/>
              <w:jc w:val="left"/>
            </w:pPr>
            <w:r>
              <w:t xml:space="preserve">Dulaglutide</w:t>
            </w:r>
          </w:p>
        </w:tc>
        <w:tc>
          <w:tcPr/>
          <w:p>
            <w:pPr>
              <w:pStyle w:val="Compact"/>
              <w:jc w:val="left"/>
            </w:pPr>
            <w:r>
              <w:t xml:space="preserve">REWIND: 12% in meno di eventi cardiovascolari gravi su 9.901 partecipanti (PMID 31189511)</w:t>
            </w:r>
          </w:p>
        </w:tc>
        <w:tc>
          <w:tcPr/>
          <w:p>
            <w:pPr>
              <w:pStyle w:val="Compact"/>
              <w:jc w:val="left"/>
            </w:pPr>
            <w:r>
              <w:t xml:space="preserve">Gastrointestinali; ipoglicemia in combinazione</w:t>
            </w:r>
          </w:p>
        </w:tc>
      </w:tr>
      <w:tr>
        <w:tc>
          <w:tcPr/>
          <w:p>
            <w:pPr>
              <w:pStyle w:val="Compact"/>
              <w:jc w:val="left"/>
            </w:pPr>
            <w:r>
              <w:t xml:space="preserve">Semaglutide</w:t>
            </w:r>
          </w:p>
        </w:tc>
        <w:tc>
          <w:tcPr/>
          <w:p>
            <w:pPr>
              <w:pStyle w:val="Compact"/>
              <w:jc w:val="left"/>
            </w:pPr>
            <w:r>
              <w:t xml:space="preserve">STEP 1: −14,9% vs. −2,4% (PMID 33567185); SELECT: 20% in meno di eventi cardiovascolari (PMID 37952131)</w:t>
            </w:r>
          </w:p>
        </w:tc>
        <w:tc>
          <w:tcPr/>
          <w:p>
            <w:pPr>
              <w:pStyle w:val="Compact"/>
              <w:jc w:val="left"/>
            </w:pPr>
            <w:r>
              <w:t xml:space="preserve">Gastrointestinali, colecisti, raro segnale di NAION, contraffazioni</w:t>
            </w:r>
          </w:p>
        </w:tc>
      </w:tr>
      <w:tr>
        <w:tc>
          <w:tcPr/>
          <w:p>
            <w:pPr>
              <w:pStyle w:val="Compact"/>
              <w:jc w:val="left"/>
            </w:pPr>
            <w:r>
              <w:t xml:space="preserve">Tirzepatide</w:t>
            </w:r>
          </w:p>
        </w:tc>
        <w:tc>
          <w:tcPr/>
          <w:p>
            <w:pPr>
              <w:pStyle w:val="Compact"/>
              <w:jc w:val="left"/>
            </w:pPr>
            <w:r>
              <w:t xml:space="preserve">SURMOUNT-5: −20,2% vs. −13,7% con semaglutide (PMID 40353578)</w:t>
            </w:r>
          </w:p>
        </w:tc>
        <w:tc>
          <w:tcPr/>
          <w:p>
            <w:pPr>
              <w:pStyle w:val="Compact"/>
              <w:jc w:val="left"/>
            </w:pPr>
            <w:r>
              <w:t xml:space="preserve">Gastrointestinali, vie biliari; ripresa del peso dopo la sospensione</w:t>
            </w:r>
          </w:p>
        </w:tc>
      </w:tr>
      <w:tr>
        <w:tc>
          <w:tcPr/>
          <w:p>
            <w:pPr>
              <w:pStyle w:val="Compact"/>
              <w:jc w:val="left"/>
            </w:pPr>
            <w:r>
              <w:t xml:space="preserve">Retatrutide</w:t>
            </w:r>
          </w:p>
        </w:tc>
        <w:tc>
          <w:tcPr/>
          <w:p>
            <w:pPr>
              <w:pStyle w:val="Compact"/>
              <w:jc w:val="left"/>
            </w:pPr>
            <w:r>
              <w:t xml:space="preserve">TRIUMPH-1: fino a −25,0% vs. −3,9% dopo 80 settimane (PMID 42814954)</w:t>
            </w:r>
          </w:p>
        </w:tc>
        <w:tc>
          <w:tcPr/>
          <w:p>
            <w:pPr>
              <w:pStyle w:val="Compact"/>
              <w:jc w:val="left"/>
            </w:pPr>
            <w:r>
              <w:t xml:space="preserve">Gastrointestinali, disestesie cutanee, più interruzioni ad alto dosaggio</w:t>
            </w:r>
          </w:p>
        </w:tc>
      </w:tr>
      <w:tr>
        <w:tc>
          <w:tcPr/>
          <w:p>
            <w:pPr>
              <w:pStyle w:val="Compact"/>
              <w:jc w:val="left"/>
            </w:pPr>
            <w:r>
              <w:t xml:space="preserve">Survodutide</w:t>
            </w:r>
          </w:p>
        </w:tc>
        <w:tc>
          <w:tcPr/>
          <w:p>
            <w:pPr>
              <w:pStyle w:val="Compact"/>
              <w:jc w:val="left"/>
            </w:pPr>
            <w:r>
              <w:t xml:space="preserve">SYNCHRONIZE-1: fino a −13,0% vs. −5,4% dopo 76 settimane (PMID 42253238)</w:t>
            </w:r>
          </w:p>
        </w:tc>
        <w:tc>
          <w:tcPr/>
          <w:p>
            <w:pPr>
              <w:pStyle w:val="Compact"/>
              <w:jc w:val="left"/>
            </w:pPr>
            <w:r>
              <w:t xml:space="preserve">disturbi gastrointestinali molto frequenti</w:t>
            </w:r>
          </w:p>
        </w:tc>
      </w:tr>
      <w:tr>
        <w:tc>
          <w:tcPr/>
          <w:p>
            <w:pPr>
              <w:pStyle w:val="Compact"/>
              <w:jc w:val="left"/>
            </w:pPr>
            <w:r>
              <w:t xml:space="preserve">Mazdutide</w:t>
            </w:r>
          </w:p>
        </w:tc>
        <w:tc>
          <w:tcPr/>
          <w:p>
            <w:pPr>
              <w:pStyle w:val="Compact"/>
              <w:jc w:val="left"/>
            </w:pPr>
            <w:r>
              <w:t xml:space="preserve">GLORY-1: fino a −14,0% vs. +0,3% dopo 48 settimane (PMID 40421736)</w:t>
            </w:r>
          </w:p>
        </w:tc>
        <w:tc>
          <w:tcPr/>
          <w:p>
            <w:pPr>
              <w:pStyle w:val="Compact"/>
              <w:jc w:val="left"/>
            </w:pPr>
            <w:r>
              <w:t xml:space="preserve">Gastrointestinali, soprattutto vomito</w:t>
            </w:r>
          </w:p>
        </w:tc>
      </w:tr>
      <w:tr>
        <w:tc>
          <w:tcPr/>
          <w:p>
            <w:pPr>
              <w:pStyle w:val="Compact"/>
              <w:jc w:val="left"/>
            </w:pPr>
            <w:r>
              <w:t xml:space="preserve">Cagrilintide / CagriSema</w:t>
            </w:r>
          </w:p>
        </w:tc>
        <w:tc>
          <w:tcPr/>
          <w:p>
            <w:pPr>
              <w:pStyle w:val="Compact"/>
              <w:jc w:val="left"/>
            </w:pPr>
            <w:r>
              <w:t xml:space="preserve">REDEFINE 1: −20,4% vs. −3,0% dopo 68 settimane (PMID 40544433)</w:t>
            </w:r>
          </w:p>
        </w:tc>
        <w:tc>
          <w:tcPr/>
          <w:p>
            <w:pPr>
              <w:pStyle w:val="Compact"/>
              <w:jc w:val="left"/>
            </w:pPr>
            <w:r>
              <w:t xml:space="preserve">Disturbi gastrointestinali in circa l’80%</w:t>
            </w:r>
          </w:p>
        </w:tc>
      </w:tr>
      <w:tr>
        <w:tc>
          <w:tcPr/>
          <w:p>
            <w:pPr>
              <w:pStyle w:val="Compact"/>
              <w:jc w:val="left"/>
            </w:pPr>
            <w:r>
              <w:t xml:space="preserve">Amycretin</w:t>
            </w:r>
          </w:p>
        </w:tc>
        <w:tc>
          <w:tcPr/>
          <w:p>
            <w:pPr>
              <w:pStyle w:val="Compact"/>
              <w:jc w:val="left"/>
            </w:pPr>
            <w:r>
              <w:t xml:space="preserve">Fase 1b/2a: fino a −24,3% vs. −1,1% dopo 36 settimane (PMID 40550231)</w:t>
            </w:r>
          </w:p>
        </w:tc>
        <w:tc>
          <w:tcPr/>
          <w:p>
            <w:pPr>
              <w:pStyle w:val="Compact"/>
              <w:jc w:val="left"/>
            </w:pPr>
            <w:r>
              <w:t xml:space="preserve">Gastrointestinali; conseguenze a lungo termine sconosciute</w:t>
            </w:r>
          </w:p>
        </w:tc>
      </w:tr>
      <w:tr>
        <w:tc>
          <w:tcPr/>
          <w:p>
            <w:pPr>
              <w:pStyle w:val="Compact"/>
              <w:jc w:val="left"/>
            </w:pPr>
            <w:r>
              <w:t xml:space="preserve">Maridebart cafraglutide</w:t>
            </w:r>
          </w:p>
        </w:tc>
        <w:tc>
          <w:tcPr/>
          <w:p>
            <w:pPr>
              <w:pStyle w:val="Compact"/>
              <w:jc w:val="left"/>
            </w:pPr>
            <w:r>
              <w:t xml:space="preserve">Fase 2: da −12,3 a −16,2% vs. −2,5% dopo 52 settimane (PMID 40549887)</w:t>
            </w:r>
          </w:p>
        </w:tc>
        <w:tc>
          <w:tcPr/>
          <w:p>
            <w:pPr>
              <w:pStyle w:val="Compact"/>
              <w:jc w:val="left"/>
            </w:pPr>
            <w:r>
              <w:t xml:space="preserve">Gastrointestinali; durata d’azione molto lunga</w:t>
            </w:r>
          </w:p>
        </w:tc>
      </w:tr>
      <w:tr>
        <w:tc>
          <w:tcPr/>
          <w:p>
            <w:pPr>
              <w:pStyle w:val="Compact"/>
              <w:jc w:val="left"/>
            </w:pPr>
            <w:r>
              <w:t xml:space="preserve">Pramlintide</w:t>
            </w:r>
          </w:p>
        </w:tc>
        <w:tc>
          <w:tcPr/>
          <w:p>
            <w:pPr>
              <w:pStyle w:val="Compact"/>
              <w:jc w:val="left"/>
            </w:pPr>
            <w:r>
              <w:t xml:space="preserve">HbA1c −0,62 punti percentuali, peso −1,4 kg (PMID 12610038)</w:t>
            </w:r>
          </w:p>
        </w:tc>
        <w:tc>
          <w:tcPr/>
          <w:p>
            <w:pPr>
              <w:pStyle w:val="Compact"/>
              <w:jc w:val="left"/>
            </w:pPr>
            <w:r>
              <w:t xml:space="preserve">ipoglicemia grave con insulina, nausea</w:t>
            </w:r>
          </w:p>
        </w:tc>
      </w:tr>
      <w:tr>
        <w:tc>
          <w:tcPr/>
          <w:p>
            <w:pPr>
              <w:pStyle w:val="Compact"/>
              <w:jc w:val="left"/>
            </w:pPr>
            <w:r>
              <w:t xml:space="preserve">Setmelanotide</w:t>
            </w:r>
          </w:p>
        </w:tc>
        <w:tc>
          <w:tcPr/>
          <w:p>
            <w:pPr>
              <w:pStyle w:val="Compact"/>
              <w:jc w:val="left"/>
            </w:pPr>
            <w:r>
              <w:t xml:space="preserve">TRANSCEND: BMI −16,5% vs. +3,3% nell’obesità ipotalamica (PMID 42418774)</w:t>
            </w:r>
          </w:p>
        </w:tc>
        <w:tc>
          <w:tcPr/>
          <w:p>
            <w:pPr>
              <w:pStyle w:val="Compact"/>
              <w:jc w:val="left"/>
            </w:pPr>
            <w:r>
              <w:t xml:space="preserve">Punti di iniezione, iperpigmentazione cutanea, nausea</w:t>
            </w:r>
          </w:p>
        </w:tc>
      </w:tr>
      <w:tr>
        <w:tc>
          <w:tcPr/>
          <w:p>
            <w:pPr>
              <w:pStyle w:val="Compact"/>
              <w:jc w:val="left"/>
            </w:pPr>
            <w:r>
              <w:t xml:space="preserve">AOD-9604</w:t>
            </w:r>
          </w:p>
        </w:tc>
        <w:tc>
          <w:tcPr/>
          <w:p>
            <w:pPr>
              <w:pStyle w:val="Compact"/>
              <w:jc w:val="left"/>
            </w:pPr>
            <w:r>
              <w:t xml:space="preserve">Solo dati sugli animali: nei topi minore aumento di peso (PMID 11673763)</w:t>
            </w:r>
          </w:p>
        </w:tc>
        <w:tc>
          <w:tcPr/>
          <w:p>
            <w:pPr>
              <w:pStyle w:val="Compact"/>
              <w:jc w:val="left"/>
            </w:pPr>
            <w:r>
              <w:t xml:space="preserve">Effetto nell’uomo sconosciuto</w:t>
            </w:r>
          </w:p>
        </w:tc>
      </w:tr>
      <w:tr>
        <w:tc>
          <w:tcPr/>
          <w:p>
            <w:pPr>
              <w:pStyle w:val="Compact"/>
              <w:jc w:val="left"/>
            </w:pPr>
            <w:r>
              <w:t xml:space="preserve">Orforglipron</w:t>
            </w:r>
          </w:p>
        </w:tc>
        <w:tc>
          <w:tcPr/>
          <w:p>
            <w:pPr>
              <w:pStyle w:val="Compact"/>
              <w:jc w:val="left"/>
            </w:pPr>
            <w:r>
              <w:t xml:space="preserve">ATTAIN-1: fino a −11,2% vs. −2,1% come compressa (PMID 40960239)</w:t>
            </w:r>
          </w:p>
        </w:tc>
        <w:tc>
          <w:tcPr/>
          <w:p>
            <w:pPr>
              <w:pStyle w:val="Compact"/>
              <w:jc w:val="left"/>
            </w:pPr>
            <w:r>
              <w:t xml:space="preserve">Gastrointestinali, un po’ più di interruzioni rispetto al semaglutide in compresse</w:t>
            </w:r>
          </w:p>
        </w:tc>
      </w:tr>
    </w:tbl>
    <w:bookmarkEnd w:id="935"/>
    <w:bookmarkStart w:id="936" w:name="X8b9e50e2f777a280aebbd52677e749c149eafe6"/>
    <w:p>
      <w:pPr>
        <w:pStyle w:val="Heading3"/>
      </w:pPr>
      <w:r>
        <w:t xml:space="preserve">B. Guarigione, rigenerazione e sistema immunitario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no / no (approvata in Cina e altrove)</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no / no (approvata in Russia)</w:t>
            </w:r>
          </w:p>
        </w:tc>
        <w:tc>
          <w:tcPr/>
          <w:p>
            <w:pPr>
              <w:pStyle w:val="Compact"/>
              <w:jc w:val="left"/>
            </w:pPr>
            <w:r>
              <w:t xml:space="preserve">17 / 0</w:t>
            </w:r>
          </w:p>
        </w:tc>
      </w:tr>
    </w:tbl>
    <w:p>
      <w:pPr>
        <w:pStyle w:val="BodyText"/>
      </w:pPr>
      <w:r>
        <w:t xml:space="preserve">Note alla tabella: per il</w:t>
      </w:r>
      <w:r>
        <w:t xml:space="preserve"> </w:t>
      </w:r>
      <w:r>
        <w:rPr>
          <w:bCs/>
          <w:b/>
        </w:rPr>
        <w:t xml:space="preserve">BPC-157</w:t>
      </w:r>
      <w:r>
        <w:t xml:space="preserve"> </w:t>
      </w:r>
      <w:r>
        <w:t xml:space="preserve">nessuna pubblicazione soddisfaceva i criteri di filtro della ricerca automatica; in realtà esistono tre piccole indagini non controllate con complessivamente circa 30 persone. Per il</w:t>
      </w:r>
      <w:r>
        <w:t xml:space="preserve"> </w:t>
      </w:r>
      <w:r>
        <w:rPr>
          <w:bCs/>
          <w:b/>
        </w:rPr>
        <w:t xml:space="preserve">TB-500</w:t>
      </w:r>
      <w:r>
        <w:t xml:space="preserve"> </w:t>
      </w:r>
      <w:r>
        <w:t xml:space="preserve">i risultati riguardano l’intera proteina timosina beta 4 (solo sei come principio attivo); nessuno studia il TB-500. Per l’</w:t>
      </w:r>
      <w:r>
        <w:rPr>
          <w:bCs/>
          <w:b/>
        </w:rPr>
        <w:t xml:space="preserve">LL-37</w:t>
      </w:r>
      <w:r>
        <w:t xml:space="preserve"> </w:t>
      </w:r>
      <w:r>
        <w:t xml:space="preserve">la maggior parte dei risultati misura l’LL-37 solo come valore di laboratorio, per esempio in studi sulla vitamina D; gli studi in cui è stato somministrato l’LL-37 stesso sono solo cinque in PubMed e due nel registro. Per il</w:t>
      </w:r>
      <w:r>
        <w:t xml:space="preserve"> </w:t>
      </w:r>
      <w:r>
        <w:rPr>
          <w:bCs/>
          <w:b/>
        </w:rPr>
        <w:t xml:space="preserve">larazotide</w:t>
      </w:r>
      <w:r>
        <w:t xml:space="preserve"> </w:t>
      </w:r>
      <w:r>
        <w:t xml:space="preserve">la ricerca ha trovato 29 voci di registro, di cui 19 riguardano un altro farmaco con lo stesso codice di sviluppo precedente; la tabella riporta il numero corretto.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BPC-157</w:t>
            </w:r>
          </w:p>
        </w:tc>
        <w:tc>
          <w:tcPr/>
          <w:p>
            <w:pPr>
              <w:pStyle w:val="Compact"/>
              <w:jc w:val="left"/>
            </w:pPr>
            <w:r>
              <w:t xml:space="preserve">Tre indagini pilota non controllate, evidenza molto bassa secondo una rassegna (PMID 42885452)</w:t>
            </w:r>
          </w:p>
        </w:tc>
        <w:tc>
          <w:tcPr/>
          <w:p>
            <w:pPr>
              <w:pStyle w:val="Compact"/>
              <w:jc w:val="left"/>
            </w:pPr>
            <w:r>
              <w:t xml:space="preserve">sicurezza a lungo termine sconosciuta, qualità del mercato grigio</w:t>
            </w:r>
          </w:p>
        </w:tc>
      </w:tr>
      <w:tr>
        <w:tc>
          <w:tcPr/>
          <w:p>
            <w:pPr>
              <w:pStyle w:val="Compact"/>
              <w:jc w:val="left"/>
            </w:pPr>
            <w:r>
              <w:t xml:space="preserve">TB-500 / timosina beta 4</w:t>
            </w:r>
          </w:p>
        </w:tc>
        <w:tc>
          <w:tcPr/>
          <w:p>
            <w:pPr>
              <w:pStyle w:val="Compact"/>
              <w:jc w:val="left"/>
            </w:pPr>
            <w:r>
              <w:t xml:space="preserve">Tβ4 dopo infarto: dimensione dell’infarto non significativamente minore (PMID 41229390); TB-500 non verificato</w:t>
            </w:r>
          </w:p>
        </w:tc>
        <w:tc>
          <w:tcPr/>
          <w:p>
            <w:pPr>
              <w:pStyle w:val="Compact"/>
              <w:jc w:val="left"/>
            </w:pPr>
            <w:r>
              <w:t xml:space="preserve">contenuto non chiaro, teoricamente promozione tumorale</w:t>
            </w:r>
          </w:p>
        </w:tc>
      </w:tr>
      <w:tr>
        <w:tc>
          <w:tcPr/>
          <w:p>
            <w:pPr>
              <w:pStyle w:val="Compact"/>
              <w:jc w:val="left"/>
            </w:pPr>
            <w:r>
              <w:t xml:space="preserve">Timosina alfa 1</w:t>
            </w:r>
          </w:p>
        </w:tc>
        <w:tc>
          <w:tcPr/>
          <w:p>
            <w:pPr>
              <w:pStyle w:val="Compact"/>
              <w:jc w:val="left"/>
            </w:pPr>
            <w:r>
              <w:t xml:space="preserve">TESTS nella sepsi: mortalità a 28 giorni 23,4% vs. 24,1%, nessuna differenza (PMID 39814420)</w:t>
            </w:r>
          </w:p>
        </w:tc>
        <w:tc>
          <w:tcPr/>
          <w:p>
            <w:pPr>
              <w:pStyle w:val="Compact"/>
              <w:jc w:val="left"/>
            </w:pPr>
            <w:r>
              <w:t xml:space="preserve">possibili svantaggi in sottogruppi; mercato grigio</w:t>
            </w:r>
          </w:p>
        </w:tc>
      </w:tr>
      <w:tr>
        <w:tc>
          <w:tcPr/>
          <w:p>
            <w:pPr>
              <w:pStyle w:val="Compact"/>
              <w:jc w:val="left"/>
            </w:pPr>
            <w:r>
              <w:t xml:space="preserve">KPV</w:t>
            </w:r>
          </w:p>
        </w:tc>
        <w:tc>
          <w:tcPr/>
          <w:p>
            <w:pPr>
              <w:pStyle w:val="Compact"/>
              <w:jc w:val="left"/>
            </w:pPr>
            <w:r>
              <w:t xml:space="preserve">Solo dati sugli animali: meno infiammazione intestinale nei topi (PMID 18061177)</w:t>
            </w:r>
          </w:p>
        </w:tc>
        <w:tc>
          <w:tcPr/>
          <w:p>
            <w:pPr>
              <w:pStyle w:val="Compact"/>
              <w:jc w:val="left"/>
            </w:pPr>
            <w:r>
              <w:t xml:space="preserve">profilo nell’uomo del tutto sconosciuto</w:t>
            </w:r>
          </w:p>
        </w:tc>
      </w:tr>
      <w:tr>
        <w:tc>
          <w:tcPr/>
          <w:p>
            <w:pPr>
              <w:pStyle w:val="Compact"/>
              <w:jc w:val="left"/>
            </w:pPr>
            <w:r>
              <w:t xml:space="preserve">LL-37</w:t>
            </w:r>
          </w:p>
        </w:tc>
        <w:tc>
          <w:tcPr/>
          <w:p>
            <w:pPr>
              <w:pStyle w:val="Compact"/>
              <w:jc w:val="left"/>
            </w:pPr>
            <w:r>
              <w:t xml:space="preserve">HEAL LL-37: le ulcere delle gambe non sono guarite meglio che con il placebo (PMID 34687253)</w:t>
            </w:r>
          </w:p>
        </w:tc>
        <w:tc>
          <w:tcPr/>
          <w:p>
            <w:pPr>
              <w:pStyle w:val="Compact"/>
              <w:jc w:val="left"/>
            </w:pPr>
            <w:r>
              <w:t xml:space="preserve">Reazioni infiammatorie e autoimmuni</w:t>
            </w:r>
          </w:p>
        </w:tc>
      </w:tr>
      <w:tr>
        <w:tc>
          <w:tcPr/>
          <w:p>
            <w:pPr>
              <w:pStyle w:val="Compact"/>
              <w:jc w:val="left"/>
            </w:pPr>
            <w:r>
              <w:t xml:space="preserve">ARA-290</w:t>
            </w:r>
          </w:p>
        </w:tc>
        <w:tc>
          <w:tcPr/>
          <w:p>
            <w:pPr>
              <w:pStyle w:val="Compact"/>
              <w:jc w:val="left"/>
            </w:pPr>
            <w:r>
              <w:t xml:space="preserve">Fase 2b: fibre nervose aumentate solo con una di tre dosi (PMID 28475703)</w:t>
            </w:r>
          </w:p>
        </w:tc>
        <w:tc>
          <w:tcPr/>
          <w:p>
            <w:pPr>
              <w:pStyle w:val="Compact"/>
              <w:jc w:val="left"/>
            </w:pPr>
            <w:r>
              <w:t xml:space="preserve">pochissimi dati oltre le dodici settimane</w:t>
            </w:r>
          </w:p>
        </w:tc>
      </w:tr>
      <w:tr>
        <w:tc>
          <w:tcPr/>
          <w:p>
            <w:pPr>
              <w:pStyle w:val="Compact"/>
              <w:jc w:val="left"/>
            </w:pPr>
            <w:r>
              <w:t xml:space="preserve">Larazotide</w:t>
            </w:r>
          </w:p>
        </w:tc>
        <w:tc>
          <w:tcPr/>
          <w:p>
            <w:pPr>
              <w:pStyle w:val="Compact"/>
              <w:jc w:val="left"/>
            </w:pPr>
            <w:r>
              <w:t xml:space="preserve">Solo la più bassa di tre dosi migliore del placebo (PMID 25683116); fase 3 interrotta</w:t>
            </w:r>
          </w:p>
        </w:tc>
        <w:tc>
          <w:tcPr/>
          <w:p>
            <w:pPr>
              <w:pStyle w:val="Compact"/>
              <w:jc w:val="left"/>
            </w:pPr>
            <w:r>
              <w:t xml:space="preserve">dieta senza glutine allentata</w:t>
            </w:r>
          </w:p>
        </w:tc>
      </w:tr>
      <w:tr>
        <w:tc>
          <w:tcPr/>
          <w:p>
            <w:pPr>
              <w:pStyle w:val="Compact"/>
              <w:jc w:val="left"/>
            </w:pPr>
            <w:r>
              <w:t xml:space="preserve">Timalina</w:t>
            </w:r>
          </w:p>
        </w:tc>
        <w:tc>
          <w:tcPr/>
          <w:p>
            <w:pPr>
              <w:pStyle w:val="Compact"/>
              <w:jc w:val="left"/>
            </w:pPr>
            <w:r>
              <w:t xml:space="preserve">Osservazione russo-ucraina: mortalità più bassa, assegnazione non chiara (PMID 14523363)</w:t>
            </w:r>
          </w:p>
        </w:tc>
        <w:tc>
          <w:tcPr/>
          <w:p>
            <w:pPr>
              <w:pStyle w:val="Compact"/>
              <w:jc w:val="left"/>
            </w:pPr>
            <w:r>
              <w:t xml:space="preserve">estratto animale, rischi legati ai lotti</w:t>
            </w:r>
          </w:p>
        </w:tc>
      </w:tr>
    </w:tbl>
    <w:bookmarkEnd w:id="936"/>
    <w:bookmarkStart w:id="937" w:name="c.-asse-dellormone-della-crescita"/>
    <w:p>
      <w:pPr>
        <w:pStyle w:val="Heading3"/>
      </w:pPr>
      <w:r>
        <w:t xml:space="preserve">C. Asse dell’ormone della crescita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no / un tempo sì, ritirata dal mercato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no / sì (lipodistrofia da HIV)</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(Giappone: diagnostico)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(nota)</w:t>
            </w:r>
          </w:p>
        </w:tc>
      </w:tr>
      <w:tr>
        <w:tc>
          <w:tcPr/>
          <w:p>
            <w:pPr>
              <w:pStyle w:val="Compact"/>
              <w:jc w:val="left"/>
            </w:pPr>
            <w:r>
              <w:t xml:space="preserve">Exarelina</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sì / sì (solo diagnostico)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 (non è un peptide)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Note alla tabella: per la</w:t>
      </w:r>
      <w:r>
        <w:t xml:space="preserve"> </w:t>
      </w:r>
      <w:r>
        <w:rPr>
          <w:bCs/>
          <w:b/>
        </w:rPr>
        <w:t xml:space="preserve">sermorelina</w:t>
      </w:r>
      <w:r>
        <w:t xml:space="preserve"> </w:t>
      </w:r>
      <w:r>
        <w:t xml:space="preserve">la ricerca per nome non trova alcuno studio sull’uomo, perché la maggior parte dei lavori è uscita come «GHRH(1-29)» o «GRF 1-29»; con una ricerca mirata si tratta di diverse decine di piccoli studi, per lo più precedenti al 2000. Molti dei 27 risultati del registro riguardano invece la tesamorelina o i test al GHRH in generale. Per</w:t>
      </w:r>
      <w:r>
        <w:t xml:space="preserve"> </w:t>
      </w:r>
      <w:r>
        <w:rPr>
          <w:bCs/>
          <w:b/>
        </w:rPr>
        <w:t xml:space="preserve">GHRP-2, GHRP-6 ed exarelina</w:t>
      </w:r>
      <w:r>
        <w:t xml:space="preserve"> </w:t>
      </w:r>
      <w:r>
        <w:t xml:space="preserve">quasi tutti i lavori usano la sostanza solo come sostanza di test una tantum per studiare la regolazione ormonale; sul beneficio non dicono nulla.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Sermorelina</w:t>
            </w:r>
          </w:p>
        </w:tc>
        <w:tc>
          <w:tcPr/>
          <w:p>
            <w:pPr>
              <w:pStyle w:val="Compact"/>
              <w:jc w:val="left"/>
            </w:pPr>
            <w:r>
              <w:t xml:space="preserve">110 bambini con deficit di GH: crescita da 4,1 a 7,2 cm/anno (PMID 8772599)</w:t>
            </w:r>
          </w:p>
        </w:tc>
        <w:tc>
          <w:tcPr/>
          <w:p>
            <w:pPr>
              <w:pStyle w:val="Compact"/>
              <w:jc w:val="left"/>
            </w:pPr>
            <w:r>
              <w:t xml:space="preserve">Flush; conseguenze a lungo termine negli adulti non chiarite</w:t>
            </w:r>
          </w:p>
        </w:tc>
      </w:tr>
      <w:tr>
        <w:tc>
          <w:tcPr/>
          <w:p>
            <w:pPr>
              <w:pStyle w:val="Compact"/>
              <w:jc w:val="left"/>
            </w:pPr>
            <w:r>
              <w:t xml:space="preserve">Tesamorelina</w:t>
            </w:r>
          </w:p>
        </w:tc>
        <w:tc>
          <w:tcPr/>
          <w:p>
            <w:pPr>
              <w:pStyle w:val="Compact"/>
              <w:jc w:val="left"/>
            </w:pPr>
            <w:r>
              <w:t xml:space="preserve">Due studi di fase 3 con 806 persone: grasso addominale viscerale −15,4% rispetto al placebo (PMID 20554713)</w:t>
            </w:r>
          </w:p>
        </w:tc>
        <w:tc>
          <w:tcPr/>
          <w:p>
            <w:pPr>
              <w:pStyle w:val="Compact"/>
              <w:jc w:val="left"/>
            </w:pPr>
            <w:r>
              <w:t xml:space="preserve">Dolori articolari, ritenzione idrica, glicemia</w:t>
            </w:r>
          </w:p>
        </w:tc>
      </w:tr>
      <w:tr>
        <w:tc>
          <w:tcPr/>
          <w:p>
            <w:pPr>
              <w:pStyle w:val="Compact"/>
              <w:jc w:val="left"/>
            </w:pPr>
            <w:r>
              <w:t xml:space="preserve">CJC-1295</w:t>
            </w:r>
          </w:p>
        </w:tc>
        <w:tc>
          <w:tcPr/>
          <w:p>
            <w:pPr>
              <w:pStyle w:val="Compact"/>
              <w:jc w:val="left"/>
            </w:pPr>
            <w:r>
              <w:t xml:space="preserve">Iniezione singola: GH aumentato di 2–10 volte, IGF-1 di 1,5–3 volte (PMID 16352683)</w:t>
            </w:r>
          </w:p>
        </w:tc>
        <w:tc>
          <w:tcPr/>
          <w:p>
            <w:pPr>
              <w:pStyle w:val="Compact"/>
              <w:jc w:val="left"/>
            </w:pPr>
            <w:r>
              <w:t xml:space="preserve">Stimolazione continua non studiata, contenuto non chiaro</w:t>
            </w:r>
          </w:p>
        </w:tc>
      </w:tr>
      <w:tr>
        <w:tc>
          <w:tcPr/>
          <w:p>
            <w:pPr>
              <w:pStyle w:val="Compact"/>
              <w:jc w:val="left"/>
            </w:pPr>
            <w:r>
              <w:t xml:space="preserve">Ipamorelina</w:t>
            </w:r>
          </w:p>
        </w:tc>
        <w:tc>
          <w:tcPr/>
          <w:p>
            <w:pPr>
              <w:pStyle w:val="Compact"/>
              <w:jc w:val="left"/>
            </w:pPr>
            <w:r>
              <w:t xml:space="preserve">Fase 2 dopo chirurgia intestinale: nessun beneficio significativo (PMID 25331030)</w:t>
            </w:r>
          </w:p>
        </w:tc>
        <w:tc>
          <w:tcPr/>
          <w:p>
            <w:pPr>
              <w:pStyle w:val="Compact"/>
              <w:jc w:val="left"/>
            </w:pPr>
            <w:r>
              <w:t xml:space="preserve">nessun dato sull’uso prolungato; molecole modificate</w:t>
            </w:r>
          </w:p>
        </w:tc>
      </w:tr>
      <w:tr>
        <w:tc>
          <w:tcPr/>
          <w:p>
            <w:pPr>
              <w:pStyle w:val="Compact"/>
              <w:jc w:val="left"/>
            </w:pPr>
            <w:r>
              <w:t xml:space="preserve">GHRP-2</w:t>
            </w:r>
          </w:p>
        </w:tc>
        <w:tc>
          <w:tcPr/>
          <w:p>
            <w:pPr>
              <w:pStyle w:val="Compact"/>
              <w:jc w:val="left"/>
            </w:pPr>
            <w:r>
              <w:t xml:space="preserve">Come test ha distinto in modo affidabile il deficit di GH dalle persone sane (PMID 17609397)</w:t>
            </w:r>
          </w:p>
        </w:tc>
        <w:tc>
          <w:tcPr/>
          <w:p>
            <w:pPr>
              <w:pStyle w:val="Compact"/>
              <w:jc w:val="left"/>
            </w:pPr>
            <w:r>
              <w:t xml:space="preserve">Fame intensa, aumento degli ormoni dello stress</w:t>
            </w:r>
          </w:p>
        </w:tc>
      </w:tr>
      <w:tr>
        <w:tc>
          <w:tcPr/>
          <w:p>
            <w:pPr>
              <w:pStyle w:val="Compact"/>
              <w:jc w:val="left"/>
            </w:pPr>
            <w:r>
              <w:t xml:space="preserve">GHRP-6</w:t>
            </w:r>
          </w:p>
        </w:tc>
        <w:tc>
          <w:tcPr/>
          <w:p>
            <w:pPr>
              <w:pStyle w:val="Compact"/>
              <w:jc w:val="left"/>
            </w:pPr>
            <w:r>
              <w:t xml:space="preserve">Test combinato ha riconosciuto in modo affidabile il deficit di GH (PMID 11030292)</w:t>
            </w:r>
          </w:p>
        </w:tc>
        <w:tc>
          <w:tcPr/>
          <w:p>
            <w:pPr>
              <w:pStyle w:val="Compact"/>
              <w:jc w:val="left"/>
            </w:pPr>
            <w:r>
              <w:t xml:space="preserve">Flush, aumenti ormonali, fame</w:t>
            </w:r>
          </w:p>
        </w:tc>
      </w:tr>
      <w:tr>
        <w:tc>
          <w:tcPr/>
          <w:p>
            <w:pPr>
              <w:pStyle w:val="Compact"/>
              <w:jc w:val="left"/>
            </w:pPr>
            <w:r>
              <w:t xml:space="preserve">Exarelina</w:t>
            </w:r>
          </w:p>
        </w:tc>
        <w:tc>
          <w:tcPr/>
          <w:p>
            <w:pPr>
              <w:pStyle w:val="Compact"/>
              <w:jc w:val="left"/>
            </w:pPr>
            <w:r>
              <w:t xml:space="preserve">Perdita di efficacia in 16 settimane, composizione corporea invariata (PMID 9589671)</w:t>
            </w:r>
          </w:p>
        </w:tc>
        <w:tc>
          <w:tcPr/>
          <w:p>
            <w:pPr>
              <w:pStyle w:val="Compact"/>
              <w:jc w:val="left"/>
            </w:pPr>
            <w:r>
              <w:t xml:space="preserve">Ormoni dello stress, prolattina, perdita di efficacia</w:t>
            </w:r>
          </w:p>
        </w:tc>
      </w:tr>
      <w:tr>
        <w:tc>
          <w:tcPr/>
          <w:p>
            <w:pPr>
              <w:pStyle w:val="Compact"/>
              <w:jc w:val="left"/>
            </w:pPr>
            <w:r>
              <w:t xml:space="preserve">Macimorelina</w:t>
            </w:r>
          </w:p>
        </w:tc>
        <w:tc>
          <w:tcPr/>
          <w:p>
            <w:pPr>
              <w:pStyle w:val="Compact"/>
              <w:jc w:val="left"/>
            </w:pPr>
            <w:r>
              <w:t xml:space="preserve">Test con sensibilità dell’87% e specificità del 96% rispetto al test all’insulina (PMID 29860473)</w:t>
            </w:r>
          </w:p>
        </w:tc>
        <w:tc>
          <w:tcPr/>
          <w:p>
            <w:pPr>
              <w:pStyle w:val="Compact"/>
              <w:jc w:val="left"/>
            </w:pPr>
            <w:r>
              <w:t xml:space="preserve">Prolungamento del QT in caso di sovradosaggio</w:t>
            </w:r>
          </w:p>
        </w:tc>
      </w:tr>
      <w:tr>
        <w:tc>
          <w:tcPr/>
          <w:p>
            <w:pPr>
              <w:pStyle w:val="Compact"/>
              <w:jc w:val="left"/>
            </w:pPr>
            <w:r>
              <w:t xml:space="preserve">Mecasermina (IGF-1)</w:t>
            </w:r>
          </w:p>
        </w:tc>
        <w:tc>
          <w:tcPr/>
          <w:p>
            <w:pPr>
              <w:pStyle w:val="Compact"/>
              <w:jc w:val="left"/>
            </w:pPr>
            <w:r>
              <w:t xml:space="preserve">76 bambini con resistenza al GH: crescita da 2,8 a 8,0 cm/anno (PMID 17192294)</w:t>
            </w:r>
          </w:p>
        </w:tc>
        <w:tc>
          <w:tcPr/>
          <w:p>
            <w:pPr>
              <w:pStyle w:val="Compact"/>
              <w:jc w:val="left"/>
            </w:pPr>
            <w:r>
              <w:t xml:space="preserve">Ipoglicemia; avvertenza su neoplasie</w:t>
            </w:r>
          </w:p>
        </w:tc>
      </w:tr>
      <w:tr>
        <w:tc>
          <w:tcPr/>
          <w:p>
            <w:pPr>
              <w:pStyle w:val="Compact"/>
              <w:jc w:val="left"/>
            </w:pPr>
            <w:r>
              <w:t xml:space="preserve">IGF-1 LR3</w:t>
            </w:r>
          </w:p>
        </w:tc>
        <w:tc>
          <w:tcPr/>
          <w:p>
            <w:pPr>
              <w:pStyle w:val="Compact"/>
              <w:jc w:val="left"/>
            </w:pPr>
            <w:r>
              <w:t xml:space="preserve">Nessuno studio sull’uomo; nel flacone del mercato nero una variante di laboratorio (PMID 20675162)</w:t>
            </w:r>
          </w:p>
        </w:tc>
        <w:tc>
          <w:tcPr/>
          <w:p>
            <w:pPr>
              <w:pStyle w:val="Compact"/>
              <w:jc w:val="left"/>
            </w:pPr>
            <w:r>
              <w:t xml:space="preserve">Ipoglicemia, segnali di crescita (teorico)</w:t>
            </w:r>
          </w:p>
        </w:tc>
      </w:tr>
      <w:tr>
        <w:tc>
          <w:tcPr/>
          <w:p>
            <w:pPr>
              <w:pStyle w:val="Compact"/>
              <w:jc w:val="left"/>
            </w:pPr>
            <w:r>
              <w:t xml:space="preserve">Ibutamoren</w:t>
            </w:r>
          </w:p>
        </w:tc>
        <w:tc>
          <w:tcPr/>
          <w:p>
            <w:pPr>
              <w:pStyle w:val="Compact"/>
              <w:jc w:val="left"/>
            </w:pPr>
            <w:r>
              <w:t xml:space="preserve">65 anziani: massa magra +1,1 kg, forza e funzione invariate (PMID 18981485)</w:t>
            </w:r>
          </w:p>
        </w:tc>
        <w:tc>
          <w:tcPr/>
          <w:p>
            <w:pPr>
              <w:pStyle w:val="Compact"/>
              <w:jc w:val="left"/>
            </w:pPr>
            <w:r>
              <w:t xml:space="preserve">Segnale di insufficienza cardiaca, glicemia più alta</w:t>
            </w:r>
          </w:p>
        </w:tc>
      </w:tr>
    </w:tbl>
    <w:bookmarkEnd w:id="937"/>
    <w:bookmarkStart w:id="938" w:name="d.-cervello-sonno-e-longevità"/>
    <w:p>
      <w:pPr>
        <w:pStyle w:val="Heading3"/>
      </w:pPr>
      <w:r>
        <w:t xml:space="preserve">D. Cervello, sonno e longevità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(registrato in Russia)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(registrato in Russia)</w:t>
            </w:r>
          </w:p>
        </w:tc>
        <w:tc>
          <w:tcPr/>
          <w:p>
            <w:pPr>
              <w:pStyle w:val="Compact"/>
              <w:jc w:val="left"/>
            </w:pPr>
            <w:r>
              <w:t xml:space="preserve">3 / 2 (nota)</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nazionale (tra cui Austria)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(nota)</w:t>
            </w:r>
          </w:p>
        </w:tc>
      </w:tr>
      <w:tr>
        <w:tc>
          <w:tcPr/>
          <w:p>
            <w:pPr>
              <w:pStyle w:val="Compact"/>
              <w:jc w:val="left"/>
            </w:pPr>
            <w:r>
              <w:t xml:space="preserve">Umanina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(nota)</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no / sì, accelerata (solo sindrome di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Glutatione</w:t>
            </w:r>
          </w:p>
        </w:tc>
        <w:tc>
          <w:tcPr/>
          <w:p>
            <w:pPr>
              <w:pStyle w:val="Compact"/>
              <w:jc w:val="left"/>
            </w:pPr>
            <w:r>
              <w:t xml:space="preserve">B</w:t>
            </w:r>
          </w:p>
        </w:tc>
        <w:tc>
          <w:tcPr/>
          <w:p>
            <w:pPr>
              <w:pStyle w:val="Compact"/>
              <w:jc w:val="left"/>
            </w:pPr>
            <w:r>
              <w:t xml:space="preserve">integratore / integratore</w:t>
            </w:r>
          </w:p>
        </w:tc>
        <w:tc>
          <w:tcPr/>
          <w:p>
            <w:pPr>
              <w:pStyle w:val="Compact"/>
              <w:jc w:val="left"/>
            </w:pPr>
            <w:r>
              <w:t xml:space="preserve">161 / 273 (nota)</w:t>
            </w:r>
          </w:p>
        </w:tc>
      </w:tr>
    </w:tbl>
    <w:p>
      <w:pPr>
        <w:pStyle w:val="BodyText"/>
      </w:pPr>
      <w:r>
        <w:t xml:space="preserve">Note alla tabella: per</w:t>
      </w:r>
      <w:r>
        <w:t xml:space="preserve"> </w:t>
      </w:r>
      <w:r>
        <w:rPr>
          <w:bCs/>
          <w:b/>
        </w:rPr>
        <w:t xml:space="preserve">Selank</w:t>
      </w:r>
      <w:r>
        <w:t xml:space="preserve"> </w:t>
      </w:r>
      <w:r>
        <w:t xml:space="preserve">e</w:t>
      </w:r>
      <w:r>
        <w:t xml:space="preserve"> </w:t>
      </w:r>
      <w:r>
        <w:rPr>
          <w:bCs/>
          <w:b/>
        </w:rPr>
        <w:t xml:space="preserve">DSIP</w:t>
      </w:r>
      <w:r>
        <w:t xml:space="preserve"> </w:t>
      </w:r>
      <w:r>
        <w:t xml:space="preserve">i risultati del registro riguardano altre procedure o altri temi; non esiste uno studio registrato con il peptide. L’unica voce di registro sull’</w:t>
      </w:r>
      <w:r>
        <w:rPr>
          <w:bCs/>
          <w:b/>
        </w:rPr>
        <w:t xml:space="preserve">Epitalon</w:t>
      </w:r>
      <w:r>
        <w:t xml:space="preserve"> </w:t>
      </w:r>
      <w:r>
        <w:t xml:space="preserve">è uno studio non controllato con un siero per la pelle, in cui l’Epitalon è uno di cinque componenti. Per</w:t>
      </w:r>
      <w:r>
        <w:t xml:space="preserve"> </w:t>
      </w:r>
      <w:r>
        <w:rPr>
          <w:bCs/>
          <w:b/>
        </w:rPr>
        <w:t xml:space="preserve">MOTS-c</w:t>
      </w:r>
      <w:r>
        <w:t xml:space="preserve"> </w:t>
      </w:r>
      <w:r>
        <w:t xml:space="preserve">e</w:t>
      </w:r>
      <w:r>
        <w:t xml:space="preserve"> </w:t>
      </w:r>
      <w:r>
        <w:rPr>
          <w:bCs/>
          <w:b/>
        </w:rPr>
        <w:t xml:space="preserve">umanina</w:t>
      </w:r>
      <w:r>
        <w:t xml:space="preserve"> </w:t>
      </w:r>
      <w:r>
        <w:t xml:space="preserve">in nessuna delle pubblicazioni è stato somministrato il peptide; misurano i livelli endogeni. Per il</w:t>
      </w:r>
      <w:r>
        <w:t xml:space="preserve"> </w:t>
      </w:r>
      <w:r>
        <w:rPr>
          <w:bCs/>
          <w:b/>
        </w:rPr>
        <w:t xml:space="preserve">glutatione</w:t>
      </w:r>
      <w:r>
        <w:t xml:space="preserve"> </w:t>
      </w:r>
      <w:r>
        <w:t xml:space="preserve">molti risultati misurano il glutatione solo come valore di laboratorio o riguardano l’enzima glutatione-S-transferasi; gli studi con somministrazione di glutatione sono una minoranza di alcune decine.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Semax</w:t>
            </w:r>
          </w:p>
        </w:tc>
        <w:tc>
          <w:tcPr/>
          <w:p>
            <w:pPr>
              <w:pStyle w:val="Compact"/>
              <w:jc w:val="left"/>
            </w:pPr>
            <w:r>
              <w:t xml:space="preserve">Studio in aperto dopo ictus: BDNF più alto, miglioramento più rapido (PMID 29798983)</w:t>
            </w:r>
          </w:p>
        </w:tc>
        <w:tc>
          <w:tcPr/>
          <w:p>
            <w:pPr>
              <w:pStyle w:val="Compact"/>
              <w:jc w:val="left"/>
            </w:pPr>
            <w:r>
              <w:t xml:space="preserve">nessun dato di sicurezza sistematico</w:t>
            </w:r>
          </w:p>
        </w:tc>
      </w:tr>
      <w:tr>
        <w:tc>
          <w:tcPr/>
          <w:p>
            <w:pPr>
              <w:pStyle w:val="Compact"/>
              <w:jc w:val="left"/>
            </w:pPr>
            <w:r>
              <w:t xml:space="preserve">Selank</w:t>
            </w:r>
          </w:p>
        </w:tc>
        <w:tc>
          <w:tcPr/>
          <w:p>
            <w:pPr>
              <w:pStyle w:val="Compact"/>
              <w:jc w:val="left"/>
            </w:pPr>
            <w:r>
              <w:t xml:space="preserve">Effetto ansiolitico simile al medazepam, senza gruppo placebo (PMID 18454096)</w:t>
            </w:r>
          </w:p>
        </w:tc>
        <w:tc>
          <w:tcPr/>
          <w:p>
            <w:pPr>
              <w:pStyle w:val="Compact"/>
              <w:jc w:val="left"/>
            </w:pPr>
            <w:r>
              <w:t xml:space="preserve">nessun dato a lungo termine; mercato grigio</w:t>
            </w:r>
          </w:p>
        </w:tc>
      </w:tr>
      <w:tr>
        <w:tc>
          <w:tcPr/>
          <w:p>
            <w:pPr>
              <w:pStyle w:val="Compact"/>
              <w:jc w:val="left"/>
            </w:pPr>
            <w:r>
              <w:t xml:space="preserve">Cerebrolysin</w:t>
            </w:r>
          </w:p>
        </w:tc>
        <w:tc>
          <w:tcPr/>
          <w:p>
            <w:pPr>
              <w:pStyle w:val="Compact"/>
              <w:jc w:val="left"/>
            </w:pPr>
            <w:r>
              <w:t xml:space="preserve">CASTA con 1.070 persone: endpoint primario mancato (PMID 22282884)</w:t>
            </w:r>
          </w:p>
        </w:tc>
        <w:tc>
          <w:tcPr/>
          <w:p>
            <w:pPr>
              <w:pStyle w:val="Compact"/>
              <w:jc w:val="left"/>
            </w:pPr>
            <w:r>
              <w:t xml:space="preserve">possibile segnale di effetti collaterali gravi (Cochrane)</w:t>
            </w:r>
          </w:p>
        </w:tc>
      </w:tr>
      <w:tr>
        <w:tc>
          <w:tcPr/>
          <w:p>
            <w:pPr>
              <w:pStyle w:val="Compact"/>
              <w:jc w:val="left"/>
            </w:pPr>
            <w:r>
              <w:t xml:space="preserve">Dihexa</w:t>
            </w:r>
          </w:p>
        </w:tc>
        <w:tc>
          <w:tcPr/>
          <w:p>
            <w:pPr>
              <w:pStyle w:val="Compact"/>
              <w:jc w:val="left"/>
            </w:pPr>
            <w:r>
              <w:t xml:space="preserve">Solo dati sugli animali; uno studio centrale sui ratti è stato ritirato nel 2025 (PMID 25187433, ritiro PMID 40312093)</w:t>
            </w:r>
          </w:p>
        </w:tc>
        <w:tc>
          <w:tcPr/>
          <w:p>
            <w:pPr>
              <w:pStyle w:val="Compact"/>
              <w:jc w:val="left"/>
            </w:pPr>
            <w:r>
              <w:t xml:space="preserve">nessun dato sull’uomo; rischio oncologico teorico</w:t>
            </w:r>
          </w:p>
        </w:tc>
      </w:tr>
      <w:tr>
        <w:tc>
          <w:tcPr/>
          <w:p>
            <w:pPr>
              <w:pStyle w:val="Compact"/>
              <w:jc w:val="left"/>
            </w:pPr>
            <w:r>
              <w:t xml:space="preserve">DSIP</w:t>
            </w:r>
          </w:p>
        </w:tc>
        <w:tc>
          <w:tcPr/>
          <w:p>
            <w:pPr>
              <w:pStyle w:val="Compact"/>
              <w:jc w:val="left"/>
            </w:pPr>
            <w:r>
              <w:t xml:space="preserve">16 persone con insonnia: solo effetti deboli (PMID 1299794)</w:t>
            </w:r>
          </w:p>
        </w:tc>
        <w:tc>
          <w:tcPr/>
          <w:p>
            <w:pPr>
              <w:pStyle w:val="Compact"/>
              <w:jc w:val="left"/>
            </w:pPr>
            <w:r>
              <w:t xml:space="preserve">nessun dato di sicurezza sistematico</w:t>
            </w:r>
          </w:p>
        </w:tc>
      </w:tr>
      <w:tr>
        <w:tc>
          <w:tcPr/>
          <w:p>
            <w:pPr>
              <w:pStyle w:val="Compact"/>
              <w:jc w:val="left"/>
            </w:pPr>
            <w:r>
              <w:t xml:space="preserve">Epitalon</w:t>
            </w:r>
          </w:p>
        </w:tc>
        <w:tc>
          <w:tcPr/>
          <w:p>
            <w:pPr>
              <w:pStyle w:val="Compact"/>
              <w:jc w:val="left"/>
            </w:pPr>
            <w:r>
              <w:t xml:space="preserve">Nei topi nessuna durata media della vita più lunga (PMID 14501183)</w:t>
            </w:r>
          </w:p>
        </w:tc>
        <w:tc>
          <w:tcPr/>
          <w:p>
            <w:pPr>
              <w:pStyle w:val="Compact"/>
              <w:jc w:val="left"/>
            </w:pPr>
            <w:r>
              <w:t xml:space="preserve">nessun dato sull’uomo; questione telomerasi</w:t>
            </w:r>
          </w:p>
        </w:tc>
      </w:tr>
      <w:tr>
        <w:tc>
          <w:tcPr/>
          <w:p>
            <w:pPr>
              <w:pStyle w:val="Compact"/>
              <w:jc w:val="left"/>
            </w:pPr>
            <w:r>
              <w:t xml:space="preserve">Pinealon</w:t>
            </w:r>
          </w:p>
        </w:tc>
        <w:tc>
          <w:tcPr/>
          <w:p>
            <w:pPr>
              <w:pStyle w:val="Compact"/>
              <w:jc w:val="left"/>
            </w:pPr>
            <w:r>
              <w:t xml:space="preserve">32 anziani, non controllato; anche inibizione dell’emopoiesi (PMID 26390612)</w:t>
            </w:r>
          </w:p>
        </w:tc>
        <w:tc>
          <w:tcPr/>
          <w:p>
            <w:pPr>
              <w:pStyle w:val="Compact"/>
              <w:jc w:val="left"/>
            </w:pPr>
            <w:r>
              <w:t xml:space="preserve">nessun dato di sicurezza sistematico</w:t>
            </w:r>
          </w:p>
        </w:tc>
      </w:tr>
      <w:tr>
        <w:tc>
          <w:tcPr/>
          <w:p>
            <w:pPr>
              <w:pStyle w:val="Compact"/>
              <w:jc w:val="left"/>
            </w:pPr>
            <w:r>
              <w:t xml:space="preserve">MOTS-c</w:t>
            </w:r>
          </w:p>
        </w:tc>
        <w:tc>
          <w:tcPr/>
          <w:p>
            <w:pPr>
              <w:pStyle w:val="Compact"/>
              <w:jc w:val="left"/>
            </w:pPr>
            <w:r>
              <w:t xml:space="preserve">Solo dati sugli animali sulla somministrazione: nei topi meno sovrappeso (PMID 25738459)</w:t>
            </w:r>
          </w:p>
        </w:tc>
        <w:tc>
          <w:tcPr/>
          <w:p>
            <w:pPr>
              <w:pStyle w:val="Compact"/>
              <w:jc w:val="left"/>
            </w:pPr>
            <w:r>
              <w:t xml:space="preserve">nessun dato sulla somministrazione nell’uomo</w:t>
            </w:r>
          </w:p>
        </w:tc>
      </w:tr>
      <w:tr>
        <w:tc>
          <w:tcPr/>
          <w:p>
            <w:pPr>
              <w:pStyle w:val="Compact"/>
              <w:jc w:val="left"/>
            </w:pPr>
            <w:r>
              <w:t xml:space="preserve">Umanina</w:t>
            </w:r>
          </w:p>
        </w:tc>
        <w:tc>
          <w:tcPr/>
          <w:p>
            <w:pPr>
              <w:pStyle w:val="Compact"/>
              <w:jc w:val="left"/>
            </w:pPr>
            <w:r>
              <w:t xml:space="preserve">Solo misurazioni dei livelli nell’uomo (PMID 32575074)</w:t>
            </w:r>
          </w:p>
        </w:tc>
        <w:tc>
          <w:tcPr/>
          <w:p>
            <w:pPr>
              <w:pStyle w:val="Compact"/>
              <w:jc w:val="left"/>
            </w:pPr>
            <w:r>
              <w:t xml:space="preserve">nei topi maggiore crescita del cancro al seno (PMID 32444831)</w:t>
            </w:r>
          </w:p>
        </w:tc>
      </w:tr>
      <w:tr>
        <w:tc>
          <w:tcPr/>
          <w:p>
            <w:pPr>
              <w:pStyle w:val="Compact"/>
              <w:jc w:val="left"/>
            </w:pPr>
            <w:r>
              <w:t xml:space="preserve">SS-31 (elamipretide)</w:t>
            </w:r>
          </w:p>
        </w:tc>
        <w:tc>
          <w:tcPr/>
          <w:p>
            <w:pPr>
              <w:pStyle w:val="Compact"/>
              <w:jc w:val="left"/>
            </w:pPr>
            <w:r>
              <w:t xml:space="preserve">MMPOWER-3 con 218 persone: nessun beneficio nella miopatia (PMID 37268435)</w:t>
            </w:r>
          </w:p>
        </w:tc>
        <w:tc>
          <w:tcPr/>
          <w:p>
            <w:pPr>
              <w:pStyle w:val="Compact"/>
              <w:jc w:val="left"/>
            </w:pPr>
            <w:r>
              <w:t xml:space="preserve">Punti di iniezione; prodotto del mercato grigio non identico</w:t>
            </w:r>
          </w:p>
        </w:tc>
      </w:tr>
      <w:tr>
        <w:tc>
          <w:tcPr/>
          <w:p>
            <w:pPr>
              <w:pStyle w:val="Compact"/>
              <w:jc w:val="left"/>
            </w:pPr>
            <w:r>
              <w:t xml:space="preserve">FOXO4-DRI</w:t>
            </w:r>
          </w:p>
        </w:tc>
        <w:tc>
          <w:tcPr/>
          <w:p>
            <w:pPr>
              <w:pStyle w:val="Compact"/>
              <w:jc w:val="left"/>
            </w:pPr>
            <w:r>
              <w:t xml:space="preserve">Solo dati sugli animali: nei topi invecchiati migliore forma fisica (PMID 28340339)</w:t>
            </w:r>
          </w:p>
        </w:tc>
        <w:tc>
          <w:tcPr/>
          <w:p>
            <w:pPr>
              <w:pStyle w:val="Compact"/>
              <w:jc w:val="left"/>
            </w:pPr>
            <w:r>
              <w:t xml:space="preserve">nessun dato sull’uomo; intervento su p53</w:t>
            </w:r>
          </w:p>
        </w:tc>
      </w:tr>
      <w:tr>
        <w:tc>
          <w:tcPr/>
          <w:p>
            <w:pPr>
              <w:pStyle w:val="Compact"/>
              <w:jc w:val="left"/>
            </w:pPr>
            <w:r>
              <w:t xml:space="preserve">Glutatione</w:t>
            </w:r>
          </w:p>
        </w:tc>
        <w:tc>
          <w:tcPr/>
          <w:p>
            <w:pPr>
              <w:pStyle w:val="Compact"/>
              <w:jc w:val="left"/>
            </w:pPr>
            <w:r>
              <w:t xml:space="preserve">Fase 3 con 185 persone: nessuna protezione dai danni nervosi da chemioterapia (PMID 24619793)</w:t>
            </w:r>
          </w:p>
        </w:tc>
        <w:tc>
          <w:tcPr/>
          <w:p>
            <w:pPr>
              <w:pStyle w:val="Compact"/>
              <w:jc w:val="left"/>
            </w:pPr>
            <w:r>
              <w:t xml:space="preserve">Infusioni per schiarire la pelle: avvertenze delle autorità</w:t>
            </w:r>
          </w:p>
        </w:tc>
      </w:tr>
    </w:tbl>
    <w:bookmarkEnd w:id="938"/>
    <w:bookmarkStart w:id="939" w:name="e.-ormoni-sessualità-e-pigmentazione"/>
    <w:p>
      <w:pPr>
        <w:pStyle w:val="Heading3"/>
      </w:pPr>
      <w:r>
        <w:t xml:space="preserve">E. Ormoni, sessualità e pigmentazione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no / sì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(nota)</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sì / sì (Scenesse, solo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Ossitocina (spray nasale)</w:t>
            </w:r>
          </w:p>
        </w:tc>
        <w:tc>
          <w:tcPr/>
          <w:p>
            <w:pPr>
              <w:pStyle w:val="Compact"/>
              <w:jc w:val="left"/>
            </w:pPr>
            <w:r>
              <w:t xml:space="preserve">B</w:t>
            </w:r>
          </w:p>
        </w:tc>
        <w:tc>
          <w:tcPr/>
          <w:p>
            <w:pPr>
              <w:pStyle w:val="Compact"/>
              <w:jc w:val="left"/>
            </w:pPr>
            <w:r>
              <w:t xml:space="preserve">solo ostetricia / solo ostetricia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nazionale in singoli Stati / no</w:t>
            </w:r>
          </w:p>
        </w:tc>
        <w:tc>
          <w:tcPr/>
          <w:p>
            <w:pPr>
              <w:pStyle w:val="Compact"/>
              <w:jc w:val="left"/>
            </w:pPr>
            <w:r>
              <w:t xml:space="preserve">9 / 1.000 (nota)</w:t>
            </w:r>
          </w:p>
        </w:tc>
      </w:tr>
    </w:tbl>
    <w:p>
      <w:pPr>
        <w:pStyle w:val="BodyText"/>
      </w:pPr>
      <w:r>
        <w:t xml:space="preserve">Note alla tabella: per il</w:t>
      </w:r>
      <w:r>
        <w:t xml:space="preserve"> </w:t>
      </w:r>
      <w:r>
        <w:rPr>
          <w:bCs/>
          <w:b/>
        </w:rPr>
        <w:t xml:space="preserve">Melanotan II</w:t>
      </w:r>
      <w:r>
        <w:t xml:space="preserve"> </w:t>
      </w:r>
      <w:r>
        <w:t xml:space="preserve">quattro degli otto risultati di PubMed riguardano il Melanotan I (il futuro afamelanotide); l’unica voce di registro si è rivelata non affidabile. Per l’</w:t>
      </w:r>
      <w:r>
        <w:rPr>
          <w:bCs/>
          <w:b/>
        </w:rPr>
        <w:t xml:space="preserve">afamelanotide</w:t>
      </w:r>
      <w:r>
        <w:t xml:space="preserve"> </w:t>
      </w:r>
      <w:r>
        <w:t xml:space="preserve">mancano nel conteggio gli studi più vecchi con i nomi Melanotan I o NDP-MSH. Per l’</w:t>
      </w:r>
      <w:r>
        <w:rPr>
          <w:bCs/>
          <w:b/>
        </w:rPr>
        <w:t xml:space="preserve">ossitocina</w:t>
      </w:r>
      <w:r>
        <w:t xml:space="preserve"> </w:t>
      </w:r>
      <w:r>
        <w:t xml:space="preserve">è approvato solo l’uso come infusione o iniezione in ostetricia, non lo spray nasale. I numeri per la</w:t>
      </w:r>
      <w:r>
        <w:t xml:space="preserve"> </w:t>
      </w:r>
      <w:r>
        <w:rPr>
          <w:bCs/>
          <w:b/>
        </w:rPr>
        <w:t xml:space="preserve">gonadorelina</w:t>
      </w:r>
      <w:r>
        <w:t xml:space="preserve"> </w:t>
      </w:r>
      <w:r>
        <w:t xml:space="preserve">sono inutilizzabili: la ricerca nel registro ha raggiunto il limite massimo di 1.000 risultati, perché il registro include il termine generale «Gonadotropin-Releasing Hormone»; quasi tutti i risultati riguardano analoghi del GnRH, per esempio nel cancro della prostata, solo circa dieci l’ormone identico a quello endogeno. Il numero di PubMed è troppo basso, perché la maggior parte degli studi scrive «GnRH» o «LHRH».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Bremelanotide (PT-141)</w:t>
            </w:r>
          </w:p>
        </w:tc>
        <w:tc>
          <w:tcPr/>
          <w:p>
            <w:pPr>
              <w:pStyle w:val="Compact"/>
              <w:jc w:val="left"/>
            </w:pPr>
            <w:r>
              <w:t xml:space="preserve">RECONNECT, 1.267 donne: solo un piccolo vantaggio rispetto al placebo (PMID 31599840)</w:t>
            </w:r>
          </w:p>
        </w:tc>
        <w:tc>
          <w:tcPr/>
          <w:p>
            <w:pPr>
              <w:pStyle w:val="Compact"/>
              <w:jc w:val="left"/>
            </w:pPr>
            <w:r>
              <w:t xml:space="preserve">Nausea in circa il 40%, breve aumento della pressione</w:t>
            </w:r>
          </w:p>
        </w:tc>
      </w:tr>
      <w:tr>
        <w:tc>
          <w:tcPr/>
          <w:p>
            <w:pPr>
              <w:pStyle w:val="Compact"/>
              <w:jc w:val="left"/>
            </w:pPr>
            <w:r>
              <w:t xml:space="preserve">Melanotan II</w:t>
            </w:r>
          </w:p>
        </w:tc>
        <w:tc>
          <w:tcPr/>
          <w:p>
            <w:pPr>
              <w:pStyle w:val="Compact"/>
              <w:jc w:val="left"/>
            </w:pPr>
            <w:r>
              <w:t xml:space="preserve">Piccoli studi crossover: erezioni in 17 uomini su 20, nausea frequente (PMID 11035391)</w:t>
            </w:r>
          </w:p>
        </w:tc>
        <w:tc>
          <w:tcPr/>
          <w:p>
            <w:pPr>
              <w:pStyle w:val="Compact"/>
              <w:jc w:val="left"/>
            </w:pPr>
            <w:r>
              <w:t xml:space="preserve">Alterazioni dei nei, casi clinici di melanoma, priapismo</w:t>
            </w:r>
          </w:p>
        </w:tc>
      </w:tr>
      <w:tr>
        <w:tc>
          <w:tcPr/>
          <w:p>
            <w:pPr>
              <w:pStyle w:val="Compact"/>
              <w:jc w:val="left"/>
            </w:pPr>
            <w:r>
              <w:t xml:space="preserve">Afamelanotide</w:t>
            </w:r>
          </w:p>
        </w:tc>
        <w:tc>
          <w:tcPr/>
          <w:p>
            <w:pPr>
              <w:pStyle w:val="Compact"/>
              <w:jc w:val="left"/>
            </w:pPr>
            <w:r>
              <w:t xml:space="preserve">Due RCT: tempo senza dolore alla luce del sole più lungo nella EPP (PMID 26132941)</w:t>
            </w:r>
          </w:p>
        </w:tc>
        <w:tc>
          <w:tcPr/>
          <w:p>
            <w:pPr>
              <w:pStyle w:val="Compact"/>
              <w:jc w:val="left"/>
            </w:pPr>
            <w:r>
              <w:t xml:space="preserve">Nausea, mal di testa; controlli cutanei necessari</w:t>
            </w:r>
          </w:p>
        </w:tc>
      </w:tr>
      <w:tr>
        <w:tc>
          <w:tcPr/>
          <w:p>
            <w:pPr>
              <w:pStyle w:val="Compact"/>
              <w:jc w:val="left"/>
            </w:pPr>
            <w:r>
              <w:t xml:space="preserve">Kisspeptina</w:t>
            </w:r>
          </w:p>
        </w:tc>
        <w:tc>
          <w:tcPr/>
          <w:p>
            <w:pPr>
              <w:pStyle w:val="Compact"/>
              <w:jc w:val="left"/>
            </w:pPr>
            <w:r>
              <w:t xml:space="preserve">60 donne a rischio di OHSS: maturazione degli ovociti nel 95%, nessuna OHSS grave (PMID 26192876)</w:t>
            </w:r>
          </w:p>
        </w:tc>
        <w:tc>
          <w:tcPr/>
          <w:p>
            <w:pPr>
              <w:pStyle w:val="Compact"/>
              <w:jc w:val="left"/>
            </w:pPr>
            <w:r>
              <w:t xml:space="preserve">Abitudine fino alla soppressione dell’asse ormonale</w:t>
            </w:r>
          </w:p>
        </w:tc>
      </w:tr>
      <w:tr>
        <w:tc>
          <w:tcPr/>
          <w:p>
            <w:pPr>
              <w:pStyle w:val="Compact"/>
              <w:jc w:val="left"/>
            </w:pPr>
            <w:r>
              <w:t xml:space="preserve">Ossitocina (spray nasale)</w:t>
            </w:r>
          </w:p>
        </w:tc>
        <w:tc>
          <w:tcPr/>
          <w:p>
            <w:pPr>
              <w:pStyle w:val="Compact"/>
              <w:jc w:val="left"/>
            </w:pPr>
            <w:r>
              <w:t xml:space="preserve">SOARS-B, 290 bambini con autismo: nessuna differenza rispetto al placebo (PMID 34644471)</w:t>
            </w:r>
          </w:p>
        </w:tc>
        <w:tc>
          <w:tcPr/>
          <w:p>
            <w:pPr>
              <w:pStyle w:val="Compact"/>
              <w:jc w:val="left"/>
            </w:pPr>
            <w:r>
              <w:t xml:space="preserve">Ritenzione idrica a dosi elevate, induzione delle contrazioni</w:t>
            </w:r>
          </w:p>
        </w:tc>
      </w:tr>
      <w:tr>
        <w:tc>
          <w:tcPr/>
          <w:p>
            <w:pPr>
              <w:pStyle w:val="Compact"/>
              <w:jc w:val="left"/>
            </w:pPr>
            <w:r>
              <w:t xml:space="preserve">Gonadorelina</w:t>
            </w:r>
          </w:p>
        </w:tc>
        <w:tc>
          <w:tcPr/>
          <w:p>
            <w:pPr>
              <w:pStyle w:val="Compact"/>
              <w:jc w:val="left"/>
            </w:pPr>
            <w:r>
              <w:t xml:space="preserve">Somministrazione pulsatile: ovulazione nel 91% e nel 96% di 109 donne (PMID 2122733)</w:t>
            </w:r>
          </w:p>
        </w:tc>
        <w:tc>
          <w:tcPr/>
          <w:p>
            <w:pPr>
              <w:pStyle w:val="Compact"/>
              <w:jc w:val="left"/>
            </w:pPr>
            <w:r>
              <w:t xml:space="preserve">con ritmo errato soppressione dell’asse ormonale</w:t>
            </w:r>
          </w:p>
        </w:tc>
      </w:tr>
    </w:tbl>
    <w:bookmarkEnd w:id="939"/>
    <w:bookmarkStart w:id="940" w:name="f.-collagene-alimentazione-e-cosmetica"/>
    <w:p>
      <w:pPr>
        <w:pStyle w:val="Heading3"/>
      </w:pPr>
      <w:r>
        <w:t xml:space="preserve">F. Collagene, alimentazione e cosmetica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Peptidi di collagene</w:t>
            </w:r>
          </w:p>
        </w:tc>
        <w:tc>
          <w:tcPr/>
          <w:p>
            <w:pPr>
              <w:pStyle w:val="Compact"/>
              <w:jc w:val="left"/>
            </w:pPr>
            <w:r>
              <w:t xml:space="preserve">B</w:t>
            </w:r>
          </w:p>
        </w:tc>
        <w:tc>
          <w:tcPr/>
          <w:p>
            <w:pPr>
              <w:pStyle w:val="Compact"/>
              <w:jc w:val="left"/>
            </w:pPr>
            <w:r>
              <w:t xml:space="preserve">alimento / integratore</w:t>
            </w:r>
          </w:p>
        </w:tc>
        <w:tc>
          <w:tcPr/>
          <w:p>
            <w:pPr>
              <w:pStyle w:val="Compact"/>
              <w:jc w:val="left"/>
            </w:pPr>
            <w:r>
              <w:t xml:space="preserve">101 / 237 (nota)</w:t>
            </w:r>
          </w:p>
        </w:tc>
      </w:tr>
      <w:tr>
        <w:tc>
          <w:tcPr/>
          <w:p>
            <w:pPr>
              <w:pStyle w:val="Compact"/>
              <w:jc w:val="left"/>
            </w:pPr>
            <w:r>
              <w:t xml:space="preserve">Lattotripeptidi</w:t>
            </w:r>
          </w:p>
        </w:tc>
        <w:tc>
          <w:tcPr/>
          <w:p>
            <w:pPr>
              <w:pStyle w:val="Compact"/>
              <w:jc w:val="left"/>
            </w:pPr>
            <w:r>
              <w:t xml:space="preserve">B</w:t>
            </w:r>
          </w:p>
        </w:tc>
        <w:tc>
          <w:tcPr/>
          <w:p>
            <w:pPr>
              <w:pStyle w:val="Compact"/>
              <w:jc w:val="left"/>
            </w:pPr>
            <w:r>
              <w:t xml:space="preserve">alimento / integratore</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integratore / integratore</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cosmetico / cosmetico</w:t>
            </w:r>
          </w:p>
        </w:tc>
        <w:tc>
          <w:tcPr/>
          <w:p>
            <w:pPr>
              <w:pStyle w:val="Compact"/>
              <w:jc w:val="left"/>
            </w:pPr>
            <w:r>
              <w:t xml:space="preserve">1 / 24 (nota)</w:t>
            </w:r>
          </w:p>
        </w:tc>
      </w:tr>
      <w:tr>
        <w:tc>
          <w:tcPr/>
          <w:p>
            <w:pPr>
              <w:pStyle w:val="Compact"/>
              <w:jc w:val="left"/>
            </w:pPr>
            <w:r>
              <w:t xml:space="preserve">Palmitoil pentapeptide-4</w:t>
            </w:r>
          </w:p>
        </w:tc>
        <w:tc>
          <w:tcPr/>
          <w:p>
            <w:pPr>
              <w:pStyle w:val="Compact"/>
              <w:jc w:val="left"/>
            </w:pPr>
            <w:r>
              <w:t xml:space="preserve">B (debole)</w:t>
            </w:r>
          </w:p>
        </w:tc>
        <w:tc>
          <w:tcPr/>
          <w:p>
            <w:pPr>
              <w:pStyle w:val="Compact"/>
              <w:jc w:val="left"/>
            </w:pPr>
            <w:r>
              <w:t xml:space="preserve">cosmetico / cosmetico</w:t>
            </w:r>
          </w:p>
        </w:tc>
        <w:tc>
          <w:tcPr/>
          <w:p>
            <w:pPr>
              <w:pStyle w:val="Compact"/>
              <w:jc w:val="left"/>
            </w:pPr>
            <w:r>
              <w:t xml:space="preserve">1 / 0</w:t>
            </w:r>
          </w:p>
        </w:tc>
      </w:tr>
      <w:tr>
        <w:tc>
          <w:tcPr/>
          <w:p>
            <w:pPr>
              <w:pStyle w:val="Compact"/>
              <w:jc w:val="left"/>
            </w:pPr>
            <w:r>
              <w:t xml:space="preserve">Acetil esapeptide-8</w:t>
            </w:r>
          </w:p>
        </w:tc>
        <w:tc>
          <w:tcPr/>
          <w:p>
            <w:pPr>
              <w:pStyle w:val="Compact"/>
              <w:jc w:val="left"/>
            </w:pPr>
            <w:r>
              <w:t xml:space="preserve">B (debole)</w:t>
            </w:r>
          </w:p>
        </w:tc>
        <w:tc>
          <w:tcPr/>
          <w:p>
            <w:pPr>
              <w:pStyle w:val="Compact"/>
              <w:jc w:val="left"/>
            </w:pPr>
            <w:r>
              <w:t xml:space="preserve">cosmetico / cosmetico</w:t>
            </w:r>
          </w:p>
        </w:tc>
        <w:tc>
          <w:tcPr/>
          <w:p>
            <w:pPr>
              <w:pStyle w:val="Compact"/>
              <w:jc w:val="left"/>
            </w:pPr>
            <w:r>
              <w:t xml:space="preserve">3 / 7</w:t>
            </w:r>
          </w:p>
        </w:tc>
      </w:tr>
    </w:tbl>
    <w:p>
      <w:pPr>
        <w:pStyle w:val="BodyText"/>
      </w:pPr>
      <w:r>
        <w:t xml:space="preserve">Note alla tabella: per i</w:t>
      </w:r>
      <w:r>
        <w:t xml:space="preserve"> </w:t>
      </w:r>
      <w:r>
        <w:rPr>
          <w:bCs/>
          <w:b/>
        </w:rPr>
        <w:t xml:space="preserve">peptidi di collagene</w:t>
      </w:r>
      <w:r>
        <w:t xml:space="preserve"> </w:t>
      </w:r>
      <w:r>
        <w:t xml:space="preserve">una parte considerevole dei risultati del registro riguarda altri temi, per esempio impianti di collagene in odontoiatria o il farmaco antitumorale endostatina. Per il</w:t>
      </w:r>
      <w:r>
        <w:t xml:space="preserve"> </w:t>
      </w:r>
      <w:r>
        <w:rPr>
          <w:bCs/>
          <w:b/>
        </w:rPr>
        <w:t xml:space="preserve">GHK-Cu</w:t>
      </w:r>
      <w:r>
        <w:t xml:space="preserve"> </w:t>
      </w:r>
      <w:r>
        <w:t xml:space="preserve">quasi tutti i risultati del registro riguardano altri composti del rame, per esempio il rame-64 radioattivo per l’imaging; solo una voce credibile studia davvero il GHK. Per nessuna sostanza di questo gruppo è autorizzato nell’UE uno slogan pubblicitario relativo alla salute; per i lattotripeptidi l’Autorità europea per la sicurezza alimentare (EFSA) ha respinto l’indicazione richiesta sulla pressione arteriosa.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Peptidi di collagene</w:t>
            </w:r>
          </w:p>
        </w:tc>
        <w:tc>
          <w:tcPr/>
          <w:p>
            <w:pPr>
              <w:pStyle w:val="Compact"/>
              <w:jc w:val="left"/>
            </w:pPr>
            <w:r>
              <w:t xml:space="preserve">Artrosi: effetti da piccoli a moderati (PMID 38218227); beneficio per la pelle non presente negli studi indipendenti (PMID 40324552)</w:t>
            </w:r>
          </w:p>
        </w:tc>
        <w:tc>
          <w:tcPr/>
          <w:p>
            <w:pPr>
              <w:pStyle w:val="Compact"/>
              <w:jc w:val="left"/>
            </w:pPr>
            <w:r>
              <w:t xml:space="preserve">Sostituzione di misure efficaci; ossalato in caso di tendenza ai calcoli renali</w:t>
            </w:r>
          </w:p>
        </w:tc>
      </w:tr>
      <w:tr>
        <w:tc>
          <w:tcPr/>
          <w:p>
            <w:pPr>
              <w:pStyle w:val="Compact"/>
              <w:jc w:val="left"/>
            </w:pPr>
            <w:r>
              <w:t xml:space="preserve">Lattotripeptidi</w:t>
            </w:r>
          </w:p>
        </w:tc>
        <w:tc>
          <w:tcPr/>
          <w:p>
            <w:pPr>
              <w:pStyle w:val="Compact"/>
              <w:jc w:val="left"/>
            </w:pPr>
            <w:r>
              <w:t xml:space="preserve">Meta-analisi, 30 RCT: sistolica −2,95 mmHg, con distorsione da pubblicazione (PMID 25608938)</w:t>
            </w:r>
          </w:p>
        </w:tc>
        <w:tc>
          <w:tcPr/>
          <w:p>
            <w:pPr>
              <w:pStyle w:val="Compact"/>
              <w:jc w:val="left"/>
            </w:pPr>
            <w:r>
              <w:t xml:space="preserve">Sostituzione di un trattamento antipertensivo efficace</w:t>
            </w:r>
          </w:p>
        </w:tc>
      </w:tr>
      <w:tr>
        <w:tc>
          <w:tcPr/>
          <w:p>
            <w:pPr>
              <w:pStyle w:val="Compact"/>
              <w:jc w:val="left"/>
            </w:pPr>
            <w:r>
              <w:t xml:space="preserve">Carnosina</w:t>
            </w:r>
          </w:p>
        </w:tc>
        <w:tc>
          <w:tcPr/>
          <w:p>
            <w:pPr>
              <w:pStyle w:val="Compact"/>
              <w:jc w:val="left"/>
            </w:pPr>
            <w:r>
              <w:t xml:space="preserve">Meta-analisi, 8 RCT: valori di glicemia e HbA1c un po’ più bassi (PMID 40999397)</w:t>
            </w:r>
          </w:p>
        </w:tc>
        <w:tc>
          <w:tcPr/>
          <w:p>
            <w:pPr>
              <w:pStyle w:val="Compact"/>
              <w:jc w:val="left"/>
            </w:pPr>
            <w:r>
              <w:t xml:space="preserve">nessuno rilevante; mancano dati a lungo termine</w:t>
            </w:r>
          </w:p>
        </w:tc>
      </w:tr>
      <w:tr>
        <w:tc>
          <w:tcPr/>
          <w:p>
            <w:pPr>
              <w:pStyle w:val="Compact"/>
              <w:jc w:val="left"/>
            </w:pPr>
            <w:r>
              <w:t xml:space="preserve">GHK-Cu</w:t>
            </w:r>
          </w:p>
        </w:tc>
        <w:tc>
          <w:tcPr/>
          <w:p>
            <w:pPr>
              <w:pStyle w:val="Compact"/>
              <w:jc w:val="left"/>
            </w:pPr>
            <w:r>
              <w:t xml:space="preserve">Ulcere del piede: area della ferita mediana −98,5% vs. −60,8% (PMID 17147644)</w:t>
            </w:r>
          </w:p>
        </w:tc>
        <w:tc>
          <w:tcPr/>
          <w:p>
            <w:pPr>
              <w:pStyle w:val="Compact"/>
              <w:jc w:val="left"/>
            </w:pPr>
            <w:r>
              <w:t xml:space="preserve">Iniezioni di prodotti del mercato grigio non verificate</w:t>
            </w:r>
          </w:p>
        </w:tc>
      </w:tr>
      <w:tr>
        <w:tc>
          <w:tcPr/>
          <w:p>
            <w:pPr>
              <w:pStyle w:val="Compact"/>
              <w:jc w:val="left"/>
            </w:pPr>
            <w:r>
              <w:t xml:space="preserve">Palmitoil pentapeptide-4</w:t>
            </w:r>
          </w:p>
        </w:tc>
        <w:tc>
          <w:tcPr/>
          <w:p>
            <w:pPr>
              <w:pStyle w:val="Compact"/>
              <w:jc w:val="left"/>
            </w:pPr>
            <w:r>
              <w:t xml:space="preserve">93 donne, studio a metà viso: meno rughe dopo 12 settimane (PMID 18492182)</w:t>
            </w:r>
          </w:p>
        </w:tc>
        <w:tc>
          <w:tcPr/>
          <w:p>
            <w:pPr>
              <w:pStyle w:val="Compact"/>
              <w:jc w:val="left"/>
            </w:pPr>
            <w:r>
              <w:t xml:space="preserve">raramente irritazione cutanea</w:t>
            </w:r>
          </w:p>
        </w:tc>
      </w:tr>
      <w:tr>
        <w:tc>
          <w:tcPr/>
          <w:p>
            <w:pPr>
              <w:pStyle w:val="Compact"/>
              <w:jc w:val="left"/>
            </w:pPr>
            <w:r>
              <w:t xml:space="preserve">Acetil esapeptide-8</w:t>
            </w:r>
          </w:p>
        </w:tc>
        <w:tc>
          <w:tcPr/>
          <w:p>
            <w:pPr>
              <w:pStyle w:val="Compact"/>
              <w:jc w:val="left"/>
            </w:pPr>
            <w:r>
              <w:t xml:space="preserve">19 donne, studio a metà viso: nessuna differenza dopo 4 settimane (PMID 38024099)</w:t>
            </w:r>
          </w:p>
        </w:tc>
        <w:tc>
          <w:tcPr/>
          <w:p>
            <w:pPr>
              <w:pStyle w:val="Compact"/>
              <w:jc w:val="left"/>
            </w:pPr>
            <w:r>
              <w:t xml:space="preserve">Iniezioni non approvate, caso clinico di infezione</w:t>
            </w:r>
          </w:p>
        </w:tc>
      </w:tr>
    </w:tbl>
    <w:bookmarkEnd w:id="940"/>
    <w:bookmarkStart w:id="944" w:name="X12411cd6f63be34f81e94705338bdd82caabb5f"/>
    <w:p>
      <w:pPr>
        <w:pStyle w:val="Heading3"/>
      </w:pPr>
      <w:r>
        <w:t xml:space="preserve">Analisi: quanto sono studiati i peptidi nel complesso?</w:t>
      </w:r>
    </w:p>
    <w:bookmarkStart w:id="941" w:name="distribuzione-dei-livelli-di-evidenza"/>
    <w:p>
      <w:pPr>
        <w:pStyle w:val="Heading4"/>
      </w:pPr>
      <w:r>
        <w:t xml:space="preserve">Distribuzione dei livelli di evidenza</w:t>
      </w:r>
    </w:p>
    <w:p>
      <w:pPr>
        <w:pStyle w:val="FirstParagraph"/>
      </w:pPr>
      <w:r>
        <w:t xml:space="preserve">Le 58 voci di questo libro – 56 peptidi e due sostanze di confronto che non sono peptidi (orforglipron e ibutamoren) – si distribuiscono come segue: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Livello di evidenza</w:t>
            </w:r>
          </w:p>
        </w:tc>
        <w:tc>
          <w:tcPr/>
          <w:p>
            <w:pPr>
              <w:pStyle w:val="Compact"/>
              <w:jc w:val="left"/>
            </w:pPr>
            <w:r>
              <w:t xml:space="preserve">Numero</w:t>
            </w:r>
          </w:p>
        </w:tc>
        <w:tc>
          <w:tcPr/>
          <w:p>
            <w:pPr>
              <w:pStyle w:val="Compact"/>
              <w:jc w:val="left"/>
            </w:pPr>
            <w:r>
              <w:t xml:space="preserve">Quota</w:t>
            </w:r>
          </w:p>
        </w:tc>
        <w:tc>
          <w:tcPr/>
          <w:p>
            <w:pPr>
              <w:pStyle w:val="Compact"/>
              <w:jc w:val="left"/>
            </w:pPr>
            <w:r>
              <w:t xml:space="preserve">Esempi</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tesamorelina,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timosina alfa 1, glutatione, peptidi di collagene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Nota: nel conteggio il TB-500 è registrato con il livello B per la timosina beta 4; per il frammento TB-500 da solo vale il livello D.</w:t>
      </w:r>
    </w:p>
    <w:p>
      <w:pPr>
        <w:pStyle w:val="BodyText"/>
      </w:pPr>
      <w:r>
        <w:t xml:space="preserve">Tre schemi:</w:t>
      </w:r>
    </w:p>
    <w:p>
      <w:pPr>
        <w:numPr>
          <w:ilvl w:val="0"/>
          <w:numId w:val="1321"/>
        </w:numPr>
        <w:pStyle w:val="Compact"/>
      </w:pPr>
      <w:r>
        <w:rPr>
          <w:bCs/>
          <w:b/>
        </w:rPr>
        <w:t xml:space="preserve">Il livello A è raggiunto quasi solo da principi attivi che hanno seguito un regolare programma di autorizzazione di un’azienda farmaceutica.</w:t>
      </w:r>
      <w:r>
        <w:t xml:space="preserve"> </w:t>
      </w:r>
      <w:r>
        <w:t xml:space="preserve">Nove delle 14 voci con livello A provengono dal gruppo A (metabolismo e peso). Le altre sono tesamorelina, macimorelina e mecasermina dall’asse dell’ormone della crescita, oltre a bremelanotide e afamelanotide. Nessuna delle sostanze descritte nel gruppo B (guarigione) e nel gruppo D (cervello e longevità) raggiunge il livello A.</w:t>
      </w:r>
    </w:p>
    <w:p>
      <w:pPr>
        <w:numPr>
          <w:ilvl w:val="0"/>
          <w:numId w:val="1321"/>
        </w:numPr>
        <w:pStyle w:val="Compact"/>
      </w:pPr>
      <w:r>
        <w:rPr>
          <w:bCs/>
          <w:b/>
        </w:rPr>
        <w:t xml:space="preserve">Livello B significa spesso «verificato e non confermato».</w:t>
      </w:r>
      <w:r>
        <w:t xml:space="preserve"> </w:t>
      </w:r>
      <w:r>
        <w:t xml:space="preserve">In molte delle 25 voci lo studio randomizzato più grande ha mancato il suo obiettivo primario: timosina alfa 1 nella sepsi, LL-37 nelle ulcere delle gambe, ipamorelina dopo chirurgia intestinale, elamipretide nella miopatia, ossitocina nell’autismo, glutatione contro i danni nervosi da chemioterapia.</w:t>
      </w:r>
    </w:p>
    <w:p>
      <w:pPr>
        <w:numPr>
          <w:ilvl w:val="0"/>
          <w:numId w:val="1321"/>
        </w:numPr>
        <w:pStyle w:val="Compact"/>
      </w:pPr>
      <w:r>
        <w:rPr>
          <w:bCs/>
          <w:b/>
        </w:rPr>
        <w:t xml:space="preserve">Un terzo ha livello C o D.</w:t>
      </w:r>
      <w:r>
        <w:t xml:space="preserve"> </w:t>
      </w:r>
      <w:r>
        <w:t xml:space="preserve">19 voci su 58 si basano su studi sull’uomo piccoli e non controllati oppure solo su esperimenti sugli animali e in laboratorio – tra cui molte delle sostanze più pubblicizzate su internet.</w:t>
      </w:r>
    </w:p>
    <w:p>
      <w:pPr>
        <w:pStyle w:val="FirstParagraph"/>
      </w:pPr>
      <w:r>
        <w:t xml:space="preserve">Per gruppi:</w:t>
      </w:r>
    </w:p>
    <w:p>
      <w:pPr>
        <w:numPr>
          <w:ilvl w:val="0"/>
          <w:numId w:val="1322"/>
        </w:numPr>
        <w:pStyle w:val="Compact"/>
      </w:pPr>
      <w:r>
        <w:t xml:space="preserve">A. Metabolismo e peso (15 voci): 9 × A, 5 × B, 1 × D</w:t>
      </w:r>
    </w:p>
    <w:p>
      <w:pPr>
        <w:numPr>
          <w:ilvl w:val="0"/>
          <w:numId w:val="1322"/>
        </w:numPr>
        <w:pStyle w:val="Compact"/>
      </w:pPr>
      <w:r>
        <w:t xml:space="preserve">B. Guarigione e sistema immunitario (8): 5 × B, 2 × C, 1 × D</w:t>
      </w:r>
    </w:p>
    <w:p>
      <w:pPr>
        <w:numPr>
          <w:ilvl w:val="0"/>
          <w:numId w:val="1322"/>
        </w:numPr>
        <w:pStyle w:val="Compact"/>
      </w:pPr>
      <w:r>
        <w:t xml:space="preserve">C. Asse dell’ormone della crescita (11): 3 × A, 4 × B, 3 × C, 1 × D</w:t>
      </w:r>
    </w:p>
    <w:p>
      <w:pPr>
        <w:numPr>
          <w:ilvl w:val="0"/>
          <w:numId w:val="1322"/>
        </w:numPr>
        <w:pStyle w:val="Compact"/>
      </w:pPr>
      <w:r>
        <w:t xml:space="preserve">D. Cervello e longevità (12): 3 × B, 5 × C, 4 × D</w:t>
      </w:r>
    </w:p>
    <w:p>
      <w:pPr>
        <w:numPr>
          <w:ilvl w:val="0"/>
          <w:numId w:val="1322"/>
        </w:numPr>
        <w:pStyle w:val="Compact"/>
      </w:pPr>
      <w:r>
        <w:t xml:space="preserve">E. Ormoni e pigmentazione (6): 2 × A, 3 × B, 1 × C</w:t>
      </w:r>
    </w:p>
    <w:p>
      <w:pPr>
        <w:numPr>
          <w:ilvl w:val="0"/>
          <w:numId w:val="1322"/>
        </w:numPr>
        <w:pStyle w:val="Compact"/>
      </w:pPr>
      <w:r>
        <w:t xml:space="preserve">F. Collagene e cosmetica (6): 5 × B, 1 × C</w:t>
      </w:r>
    </w:p>
    <w:p>
      <w:pPr>
        <w:pStyle w:val="FirstParagraph"/>
      </w:pPr>
      <w:r>
        <w:t xml:space="preserve">Il gruppo D ha i dati più deboli: quattro dei suoi dodici peptidi non sono mai stati somministrati in uno studio pubblicato sull’uomo, altri cinque solo in studi piccoli, per lo più non randomizzati.</w:t>
      </w:r>
    </w:p>
    <w:bookmarkEnd w:id="941"/>
    <w:bookmarkStart w:id="942" w:name="approvato-o-no"/>
    <w:p>
      <w:pPr>
        <w:pStyle w:val="Heading4"/>
      </w:pPr>
      <w:r>
        <w:t xml:space="preserve">Approvato o no?</w:t>
      </w:r>
    </w:p>
    <w:p>
      <w:pPr>
        <w:pStyle w:val="FirstParagraph"/>
      </w:pPr>
      <w:r>
        <w:t xml:space="preserve">«Approvato» significa in questo libro: un’autorità per i farmaci ha verificato efficacia, sicurezza e qualità di produzione per un determinato impiego. Le 58 voci si possono quindi suddividere in cinque gruppi (situazione a ottobre 2026, da verificare):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Stato</w:t>
            </w:r>
          </w:p>
        </w:tc>
        <w:tc>
          <w:tcPr/>
          <w:p>
            <w:pPr>
              <w:pStyle w:val="Compact"/>
              <w:jc w:val="left"/>
            </w:pPr>
            <w:r>
              <w:t xml:space="preserve">Numero</w:t>
            </w:r>
          </w:p>
        </w:tc>
        <w:tc>
          <w:tcPr/>
          <w:p>
            <w:pPr>
              <w:pStyle w:val="Compact"/>
              <w:jc w:val="left"/>
            </w:pPr>
            <w:r>
              <w:t xml:space="preserve">Peptidi</w:t>
            </w:r>
          </w:p>
        </w:tc>
      </w:tr>
      <w:tr>
        <w:tc>
          <w:tcPr/>
          <w:p>
            <w:pPr>
              <w:pStyle w:val="Compact"/>
              <w:jc w:val="left"/>
            </w:pPr>
            <w:r>
              <w:t xml:space="preserve">Approvati come farmaci nell’UE e/o negli USA</w:t>
            </w:r>
          </w:p>
        </w:tc>
        <w:tc>
          <w:tcPr/>
          <w:p>
            <w:pPr>
              <w:pStyle w:val="Compact"/>
              <w:jc w:val="left"/>
            </w:pPr>
            <w:r>
              <w:t xml:space="preserve">14</w:t>
            </w:r>
          </w:p>
        </w:tc>
        <w:tc>
          <w:tcPr/>
          <w:p>
            <w:pPr>
              <w:pStyle w:val="Compact"/>
              <w:jc w:val="left"/>
            </w:pPr>
            <w:r>
              <w:t xml:space="preserve">Exenatide, liraglutide, dulaglutide, semaglutide, tirzepatide, setmelanotide, pramlintide, tesamorelina, macimorelina, mecasermina, afamelanotide, bremelanotide, SS-31, ossitocina (solo ostetricia)</w:t>
            </w:r>
          </w:p>
        </w:tc>
      </w:tr>
      <w:tr>
        <w:tc>
          <w:tcPr/>
          <w:p>
            <w:pPr>
              <w:pStyle w:val="Compact"/>
              <w:jc w:val="left"/>
            </w:pPr>
            <w:r>
              <w:t xml:space="preserve">Approvati solo a livello nazionale in singoli Stati UE o solo al di fuori di UE e USA</w:t>
            </w:r>
          </w:p>
        </w:tc>
        <w:tc>
          <w:tcPr/>
          <w:p>
            <w:pPr>
              <w:pStyle w:val="Compact"/>
              <w:jc w:val="left"/>
            </w:pPr>
            <w:r>
              <w:t xml:space="preserve">8</w:t>
            </w:r>
          </w:p>
        </w:tc>
        <w:tc>
          <w:tcPr/>
          <w:p>
            <w:pPr>
              <w:pStyle w:val="Compact"/>
              <w:jc w:val="left"/>
            </w:pPr>
            <w:r>
              <w:t xml:space="preserve">Cerebrolysin, gonadorelina, mazdutide (Cina), timosina alfa 1 (tra l’altro Cina), timalina, Semax, Selank (Russia), GHRP-2 (Giappone, diagnostico)</w:t>
            </w:r>
          </w:p>
        </w:tc>
      </w:tr>
      <w:tr>
        <w:tc>
          <w:tcPr/>
          <w:p>
            <w:pPr>
              <w:pStyle w:val="Compact"/>
              <w:jc w:val="left"/>
            </w:pPr>
            <w:r>
              <w:t xml:space="preserve">Un tempo approvati negli USA, oggi non più in commercio</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Consentiti come alimenti, integratori o cosmetici, senza autorizzazione come farmaci</w:t>
            </w:r>
          </w:p>
        </w:tc>
        <w:tc>
          <w:tcPr/>
          <w:p>
            <w:pPr>
              <w:pStyle w:val="Compact"/>
              <w:jc w:val="left"/>
            </w:pPr>
            <w:r>
              <w:t xml:space="preserve">7</w:t>
            </w:r>
          </w:p>
        </w:tc>
        <w:tc>
          <w:tcPr/>
          <w:p>
            <w:pPr>
              <w:pStyle w:val="Compact"/>
              <w:jc w:val="left"/>
            </w:pPr>
            <w:r>
              <w:t xml:space="preserve">Peptidi di collagene, lattotripeptidi, carnosina, glutatione, GHK-Cu, palmitoil pentapeptide-4, acetil esapeptide-8</w:t>
            </w:r>
          </w:p>
        </w:tc>
      </w:tr>
      <w:tr>
        <w:tc>
          <w:tcPr/>
          <w:p>
            <w:pPr>
              <w:pStyle w:val="Compact"/>
              <w:jc w:val="left"/>
            </w:pPr>
            <w:r>
              <w:t xml:space="preserve">Non approvati da nessuna parte</w:t>
            </w:r>
          </w:p>
        </w:tc>
        <w:tc>
          <w:tcPr/>
          <w:p>
            <w:pPr>
              <w:pStyle w:val="Compact"/>
              <w:jc w:val="left"/>
            </w:pPr>
            <w:r>
              <w:t xml:space="preserve">28</w:t>
            </w:r>
          </w:p>
        </w:tc>
        <w:tc>
          <w:tcPr/>
          <w:p>
            <w:pPr>
              <w:pStyle w:val="Compact"/>
              <w:jc w:val="left"/>
            </w:pPr>
            <w:r>
              <w:t xml:space="preserve">tra cui retatrutide, CagriSema, BPC-157, TB-500, CJC-1295, ipamorelina, Epitalon, MOTS-c, Melanotan II, IGF-1 LR3, orforglipron (domanda presentata) e ibutamoren</w:t>
            </w:r>
          </w:p>
        </w:tc>
      </w:tr>
    </w:tbl>
    <w:p>
      <w:pPr>
        <w:pStyle w:val="BodyText"/>
      </w:pPr>
      <w:r>
        <w:t xml:space="preserve">Solo circa un quarto delle voci è approvato come farmaco nell’UE o negli USA – per lo più per impieghi ben delimitati: afamelanotide per una rara intolleranza alla luce (protoporfiria eritropoietica, EPP), non per abbronzarsi; elamipretide solo per la sindrome di Barth; ossitocina solo per l’ostetricia, non come spray nasale; tesamorelina solo per un disturbo della distribuzione del grasso nell’HIV. Di fronte all’affermazione «approvato» vale quindi sempre la pena chiedersi: dove, per che cosa e in quale forma?</w:t>
      </w:r>
    </w:p>
    <w:p>
      <w:pPr>
        <w:pStyle w:val="BodyText"/>
      </w:pPr>
      <w:r>
        <w:t xml:space="preserve">Le 28 voci non approvate da nessuna parte si dividono in due gruppi. Retatrutide, survodutide, CagriSema, amycretin, maridebart cafraglutide e orforglipron sono in sviluppo regolare con studi di fase 3; per loro un’approvazione è probabile, ma non certa (valutazione). Sostanze come BPC-157, TB-500, CJC-1295, AOD-9604, Epitalon, MOTS-c, Dihexa o IGF-1 LR3 non hanno invece alcuna via di approvazione riconoscibile e vengono vendute prevalentemente come «Research Peptides». Le offerte del mercato grigio del primo gruppo non sono equiparabili ai farmaci verificati.</w:t>
      </w:r>
    </w:p>
    <w:bookmarkEnd w:id="942"/>
    <w:bookmarkStart w:id="943" w:name="stato-antidoping-secondo-la-wada"/>
    <w:p>
      <w:pPr>
        <w:pStyle w:val="Heading4"/>
      </w:pPr>
      <w:r>
        <w:t xml:space="preserve">Stato antidoping secondo la WADA</w:t>
      </w:r>
    </w:p>
    <w:p>
      <w:pPr>
        <w:pStyle w:val="FirstParagraph"/>
      </w:pPr>
      <w:r>
        <w:t xml:space="preserve">Per lo sport agonistico conta l’elenco delle sostanze proibite dell’Agenzia mondiale antidoping (WADA). Le classi più importanti:</w:t>
      </w:r>
    </w:p>
    <w:p>
      <w:pPr>
        <w:numPr>
          <w:ilvl w:val="0"/>
          <w:numId w:val="1323"/>
        </w:numPr>
        <w:pStyle w:val="Compact"/>
      </w:pPr>
      <w:r>
        <w:rPr>
          <w:bCs/>
          <w:b/>
        </w:rPr>
        <w:t xml:space="preserve">S0</w:t>
      </w:r>
      <w:r>
        <w:t xml:space="preserve"> </w:t>
      </w:r>
      <w:r>
        <w:t xml:space="preserve">– sostanze non approvate: tutte le sostanze senza autorizzazione come farmaco per uso umano, anche senza citazione per nome.</w:t>
      </w:r>
    </w:p>
    <w:p>
      <w:pPr>
        <w:numPr>
          <w:ilvl w:val="0"/>
          <w:numId w:val="1323"/>
        </w:numPr>
        <w:pStyle w:val="Compact"/>
      </w:pPr>
      <w:r>
        <w:rPr>
          <w:bCs/>
          <w:b/>
        </w:rPr>
        <w:t xml:space="preserve">S2</w:t>
      </w:r>
      <w:r>
        <w:t xml:space="preserve"> </w:t>
      </w:r>
      <w:r>
        <w:t xml:space="preserve">– ormoni peptidici, fattori di crescita e sostanze correlate, tra cui ormone della crescita, i suoi fattori di rilascio e frammenti, IGF-1, timosina beta 4 e, negli uomini, i fattori di rilascio dell’ormone luteinizzante (LH).</w:t>
      </w:r>
    </w:p>
    <w:p>
      <w:pPr>
        <w:numPr>
          <w:ilvl w:val="0"/>
          <w:numId w:val="1323"/>
        </w:numPr>
        <w:pStyle w:val="Compact"/>
      </w:pPr>
      <w:r>
        <w:rPr>
          <w:bCs/>
          <w:b/>
        </w:rPr>
        <w:t xml:space="preserve">S4</w:t>
      </w:r>
      <w:r>
        <w:t xml:space="preserve"> </w:t>
      </w:r>
      <w:r>
        <w:t xml:space="preserve">– modulatori ormonali e metabolici, tra cui gli attivatori dell’enzima AMPK.</w:t>
      </w:r>
    </w:p>
    <w:p>
      <w:pPr>
        <w:numPr>
          <w:ilvl w:val="0"/>
          <w:numId w:val="1323"/>
        </w:numPr>
        <w:pStyle w:val="Compact"/>
      </w:pPr>
      <w:r>
        <w:rPr>
          <w:bCs/>
          <w:b/>
        </w:rPr>
        <w:t xml:space="preserve">M2</w:t>
      </w:r>
      <w:r>
        <w:t xml:space="preserve"> </w:t>
      </w:r>
      <w:r>
        <w:t xml:space="preserve">– metodi proibiti, tra cui infusioni superiori a 100 ml nell’arco di dodici ore.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Peptidi</w:t>
            </w:r>
          </w:p>
        </w:tc>
        <w:tc>
          <w:tcPr/>
          <w:p>
            <w:pPr>
              <w:pStyle w:val="Compact"/>
              <w:jc w:val="left"/>
            </w:pPr>
            <w:r>
              <w:t xml:space="preserve">Stato WADA (aggiornato al 2026, da verificare)</w:t>
            </w:r>
          </w:p>
        </w:tc>
      </w:tr>
      <w:tr>
        <w:tc>
          <w:tcPr/>
          <w:p>
            <w:pPr>
              <w:pStyle w:val="Compact"/>
              <w:jc w:val="left"/>
            </w:pPr>
            <w:r>
              <w:t xml:space="preserve">AOD-9604, TB-500 / timosina beta 4, ARA-290, sermorelina, tesamorelina, CJC-1295, ipamorelina, GHRP-2, GHRP-6, exarelina, macimorelina, mecasermina, IGF-1 LR3, ibutamoren</w:t>
            </w:r>
          </w:p>
        </w:tc>
        <w:tc>
          <w:tcPr/>
          <w:p>
            <w:pPr>
              <w:pStyle w:val="Compact"/>
              <w:jc w:val="left"/>
            </w:pPr>
            <w:r>
              <w:t xml:space="preserve">vietati, S2</w:t>
            </w:r>
          </w:p>
        </w:tc>
      </w:tr>
      <w:tr>
        <w:tc>
          <w:tcPr/>
          <w:p>
            <w:pPr>
              <w:pStyle w:val="Compact"/>
              <w:jc w:val="left"/>
            </w:pPr>
            <w:r>
              <w:t xml:space="preserve">Gonadorelina; kisspeptina</w:t>
            </w:r>
          </w:p>
        </w:tc>
        <w:tc>
          <w:tcPr/>
          <w:p>
            <w:pPr>
              <w:pStyle w:val="Compact"/>
              <w:jc w:val="left"/>
            </w:pPr>
            <w:r>
              <w:t xml:space="preserve">vietate per gli uomini, S2; la kisspeptina, come principio attivo non approvato, anche S0</w:t>
            </w:r>
          </w:p>
        </w:tc>
      </w:tr>
      <w:tr>
        <w:tc>
          <w:tcPr/>
          <w:p>
            <w:pPr>
              <w:pStyle w:val="Compact"/>
              <w:jc w:val="left"/>
            </w:pPr>
            <w:r>
              <w:t xml:space="preserve">MOTS-c</w:t>
            </w:r>
          </w:p>
        </w:tc>
        <w:tc>
          <w:tcPr/>
          <w:p>
            <w:pPr>
              <w:pStyle w:val="Compact"/>
              <w:jc w:val="left"/>
            </w:pPr>
            <w:r>
              <w:t xml:space="preserve">vietato, S4 (attivatore di AMPK)</w:t>
            </w:r>
          </w:p>
        </w:tc>
      </w:tr>
      <w:tr>
        <w:tc>
          <w:tcPr/>
          <w:p>
            <w:pPr>
              <w:pStyle w:val="Compact"/>
              <w:jc w:val="left"/>
            </w:pPr>
            <w:r>
              <w:t xml:space="preserve">Retatrutide, survodutide, CagriSema, amycretin, maridebart cafraglutide, BPC-157, Melanotan II</w:t>
            </w:r>
          </w:p>
        </w:tc>
        <w:tc>
          <w:tcPr/>
          <w:p>
            <w:pPr>
              <w:pStyle w:val="Compact"/>
              <w:jc w:val="left"/>
            </w:pPr>
            <w:r>
              <w:t xml:space="preserve">vietati, S0</w:t>
            </w:r>
          </w:p>
        </w:tc>
      </w:tr>
      <w:tr>
        <w:tc>
          <w:tcPr/>
          <w:p>
            <w:pPr>
              <w:pStyle w:val="Compact"/>
              <w:jc w:val="left"/>
            </w:pPr>
            <w:r>
              <w:t xml:space="preserve">KPV, LL-37, Dihexa, Epitalon, Pinealon, umanina, FOXO4-DRI, orforglipron (fino all’approvazione)</w:t>
            </w:r>
          </w:p>
        </w:tc>
        <w:tc>
          <w:tcPr/>
          <w:p>
            <w:pPr>
              <w:pStyle w:val="Compact"/>
              <w:jc w:val="left"/>
            </w:pPr>
            <w:r>
              <w:t xml:space="preserve">non citati per nome, come sostanze non approvate presumibilmente S0</w:t>
            </w:r>
          </w:p>
        </w:tc>
      </w:tr>
      <w:tr>
        <w:tc>
          <w:tcPr/>
          <w:p>
            <w:pPr>
              <w:pStyle w:val="Compact"/>
              <w:jc w:val="left"/>
            </w:pPr>
            <w:r>
              <w:t xml:space="preserve">Mazdutide</w:t>
            </w:r>
          </w:p>
        </w:tc>
        <w:tc>
          <w:tcPr/>
          <w:p>
            <w:pPr>
              <w:pStyle w:val="Compact"/>
              <w:jc w:val="left"/>
            </w:pPr>
            <w:r>
              <w:t xml:space="preserve">non citata per nome; stato S0 non chiaro a causa dell’approvazione in Cina</w:t>
            </w:r>
          </w:p>
        </w:tc>
      </w:tr>
      <w:tr>
        <w:tc>
          <w:tcPr/>
          <w:p>
            <w:pPr>
              <w:pStyle w:val="Compact"/>
              <w:jc w:val="left"/>
            </w:pPr>
            <w:r>
              <w:t xml:space="preserve">GHK-Cu</w:t>
            </w:r>
          </w:p>
        </w:tc>
        <w:tc>
          <w:tcPr/>
          <w:p>
            <w:pPr>
              <w:pStyle w:val="Compact"/>
              <w:jc w:val="left"/>
            </w:pPr>
            <w:r>
              <w:t xml:space="preserve">come cosmetico non vietato; l’iniezione possibilmente S0</w:t>
            </w:r>
          </w:p>
        </w:tc>
      </w:tr>
      <w:tr>
        <w:tc>
          <w:tcPr/>
          <w:p>
            <w:pPr>
              <w:pStyle w:val="Compact"/>
              <w:jc w:val="left"/>
            </w:pPr>
            <w:r>
              <w:t xml:space="preserve">Glutatione</w:t>
            </w:r>
          </w:p>
        </w:tc>
        <w:tc>
          <w:tcPr/>
          <w:p>
            <w:pPr>
              <w:pStyle w:val="Compact"/>
              <w:jc w:val="left"/>
            </w:pPr>
            <w:r>
              <w:t xml:space="preserve">sostanza non vietata; infusioni superiori a 100 ml in dodici ore vietate (M2)</w:t>
            </w:r>
          </w:p>
        </w:tc>
      </w:tr>
      <w:tr>
        <w:tc>
          <w:tcPr/>
          <w:p>
            <w:pPr>
              <w:pStyle w:val="Compact"/>
              <w:jc w:val="left"/>
            </w:pPr>
            <w:r>
              <w:t xml:space="preserve">Semax, Selank, DSIP, SS-31, bremelanotide</w:t>
            </w:r>
          </w:p>
        </w:tc>
        <w:tc>
          <w:tcPr/>
          <w:p>
            <w:pPr>
              <w:pStyle w:val="Compact"/>
              <w:jc w:val="left"/>
            </w:pPr>
            <w:r>
              <w:t xml:space="preserve">non citati per nome; classificazione non univoca</w:t>
            </w:r>
          </w:p>
        </w:tc>
      </w:tr>
      <w:tr>
        <w:tc>
          <w:tcPr/>
          <w:p>
            <w:pPr>
              <w:pStyle w:val="Compact"/>
              <w:jc w:val="left"/>
            </w:pPr>
            <w:r>
              <w:t xml:space="preserve">Exenatide, liraglutide, dulaglutide, semaglutide, tirzepatide, pramlintide, setmelanotide, timosina alfa 1, larazotide, timalina, Cerebrolysin, afamelanotide, ossitocina, peptidi di collagene, lattotripeptidi, carnosina, palmitoil pentapeptide-4, acetil esapeptide-8</w:t>
            </w:r>
          </w:p>
        </w:tc>
        <w:tc>
          <w:tcPr/>
          <w:p>
            <w:pPr>
              <w:pStyle w:val="Compact"/>
              <w:jc w:val="left"/>
            </w:pPr>
            <w:r>
              <w:t xml:space="preserve">non elencati</w:t>
            </w:r>
          </w:p>
        </w:tc>
      </w:tr>
    </w:tbl>
    <w:p>
      <w:pPr>
        <w:pStyle w:val="BodyText"/>
      </w:pPr>
      <w:r>
        <w:t xml:space="preserve">L’elenco non è esaustivo: S0 comprende qualsiasi sostanza senza approvazione, S2 anche le «sostanze correlate» con effetto simile. Non citato per nome non significa quindi consentito. Proprio le sostanze dell’asse dell’ormone della crescita, popolari negli sport di forza, nonché BPC-157 e TB-500 sono espressamente vietate. In caso di dubbio forniscono informazioni le agenzie nazionali antidoping.</w:t>
      </w:r>
    </w:p>
    <w:bookmarkEnd w:id="943"/>
    <w:bookmarkEnd w:id="944"/>
    <w:bookmarkStart w:id="945" w:name="che-cosa-mostra-la-panoramica"/>
    <w:p>
      <w:pPr>
        <w:pStyle w:val="Heading3"/>
      </w:pPr>
      <w:r>
        <w:t xml:space="preserve">Che cosa mostra la panoramica</w:t>
      </w:r>
    </w:p>
    <w:p>
      <w:pPr>
        <w:pStyle w:val="FirstParagraph"/>
      </w:pPr>
      <w:r>
        <w:t xml:space="preserve">I peptidi ben studiati sono quasi esclusivamente farmaci approvati, provenienti da grandi studi preregistrati. La maggior parte dei peptidi popolari su internet ha livello di evidenza C o D, non è approvata da nessuna parte ed è spesso vietata nello sport. In mezzo si collocano sostanze studiate seriamente nell’uomo, i cui studi però non hanno confermato il beneficio sperato. I due capitoli seguenti approfondiscono questo aspetto per i farmaci GLP-1 e per i peptidi di internet più popolari.</w:t>
      </w:r>
    </w:p>
    <w:bookmarkEnd w:id="945"/>
    <w:bookmarkEnd w:id="946"/>
    <w:bookmarkStart w:id="957" w:name="glp-1-co.-a-confronto-diretto"/>
    <w:p>
      <w:pPr>
        <w:pStyle w:val="Heading2"/>
      </w:pPr>
      <w:r>
        <w:t xml:space="preserve">GLP-1 &amp; Co. a confronto diretto</w:t>
      </w:r>
    </w:p>
    <w:p>
      <w:pPr>
        <w:pStyle w:val="FirstParagraph"/>
      </w:pPr>
      <w:r>
        <w:t xml:space="preserve">Nessun altro gruppo di questo libro è studiato così bene come i farmaci incretinici: agonisti del recettore del GLP-1 come liraglutide e semaglutide, il doppio agonista tirzepatide e una serie di successori che agiscono anche sul recettore del glucagone o dell’amilina. Per questi farmaci esistono programmi registrativi con decine di migliaia di partecipanti, grandi studi cardiovascolari e, sempre più spesso, anche studi di confronto diretto. Questo capitolo mette a confronto i risultati principali. Tutti i numeri provengono dai capitoli della Parte II, gruppo A, e dagli studi lì citati; lì trova anche i limiti di ogni singolo studio.</w:t>
      </w:r>
    </w:p>
    <w:p>
      <w:pPr>
        <w:pStyle w:val="BodyText"/>
      </w:pPr>
      <w:r>
        <w:t xml:space="preserve">Il capitolo non è uno strumento decisionale per un trattamento. Quale farmaco sia indicato nel singolo caso dipende da malattie concomitanti, tollerabilità, autorizzazione, rimborsabilità e disponibilità, ed è una decisione che spetta al medico. Fanno fede il rispettivo riassunto delle caratteristiche del prodotto e l’accompagnamento medico.</w:t>
      </w:r>
    </w:p>
    <w:bookmarkStart w:id="947" w:name="Xbe2fb2e40a94e7d9a61e6e3be68e2c6f2b148fc"/>
    <w:p>
      <w:pPr>
        <w:pStyle w:val="Heading3"/>
      </w:pPr>
      <w:r>
        <w:t xml:space="preserve">Premessa: perché non si possono semplicemente affiancare gli studi</w:t>
      </w:r>
    </w:p>
    <w:p>
      <w:pPr>
        <w:pStyle w:val="FirstParagraph"/>
      </w:pPr>
      <w:r>
        <w:t xml:space="preserve">Le tabelle di questo capitolo invitano a confrontare numeri provenienti da studi diversi – per esempio il 20,9% di calo ponderale con tirzepatide contro il 14,9% con semaglutide. Questi confronti trasversali («cross-trial comparisons») sono ammissibili solo entro certi limiti. I motivi:</w:t>
      </w:r>
    </w:p>
    <w:p>
      <w:pPr>
        <w:numPr>
          <w:ilvl w:val="0"/>
          <w:numId w:val="1324"/>
        </w:numPr>
        <w:pStyle w:val="Compact"/>
      </w:pPr>
      <w:r>
        <w:rPr>
          <w:bCs/>
          <w:b/>
        </w:rPr>
        <w:t xml:space="preserve">Partecipanti diversi:</w:t>
      </w:r>
      <w:r>
        <w:t xml:space="preserve"> </w:t>
      </w:r>
      <w:r>
        <w:t xml:space="preserve">le persone con diabete di tipo 2 perdono, con tutti i farmaci incretinici, molto meno peso rispetto alle persone senza diabete. Gli studi in Cina o in Giappone includono persone con un peso iniziale più basso rispetto agli studi in Nord America ed Europa.</w:t>
      </w:r>
    </w:p>
    <w:p>
      <w:pPr>
        <w:numPr>
          <w:ilvl w:val="0"/>
          <w:numId w:val="1324"/>
        </w:numPr>
        <w:pStyle w:val="Compact"/>
      </w:pPr>
      <w:r>
        <w:rPr>
          <w:bCs/>
          <w:b/>
        </w:rPr>
        <w:t xml:space="preserve">Durata diversa:</w:t>
      </w:r>
      <w:r>
        <w:t xml:space="preserve"> </w:t>
      </w:r>
      <w:r>
        <w:t xml:space="preserve">una perdita di peso dopo 48 settimane non equivale a una dopo 80 settimane; molte curve si appiattiscono solo tardi.</w:t>
      </w:r>
    </w:p>
    <w:p>
      <w:pPr>
        <w:numPr>
          <w:ilvl w:val="0"/>
          <w:numId w:val="1324"/>
        </w:numPr>
        <w:pStyle w:val="Compact"/>
      </w:pPr>
      <w:r>
        <w:rPr>
          <w:bCs/>
          <w:b/>
        </w:rPr>
        <w:t xml:space="preserve">Analisi diversa:</w:t>
      </w:r>
      <w:r>
        <w:t xml:space="preserve"> </w:t>
      </w:r>
      <w:r>
        <w:t xml:space="preserve">alcuni studi analizzano tutti i partecipanti, anche quelli che hanno interrotto il trattamento (il cosiddetto stimatore della strategia di trattamento o «treatment policy»). Altri calcolano come se tutti avessero assunto il farmaco come previsto. La seconda variante fornisce numeri più favorevoli.</w:t>
      </w:r>
    </w:p>
    <w:p>
      <w:pPr>
        <w:numPr>
          <w:ilvl w:val="0"/>
          <w:numId w:val="1324"/>
        </w:numPr>
        <w:pStyle w:val="Compact"/>
      </w:pPr>
      <w:r>
        <w:rPr>
          <w:bCs/>
          <w:b/>
        </w:rPr>
        <w:t xml:space="preserve">Gruppi placebo diversi:</w:t>
      </w:r>
      <w:r>
        <w:t xml:space="preserve"> </w:t>
      </w:r>
      <w:r>
        <w:t xml:space="preserve">con il placebo i partecipanti hanno perso, a seconda dello studio, da nulla a oltre il 5% del proprio peso, a seconda dell’intensità della consulenza alimentare e sull’attività fisica che accompagnava lo studio.</w:t>
      </w:r>
    </w:p>
    <w:p>
      <w:pPr>
        <w:numPr>
          <w:ilvl w:val="0"/>
          <w:numId w:val="1324"/>
        </w:numPr>
        <w:pStyle w:val="Compact"/>
      </w:pPr>
      <w:r>
        <w:rPr>
          <w:bCs/>
          <w:b/>
        </w:rPr>
        <w:t xml:space="preserve">Fasi diverse:</w:t>
      </w:r>
      <w:r>
        <w:t xml:space="preserve"> </w:t>
      </w:r>
      <w:r>
        <w:t xml:space="preserve">i risultati dei piccoli studi di fase 2 risultano spesso più favorevoli rispetto ai successivi grandi studi di fase 3.</w:t>
      </w:r>
    </w:p>
    <w:p>
      <w:pPr>
        <w:pStyle w:val="FirstParagraph"/>
      </w:pPr>
      <w:r>
        <w:t xml:space="preserve">Un confronto è affidabile solo se due principi attivi sono stati assegnati casualmente nello</w:t>
      </w:r>
      <w:r>
        <w:t xml:space="preserve"> </w:t>
      </w:r>
      <w:r>
        <w:rPr>
          <w:iCs/>
          <w:i/>
        </w:rPr>
        <w:t xml:space="preserve">stesso</w:t>
      </w:r>
      <w:r>
        <w:t xml:space="preserve"> </w:t>
      </w:r>
      <w:r>
        <w:t xml:space="preserve">studio. Questi confronti diretti sono raccolti alla fine del capitolo. Le altre tabelle mostrano ordini di grandezza, non una classifica.</w:t>
      </w:r>
    </w:p>
    <w:bookmarkEnd w:id="947"/>
    <w:bookmarkStart w:id="950" w:name="perdita-di-peso-negli-studi-registrativi"/>
    <w:p>
      <w:pPr>
        <w:pStyle w:val="Heading3"/>
      </w:pPr>
      <w:r>
        <w:t xml:space="preserve">Perdita di peso negli studi registrativi</w:t>
      </w:r>
    </w:p>
    <w:p>
      <w:pPr>
        <w:pStyle w:val="FirstParagraph"/>
      </w:pPr>
      <w:r>
        <w:t xml:space="preserve">La tabella seguente mostra il principale studio controllato con placebo in adulti con sovrappeso o obesità</w:t>
      </w:r>
      <w:r>
        <w:t xml:space="preserve"> </w:t>
      </w:r>
      <w:r>
        <w:rPr>
          <w:iCs/>
          <w:i/>
        </w:rPr>
        <w:t xml:space="preserve">senza</w:t>
      </w:r>
      <w:r>
        <w:t xml:space="preserve"> </w:t>
      </w:r>
      <w:r>
        <w:t xml:space="preserve">diabete. È indicata la variazione media del peso corporeo alla dose più alta studiata rispetto al placebo. Exenatide, dulaglutide e pramlintide non sono autorizzati per la riduzione del peso e per questo non compaiono.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Perdita di peso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settimane</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settimane</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settimane</w:t>
            </w:r>
          </w:p>
        </w:tc>
        <w:tc>
          <w:tcPr/>
          <w:p>
            <w:pPr>
              <w:pStyle w:val="Compact"/>
              <w:jc w:val="left"/>
            </w:pPr>
            <w:r>
              <w:t xml:space="preserve">−18,7% vs. −3,9%</w:t>
            </w:r>
          </w:p>
        </w:tc>
      </w:tr>
      <w:tr>
        <w:tc>
          <w:tcPr/>
          <w:p>
            <w:pPr>
              <w:pStyle w:val="Compact"/>
              <w:jc w:val="left"/>
            </w:pPr>
            <w:r>
              <w:t xml:space="preserve">Semaglutide compressa 50 mg</w:t>
            </w:r>
          </w:p>
        </w:tc>
        <w:tc>
          <w:tcPr/>
          <w:p>
            <w:pPr>
              <w:pStyle w:val="Compact"/>
              <w:jc w:val="left"/>
            </w:pPr>
            <w:r>
              <w:t xml:space="preserve">OASIS 1 (Knop 2023), PMID 37385278</w:t>
            </w:r>
          </w:p>
        </w:tc>
        <w:tc>
          <w:tcPr/>
          <w:p>
            <w:pPr>
              <w:pStyle w:val="Compact"/>
              <w:jc w:val="left"/>
            </w:pPr>
            <w:r>
              <w:t xml:space="preserve">68 settimane</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settimane</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settimane</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settimane</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settimane</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settimane</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settimane</w:t>
            </w:r>
          </w:p>
        </w:tc>
        <w:tc>
          <w:tcPr/>
          <w:p>
            <w:pPr>
              <w:pStyle w:val="Compact"/>
              <w:jc w:val="left"/>
            </w:pPr>
            <w:r>
              <w:t xml:space="preserve">da −12,3 a −16,2% vs. −2,5%</w:t>
            </w:r>
          </w:p>
        </w:tc>
      </w:tr>
      <w:tr>
        <w:tc>
          <w:tcPr/>
          <w:p>
            <w:pPr>
              <w:pStyle w:val="Compact"/>
              <w:jc w:val="left"/>
            </w:pPr>
            <w:r>
              <w:t xml:space="preserve">Amicretina (iniezione)</w:t>
            </w:r>
          </w:p>
        </w:tc>
        <w:tc>
          <w:tcPr/>
          <w:p>
            <w:pPr>
              <w:pStyle w:val="Compact"/>
              <w:jc w:val="left"/>
            </w:pPr>
            <w:r>
              <w:t xml:space="preserve">Fase 1b/2a (Dahl 2025), PMID 40550231</w:t>
            </w:r>
          </w:p>
        </w:tc>
        <w:tc>
          <w:tcPr/>
          <w:p>
            <w:pPr>
              <w:pStyle w:val="Compact"/>
              <w:jc w:val="left"/>
            </w:pPr>
            <w:r>
              <w:t xml:space="preserve">36 settimane</w:t>
            </w:r>
          </w:p>
        </w:tc>
        <w:tc>
          <w:tcPr/>
          <w:p>
            <w:pPr>
              <w:pStyle w:val="Compact"/>
              <w:jc w:val="left"/>
            </w:pPr>
            <w:r>
              <w:t xml:space="preserve">fino a −24,3% vs. −1,1%</w:t>
            </w:r>
          </w:p>
        </w:tc>
      </w:tr>
      <w:tr>
        <w:tc>
          <w:tcPr/>
          <w:p>
            <w:pPr>
              <w:pStyle w:val="Compact"/>
              <w:jc w:val="left"/>
            </w:pPr>
            <w:r>
              <w:t xml:space="preserve">Orforglipron 36 mg (compressa, non un peptide)</w:t>
            </w:r>
          </w:p>
        </w:tc>
        <w:tc>
          <w:tcPr/>
          <w:p>
            <w:pPr>
              <w:pStyle w:val="Compact"/>
              <w:jc w:val="left"/>
            </w:pPr>
            <w:r>
              <w:t xml:space="preserve">ATTAIN-1 (Wharton 2025), PMID 40960239</w:t>
            </w:r>
          </w:p>
        </w:tc>
        <w:tc>
          <w:tcPr/>
          <w:p>
            <w:pPr>
              <w:pStyle w:val="Compact"/>
              <w:jc w:val="left"/>
            </w:pPr>
            <w:r>
              <w:t xml:space="preserve">72 settimane</w:t>
            </w:r>
          </w:p>
        </w:tc>
        <w:tc>
          <w:tcPr/>
          <w:p>
            <w:pPr>
              <w:pStyle w:val="Compact"/>
              <w:jc w:val="left"/>
            </w:pPr>
            <w:r>
              <w:t xml:space="preserve">−11,2% vs. −2,1%</w:t>
            </w:r>
          </w:p>
        </w:tc>
      </w:tr>
    </w:tbl>
    <w:p>
      <w:pPr>
        <w:pStyle w:val="BodyText"/>
      </w:pPr>
      <w:r>
        <w:t xml:space="preserve">Per inquadrare le singole righe:</w:t>
      </w:r>
    </w:p>
    <w:p>
      <w:pPr>
        <w:numPr>
          <w:ilvl w:val="0"/>
          <w:numId w:val="1325"/>
        </w:numPr>
        <w:pStyle w:val="Compact"/>
      </w:pPr>
      <w:r>
        <w:rPr>
          <w:bCs/>
          <w:b/>
        </w:rPr>
        <w:t xml:space="preserve">Liraglutide</w:t>
      </w:r>
      <w:r>
        <w:t xml:space="preserve"> </w:t>
      </w:r>
      <w:r>
        <w:t xml:space="preserve">è l’unico principio attivo per cui lo studio registrativo indica come risultato principale la perdita in chilogrammi; con un peso iniziale di 106,2 kg ciò corrisponde grosso modo all’8%. Nello studio di confronto diretto STEP 8 il valore è stato del −6,4% (vedi sotto).</w:t>
      </w:r>
    </w:p>
    <w:p>
      <w:pPr>
        <w:numPr>
          <w:ilvl w:val="0"/>
          <w:numId w:val="1325"/>
        </w:numPr>
        <w:pStyle w:val="Compact"/>
      </w:pPr>
      <w:r>
        <w:rPr>
          <w:bCs/>
          <w:b/>
        </w:rPr>
        <w:t xml:space="preserve">Retatrutide, CagriSema, survodutide, maridebart cafraglutide e amicretina</w:t>
      </w:r>
      <w:r>
        <w:t xml:space="preserve"> </w:t>
      </w:r>
      <w:r>
        <w:t xml:space="preserve">non sono autorizzati (situazione a ottobre 2026). Per maridebart cafraglutide e amicretina esistono solo dati di fase 2; lo studio sull’amicretina comprendeva 125 persone, e il valore si riferisce alla dose più alta di uno studio di determinazione della dose.</w:t>
      </w:r>
    </w:p>
    <w:p>
      <w:pPr>
        <w:numPr>
          <w:ilvl w:val="0"/>
          <w:numId w:val="1325"/>
        </w:numPr>
        <w:pStyle w:val="Compact"/>
      </w:pPr>
      <w:r>
        <w:rPr>
          <w:bCs/>
          <w:b/>
        </w:rPr>
        <w:t xml:space="preserve">Mazdutide</w:t>
      </w:r>
      <w:r>
        <w:t xml:space="preserve"> </w:t>
      </w:r>
      <w:r>
        <w:t xml:space="preserve">è autorizzato solo in Cina. GLORY-1 ha incluso, secondo i criteri cinesi, persone con un BMI a partire da 28 (o 24 con malattie concomitanti); il peso iniziale medio era di 87,2 kg. In GLORY-2, con una dose più alta, dopo 60 settimane i valori sono stati del −16,65% contro il −1,50% (Gao 2026, PMID 42251595).</w:t>
      </w:r>
    </w:p>
    <w:p>
      <w:pPr>
        <w:numPr>
          <w:ilvl w:val="0"/>
          <w:numId w:val="1325"/>
        </w:numPr>
        <w:pStyle w:val="Compact"/>
      </w:pPr>
      <w:r>
        <w:rPr>
          <w:bCs/>
          <w:b/>
        </w:rPr>
        <w:t xml:space="preserve">Survodutide</w:t>
      </w:r>
      <w:r>
        <w:t xml:space="preserve"> </w:t>
      </w:r>
      <w:r>
        <w:t xml:space="preserve">si distingue per l’elevata perdita di peso nel gruppo placebo, pari al 5,4%; l’analisi principale ha tenuto espressamente conto anche delle interruzioni e delle titolazioni prolungate.</w:t>
      </w:r>
    </w:p>
    <w:p>
      <w:pPr>
        <w:pStyle w:val="FirstParagraph"/>
      </w:pPr>
      <w:r>
        <w:t xml:space="preserve">Colpisce una progressione a gradini: gli agonisti puri del GLP-1 raggiungono in media circa l’8–15%, la dose più alta di semaglutide poco meno del 19%, le combinazioni con GIP o amilina circa il 20%, il triplo agonista retatrutide il 25%. Questa sequenza è sostenuta dai confronti diretti SURMOUNT-5, STEP 8 e REDEFINE 5; per retatrutide il confronto diretto con tirzepatide è ancora in sospeso (NCT06662383).</w:t>
      </w:r>
    </w:p>
    <w:bookmarkStart w:id="948" w:name="Xfad8735bd56011e16a09db7cc118624aac7af80"/>
    <w:p>
      <w:pPr>
        <w:pStyle w:val="Heading4"/>
      </w:pPr>
      <w:r>
        <w:t xml:space="preserve">Con il diabete di tipo 2 la perdita di peso è minore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Perdita di peso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settimane</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settimane</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settimane</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settimane</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settimane</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settimane</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settimane</w:t>
            </w:r>
          </w:p>
        </w:tc>
        <w:tc>
          <w:tcPr/>
          <w:p>
            <w:pPr>
              <w:pStyle w:val="Compact"/>
              <w:jc w:val="left"/>
            </w:pPr>
            <w:r>
              <w:t xml:space="preserve">da −5,1 a −9,6% vs. −2,5%</w:t>
            </w:r>
          </w:p>
        </w:tc>
      </w:tr>
    </w:tbl>
    <w:p>
      <w:pPr>
        <w:pStyle w:val="BodyText"/>
      </w:pPr>
      <w:r>
        <w:t xml:space="preserve">Per ogni principio attivo il valore in presenza di diabete è nettamente più basso che in sua assenza, di solito di un quarto fino a un terzo. Questo schema è così costante che il confronto di uno studio sul diabete con uno studio sull’obesità senza diabete porta sempre fuori strada.</w:t>
      </w:r>
    </w:p>
    <w:bookmarkEnd w:id="948"/>
    <w:bookmarkStart w:id="949" w:name="dopo-la-sospensione"/>
    <w:p>
      <w:pPr>
        <w:pStyle w:val="Heading4"/>
      </w:pPr>
      <w:r>
        <w:t xml:space="preserve">Dopo la sospensione</w:t>
      </w:r>
    </w:p>
    <w:p>
      <w:pPr>
        <w:pStyle w:val="FirstParagraph"/>
      </w:pPr>
      <w:r>
        <w:t xml:space="preserve">Due studi hanno esaminato in modo mirato che cosa accade dopo la sospensione. In STEP 4 tutti i partecipanti hanno ricevuto inizialmente 20 settimane di semaglutide; in seguito il gruppo passato al placebo ha ripreso il 6,9% del peso in 48 settimane, mentre il gruppo con semaglutide ha perso un ulteriore 7,9% (Rubino 2021, PMID 33755728). In SURMOUNT-4, dopo 36 settimane di tirzepatide, il gruppo placebo ha ripreso il 14,0% nelle 52 settimane successive (Aronne 2024, PMID 38078870). Per entrambi i principi attivi vale: l’effetto dura solo finché si prosegue il trattamento. Per i principi attivi più recenti non esistono ancora dati pubblicati al riguardo.</w:t>
      </w:r>
    </w:p>
    <w:bookmarkEnd w:id="949"/>
    <w:bookmarkEnd w:id="950"/>
    <w:bookmarkStart w:id="951" w:name="glicemia-hba1c"/>
    <w:p>
      <w:pPr>
        <w:pStyle w:val="Heading3"/>
      </w:pPr>
      <w:r>
        <w:t xml:space="preserve">Glicemia: HbA1c</w:t>
      </w:r>
    </w:p>
    <w:p>
      <w:pPr>
        <w:pStyle w:val="FirstParagraph"/>
      </w:pPr>
      <w:r>
        <w:t xml:space="preserve">Il valore di HbA1c («emoglobina glicata») indica quale quota del pigmento rosso del sangue è legata allo zucchero e rispecchia la glicemia media degli ultimi due o tre mesi. Una riduzione di un punto percentuale è considerata clinicamente rilevante. Quanto il valore diminuisca dipende molto dal valore di partenza: chi parte da 9% può scendere di più di chi parte da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Variazione di HbA1c (punti percentuali)</w:t>
            </w:r>
          </w:p>
        </w:tc>
      </w:tr>
      <w:tr>
        <w:tc>
          <w:tcPr/>
          <w:p>
            <w:pPr>
              <w:pStyle w:val="Compact"/>
              <w:jc w:val="left"/>
            </w:pPr>
            <w:r>
              <w:t xml:space="preserve">Exenatide due volte al giorno</w:t>
            </w:r>
          </w:p>
        </w:tc>
        <w:tc>
          <w:tcPr/>
          <w:p>
            <w:pPr>
              <w:pStyle w:val="Compact"/>
              <w:jc w:val="left"/>
            </w:pPr>
            <w:r>
              <w:t xml:space="preserve">DeFronzo 2005, PMID 15855572</w:t>
            </w:r>
          </w:p>
        </w:tc>
        <w:tc>
          <w:tcPr/>
          <w:p>
            <w:pPr>
              <w:pStyle w:val="Compact"/>
              <w:jc w:val="left"/>
            </w:pPr>
            <w:r>
              <w:t xml:space="preserve">30 settimane</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settimane</w:t>
            </w:r>
          </w:p>
        </w:tc>
        <w:tc>
          <w:tcPr/>
          <w:p>
            <w:pPr>
              <w:pStyle w:val="Compact"/>
              <w:jc w:val="left"/>
            </w:pPr>
            <w:r>
              <w:t xml:space="preserve">−0,62 (in aggiunta all’insulina)</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settimane</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settimane</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settimane</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settimane</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settimane</w:t>
            </w:r>
          </w:p>
        </w:tc>
        <w:tc>
          <w:tcPr/>
          <w:p>
            <w:pPr>
              <w:pStyle w:val="Compact"/>
              <w:jc w:val="left"/>
            </w:pPr>
            <w:r>
              <w:t xml:space="preserve">da −1,87 a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settimane</w:t>
            </w:r>
          </w:p>
        </w:tc>
        <w:tc>
          <w:tcPr/>
          <w:p>
            <w:pPr>
              <w:pStyle w:val="Compact"/>
              <w:jc w:val="left"/>
            </w:pPr>
            <w:r>
              <w:t xml:space="preserve">da −1,69 a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settimane</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settimane</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settimane</w:t>
            </w:r>
          </w:p>
        </w:tc>
        <w:tc>
          <w:tcPr/>
          <w:p>
            <w:pPr>
              <w:pStyle w:val="Compact"/>
              <w:jc w:val="left"/>
            </w:pPr>
            <w:r>
              <w:t xml:space="preserve">da −1,2 a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settimane</w:t>
            </w:r>
          </w:p>
        </w:tc>
        <w:tc>
          <w:tcPr/>
          <w:p>
            <w:pPr>
              <w:pStyle w:val="Compact"/>
              <w:jc w:val="left"/>
            </w:pPr>
            <w:r>
              <w:t xml:space="preserve">da −1,24 a −1,48 vs. −0,41 (placebo)</w:t>
            </w:r>
          </w:p>
        </w:tc>
      </w:tr>
    </w:tbl>
    <w:p>
      <w:pPr>
        <w:pStyle w:val="BodyText"/>
      </w:pPr>
      <w:r>
        <w:t xml:space="preserve">I principi attivi più vecchi, exenatide e pramlintide, riducono l’HbA1c di meno di un punto percentuale, gli agonisti del GLP-1 settimanali di circa 1,5 punti, tirzepatide e i nuovi agonisti multipli di circa 2 punti. Per la glicemia le differenze tra i principi attivi più recenti sono minori che per il peso. Lo mostra con particolare chiarezza REIMAGINE 2: lì CagriSema ha ridotto l’HbA1c solo di 0,16 punti percentuali in più rispetto a semaglutide 2,4 mg da solo (−1,91 vs. −1,75; Buse 2026, PMID 42251859). L’aggiunta di amilina agisce quindi soprattutto sul peso.</w:t>
      </w:r>
    </w:p>
    <w:p>
      <w:pPr>
        <w:pStyle w:val="BodyText"/>
      </w:pPr>
      <w:r>
        <w:t xml:space="preserve">Una differenza importante riguarda l’ipoglicemia. Poiché il GLP-1 potenzia la secrezione di insulina solo quando la glicemia è elevata, le ipoglicemie con questi farmaci da soli sono rare. Diventano più frequenti se si assumono contemporaneamente insulina o sulfoniluree. Con pramlintide, che si usa solo in aggiunta all’insulina ai pasti, l’ipoglicemia grave è il rischio principale (Edelman 2006, PMID 17003291).</w:t>
      </w:r>
    </w:p>
    <w:bookmarkEnd w:id="951"/>
    <w:bookmarkStart w:id="952" w:name="studi-di-esito-cardiovascolare"/>
    <w:p>
      <w:pPr>
        <w:pStyle w:val="Heading3"/>
      </w:pPr>
      <w:r>
        <w:t xml:space="preserve">Studi di esito cardiovascolare</w:t>
      </w:r>
    </w:p>
    <w:p>
      <w:pPr>
        <w:pStyle w:val="FirstParagraph"/>
      </w:pPr>
      <w:r>
        <w:t xml:space="preserve">Gli studi di esito non misurano valori di laboratorio, ma eventi che contano per i pazienti: morte cardiovascolare, infarto e ictus, riassunti come «MACE» (major adverse cardiovascular events). L’hazard ratio (HR) indica quanto era alto il rischio rispetto al gruppo di controllo; 0,80 significa un rischio relativo inferiore del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(principio attivo)</w:t>
            </w:r>
          </w:p>
        </w:tc>
        <w:tc>
          <w:tcPr/>
          <w:p>
            <w:pPr>
              <w:pStyle w:val="Compact"/>
              <w:jc w:val="left"/>
            </w:pPr>
            <w:r>
              <w:t xml:space="preserve">Partecipanti</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LEADER (liraglutide; Marso 2016), PMID 27295427</w:t>
            </w:r>
          </w:p>
        </w:tc>
        <w:tc>
          <w:tcPr/>
          <w:p>
            <w:pPr>
              <w:pStyle w:val="Compact"/>
              <w:jc w:val="left"/>
            </w:pPr>
            <w:r>
              <w:t xml:space="preserve">9.340 con diabete di tipo 2 e rischio elevato</w:t>
            </w:r>
          </w:p>
        </w:tc>
        <w:tc>
          <w:tcPr/>
          <w:p>
            <w:pPr>
              <w:pStyle w:val="Compact"/>
              <w:jc w:val="left"/>
            </w:pPr>
            <w:r>
              <w:t xml:space="preserve">mediana 3,8 anni</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con diabete di tipo 2 e rischio elevato</w:t>
            </w:r>
          </w:p>
        </w:tc>
        <w:tc>
          <w:tcPr/>
          <w:p>
            <w:pPr>
              <w:pStyle w:val="Compact"/>
              <w:jc w:val="left"/>
            </w:pPr>
            <w:r>
              <w:t xml:space="preserve">104 settimane</w:t>
            </w:r>
          </w:p>
        </w:tc>
        <w:tc>
          <w:tcPr/>
          <w:p>
            <w:pPr>
              <w:pStyle w:val="Compact"/>
              <w:jc w:val="left"/>
            </w:pPr>
            <w:r>
              <w:t xml:space="preserve">6,6% vs. 8,9%; HR 0,74</w:t>
            </w:r>
          </w:p>
        </w:tc>
      </w:tr>
      <w:tr>
        <w:tc>
          <w:tcPr/>
          <w:p>
            <w:pPr>
              <w:pStyle w:val="Compact"/>
              <w:jc w:val="left"/>
            </w:pPr>
            <w:r>
              <w:t xml:space="preserve">PIONEER 6 (semaglutide compressa; Husain 2019), PMID 31185157</w:t>
            </w:r>
          </w:p>
        </w:tc>
        <w:tc>
          <w:tcPr/>
          <w:p>
            <w:pPr>
              <w:pStyle w:val="Compact"/>
              <w:jc w:val="left"/>
            </w:pPr>
            <w:r>
              <w:t xml:space="preserve">3.183 con diabete di tipo 2 e rischio elevato</w:t>
            </w:r>
          </w:p>
        </w:tc>
        <w:tc>
          <w:tcPr/>
          <w:p>
            <w:pPr>
              <w:pStyle w:val="Compact"/>
              <w:jc w:val="left"/>
            </w:pPr>
            <w:r>
              <w:t xml:space="preserve">mediana 15,9 mesi</w:t>
            </w:r>
          </w:p>
        </w:tc>
        <w:tc>
          <w:tcPr/>
          <w:p>
            <w:pPr>
              <w:pStyle w:val="Compact"/>
              <w:jc w:val="left"/>
            </w:pPr>
            <w:r>
              <w:t xml:space="preserve">3,8% vs. 4,8%; HR 0,79, dimostrata solo la non inferiorità</w:t>
            </w:r>
          </w:p>
        </w:tc>
      </w:tr>
      <w:tr>
        <w:tc>
          <w:tcPr/>
          <w:p>
            <w:pPr>
              <w:pStyle w:val="Compact"/>
              <w:jc w:val="left"/>
            </w:pPr>
            <w:r>
              <w:t xml:space="preserve">SOUL (semaglutide compressa; McGuire 2025), PMID 40162642</w:t>
            </w:r>
          </w:p>
        </w:tc>
        <w:tc>
          <w:tcPr/>
          <w:p>
            <w:pPr>
              <w:pStyle w:val="Compact"/>
              <w:jc w:val="left"/>
            </w:pPr>
            <w:r>
              <w:t xml:space="preserve">9.650 con diabete di tipo 2 e malattia vascolare o renale</w:t>
            </w:r>
          </w:p>
        </w:tc>
        <w:tc>
          <w:tcPr/>
          <w:p>
            <w:pPr>
              <w:pStyle w:val="Compact"/>
              <w:jc w:val="left"/>
            </w:pPr>
            <w:r>
              <w:t xml:space="preserve">mediana 49,5 mesi</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con sovrappeso e malattia cardiovascolare, senza diabete</w:t>
            </w:r>
          </w:p>
        </w:tc>
        <w:tc>
          <w:tcPr/>
          <w:p>
            <w:pPr>
              <w:pStyle w:val="Compact"/>
              <w:jc w:val="left"/>
            </w:pPr>
            <w:r>
              <w:t xml:space="preserve">in media 39,8 mesi</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con diabete di tipo 2, con o senza malattia cardiovascolare pregressa</w:t>
            </w:r>
          </w:p>
        </w:tc>
        <w:tc>
          <w:tcPr/>
          <w:p>
            <w:pPr>
              <w:pStyle w:val="Compact"/>
              <w:jc w:val="left"/>
            </w:pPr>
            <w:r>
              <w:t xml:space="preserve">mediana 5,4 anni</w:t>
            </w:r>
          </w:p>
        </w:tc>
        <w:tc>
          <w:tcPr/>
          <w:p>
            <w:pPr>
              <w:pStyle w:val="Compact"/>
              <w:jc w:val="left"/>
            </w:pPr>
            <w:r>
              <w:t xml:space="preserve">12,0% vs. 13,4%; HR 0,88</w:t>
            </w:r>
          </w:p>
        </w:tc>
      </w:tr>
      <w:tr>
        <w:tc>
          <w:tcPr/>
          <w:p>
            <w:pPr>
              <w:pStyle w:val="Compact"/>
              <w:jc w:val="left"/>
            </w:pPr>
            <w:r>
              <w:t xml:space="preserve">EXSCEL (exenatide settimanale; Holman 2017), PMID 28910237</w:t>
            </w:r>
          </w:p>
        </w:tc>
        <w:tc>
          <w:tcPr/>
          <w:p>
            <w:pPr>
              <w:pStyle w:val="Compact"/>
              <w:jc w:val="left"/>
            </w:pPr>
            <w:r>
              <w:t xml:space="preserve">14.752 con diabete di tipo 2</w:t>
            </w:r>
          </w:p>
        </w:tc>
        <w:tc>
          <w:tcPr/>
          <w:p>
            <w:pPr>
              <w:pStyle w:val="Compact"/>
              <w:jc w:val="left"/>
            </w:pPr>
            <w:r>
              <w:t xml:space="preserve">mediana 3,2 anni</w:t>
            </w:r>
          </w:p>
        </w:tc>
        <w:tc>
          <w:tcPr/>
          <w:p>
            <w:pPr>
              <w:pStyle w:val="Compact"/>
              <w:jc w:val="left"/>
            </w:pPr>
            <w:r>
              <w:t xml:space="preserve">11,4% vs. 12,2%; HR 0,91, superiorità mancata di poco</w:t>
            </w:r>
          </w:p>
        </w:tc>
      </w:tr>
      <w:tr>
        <w:tc>
          <w:tcPr/>
          <w:p>
            <w:pPr>
              <w:pStyle w:val="Compact"/>
              <w:jc w:val="left"/>
            </w:pPr>
            <w:r>
              <w:t xml:space="preserve">SURPASS-CVOT (tirzepatide contro dulaglutide; Nicholls 2025), PMID 41406444</w:t>
            </w:r>
          </w:p>
        </w:tc>
        <w:tc>
          <w:tcPr/>
          <w:p>
            <w:pPr>
              <w:pStyle w:val="Compact"/>
              <w:jc w:val="left"/>
            </w:pPr>
            <w:r>
              <w:t xml:space="preserve">13.165 con diabete di tipo 2 e malattia vascolare</w:t>
            </w:r>
          </w:p>
        </w:tc>
        <w:tc>
          <w:tcPr/>
          <w:p>
            <w:pPr>
              <w:pStyle w:val="Compact"/>
              <w:jc w:val="left"/>
            </w:pPr>
            <w:r>
              <w:t xml:space="preserve">diversi anni</w:t>
            </w:r>
          </w:p>
        </w:tc>
        <w:tc>
          <w:tcPr/>
          <w:p>
            <w:pPr>
              <w:pStyle w:val="Compact"/>
              <w:jc w:val="left"/>
            </w:pPr>
            <w:r>
              <w:t xml:space="preserve">12,2% vs. 13,1%; HR 0,92, non inferiore</w:t>
            </w:r>
          </w:p>
        </w:tc>
      </w:tr>
      <w:tr>
        <w:tc>
          <w:tcPr/>
          <w:p>
            <w:pPr>
              <w:pStyle w:val="Compact"/>
              <w:jc w:val="left"/>
            </w:pPr>
            <w:r>
              <w:t xml:space="preserve">ACHIEVE-4 (orforglipron contro insulina glargine; Klein 2026), PMID 42815506</w:t>
            </w:r>
          </w:p>
        </w:tc>
        <w:tc>
          <w:tcPr/>
          <w:p>
            <w:pPr>
              <w:pStyle w:val="Compact"/>
              <w:jc w:val="left"/>
            </w:pPr>
            <w:r>
              <w:t xml:space="preserve">2.749 con diabete di tipo 2 e rischio elevato</w:t>
            </w:r>
          </w:p>
        </w:tc>
        <w:tc>
          <w:tcPr/>
          <w:p>
            <w:pPr>
              <w:pStyle w:val="Compact"/>
              <w:jc w:val="left"/>
            </w:pPr>
            <w:r>
              <w:t xml:space="preserve">mediana 2 anni</w:t>
            </w:r>
          </w:p>
        </w:tc>
        <w:tc>
          <w:tcPr/>
          <w:p>
            <w:pPr>
              <w:pStyle w:val="Compact"/>
              <w:jc w:val="left"/>
            </w:pPr>
            <w:r>
              <w:t xml:space="preserve">4,2% vs. 5,0% (MACE-4), non inferiore</w:t>
            </w:r>
          </w:p>
        </w:tc>
      </w:tr>
    </w:tbl>
    <w:p>
      <w:pPr>
        <w:pStyle w:val="BodyText"/>
      </w:pPr>
      <w:r>
        <w:t xml:space="preserve">Che cosa mostra questa tabella:</w:t>
      </w:r>
    </w:p>
    <w:p>
      <w:pPr>
        <w:numPr>
          <w:ilvl w:val="0"/>
          <w:numId w:val="1326"/>
        </w:numPr>
        <w:pStyle w:val="Compact"/>
      </w:pPr>
      <w:r>
        <w:rPr>
          <w:bCs/>
          <w:b/>
        </w:rPr>
        <w:t xml:space="preserve">La classe riduce il rischio.</w:t>
      </w:r>
      <w:r>
        <w:t xml:space="preserve"> </w:t>
      </w:r>
      <w:r>
        <w:t xml:space="preserve">Una meta-analisi di sette studi di esito controllati con placebo, con complessivamente 56.004 partecipanti, ha riscontrato per gli agonisti del recettore del GLP-1 nel diabete di tipo 2 il 12% in meno di eventi cardiovascolari gravi (HR 0,88), il 12% in meno di decessi per qualsiasi causa e il 9% in meno di ricoveri per scompenso cardiaco, senza differenze rilevanti tra i sottogruppi (Kristensen 2019, PMID 31422062). In questa meta-analisi sono confluiti anche due principi attivi che non sono trattati in questo libro.</w:t>
      </w:r>
    </w:p>
    <w:p>
      <w:pPr>
        <w:numPr>
          <w:ilvl w:val="0"/>
          <w:numId w:val="1326"/>
        </w:numPr>
        <w:pStyle w:val="Compact"/>
      </w:pPr>
      <w:r>
        <w:rPr>
          <w:bCs/>
          <w:b/>
        </w:rPr>
        <w:t xml:space="preserve">Le differenze tra i principi attivi sono incerte.</w:t>
      </w:r>
      <w:r>
        <w:t xml:space="preserve"> </w:t>
      </w:r>
      <w:r>
        <w:t xml:space="preserve">In EXSCEL exenatide si è collocato sul margine più debole; si discutono la molecola stessa, l’elevato tasso di interruzioni e il disegno pragmatico dello studio. Un impianto a pompa di exenatide (FREEDOM-CVO) ha soddisfatto solo il criterio di sicurezza (HR 1,21; Ruff 2022, PMID 34873344).</w:t>
      </w:r>
    </w:p>
    <w:p>
      <w:pPr>
        <w:numPr>
          <w:ilvl w:val="0"/>
          <w:numId w:val="1326"/>
        </w:numPr>
        <w:pStyle w:val="Compact"/>
      </w:pPr>
      <w:r>
        <w:rPr>
          <w:bCs/>
          <w:b/>
        </w:rPr>
        <w:t xml:space="preserve">SELECT è un caso particolare.</w:t>
      </w:r>
      <w:r>
        <w:t xml:space="preserve"> </w:t>
      </w:r>
      <w:r>
        <w:t xml:space="preserve">In questa panoramica è l’unico grande studio di esito condotto esclusivamente su persone</w:t>
      </w:r>
      <w:r>
        <w:t xml:space="preserve"> </w:t>
      </w:r>
      <w:r>
        <w:rPr>
          <w:iCs/>
          <w:i/>
        </w:rPr>
        <w:t xml:space="preserve">senza</w:t>
      </w:r>
      <w:r>
        <w:t xml:space="preserve"> </w:t>
      </w:r>
      <w:r>
        <w:t xml:space="preserve">diabete. In numeri assoluti, in poco più di tre anni circa 1,5 persone trattate su cento hanno avuto un evento grave in meno.</w:t>
      </w:r>
    </w:p>
    <w:p>
      <w:pPr>
        <w:numPr>
          <w:ilvl w:val="0"/>
          <w:numId w:val="1326"/>
        </w:numPr>
        <w:pStyle w:val="Compact"/>
      </w:pPr>
      <w:r>
        <w:rPr>
          <w:bCs/>
          <w:b/>
        </w:rPr>
        <w:t xml:space="preserve">Tirzepatide è stato testato contro un farmaco efficace.</w:t>
      </w:r>
      <w:r>
        <w:t xml:space="preserve"> </w:t>
      </w:r>
      <w:r>
        <w:t xml:space="preserve">SURPASS-CVOT non ha confrontato tirzepatide con il placebo, ma con dulaglutide, che in REWIND aveva a sua volta ridotto il rischio. Tirzepatide non è risultato inferiore; la superiorità formale è stata mancata di poco. Quanto grande sarebbe il beneficio rispetto a nessun trattamento si può stimare solo tramite modelli di calcolo.</w:t>
      </w:r>
    </w:p>
    <w:p>
      <w:pPr>
        <w:numPr>
          <w:ilvl w:val="0"/>
          <w:numId w:val="1326"/>
        </w:numPr>
        <w:pStyle w:val="Compact"/>
      </w:pPr>
      <w:r>
        <w:rPr>
          <w:bCs/>
          <w:b/>
        </w:rPr>
        <w:t xml:space="preserve">Scompenso cardiaco:</w:t>
      </w:r>
      <w:r>
        <w:t xml:space="preserve"> </w:t>
      </w:r>
      <w:r>
        <w:t xml:space="preserve">nell’insufficienza cardiaca con frazione di eiezione preservata e obesità, tirzepatide ha ridotto in SUMMIT, con 731 persone, l’endpoint combinato di morte cardiovascolare o peggioramento dello scompenso cardiaco (9,9% vs. 15,3%; HR 0,62; Packer 2025, PMID 39555826). La differenza era dovuta a un minor numero di eventi di peggioramento; i decessi sono stati rari. In STEP-HFpEF semaglutide ha migliorato i sintomi e la distanza percorsa (Kosiborod 2023, PMID 37622681), ma non era disegnato per endpoint clinici forti.</w:t>
      </w:r>
    </w:p>
    <w:p>
      <w:pPr>
        <w:pStyle w:val="FirstParagraph"/>
      </w:pPr>
      <w:r>
        <w:rPr>
          <w:bCs/>
          <w:b/>
        </w:rPr>
        <w:t xml:space="preserve">Ancora in sospeso (studi registrati):</w:t>
      </w:r>
      <w:r>
        <w:t xml:space="preserve"> </w:t>
      </w:r>
      <w:r>
        <w:t xml:space="preserve">per i principi attivi più recenti mancano dati di esito. Gli studi in corso sono SURMOUNT-MMO su tirzepatide nell’obesità senza diabete (NCT05556512), TRIUMPH-Outcomes su retatrutide (NCT06383390), REDEFINE 3 su CagriSema (NCT05669755), uno studio su maridebart cafraglutide (NCT07037433) e uno su orforglipron (NCT07241390). Finché questi risultati non saranno disponibili, resta aperto se una maggiore perdita di peso porti anche a meno infarti e ictus. È un’aspettativa plausibile, ma non un risultato.</w:t>
      </w:r>
    </w:p>
    <w:bookmarkEnd w:id="952"/>
    <w:bookmarkStart w:id="953" w:name="rene-e-fegato"/>
    <w:p>
      <w:pPr>
        <w:pStyle w:val="Heading3"/>
      </w:pPr>
      <w:r>
        <w:t xml:space="preserve">Rene e fegato</w:t>
      </w:r>
    </w:p>
    <w:p>
      <w:pPr>
        <w:pStyle w:val="FirstParagraph"/>
      </w:pPr>
      <w:r>
        <w:rPr>
          <w:bCs/>
          <w:b/>
        </w:rPr>
        <w:t xml:space="preserve">Rene:</w:t>
      </w:r>
      <w:r>
        <w:t xml:space="preserve"> </w:t>
      </w:r>
      <w:r>
        <w:t xml:space="preserve">tra gli studi discussi in questo libro, solo FLOW ha un evento renale come endpoint principale. In 3.533 persone con diabete di tipo 2 e malattia renale cronica, semaglutide 1,0 mg ha ridotto del 24% gli eventi renali gravi e la morte per cause renali o cardiovascolari (331 vs. 410 eventi; HR 0,76). Lo studio è stato interrotto anticipatamente per efficacia; la mortalità totale era inferiore del 20% (Perkovic 2024, PMID 38785209). Negli studi di esito più vecchi, invece, il beneficio renale era dovuto soprattutto a una minore quantità di proteine nelle urine: in LEADER HR 0,78 (Mann 2017, PMID 28854085), in REWIND HR 0,85 (Gerstein 2019, PMID 31189509), sull’insieme dei sette studi HR 0,83 (Kristensen 2019, PMID 31422062). In SOUL gli endpoint secondari confermativi, tra cui gli eventi renali, non differivano in modo significativo (McGuire 2025, PMID 40162642). Nella malattia renale da moderata a grave, la funzione renale si è conservata meglio con dulaglutide che con insulina glargine (AWARD-7, Tuttle 2018, PMID 29910024). Per tirzepatide e i principi attivi più recenti non esistono ancora studi con eventi renali come endpoint principale.</w:t>
      </w:r>
    </w:p>
    <w:p>
      <w:pPr>
        <w:pStyle w:val="BodyText"/>
      </w:pPr>
      <w:r>
        <w:rPr>
          <w:bCs/>
          <w:b/>
        </w:rPr>
        <w:t xml:space="preserve">Fegato:</w:t>
      </w:r>
      <w:r>
        <w:t xml:space="preserve"> </w:t>
      </w:r>
      <w:r>
        <w:t xml:space="preserve">per la steatoepatite MASH (in precedenza NASH) esistono studi con biopsia per tre principi attivi: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Risoluzione della MASH senza peggioramento della fibrosi</w:t>
            </w:r>
          </w:p>
        </w:tc>
      </w:tr>
      <w:tr>
        <w:tc>
          <w:tcPr/>
          <w:p>
            <w:pPr>
              <w:pStyle w:val="Compact"/>
              <w:jc w:val="left"/>
            </w:pPr>
            <w:r>
              <w:t xml:space="preserve">Semaglutide 2,4 mg</w:t>
            </w:r>
          </w:p>
        </w:tc>
        <w:tc>
          <w:tcPr/>
          <w:p>
            <w:pPr>
              <w:pStyle w:val="Compact"/>
              <w:jc w:val="left"/>
            </w:pPr>
            <w:r>
              <w:t xml:space="preserve">ESSENCE, fase 3 (Sanyal 2025), PMID 40305708</w:t>
            </w:r>
          </w:p>
        </w:tc>
        <w:tc>
          <w:tcPr/>
          <w:p>
            <w:pPr>
              <w:pStyle w:val="Compact"/>
              <w:jc w:val="left"/>
            </w:pPr>
            <w:r>
              <w:t xml:space="preserve">72 settimane (analisi intermedia, 800 persone)</w:t>
            </w:r>
          </w:p>
        </w:tc>
        <w:tc>
          <w:tcPr/>
          <w:p>
            <w:pPr>
              <w:pStyle w:val="Compact"/>
              <w:jc w:val="left"/>
            </w:pPr>
            <w:r>
              <w:t xml:space="preserve">62,9% vs. 34,3%; meno fibrosi 36,8% vs. 22,4%</w:t>
            </w:r>
          </w:p>
        </w:tc>
      </w:tr>
      <w:tr>
        <w:tc>
          <w:tcPr/>
          <w:p>
            <w:pPr>
              <w:pStyle w:val="Compact"/>
              <w:jc w:val="left"/>
            </w:pPr>
            <w:r>
              <w:t xml:space="preserve">Tirzepatide</w:t>
            </w:r>
          </w:p>
        </w:tc>
        <w:tc>
          <w:tcPr/>
          <w:p>
            <w:pPr>
              <w:pStyle w:val="Compact"/>
              <w:jc w:val="left"/>
            </w:pPr>
            <w:r>
              <w:t xml:space="preserve">SYNERGY-NASH, fase 2 (Loomba 2024), PMID 38856224</w:t>
            </w:r>
          </w:p>
        </w:tc>
        <w:tc>
          <w:tcPr/>
          <w:p>
            <w:pPr>
              <w:pStyle w:val="Compact"/>
              <w:jc w:val="left"/>
            </w:pPr>
            <w:r>
              <w:t xml:space="preserve">52 settimane, 190 persone</w:t>
            </w:r>
          </w:p>
        </w:tc>
        <w:tc>
          <w:tcPr/>
          <w:p>
            <w:pPr>
              <w:pStyle w:val="Compact"/>
              <w:jc w:val="left"/>
            </w:pPr>
            <w:r>
              <w:t xml:space="preserve">44–62% vs. 10%; meno fibrosi 51–55% vs. 30%</w:t>
            </w:r>
          </w:p>
        </w:tc>
      </w:tr>
      <w:tr>
        <w:tc>
          <w:tcPr/>
          <w:p>
            <w:pPr>
              <w:pStyle w:val="Compact"/>
              <w:jc w:val="left"/>
            </w:pPr>
            <w:r>
              <w:t xml:space="preserve">Survodutide</w:t>
            </w:r>
          </w:p>
        </w:tc>
        <w:tc>
          <w:tcPr/>
          <w:p>
            <w:pPr>
              <w:pStyle w:val="Compact"/>
              <w:jc w:val="left"/>
            </w:pPr>
            <w:r>
              <w:t xml:space="preserve">Fase 2 (Sanyal 2024), PMID 38847460</w:t>
            </w:r>
          </w:p>
        </w:tc>
        <w:tc>
          <w:tcPr/>
          <w:p>
            <w:pPr>
              <w:pStyle w:val="Compact"/>
              <w:jc w:val="left"/>
            </w:pPr>
            <w:r>
              <w:t xml:space="preserve">48 settimane, 293 persone</w:t>
            </w:r>
          </w:p>
        </w:tc>
        <w:tc>
          <w:tcPr/>
          <w:p>
            <w:pPr>
              <w:pStyle w:val="Compact"/>
              <w:jc w:val="left"/>
            </w:pPr>
            <w:r>
              <w:t xml:space="preserve">miglioramento della MASH 43–62% vs. 14%</w:t>
            </w:r>
          </w:p>
        </w:tc>
      </w:tr>
    </w:tbl>
    <w:p>
      <w:pPr>
        <w:pStyle w:val="BodyText"/>
      </w:pPr>
      <w:r>
        <w:t xml:space="preserve">Solo ESSENCE è uno studio di fase 3; se il trattamento prevenga anche cirrosi, insufficienza epatica e decessi lo dovrà mostrare la sua seconda parte, della durata di 240 settimane. Per survodutide sono in corso gli studi di fase 3 LIVERAGE (NCT06632444) e LIVERAGE-Cirrhosis (NCT06632457). Le percentuali più alte degli studi di fase 2 non sono direttamente confrontabili con ESSENCE, a causa dei gruppi piccoli e della durata più breve.</w:t>
      </w:r>
    </w:p>
    <w:bookmarkEnd w:id="953"/>
    <w:bookmarkStart w:id="954" w:name="Xb64adea461f1ee3e52e40dcf9280b3da8d2f884"/>
    <w:p>
      <w:pPr>
        <w:pStyle w:val="Heading3"/>
      </w:pPr>
      <w:r>
        <w:t xml:space="preserve">Effetti collaterali e tassi di interruzione</w:t>
      </w:r>
    </w:p>
    <w:p>
      <w:pPr>
        <w:pStyle w:val="FirstParagraph"/>
      </w:pPr>
      <w:r>
        <w:t xml:space="preserve">Il profilo degli effetti collaterali è simile in tutta la classe: nausea, diarrea, vomito e stitichezza, soprattutto durante l’aumento graduale della dose, per lo più lievi o moderati e transitori. Sono il motivo più frequente di interruzione della terapia. I tassi dipendono molto dalla dose e dalla velocità della titolazione e sono confrontabili tra studi solo approssimativamente.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Disturbi gastrointestinali</w:t>
            </w:r>
          </w:p>
        </w:tc>
        <w:tc>
          <w:tcPr/>
          <w:p>
            <w:pPr>
              <w:pStyle w:val="Compact"/>
              <w:jc w:val="left"/>
            </w:pPr>
            <w:r>
              <w:t xml:space="preserve">Interruzione per effetti collaterali</w:t>
            </w:r>
          </w:p>
        </w:tc>
      </w:tr>
      <w:tr>
        <w:tc>
          <w:tcPr/>
          <w:p>
            <w:pPr>
              <w:pStyle w:val="Compact"/>
              <w:jc w:val="left"/>
            </w:pPr>
            <w:r>
              <w:t xml:space="preserve">Exenatide due volte al giorno</w:t>
            </w:r>
          </w:p>
        </w:tc>
        <w:tc>
          <w:tcPr/>
          <w:p>
            <w:pPr>
              <w:pStyle w:val="Compact"/>
              <w:jc w:val="left"/>
            </w:pPr>
            <w:r>
              <w:t xml:space="preserve">Heine 2005, PMID 16230722</w:t>
            </w:r>
          </w:p>
        </w:tc>
        <w:tc>
          <w:tcPr/>
          <w:p>
            <w:pPr>
              <w:pStyle w:val="Compact"/>
              <w:jc w:val="left"/>
            </w:pPr>
            <w:r>
              <w:t xml:space="preserve">nausea 57,1%</w:t>
            </w:r>
          </w:p>
        </w:tc>
        <w:tc>
          <w:tcPr/>
          <w:p>
            <w:pPr>
              <w:pStyle w:val="Compact"/>
              <w:jc w:val="left"/>
            </w:pPr>
            <w:r>
              <w:t xml:space="preserve">nessun dato nell’abstract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nessun dato nell’abstract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più frequenti nausea e diarrea</w:t>
            </w:r>
          </w:p>
        </w:tc>
        <w:tc>
          <w:tcPr/>
          <w:p>
            <w:pPr>
              <w:pStyle w:val="Compact"/>
              <w:jc w:val="left"/>
            </w:pPr>
            <w:r>
              <w:t xml:space="preserve">per disturbi gastrointestinali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(in poco più di tre anni)</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i più frequenti, per lo più durante la titolazione</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nessun dato nell’abstract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diarrea 27–34%, nausea 14–28% (placebo 13% e 8%)</w:t>
            </w:r>
          </w:p>
        </w:tc>
        <w:tc>
          <w:tcPr/>
          <w:p>
            <w:pPr>
              <w:pStyle w:val="Compact"/>
              <w:jc w:val="left"/>
            </w:pPr>
            <w:r>
              <w:t xml:space="preserve">4–12% vs. 5% (inclusi i decessi)</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nessun dato nell’abstract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effetto collaterale più frequente</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effetto collaterale più frequente</w:t>
            </w:r>
          </w:p>
        </w:tc>
        <w:tc>
          <w:tcPr/>
          <w:p>
            <w:pPr>
              <w:pStyle w:val="Compact"/>
              <w:jc w:val="left"/>
            </w:pPr>
            <w:r>
              <w:t xml:space="preserve">5,3–10,3% vs. 2,7%</w:t>
            </w:r>
          </w:p>
        </w:tc>
      </w:tr>
    </w:tbl>
    <w:p>
      <w:pPr>
        <w:pStyle w:val="BodyText"/>
      </w:pPr>
      <w:r>
        <w:t xml:space="preserve">Alcune osservazioni:</w:t>
      </w:r>
    </w:p>
    <w:p>
      <w:pPr>
        <w:numPr>
          <w:ilvl w:val="0"/>
          <w:numId w:val="1327"/>
        </w:numPr>
        <w:pStyle w:val="Compact"/>
      </w:pPr>
      <w:r>
        <w:rPr>
          <w:bCs/>
          <w:b/>
        </w:rPr>
        <w:t xml:space="preserve">I preparati settimanali sono per lo più tollerati meglio delle forme più vecchie.</w:t>
      </w:r>
      <w:r>
        <w:t xml:space="preserve"> </w:t>
      </w:r>
      <w:r>
        <w:t xml:space="preserve">In DURATION-6 il 9% ha avuto nausea con exenatide settimanale, il 21% con liraglutide giornaliero (Buse 2013, PMID 23141817). In STEP 8 il 27,6% ha interrotto anticipatamente il trattamento con liraglutide, per qualsiasi motivo, contro il 13,5% con semaglutide; i disturbi gastrointestinali erano ugualmente frequenti in entrambi i gruppi (82,7% vs. 84,1%) (Rubino 2022, PMID 35015037).</w:t>
      </w:r>
    </w:p>
    <w:p>
      <w:pPr>
        <w:numPr>
          <w:ilvl w:val="0"/>
          <w:numId w:val="1327"/>
        </w:numPr>
        <w:pStyle w:val="Compact"/>
      </w:pPr>
      <w:r>
        <w:rPr>
          <w:bCs/>
          <w:b/>
        </w:rPr>
        <w:t xml:space="preserve">Una maggiore efficacia non comporta necessariamente più disturbi.</w:t>
      </w:r>
      <w:r>
        <w:t xml:space="preserve"> </w:t>
      </w:r>
      <w:r>
        <w:t xml:space="preserve">In SURPASS-2 nausea (17–22% vs. 18%) e vomito (6–10% vs. 8%) erano ugualmente frequenti con tirzepatide e semaglutide; eventi avversi gravi si sono verificati con tirzepatide nel 5–7% contro il 3% (Frías 2021, PMID 34170647). In REDEFINE 5 il 53% con CagriSema e il 51% con semaglutide ha avuto disturbi gastrointestinali (Yamauchi 2026, PMID 42009015).</w:t>
      </w:r>
    </w:p>
    <w:p>
      <w:pPr>
        <w:numPr>
          <w:ilvl w:val="0"/>
          <w:numId w:val="1327"/>
        </w:numPr>
        <w:pStyle w:val="Compact"/>
      </w:pPr>
      <w:r>
        <w:rPr>
          <w:bCs/>
          <w:b/>
        </w:rPr>
        <w:t xml:space="preserve">Con gli agonisti multipli le interruzioni aumentano alle dosi elevate.</w:t>
      </w:r>
      <w:r>
        <w:t xml:space="preserve"> </w:t>
      </w:r>
      <w:r>
        <w:t xml:space="preserve">Con retatrutide si sono verificate inoltre alterazioni della sensibilità cutanea (disestesia) nel 4–7% contro l’1% con il placebo – un segnale nuovo per questa classe. In uno studio statunitense di fase 2 con mazdutide, alla dose più alta il 20% ha interrotto a causa degli effetti collaterali (Hsia 2026, PMID 42628555).</w:t>
      </w:r>
    </w:p>
    <w:p>
      <w:pPr>
        <w:numPr>
          <w:ilvl w:val="0"/>
          <w:numId w:val="1327"/>
        </w:numPr>
        <w:pStyle w:val="Compact"/>
      </w:pPr>
      <w:r>
        <w:rPr>
          <w:bCs/>
          <w:b/>
        </w:rPr>
        <w:t xml:space="preserve">Gli studi a lungo termine mostrano tassi di interruzione più alti degli studi brevi.</w:t>
      </w:r>
      <w:r>
        <w:t xml:space="preserve"> </w:t>
      </w:r>
      <w:r>
        <w:t xml:space="preserve">Il 16,6% di SELECT in oltre tre anni è un riferimento più realistico per il trattamento a lungo termine rispetto ai valori degli studi registrativi di 68 o 72 settimane.</w:t>
      </w:r>
    </w:p>
    <w:p>
      <w:pPr>
        <w:pStyle w:val="FirstParagraph"/>
      </w:pPr>
      <w:r>
        <w:rPr>
          <w:bCs/>
          <w:b/>
        </w:rPr>
        <w:t xml:space="preserve">Rischi di classe che riguardano tutti i principi attivi:</w:t>
      </w:r>
    </w:p>
    <w:p>
      <w:pPr>
        <w:numPr>
          <w:ilvl w:val="0"/>
          <w:numId w:val="1328"/>
        </w:numPr>
        <w:pStyle w:val="Compact"/>
      </w:pPr>
      <w:r>
        <w:rPr>
          <w:bCs/>
          <w:b/>
        </w:rPr>
        <w:t xml:space="preserve">Colecisti:</w:t>
      </w:r>
      <w:r>
        <w:t xml:space="preserve"> </w:t>
      </w:r>
      <w:r>
        <w:t xml:space="preserve">una meta-analisi di 76 studi randomizzati con 103.371 partecipanti ha rilevato un rischio aumentato del 37% di malattie della colecisti e delle vie biliari, e negli studi sulla perdita di peso un rischio più che doppio (rischio relativo 2,29; He 2022, PMID 35344001).</w:t>
      </w:r>
    </w:p>
    <w:p>
      <w:pPr>
        <w:numPr>
          <w:ilvl w:val="0"/>
          <w:numId w:val="1328"/>
        </w:numPr>
        <w:pStyle w:val="Compact"/>
      </w:pPr>
      <w:r>
        <w:rPr>
          <w:bCs/>
          <w:b/>
        </w:rPr>
        <w:t xml:space="preserve">Pancreas:</w:t>
      </w:r>
      <w:r>
        <w:t xml:space="preserve"> </w:t>
      </w:r>
      <w:r>
        <w:t xml:space="preserve">nella meta-analisi degli studi di esito nessun aumento del rischio di pancreatite o di tumore del pancreas (Kristensen 2019, PMID 31422062); nei dati assicurativi un segnale in caso di uso per la perdita di peso (Sodhi 2023, PMID 37796527).</w:t>
      </w:r>
    </w:p>
    <w:p>
      <w:pPr>
        <w:numPr>
          <w:ilvl w:val="0"/>
          <w:numId w:val="1328"/>
        </w:numPr>
        <w:pStyle w:val="Compact"/>
      </w:pPr>
      <w:r>
        <w:rPr>
          <w:bCs/>
          <w:b/>
        </w:rPr>
        <w:t xml:space="preserve">Tiroide:</w:t>
      </w:r>
      <w:r>
        <w:t xml:space="preserve"> </w:t>
      </w:r>
      <w:r>
        <w:t xml:space="preserve">tumori a cellule C nei roditori; nell’uomo un segnale in meta-analisi e studi osservazionali (Silverii 2025, PMID 40437949), il cui significato è controverso.</w:t>
      </w:r>
    </w:p>
    <w:p>
      <w:pPr>
        <w:numPr>
          <w:ilvl w:val="0"/>
          <w:numId w:val="1328"/>
        </w:numPr>
        <w:pStyle w:val="Compact"/>
      </w:pPr>
      <w:r>
        <w:rPr>
          <w:bCs/>
          <w:b/>
        </w:rPr>
        <w:t xml:space="preserve">Occhi:</w:t>
      </w:r>
      <w:r>
        <w:t xml:space="preserve"> </w:t>
      </w:r>
      <w:r>
        <w:t xml:space="preserve">peggioramento di una retinopatia diabetica preesistente in SUSTAIN 6 (HR 1,76; Marso 2016, PMID 27633186); raro segnale di un disturbo della circolazione del nervo ottico (NAION) in studi osservazionali (Simonsen 2025, PMID 40098249).</w:t>
      </w:r>
    </w:p>
    <w:p>
      <w:pPr>
        <w:numPr>
          <w:ilvl w:val="0"/>
          <w:numId w:val="1328"/>
        </w:numPr>
        <w:pStyle w:val="Compact"/>
      </w:pPr>
      <w:r>
        <w:rPr>
          <w:bCs/>
          <w:b/>
        </w:rPr>
        <w:t xml:space="preserve">Massa muscolare:</w:t>
      </w:r>
      <w:r>
        <w:t xml:space="preserve"> </w:t>
      </w:r>
      <w:r>
        <w:t xml:space="preserve">circa un quarto del peso perso è massa magra, nella stessa proporzione che con altre forme di dimagrimento (Look 2025, PMID 39996356).</w:t>
      </w:r>
    </w:p>
    <w:bookmarkEnd w:id="954"/>
    <w:bookmarkStart w:id="955" w:name="studi-di-confronto-diretto"/>
    <w:p>
      <w:pPr>
        <w:pStyle w:val="Heading3"/>
      </w:pPr>
      <w:r>
        <w:t xml:space="preserve">Studi di confronto diretto</w:t>
      </w:r>
    </w:p>
    <w:p>
      <w:pPr>
        <w:pStyle w:val="FirstParagraph"/>
      </w:pPr>
      <w:r>
        <w:t xml:space="preserve">La tabella seguente contiene studi randomizzati in cui due principi attivi della classe sono stati messi direttamente a confronto. Solo qui le differenze tra i principi attivi sono documentate in modo metodologicamente corretto. Molti di questi studi erano in aperto (non in cieco) e finanziati dal produttore del principio attivo più recente, e non sempre è stata usata la dose più alta autorizzata del farmaco di confronto.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Confronto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SURMOUNT-5 (Aronne 2025), PMID 40353578</w:t>
            </w:r>
          </w:p>
        </w:tc>
        <w:tc>
          <w:tcPr/>
          <w:p>
            <w:pPr>
              <w:pStyle w:val="Compact"/>
              <w:jc w:val="left"/>
            </w:pPr>
            <w:r>
              <w:t xml:space="preserve">tirzepatide vs. semaglutide 2,4 mg, obesità, in aperto</w:t>
            </w:r>
          </w:p>
        </w:tc>
        <w:tc>
          <w:tcPr/>
          <w:p>
            <w:pPr>
              <w:pStyle w:val="Compact"/>
              <w:jc w:val="left"/>
            </w:pPr>
            <w:r>
              <w:t xml:space="preserve">72 settimane</w:t>
            </w:r>
          </w:p>
        </w:tc>
        <w:tc>
          <w:tcPr/>
          <w:p>
            <w:pPr>
              <w:pStyle w:val="Compact"/>
              <w:jc w:val="left"/>
            </w:pPr>
            <w:r>
              <w:t xml:space="preserve">peso −20,2% vs. −13,7%</w:t>
            </w:r>
          </w:p>
        </w:tc>
      </w:tr>
      <w:tr>
        <w:tc>
          <w:tcPr/>
          <w:p>
            <w:pPr>
              <w:pStyle w:val="Compact"/>
              <w:jc w:val="left"/>
            </w:pPr>
            <w:r>
              <w:t xml:space="preserve">STEP 8 (Rubino 2022), PMID 35015037</w:t>
            </w:r>
          </w:p>
        </w:tc>
        <w:tc>
          <w:tcPr/>
          <w:p>
            <w:pPr>
              <w:pStyle w:val="Compact"/>
              <w:jc w:val="left"/>
            </w:pPr>
            <w:r>
              <w:t xml:space="preserve">semaglutide 2,4 mg vs. liraglutide 3,0 mg, obesità</w:t>
            </w:r>
          </w:p>
        </w:tc>
        <w:tc>
          <w:tcPr/>
          <w:p>
            <w:pPr>
              <w:pStyle w:val="Compact"/>
              <w:jc w:val="left"/>
            </w:pPr>
            <w:r>
              <w:t xml:space="preserve">68 settimane</w:t>
            </w:r>
          </w:p>
        </w:tc>
        <w:tc>
          <w:tcPr/>
          <w:p>
            <w:pPr>
              <w:pStyle w:val="Compact"/>
              <w:jc w:val="left"/>
            </w:pPr>
            <w:r>
              <w:t xml:space="preserve">peso −15,8% vs. −6,4%</w:t>
            </w:r>
          </w:p>
        </w:tc>
      </w:tr>
      <w:tr>
        <w:tc>
          <w:tcPr/>
          <w:p>
            <w:pPr>
              <w:pStyle w:val="Compact"/>
              <w:jc w:val="left"/>
            </w:pPr>
            <w:r>
              <w:t xml:space="preserve">REDEFINE 5 (Yamauchi 2026), PMID 42009015</w:t>
            </w:r>
          </w:p>
        </w:tc>
        <w:tc>
          <w:tcPr/>
          <w:p>
            <w:pPr>
              <w:pStyle w:val="Compact"/>
              <w:jc w:val="left"/>
            </w:pPr>
            <w:r>
              <w:t xml:space="preserve">CagriSema vs. semaglutide 2,4 mg, Giappone e Taiwan, in cieco</w:t>
            </w:r>
          </w:p>
        </w:tc>
        <w:tc>
          <w:tcPr/>
          <w:p>
            <w:pPr>
              <w:pStyle w:val="Compact"/>
              <w:jc w:val="left"/>
            </w:pPr>
            <w:r>
              <w:t xml:space="preserve">68 settimane</w:t>
            </w:r>
          </w:p>
        </w:tc>
        <w:tc>
          <w:tcPr/>
          <w:p>
            <w:pPr>
              <w:pStyle w:val="Compact"/>
              <w:jc w:val="left"/>
            </w:pPr>
            <w:r>
              <w:t xml:space="preserve">peso −18,4% vs. −11,9%</w:t>
            </w:r>
          </w:p>
        </w:tc>
      </w:tr>
      <w:tr>
        <w:tc>
          <w:tcPr/>
          <w:p>
            <w:pPr>
              <w:pStyle w:val="Compact"/>
              <w:jc w:val="left"/>
            </w:pPr>
            <w:r>
              <w:t xml:space="preserve">SURPASS-2 (Frías 2021), PMID 34170647</w:t>
            </w:r>
          </w:p>
        </w:tc>
        <w:tc>
          <w:tcPr/>
          <w:p>
            <w:pPr>
              <w:pStyle w:val="Compact"/>
              <w:jc w:val="left"/>
            </w:pPr>
            <w:r>
              <w:t xml:space="preserve">tirzepatide vs. semaglutide 1 mg, diabete di tipo 2, in aperto</w:t>
            </w:r>
          </w:p>
        </w:tc>
        <w:tc>
          <w:tcPr/>
          <w:p>
            <w:pPr>
              <w:pStyle w:val="Compact"/>
              <w:jc w:val="left"/>
            </w:pPr>
            <w:r>
              <w:t xml:space="preserve">40 settimane</w:t>
            </w:r>
          </w:p>
        </w:tc>
        <w:tc>
          <w:tcPr/>
          <w:p>
            <w:pPr>
              <w:pStyle w:val="Compact"/>
              <w:jc w:val="left"/>
            </w:pPr>
            <w:r>
              <w:t xml:space="preserve">HbA1c da −2,01 a −2,30 vs. −1,86; peso in più da −1,9 a −5,5 kg</w:t>
            </w:r>
          </w:p>
        </w:tc>
      </w:tr>
      <w:tr>
        <w:tc>
          <w:tcPr/>
          <w:p>
            <w:pPr>
              <w:pStyle w:val="Compact"/>
              <w:jc w:val="left"/>
            </w:pPr>
            <w:r>
              <w:t xml:space="preserve">REIMAGINE 2 (Buse 2026), PMID 42251859</w:t>
            </w:r>
          </w:p>
        </w:tc>
        <w:tc>
          <w:tcPr/>
          <w:p>
            <w:pPr>
              <w:pStyle w:val="Compact"/>
              <w:jc w:val="left"/>
            </w:pPr>
            <w:r>
              <w:t xml:space="preserve">CagriSema vs. semaglutide 2,4 mg, diabete di tipo 2</w:t>
            </w:r>
          </w:p>
        </w:tc>
        <w:tc>
          <w:tcPr/>
          <w:p>
            <w:pPr>
              <w:pStyle w:val="Compact"/>
              <w:jc w:val="left"/>
            </w:pPr>
            <w:r>
              <w:t xml:space="preserve">68 settimane</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 compressa, in aperto</w:t>
            </w:r>
          </w:p>
        </w:tc>
        <w:tc>
          <w:tcPr/>
          <w:p>
            <w:pPr>
              <w:pStyle w:val="Compact"/>
              <w:jc w:val="left"/>
            </w:pPr>
            <w:r>
              <w:t xml:space="preserve">52 settimane</w:t>
            </w:r>
          </w:p>
        </w:tc>
        <w:tc>
          <w:tcPr/>
          <w:p>
            <w:pPr>
              <w:pStyle w:val="Compact"/>
              <w:jc w:val="left"/>
            </w:pPr>
            <w:r>
              <w:t xml:space="preserve">HbA1c −1,91 vs. −1,47 (dose più alta in entrambi i casi)</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settimane</w:t>
            </w:r>
          </w:p>
        </w:tc>
        <w:tc>
          <w:tcPr/>
          <w:p>
            <w:pPr>
              <w:pStyle w:val="Compact"/>
              <w:jc w:val="left"/>
            </w:pPr>
            <w:r>
              <w:t xml:space="preserve">HbA1c −1,8 vs. −1,4; peso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settimane</w:t>
            </w:r>
          </w:p>
        </w:tc>
        <w:tc>
          <w:tcPr/>
          <w:p>
            <w:pPr>
              <w:pStyle w:val="Compact"/>
              <w:jc w:val="left"/>
            </w:pPr>
            <w:r>
              <w:t xml:space="preserve">HbA1c −1,7 vs. −1,0; peso −5,8 vs. −1,9 kg</w:t>
            </w:r>
          </w:p>
        </w:tc>
      </w:tr>
      <w:tr>
        <w:tc>
          <w:tcPr/>
          <w:p>
            <w:pPr>
              <w:pStyle w:val="Compact"/>
              <w:jc w:val="left"/>
            </w:pPr>
            <w:r>
              <w:t xml:space="preserve">SUSTAIN 3 (Ahmann 2018), PMID 29246950</w:t>
            </w:r>
          </w:p>
        </w:tc>
        <w:tc>
          <w:tcPr/>
          <w:p>
            <w:pPr>
              <w:pStyle w:val="Compact"/>
              <w:jc w:val="left"/>
            </w:pPr>
            <w:r>
              <w:t xml:space="preserve">semaglutide vs. exenatide settimanale, in aperto</w:t>
            </w:r>
          </w:p>
        </w:tc>
        <w:tc>
          <w:tcPr/>
          <w:p>
            <w:pPr>
              <w:pStyle w:val="Compact"/>
              <w:jc w:val="left"/>
            </w:pPr>
            <w:r>
              <w:t xml:space="preserve">56 settimane</w:t>
            </w:r>
          </w:p>
        </w:tc>
        <w:tc>
          <w:tcPr/>
          <w:p>
            <w:pPr>
              <w:pStyle w:val="Compact"/>
              <w:jc w:val="left"/>
            </w:pPr>
            <w:r>
              <w:t xml:space="preserve">HbA1c −1,5 vs. −0,9; peso −5,6 vs. −1,9 kg</w:t>
            </w:r>
          </w:p>
        </w:tc>
      </w:tr>
      <w:tr>
        <w:tc>
          <w:tcPr/>
          <w:p>
            <w:pPr>
              <w:pStyle w:val="Compact"/>
              <w:jc w:val="left"/>
            </w:pPr>
            <w:r>
              <w:t xml:space="preserve">PIONEER 4 (Pratley 2019), PMID 31186120</w:t>
            </w:r>
          </w:p>
        </w:tc>
        <w:tc>
          <w:tcPr/>
          <w:p>
            <w:pPr>
              <w:pStyle w:val="Compact"/>
              <w:jc w:val="left"/>
            </w:pPr>
            <w:r>
              <w:t xml:space="preserve">semaglutide compressa vs. liraglutide iniezione</w:t>
            </w:r>
          </w:p>
        </w:tc>
        <w:tc>
          <w:tcPr/>
          <w:p>
            <w:pPr>
              <w:pStyle w:val="Compact"/>
              <w:jc w:val="left"/>
            </w:pPr>
            <w:r>
              <w:t xml:space="preserve">26 settimane (studio 52)</w:t>
            </w:r>
          </w:p>
        </w:tc>
        <w:tc>
          <w:tcPr/>
          <w:p>
            <w:pPr>
              <w:pStyle w:val="Compact"/>
              <w:jc w:val="left"/>
            </w:pPr>
            <w:r>
              <w:t xml:space="preserve">HbA1c −1,2 vs. −1,1 (non inferiore)</w:t>
            </w:r>
          </w:p>
        </w:tc>
      </w:tr>
      <w:tr>
        <w:tc>
          <w:tcPr/>
          <w:p>
            <w:pPr>
              <w:pStyle w:val="Compact"/>
              <w:jc w:val="left"/>
            </w:pPr>
            <w:r>
              <w:t xml:space="preserve">AWARD-6 (Dungan 2014), PMID 25018121</w:t>
            </w:r>
          </w:p>
        </w:tc>
        <w:tc>
          <w:tcPr/>
          <w:p>
            <w:pPr>
              <w:pStyle w:val="Compact"/>
              <w:jc w:val="left"/>
            </w:pPr>
            <w:r>
              <w:t xml:space="preserve">dulaglutide vs. liraglutide 1,8 mg, in aperto</w:t>
            </w:r>
          </w:p>
        </w:tc>
        <w:tc>
          <w:tcPr/>
          <w:p>
            <w:pPr>
              <w:pStyle w:val="Compact"/>
              <w:jc w:val="left"/>
            </w:pPr>
            <w:r>
              <w:t xml:space="preserve">26 settimane</w:t>
            </w:r>
          </w:p>
        </w:tc>
        <w:tc>
          <w:tcPr/>
          <w:p>
            <w:pPr>
              <w:pStyle w:val="Compact"/>
              <w:jc w:val="left"/>
            </w:pPr>
            <w:r>
              <w:t xml:space="preserve">HbA1c −1,42 vs. −1,36, equivalente</w:t>
            </w:r>
          </w:p>
        </w:tc>
      </w:tr>
      <w:tr>
        <w:tc>
          <w:tcPr/>
          <w:p>
            <w:pPr>
              <w:pStyle w:val="Compact"/>
              <w:jc w:val="left"/>
            </w:pPr>
            <w:r>
              <w:t xml:space="preserve">DURATION-6 (Buse 2013), PMID 23141817</w:t>
            </w:r>
          </w:p>
        </w:tc>
        <w:tc>
          <w:tcPr/>
          <w:p>
            <w:pPr>
              <w:pStyle w:val="Compact"/>
              <w:jc w:val="left"/>
            </w:pPr>
            <w:r>
              <w:t xml:space="preserve">exenatide settimanale vs. liraglutide, in aperto</w:t>
            </w:r>
          </w:p>
        </w:tc>
        <w:tc>
          <w:tcPr/>
          <w:p>
            <w:pPr>
              <w:pStyle w:val="Compact"/>
              <w:jc w:val="left"/>
            </w:pPr>
            <w:r>
              <w:t xml:space="preserve">26 settimane</w:t>
            </w:r>
          </w:p>
        </w:tc>
        <w:tc>
          <w:tcPr/>
          <w:p>
            <w:pPr>
              <w:pStyle w:val="Compact"/>
              <w:jc w:val="left"/>
            </w:pPr>
            <w:r>
              <w:t xml:space="preserve">HbA1c −1,28 vs. −1,48; non inferiorità mancata</w:t>
            </w:r>
          </w:p>
        </w:tc>
      </w:tr>
      <w:tr>
        <w:tc>
          <w:tcPr/>
          <w:p>
            <w:pPr>
              <w:pStyle w:val="Compact"/>
              <w:jc w:val="left"/>
            </w:pPr>
            <w:r>
              <w:t xml:space="preserve">DREAMS-2 (Guo 2026), PMID 41407860</w:t>
            </w:r>
          </w:p>
        </w:tc>
        <w:tc>
          <w:tcPr/>
          <w:p>
            <w:pPr>
              <w:pStyle w:val="Compact"/>
              <w:jc w:val="left"/>
            </w:pPr>
            <w:r>
              <w:t xml:space="preserve">mazdutide vs. dulaglutide 1,5 mg, Cina</w:t>
            </w:r>
          </w:p>
        </w:tc>
        <w:tc>
          <w:tcPr/>
          <w:p>
            <w:pPr>
              <w:pStyle w:val="Compact"/>
              <w:jc w:val="left"/>
            </w:pPr>
            <w:r>
              <w:t xml:space="preserve">28 settimane</w:t>
            </w:r>
          </w:p>
        </w:tc>
        <w:tc>
          <w:tcPr/>
          <w:p>
            <w:pPr>
              <w:pStyle w:val="Compact"/>
              <w:jc w:val="left"/>
            </w:pPr>
            <w:r>
              <w:t xml:space="preserve">HbA1c in più −0,24 / −0,30</w:t>
            </w:r>
          </w:p>
        </w:tc>
      </w:tr>
      <w:tr>
        <w:tc>
          <w:tcPr/>
          <w:p>
            <w:pPr>
              <w:pStyle w:val="Compact"/>
              <w:jc w:val="left"/>
            </w:pPr>
            <w:r>
              <w:t xml:space="preserve">SURPASS-CVOT (Nicholls 2025), PMID 41406444</w:t>
            </w:r>
          </w:p>
        </w:tc>
        <w:tc>
          <w:tcPr/>
          <w:p>
            <w:pPr>
              <w:pStyle w:val="Compact"/>
              <w:jc w:val="left"/>
            </w:pPr>
            <w:r>
              <w:t xml:space="preserve">tirzepatide vs. dulaglutide, eventi cardiovascolari</w:t>
            </w:r>
          </w:p>
        </w:tc>
        <w:tc>
          <w:tcPr/>
          <w:p>
            <w:pPr>
              <w:pStyle w:val="Compact"/>
              <w:jc w:val="left"/>
            </w:pPr>
            <w:r>
              <w:t xml:space="preserve">diversi anni</w:t>
            </w:r>
          </w:p>
        </w:tc>
        <w:tc>
          <w:tcPr/>
          <w:p>
            <w:pPr>
              <w:pStyle w:val="Compact"/>
              <w:jc w:val="left"/>
            </w:pPr>
            <w:r>
              <w:t xml:space="preserve">HR 0,92, non inferiore</w:t>
            </w:r>
          </w:p>
        </w:tc>
      </w:tr>
    </w:tbl>
    <w:p>
      <w:pPr>
        <w:pStyle w:val="BodyText"/>
      </w:pPr>
      <w:r>
        <w:rPr>
          <w:bCs/>
          <w:b/>
        </w:rPr>
        <w:t xml:space="preserve">Che cosa mostrano i confronti diretti:</w:t>
      </w:r>
    </w:p>
    <w:p>
      <w:pPr>
        <w:numPr>
          <w:ilvl w:val="0"/>
          <w:numId w:val="1329"/>
        </w:numPr>
        <w:pStyle w:val="Compact"/>
      </w:pPr>
      <w:r>
        <w:rPr>
          <w:bCs/>
          <w:b/>
        </w:rPr>
        <w:t xml:space="preserve">Per il peso la graduatoria è chiara.</w:t>
      </w:r>
      <w:r>
        <w:t xml:space="preserve"> </w:t>
      </w:r>
      <w:r>
        <w:t xml:space="preserve">Semaglutide 2,4 mg ha superato liraglutide 3,0 mg di 9,4 punti percentuali (STEP 8), tirzepatide ha superato semaglutide 2,4 mg di 6,5 punti percentuali (SURMOUNT-5), CagriSema ha superato semaglutide 2,4 mg in Asia orientale anch’esso di 6,5 punti percentuali (REDEFINE 5). In SURMOUNT-5, con tirzepatide, più partecipanti hanno raggiunto ciascuna delle soglie del 10, 15, 20 e 25%, e la circonferenza vita si è ridotta di 18,4 cm contro 13,0 cm.</w:t>
      </w:r>
    </w:p>
    <w:p>
      <w:pPr>
        <w:numPr>
          <w:ilvl w:val="0"/>
          <w:numId w:val="1329"/>
        </w:numPr>
        <w:pStyle w:val="Compact"/>
      </w:pPr>
      <w:r>
        <w:rPr>
          <w:bCs/>
          <w:b/>
        </w:rPr>
        <w:t xml:space="preserve">Per la glicemia le distanze sono minori.</w:t>
      </w:r>
      <w:r>
        <w:t xml:space="preserve"> </w:t>
      </w:r>
      <w:r>
        <w:t xml:space="preserve">Tra gli agonisti del GLP-1 settimanali ci sono per lo più solo decimi di punto; tirzepatide ha ridotto l’HbA1c in SURPASS-2 da 0,15 a 0,45 punti percentuali in più rispetto a semaglutide 1 mg.</w:t>
      </w:r>
    </w:p>
    <w:p>
      <w:pPr>
        <w:numPr>
          <w:ilvl w:val="0"/>
          <w:numId w:val="1329"/>
        </w:numPr>
        <w:pStyle w:val="Compact"/>
      </w:pPr>
      <w:r>
        <w:rPr>
          <w:bCs/>
          <w:b/>
        </w:rPr>
        <w:t xml:space="preserve">Per gli endpoint clinici forti esiste finora un solo confronto diretto.</w:t>
      </w:r>
      <w:r>
        <w:t xml:space="preserve"> </w:t>
      </w:r>
      <w:r>
        <w:t xml:space="preserve">SURPASS-CVOT ha mostrato che tirzepatide non è inferiore a dulaglutide; una superiorità non è stata dimostrata.</w:t>
      </w:r>
    </w:p>
    <w:p>
      <w:pPr>
        <w:numPr>
          <w:ilvl w:val="0"/>
          <w:numId w:val="1329"/>
        </w:numPr>
        <w:pStyle w:val="Compact"/>
      </w:pPr>
      <w:r>
        <w:rPr>
          <w:bCs/>
          <w:b/>
        </w:rPr>
        <w:t xml:space="preserve">I limiti sono considerevoli.</w:t>
      </w:r>
      <w:r>
        <w:t xml:space="preserve"> </w:t>
      </w:r>
      <w:r>
        <w:t xml:space="preserve">SURMOUNT-5 e SURPASS-2 erano in aperto e finanziati dal produttore di tirzepatide; SURPASS-2 ha usato semaglutide solo alla dose di 1 mg. REDEFINE 5 è stato condotto esclusivamente in Giappone e Taiwan. Le differenze in SURMOUNT-5 sono tuttavia così grandi che difficilmente si possono spiegare solo con queste debolezze.</w:t>
      </w:r>
    </w:p>
    <w:p>
      <w:pPr>
        <w:pStyle w:val="FirstParagraph"/>
      </w:pPr>
      <w:r>
        <w:rPr>
          <w:bCs/>
          <w:b/>
        </w:rPr>
        <w:t xml:space="preserve">Ancora in sospeso (studi registrati):</w:t>
      </w:r>
      <w:r>
        <w:t xml:space="preserve"> </w:t>
      </w:r>
      <w:r>
        <w:t xml:space="preserve">il confronto diretto di retatrutide con tirzepatide in 800 adulti con obesità (NCT06662383) dovrebbe concludersi alla fine del 2026. Lo studio di confronto di CagriSema contro tirzepatide nell’obesità (REDEFINE 4, NCT06131437) risulta concluso secondo il registro, ma alla chiusura redazionale non era disponibile una pubblicazione sottoposta a revisione paritaria. Mazdutide viene testato in Cina contro semaglutide (NCT06184568, NCT06884293).</w:t>
      </w:r>
    </w:p>
    <w:bookmarkEnd w:id="955"/>
    <w:bookmarkStart w:id="956" w:name="conclusione-58"/>
    <w:p>
      <w:pPr>
        <w:pStyle w:val="Heading3"/>
      </w:pPr>
      <w:r>
        <w:t xml:space="preserve">Conclusione</w:t>
      </w:r>
    </w:p>
    <w:p>
      <w:pPr>
        <w:pStyle w:val="FirstParagraph"/>
      </w:pPr>
      <w:r>
        <w:t xml:space="preserve">I farmaci incretinici formano una chiara progressione a gradini: per la perdita di peso, i valori medi degli studi registrativi vanno da circa l’8% (liraglutide), passando per poco meno del 15% (semaglutide 2,4 mg) e circa il 20% (tirzepatide, CagriSema), fino al 25% (retatrutide), e i confronti diretti confermano questa sequenza per le coppie finora confrontate. Per cuore e reni il beneficio è finora documentato in studi controllati con placebo solo per i vecchi agonisti del GLP-1 e per semaglutide; se i successori più potenti offrano di più su questo fronte resta aperto. Gli effetti collaterali sono simili in tutta la classe e riguardano soprattutto l’apparato gastrointestinale; i tassi di interruzione aumentano con la dose e con la durata del trattamento. I confronti trasversali tra singoli studi restano un orientamento approssimativo – per la scelta di un farmaco nel singolo caso fanno fede il riassunto delle caratteristiche del prodotto e la consulenza medica.</w:t>
      </w:r>
    </w:p>
    <w:bookmarkEnd w:id="956"/>
    <w:bookmarkEnd w:id="957"/>
    <w:bookmarkStart w:id="973" w:name="promesse-contro-prove"/>
    <w:p>
      <w:pPr>
        <w:pStyle w:val="Heading2"/>
      </w:pPr>
      <w:r>
        <w:t xml:space="preserve">Promesse contro prove</w:t>
      </w:r>
    </w:p>
    <w:p>
      <w:pPr>
        <w:pStyle w:val="FirstParagraph"/>
      </w:pPr>
      <w:r>
        <w:t xml:space="preserve">Chi cerca peptidi su internet si imbatte presto in negozi, video e forum in cui certe sostanze vengono descritte a parole grosse: dovrebbero riparare i tendini, rallentare l’invecchiamento, sciogliere il grasso o affinare la memoria. Questo capitolo mette a confronto queste tipiche promesse pubblicitarie con ciò che gli studi sull’uomo hanno effettivamente dimostrato.</w:t>
      </w:r>
    </w:p>
    <w:p>
      <w:pPr>
        <w:pStyle w:val="BodyText"/>
      </w:pPr>
      <w:r>
        <w:t xml:space="preserve">Sono stati scelti i peptidi più pubblicizzati nel 2026 su internet in lingua tedesca e inglese. Le promesse sono formulate in modo generico e riassumono affermazioni ricorrenti; non provengono da un venditore specifico. La colonna «Che cosa mostrano gli studi sull’uomo» si basa sui capitoli della Parte II, nei quali le fonti sono discusse in dettaglio. Gli esperimenti sugli animali e i risultati di laboratorio sono indicati espressamente come tali.</w:t>
      </w:r>
    </w:p>
    <w:p>
      <w:pPr>
        <w:pStyle w:val="BodyText"/>
      </w:pPr>
      <w:r>
        <w:t xml:space="preserve">Una premessa: il fatto che un beneficio non sia dimostrato non significa automaticamente che una sostanza sia inefficace. Significa che nessuno lo sa – nemmeno i venditori che la vendono. Allo stesso modo vale: per sostanze poco studiate, il fatto che non siano stati pubblicati effetti collaterali non significa che siano sicure, ma solo che nessuno li ha cercati in modo sistematico.</w:t>
      </w:r>
    </w:p>
    <w:bookmarkStart w:id="958" w:name="X4f23a557e296e9c919bd131b16ec2dd5828feb2"/>
    <w:p>
      <w:pPr>
        <w:pStyle w:val="Heading3"/>
      </w:pPr>
      <w:r>
        <w:t xml:space="preserve">I peptidi più popolari alla verifica dei fatti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Promessa pubblicitaria tipica</w:t>
            </w:r>
          </w:p>
        </w:tc>
        <w:tc>
          <w:tcPr/>
          <w:p>
            <w:pPr>
              <w:pStyle w:val="Compact"/>
              <w:jc w:val="left"/>
            </w:pPr>
            <w:r>
              <w:t xml:space="preserve">Che cosa mostrano gli studi sull’uomo</w:t>
            </w:r>
          </w:p>
        </w:tc>
        <w:tc>
          <w:tcPr/>
          <w:p>
            <w:pPr>
              <w:pStyle w:val="Compact"/>
              <w:jc w:val="left"/>
            </w:pPr>
            <w:r>
              <w:t xml:space="preserve">Evidenza</w:t>
            </w:r>
          </w:p>
        </w:tc>
      </w:tr>
      <w:tr>
        <w:tc>
          <w:tcPr/>
          <w:p>
            <w:pPr>
              <w:pStyle w:val="Compact"/>
              <w:jc w:val="left"/>
            </w:pPr>
            <w:r>
              <w:t xml:space="preserve">BPC-157</w:t>
            </w:r>
          </w:p>
        </w:tc>
        <w:tc>
          <w:tcPr/>
          <w:p>
            <w:pPr>
              <w:pStyle w:val="Compact"/>
              <w:jc w:val="left"/>
            </w:pPr>
            <w:r>
              <w:t xml:space="preserve">Accelera la guarigione di tendini, legamenti, muscoli e intestino</w:t>
            </w:r>
          </w:p>
        </w:tc>
        <w:tc>
          <w:tcPr/>
          <w:p>
            <w:pPr>
              <w:pStyle w:val="Compact"/>
              <w:jc w:val="left"/>
            </w:pPr>
            <w:r>
              <w:t xml:space="preserve">Tre indagini non controllate con complessivamente 30 persone (ginocchio, vescica, tollerabilità); valore probatorio molto basso secondo una revisione sistematica (Poolton 2026, PMID 42885452). I numerosi risultati positivi provengono da esperimenti sugli animali, per lo più di un unico gruppo di ricerca.</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Ripara tessuti, tendini e muscoli, rende più mobili</w:t>
            </w:r>
          </w:p>
        </w:tc>
        <w:tc>
          <w:tcPr/>
          <w:p>
            <w:pPr>
              <w:pStyle w:val="Compact"/>
              <w:jc w:val="left"/>
            </w:pPr>
            <w:r>
              <w:t xml:space="preserve">TB-500 non è mai stato testato in uno studio sull’uomo pubblicato. La proteina intera timosina beta-4, dopo un infarto, non ha ridotto in modo significativo le dimensioni complessive dell’infarto (Zhang 2025, PMID 41229390). I prodotti del mercato grigio non contenevano sempre quanto dichiarato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l’ormone della crescita per costruire muscoli, ridurre il grasso e dormire meglio</w:t>
            </w:r>
          </w:p>
        </w:tc>
        <w:tc>
          <w:tcPr/>
          <w:p>
            <w:pPr>
              <w:pStyle w:val="Compact"/>
              <w:jc w:val="left"/>
            </w:pPr>
            <w:r>
              <w:t xml:space="preserve">In persone sane l’ormone della crescita e l’IGF-1 sono aumentati dopo una singola iniezione per circa sei-undici giorni (Teichman 2006, PMID 16352683). Se ne derivi un beneficio non è mai stato studiato. Per la variante più venduta, senza «DAC», non esiste alcuno studio sull’uomo.</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Booster delicato dell’ormone della crescita senza effetti collaterali</w:t>
            </w:r>
          </w:p>
        </w:tc>
        <w:tc>
          <w:tcPr/>
          <w:p>
            <w:pPr>
              <w:pStyle w:val="Compact"/>
              <w:jc w:val="left"/>
            </w:pPr>
            <w:r>
              <w:t xml:space="preserve">Unico studio di efficacia pubblicato: 117 persone dopo un intervento intestinale, nessun beneficio significativo (Beck 2014, PMID 25331030). Nessuno studio sull’uomo su muscoli, grasso, sonno o invecchiamento.</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Allunga i telomeri e riporta indietro l’orologio biologico</w:t>
            </w:r>
          </w:p>
        </w:tc>
        <w:tc>
          <w:tcPr/>
          <w:p>
            <w:pPr>
              <w:pStyle w:val="Compact"/>
              <w:jc w:val="left"/>
            </w:pPr>
            <w:r>
              <w:t xml:space="preserve">Allungamento dei telomeri solo in colture cellulari (Khavinson 2003, PMID 12937682). Nei topi nessun aumento della durata media della vita (Anisimov 2003, PMID 14501183). Nessuno studio randomizzato sufficientemente grande sull’uomo.</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in siringa»: più resistenza, meno grasso, migliore azione dell’insulina</w:t>
            </w:r>
          </w:p>
        </w:tc>
        <w:tc>
          <w:tcPr/>
          <w:p>
            <w:pPr>
              <w:pStyle w:val="Compact"/>
              <w:jc w:val="left"/>
            </w:pPr>
            <w:r>
              <w:t xml:space="preserve">Questi effetti sono emersi nei topi (Lee 2015, PMID 25738459). Nell’uomo esistono solo misurazioni dei livelli endogeni, nessuno studio pubblicato con somministrazione di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concentrazione, memoria e rendimento</w:t>
            </w:r>
          </w:p>
        </w:tc>
        <w:tc>
          <w:tcPr/>
          <w:p>
            <w:pPr>
              <w:pStyle w:val="Compact"/>
              <w:jc w:val="left"/>
            </w:pPr>
            <w:r>
              <w:t xml:space="preserve">Piccoli studi russi, per lo più non randomizzati, sull’ictus, per esempio uno studio con 110 persone (Gusev 2018, PMID 29798983). Per le persone sane nessun dato significativo.</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Scioglie l’ansia senza stanchezza e dipendenza</w:t>
            </w:r>
          </w:p>
        </w:tc>
        <w:tc>
          <w:tcPr/>
          <w:p>
            <w:pPr>
              <w:pStyle w:val="Compact"/>
              <w:jc w:val="left"/>
            </w:pPr>
            <w:r>
              <w:t xml:space="preserve">Tre piccoli studi russi senza gruppo placebo, tra cui 62 persone a confronto con una benzodiazepina (Zozulia 2008, PMID 18454096). Non esistono studi sulla concentrazione in persone sane.</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Abbronzatura senza scottature, più desiderio</w:t>
            </w:r>
          </w:p>
        </w:tc>
        <w:tc>
          <w:tcPr/>
          <w:p>
            <w:pPr>
              <w:pStyle w:val="Compact"/>
              <w:jc w:val="left"/>
            </w:pPr>
            <w:r>
              <w:t xml:space="preserve">Piccoli studi pilota degli anni ’90 con circa due dozzine di persone, nausea frequente (Wessells 2000, PMID 11035391). Casi clinici di nuovi nei, melanomi e priapismo. Flaconi acquistati in negozi online contenevano da 4,32 a 8,84 mg invece di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Rassoda la pelle, costruisce collagene, favorisce la crescita dei capelli</w:t>
            </w:r>
          </w:p>
        </w:tc>
        <w:tc>
          <w:tcPr/>
          <w:p>
            <w:pPr>
              <w:pStyle w:val="Compact"/>
              <w:jc w:val="left"/>
            </w:pPr>
            <w:r>
              <w:t xml:space="preserve">Un vecchio studio randomizzato sulle ulcere del piede diabetico con esito positivo (Mulder 1994, PMID 17147644). Un piccolo studio cutaneo dopo trattamento laser non ha trovato differenze misurabili (Miller 2006, PMID 16847171). Nessun dato sulle iniezioni.</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Frammento dell’ormone della crescita che brucia i grassi</w:t>
            </w:r>
          </w:p>
        </w:tc>
        <w:tc>
          <w:tcPr/>
          <w:p>
            <w:pPr>
              <w:pStyle w:val="Compact"/>
              <w:jc w:val="left"/>
            </w:pPr>
            <w:r>
              <w:t xml:space="preserve">Nei topi minore aumento di peso (Heffernan 2001, PMID 11673763). Sono stati condotti studi sull’uomo, ma mai pubblicati su riviste con revisione paritaria; lo sviluppo è stato interrotto.</w:t>
            </w:r>
          </w:p>
        </w:tc>
        <w:tc>
          <w:tcPr/>
          <w:p>
            <w:pPr>
              <w:pStyle w:val="Compact"/>
              <w:jc w:val="left"/>
            </w:pPr>
            <w:r>
              <w:t xml:space="preserve">D</w:t>
            </w:r>
          </w:p>
        </w:tc>
      </w:tr>
      <w:tr>
        <w:tc>
          <w:tcPr/>
          <w:p>
            <w:pPr>
              <w:pStyle w:val="Compact"/>
              <w:jc w:val="left"/>
            </w:pPr>
            <w:r>
              <w:t xml:space="preserve">Peptidi di collagene</w:t>
            </w:r>
          </w:p>
        </w:tc>
        <w:tc>
          <w:tcPr/>
          <w:p>
            <w:pPr>
              <w:pStyle w:val="Compact"/>
              <w:jc w:val="left"/>
            </w:pPr>
            <w:r>
              <w:t xml:space="preserve">Pelle più soda, articolazioni sane, più muscoli</w:t>
            </w:r>
          </w:p>
        </w:tc>
        <w:tc>
          <w:tcPr/>
          <w:p>
            <w:pPr>
              <w:pStyle w:val="Compact"/>
              <w:jc w:val="left"/>
            </w:pPr>
            <w:r>
              <w:t xml:space="preserve">Artrosi: in 35 studi randomizzati effetti da piccoli a moderati (PMID 38218227). Pelle: senza finanziamento dell’industria nessun effetto (Myung 2025, PMID 40324552). Muscolo: le proteine del siero hanno funzionato meglio del collagene (Oikawa 2020, PMID 31919527).</w:t>
            </w:r>
          </w:p>
        </w:tc>
        <w:tc>
          <w:tcPr/>
          <w:p>
            <w:pPr>
              <w:pStyle w:val="Compact"/>
              <w:jc w:val="left"/>
            </w:pPr>
            <w:r>
              <w:t xml:space="preserve">B</w:t>
            </w:r>
          </w:p>
        </w:tc>
      </w:tr>
      <w:tr>
        <w:tc>
          <w:tcPr/>
          <w:p>
            <w:pPr>
              <w:pStyle w:val="Compact"/>
              <w:jc w:val="left"/>
            </w:pPr>
            <w:r>
              <w:t xml:space="preserve">Glutatione</w:t>
            </w:r>
          </w:p>
        </w:tc>
        <w:tc>
          <w:tcPr/>
          <w:p>
            <w:pPr>
              <w:pStyle w:val="Compact"/>
              <w:jc w:val="left"/>
            </w:pPr>
            <w:r>
              <w:t xml:space="preserve">Disintossica, schiarisce la pelle, rafforza il sistema immunitario</w:t>
            </w:r>
          </w:p>
        </w:tc>
        <w:tc>
          <w:tcPr/>
          <w:p>
            <w:pPr>
              <w:pStyle w:val="Compact"/>
              <w:jc w:val="left"/>
            </w:pPr>
            <w:r>
              <w:t xml:space="preserve">In capsule ha aumentato i livelli nel sangue dopo sei mesi (Richie 2015, PMID 24791752). Come infusione non ha protetto 185 pazienti oncologici dai danni ai nervi (Leal 2014, PMID 24619793). Infusioni per schiarire la pelle: nessun beneficio dimostrato, secondo una revisione non giustificabili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nuove sinapsi, più potente dei fattori di crescita endogeni</w:t>
            </w:r>
          </w:p>
        </w:tc>
        <w:tc>
          <w:tcPr/>
          <w:p>
            <w:pPr>
              <w:pStyle w:val="Compact"/>
              <w:jc w:val="left"/>
            </w:pPr>
            <w:r>
              <w:t xml:space="preserve">Mai studiato sull’uomo; effetti solo in ratti e topi, e un lavoro centrale in merito è stato ritirato nel 2025 (PMID 25187433). Il principio attivo affine fosgonimeton ha mancato in 287 persone con Alzheimer tutti gli obiettivi primari e secondari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più potente e a più lunga durata d’azione per la crescita muscolare</w:t>
            </w:r>
          </w:p>
        </w:tc>
        <w:tc>
          <w:tcPr/>
          <w:p>
            <w:pPr>
              <w:pStyle w:val="Compact"/>
              <w:jc w:val="left"/>
            </w:pPr>
            <w:r>
              <w:t xml:space="preserve">Nemmeno uno studio sull’uomo. Un flacone del mercato nero conteneva una variante di laboratorio mai pensata per le iniezioni (PMID 20675162).</w:t>
            </w:r>
          </w:p>
        </w:tc>
        <w:tc>
          <w:tcPr/>
          <w:p>
            <w:pPr>
              <w:pStyle w:val="Compact"/>
              <w:jc w:val="left"/>
            </w:pPr>
            <w:r>
              <w:t xml:space="preserve">D</w:t>
            </w:r>
          </w:p>
        </w:tc>
      </w:tr>
      <w:tr>
        <w:tc>
          <w:tcPr/>
          <w:p>
            <w:pPr>
              <w:pStyle w:val="Compact"/>
              <w:jc w:val="left"/>
            </w:pPr>
            <w:r>
              <w:t xml:space="preserve">Retatrutide dal mercato grigio</w:t>
            </w:r>
          </w:p>
        </w:tc>
        <w:tc>
          <w:tcPr/>
          <w:p>
            <w:pPr>
              <w:pStyle w:val="Compact"/>
              <w:jc w:val="left"/>
            </w:pPr>
            <w:r>
              <w:t xml:space="preserve">Il dimagrante più potente, già disponibile oggi</w:t>
            </w:r>
          </w:p>
        </w:tc>
        <w:tc>
          <w:tcPr/>
          <w:p>
            <w:pPr>
              <w:pStyle w:val="Compact"/>
              <w:jc w:val="left"/>
            </w:pPr>
            <w:r>
              <w:t xml:space="preserve">Il farmaco è ben studiato: in TRIUMPH-1 −25,0% di peso dopo 80 settimane alla dose più alta (Jastreboff 2026, PMID 42814954). Per la merce del mercato grigio ciò non vale: non autorizzata, contenuto e purezza non verificati (Rubin 2026, PMID 42853576).</w:t>
            </w:r>
          </w:p>
        </w:tc>
        <w:tc>
          <w:tcPr/>
          <w:p>
            <w:pPr>
              <w:pStyle w:val="Compact"/>
              <w:jc w:val="left"/>
            </w:pPr>
            <w:r>
              <w:t xml:space="preserve">B (farmaco)</w:t>
            </w:r>
          </w:p>
        </w:tc>
      </w:tr>
    </w:tbl>
    <w:p>
      <w:pPr>
        <w:pStyle w:val="BodyText"/>
      </w:pPr>
      <w:r>
        <w:t xml:space="preserve">Nota alla tabella: il livello di evidenza si riferisce all’uso pubblicizzato o alla sostanza così come viene venduta. Per TB-500 vale il livello D, per la proteina intera timosina beta-4 il livello B. Per retatrutide il livello B si riferisce al farmaco testato negli studi; per i prodotti del mercato grigio, il cui contenuto nessuno conosce, non è possibile indicare un livello di evidenza.</w:t>
      </w:r>
    </w:p>
    <w:p>
      <w:pPr>
        <w:pStyle w:val="BodyText"/>
      </w:pPr>
      <w:r>
        <w:t xml:space="preserve">Il quadro complessivo: delle 16 sostanze nessuna ha il livello di evidenza A. Cinque hanno il livello D, cioè non sono state studiate affatto sull’uomo. Per le sostanze di livello B – ipamorelina, collagene, glutatione – gli studi migliori non hanno confermato le promesse pubblicitarie o hanno trovato solo effetti piccoli. L’unica eccezione è retatrutide, la cui forte azione è dimostrata – ma non per il prodotto venduto sul mercato grigio.</w:t>
      </w:r>
    </w:p>
    <w:bookmarkEnd w:id="958"/>
    <w:bookmarkStart w:id="965" w:name="sei-schemi-dietro-le-promesse"/>
    <w:p>
      <w:pPr>
        <w:pStyle w:val="Heading3"/>
      </w:pPr>
      <w:r>
        <w:t xml:space="preserve">Sei schemi dietro le promesse</w:t>
      </w:r>
    </w:p>
    <w:p>
      <w:pPr>
        <w:pStyle w:val="FirstParagraph"/>
      </w:pPr>
      <w:r>
        <w:t xml:space="preserve">Chi legge la tabella riga per riga riconosce schemi ricorrenti. Aiutano a valutare anche affermazioni su peptidi che non compaiono in questo libro.</w:t>
      </w:r>
    </w:p>
    <w:bookmarkStart w:id="959" w:name="dallanimale-alluomo"/>
    <w:p>
      <w:pPr>
        <w:pStyle w:val="Heading4"/>
      </w:pPr>
      <w:r>
        <w:t xml:space="preserve">1. Dall’animale all’uomo</w:t>
      </w:r>
    </w:p>
    <w:p>
      <w:pPr>
        <w:pStyle w:val="FirstParagraph"/>
      </w:pPr>
      <w:r>
        <w:t xml:space="preserve">Quasi tutte le promesse su BPC-157, TB-500, MOTS-c, Dihexa, AOD-9604 ed Epitalon si basano su esperimenti su ratti, topi o colture cellulari. Questi studi sono importanti per comprendere i meccanismi d’azione. Non predicono però se una sostanza agisca allo stesso modo nell’uomo: gran parte dei principi attivi che hanno successo negli esperimenti sugli animali fallisce negli studi sull’uomo. Un esempio attuale tratto da questo libro è il peptide per la memoria Dihexa. Nei ratti ha favorito l’apprendimento e la formazione di sinapsi; il principio attivo affine fosgonimeton, che avrebbe dovuto agire sullo stesso sistema di fattori di crescita, ha mancato in uno studio con 287 persone con Alzheimer tutti gli obiettivi primari e secondari (Porsteinsson 2025, PMID 41393340).</w:t>
      </w:r>
    </w:p>
    <w:p>
      <w:pPr>
        <w:pStyle w:val="BodyText"/>
      </w:pPr>
      <w:r>
        <w:t xml:space="preserve">Nel caso di BPC-157 si aggiunge un secondo problema: gli studi positivi sugli animali provengono per lo più da un unico gruppo di ricerca e sono stati replicati in modo indipendente solo raramente.</w:t>
      </w:r>
    </w:p>
    <w:bookmarkEnd w:id="959"/>
    <w:bookmarkStart w:id="960" w:name="X0c887ecfcfe0349a0277ee9f8e71798f21453ab"/>
    <w:p>
      <w:pPr>
        <w:pStyle w:val="Heading4"/>
      </w:pPr>
      <w:r>
        <w:t xml:space="preserve">2. Un valore misurato non è ancora un beneficio</w:t>
      </w:r>
    </w:p>
    <w:p>
      <w:pPr>
        <w:pStyle w:val="FirstParagraph"/>
      </w:pPr>
      <w:r>
        <w:t xml:space="preserve">CJC-1295 aumenta l’ormone della crescita, Epitalon attiva in colture cellulari la telomerasi, le capsule di glutatione aumentano il livello di glutatione nel sangue. Si tratta di valori sostitutivi («endpoint surrogati», vedi Parte I). Se ne derivi qualcosa che conta per le persone – più forza muscolare, una vita più lunga, meno malattie – è una questione a sé, che richiede studi propri. Per l’ormone della crescita l’esempio di ibutamoren mostra quanto possa essere grande il divario: in 65 anziani sani la massa magra è aumentata in un anno di 1,1 kg, ma forza e funzione fisica non sono migliorate (Nass 2008, PMID 18981485).</w:t>
      </w:r>
    </w:p>
    <w:bookmarkEnd w:id="960"/>
    <w:bookmarkStart w:id="961" w:name="scambio-di-sostanze"/>
    <w:p>
      <w:pPr>
        <w:pStyle w:val="Heading4"/>
      </w:pPr>
      <w:r>
        <w:t xml:space="preserve">3. Scambio di sostanze</w:t>
      </w:r>
    </w:p>
    <w:p>
      <w:pPr>
        <w:pStyle w:val="FirstParagraph"/>
      </w:pPr>
      <w:r>
        <w:t xml:space="preserve">Diverse promesse si basano su studi con una sostanza diversa da quella venduta:</w:t>
      </w:r>
    </w:p>
    <w:p>
      <w:pPr>
        <w:numPr>
          <w:ilvl w:val="0"/>
          <w:numId w:val="1330"/>
        </w:numPr>
        <w:pStyle w:val="Compact"/>
      </w:pPr>
      <w:r>
        <w:rPr>
          <w:bCs/>
          <w:b/>
        </w:rPr>
        <w:t xml:space="preserve">TB-500</w:t>
      </w:r>
      <w:r>
        <w:t xml:space="preserve"> </w:t>
      </w:r>
      <w:r>
        <w:t xml:space="preserve">è un frammento modificato. Gli studi sull’uomo riguardano la proteina intera timosina beta-4 – e anche questi quasi mai tendini, legamenti o muscoli.</w:t>
      </w:r>
    </w:p>
    <w:p>
      <w:pPr>
        <w:numPr>
          <w:ilvl w:val="0"/>
          <w:numId w:val="1330"/>
        </w:numPr>
        <w:pStyle w:val="Compact"/>
      </w:pPr>
      <w:r>
        <w:rPr>
          <w:bCs/>
          <w:b/>
        </w:rPr>
        <w:t xml:space="preserve">Epitalon</w:t>
      </w:r>
      <w:r>
        <w:t xml:space="preserve"> </w:t>
      </w:r>
      <w:r>
        <w:t xml:space="preserve">è un tetrapeptide sintetico. Lo studio spesso citato su una vita più lunga riguardava l’estratto bovino epitalamina, non era randomizzato e non è mai stato replicato in modo indipendente.</w:t>
      </w:r>
    </w:p>
    <w:p>
      <w:pPr>
        <w:numPr>
          <w:ilvl w:val="0"/>
          <w:numId w:val="1330"/>
        </w:numPr>
        <w:pStyle w:val="Compact"/>
      </w:pPr>
      <w:r>
        <w:rPr>
          <w:bCs/>
          <w:b/>
        </w:rPr>
        <w:t xml:space="preserve">CJC-1295</w:t>
      </w:r>
      <w:r>
        <w:t xml:space="preserve"> </w:t>
      </w:r>
      <w:r>
        <w:t xml:space="preserve">viene venduto per lo più senza il gruppo «DAC» usato negli studi sull’uomo.</w:t>
      </w:r>
    </w:p>
    <w:p>
      <w:pPr>
        <w:numPr>
          <w:ilvl w:val="0"/>
          <w:numId w:val="1330"/>
        </w:numPr>
        <w:pStyle w:val="Compact"/>
      </w:pPr>
      <w:r>
        <w:rPr>
          <w:bCs/>
          <w:b/>
        </w:rPr>
        <w:t xml:space="preserve">Retatrutide</w:t>
      </w:r>
      <w:r>
        <w:t xml:space="preserve"> </w:t>
      </w:r>
      <w:r>
        <w:t xml:space="preserve">del mercato grigio non è il farmaco degli studi. Le analisi di laboratorio di altri peptidi del mercato grigio mostrano che i flaconi contengono spesso meno principio attivo, di più o un principio attivo diverso da quello dichiarato; per ipamorelina e CJC-1295 i laboratori hanno trovato molecole modificate e non dichiarate (Gajda 2019, PMID 30136411).</w:t>
      </w:r>
    </w:p>
    <w:bookmarkEnd w:id="961"/>
    <w:bookmarkStart w:id="962" w:name="X4cc5d1a8531c49ba8302539409e9b645185fa98"/>
    <w:p>
      <w:pPr>
        <w:pStyle w:val="Heading4"/>
      </w:pPr>
      <w:r>
        <w:t xml:space="preserve">4. Gli studi negativi non vengono menzionati</w:t>
      </w:r>
    </w:p>
    <w:p>
      <w:pPr>
        <w:pStyle w:val="FirstParagraph"/>
      </w:pPr>
      <w:r>
        <w:t xml:space="preserve">Per diversi peptidi esistono eccome studi randomizzati – solo che non hanno trovato alcun beneficio. Dopo interventi intestinali l’ipamorelina non ha accorciato in modo significativo il tempo fino al primo pasto (Beck 2014, PMID 25331030). Le infusioni di glutatione non hanno protetto dai danni ai nervi causati dalla chemioterapia (Leal 2014, PMID 24619793). Per il collagene il beneficio sulla pelle è scomparso non appena sono stati considerati solo gli studi con finanziamento indipendente (Myung 2025, PMID 40324552). Risultati di questo tipo non compaiono praticamente mai nei testi pubblicitari. Una presentazione seria cita studi positivi</w:t>
      </w:r>
      <w:r>
        <w:t xml:space="preserve"> </w:t>
      </w:r>
      <w:r>
        <w:rPr>
          <w:iCs/>
          <w:i/>
        </w:rPr>
        <w:t xml:space="preserve">e</w:t>
      </w:r>
      <w:r>
        <w:t xml:space="preserve"> </w:t>
      </w:r>
      <w:r>
        <w:t xml:space="preserve">negativi.</w:t>
      </w:r>
    </w:p>
    <w:bookmarkEnd w:id="962"/>
    <w:bookmarkStart w:id="963" w:name="piccoli-studi-da-un-ambiente-ristretto"/>
    <w:p>
      <w:pPr>
        <w:pStyle w:val="Heading4"/>
      </w:pPr>
      <w:r>
        <w:t xml:space="preserve">5. Piccoli studi da un ambiente ristretto</w:t>
      </w:r>
    </w:p>
    <w:p>
      <w:pPr>
        <w:pStyle w:val="FirstParagraph"/>
      </w:pPr>
      <w:r>
        <w:t xml:space="preserve">Semax, Selank, Epitalon e Pinealon sono stati studiati quasi esclusivamente in Russia, per lo più dagli stessi sviluppatori, in piccoli gruppi e spesso senza confronto con placebo. Questo non rende automaticamente sbagliati i risultati. Significa però che non sono mai stati verificati alle condizioni oggi richieste per un’autorizzazione: registrazione preventiva, cecità, dimensioni sufficienti e conferma da parte di gruppi indipendenti.</w:t>
      </w:r>
    </w:p>
    <w:bookmarkEnd w:id="963"/>
    <w:bookmarkStart w:id="964" w:name="Xeff9e67412a86ee3f66ad64bd64509161549763"/>
    <w:p>
      <w:pPr>
        <w:pStyle w:val="Heading4"/>
      </w:pPr>
      <w:r>
        <w:t xml:space="preserve">6. «Nessun effetto collaterale» per lo più significa «non studiato»</w:t>
      </w:r>
    </w:p>
    <w:p>
      <w:pPr>
        <w:pStyle w:val="FirstParagraph"/>
      </w:pPr>
      <w:r>
        <w:t xml:space="preserve">L’affermazione che un peptide sia «ben tollerato» o «senza effetti collaterali» si basa, per BPC-157, su complessivamente 30 persone. Con così pochi partecipanti si possono riconoscere solo problemi frequenti e immediati; un effetto collaterale che colpisce una persona su mille resterebbe invisibile. Per le sostanze che amplificano i segnali di crescita – secretagoghi dell’ormone della crescita, IGF-1 LR3, peptidi che favoriscono la formazione di nuovi vasi – esiste inoltre una preoccupazione teorica, ma non verificata, per la crescita tumorale. Per Melanotan II casi clinici descrivono nei nuovi e modificati e melanomi; un nesso causale non è dimostrato, ma nemmeno escluso. A ciò si aggiungono i rischi dei prodotti stessi: in flaconi di Melanotan II del mercato grigio sono stati trovati meno principio attivo di quanto dichiarato e impurità sconosciute (Breindahl 2015, PMID 24771717). Maggiori dettagli nella Parte IV.</w:t>
      </w:r>
    </w:p>
    <w:bookmarkEnd w:id="964"/>
    <w:bookmarkEnd w:id="965"/>
    <w:bookmarkStart w:id="971" w:name="X6ca0a29e98a8b5b6d6eb4bf55c6168744c5637d"/>
    <w:p>
      <w:pPr>
        <w:pStyle w:val="Heading3"/>
      </w:pPr>
      <w:r>
        <w:t xml:space="preserve">Come distinguere le affermazioni serie da quelle non serie</w:t>
      </w:r>
    </w:p>
    <w:p>
      <w:pPr>
        <w:pStyle w:val="FirstParagraph"/>
      </w:pPr>
      <w:r>
        <w:t xml:space="preserve">La seguente checklist aiuta a valutare affermazioni sui peptidi – in negozi, video, forum o riviste. Non sostituisce una consulenza professionale, ma affina lo sguardo su quanto ci sia dietro un’affermazione.</w:t>
      </w:r>
    </w:p>
    <w:bookmarkStart w:id="966" w:name="domande-sulla-fonte"/>
    <w:p>
      <w:pPr>
        <w:pStyle w:val="Heading4"/>
      </w:pPr>
      <w:r>
        <w:t xml:space="preserve">Domande sulla fonte</w:t>
      </w:r>
    </w:p>
    <w:p>
      <w:pPr>
        <w:numPr>
          <w:ilvl w:val="0"/>
          <w:numId w:val="1331"/>
        </w:numPr>
        <w:pStyle w:val="Compact"/>
      </w:pPr>
      <w:r>
        <w:rPr>
          <w:bCs/>
          <w:b/>
        </w:rPr>
        <w:t xml:space="preserve">Chi parla?</w:t>
      </w:r>
      <w:r>
        <w:t xml:space="preserve"> </w:t>
      </w:r>
      <w:r>
        <w:t xml:space="preserve">La persona o il sito vende la sostanza, offre corsi, consulenze o codici sconto? Un interesse economico non rende falsa un’affermazione, ma è un motivo per guardare con più attenzione.</w:t>
      </w:r>
    </w:p>
    <w:p>
      <w:pPr>
        <w:numPr>
          <w:ilvl w:val="0"/>
          <w:numId w:val="1331"/>
        </w:numPr>
        <w:pStyle w:val="Compact"/>
      </w:pPr>
      <w:r>
        <w:rPr>
          <w:bCs/>
          <w:b/>
        </w:rPr>
        <w:t xml:space="preserve">Vengono citati studi – e si possono trovare?</w:t>
      </w:r>
      <w:r>
        <w:t xml:space="preserve"> </w:t>
      </w:r>
      <w:r>
        <w:t xml:space="preserve">Le affermazioni serie indicano una fonte verificabile: un PMID, un DOI o un numero di registro (NCT). Può inserire gratuitamente qualsiasi PMID su PubMed e leggere l’abstract personalmente. Formulazioni come «gli studi dimostrano» senza indicazioni concrete sono un segnale d’allarme.</w:t>
      </w:r>
    </w:p>
    <w:p>
      <w:pPr>
        <w:numPr>
          <w:ilvl w:val="0"/>
          <w:numId w:val="1331"/>
        </w:numPr>
        <w:pStyle w:val="Compact"/>
      </w:pPr>
      <w:r>
        <w:rPr>
          <w:bCs/>
          <w:b/>
        </w:rPr>
        <w:t xml:space="preserve">Lo studio citato corrisponde all’affermazione?</w:t>
      </w:r>
      <w:r>
        <w:t xml:space="preserve"> </w:t>
      </w:r>
      <w:r>
        <w:t xml:space="preserve">Verifichi se lo studio ha davvero esaminato la sostanza venduta, l’uso pubblicizzato e persone – oppure se si trattava di una molecola affine, di un’altra malattia o di ratti.</w:t>
      </w:r>
    </w:p>
    <w:bookmarkEnd w:id="966"/>
    <w:bookmarkStart w:id="967" w:name="domande-sullo-studio"/>
    <w:p>
      <w:pPr>
        <w:pStyle w:val="Heading4"/>
      </w:pPr>
      <w:r>
        <w:t xml:space="preserve">Domande sullo studio</w:t>
      </w:r>
    </w:p>
    <w:p>
      <w:pPr>
        <w:numPr>
          <w:ilvl w:val="0"/>
          <w:numId w:val="1332"/>
        </w:numPr>
        <w:pStyle w:val="Compact"/>
      </w:pPr>
      <w:r>
        <w:rPr>
          <w:bCs/>
          <w:b/>
        </w:rPr>
        <w:t xml:space="preserve">Uomo, animale o coltura cellulare?</w:t>
      </w:r>
      <w:r>
        <w:t xml:space="preserve"> </w:t>
      </w:r>
      <w:r>
        <w:t xml:space="preserve">Se nell’abstract compaiono «rats», «mice», «in vitro» o «cell culture», nulla è detto sull’effetto nell’uomo.</w:t>
      </w:r>
    </w:p>
    <w:p>
      <w:pPr>
        <w:numPr>
          <w:ilvl w:val="0"/>
          <w:numId w:val="1332"/>
        </w:numPr>
        <w:pStyle w:val="Compact"/>
      </w:pPr>
      <w:r>
        <w:rPr>
          <w:bCs/>
          <w:b/>
        </w:rPr>
        <w:t xml:space="preserve">C’era un gruppo di confronto?</w:t>
      </w:r>
      <w:r>
        <w:t xml:space="preserve"> </w:t>
      </w:r>
      <w:r>
        <w:t xml:space="preserve">Senza un gruppo placebo o di controllo non si può distinguere se un miglioramento dipenda dalla sostanza, dal tempo, da altri trattamenti o dall’aspettativa. Proprio per dolore, umore o sonno l’effetto placebo è grande.</w:t>
      </w:r>
    </w:p>
    <w:p>
      <w:pPr>
        <w:numPr>
          <w:ilvl w:val="0"/>
          <w:numId w:val="1332"/>
        </w:numPr>
        <w:pStyle w:val="Compact"/>
      </w:pPr>
      <w:r>
        <w:rPr>
          <w:bCs/>
          <w:b/>
        </w:rPr>
        <w:t xml:space="preserve">Quanti partecipanti?</w:t>
      </w:r>
      <w:r>
        <w:t xml:space="preserve"> </w:t>
      </w:r>
      <w:r>
        <w:t xml:space="preserve">Studi con 10 o 20 persone possono fornire indizi, ma non dimostrare un beneficio né individuare effetti collaterali rari.</w:t>
      </w:r>
    </w:p>
    <w:p>
      <w:pPr>
        <w:numPr>
          <w:ilvl w:val="0"/>
          <w:numId w:val="1332"/>
        </w:numPr>
        <w:pStyle w:val="Compact"/>
      </w:pPr>
      <w:r>
        <w:rPr>
          <w:bCs/>
          <w:b/>
        </w:rPr>
        <w:t xml:space="preserve">Che cosa è stato misurato?</w:t>
      </w:r>
      <w:r>
        <w:t xml:space="preserve"> </w:t>
      </w:r>
      <w:r>
        <w:t xml:space="preserve">Un valore di laboratorio che sale non è un beneficio percepibile. Si chieda: è stato misurato ciò che conta per le persone interessate – dolore, funzione, eventi di malattia, qualità della vita?</w:t>
      </w:r>
    </w:p>
    <w:p>
      <w:pPr>
        <w:numPr>
          <w:ilvl w:val="0"/>
          <w:numId w:val="1332"/>
        </w:numPr>
        <w:pStyle w:val="Compact"/>
      </w:pPr>
      <w:r>
        <w:rPr>
          <w:bCs/>
          <w:b/>
        </w:rPr>
        <w:t xml:space="preserve">Lo studio è stato registrato in anticipo?</w:t>
      </w:r>
      <w:r>
        <w:t xml:space="preserve"> </w:t>
      </w:r>
      <w:r>
        <w:t xml:space="preserve">Una registrazione su ClinicalTrials.gov o nel registro UE prima dell’inizio dello studio impedisce che gli obiettivi vengano scelti a posteriori in modo conveniente.</w:t>
      </w:r>
    </w:p>
    <w:p>
      <w:pPr>
        <w:numPr>
          <w:ilvl w:val="0"/>
          <w:numId w:val="1332"/>
        </w:numPr>
        <w:pStyle w:val="Compact"/>
      </w:pPr>
      <w:r>
        <w:rPr>
          <w:bCs/>
          <w:b/>
        </w:rPr>
        <w:t xml:space="preserve">Il risultato è stato replicato?</w:t>
      </w:r>
      <w:r>
        <w:t xml:space="preserve"> </w:t>
      </w:r>
      <w:r>
        <w:t xml:space="preserve">Un singolo risultato positivo di un unico gruppo di ricerca è un inizio, non una prova.</w:t>
      </w:r>
    </w:p>
    <w:bookmarkEnd w:id="967"/>
    <w:bookmarkStart w:id="968" w:name="segnali-dallarme-nel-linguaggio"/>
    <w:p>
      <w:pPr>
        <w:pStyle w:val="Heading4"/>
      </w:pPr>
      <w:r>
        <w:t xml:space="preserve">Segnali d’allarme nel linguaggio</w:t>
      </w:r>
    </w:p>
    <w:p>
      <w:pPr>
        <w:numPr>
          <w:ilvl w:val="0"/>
          <w:numId w:val="1333"/>
        </w:numPr>
        <w:pStyle w:val="Compact"/>
      </w:pPr>
      <w:r>
        <w:t xml:space="preserve">Promesse che riguardano contemporaneamente moltissimi disturbi diversi («per articolazioni, intestino, pelle, cervello e sistema immunitario»).</w:t>
      </w:r>
    </w:p>
    <w:p>
      <w:pPr>
        <w:numPr>
          <w:ilvl w:val="0"/>
          <w:numId w:val="1333"/>
        </w:numPr>
        <w:pStyle w:val="Compact"/>
      </w:pPr>
      <w:r>
        <w:t xml:space="preserve">Termini come «rimedio miracoloso», «consiglio segreto», «quello che i medici non Le dicono» o «soppresso dall’industria farmaceutica».</w:t>
      </w:r>
    </w:p>
    <w:p>
      <w:pPr>
        <w:numPr>
          <w:ilvl w:val="0"/>
          <w:numId w:val="1333"/>
        </w:numPr>
        <w:pStyle w:val="Compact"/>
      </w:pPr>
      <w:r>
        <w:t xml:space="preserve">L’affermazione «nessun effetto collaterale» per una sostanza che è stata a malapena studiata sull’uomo.</w:t>
      </w:r>
    </w:p>
    <w:p>
      <w:pPr>
        <w:numPr>
          <w:ilvl w:val="0"/>
          <w:numId w:val="1333"/>
        </w:numPr>
        <w:pStyle w:val="Compact"/>
      </w:pPr>
      <w:r>
        <w:t xml:space="preserve">Testimonianze e foto prima-dopo invece di dati di studio.</w:t>
      </w:r>
    </w:p>
    <w:p>
      <w:pPr>
        <w:numPr>
          <w:ilvl w:val="0"/>
          <w:numId w:val="1333"/>
        </w:numPr>
        <w:pStyle w:val="Compact"/>
      </w:pPr>
      <w:r>
        <w:t xml:space="preserve">La dicitura «solo per scopi di ricerca» o «non per il consumo umano» su un prodotto che al tempo stesso viene pubblicizzato con effetti sull’uomo. Questa contraddizione mostra che il venditore vuole aggirare le norme sui farmaci (vedi Parte I).</w:t>
      </w:r>
    </w:p>
    <w:p>
      <w:pPr>
        <w:numPr>
          <w:ilvl w:val="0"/>
          <w:numId w:val="1333"/>
        </w:numPr>
        <w:pStyle w:val="Compact"/>
      </w:pPr>
      <w:r>
        <w:t xml:space="preserve">Proposte di dosaggi, cicli o pacchetti combinati di più peptidi per sostanze senza autorizzazione. Per questi schemi non esiste alcuna base di studio.</w:t>
      </w:r>
    </w:p>
    <w:bookmarkEnd w:id="968"/>
    <w:bookmarkStart w:id="969" w:name="segni-di-una-presentazione-seria"/>
    <w:p>
      <w:pPr>
        <w:pStyle w:val="Heading4"/>
      </w:pPr>
      <w:r>
        <w:t xml:space="preserve">Segni di una presentazione seria</w:t>
      </w:r>
    </w:p>
    <w:p>
      <w:pPr>
        <w:numPr>
          <w:ilvl w:val="0"/>
          <w:numId w:val="1334"/>
        </w:numPr>
        <w:pStyle w:val="Compact"/>
      </w:pPr>
      <w:r>
        <w:t xml:space="preserve">I risultati sugli animali e di laboratorio sono indicati espressamente come tali.</w:t>
      </w:r>
    </w:p>
    <w:p>
      <w:pPr>
        <w:numPr>
          <w:ilvl w:val="0"/>
          <w:numId w:val="1334"/>
        </w:numPr>
        <w:pStyle w:val="Compact"/>
      </w:pPr>
      <w:r>
        <w:t xml:space="preserve">Vengono citati anche gli studi negativi e contraddittori, non solo quelli positivi.</w:t>
      </w:r>
    </w:p>
    <w:p>
      <w:pPr>
        <w:numPr>
          <w:ilvl w:val="0"/>
          <w:numId w:val="1334"/>
        </w:numPr>
        <w:pStyle w:val="Compact"/>
      </w:pPr>
      <w:r>
        <w:t xml:space="preserve">L’incertezza viene dichiarata apertamente («I dati non bastano per valutare …»).</w:t>
      </w:r>
    </w:p>
    <w:p>
      <w:pPr>
        <w:numPr>
          <w:ilvl w:val="0"/>
          <w:numId w:val="1334"/>
        </w:numPr>
        <w:pStyle w:val="Compact"/>
      </w:pPr>
      <w:r>
        <w:t xml:space="preserve">Vengono menzionati il quadro normativo e lo status antidoping.</w:t>
      </w:r>
    </w:p>
    <w:p>
      <w:pPr>
        <w:numPr>
          <w:ilvl w:val="0"/>
          <w:numId w:val="1334"/>
        </w:numPr>
        <w:pStyle w:val="Compact"/>
      </w:pPr>
      <w:r>
        <w:t xml:space="preserve">C’è un’indicazione chiara che i farmaci vanno gestiti dal medico e che i prodotti del mercato grigio non sono controllati.</w:t>
      </w:r>
    </w:p>
    <w:bookmarkEnd w:id="969"/>
    <w:bookmarkStart w:id="970" w:name="tre-domande-per-la-vita-quotidiana"/>
    <w:p>
      <w:pPr>
        <w:pStyle w:val="Heading4"/>
      </w:pPr>
      <w:r>
        <w:t xml:space="preserve">Tre domande per la vita quotidiana</w:t>
      </w:r>
    </w:p>
    <w:p>
      <w:pPr>
        <w:pStyle w:val="FirstParagraph"/>
      </w:pPr>
      <w:r>
        <w:t xml:space="preserve">Se ha poco tempo, spesso bastano tre domande:</w:t>
      </w:r>
    </w:p>
    <w:p>
      <w:pPr>
        <w:numPr>
          <w:ilvl w:val="0"/>
          <w:numId w:val="1335"/>
        </w:numPr>
        <w:pStyle w:val="Compact"/>
      </w:pPr>
      <w:r>
        <w:t xml:space="preserve">La sostanza è autorizzata nell’UE o negli USA come farmaco proprio per questo uso?</w:t>
      </w:r>
    </w:p>
    <w:p>
      <w:pPr>
        <w:numPr>
          <w:ilvl w:val="0"/>
          <w:numId w:val="1335"/>
        </w:numPr>
        <w:pStyle w:val="Compact"/>
      </w:pPr>
      <w:r>
        <w:t xml:space="preserve">Esiste almeno uno studio randomizzato, controllato con placebo, sull’uomo, che abbia dimostrato il beneficio dichiarato?</w:t>
      </w:r>
    </w:p>
    <w:p>
      <w:pPr>
        <w:numPr>
          <w:ilvl w:val="0"/>
          <w:numId w:val="1335"/>
        </w:numPr>
        <w:pStyle w:val="Compact"/>
      </w:pPr>
      <w:r>
        <w:t xml:space="preserve">Il prodotto proviene dalla farmacia – o da una fonte il cui contenuto nessuno controlla?</w:t>
      </w:r>
    </w:p>
    <w:p>
      <w:pPr>
        <w:pStyle w:val="FirstParagraph"/>
      </w:pPr>
      <w:r>
        <w:t xml:space="preserve">Se la risposta a tutte e tre le domande è «no», la promessa si basa sulla speranza, non sulle prove.</w:t>
      </w:r>
    </w:p>
    <w:bookmarkEnd w:id="970"/>
    <w:bookmarkEnd w:id="971"/>
    <w:bookmarkStart w:id="972" w:name="conclusione-59"/>
    <w:p>
      <w:pPr>
        <w:pStyle w:val="Heading3"/>
      </w:pPr>
      <w:r>
        <w:t xml:space="preserve">Conclusione</w:t>
      </w:r>
    </w:p>
    <w:p>
      <w:pPr>
        <w:pStyle w:val="FirstParagraph"/>
      </w:pPr>
      <w:r>
        <w:t xml:space="preserve">I peptidi più popolari su internet sono quasi tutti quelli studiati peggio. Le loro promesse si basano per lo più su esperimenti sugli animali, su valori sostitutivi o su studi con un’altra sostanza; dove esistono studi randomizzati sull’uomo, per lo più non hanno confermato il beneficio pubblicizzato. Ciò non significa che nessuna di queste sostanze possa mai avere un beneficio – ma per nessuna i dati bastano a dimostrarlo. Chi sente un’affermazione su un peptide dovrebbe chiedere la fonte, verificare lo studio e tenere presente la differenza tra un farmaco controllato e un flacone del mercato grigio.</w:t>
      </w:r>
    </w:p>
    <w:bookmarkEnd w:id="972"/>
    <w:bookmarkEnd w:id="973"/>
    <w:bookmarkEnd w:id="974"/>
    <w:bookmarkStart w:id="1026" w:name="parte-iv-rischi"/>
    <w:p>
      <w:pPr>
        <w:pStyle w:val="Heading1"/>
      </w:pPr>
      <w:r>
        <w:t xml:space="preserve">Parte IV – Rischi</w:t>
      </w:r>
    </w:p>
    <w:p>
      <w:pPr>
        <w:pStyle w:val="FirstParagraph"/>
      </w:pPr>
      <w:r>
        <w:t xml:space="preserve">Nella Parte II ogni peptide ha una propria sezione «Rischi ed effetti collaterali». Questa parte non ripete quelle sezioni. Le mette una accanto all’altra e si chiede, trasversalmente a tutti i principi attivi: quali organi sono coinvolti? Quali segnali d’allarme compaiono per più peptidi? Quanto è solido ciò che si sa? Chi cerca dettagli su una sostanza specifica trova a ogni punto un rimando al capitolo corrispondente.</w:t>
      </w:r>
    </w:p>
    <w:p>
      <w:pPr>
        <w:pStyle w:val="BodyText"/>
      </w:pPr>
      <w:r>
        <w:t xml:space="preserve">Prima di cominciare vale la pena dare un’occhiata rapida a come si valutano i rischi in generale. Tre distinzioni attraversano tutti i capitoli seguenti.</w:t>
      </w:r>
    </w:p>
    <w:p>
      <w:pPr>
        <w:pStyle w:val="BodyText"/>
      </w:pPr>
      <w:r>
        <w:rPr>
          <w:bCs/>
          <w:b/>
        </w:rPr>
        <w:t xml:space="preserve">Dimostrato, osservato o teorico.</w:t>
      </w:r>
      <w:r>
        <w:t xml:space="preserve"> </w:t>
      </w:r>
      <w:r>
        <w:t xml:space="preserve">Un rischio è dimostrato nel modo migliore quando negli studi randomizzati (RCT) si è verificato più spesso con il principio attivo che con il placebo. Gli studi osservazionali con dati assicurativi o di registro, invece, comprendono moltissime persone ed eventi rari, ma non possono separare con certezza la causa dalla circostanza concomitante. Le banche dati delle segnalazioni di effetti collaterali mostrano solo segnali: ciò che è noto e molto discusso viene segnalato più spesso. I rischi teorici, infine, derivano dal meccanismo d’azione, da esperimenti sugli animali o da colture cellulari. Non sono la prova di un danno – ma per sostanze mai studiate sistematicamente sull’uomo sono spesso l’unica informazione disponibile.</w:t>
      </w:r>
    </w:p>
    <w:p>
      <w:pPr>
        <w:pStyle w:val="BodyText"/>
      </w:pPr>
      <w:r>
        <w:rPr>
          <w:bCs/>
          <w:b/>
        </w:rPr>
        <w:t xml:space="preserve">La mancanza di dati non è sicurezza.</w:t>
      </w:r>
      <w:r>
        <w:t xml:space="preserve"> </w:t>
      </w:r>
      <w:r>
        <w:t xml:space="preserve">Se in tre piccole indagini con complessivamente 30 persone non sono emersi effetti collaterali legati al trattamento (così per BPC-157, Poolton 2026, PMID 42885452), ciò significa solo che non si sono verificati problemi molto frequenti e immediati. Un effetto collaterale che colpisce una persona su mille non può affatto essere individuato da uno studio così piccolo. Per molti peptidi dei gruppi B, C e D questa è la situazione di partenza.</w:t>
      </w:r>
    </w:p>
    <w:p>
      <w:pPr>
        <w:pStyle w:val="BodyText"/>
      </w:pPr>
      <w:r>
        <w:rPr>
          <w:bCs/>
          <w:b/>
        </w:rPr>
        <w:t xml:space="preserve">Rischio relativo e assoluto.</w:t>
      </w:r>
      <w:r>
        <w:t xml:space="preserve"> </w:t>
      </w:r>
      <w:r>
        <w:t xml:space="preserve">I titoli dei giornali riportano per lo più numeri relativi: «tre volte più frequente». Per la propria valutazione, però, conta quante persone sono effettivamente colpite. Un esempio tratto da questa parte: in uno studio di registro danese-norvegese un determinato disturbo della circolazione del nervo ottico era quasi tre volte più frequente con semaglutide che con un farmaco di confronto (hazard ratio 2,81). In numeri assoluti ciò significava circa 1,4 casi in più ogni 10.000 anni-persona (Simonsen 2025, PMID 40098249). Entrambe le cose sono vere – ed entrambe fanno parte dell’informazione.</w:t>
      </w:r>
    </w:p>
    <w:p>
      <w:pPr>
        <w:pStyle w:val="BodyText"/>
      </w:pPr>
      <w:r>
        <w:t xml:space="preserve">Infine conta il rapporto tra benefici e rischi. Un farmaco contro il diabete di tipo 2 che in grandi studi riduce infarti e ictus può avere effetti collaterali rari che non sarebbero accettabili per un prodotto abbronzante o per un «peptide della longevità» senza beneficio dimostrato. Chi usa un farmaco autorizzato con accompagnamento medico e un’indicazione chiara si trova in una situazione del tutto diversa da chi si inietta una polvere non controllata acquistata su internet. Come leggere gli studi è spiegato nella Parte I, nel capitolo «Leggere correttamente gli studi».</w:t>
      </w:r>
    </w:p>
    <w:p>
      <w:pPr>
        <w:pStyle w:val="BodyText"/>
      </w:pPr>
      <w:r>
        <w:t xml:space="preserve">La Parte IV è strutturata così: questo capitolo ordina gli effetti collaterali per apparati. Seguono capitoli sul rischio oncologico e sui segnali di crescita, sulle reazioni immunitarie, sulle analisi di laboratorio dei prodotti del mercato grigio e sulle interazioni e i gruppi di persone particolarmente a rischio.</w:t>
      </w:r>
    </w:p>
    <w:bookmarkStart w:id="985" w:name="effetti-collaterali-per-apparato"/>
    <w:p>
      <w:pPr>
        <w:pStyle w:val="Heading2"/>
      </w:pPr>
      <w:r>
        <w:t xml:space="preserve">Effetti collaterali per apparato</w:t>
      </w:r>
    </w:p>
    <w:p>
      <w:pPr>
        <w:pStyle w:val="FirstParagraph"/>
      </w:pPr>
      <w:r>
        <w:t xml:space="preserve">La seguente panoramica riassume quali apparati sono più spesso coinvolti per quali peptidi. La colonna «Frequenza/prove» riporta un ordine di grandezza tipico tratto da uno degli studi discussi in questo capitolo o nel capitolo del peptide indicato. I numeri provengono da studi e popolazioni diversi e sono quindi confrontabili solo approssimativamente.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Apparato</w:t>
            </w:r>
          </w:p>
        </w:tc>
        <w:tc>
          <w:tcPr/>
          <w:p>
            <w:pPr>
              <w:pStyle w:val="Compact"/>
              <w:jc w:val="left"/>
            </w:pPr>
            <w:r>
              <w:t xml:space="preserve">Peptidi coinvolti</w:t>
            </w:r>
          </w:p>
        </w:tc>
        <w:tc>
          <w:tcPr/>
          <w:p>
            <w:pPr>
              <w:pStyle w:val="Compact"/>
              <w:jc w:val="left"/>
            </w:pPr>
            <w:r>
              <w:t xml:space="preserve">Frequenza/prove</w:t>
            </w:r>
          </w:p>
        </w:tc>
        <w:tc>
          <w:tcPr/>
          <w:p>
            <w:pPr>
              <w:pStyle w:val="Compact"/>
              <w:jc w:val="left"/>
            </w:pPr>
            <w:r>
              <w:t xml:space="preserve">Capitolo</w:t>
            </w:r>
          </w:p>
        </w:tc>
      </w:tr>
      <w:tr>
        <w:tc>
          <w:tcPr/>
          <w:p>
            <w:pPr>
              <w:pStyle w:val="Compact"/>
              <w:jc w:val="left"/>
            </w:pPr>
            <w:r>
              <w:t xml:space="preserve">Apparato gastrointestinale</w:t>
            </w:r>
          </w:p>
        </w:tc>
        <w:tc>
          <w:tcPr/>
          <w:p>
            <w:pPr>
              <w:pStyle w:val="Compact"/>
              <w:jc w:val="left"/>
            </w:pPr>
            <w:r>
              <w:t xml:space="preserve">tutti i farmaci GLP-1, pramlintide, bremelanotide, setmelanotide</w:t>
            </w:r>
          </w:p>
        </w:tc>
        <w:tc>
          <w:tcPr/>
          <w:p>
            <w:pPr>
              <w:pStyle w:val="Compact"/>
              <w:jc w:val="left"/>
            </w:pPr>
            <w:r>
              <w:t xml:space="preserve">molto frequente; CagriSema 79,6% vs. 39,9% con placebo (Garvey 2025, PMID 40544433)</w:t>
            </w:r>
          </w:p>
        </w:tc>
        <w:tc>
          <w:tcPr/>
          <w:p>
            <w:pPr>
              <w:pStyle w:val="Compact"/>
              <w:jc w:val="left"/>
            </w:pPr>
            <w:r>
              <w:t xml:space="preserve">Semaglutide, Survodutide, Cagrilintide</w:t>
            </w:r>
          </w:p>
        </w:tc>
      </w:tr>
      <w:tr>
        <w:tc>
          <w:tcPr/>
          <w:p>
            <w:pPr>
              <w:pStyle w:val="Compact"/>
              <w:jc w:val="left"/>
            </w:pPr>
            <w:r>
              <w:t xml:space="preserve">Colecisti</w:t>
            </w:r>
          </w:p>
        </w:tc>
        <w:tc>
          <w:tcPr/>
          <w:p>
            <w:pPr>
              <w:pStyle w:val="Compact"/>
              <w:jc w:val="left"/>
            </w:pPr>
            <w:r>
              <w:t xml:space="preserve">classe GLP-1, soprattutto in caso di perdita di peso</w:t>
            </w:r>
          </w:p>
        </w:tc>
        <w:tc>
          <w:tcPr/>
          <w:p>
            <w:pPr>
              <w:pStyle w:val="Compact"/>
              <w:jc w:val="left"/>
            </w:pPr>
            <w:r>
              <w:t xml:space="preserve">rischio relativo 1,37 (tutti gli studi), 2,29 (studi sul dimagrimento)</w:t>
            </w:r>
          </w:p>
        </w:tc>
        <w:tc>
          <w:tcPr/>
          <w:p>
            <w:pPr>
              <w:pStyle w:val="Compact"/>
              <w:jc w:val="left"/>
            </w:pPr>
            <w:r>
              <w:t xml:space="preserve">Liraglutide, Tirzepatide</w:t>
            </w:r>
          </w:p>
        </w:tc>
      </w:tr>
      <w:tr>
        <w:tc>
          <w:tcPr/>
          <w:p>
            <w:pPr>
              <w:pStyle w:val="Compact"/>
              <w:jc w:val="left"/>
            </w:pPr>
            <w:r>
              <w:t xml:space="preserve">Pancreas</w:t>
            </w:r>
          </w:p>
        </w:tc>
        <w:tc>
          <w:tcPr/>
          <w:p>
            <w:pPr>
              <w:pStyle w:val="Compact"/>
              <w:jc w:val="left"/>
            </w:pPr>
            <w:r>
              <w:t xml:space="preserve">classe GLP-1</w:t>
            </w:r>
          </w:p>
        </w:tc>
        <w:tc>
          <w:tcPr/>
          <w:p>
            <w:pPr>
              <w:pStyle w:val="Compact"/>
              <w:jc w:val="left"/>
            </w:pPr>
            <w:r>
              <w:t xml:space="preserve">segnale nelle meta-analisi, in assoluto raro</w:t>
            </w:r>
          </w:p>
        </w:tc>
        <w:tc>
          <w:tcPr/>
          <w:p>
            <w:pPr>
              <w:pStyle w:val="Compact"/>
              <w:jc w:val="left"/>
            </w:pPr>
            <w:r>
              <w:t xml:space="preserve">Exenatide, Semaglutide</w:t>
            </w:r>
          </w:p>
        </w:tc>
      </w:tr>
      <w:tr>
        <w:tc>
          <w:tcPr/>
          <w:p>
            <w:pPr>
              <w:pStyle w:val="Compact"/>
              <w:jc w:val="left"/>
            </w:pPr>
            <w:r>
              <w:t xml:space="preserve">Tiroide</w:t>
            </w:r>
          </w:p>
        </w:tc>
        <w:tc>
          <w:tcPr/>
          <w:p>
            <w:pPr>
              <w:pStyle w:val="Compact"/>
              <w:jc w:val="left"/>
            </w:pPr>
            <w:r>
              <w:t xml:space="preserve">classe GLP-1</w:t>
            </w:r>
          </w:p>
        </w:tc>
        <w:tc>
          <w:tcPr/>
          <w:p>
            <w:pPr>
              <w:pStyle w:val="Compact"/>
              <w:jc w:val="left"/>
            </w:pPr>
            <w:r>
              <w:t xml:space="preserve">reperto animale accertato, nell’uomo non uniforme</w:t>
            </w:r>
          </w:p>
        </w:tc>
        <w:tc>
          <w:tcPr/>
          <w:p>
            <w:pPr>
              <w:pStyle w:val="Compact"/>
              <w:jc w:val="left"/>
            </w:pPr>
            <w:r>
              <w:t xml:space="preserve">Liraglutide, capitolo Rischio oncologico</w:t>
            </w:r>
          </w:p>
        </w:tc>
      </w:tr>
      <w:tr>
        <w:tc>
          <w:tcPr/>
          <w:p>
            <w:pPr>
              <w:pStyle w:val="Compact"/>
              <w:jc w:val="left"/>
            </w:pPr>
            <w:r>
              <w:t xml:space="preserve">Occhi</w:t>
            </w:r>
          </w:p>
        </w:tc>
        <w:tc>
          <w:tcPr/>
          <w:p>
            <w:pPr>
              <w:pStyle w:val="Compact"/>
              <w:jc w:val="left"/>
            </w:pPr>
            <w:r>
              <w:t xml:space="preserve">semaglutide (NAION, retinopatia)</w:t>
            </w:r>
          </w:p>
        </w:tc>
        <w:tc>
          <w:tcPr/>
          <w:p>
            <w:pPr>
              <w:pStyle w:val="Compact"/>
              <w:jc w:val="left"/>
            </w:pPr>
            <w:r>
              <w:t xml:space="preserve">molto raro; circa 1,4 casi in più ogni 10.000 anni-persona</w:t>
            </w:r>
          </w:p>
        </w:tc>
        <w:tc>
          <w:tcPr/>
          <w:p>
            <w:pPr>
              <w:pStyle w:val="Compact"/>
              <w:jc w:val="left"/>
            </w:pPr>
            <w:r>
              <w:t xml:space="preserve">Semaglutide</w:t>
            </w:r>
          </w:p>
        </w:tc>
      </w:tr>
      <w:tr>
        <w:tc>
          <w:tcPr/>
          <w:p>
            <w:pPr>
              <w:pStyle w:val="Compact"/>
              <w:jc w:val="left"/>
            </w:pPr>
            <w:r>
              <w:t xml:space="preserve">Sistema cardiovascolare, ritenzione idrica</w:t>
            </w:r>
          </w:p>
        </w:tc>
        <w:tc>
          <w:tcPr/>
          <w:p>
            <w:pPr>
              <w:pStyle w:val="Compact"/>
              <w:jc w:val="left"/>
            </w:pPr>
            <w:r>
              <w:t xml:space="preserve">secretagoghi del GH, ibutamoren, bremelanotide, macimorelina, ossitocina</w:t>
            </w:r>
          </w:p>
        </w:tc>
        <w:tc>
          <w:tcPr/>
          <w:p>
            <w:pPr>
              <w:pStyle w:val="Compact"/>
              <w:jc w:val="left"/>
            </w:pPr>
            <w:r>
              <w:t xml:space="preserve">segnale di insufficienza cardiaca, picchi pressori, prolungamento del QT</w:t>
            </w:r>
          </w:p>
        </w:tc>
        <w:tc>
          <w:tcPr/>
          <w:p>
            <w:pPr>
              <w:pStyle w:val="Compact"/>
              <w:jc w:val="left"/>
            </w:pPr>
            <w:r>
              <w:t xml:space="preserve">Ibutamoren, Bremelanotide, Macimorelina</w:t>
            </w:r>
          </w:p>
        </w:tc>
      </w:tr>
      <w:tr>
        <w:tc>
          <w:tcPr/>
          <w:p>
            <w:pPr>
              <w:pStyle w:val="Compact"/>
              <w:jc w:val="left"/>
            </w:pPr>
            <w:r>
              <w:t xml:space="preserve">Psiche</w:t>
            </w:r>
          </w:p>
        </w:tc>
        <w:tc>
          <w:tcPr/>
          <w:p>
            <w:pPr>
              <w:pStyle w:val="Compact"/>
              <w:jc w:val="left"/>
            </w:pPr>
            <w:r>
              <w:t xml:space="preserve">classe GLP-1 (verificata), setmelanotide, Semax</w:t>
            </w:r>
          </w:p>
        </w:tc>
        <w:tc>
          <w:tcPr/>
          <w:p>
            <w:pPr>
              <w:pStyle w:val="Compact"/>
              <w:jc w:val="left"/>
            </w:pPr>
            <w:r>
              <w:t xml:space="preserve">nessun aumento del rischio in 86 RCT</w:t>
            </w:r>
          </w:p>
        </w:tc>
        <w:tc>
          <w:tcPr/>
          <w:p>
            <w:pPr>
              <w:pStyle w:val="Compact"/>
              <w:jc w:val="left"/>
            </w:pPr>
            <w:r>
              <w:t xml:space="preserve">Semaglutide, Tirzepatide, Setmelanotide</w:t>
            </w:r>
          </w:p>
        </w:tc>
      </w:tr>
      <w:tr>
        <w:tc>
          <w:tcPr/>
          <w:p>
            <w:pPr>
              <w:pStyle w:val="Compact"/>
              <w:jc w:val="left"/>
            </w:pPr>
            <w:r>
              <w:t xml:space="preserve">Pelle, pigmento</w:t>
            </w:r>
          </w:p>
        </w:tc>
        <w:tc>
          <w:tcPr/>
          <w:p>
            <w:pPr>
              <w:pStyle w:val="Compact"/>
              <w:jc w:val="left"/>
            </w:pPr>
            <w:r>
              <w:t xml:space="preserve">Melanotan II, setmelanotide, afamelanotide, bremelanotide, LL-37</w:t>
            </w:r>
          </w:p>
        </w:tc>
        <w:tc>
          <w:tcPr/>
          <w:p>
            <w:pPr>
              <w:pStyle w:val="Compact"/>
              <w:jc w:val="left"/>
            </w:pPr>
            <w:r>
              <w:t xml:space="preserve">pigmentazione con setmelanotide 62%; casi clinici di melanoma con Melanotan II</w:t>
            </w:r>
          </w:p>
        </w:tc>
        <w:tc>
          <w:tcPr/>
          <w:p>
            <w:pPr>
              <w:pStyle w:val="Compact"/>
              <w:jc w:val="left"/>
            </w:pPr>
            <w:r>
              <w:t xml:space="preserve">Melanotan II, Setmelanotide</w:t>
            </w:r>
          </w:p>
        </w:tc>
      </w:tr>
      <w:tr>
        <w:tc>
          <w:tcPr/>
          <w:p>
            <w:pPr>
              <w:pStyle w:val="Compact"/>
              <w:jc w:val="left"/>
            </w:pPr>
            <w:r>
              <w:t xml:space="preserve">Sistema ormonale</w:t>
            </w:r>
          </w:p>
        </w:tc>
        <w:tc>
          <w:tcPr/>
          <w:p>
            <w:pPr>
              <w:pStyle w:val="Compact"/>
              <w:jc w:val="left"/>
            </w:pPr>
            <w:r>
              <w:t xml:space="preserve">GHRP-2, GHRP-6, hexarelin, kisspeptina, gonadorelina</w:t>
            </w:r>
          </w:p>
        </w:tc>
        <w:tc>
          <w:tcPr/>
          <w:p>
            <w:pPr>
              <w:pStyle w:val="Compact"/>
              <w:jc w:val="left"/>
            </w:pPr>
            <w:r>
              <w:t xml:space="preserve">aumento di cortisolo e prolattina; soppressione dell’asse con somministrazione continua</w:t>
            </w:r>
          </w:p>
        </w:tc>
        <w:tc>
          <w:tcPr/>
          <w:p>
            <w:pPr>
              <w:pStyle w:val="Compact"/>
              <w:jc w:val="left"/>
            </w:pPr>
            <w:r>
              <w:t xml:space="preserve">Gruppo C, Kisspeptina</w:t>
            </w:r>
          </w:p>
        </w:tc>
      </w:tr>
      <w:tr>
        <w:tc>
          <w:tcPr/>
          <w:p>
            <w:pPr>
              <w:pStyle w:val="Compact"/>
              <w:jc w:val="left"/>
            </w:pPr>
            <w:r>
              <w:t xml:space="preserve">Glicemia</w:t>
            </w:r>
          </w:p>
        </w:tc>
        <w:tc>
          <w:tcPr/>
          <w:p>
            <w:pPr>
              <w:pStyle w:val="Compact"/>
              <w:jc w:val="left"/>
            </w:pPr>
            <w:r>
              <w:t xml:space="preserve">mecasermina, pramlintide, GLP-1 con insulina/sulfonilurea; asse del GH</w:t>
            </w:r>
          </w:p>
        </w:tc>
        <w:tc>
          <w:tcPr/>
          <w:p>
            <w:pPr>
              <w:pStyle w:val="Compact"/>
              <w:jc w:val="left"/>
            </w:pPr>
            <w:r>
              <w:t xml:space="preserve">ipoglicemia nel 49% con mecasermina; glicemia più alta con ibutamoren</w:t>
            </w:r>
          </w:p>
        </w:tc>
        <w:tc>
          <w:tcPr/>
          <w:p>
            <w:pPr>
              <w:pStyle w:val="Compact"/>
              <w:jc w:val="left"/>
            </w:pPr>
            <w:r>
              <w:t xml:space="preserve">Mecasermina, Pramlintide, Ibutamoren</w:t>
            </w:r>
          </w:p>
        </w:tc>
      </w:tr>
    </w:tbl>
    <w:bookmarkStart w:id="975" w:name="apparato-gastrointestinale"/>
    <w:p>
      <w:pPr>
        <w:pStyle w:val="Heading3"/>
      </w:pPr>
      <w:r>
        <w:t xml:space="preserve">Apparato gastrointestinale</w:t>
      </w:r>
    </w:p>
    <w:p>
      <w:pPr>
        <w:pStyle w:val="FirstParagraph"/>
      </w:pPr>
      <w:r>
        <w:t xml:space="preserve">Nessun altro apparato è coinvolto così spesso. Nausea, vomito, diarrea e stitichezza sono gli effetti collaterali tipici di tutti i farmaci che agiscono sul recettore del GLP-1 – dal più vecchio exenatide, passando per semaglutide e tirzepatide, fino ai nuovi agonisti multipli. Una revisione che ha riassunto 60 meta-analisi con complessivamente 1.751 studi randomizzati ha trovato i segnali più sicuri proprio qui: la probabilità (odds) di nausea con gli agonisti del recettore del GLP-1 era circa due volte e mezzo quella dei gruppi di confronto (odds ratio 2,47), per il vomito quasi tre volte (2,78) e per la diarrea circa il doppio (1,94) (Yang 2026, PMID 41915388).</w:t>
      </w:r>
    </w:p>
    <w:p>
      <w:pPr>
        <w:pStyle w:val="BodyText"/>
      </w:pPr>
      <w:r>
        <w:t xml:space="preserve">Quanto siano frequenti i disturbi dipende molto dal principio attivo, dalla dose e dalla velocità dell’aumento della dose. Una meta-analisi a rete di 39 studi con 33.354 persone in sovrappeso senza diabete ha trovato per tutti i principi attivi esaminati un rischio aumentato di nausea, il più marcato per orforglipron, seguito da exenatide, tirzepatide, semaglutide e liraglutide (Ismaiel 2025, PMID 40804463). Per i principi attivi con una componente aggiuntiva sul glucagone i tassi sono particolarmente alti: nello studio sulla steatosi epatica con survodutide il 66% ha avuto nausea contro il 23% con placebo (Sanyal 2024, PMID 38847460). I dettagli si trovano nei capitoli Survodutide, Mazdutide e Retatrutide.</w:t>
      </w:r>
    </w:p>
    <w:p>
      <w:pPr>
        <w:pStyle w:val="BodyText"/>
      </w:pPr>
      <w:r>
        <w:t xml:space="preserve">Anche al di fuori del gruppo GLP-1 la nausea è frequente. Con bremelanotide si è verificata negli studi di fase 3 nel 40,0% contro l’1,3% con placebo ed era il motivo più frequente di interruzione (Clayton 2022, PMID 35147466). Con pramlintide il 63% ha riferito nausea, con placebo il 36% (Edelman 2006, PMID 17003291). Con setmelanotide, in una meta-analisi di sette studi, la quota era del 36% (Sridharan 2026, PMID 39924461).</w:t>
      </w:r>
    </w:p>
    <w:p>
      <w:pPr>
        <w:pStyle w:val="BodyText"/>
      </w:pPr>
      <w:r>
        <w:t xml:space="preserve">Più importante della frequenza della nausea è la questione degli eventi gastrointestinali</w:t>
      </w:r>
      <w:r>
        <w:t xml:space="preserve"> </w:t>
      </w:r>
      <w:r>
        <w:rPr>
          <w:bCs/>
          <w:b/>
        </w:rPr>
        <w:t xml:space="preserve">gravi</w:t>
      </w:r>
      <w:r>
        <w:t xml:space="preserve">. Un’analisi di banca dati del 2023 aveva segnalato per gli agonisti del recettore del GLP-1 usati per perdere peso un rischio aumentato di pancreatite, occlusione intestinale e paralisi gastrica (Sodhi 2023, PMID 37796527). Una meta-analisi di 55 studi controllati con placebo con 106.395 partecipanti non lo ha confermato per la maggior parte di questi eventi. Erano aumentati i calcoli biliari (rischio relativo 1,46; due casi in più ogni 1.000 persone trattate) e probabilmente la malattia da reflusso (rischio relativo 2,19; quattro casi in più ogni 1.000). Per occlusione intestinale, paralisi gastrica, ulcere o emorragie non è emersa una differenza chiara (Chiang 2025, PMID 40499738). In uno studio di coorte con dati di routine, tirzepatide e semaglutide differivano appena per quanto riguarda gli eventi gastrointestinali gravi (Crisafulli 2026, PMID 41183330).</w:t>
      </w:r>
    </w:p>
    <w:p>
      <w:pPr>
        <w:pStyle w:val="BodyText"/>
      </w:pPr>
      <w:r>
        <w:t xml:space="preserve">Sul piano pratico è importante che vomito e diarrea persistenti possono portare a perdita di liquidi. Negli studi i disturbi compaiono soprattutto nella fase di aumento della dose; per questo i riassunti delle caratteristiche dei farmaci autorizzati prevedono un procedimento graduale, che deve essere accompagnato dal medico. Con prodotti del mercato grigio, il cui contenuto non è noto, uno schema del genere non può essere rispettato in modo affidabile (vedi capitolo «Prodotti del mercato grigio»).</w:t>
      </w:r>
    </w:p>
    <w:bookmarkEnd w:id="975"/>
    <w:bookmarkStart w:id="976" w:name="colecisti-e-pancreas"/>
    <w:p>
      <w:pPr>
        <w:pStyle w:val="Heading3"/>
      </w:pPr>
      <w:r>
        <w:t xml:space="preserve">Colecisti e pancreas</w:t>
      </w:r>
    </w:p>
    <w:p>
      <w:pPr>
        <w:pStyle w:val="FirstParagraph"/>
      </w:pPr>
      <w:r>
        <w:t xml:space="preserve">Per la colecisti il rischio è ormai ben documentato. Una meta-analisi di 76 studi randomizzati con 103.371 partecipanti ha trovato con gli agonisti del recettore del GLP-1 un rischio relativo aumentato del 37% di malattie della colecisti e delle vie biliari. Negli studi sulla perdita di peso il rischio relativo, pari a 2,29, era nettamente più alto che negli studi sul diabete (He 2022, PMID 35344001). Parte dell’effetto dovrebbe dipendere dalla rapida perdita di peso in sé, che notoriamente favorisce i calcoli biliari. In STEP TEENS 5 adolescenti su 133 con semaglutide hanno sviluppato calcoli biliari, con placebo nessuno (Weghuber 2022, PMID 36322838).</w:t>
      </w:r>
    </w:p>
    <w:p>
      <w:pPr>
        <w:pStyle w:val="BodyText"/>
      </w:pPr>
      <w:r>
        <w:t xml:space="preserve">Per il pancreas la situazione è meno chiara. Una meta-analisi di 62 studi con 66.232 partecipanti ha trovato nel complesso un rischio leggermente aumentato di pancreatite (rischio relativo 1,44). Quando gli studi sono stati separati in base al fatto che i partecipanti assumessero o meno altri farmaci, la differenza non era più statisticamente significativa in nessuno dei due gruppi (Wen 2025, PMID 40988099). La frequenza assoluta è bassa; nei grandi studi di esito una pancreatite si è verificata raramente. I riassunti delle caratteristiche del prodotto la elencano come effetto collaterale raro. Un dolore forte e persistente nella parte alta dell’addome, spesso irradiato alla schiena, va sempre chiarito dal medico durante l’uso di questi farmaci. Per la questione del tumore del pancreas si veda il capitolo seguente.</w:t>
      </w:r>
    </w:p>
    <w:bookmarkEnd w:id="976"/>
    <w:bookmarkStart w:id="977" w:name="tiroide"/>
    <w:p>
      <w:pPr>
        <w:pStyle w:val="Heading3"/>
      </w:pPr>
      <w:r>
        <w:t xml:space="preserve">Tiroide</w:t>
      </w:r>
    </w:p>
    <w:p>
      <w:pPr>
        <w:pStyle w:val="FirstParagraph"/>
      </w:pPr>
      <w:r>
        <w:t xml:space="preserve">La preoccupazione per la tiroide deriva da esperimenti sugli animali: in ratti e topi gli agonisti del recettore del GLP-1 hanno provocato iperplasie e tumori delle cellule C, che producono l’ormone calcitonina. Nell’uomo i dati non sono uniformi. Un indizio diretto di una stimolazione delle cellule C sarebbe un aumento della calcitonina nel sangue. Nello studio LEADER con 9.340 partecipanti i valori di calcitonina dopo 36 mesi non differivano tra liraglutide e placebo, e con liraglutide non si è verificato alcun carcinoma midollare della tiroide (Hegedüs 2018, PMID 29279300). Come vada valutata nel complesso la questione del cancro è trattato nel capitolo «Rischio oncologico e segnali di crescita». Indipendentemente da ciò, i riassunti delle caratteristiche del prodotto prevedono una controindicazione in caso di carcinoma midollare della tiroide nell’anamnesi personale o familiare e di sindrome MEN 2.</w:t>
      </w:r>
    </w:p>
    <w:bookmarkEnd w:id="977"/>
    <w:bookmarkStart w:id="978" w:name="occhi-retina-e-nervo-ottico"/>
    <w:p>
      <w:pPr>
        <w:pStyle w:val="Heading3"/>
      </w:pPr>
      <w:r>
        <w:t xml:space="preserve">Occhi: retina e nervo ottico</w:t>
      </w:r>
    </w:p>
    <w:p>
      <w:pPr>
        <w:pStyle w:val="FirstParagraph"/>
      </w:pPr>
      <w:r>
        <w:t xml:space="preserve">Qui ci sono due questioni diverse.</w:t>
      </w:r>
    </w:p>
    <w:p>
      <w:pPr>
        <w:pStyle w:val="BodyText"/>
      </w:pPr>
      <w:r>
        <w:rPr>
          <w:bCs/>
          <w:b/>
        </w:rPr>
        <w:t xml:space="preserve">Retinopatia diabetica.</w:t>
      </w:r>
      <w:r>
        <w:t xml:space="preserve"> </w:t>
      </w:r>
      <w:r>
        <w:t xml:space="preserve">In SUSTAIN 6, uno studio cardiovascolare con 3.297 persone con diabete di tipo 2, le complicanze di una retinopatia diabetica si sono verificate più spesso con semaglutide che con placebo (hazard ratio 1,76) (Marso 2016, PMID 27633186). Si ipotizza che una riduzione molto rapida della glicemia peggiori temporaneamente una retinopatia già esistente – un fenomeno noto anche con l’insulina. Una meta-analisi di 78 studi con 73.640 partecipanti non ha trovato nel complesso alcun aumento del rischio di retinopatia diabetica (odds ratio 1,04) o di malattie oculari in generale (Natividade 2025, PMID 40810985). Per le persone con retinopatia nota, l’accompagnamento oculistico resta comunque sensato.</w:t>
      </w:r>
    </w:p>
    <w:p>
      <w:pPr>
        <w:pStyle w:val="BodyText"/>
      </w:pPr>
      <w:r>
        <w:rPr>
          <w:bCs/>
          <w:b/>
        </w:rPr>
        <w:t xml:space="preserve">NAION.</w:t>
      </w:r>
      <w:r>
        <w:t xml:space="preserve"> </w:t>
      </w:r>
      <w:r>
        <w:t xml:space="preserve">La neuropatia ottica ischemica anteriore non arteritica è un disturbo della circolazione nella testa del nervo ottico, che per lo più senza dolore porta a un’improvvisa perdita della vista in un occhio. Da un primo studio di una clinica neuro-oftalmologica (Hathaway 2024, PMID 38958939) sono state pubblicate molte altre indagini, con risultati diversi:</w:t>
      </w:r>
    </w:p>
    <w:p>
      <w:pPr>
        <w:numPr>
          <w:ilvl w:val="0"/>
          <w:numId w:val="1336"/>
        </w:numPr>
        <w:pStyle w:val="Compact"/>
      </w:pPr>
      <w:r>
        <w:t xml:space="preserve">Lo studio di registro danese-norvegese ha trovato un rischio relativo aumentato (hazard ratio 2,81), in assoluto circa 1,4 casi in più ogni 10.000 anni-persona (Simonsen 2025, PMID 40098249).</w:t>
      </w:r>
    </w:p>
    <w:p>
      <w:pPr>
        <w:numPr>
          <w:ilvl w:val="0"/>
          <w:numId w:val="1336"/>
        </w:numPr>
        <w:pStyle w:val="Compact"/>
      </w:pPr>
      <w:r>
        <w:t xml:space="preserve">In una coorte statunitense di 159.398 persone con diabete di tipo 2, in due anni si sono ammalati lo 0,04% con semaglutide o tirzepatide e lo 0,02% nel gruppo di confronto (hazard ratio 1,76) (Wang 2025, PMID 40788646).</w:t>
      </w:r>
    </w:p>
    <w:p>
      <w:pPr>
        <w:numPr>
          <w:ilvl w:val="0"/>
          <w:numId w:val="1336"/>
        </w:numPr>
        <w:pStyle w:val="Compact"/>
      </w:pPr>
      <w:r>
        <w:t xml:space="preserve">Uno studio internazionale su banche dati con quasi 300.000 persone non ha trovato un nesso accertato (Chou 2025, PMID 39491755).</w:t>
      </w:r>
    </w:p>
    <w:p>
      <w:pPr>
        <w:numPr>
          <w:ilvl w:val="0"/>
          <w:numId w:val="1336"/>
        </w:numPr>
        <w:pStyle w:val="Compact"/>
      </w:pPr>
      <w:r>
        <w:t xml:space="preserve">Una meta-analisi ha visto il segnale solo negli studi osservazionali sul diabete, non negli studi randomizzati e non nell’obesità (Liu 2026, PMID 41475544).</w:t>
      </w:r>
    </w:p>
    <w:p>
      <w:pPr>
        <w:pStyle w:val="FirstParagraph"/>
      </w:pPr>
      <w:r>
        <w:t xml:space="preserve">In sintesi: un piccolo aumento del rischio è possibile, la frequenza assoluta è molto bassa. Nel 2025 l’Agenzia europea per i medicinali ha inserito la NAION nel riassunto delle caratteristiche del prodotto di semaglutide come effetto collaterale molto raro (aggiornato al 2026, da verificare). Un’improvvisa perdita della vista è in ogni caso un’emergenza. Dettagli nel capitolo Semaglutide.</w:t>
      </w:r>
    </w:p>
    <w:bookmarkEnd w:id="978"/>
    <w:bookmarkStart w:id="979" w:name="X49718ed396568be5ac0babd81d961abd168a9c1"/>
    <w:p>
      <w:pPr>
        <w:pStyle w:val="Heading3"/>
      </w:pPr>
      <w:r>
        <w:t xml:space="preserve">Sistema cardiovascolare e ritenzione idrica</w:t>
      </w:r>
    </w:p>
    <w:p>
      <w:pPr>
        <w:pStyle w:val="FirstParagraph"/>
      </w:pPr>
      <w:r>
        <w:t xml:space="preserve">Per i farmaci GLP-1, secondo le conoscenze attuali, prevale il beneficio per cuore e vasi: in SUSTAIN 6 gli eventi cardiovascolari gravi si sono verificati meno spesso con semaglutide (6,6% contro 8,9%) (Marso 2016, PMID 27633186). Un lieve aumento della frequenza cardiaca a riposo è però una caratteristica di classe, in parte più marcata nei nuovi agonisti multipli. Con retatrutide in TRIUMPH-2 si è verificata inoltre pressione bassa nell’1–6%, con placebo in meno dell’1% (Bellido 2026, PMID 42810372). Vedi i capitoli Retatrutide e Survodutide.</w:t>
      </w:r>
    </w:p>
    <w:p>
      <w:pPr>
        <w:pStyle w:val="BodyText"/>
      </w:pPr>
      <w:r>
        <w:t xml:space="preserve">Uno schema del tutto diverso si osserva per l’</w:t>
      </w:r>
      <w:r>
        <w:rPr>
          <w:bCs/>
          <w:b/>
        </w:rPr>
        <w:t xml:space="preserve">asse dell’ormone della crescita</w:t>
      </w:r>
      <w:r>
        <w:t xml:space="preserve">. L’ormone della crescita trattiene acqua nel corpo. In una revisione di studi su anziani sani, con l’ormone della crescita si sono verificati più spesso gonfiori dei tessuti, dolori articolari, sindrome del tunnel carpale e ingrossamento del seno negli uomini (Liu 2007, PMID 17227934). Per i secretagoghi, che stimolano la secrezione endogena, ci si deve attendere uno schema simile. È emerso più chiaramente con l’ibutamoren orale: uno studio su anziani dopo frattura dell’anca è stato interrotto anticipatamente a causa di un segnale di insufficienza cardiaca (Adunsky 2011, PMID 21067829). Un cuore già indebolito sopporta male il liquido in più.</w:t>
      </w:r>
    </w:p>
    <w:p>
      <w:pPr>
        <w:pStyle w:val="BodyText"/>
      </w:pPr>
      <w:r>
        <w:t xml:space="preserve">Altri reperti singoli:</w:t>
      </w:r>
    </w:p>
    <w:p>
      <w:pPr>
        <w:numPr>
          <w:ilvl w:val="0"/>
          <w:numId w:val="1337"/>
        </w:numPr>
        <w:pStyle w:val="Compact"/>
      </w:pPr>
      <w:r>
        <w:rPr>
          <w:bCs/>
          <w:b/>
        </w:rPr>
        <w:t xml:space="preserve">Bremelanotide</w:t>
      </w:r>
      <w:r>
        <w:t xml:space="preserve"> </w:t>
      </w:r>
      <w:r>
        <w:t xml:space="preserve">ha aumentato temporaneamente la pressione sistolica dopo la somministrazione di 2,4–3,2 mmHg; i picchi duravano per lo più meno di 15 minuti, e contemporaneamente il polso diminuiva (White 2017, PMID 27977473).</w:t>
      </w:r>
    </w:p>
    <w:p>
      <w:pPr>
        <w:numPr>
          <w:ilvl w:val="0"/>
          <w:numId w:val="1337"/>
        </w:numPr>
        <w:pStyle w:val="Compact"/>
      </w:pPr>
      <w:r>
        <w:rPr>
          <w:bCs/>
          <w:b/>
        </w:rPr>
        <w:t xml:space="preserve">Macimorelina</w:t>
      </w:r>
      <w:r>
        <w:t xml:space="preserve">, a una dose singola volutamente eccessiva, ha prolungato l’intervallo QT nell’ECG in media fino a 9,61 millisecondi (Lissy 2021, PMID 32961034) – rilevante per chi assume altri farmaci che prolungano il QT.</w:t>
      </w:r>
    </w:p>
    <w:p>
      <w:pPr>
        <w:numPr>
          <w:ilvl w:val="0"/>
          <w:numId w:val="1337"/>
        </w:numPr>
        <w:pStyle w:val="Compact"/>
      </w:pPr>
      <w:r>
        <w:rPr>
          <w:bCs/>
          <w:b/>
        </w:rPr>
        <w:t xml:space="preserve">Ossitocina</w:t>
      </w:r>
      <w:r>
        <w:t xml:space="preserve"> </w:t>
      </w:r>
      <w:r>
        <w:t xml:space="preserve">somiglia chimicamente all’ormone del bilancio idrico vasopressina. È descritto un caso di aumento della pressione intracranica con ossitocina spray nasale associata a un’assunzione di liquidi molto elevata (Mayer-Hubner 1996, PMID 8596357).</w:t>
      </w:r>
    </w:p>
    <w:p>
      <w:pPr>
        <w:numPr>
          <w:ilvl w:val="0"/>
          <w:numId w:val="1337"/>
        </w:numPr>
        <w:pStyle w:val="Compact"/>
      </w:pPr>
      <w:r>
        <w:rPr>
          <w:bCs/>
          <w:b/>
        </w:rPr>
        <w:t xml:space="preserve">Melanotan II:</w:t>
      </w:r>
      <w:r>
        <w:t xml:space="preserve"> </w:t>
      </w:r>
      <w:r>
        <w:t xml:space="preserve">casi clinici di disgregazione muscolare con danno renale (Nelson 2012, PMID 23121206) e di un infarto renale; vedi capitolo Melanotan II.</w:t>
      </w:r>
    </w:p>
    <w:bookmarkEnd w:id="979"/>
    <w:bookmarkStart w:id="980" w:name="psiche-e-suicidalità"/>
    <w:p>
      <w:pPr>
        <w:pStyle w:val="Heading3"/>
      </w:pPr>
      <w:r>
        <w:t xml:space="preserve">Psiche e suicidalità</w:t>
      </w:r>
    </w:p>
    <w:p>
      <w:pPr>
        <w:pStyle w:val="FirstParagraph"/>
      </w:pPr>
      <w:r>
        <w:t xml:space="preserve">Nel 2023 singole segnalazioni di pensieri suicidi con semaglutide e liraglutide hanno avviato verifiche delle autorità in Europa e negli USA. I dati sono oggi molto migliori e in prevalenza rassicuranti. Una meta-analisi di 86 studi randomizzati con 133.378 partecipanti non ha trovato con gli agonisti del recettore del GLP-1 alcun aumento del rischio di malattie psichiche nel complesso (rischio relativo 0,96), di depressione (0,88), di suicidio (0,90) o di disturbi d’ansia (0,92) (Han 2026, PMID 41852258). In uno studio di registro scandinavo con 124.517 persone in trattamento con agonisti del recettore del GLP-1 il rischio di suicidio non era aumentato rispetto a un altro farmaco antidiabetico; il limite superiore dell’intervallo di confidenza corrispondeva al massimo a 0,16 decessi in più ogni 1.000 anni-persona (Ueda 2024, PMID 39226030). Negli studi SURMOUNT lo 0,6% sia con tirzepatide sia con placebo ha riferito pensieri suicidi (Wadden 2026, PMID 41537305). Anche negli adolescenti una meta-analisi non ha trovato un aumento di comportamenti suicidari o di depressione (Silva 2026, PMID 42115753).</w:t>
      </w:r>
    </w:p>
    <w:p>
      <w:pPr>
        <w:pStyle w:val="BodyText"/>
      </w:pPr>
      <w:r>
        <w:t xml:space="preserve">Resta un limite: le persone con gravi malattie psichiche erano escluse da molti studi. Per loro e per le persone con disturbi alimentari valgono considerazioni a parte (vedi capitolo «Interazioni e gruppi a rischio particolare»).</w:t>
      </w:r>
    </w:p>
    <w:p>
      <w:pPr>
        <w:pStyle w:val="BodyText"/>
      </w:pPr>
      <w:r>
        <w:t xml:space="preserve">Altri peptidi agiscono più direttamente sul cervello. Il riassunto delle caratteristiche del prodotto di setmelanotide contiene avvertenze su depressione e pensieri suicidi (capitolo Setmelanotide). Per Semax è descritta, in singole persone con cervello già danneggiato, un’alterazione dell’EEG di tipo crisi (capitolo Semax). Per la maggior parte dei «peptidi nootropi» del gruppo D semplicemente non esistono dati sistematici sugli effetti collaterali psichici.</w:t>
      </w:r>
    </w:p>
    <w:bookmarkEnd w:id="980"/>
    <w:bookmarkStart w:id="981" w:name="pelle-e-pigmento"/>
    <w:p>
      <w:pPr>
        <w:pStyle w:val="Heading3"/>
      </w:pPr>
      <w:r>
        <w:t xml:space="preserve">Pelle e pigmento</w:t>
      </w:r>
    </w:p>
    <w:p>
      <w:pPr>
        <w:pStyle w:val="FirstParagraph"/>
      </w:pPr>
      <w:r>
        <w:t xml:space="preserve">Le alterazioni cutanee più evidenti sono causate da peptidi che agiscono sul</w:t>
      </w:r>
      <w:r>
        <w:t xml:space="preserve"> </w:t>
      </w:r>
      <w:r>
        <w:rPr>
          <w:bCs/>
          <w:b/>
        </w:rPr>
        <w:t xml:space="preserve">recettore della melanocortina 1</w:t>
      </w:r>
      <w:r>
        <w:t xml:space="preserve"> </w:t>
      </w:r>
      <w:r>
        <w:t xml:space="preserve">delle cellule pigmentate. Con setmelanotide, che dovrebbe in realtà agire sul recettore della melanocortina 4 nel cervello, in una meta-analisi la pelle si è scurita nel 62% delle persone trattate (Sridharan 2026, PMID 39924461). In un’osservazione fino a 46 mesi si sono scuriti anche labbra e nei, i capelli rossi sono diventati castani; non si sono verificate alterazioni cutanee maligne (Kanti 2021, PMID 34058738). Bremelanotide, somministrato fino a 16 giorni consecutivi, ha causato in più di un terzo dei partecipanti macchie scure circoscritte (Clayton 2022, PMID 35147466).</w:t>
      </w:r>
    </w:p>
    <w:p>
      <w:pPr>
        <w:pStyle w:val="BodyText"/>
      </w:pPr>
      <w:r>
        <w:t xml:space="preserve">Con il Melanotan II non autorizzato si aggiungono nei di nuova comparsa, talvolta sospetti. Una revisione di tutti i casi pubblicati di nei a comparsa improvvisa, con 179 persone colpite, ha indicato il Melanotan tra i fattori scatenanti; il 16% di tutti i casi aveva almeno un neo istologicamente atipico (displastico) (Burian 2019, PMID 31119650). Se ne derivi un rischio maggiore di melanoma è trattato nel capitolo successivo.</w:t>
      </w:r>
    </w:p>
    <w:p>
      <w:pPr>
        <w:pStyle w:val="BodyText"/>
      </w:pPr>
      <w:r>
        <w:t xml:space="preserve">Per i farmaci GLP-1 sono in primo piano altri reperti cutanei. Una revisione sistematica indica le reazioni nel sito di iniezione come più frequenti con tirzepatide (2–7%) e le alterazioni della sensibilità cutanea (disestesia) soprattutto con semaglutide: alle dosi standard in circa il 5%, alle alte dosi per l’obesità fino al 20% (Gupta 2026, PMID 42930571). Con retatrutide in TRIUMPH-2 la disestesia si è verificata in modo dose-dipendente nel 4–7%, con placebo nell’1% (Bellido 2026, PMID 42810372). Le reazioni nel sito di iniezione e le allergie sono riassunte nel capitolo «Reazioni immunitarie e anticorpi».</w:t>
      </w:r>
    </w:p>
    <w:p>
      <w:pPr>
        <w:pStyle w:val="BodyText"/>
      </w:pPr>
      <w:r>
        <w:t xml:space="preserve">Un caso particolare è LL-37: dopo iniezioni in metastasi cutanee, in una paziente sono comparse numerose alterazioni cutanee simili a verruche, inizialmente scambiate per cancro, che sono regredite dopo la sospensione (Dolkar 2018, PMID 29665030). Sulle iniezioni di glutatione per schiarire la pelle le autorità hanno messo in guardia più volte (capitolo Glutatione).</w:t>
      </w:r>
    </w:p>
    <w:bookmarkEnd w:id="981"/>
    <w:bookmarkStart w:id="982" w:name="sistema-ormonale"/>
    <w:p>
      <w:pPr>
        <w:pStyle w:val="Heading3"/>
      </w:pPr>
      <w:r>
        <w:t xml:space="preserve">Sistema ormonale</w:t>
      </w:r>
    </w:p>
    <w:p>
      <w:pPr>
        <w:pStyle w:val="FirstParagraph"/>
      </w:pPr>
      <w:r>
        <w:t xml:space="preserve">Molti peptidi sono essi stessi ormoni o li imitano. Non sorprende quindi che intervengano in circuiti di regolazione che vanno oltre l’obiettivo vero e proprio.</w:t>
      </w:r>
    </w:p>
    <w:p>
      <w:pPr>
        <w:numPr>
          <w:ilvl w:val="0"/>
          <w:numId w:val="1338"/>
        </w:numPr>
        <w:pStyle w:val="Compact"/>
      </w:pPr>
      <w:r>
        <w:rPr>
          <w:bCs/>
          <w:b/>
        </w:rPr>
        <w:t xml:space="preserve">Ormoni dello stress e prolattina:</w:t>
      </w:r>
      <w:r>
        <w:t xml:space="preserve"> </w:t>
      </w:r>
      <w:r>
        <w:t xml:space="preserve">i mimetici della grelina GHRP-2, GHRP-6, hexarelin e macimorelina liberano, oltre all’ormone della crescita, anche ACTH e cortisolo, alcuni anche prolattina. Per il GHRP-2 questo effetto è così affidabile che è stato studiato come test per l’asse surrenalico (Arimura 2016, PMID 27020037). Che cosa provochi una stimolazione ripetuta per mesi non è stato studiato (capitoli GHRP-2, GHRP-6, Hexarelin).</w:t>
      </w:r>
    </w:p>
    <w:p>
      <w:pPr>
        <w:numPr>
          <w:ilvl w:val="0"/>
          <w:numId w:val="1338"/>
        </w:numPr>
        <w:pStyle w:val="Compact"/>
      </w:pPr>
      <w:r>
        <w:rPr>
          <w:bCs/>
          <w:b/>
        </w:rPr>
        <w:t xml:space="preserve">Soppressione invece di stimolazione:</w:t>
      </w:r>
      <w:r>
        <w:t xml:space="preserve"> </w:t>
      </w:r>
      <w:r>
        <w:t xml:space="preserve">gli ormoni che nel corpo vengono secreti a impulsi hanno spesso un effetto opposto se somministrati in modo continuo. Con l’analogo della kisspeptina TAK-448, in uomini sani il testosterone è sceso con un’infusione continua di 14 giorni fino ai livelli di castrazione (MacLean 2014, PMID 24762108). Lo stesso principio vale per la gonadorelina, se non viene somministrata con il ritmo giusto (capitoli Kisspeptina, Gonadorelina).</w:t>
      </w:r>
    </w:p>
    <w:p>
      <w:pPr>
        <w:numPr>
          <w:ilvl w:val="0"/>
          <w:numId w:val="1338"/>
        </w:numPr>
        <w:pStyle w:val="Compact"/>
      </w:pPr>
      <w:r>
        <w:rPr>
          <w:bCs/>
          <w:b/>
        </w:rPr>
        <w:t xml:space="preserve">Ingrossamento del seno negli uomini</w:t>
      </w:r>
      <w:r>
        <w:t xml:space="preserve"> </w:t>
      </w:r>
      <w:r>
        <w:t xml:space="preserve">è una conseguenza nota di un’aumentata azione dell’ormone della crescita (Liu 2007, PMID 17227934).</w:t>
      </w:r>
    </w:p>
    <w:p>
      <w:pPr>
        <w:numPr>
          <w:ilvl w:val="0"/>
          <w:numId w:val="1338"/>
        </w:numPr>
        <w:pStyle w:val="Compact"/>
      </w:pPr>
      <w:r>
        <w:rPr>
          <w:bCs/>
          <w:b/>
        </w:rPr>
        <w:t xml:space="preserve">Funzione sessuale:</w:t>
      </w:r>
      <w:r>
        <w:t xml:space="preserve"> </w:t>
      </w:r>
      <w:r>
        <w:t xml:space="preserve">gli agonisti della melanocortina possono provocare erezioni spontanee; con Melanotan II sono descritti casi di priapismo, un’erezione persistente e dolorosa (capitoli Melanotan II, Setmelanotide).</w:t>
      </w:r>
    </w:p>
    <w:bookmarkEnd w:id="982"/>
    <w:bookmarkStart w:id="983" w:name="glicemia"/>
    <w:p>
      <w:pPr>
        <w:pStyle w:val="Heading3"/>
      </w:pPr>
      <w:r>
        <w:t xml:space="preserve">Glicemia</w:t>
      </w:r>
    </w:p>
    <w:p>
      <w:pPr>
        <w:pStyle w:val="FirstParagraph"/>
      </w:pPr>
      <w:r>
        <w:t xml:space="preserve">I peptidi possono spostare la glicemia in entrambe le direzioni – ed entrambe le direzioni sono rilevanti.</w:t>
      </w:r>
    </w:p>
    <w:p>
      <w:pPr>
        <w:pStyle w:val="BodyText"/>
      </w:pPr>
      <w:r>
        <w:rPr>
          <w:bCs/>
          <w:b/>
        </w:rPr>
        <w:t xml:space="preserve">Ipoglicemia.</w:t>
      </w:r>
      <w:r>
        <w:t xml:space="preserve"> </w:t>
      </w:r>
      <w:r>
        <w:t xml:space="preserve">Il rischio maggiore lo ha la mecasermina, cioè l’IGF-1 come farmaco: in uno studio a lungo termine con 76 bambini l’ipoglicemia era, con il 49%, l’effetto collaterale più frequente (Chernausek 2007, PMID 17192294). Per il preparato di laboratorio IGF-1 LR3 un rischio simile o maggiore è biologicamente plausibile, ma non è mai stato misurato (capitolo IGF-1 LR3). La pramlintide potenzia l’effetto dell’insulina iniettata contemporaneamente; in uno studio le ipoglicemie gravi erano più frequenti che con placebo (0,57 contro 0,30 eventi per anno-paziente) (Edelman 2006, PMID 17003291). I farmaci GLP-1 da soli difficilmente abbassano la glicemia fino a livelli pericolosi, perché la loro azione è legata alla glicemia. In combinazione con sulfoniluree o insulina il rischio però aumenta: con exenatide in aggiunta a metformina e a una sulfonilurea si sono verificate ipoglicemie da lievi a moderate rispettivamente nel 28% e nel 19%, con placebo nel 13% (Kendall 2005, PMID 15855571). Maggiori dettagli nel capitolo «Interazioni e gruppi a rischio particolare».</w:t>
      </w:r>
    </w:p>
    <w:p>
      <w:pPr>
        <w:pStyle w:val="BodyText"/>
      </w:pPr>
      <w:r>
        <w:t xml:space="preserve">Un’ipoglicemia grave dopo una presunta «iniezione dimagrante» in una persona senza diabete è un segnale d’allarme di una contraffazione con insulina. I casi sono descritti nella Parte I, nel capitolo «Il mercato grigio».</w:t>
      </w:r>
    </w:p>
    <w:p>
      <w:pPr>
        <w:pStyle w:val="BodyText"/>
      </w:pPr>
      <w:r>
        <w:rPr>
          <w:bCs/>
          <w:b/>
        </w:rPr>
        <w:t xml:space="preserve">Glicemia più alta.</w:t>
      </w:r>
      <w:r>
        <w:t xml:space="preserve"> </w:t>
      </w:r>
      <w:r>
        <w:t xml:space="preserve">L’ormone della crescita contrasta l’insulina. Con ibutamoren la glicemia a digiuno in anziani sani è aumentata in media di 0,3 mmol/l, il peso corporeo di 2,7 kg contro 0,8 kg con placebo (Nass 2008, PMID 18981485). Nella revisione sull’ormone della crescita negli anziani si sono verificati un po’ più spesso un nuovo diabete e un’alterata glicemia a digiuno (Liu 2007, PMID 17227934). Con tesamorelina la glicemia a digiuno è aumentata temporaneamente nelle prime settimane (capitolo Tesamorelina). Per le persone con diabete o prediabete l’asse dell’ormone della crescita è quindi particolarmente delicato.</w:t>
      </w:r>
    </w:p>
    <w:bookmarkEnd w:id="983"/>
    <w:bookmarkStart w:id="984" w:name="che-cosa-emerge-dal-confronto"/>
    <w:p>
      <w:pPr>
        <w:pStyle w:val="Heading3"/>
      </w:pPr>
      <w:r>
        <w:t xml:space="preserve">Che cosa emerge dal confronto</w:t>
      </w:r>
    </w:p>
    <w:p>
      <w:pPr>
        <w:pStyle w:val="FirstParagraph"/>
      </w:pPr>
      <w:r>
        <w:t xml:space="preserve">Trasversalmente a tutti gli apparati emergono tre schemi.</w:t>
      </w:r>
    </w:p>
    <w:p>
      <w:pPr>
        <w:pStyle w:val="BodyText"/>
      </w:pPr>
      <w:r>
        <w:t xml:space="preserve">Primo: i peptidi meglio studiati – i farmaci GLP-1 autorizzati – hanno gli effetti collaterali meglio conosciuti. Non perché siano particolarmente pericolosi, ma perché centinaia di migliaia di persone sono state osservate in studi e registri. I disturbi frequenti riguardano l’apparato gastrointestinale e sono per lo più transitori; rischi più seri come i calcoli biliari sono documentati, ma rari in numeri assoluti; segnali come la NAION sono molto rari e vengono ulteriormente studiati.</w:t>
      </w:r>
    </w:p>
    <w:p>
      <w:pPr>
        <w:pStyle w:val="BodyText"/>
      </w:pPr>
      <w:r>
        <w:t xml:space="preserve">Secondo: i peptidi dell’asse dell’ormone della crescita condividono un profilo comune di ritenzione idrica, glicemia più alta e aumento degli ormoni dello stress. Per un uso di mesi o anni in persone sane non esistono praticamente dati.</w:t>
      </w:r>
    </w:p>
    <w:p>
      <w:pPr>
        <w:pStyle w:val="BodyText"/>
      </w:pPr>
      <w:r>
        <w:t xml:space="preserve">Terzo: per la maggior parte dei peptidi dei gruppi B e D i rischi per gli organi non possono affatto essere descritti, perché nessuno li ha cercati in modo sistematico. Lì il rischio pratico maggiore non risiede nel principio attivo, ma nel prodotto – maggiori dettagli nel capitolo «Prodotti del mercato grigio».</w:t>
      </w:r>
    </w:p>
    <w:bookmarkEnd w:id="984"/>
    <w:bookmarkEnd w:id="985"/>
    <w:bookmarkStart w:id="994" w:name="rischio-oncologico-e-segnali-di-crescita"/>
    <w:p>
      <w:pPr>
        <w:pStyle w:val="Heading2"/>
      </w:pPr>
      <w:r>
        <w:t xml:space="preserve">Rischio oncologico e segnali di crescita</w:t>
      </w:r>
    </w:p>
    <w:p>
      <w:pPr>
        <w:pStyle w:val="FirstParagraph"/>
      </w:pPr>
      <w:r>
        <w:t xml:space="preserve">Molti peptidi vengono pubblicizzati proprio perché dovrebbero stimolare la crescita: di muscoli, tendini, vasi sanguigni, cellule nervose o capelli. La crescita però non fa distinzioni. Le vie di segnalazione attraverso cui i tessuti guariscono e si rinnovano sono usate anche dalle cellule tumorali. Per questo, per quasi ogni peptide «di guarigione», «anti-aging» o legato all’ormone della crescita, emerge la stessa domanda: può favorire il cancro?</w:t>
      </w:r>
    </w:p>
    <w:p>
      <w:pPr>
        <w:pStyle w:val="BodyText"/>
      </w:pPr>
      <w:r>
        <w:t xml:space="preserve">Questo capitolo riassume ciò che si sa in merito – separato secondo i quattro meccanismi che ricorrono di continuo nella Parte II: l’asse ormone della crescita-IGF-1, la formazione di nuovi vasi sanguigni, la stimolazione delle cellule pigmentate e l’azione dei farmaci GLP-1 su tiroide e pancreas. Alla fine c’è una panoramica delle più recenti grandi analisi su farmaci GLP-1 e cancro.</w:t>
      </w:r>
    </w:p>
    <w:bookmarkStart w:id="986" w:name="come-inquadrare-la-questione-del-cancro"/>
    <w:p>
      <w:pPr>
        <w:pStyle w:val="Heading3"/>
      </w:pPr>
      <w:r>
        <w:t xml:space="preserve">Come inquadrare la questione del cancro</w:t>
      </w:r>
    </w:p>
    <w:p>
      <w:pPr>
        <w:pStyle w:val="FirstParagraph"/>
      </w:pPr>
      <w:r>
        <w:t xml:space="preserve">Quattro punti aiutano a leggere i dati seguenti.</w:t>
      </w:r>
    </w:p>
    <w:p>
      <w:pPr>
        <w:pStyle w:val="BodyText"/>
      </w:pPr>
      <w:r>
        <w:rPr>
          <w:bCs/>
          <w:b/>
        </w:rPr>
        <w:t xml:space="preserve">Provocare o favorire.</w:t>
      </w:r>
      <w:r>
        <w:t xml:space="preserve"> </w:t>
      </w:r>
      <w:r>
        <w:t xml:space="preserve">Una sostanza può provocare il cancro danneggiando il patrimonio genetico. Per i peptidi si discute più spesso un’altra possibilità: un segnale di crescita potrebbe far crescere più rapidamente un tumore già presente, ma non ancora scoperto – come un fertilizzante con una pianta che è già nel terreno. Per questa seconda possibilità basta che la sostanza stimoli la divisione cellulare, la sopravvivenza cellulare o la formazione di nuovi vasi.</w:t>
      </w:r>
    </w:p>
    <w:p>
      <w:pPr>
        <w:pStyle w:val="BodyText"/>
      </w:pPr>
      <w:r>
        <w:rPr>
          <w:bCs/>
          <w:b/>
        </w:rPr>
        <w:t xml:space="preserve">Tempo.</w:t>
      </w:r>
      <w:r>
        <w:t xml:space="preserve"> </w:t>
      </w:r>
      <w:r>
        <w:t xml:space="preserve">Il cancro si sviluppa nell’arco di anni o decenni. La maggior parte degli studi sui peptidi dura da settimane a pochi anni. Anche i grandi studi registrativi riescono a malapena a cogliere un rischio che si sviluppa lentamente. Per questo servono registri e studi osservazionali su lunghi periodi – che a loro volta sono soggetti a distorsioni.</w:t>
      </w:r>
    </w:p>
    <w:p>
      <w:pPr>
        <w:pStyle w:val="BodyText"/>
      </w:pPr>
      <w:r>
        <w:rPr>
          <w:bCs/>
          <w:b/>
        </w:rPr>
        <w:t xml:space="preserve">Distorsione diagnostica.</w:t>
      </w:r>
      <w:r>
        <w:t xml:space="preserve"> </w:t>
      </w:r>
      <w:r>
        <w:t xml:space="preserve">Chi viene esaminato più spesso a causa di un farmaco riceve anche più spesso diagnosi di tumori. Un esempio: una meta-analisi ha trovato negli studi GLP-1 più brevi un numero leggermente maggiore di diagnosi di cancro del colon e ha ipotizzato come spiegazione che i disturbi gastrointestinali portassero a più colonscopie (Silverii 2025, PMID 40437949).</w:t>
      </w:r>
    </w:p>
    <w:p>
      <w:pPr>
        <w:pStyle w:val="BodyText"/>
      </w:pPr>
      <w:r>
        <w:rPr>
          <w:bCs/>
          <w:b/>
        </w:rPr>
        <w:t xml:space="preserve">La direzione opposta.</w:t>
      </w:r>
      <w:r>
        <w:t xml:space="preserve"> </w:t>
      </w:r>
      <w:r>
        <w:t xml:space="preserve">Il sovrappeso aumenta il rischio di almeno 13 tipi di cancro. Un farmaco che riduce fortemente il peso potrebbe quindi abbassare il rischio oncologico complessivo, anche se per un singolo organo c’è un piccolo segnale. Le due cose si possono considerare solo separatamente.</w:t>
      </w:r>
    </w:p>
    <w:bookmarkEnd w:id="986"/>
    <w:bookmarkStart w:id="987" w:name="ormone-della-crescita-e-igf-1"/>
    <w:p>
      <w:pPr>
        <w:pStyle w:val="Heading3"/>
      </w:pPr>
      <w:r>
        <w:t xml:space="preserve">Ormone della crescita e IGF-1</w:t>
      </w:r>
    </w:p>
    <w:p>
      <w:pPr>
        <w:pStyle w:val="FirstParagraph"/>
      </w:pPr>
      <w:r>
        <w:t xml:space="preserve">L’ormone della crescita agisce in gran parte attraverso l’IGF-1, il fattore di crescita insulino-simile 1. L’IGF-1 stimola le cellule a dividersi e le protegge dalla morte cellulare programmata. Tutti i peptidi del gruppo C – sermorelina, tesamorelina, CJC-1295, ipamorelina, la famiglia GHRP, mecasermina e IGF-1 LR3 – nonché ibutamoren, discusso per confronto, aumentano l’IGF-1 direttamente o indirettamente. Le prove sulla questione del cancro provengono da cinque fonti.</w:t>
      </w:r>
    </w:p>
    <w:p>
      <w:pPr>
        <w:pStyle w:val="BodyText"/>
      </w:pPr>
      <w:r>
        <w:rPr>
          <w:bCs/>
          <w:b/>
        </w:rPr>
        <w:t xml:space="preserve">Livelli di IGF-1 naturalmente più alti.</w:t>
      </w:r>
      <w:r>
        <w:t xml:space="preserve"> </w:t>
      </w:r>
      <w:r>
        <w:t xml:space="preserve">Una meta-analisi di 21 studi ha trovato nelle persone con valori elevati di IGF-1 un rischio più alto di cancro alla prostata (odds ratio 1,49 confrontando un valore di IGF-1 al 75° con uno al 25° percentile) e di cancro al seno prima della menopausa (1,65); gli autori hanno definito espressamente le associazioni «moderate» (Renehan 2004, PMID 15110491). Nella UK Biobank, con 206.263 donne, il rischio di cancro al seno aumentava dell’11% per ogni 5 nmol/l in più di IGF-1 (Murphy 2020, PMID 32169310); per il cancro del colon lo stesso gruppo ha trovato, in quasi 400.000 partecipanti, un’associazione simile (Murphy 2020, PMID 31884074).</w:t>
      </w:r>
    </w:p>
    <w:p>
      <w:pPr>
        <w:pStyle w:val="BodyText"/>
      </w:pPr>
      <w:r>
        <w:rPr>
          <w:bCs/>
          <w:b/>
        </w:rPr>
        <w:t xml:space="preserve">Analisi genetiche.</w:t>
      </w:r>
      <w:r>
        <w:t xml:space="preserve"> </w:t>
      </w:r>
      <w:r>
        <w:t xml:space="preserve">La cosiddetta randomizzazione mendeliana usa come esperimento naturale varianti genetiche che aumentano leggermente il livello di IGF-1 per tutta la vita. Anche qui un IGF-1 geneticamente più alto era associato a un po’ più di cancro al seno (odds ratio 1,05 per 5 nmol/l) (Murphy 2020, PMID 32169310). Ciò depone a favore del fatto che l’associazione non dipenda solo da circostanze concomitanti.</w:t>
      </w:r>
    </w:p>
    <w:p>
      <w:pPr>
        <w:pStyle w:val="BodyText"/>
      </w:pPr>
      <w:r>
        <w:rPr>
          <w:bCs/>
          <w:b/>
        </w:rPr>
        <w:t xml:space="preserve">Troppo ormone della crescita a causa di una malattia.</w:t>
      </w:r>
      <w:r>
        <w:t xml:space="preserve"> </w:t>
      </w:r>
      <w:r>
        <w:t xml:space="preserve">Nell’acromegalia, una sovrapproduzione di ormone della crescita dovuta a un tumore dell’ipofisi, una meta-analisi di 23 studi ha evidenziato un tasso di cancro aumentato di circa la metà (rapporto standardizzato 1,5), con valori particolarmente alti per il cancro del colon e della tiroide. Gli studi più piccoli e più vecchi hanno però mostrato valori più alti di quelli grandi, il che indica distorsioni di selezione (Dal 2018, PMID 29590449).</w:t>
      </w:r>
    </w:p>
    <w:p>
      <w:pPr>
        <w:pStyle w:val="BodyText"/>
      </w:pPr>
      <w:r>
        <w:rPr>
          <w:bCs/>
          <w:b/>
        </w:rPr>
        <w:t xml:space="preserve">Troppo poco IGF-1 a causa di una malattia.</w:t>
      </w:r>
      <w:r>
        <w:t xml:space="preserve"> </w:t>
      </w:r>
      <w:r>
        <w:t xml:space="preserve">Nelle persone con sindrome di Laron, che a causa di un difetto genetico producono pochissimo IGF-1, in Ecuador in 22 anni di osservazione si è verificato un solo caso di cancro, non mortale; tra i parenti non affetti la quota era del 17% (Guevara-Aguirre 2011, PMID 21325617).</w:t>
      </w:r>
    </w:p>
    <w:p>
      <w:pPr>
        <w:pStyle w:val="BodyText"/>
      </w:pPr>
      <w:r>
        <w:rPr>
          <w:bCs/>
          <w:b/>
        </w:rPr>
        <w:t xml:space="preserve">Ormone della crescita come farmaco.</w:t>
      </w:r>
      <w:r>
        <w:t xml:space="preserve"> </w:t>
      </w:r>
      <w:r>
        <w:t xml:space="preserve">In 23.984 bambini trattati con ormone della crescita in otto paesi europei non è emerso, in assenza di gravi malattie pregresse, un rischio oncologico chiaramente aumentato. Spiccavano singoli tipi di cancro (ossa, vescica) e un aumento della mortalità per cancro con dosi giornaliere più alte nei bambini che avevano già avuto un cancro (Swerdlow 2017, PMID 28187225). In 8.418 adulti trattati con ipopituitarismo il rischio oncologico non era aumentato; il tasso di cancro era persino inferiore alla media della popolazione (Child 2015, PMID 25810462).</w:t>
      </w:r>
    </w:p>
    <w:p>
      <w:pPr>
        <w:pStyle w:val="BodyText"/>
      </w:pPr>
      <w:r>
        <w:t xml:space="preserve">Che cosa se ne deduce? Chi ha una vera carenza e riceve la sostituzione di un ormone mancante non ha, secondo le conoscenze attuali, un rischio oncologico nettamente aumentato. Chi invece innalza per anni un livello normale entra nell’ambito in cui gli studi osservazionali e genetici mostrano un rischio moderatamente più alto. Proprio per questa situazione – adulti sani che usano secretagoghi per migliorare le prestazioni o per «ringiovanire» – non esistono studi a lungo termine. Ibutamoren, per esempio, ha portato l’IGF-1 in anziani sani al livello dei giovani adulti (Nass 2008, PMID 18981485); non è stato riportato alcun segnale oncologico, ma lo studio non era né abbastanza grande né abbastanza lungo per rilevarlo.</w:t>
      </w:r>
    </w:p>
    <w:p>
      <w:pPr>
        <w:pStyle w:val="BodyText"/>
      </w:pPr>
      <w:r>
        <w:t xml:space="preserve">Due casi particolari meritano una menzione. Per la mecasermina autorizzata, dopo l’immissione in commercio, sono state segnalate neoplasie benigne e maligne in bambini trattati; i riassunti delle caratteristiche del prodotto contengono le relative avvertenze, e in caso di cancro attivo non va usata (aggiornato al 2026, da verificare; capitolo Mecasermina). Il preparato di laboratorio IGF-1 LR3 è stato modificato in modo da non legarsi più alle proteine di legame nel sangue, che normalmente fanno da tampone all’IGF-1. Agisce quindi più intensamente e più a lungo sul recettore – in teoria proprio nella direzione sfavorevole. Sull’uomo ciò non è mai stato studiato (capitolo IGF-1 LR3).</w:t>
      </w:r>
    </w:p>
    <w:bookmarkEnd w:id="987"/>
    <w:bookmarkStart w:id="988" w:name="Xdb14b46b059381788c2a2bf98e00292532c404b"/>
    <w:p>
      <w:pPr>
        <w:pStyle w:val="Heading3"/>
      </w:pPr>
      <w:r>
        <w:t xml:space="preserve">Formazione di nuovi vasi e altri segnali di crescita</w:t>
      </w:r>
    </w:p>
    <w:p>
      <w:pPr>
        <w:pStyle w:val="FirstParagraph"/>
      </w:pPr>
      <w:r>
        <w:t xml:space="preserve">Un tumore che vuole diventare più grande di pochi millimetri ha bisogno di vasi sanguigni propri. Questo processo si chiama angiogenesi. Alcuni farmaci antitumorali autorizzati agiscono proprio bloccando la principale via di segnalazione della formazione di nuovi vasi, il sistema VEGF. Al contrario, le sostanze che favoriscono la formazione di nuovi vasi sono sospettate di favorire i tumori.</w:t>
      </w:r>
    </w:p>
    <w:p>
      <w:pPr>
        <w:pStyle w:val="BodyText"/>
      </w:pPr>
      <w:r>
        <w:rPr>
          <w:bCs/>
          <w:b/>
        </w:rPr>
        <w:t xml:space="preserve">BPC-157.</w:t>
      </w:r>
      <w:r>
        <w:t xml:space="preserve"> </w:t>
      </w:r>
      <w:r>
        <w:t xml:space="preserve">In esperimenti di laboratorio BPC-157 ha aumentato la densità dei vasi nelle membrane dell’uovo di gallina, ha accelerato nei ratti l’irrorazione di una zampa poco vascolarizzata e ha aumentato in cellule vascolari umane la quantità del recettore 2 del VEGF (Hsieh 2017, PMID 27847966). Il gruppo di lavoro di Zagabria, da cui proviene la maggior parte degli studi su BPC-157, replica: BPC-157 regolerebbe la formazione dei vasi invece di stimolarla alla cieca, e in esperimenti su animali e cellule avrebbe mostrato persino effetti antitumorali (Sikiric 2025, PMID 40573323). Studi a lungo termine sulla cancerogenesi, come quelli prescritti per i farmaci, non sono stati pubblicati per BPC-157. La questione è aperta. Vedi capitolo BPC-157.</w:t>
      </w:r>
    </w:p>
    <w:p>
      <w:pPr>
        <w:pStyle w:val="BodyText"/>
      </w:pPr>
      <w:r>
        <w:rPr>
          <w:bCs/>
          <w:b/>
        </w:rPr>
        <w:t xml:space="preserve">TB-500 e timosina beta-4.</w:t>
      </w:r>
      <w:r>
        <w:t xml:space="preserve"> </w:t>
      </w:r>
      <w:r>
        <w:t xml:space="preserve">La timosina beta-4 favorisce la migrazione cellulare e la formazione di nuovi vasi. In campioni di tessuto di 138 persone con cancro della vescica, una forte produzione di timosina beta-4 era associata a stadio avanzato, coinvolgimento linfonodale e sopravvivenza più breve (Wang 2016, PMID 27596300). In colture di cellule di cancro al seno l’aggiunta di timosina beta-4 ha aumentato il numero di cellule (Larsson 2007, PMID 17495241). Ciò non dimostra che il TB-500 somministrato dall’esterno favorisca il cancro, ma è un motivo di cautela per persone con malattia oncologica o con un rischio oncologico elevato. Vedi capitolo TB-500.</w:t>
      </w:r>
    </w:p>
    <w:p>
      <w:pPr>
        <w:pStyle w:val="BodyText"/>
      </w:pPr>
      <w:r>
        <w:rPr>
          <w:bCs/>
          <w:b/>
        </w:rPr>
        <w:t xml:space="preserve">Altri peptidi con segnali di crescita.</w:t>
      </w:r>
      <w:r>
        <w:t xml:space="preserve"> </w:t>
      </w:r>
      <w:r>
        <w:t xml:space="preserve">Per diversi peptidi della Parte II emergono domande simili dal meccanismo d’azione o da dati di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Meccanismo</w:t>
            </w:r>
          </w:p>
        </w:tc>
        <w:tc>
          <w:tcPr/>
          <w:p>
            <w:pPr>
              <w:pStyle w:val="Compact"/>
              <w:jc w:val="left"/>
            </w:pPr>
            <w:r>
              <w:t xml:space="preserve">Tipo di indizio</w:t>
            </w:r>
          </w:p>
        </w:tc>
        <w:tc>
          <w:tcPr/>
          <w:p>
            <w:pPr>
              <w:pStyle w:val="Compact"/>
              <w:jc w:val="left"/>
            </w:pPr>
            <w:r>
              <w:t xml:space="preserve">Capitolo</w:t>
            </w:r>
          </w:p>
        </w:tc>
      </w:tr>
      <w:tr>
        <w:tc>
          <w:tcPr/>
          <w:p>
            <w:pPr>
              <w:pStyle w:val="Compact"/>
              <w:jc w:val="left"/>
            </w:pPr>
            <w:r>
              <w:t xml:space="preserve">Dihexa</w:t>
            </w:r>
          </w:p>
        </w:tc>
        <w:tc>
          <w:tcPr/>
          <w:p>
            <w:pPr>
              <w:pStyle w:val="Compact"/>
              <w:jc w:val="left"/>
            </w:pPr>
            <w:r>
              <w:t xml:space="preserve">potenzia il segnale c-Met, un noto promotore del cancro</w:t>
            </w:r>
          </w:p>
        </w:tc>
        <w:tc>
          <w:tcPr/>
          <w:p>
            <w:pPr>
              <w:pStyle w:val="Compact"/>
              <w:jc w:val="left"/>
            </w:pPr>
            <w:r>
              <w:t xml:space="preserve">solo teorico, nessun dato sull’uomo</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dovrebbe attivare la telomerasi</w:t>
            </w:r>
          </w:p>
        </w:tc>
        <w:tc>
          <w:tcPr/>
          <w:p>
            <w:pPr>
              <w:pStyle w:val="Compact"/>
              <w:jc w:val="left"/>
            </w:pPr>
            <w:r>
              <w:t xml:space="preserve">coltura cellulare: allungati anche i telomeri di cellule di cancro al seno</w:t>
            </w:r>
          </w:p>
        </w:tc>
        <w:tc>
          <w:tcPr/>
          <w:p>
            <w:pPr>
              <w:pStyle w:val="Compact"/>
              <w:jc w:val="left"/>
            </w:pPr>
            <w:r>
              <w:t xml:space="preserve">Epitalon</w:t>
            </w:r>
          </w:p>
        </w:tc>
      </w:tr>
      <w:tr>
        <w:tc>
          <w:tcPr/>
          <w:p>
            <w:pPr>
              <w:pStyle w:val="Compact"/>
              <w:jc w:val="left"/>
            </w:pPr>
            <w:r>
              <w:t xml:space="preserve">Umanina</w:t>
            </w:r>
          </w:p>
        </w:tc>
        <w:tc>
          <w:tcPr/>
          <w:p>
            <w:pPr>
              <w:pStyle w:val="Compact"/>
              <w:jc w:val="left"/>
            </w:pPr>
            <w:r>
              <w:t xml:space="preserve">protegge le cellule dalla morte cellulare</w:t>
            </w:r>
          </w:p>
        </w:tc>
        <w:tc>
          <w:tcPr/>
          <w:p>
            <w:pPr>
              <w:pStyle w:val="Compact"/>
              <w:jc w:val="left"/>
            </w:pPr>
            <w:r>
              <w:t xml:space="preserve">topi: crescita tumorale più rapida, più metastasi</w:t>
            </w:r>
          </w:p>
        </w:tc>
        <w:tc>
          <w:tcPr/>
          <w:p>
            <w:pPr>
              <w:pStyle w:val="Compact"/>
              <w:jc w:val="left"/>
            </w:pPr>
            <w:r>
              <w:t xml:space="preserve">Umanina</w:t>
            </w:r>
          </w:p>
        </w:tc>
      </w:tr>
      <w:tr>
        <w:tc>
          <w:tcPr/>
          <w:p>
            <w:pPr>
              <w:pStyle w:val="Compact"/>
              <w:jc w:val="left"/>
            </w:pPr>
            <w:r>
              <w:t xml:space="preserve">LL-37</w:t>
            </w:r>
          </w:p>
        </w:tc>
        <w:tc>
          <w:tcPr/>
          <w:p>
            <w:pPr>
              <w:pStyle w:val="Compact"/>
              <w:jc w:val="left"/>
            </w:pPr>
            <w:r>
              <w:t xml:space="preserve">segnali infiammatori e di crescita</w:t>
            </w:r>
          </w:p>
        </w:tc>
        <w:tc>
          <w:tcPr/>
          <w:p>
            <w:pPr>
              <w:pStyle w:val="Compact"/>
              <w:jc w:val="left"/>
            </w:pPr>
            <w:r>
              <w:t xml:space="preserve">laboratorio: a seconda del tipo di cancro favorente o inibente</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formazione di nuovi vasi nell’esperimento animale</w:t>
            </w:r>
          </w:p>
        </w:tc>
        <w:tc>
          <w:tcPr/>
          <w:p>
            <w:pPr>
              <w:pStyle w:val="Compact"/>
              <w:jc w:val="left"/>
            </w:pPr>
            <w:r>
              <w:t xml:space="preserve">solo teorico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agisce sul recettore dell’EPO</w:t>
            </w:r>
          </w:p>
        </w:tc>
        <w:tc>
          <w:tcPr/>
          <w:p>
            <w:pPr>
              <w:pStyle w:val="Compact"/>
              <w:jc w:val="left"/>
            </w:pPr>
            <w:r>
              <w:t xml:space="preserve">teorico, in analogia all’EPO</w:t>
            </w:r>
          </w:p>
        </w:tc>
        <w:tc>
          <w:tcPr/>
          <w:p>
            <w:pPr>
              <w:pStyle w:val="Compact"/>
              <w:jc w:val="left"/>
            </w:pPr>
            <w:r>
              <w:t xml:space="preserve">ARA-290</w:t>
            </w:r>
          </w:p>
        </w:tc>
      </w:tr>
    </w:tbl>
    <w:p>
      <w:pPr>
        <w:pStyle w:val="BodyText"/>
      </w:pPr>
      <w:r>
        <w:t xml:space="preserve">Alcuni di questi indizi sono concreti. In topi con cancro al seno triplo negativo, l’umanina somministrata ha ridotto la morte cellulare nel tumore, ha indebolito la chemioterapia e ha accelerato la crescita tumorale e le metastasi polmonari (Moreno Ayala 2020, PMID 32444831). In colture cellulari Epitalon ha allungato i telomeri di cellule sane tramite l’enzima telomerasi, nelle cellule di cancro al seno attraverso un’altra via (Al-Dulaimi 2025, PMID 40908429); in uno studio sui topi, invece, il numero di tumori spontanei non è aumentato (Anisimov 2003, PMID 14501183). Per LL-37 una revisione descrive effetti favorenti sui tumori di ovaio, polmone, seno, prostata, pancreas e pelle, ma inibenti sul cancro del colon e dello stomaco (Chen 2018, PMID 29843147). Per Dihexa è descritto il legame con il sistema c-Met (Wright 2015, PMID 25649658); non esistono indagini sulla cancerogenesi.</w:t>
      </w:r>
    </w:p>
    <w:p>
      <w:pPr>
        <w:pStyle w:val="BodyText"/>
      </w:pPr>
      <w:r>
        <w:t xml:space="preserve">Tutti questi reperti provengono da esperimenti sugli animali, colture cellulari o dal meccanismo d’azione. Nessuno dimostra un rischio oncologico nell’uomo. Mostrano però che «naturale», «endogeno» o «rigenerativo» non significa automaticamente «innocuo» – e che per nessuna di queste sostanze esistono i dati a lungo termine con cui si potrebbe rispondere alla domanda.</w:t>
      </w:r>
    </w:p>
    <w:bookmarkEnd w:id="988"/>
    <w:bookmarkStart w:id="989" w:name="Xb9e200d8f46ebc995b514c2148102cd9cb2a87d"/>
    <w:p>
      <w:pPr>
        <w:pStyle w:val="Heading3"/>
      </w:pPr>
      <w:r>
        <w:t xml:space="preserve">Cellule pigmentate: Melanotan, setmelanotide e afamelanotide</w:t>
      </w:r>
    </w:p>
    <w:p>
      <w:pPr>
        <w:pStyle w:val="FirstParagraph"/>
      </w:pPr>
      <w:r>
        <w:t xml:space="preserve">I peptidi della melanocortina stimolano le cellule pigmentate (melanociti) della pelle. Per l’afamelanotide è l’effetto desiderato, per setmelanotide e bremelanotide un effetto collaterale e per il Melanotan II il vero motivo di vendita. Poiché il melanoma ha origine dalle cellule pigmentate, la domanda sul cancro della pelle è ovvia.</w:t>
      </w:r>
    </w:p>
    <w:p>
      <w:pPr>
        <w:pStyle w:val="BodyText"/>
      </w:pPr>
      <w:r>
        <w:t xml:space="preserve">Per il</w:t>
      </w:r>
      <w:r>
        <w:t xml:space="preserve"> </w:t>
      </w:r>
      <w:r>
        <w:rPr>
          <w:bCs/>
          <w:b/>
        </w:rPr>
        <w:t xml:space="preserve">Melanotan II</w:t>
      </w:r>
      <w:r>
        <w:t xml:space="preserve"> </w:t>
      </w:r>
      <w:r>
        <w:t xml:space="preserve">non autorizzato esistono diversi casi clinici di melanomi scoperti durante o poco dopo l’uso. Una revisione ha contato quattro casi in cui i melanomi erano originati da nei esistenti, e sottolinea al contempo che manca una prova conclusiva di un nesso (Habbema 2017, PMID 28266027). Tra 179 casi pubblicati di nei a comparsa improvvisa, una parte dei quali attribuita al Melanotan, cinque erano associati a un melanoma (Burian 2019, PMID 31119650). L’interpretazione è difficile: molte delle persone colpite usavano contemporaneamente lettini solari o si esponevano intensamente al sole, il che aumenta il rischio di melanoma in modo indipendente. E i casi clinici non possono fornire una frequenza. Vedi capitolo Melanotan II.</w:t>
      </w:r>
    </w:p>
    <w:p>
      <w:pPr>
        <w:pStyle w:val="BodyText"/>
      </w:pPr>
      <w:r>
        <w:t xml:space="preserve">Per l’</w:t>
      </w:r>
      <w:r>
        <w:rPr>
          <w:bCs/>
          <w:b/>
        </w:rPr>
        <w:t xml:space="preserve">afamelanotide</w:t>
      </w:r>
      <w:r>
        <w:t xml:space="preserve"> </w:t>
      </w:r>
      <w:r>
        <w:t xml:space="preserve">autorizzato esistono dati più sistematici. In uno studio con 15 persone trattate e 103 nei sono emerse alla dermatoscopia alterazioni transitorie, regredite dopo un anno; non sono stati trovati indizi di malignità né nuovi nei (Arisi 2021, PMID 33721252). Con</w:t>
      </w:r>
      <w:r>
        <w:t xml:space="preserve"> </w:t>
      </w:r>
      <w:r>
        <w:rPr>
          <w:bCs/>
          <w:b/>
        </w:rPr>
        <w:t xml:space="preserve">setmelanotide</w:t>
      </w:r>
      <w:r>
        <w:t xml:space="preserve">, in un’osservazione fino a 46 mesi, non si sono verificate alterazioni cutanee maligne (Kanti 2021, PMID 34058738). Questi dati sono rassicuranti, ma piccoli e brevi rispetto al tempo di sviluppo di un melanoma. I riassunti delle caratteristiche del prodotto prevedono controlli cutanei regolari. Non sono trasferibili al Melanotan II: sostanza diversa, prodotti non controllati, spesso in combinazione con raggi UV.</w:t>
      </w:r>
    </w:p>
    <w:bookmarkEnd w:id="989"/>
    <w:bookmarkStart w:id="990" w:name="glp-1-e-le-cellule-c-della-tiroide"/>
    <w:p>
      <w:pPr>
        <w:pStyle w:val="Heading3"/>
      </w:pPr>
      <w:r>
        <w:t xml:space="preserve">GLP-1 e le cellule C della tiroide</w:t>
      </w:r>
    </w:p>
    <w:p>
      <w:pPr>
        <w:pStyle w:val="FirstParagraph"/>
      </w:pPr>
      <w:r>
        <w:t xml:space="preserve">In ratti e topi gli agonisti del recettore del GLP-1 hanno causato, in esperimenti a lungo termine, iperplasie e tumori delle cellule C della tiroide. Il meccanismo è ben compreso: le cellule C dei roditori portano il recettore del GLP-1; la sua attivazione aumenta la secrezione di calcitonina e la divisione cellulare. Nell’uomo e nelle scimmie il recettore sulle cellule C è molto più raro. Scimmie che per 20 mesi hanno ricevuto liraglutide a concentrazioni oltre 60 volte superiori a quelle dell’uomo non hanno sviluppato iperplasia delle cellule C (Bjerre Knudsen 2010, PMID 20203154).</w:t>
      </w:r>
    </w:p>
    <w:p>
      <w:pPr>
        <w:pStyle w:val="BodyText"/>
      </w:pPr>
      <w:r>
        <w:t xml:space="preserve">Un effetto nell’uomo non è però del tutto escluso. Nel tessuto tiroideo umano un’indagine ha trovato il recettore del GLP-1 in tutti i campioni di carcinomi midollari della tiroide e di iperplasie delle cellule C, nel 18% dei carcinomi papillari e in una parte delle cellule C di tiroidi sane (Gier 2012, PMID 22031513).</w:t>
      </w:r>
    </w:p>
    <w:p>
      <w:pPr>
        <w:pStyle w:val="BodyText"/>
      </w:pPr>
      <w:r>
        <w:t xml:space="preserve">Gli studi sull’uomo non danno un quadro uniforme:</w:t>
      </w:r>
    </w:p>
    <w:p>
      <w:pPr>
        <w:numPr>
          <w:ilvl w:val="0"/>
          <w:numId w:val="1339"/>
        </w:numPr>
        <w:pStyle w:val="Compact"/>
      </w:pPr>
      <w:r>
        <w:t xml:space="preserve">Nello studio LEADER la calcitonina non è aumentata con liraglutide fino a cinque anni, e non si sono verificati carcinomi midollari (Hegedüs 2018, PMID 29279300).</w:t>
      </w:r>
    </w:p>
    <w:p>
      <w:pPr>
        <w:numPr>
          <w:ilvl w:val="0"/>
          <w:numId w:val="1339"/>
        </w:numPr>
        <w:pStyle w:val="Compact"/>
      </w:pPr>
      <w:r>
        <w:t xml:space="preserve">Uno studio caso-controllo francese con 2.562 casi ha trovato, dopo uno-tre anni di trattamento, un rischio aumentato di cancro della tiroide nel complesso (hazard ratio 1,58) e di carcinoma midollare (1,78) (Bezin 2023, PMID 36356111).</w:t>
      </w:r>
    </w:p>
    <w:p>
      <w:pPr>
        <w:numPr>
          <w:ilvl w:val="0"/>
          <w:numId w:val="1339"/>
        </w:numPr>
        <w:pStyle w:val="Compact"/>
      </w:pPr>
      <w:r>
        <w:t xml:space="preserve">Uno studio di coorte scandinavo con 145.410 persone in trattamento con agonisti del recettore del GLP-1 non ha trovato un rischio aumentato (hazard ratio 0,93; 1,33 contro 1,46 casi ogni 10.000 anni-persona). Per il raro carcinoma midollare la stima era molto incerta (hazard ratio 1,19; intervallo di confidenza da 0,37 a 3,86) (Pasternak 2024, PMID 38683947).</w:t>
      </w:r>
    </w:p>
    <w:p>
      <w:pPr>
        <w:numPr>
          <w:ilvl w:val="0"/>
          <w:numId w:val="1339"/>
        </w:numPr>
        <w:pStyle w:val="Compact"/>
      </w:pPr>
      <w:r>
        <w:t xml:space="preserve">Una meta-analisi di 50 studi randomizzati della durata di almeno un anno ha mostrato un segnale per il cancro della tiroide (odds ratio 1,55), più marcato negli studi più lunghi (Silverii 2025, PMID 40437949).</w:t>
      </w:r>
    </w:p>
    <w:p>
      <w:pPr>
        <w:pStyle w:val="FirstParagraph"/>
      </w:pPr>
      <w:r>
        <w:t xml:space="preserve">Come si conciliano questi dati? Parte del segnale potrebbe dipendere da esami più frequenti: chi è seguito da vicino per diabete o obesità fa più spesso un’ecografia, durante la quale vengono scoperti piccoli carcinomi papillari innocui. Un piccolo rischio reale non si può però escludere. Per le persone con carcinoma midollare della tiroide nell’anamnesi personale o familiare o con sindrome MEN 2 vale quindi ancora una controindicazione (aggiornato al 2026, da verificare). Vedi capitolo Liraglutide.</w:t>
      </w:r>
    </w:p>
    <w:bookmarkEnd w:id="990"/>
    <w:bookmarkStart w:id="991" w:name="pancreas"/>
    <w:p>
      <w:pPr>
        <w:pStyle w:val="Heading3"/>
      </w:pPr>
      <w:r>
        <w:t xml:space="preserve">Pancreas</w:t>
      </w:r>
    </w:p>
    <w:p>
      <w:pPr>
        <w:pStyle w:val="FirstParagraph"/>
      </w:pPr>
      <w:r>
        <w:t xml:space="preserve">Dopo le prime segnalazioni di pancreatiti con exenatide e liraglutide si è temuto anche un rischio aumentato di tumore del pancreas. Finora i dati non lo hanno confermato. Una meta-analisi di 62 studi randomizzati non ha trovato un rischio aumentato in modo accertato (rischio relativo 1,30; intervallo di confidenza da 0,86 a 1,97); in un sottogruppo di studi con farmaci aggiuntivi era aumentato, senza farmaci aggiuntivi no (Wen 2025, PMID 40988099). Gli autori segnalano che molti studi senza alcun evento non sono affatto entrati nel calcolo. In un grande studio di coorte statunitense il tumore del pancreas con agonisti del recettore del GLP-1 era persino più raro che con l’insulina (hazard ratio 0,41) (Wang 2024, PMID 38967919) – tenendo conto che l’insulina viene usata spesso in un diabete di più lunga durata e più grave.</w:t>
      </w:r>
    </w:p>
    <w:p>
      <w:pPr>
        <w:pStyle w:val="BodyText"/>
      </w:pPr>
      <w:r>
        <w:t xml:space="preserve">Per i tumori neuroendocrini, un raro gruppo di tumori che si sviluppano tra l’altro nel pancreas e in parte portano il recettore del GLP-1, una revisione conclude che i dati disponibili non mostrano un aumento generale, ma che esistono lacune importanti, per esempio in caso di predisposizione ereditaria (Rajan 2026, PMID 42541759).</w:t>
      </w:r>
    </w:p>
    <w:bookmarkEnd w:id="991"/>
    <w:bookmarkStart w:id="992" w:name="X9c6bb85fdf289634d17e3e9bd058c28251b709f"/>
    <w:p>
      <w:pPr>
        <w:pStyle w:val="Heading3"/>
      </w:pPr>
      <w:r>
        <w:t xml:space="preserve">Che cosa mostrano le nuove meta-analisi e le grandi coorti su GLP-1 e cancro</w:t>
      </w:r>
    </w:p>
    <w:p>
      <w:pPr>
        <w:pStyle w:val="FirstParagraph"/>
      </w:pPr>
      <w:r>
        <w:t xml:space="preserve">Con l’ampia diffusione dei farmaci GLP-1 sono state pubblicate dal 2024 diverse analisi molto grandi. Delineano un quadro in prevalenza rassicurante, ma poco chiaro su singoli punti.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Dati</w:t>
            </w:r>
          </w:p>
        </w:tc>
        <w:tc>
          <w:tcPr/>
          <w:p>
            <w:pPr>
              <w:pStyle w:val="Compact"/>
              <w:jc w:val="left"/>
            </w:pPr>
            <w:r>
              <w:t xml:space="preserve">Risultato cancro nel complesso</w:t>
            </w:r>
          </w:p>
        </w:tc>
        <w:tc>
          <w:tcPr/>
          <w:p>
            <w:pPr>
              <w:pStyle w:val="Compact"/>
              <w:jc w:val="left"/>
            </w:pPr>
            <w:r>
              <w:t xml:space="preserve">Particolarità</w:t>
            </w:r>
          </w:p>
        </w:tc>
      </w:tr>
      <w:tr>
        <w:tc>
          <w:tcPr/>
          <w:p>
            <w:pPr>
              <w:pStyle w:val="Compact"/>
              <w:jc w:val="left"/>
            </w:pPr>
            <w:r>
              <w:t xml:space="preserve">Silverii 2025, PMID 40437949</w:t>
            </w:r>
          </w:p>
        </w:tc>
        <w:tc>
          <w:tcPr/>
          <w:p>
            <w:pPr>
              <w:pStyle w:val="Compact"/>
              <w:jc w:val="left"/>
            </w:pPr>
            <w:r>
              <w:t xml:space="preserve">50 RCT, almeno 52 settimane</w:t>
            </w:r>
          </w:p>
        </w:tc>
        <w:tc>
          <w:tcPr/>
          <w:p>
            <w:pPr>
              <w:pStyle w:val="Compact"/>
              <w:jc w:val="left"/>
            </w:pPr>
            <w:r>
              <w:t xml:space="preserve">nessuna differenza (odds ratio 1,05)</w:t>
            </w:r>
          </w:p>
        </w:tc>
        <w:tc>
          <w:tcPr/>
          <w:p>
            <w:pPr>
              <w:pStyle w:val="Compact"/>
              <w:jc w:val="left"/>
            </w:pPr>
            <w:r>
              <w:t xml:space="preserve">tiroide 1,55; utero in caso di obesità 0,24</w:t>
            </w:r>
          </w:p>
        </w:tc>
      </w:tr>
      <w:tr>
        <w:tc>
          <w:tcPr/>
          <w:p>
            <w:pPr>
              <w:pStyle w:val="Compact"/>
              <w:jc w:val="left"/>
            </w:pPr>
            <w:r>
              <w:t xml:space="preserve">Wang 2024, PMID 38967919</w:t>
            </w:r>
          </w:p>
        </w:tc>
        <w:tc>
          <w:tcPr/>
          <w:p>
            <w:pPr>
              <w:pStyle w:val="Compact"/>
              <w:jc w:val="left"/>
            </w:pPr>
            <w:r>
              <w:t xml:space="preserve">1.651.452 persone con diabete di tipo 2</w:t>
            </w:r>
          </w:p>
        </w:tc>
        <w:tc>
          <w:tcPr/>
          <w:p>
            <w:pPr>
              <w:pStyle w:val="Compact"/>
              <w:jc w:val="left"/>
            </w:pPr>
            <w:r>
              <w:t xml:space="preserve">vs. insulina meno casi in 10 tipi di cancro su 13</w:t>
            </w:r>
          </w:p>
        </w:tc>
        <w:tc>
          <w:tcPr/>
          <w:p>
            <w:pPr>
              <w:pStyle w:val="Compact"/>
              <w:jc w:val="left"/>
            </w:pPr>
            <w:r>
              <w:t xml:space="preserve">vs. metformina più cancro del rene (1,54)</w:t>
            </w:r>
          </w:p>
        </w:tc>
      </w:tr>
      <w:tr>
        <w:tc>
          <w:tcPr/>
          <w:p>
            <w:pPr>
              <w:pStyle w:val="Compact"/>
              <w:jc w:val="left"/>
            </w:pPr>
            <w:r>
              <w:t xml:space="preserve">Dai 2025, PMID 40839273</w:t>
            </w:r>
          </w:p>
        </w:tc>
        <w:tc>
          <w:tcPr/>
          <w:p>
            <w:pPr>
              <w:pStyle w:val="Compact"/>
              <w:jc w:val="left"/>
            </w:pPr>
            <w:r>
              <w:t xml:space="preserve">86.632 adulti con obesità</w:t>
            </w:r>
          </w:p>
        </w:tc>
        <w:tc>
          <w:tcPr/>
          <w:p>
            <w:pPr>
              <w:pStyle w:val="Compact"/>
              <w:jc w:val="left"/>
            </w:pPr>
            <w:r>
              <w:t xml:space="preserve">meno cancro (hazard ratio 0,83)</w:t>
            </w:r>
          </w:p>
        </w:tc>
        <w:tc>
          <w:tcPr/>
          <w:p>
            <w:pPr>
              <w:pStyle w:val="Compact"/>
              <w:jc w:val="left"/>
            </w:pPr>
            <w:r>
              <w:t xml:space="preserve">cancro del rene aumentato al limite (1,38)</w:t>
            </w:r>
          </w:p>
        </w:tc>
      </w:tr>
      <w:tr>
        <w:tc>
          <w:tcPr/>
          <w:p>
            <w:pPr>
              <w:pStyle w:val="Compact"/>
              <w:jc w:val="left"/>
            </w:pPr>
            <w:r>
              <w:t xml:space="preserve">Hsu 2026, PMID 42252247</w:t>
            </w:r>
          </w:p>
        </w:tc>
        <w:tc>
          <w:tcPr/>
          <w:p>
            <w:pPr>
              <w:pStyle w:val="Compact"/>
              <w:jc w:val="left"/>
            </w:pPr>
            <w:r>
              <w:t xml:space="preserve">161.798 adulti con obesità senza diabete</w:t>
            </w:r>
          </w:p>
        </w:tc>
        <w:tc>
          <w:tcPr/>
          <w:p>
            <w:pPr>
              <w:pStyle w:val="Compact"/>
              <w:jc w:val="left"/>
            </w:pPr>
            <w:r>
              <w:t xml:space="preserve">meno tipi di cancro legati al sovrappeso (0,59)</w:t>
            </w:r>
          </w:p>
        </w:tc>
        <w:tc>
          <w:tcPr/>
          <w:p>
            <w:pPr>
              <w:pStyle w:val="Compact"/>
              <w:jc w:val="left"/>
            </w:pPr>
            <w:r>
              <w:t xml:space="preserve">follow-up mediano 2 anni</w:t>
            </w:r>
          </w:p>
        </w:tc>
      </w:tr>
    </w:tbl>
    <w:p>
      <w:pPr>
        <w:pStyle w:val="BodyText"/>
      </w:pPr>
      <w:r>
        <w:t xml:space="preserve">Come vanno letti questi numeri?</w:t>
      </w:r>
    </w:p>
    <w:p>
      <w:pPr>
        <w:numPr>
          <w:ilvl w:val="0"/>
          <w:numId w:val="1340"/>
        </w:numPr>
        <w:pStyle w:val="Compact"/>
      </w:pPr>
      <w:r>
        <w:rPr>
          <w:bCs/>
          <w:b/>
        </w:rPr>
        <w:t xml:space="preserve">Gli studi randomizzati</w:t>
      </w:r>
      <w:r>
        <w:t xml:space="preserve"> </w:t>
      </w:r>
      <w:r>
        <w:t xml:space="preserve">non mostrano nel complesso alcun influsso sul rischio oncologico. È il risultato più affidabile, ma gli studi sono troppo brevi per il cancro.</w:t>
      </w:r>
    </w:p>
    <w:p>
      <w:pPr>
        <w:numPr>
          <w:ilvl w:val="0"/>
          <w:numId w:val="1340"/>
        </w:numPr>
        <w:pStyle w:val="Compact"/>
      </w:pPr>
      <w:r>
        <w:rPr>
          <w:bCs/>
          <w:b/>
        </w:rPr>
        <w:t xml:space="preserve">I grandi studi osservazionali</w:t>
      </w:r>
      <w:r>
        <w:t xml:space="preserve"> </w:t>
      </w:r>
      <w:r>
        <w:t xml:space="preserve">mostrano piuttosto meno cancro con i farmaci GLP-1. Ciò concorda con l’idea che la perdita di peso riduca i tipi di cancro legati al sovrappeso. Può però anche dipendere dal fatto che le persone che ricevono questi farmaci differiscono in molti aspetti dai gruppi di confronto. Un follow-up di due anni è molto breve per un’affermazione sulla prevenzione del cancro.</w:t>
      </w:r>
    </w:p>
    <w:p>
      <w:pPr>
        <w:numPr>
          <w:ilvl w:val="0"/>
          <w:numId w:val="1340"/>
        </w:numPr>
        <w:pStyle w:val="Compact"/>
      </w:pPr>
      <w:r>
        <w:rPr>
          <w:bCs/>
          <w:b/>
        </w:rPr>
        <w:t xml:space="preserve">Il cancro del rene</w:t>
      </w:r>
      <w:r>
        <w:t xml:space="preserve"> </w:t>
      </w:r>
      <w:r>
        <w:t xml:space="preserve">compare in due studi di coorte come possibile segnale. Se si tratti di un effetto reale resta da vedere.</w:t>
      </w:r>
    </w:p>
    <w:p>
      <w:pPr>
        <w:numPr>
          <w:ilvl w:val="0"/>
          <w:numId w:val="1340"/>
        </w:numPr>
        <w:pStyle w:val="Compact"/>
      </w:pPr>
      <w:r>
        <w:rPr>
          <w:bCs/>
          <w:b/>
        </w:rPr>
        <w:t xml:space="preserve">Il cancro della tiroide</w:t>
      </w:r>
      <w:r>
        <w:t xml:space="preserve"> </w:t>
      </w:r>
      <w:r>
        <w:t xml:space="preserve">resta la questione aperta, come descritto sopra.</w:t>
      </w:r>
    </w:p>
    <w:p>
      <w:pPr>
        <w:pStyle w:val="FirstParagraph"/>
      </w:pPr>
      <w:r>
        <w:t xml:space="preserve">Se i farmaci GLP-1 proteggano davvero dal cancro non si può dire con i dati disponibili. Per la domanda se causino il cancro vale, secondo le conoscenze attuali: per la maggior parte dei tipi di cancro no, per tiroide e rene la questione non è definitivamente chiarita. Per i nuovi agonisti multipli come retatrutide, survodutide o mazdutide ci sono ancora troppo pochi anni di trattamento per fare affermazioni proprie.</w:t>
      </w:r>
    </w:p>
    <w:bookmarkEnd w:id="992"/>
    <w:bookmarkStart w:id="993" w:name="in-breve"/>
    <w:p>
      <w:pPr>
        <w:pStyle w:val="Heading3"/>
      </w:pPr>
      <w:r>
        <w:t xml:space="preserve">In breve</w:t>
      </w:r>
    </w:p>
    <w:p>
      <w:pPr>
        <w:numPr>
          <w:ilvl w:val="0"/>
          <w:numId w:val="1341"/>
        </w:numPr>
        <w:pStyle w:val="Compact"/>
      </w:pPr>
      <w:r>
        <w:t xml:space="preserve">I dati migliori sul rischio oncologico li hanno proprio i peptidi per i quali la preoccupazione sembra meno fondata: i farmaci GLP-1 autorizzati. Per la maggior parte dei tipi di cancro non mostrano un rischio aumentato; il segnale sulla tiroide non è chiarito.</w:t>
      </w:r>
    </w:p>
    <w:p>
      <w:pPr>
        <w:numPr>
          <w:ilvl w:val="0"/>
          <w:numId w:val="1341"/>
        </w:numPr>
        <w:pStyle w:val="Compact"/>
      </w:pPr>
      <w:r>
        <w:t xml:space="preserve">Per l’asse ormone della crescita-IGF-1 è ben documentata un’associazione moderata tra livelli di IGF-1 stabilmente più alti e alcuni tipi di cancro. Per le persone sane che innalzano artificialmente l’IGF-1 per anni mancano studi.</w:t>
      </w:r>
    </w:p>
    <w:p>
      <w:pPr>
        <w:numPr>
          <w:ilvl w:val="0"/>
          <w:numId w:val="1341"/>
        </w:numPr>
        <w:pStyle w:val="Compact"/>
      </w:pPr>
      <w:r>
        <w:t xml:space="preserve">Per BPC-157, TB-500, Epitalon, umanina, Dihexa e sostanze simili esistono solo indizi teorici e da esperimenti sugli animali – in entrambe le direzioni. Non esistono dati a lungo termine sulla cancerogenesi.</w:t>
      </w:r>
    </w:p>
    <w:p>
      <w:pPr>
        <w:numPr>
          <w:ilvl w:val="0"/>
          <w:numId w:val="1341"/>
        </w:numPr>
        <w:pStyle w:val="Compact"/>
      </w:pPr>
      <w:r>
        <w:t xml:space="preserve">Per il Melanotan II esistono casi clinici di melanoma, ma nessun dato di frequenza. Per l’afamelanotide autorizzato piccoli studi non hanno trovato alterazioni maligne.</w:t>
      </w:r>
    </w:p>
    <w:p>
      <w:pPr>
        <w:numPr>
          <w:ilvl w:val="0"/>
          <w:numId w:val="1341"/>
        </w:numPr>
        <w:pStyle w:val="Compact"/>
      </w:pPr>
      <w:r>
        <w:t xml:space="preserve">Per le persone con malattia oncologica attiva o pregressa tutti i peptidi che favoriscono la crescita sono particolarmente problematici senza accompagnamento medico.</w:t>
      </w:r>
    </w:p>
    <w:bookmarkEnd w:id="993"/>
    <w:bookmarkEnd w:id="994"/>
    <w:bookmarkStart w:id="1002" w:name="reazioni-immunitarie-e-anticorpi"/>
    <w:p>
      <w:pPr>
        <w:pStyle w:val="Heading2"/>
      </w:pPr>
      <w:r>
        <w:t xml:space="preserve">Reazioni immunitarie e anticorpi</w:t>
      </w:r>
    </w:p>
    <w:p>
      <w:pPr>
        <w:pStyle w:val="FirstParagraph"/>
      </w:pPr>
      <w:r>
        <w:t xml:space="preserve">Il sistema immunitario ha il compito di riconoscere ciò che è estraneo. I peptidi si trovano su un confine: molti sono ricostruiti sul modello di messaggeri endogeni, ma modificati chimicamente per agire più a lungo. Altri provengono da animali, batteri o dal laboratorio. A ciò si aggiunge che la maggior parte dei peptidi viene iniettata sotto la pelle – in un punto in cui moltissime cellule di difesa sono in attesa di intrusi.</w:t>
      </w:r>
    </w:p>
    <w:p>
      <w:pPr>
        <w:pStyle w:val="BodyText"/>
      </w:pPr>
      <w:r>
        <w:t xml:space="preserve">Le reazioni immunitarie ai peptidi vanno da innocui arrossamenti nel sito di iniezione, passando per anticorpi che si notano solo in laboratorio, fino a rare reazioni allergiche potenzialmente mortali. Questo capitolo inquadra queste reazioni, confronta i peptidi e mostra quale ruolo hanno le impurità.</w:t>
      </w:r>
    </w:p>
    <w:bookmarkStart w:id="995" w:name="X6c442dc1c6f18ff7960aa26d7d51cbd333f4059"/>
    <w:p>
      <w:pPr>
        <w:pStyle w:val="Heading3"/>
      </w:pPr>
      <w:r>
        <w:t xml:space="preserve">Perché i peptidi possono scatenare una reazione immunitaria</w:t>
      </w:r>
    </w:p>
    <w:p>
      <w:pPr>
        <w:pStyle w:val="FirstParagraph"/>
      </w:pPr>
      <w:r>
        <w:t xml:space="preserve">Se il sistema immunitario classifichi un peptide come estraneo dipende da diversi fattori:</w:t>
      </w:r>
    </w:p>
    <w:p>
      <w:pPr>
        <w:numPr>
          <w:ilvl w:val="0"/>
          <w:numId w:val="1342"/>
        </w:numPr>
        <w:pStyle w:val="Compact"/>
      </w:pPr>
      <w:r>
        <w:rPr>
          <w:bCs/>
          <w:b/>
        </w:rPr>
        <w:t xml:space="preserve">Origine e somiglianza con le molecole endogene.</w:t>
      </w:r>
      <w:r>
        <w:t xml:space="preserve"> </w:t>
      </w:r>
      <w:r>
        <w:t xml:space="preserve">L’exenatide è stato sviluppato a partire da un peptide presente nella saliva di una lucertola e differisce nettamente dal GLP-1 umano. Liraglutide e semaglutide, invece, sono in gran parte ricostruiti sul modello dell’ormone umano.</w:t>
      </w:r>
    </w:p>
    <w:p>
      <w:pPr>
        <w:numPr>
          <w:ilvl w:val="0"/>
          <w:numId w:val="1342"/>
        </w:numPr>
        <w:pStyle w:val="Compact"/>
      </w:pPr>
      <w:r>
        <w:rPr>
          <w:bCs/>
          <w:b/>
        </w:rPr>
        <w:t xml:space="preserve">Dimensioni e modifiche.</w:t>
      </w:r>
      <w:r>
        <w:t xml:space="preserve"> </w:t>
      </w:r>
      <w:r>
        <w:t xml:space="preserve">Molecole più lunghe, acidi grassi legati, elementi di collegamento o componenti di anticorpi (come in maridebart cafraglutide) offrono una maggiore superficie d’attacco.</w:t>
      </w:r>
    </w:p>
    <w:p>
      <w:pPr>
        <w:numPr>
          <w:ilvl w:val="0"/>
          <w:numId w:val="1342"/>
        </w:numPr>
        <w:pStyle w:val="Compact"/>
      </w:pPr>
      <w:r>
        <w:rPr>
          <w:bCs/>
          <w:b/>
        </w:rPr>
        <w:t xml:space="preserve">Aggregazione.</w:t>
      </w:r>
      <w:r>
        <w:t xml:space="preserve"> </w:t>
      </w:r>
      <w:r>
        <w:t xml:space="preserve">I peptidi possono aggregarsi in strutture più grandi, che il sistema immunitario riconosce più facilmente.</w:t>
      </w:r>
    </w:p>
    <w:p>
      <w:pPr>
        <w:numPr>
          <w:ilvl w:val="0"/>
          <w:numId w:val="1342"/>
        </w:numPr>
        <w:pStyle w:val="Compact"/>
      </w:pPr>
      <w:r>
        <w:rPr>
          <w:bCs/>
          <w:b/>
        </w:rPr>
        <w:t xml:space="preserve">Impurità.</w:t>
      </w:r>
      <w:r>
        <w:t xml:space="preserve"> </w:t>
      </w:r>
      <w:r>
        <w:t xml:space="preserve">Già piccole quantità di frammenti di peptidi prodotti in modo difettoso o di componenti batterici possono innescare una reazione di difesa (maggiori dettagli più avanti).</w:t>
      </w:r>
    </w:p>
    <w:p>
      <w:pPr>
        <w:numPr>
          <w:ilvl w:val="0"/>
          <w:numId w:val="1342"/>
        </w:numPr>
        <w:pStyle w:val="Compact"/>
      </w:pPr>
      <w:r>
        <w:rPr>
          <w:bCs/>
          <w:b/>
        </w:rPr>
        <w:t xml:space="preserve">Frequenza e durata dell’uso.</w:t>
      </w:r>
      <w:r>
        <w:t xml:space="preserve"> </w:t>
      </w:r>
      <w:r>
        <w:t xml:space="preserve">Chi si inietta ripetutamente un peptide per mesi offre al sistema immunitario molte occasioni per reagire.</w:t>
      </w:r>
    </w:p>
    <w:p>
      <w:pPr>
        <w:pStyle w:val="FirstParagraph"/>
      </w:pPr>
      <w:r>
        <w:t xml:space="preserve">Per la valutazione degli anticorpi contro i farmaci – gli esperti parlano di anticorpi anti-farmaco (ADA) – si è affermato un linguaggio uniforme (Shankar 2014, PMID 24764037). Le domande importanti sono quattro: quante persone trattate sviluppano anticorpi? Quanto è alta la quantità (il titolo)? Gli anticorpi inibiscono l’effetto (anticorpi neutralizzanti)? E reagiscono anche con l’ormone endogeno (reattività crociata)? L’ultimo punto sarebbe il più preoccupante: anticorpi che bloccano non solo il farmaco, ma anche l’ormone proprio dell’organismo potrebbero lasciare un disturbo permanente.</w:t>
      </w:r>
    </w:p>
    <w:bookmarkEnd w:id="995"/>
    <w:bookmarkStart w:id="996" w:name="X9722c7bda344fbb4545f78b628036156211e0b1"/>
    <w:p>
      <w:pPr>
        <w:pStyle w:val="Heading3"/>
      </w:pPr>
      <w:r>
        <w:t xml:space="preserve">Anticorpi anti-farmaco: che cosa mostrano gli studi</w:t>
      </w:r>
    </w:p>
    <w:p>
      <w:pPr>
        <w:pStyle w:val="FirstParagraph"/>
      </w:pPr>
      <w:r>
        <w:t xml:space="preserve">Per i farmaci GLP-1 autorizzati esistono indagini sistematiche. Mostrano quanto diversa sia la frequenza con cui si formano anticorpi – e che una frequenza elevata non significa automaticamente un problema clinico.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Anticorpi in</w:t>
            </w:r>
          </w:p>
        </w:tc>
        <w:tc>
          <w:tcPr/>
          <w:p>
            <w:pPr>
              <w:pStyle w:val="Compact"/>
              <w:jc w:val="left"/>
            </w:pPr>
            <w:r>
              <w:t xml:space="preserve">Conseguenze</w:t>
            </w:r>
          </w:p>
        </w:tc>
        <w:tc>
          <w:tcPr/>
          <w:p>
            <w:pPr>
              <w:pStyle w:val="Compact"/>
              <w:jc w:val="left"/>
            </w:pPr>
            <w:r>
              <w:t xml:space="preserve">Fonte</w:t>
            </w:r>
          </w:p>
        </w:tc>
      </w:tr>
      <w:tr>
        <w:tc>
          <w:tcPr/>
          <w:p>
            <w:pPr>
              <w:pStyle w:val="Compact"/>
              <w:jc w:val="left"/>
            </w:pPr>
            <w:r>
              <w:t xml:space="preserve">Exenatide</w:t>
            </w:r>
          </w:p>
        </w:tc>
        <w:tc>
          <w:tcPr/>
          <w:p>
            <w:pPr>
              <w:pStyle w:val="Compact"/>
              <w:jc w:val="left"/>
            </w:pPr>
            <w:r>
              <w:t xml:space="preserve">61% dopo 26 settimane (LEAD-6)</w:t>
            </w:r>
          </w:p>
        </w:tc>
        <w:tc>
          <w:tcPr/>
          <w:p>
            <w:pPr>
              <w:pStyle w:val="Compact"/>
              <w:jc w:val="left"/>
            </w:pPr>
            <w:r>
              <w:t xml:space="preserve">titoli alti: minore riduzione dell’HbA1c</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dall’8,3 all’8,7%, titoli bassi</w:t>
            </w:r>
          </w:p>
        </w:tc>
        <w:tc>
          <w:tcPr/>
          <w:p>
            <w:pPr>
              <w:pStyle w:val="Compact"/>
              <w:jc w:val="left"/>
            </w:pPr>
            <w:r>
              <w:t xml:space="preserve">nessuna attenuazione dell’effetto</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neutralizzanti 0,9%</w:t>
            </w:r>
          </w:p>
        </w:tc>
        <w:tc>
          <w:tcPr/>
          <w:p>
            <w:pPr>
              <w:pStyle w:val="Compact"/>
              <w:jc w:val="left"/>
            </w:pPr>
            <w:r>
              <w:t xml:space="preserve">nessuna ipersensibilità nei positivi agli anticorpi</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neutralizzanti circa 2%</w:t>
            </w:r>
          </w:p>
        </w:tc>
        <w:tc>
          <w:tcPr/>
          <w:p>
            <w:pPr>
              <w:pStyle w:val="Compact"/>
              <w:jc w:val="left"/>
            </w:pPr>
            <w:r>
              <w:t xml:space="preserve">nessuna attenuazione dell’effetto; più reazioni cutanee e allergiche</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bambini su 18</w:t>
            </w:r>
          </w:p>
        </w:tc>
        <w:tc>
          <w:tcPr/>
          <w:p>
            <w:pPr>
              <w:pStyle w:val="Compact"/>
              <w:jc w:val="left"/>
            </w:pPr>
            <w:r>
              <w:t xml:space="preserve">nessuna conseguenza riconoscibile</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nessuno in 12 settimane</w:t>
            </w:r>
          </w:p>
        </w:tc>
        <w:tc>
          <w:tcPr/>
          <w:p>
            <w:pPr>
              <w:pStyle w:val="Compact"/>
              <w:jc w:val="left"/>
            </w:pPr>
            <w:r>
              <w:t xml:space="preserve">–</w:t>
            </w:r>
          </w:p>
        </w:tc>
        <w:tc>
          <w:tcPr/>
          <w:p>
            <w:pPr>
              <w:pStyle w:val="Compact"/>
              <w:jc w:val="left"/>
            </w:pPr>
            <w:r>
              <w:t xml:space="preserve">Lois 2020, PMID 32674280</w:t>
            </w:r>
          </w:p>
        </w:tc>
      </w:tr>
    </w:tbl>
    <w:p>
      <w:pPr>
        <w:pStyle w:val="BodyText"/>
      </w:pPr>
      <w:r>
        <w:t xml:space="preserve">L’</w:t>
      </w:r>
      <w:r>
        <w:rPr>
          <w:bCs/>
          <w:b/>
        </w:rPr>
        <w:t xml:space="preserve">exenatide</w:t>
      </w:r>
      <w:r>
        <w:t xml:space="preserve"> </w:t>
      </w:r>
      <w:r>
        <w:t xml:space="preserve">è l’esempio classico di un peptide che, per la sua origine non umana, provoca spesso anticorpi. Nello studio LEAD-6, dopo 26 settimane, 113 persone trattate su 185 avevano anticorpi contro l’exenatide; livelli elevati di anticorpi si accompagnavano a una riduzione significativamente minore dell’emoglobina glicata. Dopo il passaggio a liraglutide questi anticorpi non hanno ostacolato l’effetto successivo (Buse 2011, PMID 21450987).</w:t>
      </w:r>
    </w:p>
    <w:p>
      <w:pPr>
        <w:pStyle w:val="BodyText"/>
      </w:pPr>
      <w:r>
        <w:t xml:space="preserve">La</w:t>
      </w:r>
      <w:r>
        <w:t xml:space="preserve"> </w:t>
      </w:r>
      <w:r>
        <w:rPr>
          <w:bCs/>
          <w:b/>
        </w:rPr>
        <w:t xml:space="preserve">tirzepatide</w:t>
      </w:r>
      <w:r>
        <w:t xml:space="preserve"> </w:t>
      </w:r>
      <w:r>
        <w:t xml:space="preserve">mostra che anche un peptide ricostruito sul modello umano può essere riconosciuto spesso. In sette studi di fase 3 con 5.025 partecipanti valutabili, il 51,1% ha sviluppato anticorpi durante il trattamento. Anticorpi neutralizzanti contro l’azione sul recettore del GIP o del GLP-1 sono stati trovati rispettivamente nell’1,9% e nel 2,1%, quelli che neutralizzavano anche gli ormoni endogeni in meno dell’1%. Su livelli ematici ed effetto ciò non ha avuto alcuna influenza. I partecipanti positivi agli anticorpi hanno però avuto più spesso reazioni di ipersensibilità e reazioni nel sito di iniezione, per lo più da lievi a moderate (Mullins 2024, PMID 37700637).</w:t>
      </w:r>
    </w:p>
    <w:p>
      <w:pPr>
        <w:pStyle w:val="BodyText"/>
      </w:pPr>
      <w:r>
        <w:t xml:space="preserve">Per i principi attivi più recenti – retatrutide, survodutide, mazdutide, cagrilintide, amicretina e maridebart cafraglutide, basato su un anticorpo – non sono ancora state pubblicate analisi riassuntive paragonabili. Per maridebart cafraglutide ciò è particolarmente rilevante, perché i farmaci anticorpali possono avere una propria immunogenicità (capitolo Maridebart cafraglutide).</w:t>
      </w:r>
    </w:p>
    <w:p>
      <w:pPr>
        <w:pStyle w:val="BodyText"/>
      </w:pPr>
      <w:r>
        <w:t xml:space="preserve">Per la maggior parte dei peptidi del mercato grigio non esistono affatto dati sugli anticorpi. Ciò vale per BPC-157, TB-500, CJC-1295, ipamorelina, MOTS-c, umanina, Epitalon e molti altri. Nei capitoli su MOTS-c, umanina e FOXO4-DRI si sottolinea che gli anticorpi sono ipotizzabili in caso di iniezioni ripetute, ma non sono mai stati studiati. Chi si inietta queste sostanze per mesi non può quindi sapere se il proprio corpo sviluppi anticorpi e quali effetti abbiano.</w:t>
      </w:r>
    </w:p>
    <w:bookmarkEnd w:id="996"/>
    <w:bookmarkStart w:id="997" w:name="reazioni-nel-sito-di-iniezione"/>
    <w:p>
      <w:pPr>
        <w:pStyle w:val="Heading3"/>
      </w:pPr>
      <w:r>
        <w:t xml:space="preserve">Reazioni nel sito di iniezione</w:t>
      </w:r>
    </w:p>
    <w:p>
      <w:pPr>
        <w:pStyle w:val="FirstParagraph"/>
      </w:pPr>
      <w:r>
        <w:t xml:space="preserve">Arrossamento, prurito, gonfiore, piccoli ematomi o noduli palpabili nel sito di iniezione sono le reazioni immunitarie e tissutali più frequenti ai peptidi iniettati. Una meta-analisi di 14 studi randomizzati con 4.861 partecipanti ha trovato con gli agonisti del recettore del GLP-1 un rischio di queste reazioni circa tre volte e mezzo più alto rispetto ai gruppi di confronto (rischio relativo 3,55). Nella banca dati statunitense delle segnalazioni si sono distinti in particolare exenatide e dulaglutide per sanguinamenti nel sito di iniezione (Taj 2026, PMID 41395692).</w:t>
      </w:r>
    </w:p>
    <w:p>
      <w:pPr>
        <w:pStyle w:val="BodyText"/>
      </w:pPr>
      <w:r>
        <w:t xml:space="preserve">La frequenza varia notevolmente tra i peptidi: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Reazioni nel sito di iniezione</w:t>
            </w:r>
          </w:p>
        </w:tc>
        <w:tc>
          <w:tcPr/>
          <w:p>
            <w:pPr>
              <w:pStyle w:val="Compact"/>
              <w:jc w:val="left"/>
            </w:pPr>
            <w:r>
              <w:t xml:space="preserve">Fonte</w:t>
            </w:r>
          </w:p>
        </w:tc>
      </w:tr>
      <w:tr>
        <w:tc>
          <w:tcPr/>
          <w:p>
            <w:pPr>
              <w:pStyle w:val="Compact"/>
              <w:jc w:val="left"/>
            </w:pPr>
            <w:r>
              <w:t xml:space="preserve">Setmelanotide</w:t>
            </w:r>
          </w:p>
        </w:tc>
        <w:tc>
          <w:tcPr/>
          <w:p>
            <w:pPr>
              <w:pStyle w:val="Compact"/>
              <w:jc w:val="left"/>
            </w:pPr>
            <w:r>
              <w:t xml:space="preserve">96% (meta-analisi, 7 studi)</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per lo più lievi</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alterazioni del tessuto adiposo nel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dal 2 al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con placebo</w:t>
            </w:r>
          </w:p>
        </w:tc>
        <w:tc>
          <w:tcPr/>
          <w:p>
            <w:pPr>
              <w:pStyle w:val="Compact"/>
              <w:jc w:val="left"/>
            </w:pPr>
            <w:r>
              <w:t xml:space="preserve">Clayton 2022, PMID 35147466</w:t>
            </w:r>
          </w:p>
        </w:tc>
      </w:tr>
    </w:tbl>
    <w:p>
      <w:pPr>
        <w:pStyle w:val="BodyText"/>
      </w:pPr>
      <w:r>
        <w:t xml:space="preserve">Con la formulazione settimanale di exenatide si formano spesso piccoli noduli, perché le microsfere che rilasciano lentamente il principio attivo vengono degradate sotto la pelle. Nell’analisi a cinque anni di DURATION-1 queste reazioni sono diventate più rare con il tempo (Wysham 2015, PMID 25744115). Nel caso della mecasermina si trattava di un ispessimento del tessuto adiposo nel sito di iniezione (lipoipertrofia).</w:t>
      </w:r>
    </w:p>
    <w:p>
      <w:pPr>
        <w:pStyle w:val="BodyText"/>
      </w:pPr>
      <w:r>
        <w:t xml:space="preserve">È importante la distinzione dall’</w:t>
      </w:r>
      <w:r>
        <w:rPr>
          <w:bCs/>
          <w:b/>
        </w:rPr>
        <w:t xml:space="preserve">infezione</w:t>
      </w:r>
      <w:r>
        <w:t xml:space="preserve">. Un arrossamento che aumenta nel corso dei giorni, diventa caldo, fa male, produce pus o si accompagna a febbre non è una reazione innocua. Dopo iniezioni di Argireline su fronte e tempie, una donna di 45 anni ha sviluppato noduli e ascessi; la causa era il batterio difficile da trattare</w:t>
      </w:r>
      <w:r>
        <w:t xml:space="preserve"> </w:t>
      </w:r>
      <w:r>
        <w:rPr>
          <w:iCs/>
          <w:i/>
        </w:rPr>
        <w:t xml:space="preserve">Mycobacterium abscessus</w:t>
      </w:r>
      <w:r>
        <w:t xml:space="preserve">, e il trattamento è durato cinque mesi (Chen 2021, PMID 33748252). Queste infezioni per lo più non derivano dal peptide, ma da prodotti o procedure non sterili – maggiori dettagli nel capitolo «Prodotti del mercato grigio».</w:t>
      </w:r>
    </w:p>
    <w:bookmarkEnd w:id="997"/>
    <w:bookmarkStart w:id="998" w:name="reazioni-allergiche-e-anafilassi"/>
    <w:p>
      <w:pPr>
        <w:pStyle w:val="Heading3"/>
      </w:pPr>
      <w:r>
        <w:t xml:space="preserve">Reazioni allergiche e anafilassi</w:t>
      </w:r>
    </w:p>
    <w:p>
      <w:pPr>
        <w:pStyle w:val="FirstParagraph"/>
      </w:pPr>
      <w:r>
        <w:t xml:space="preserve">L’anafilassi è una reazione allergica grave che coinvolge l’intero organismo, con eruzione cutanea, gonfiori, difficoltà respiratoria e collasso circolatorio. Con i farmaci peptidici è rara, ma si verifica.</w:t>
      </w:r>
    </w:p>
    <w:p>
      <w:pPr>
        <w:pStyle w:val="BodyText"/>
      </w:pPr>
      <w:r>
        <w:t xml:space="preserve">Per i farmaci GLP-1 esistono in merito grandi studi su banche dati. In tre banche dati assicurative statunitensi con 696.089 nuovi utilizzatori, la frequenza di un’anafilassi era, a seconda del principio attivo, da 1,0 (lixisenatide) a 6,0 (exenatide) casi ogni 10.000 anni-persona; gli autori valutano l’anafilassi con i farmaci GLP-1 come rara (Anthony 2024, PMID 38363873). Uno studio dal Regno Unito e dagli USA ha confrontato gli agonisti del recettore del GLP-1 con altri due gruppi di farmaci antidiabetici. Rispetto agli inibitori della DPP-4 il rischio non era aumentato in modo accertato (hazard ratio 1,15), rispetto agli inibitori di SGLT2 lo era del 38% (40,7 contro 29,4 casi ogni 100.000 anni-persona) (Pradhan 2022, PMID 35136902). Si tratta di un aumento relativo di una reazione in assoluto molto rara.</w:t>
      </w:r>
    </w:p>
    <w:p>
      <w:pPr>
        <w:pStyle w:val="BodyText"/>
      </w:pPr>
      <w:r>
        <w:t xml:space="preserve">Singoli casi mostrano come possono presentarsi queste reazioni:</w:t>
      </w:r>
    </w:p>
    <w:p>
      <w:pPr>
        <w:numPr>
          <w:ilvl w:val="0"/>
          <w:numId w:val="1343"/>
        </w:numPr>
        <w:pStyle w:val="Compact"/>
      </w:pPr>
      <w:r>
        <w:t xml:space="preserve">Casi clinici descrivono anafilassi con la formulazione settimanale di exenatide (Ornelas 2018, PMID 30350785) e una reazione allergica a exenatide e lixisenatide, ma non a liraglutide (Shamriz 2019, PMID 31296642) – un indizio che i principi attivi derivati dalla lucertola vengono riconosciuti diversamente da quelli simili all’umano.</w:t>
      </w:r>
    </w:p>
    <w:p>
      <w:pPr>
        <w:numPr>
          <w:ilvl w:val="0"/>
          <w:numId w:val="1343"/>
        </w:numPr>
        <w:pStyle w:val="Compact"/>
      </w:pPr>
      <w:r>
        <w:t xml:space="preserve">Con tirzepatide è descritta un’anafilassi bifasica, in cui i disturbi sono ricomparsi dopo un iniziale miglioramento (He 2023, PMID 38186543).</w:t>
      </w:r>
    </w:p>
    <w:p>
      <w:pPr>
        <w:numPr>
          <w:ilvl w:val="0"/>
          <w:numId w:val="1343"/>
        </w:numPr>
        <w:pStyle w:val="Compact"/>
      </w:pPr>
      <w:r>
        <w:t xml:space="preserve">Una donna di 50 anni, quattro ore dopo la sua prima iniezione di semaglutide proveniente da una farmacia galenica, ha sviluppato un gonfiore massiccio di labbra, lingua e gola e ha dovuto essere ventilata per quattro giorni. Solo in seguito è emerso che si era iniettata per errore una quantità dieci volte superiore (Kraft 2026, PMID 42194666).</w:t>
      </w:r>
    </w:p>
    <w:p>
      <w:pPr>
        <w:numPr>
          <w:ilvl w:val="0"/>
          <w:numId w:val="1343"/>
        </w:numPr>
        <w:pStyle w:val="Compact"/>
      </w:pPr>
      <w:r>
        <w:t xml:space="preserve">Dopo un’infusione di Cerebrolysin un uomo di 85 anni ha sviluppato un’anafilassi potenzialmente mortale, confermata in laboratorio (Trimmel 2024, PMID 39055722). Cerebrolysin è una miscela di peptidi ricavati da cervello di maiale; estratti animali come questo o Thymalin portano con sé, per principio, più proteine estranee (capitoli Cerebrolysin, Thymalin).</w:t>
      </w:r>
    </w:p>
    <w:p>
      <w:pPr>
        <w:pStyle w:val="FirstParagraph"/>
      </w:pPr>
      <w:r>
        <w:t xml:space="preserve">Anche con i peptidi cosmetici sono possibili allergie, sebbene rare. In un piccolo studio con una crema che conteneva tra l’altro palmitoil pentapeptide-4 si è verificato un sospetto di reazione allergica; quale componente fosse responsabile è rimasto aperto (Röper 2004, PMID 15127162).</w:t>
      </w:r>
    </w:p>
    <w:p>
      <w:pPr>
        <w:pStyle w:val="BodyText"/>
      </w:pPr>
      <w:r>
        <w:t xml:space="preserve">Per i peptidi del mercato grigio non esistono dati di frequenza. Il rischio di una reazione allergica grave è però particolarmente elevato in questo caso, perché l’uso avviene per lo più senza supervisione medica e in caso di emergenza nessuno è pronto con farmaci d’urgenza. Difficoltà respiratoria, gonfiori del viso o della gola e disturbi circolatori dopo un’iniezione sono sempre un’emergenza.</w:t>
      </w:r>
    </w:p>
    <w:bookmarkEnd w:id="998"/>
    <w:bookmarkStart w:id="999" w:name="reazioni-infiammatorie-e-autoimmuni"/>
    <w:p>
      <w:pPr>
        <w:pStyle w:val="Heading3"/>
      </w:pPr>
      <w:r>
        <w:t xml:space="preserve">Reazioni infiammatorie e autoimmuni</w:t>
      </w:r>
    </w:p>
    <w:p>
      <w:pPr>
        <w:pStyle w:val="FirstParagraph"/>
      </w:pPr>
      <w:r>
        <w:t xml:space="preserve">Alcuni peptidi fanno essi stessi parte del sistema immunitario. Ciò li rende interessanti, ma anche rischiosi.</w:t>
      </w:r>
    </w:p>
    <w:p>
      <w:pPr>
        <w:pStyle w:val="BodyText"/>
      </w:pPr>
      <w:r>
        <w:rPr>
          <w:bCs/>
          <w:b/>
        </w:rPr>
        <w:t xml:space="preserve">LL-37</w:t>
      </w:r>
      <w:r>
        <w:t xml:space="preserve"> </w:t>
      </w:r>
      <w:r>
        <w:t xml:space="preserve">è un peptide di difesa endogeno. Nella psoriasi ha un ruolo chiave: si lega al materiale genetico dell’organismo e lo rende visibile a determinate cellule immunitarie, che rilasciano quindi messaggeri dell’infiammazione (Lande 2007, PMID 17873860). In due terzi delle persone con psoriasi da moderata a grave sono state trovate cellule T che riconoscono specificamente LL-37 – lì agisce quindi come un autoantigene (Lande 2014, PMID 25470744). Dopo iniezioni di LL-37 in metastasi cutanee, in una paziente sono comparse alterazioni cutanee infiammatorie simili a verruche (Dolkar 2018, PMID 29665030). Per le persone con psoriasi, rosacea o altre malattie autoimmuni è un’indicazione da prendere sul serio (capitolo LL-37).</w:t>
      </w:r>
    </w:p>
    <w:p>
      <w:pPr>
        <w:pStyle w:val="BodyText"/>
      </w:pPr>
      <w:r>
        <w:t xml:space="preserve">I</w:t>
      </w:r>
      <w:r>
        <w:t xml:space="preserve"> </w:t>
      </w:r>
      <w:r>
        <w:rPr>
          <w:bCs/>
          <w:b/>
        </w:rPr>
        <w:t xml:space="preserve">peptidi immunostimolanti</w:t>
      </w:r>
      <w:r>
        <w:t xml:space="preserve"> </w:t>
      </w:r>
      <w:r>
        <w:t xml:space="preserve">come la timosina alfa-1 e Thymalin dovrebbero stimolare le difese. Se ciò sia dannoso in caso di malattie autoimmuni o dopo trapianti d’organo non è stato studiato (capitoli Timosina alfa-1, Thymalin).</w:t>
      </w:r>
    </w:p>
    <w:p>
      <w:pPr>
        <w:pStyle w:val="BodyText"/>
      </w:pPr>
      <w:r>
        <w:t xml:space="preserve">Per i farmaci GLP-1 una revisione sistematica descrive, oltre alle frequenti reazioni cutanee lievi, malattie immunomediate rare ma potenzialmente gravi, tra cui angioedemi, malattie autoimmuni bollose, eruzioni da farmaci e infiammazioni dei vasi (Gupta 2026, PMID 42930571). Quanto siano frequenti non si può desumere da casi clinici.</w:t>
      </w:r>
    </w:p>
    <w:bookmarkEnd w:id="999"/>
    <w:bookmarkStart w:id="1000" w:name="le-impurità-come-fattore-scatenante"/>
    <w:p>
      <w:pPr>
        <w:pStyle w:val="Heading3"/>
      </w:pPr>
      <w:r>
        <w:t xml:space="preserve">Le impurità come fattore scatenante</w:t>
      </w:r>
    </w:p>
    <w:p>
      <w:pPr>
        <w:pStyle w:val="FirstParagraph"/>
      </w:pPr>
      <w:r>
        <w:t xml:space="preserve">Una parte delle reazioni immunitarie non deriva dal peptide in sé, ma da ciò che finisce in aggiunta nel flacone durante la produzione.</w:t>
      </w:r>
    </w:p>
    <w:p>
      <w:pPr>
        <w:pStyle w:val="BodyText"/>
      </w:pPr>
      <w:r>
        <w:rPr>
          <w:bCs/>
          <w:b/>
        </w:rPr>
        <w:t xml:space="preserve">Peptidi difettosi.</w:t>
      </w:r>
      <w:r>
        <w:t xml:space="preserve"> </w:t>
      </w:r>
      <w:r>
        <w:t xml:space="preserve">Nella sintesi chimica si formano molecole in cui un elemento costitutivo manca, compare due volte o è modificato chimicamente. Queste impurità possono contenere nuove strutture che le cellule T del sistema immunitario riconoscono. Per questo l’autorità statunitense per i farmaci richiede, per i prodotti generici di peptidi sintetici, informazioni su ogni nuova impurità rispetto al preparato originale (De Groot 2023, PMID 37467878). Come si presenta una verifica del genere lo mostra un’indagine su generici del peptide per l’osteoporosi teriparatide, in cui le impurità sono state valutate con metodi informatici, test di legame ed esperimenti con cellule immunitarie umane (Mattei 2025, PMID 41445733).</w:t>
      </w:r>
    </w:p>
    <w:p>
      <w:pPr>
        <w:pStyle w:val="BodyText"/>
      </w:pPr>
      <w:r>
        <w:rPr>
          <w:bCs/>
          <w:b/>
        </w:rPr>
        <w:t xml:space="preserve">Prodotti generici GLP-1.</w:t>
      </w:r>
      <w:r>
        <w:t xml:space="preserve"> </w:t>
      </w:r>
      <w:r>
        <w:t xml:space="preserve">Un’analisi vicina al produttore di 16 prodotti generici iniettabili e 8 orali di semaglutide ha trovato nuove impurità, tra cui molecole proteiche più grandi, e nuovi siti di riconoscimento per il sistema immunitario previsti con metodi informatici; nei generici di liraglutide è emersa una maggiore tendenza all’aggregazione (Hach 2024, PMID 39379664). Se queste differenze provochino effettivamente più anticorpi nell’uomo non è stato misurato. Che un prodotto generico sintetico prodotto con cura non sia automaticamente più problematico lo mostra un’altra indagine: un generico sintetico di liraglutide non ha stimolato in laboratorio le cellule immunitarie umane più dell’originale prodotto con tecniche di ingegneria genetica (Tang 2025, PMID 40398094). Decisivo non è quindi il tipo di produzione, ma il controllo di qualità.</w:t>
      </w:r>
    </w:p>
    <w:p>
      <w:pPr>
        <w:pStyle w:val="BodyText"/>
      </w:pPr>
      <w:r>
        <w:rPr>
          <w:bCs/>
          <w:b/>
        </w:rPr>
        <w:t xml:space="preserve">Endotossine e germi.</w:t>
      </w:r>
      <w:r>
        <w:t xml:space="preserve"> </w:t>
      </w:r>
      <w:r>
        <w:t xml:space="preserve">Le endotossine, componenti della parete cellulare dei batteri, attivano direttamente il sistema immunitario innato e possono provocare febbre, brividi e reazioni circolatorie. In acquisti di prova di semaglutide da farmacie online illegali erano rilevabili in tutti i campioni (Ashraf 2024, PMID 39509151; dettagli nella Parte I). Un laboratorio di controllo ha rilevato in due preparati peptidici illegali per iniezione il batterio</w:t>
      </w:r>
      <w:r>
        <w:t xml:space="preserve"> </w:t>
      </w:r>
      <w:r>
        <w:rPr>
          <w:iCs/>
          <w:i/>
        </w:rPr>
        <w:t xml:space="preserve">Bacillus cereus</w:t>
      </w:r>
      <w:r>
        <w:t xml:space="preserve">, che può distruggere i globuli rossi (Janvier 2018, PMID 28941153).</w:t>
      </w:r>
    </w:p>
    <w:p>
      <w:pPr>
        <w:pStyle w:val="BodyText"/>
      </w:pPr>
      <w:r>
        <w:t xml:space="preserve">Per il mercato grigio ciò significa: anche se un peptide in sé è poco immunogeno, il prodotto può esserlo. E poiché per la merce del mercato grigio non vengono verificati né i profili delle impurità né i limiti di endotossine, una reazione difficilmente si può attribuire a posteriori a un componente.</w:t>
      </w:r>
    </w:p>
    <w:bookmarkEnd w:id="1000"/>
    <w:bookmarkStart w:id="1001" w:name="che-cosa-significa-in-pratica"/>
    <w:p>
      <w:pPr>
        <w:pStyle w:val="Heading3"/>
      </w:pPr>
      <w:r>
        <w:t xml:space="preserve">Che cosa significa in pratica</w:t>
      </w:r>
    </w:p>
    <w:p>
      <w:pPr>
        <w:numPr>
          <w:ilvl w:val="0"/>
          <w:numId w:val="1344"/>
        </w:numPr>
        <w:pStyle w:val="Compact"/>
      </w:pPr>
      <w:r>
        <w:t xml:space="preserve">Gli anticorpi contro i farmaci peptidici sono frequenti, ma per lo più senza conseguenze. Con exenatide titoli alti possono attenuare l’effetto; con tirzepatide si accompagnano a un po’ più di reazioni cutanee e di ipersensibilità.</w:t>
      </w:r>
    </w:p>
    <w:p>
      <w:pPr>
        <w:numPr>
          <w:ilvl w:val="0"/>
          <w:numId w:val="1344"/>
        </w:numPr>
        <w:pStyle w:val="Compact"/>
      </w:pPr>
      <w:r>
        <w:t xml:space="preserve">Le reazioni nel sito di iniezione sono la reazione immunitaria più frequente, per alcuni peptidi quasi la regola. Arrossamento crescente, calore, pus o febbre indicano invece un’infezione.</w:t>
      </w:r>
    </w:p>
    <w:p>
      <w:pPr>
        <w:numPr>
          <w:ilvl w:val="0"/>
          <w:numId w:val="1344"/>
        </w:numPr>
        <w:pStyle w:val="Compact"/>
      </w:pPr>
      <w:r>
        <w:t xml:space="preserve">L’anafilassi con i farmaci GLP-1 autorizzati è molto rara – nell’ordine di pochi casi ogni 10.000 anni di trattamento. Esistono casi clinici anche per tirzepatide, Cerebrolysin e per un sovradosaggio accidentale.</w:t>
      </w:r>
    </w:p>
    <w:p>
      <w:pPr>
        <w:numPr>
          <w:ilvl w:val="0"/>
          <w:numId w:val="1344"/>
        </w:numPr>
        <w:pStyle w:val="Compact"/>
      </w:pPr>
      <w:r>
        <w:t xml:space="preserve">Per la maggior parte dei peptidi del mercato grigio mancano completamente dati su anticorpi e allergie. Impurità ed endotossine sono lì un rischio aggiuntivo e incalcolabile.</w:t>
      </w:r>
    </w:p>
    <w:p>
      <w:pPr>
        <w:numPr>
          <w:ilvl w:val="0"/>
          <w:numId w:val="1344"/>
        </w:numPr>
        <w:pStyle w:val="Compact"/>
      </w:pPr>
      <w:r>
        <w:t xml:space="preserve">Chi ha già avuto una reazione allergica a un peptide dovrebbe indicarlo in ogni trattamento medico. Se principi attivi affini vengano tollerati si può chiarire solo con il medico.</w:t>
      </w:r>
    </w:p>
    <w:bookmarkEnd w:id="1001"/>
    <w:bookmarkEnd w:id="1002"/>
    <w:bookmarkStart w:id="1014" w:name="X38948c860a67d91d031568ae1326caefb7d9be2"/>
    <w:p>
      <w:pPr>
        <w:pStyle w:val="Heading2"/>
      </w:pPr>
      <w:r>
        <w:t xml:space="preserve">Prodotti del mercato grigio: che cosa mostrano le analisi di laboratorio</w:t>
      </w:r>
    </w:p>
    <w:p>
      <w:pPr>
        <w:pStyle w:val="FirstParagraph"/>
      </w:pPr>
      <w:r>
        <w:t xml:space="preserve">Nella Parte I, il capitolo «Il mercato grigio» ha descritto che cosa sono i «Research Peptides» e ha presentato singoli ritrovamenti clamorosi: polvere di semaglutide con una purezza dal 7,7 al 14,4%, flaconi di Melanotan con meno della metà della quantità dichiarata, Ozempic contraffatto contenente insulina. Questo capitolo fa un passo avanti. Si chiede chi analizzi effettivamente questi prodotti, quali tipi di errore si ripetano in molte indagini, che cosa queste analisi non possano mostrare – e che cosa rivelino i dati dei centri antiveleni sulle conseguenze di dosaggi errati con i farmaci GLP-1.</w:t>
      </w:r>
    </w:p>
    <w:bookmarkStart w:id="1003" w:name="X4e0e4699bc1ad08e9ed44e805b0f0a364cb8cd7"/>
    <w:p>
      <w:pPr>
        <w:pStyle w:val="Heading3"/>
      </w:pPr>
      <w:r>
        <w:t xml:space="preserve">Chi analizza i prodotti del mercato grigio</w:t>
      </w:r>
    </w:p>
    <w:p>
      <w:pPr>
        <w:pStyle w:val="FirstParagraph"/>
      </w:pPr>
      <w:r>
        <w:t xml:space="preserve">La maggior parte dei dati proviene da tre fonti.</w:t>
      </w:r>
    </w:p>
    <w:p>
      <w:pPr>
        <w:pStyle w:val="BodyText"/>
      </w:pPr>
      <w:r>
        <w:rPr>
          <w:bCs/>
          <w:b/>
        </w:rPr>
        <w:t xml:space="preserve">Laboratori ufficiali di controllo dei farmaci.</w:t>
      </w:r>
      <w:r>
        <w:t xml:space="preserve"> </w:t>
      </w:r>
      <w:r>
        <w:t xml:space="preserve">In Europa collaborano in una rete coordinata dalla Direzione europea per la qualità dei medicinali. Esaminano campioni sequestrati da dogana, polizia o autorità sanitarie. Un laboratorio belga, per esempio, ha sviluppato un metodo di ricerca con cui è possibile riconoscere in un solo passaggio 25 diversi peptidi in preparati iniettabili sconosciuti – compresi alcuni che non erano ancora stati sequestrati, ma che erano già discussi nei forum su internet (Vanhee 2015, PMID 26003685).</w:t>
      </w:r>
    </w:p>
    <w:p>
      <w:pPr>
        <w:pStyle w:val="BodyText"/>
      </w:pPr>
      <w:r>
        <w:rPr>
          <w:bCs/>
          <w:b/>
        </w:rPr>
        <w:t xml:space="preserve">Laboratori antidoping e forensi.</w:t>
      </w:r>
      <w:r>
        <w:t xml:space="preserve"> </w:t>
      </w:r>
      <w:r>
        <w:t xml:space="preserve">Analizzano merce sequestrata nell’ambiente sportivo per mantenere aggiornati i propri metodi di rilevamento. I reperti di Colonia, norvegesi e danesi della Parte I provengono da questa fonte.</w:t>
      </w:r>
    </w:p>
    <w:p>
      <w:pPr>
        <w:pStyle w:val="BodyText"/>
      </w:pPr>
      <w:r>
        <w:rPr>
          <w:bCs/>
          <w:b/>
        </w:rPr>
        <w:t xml:space="preserve">Acquisti di prova da parte di gruppi di ricerca.</w:t>
      </w:r>
      <w:r>
        <w:t xml:space="preserve"> </w:t>
      </w:r>
      <w:r>
        <w:t xml:space="preserve">Acquistano in modo mirato prodotti da venditori online e verificano che cosa arriva. Queste indagini sono più rare, ma sono le più vicine alla situazione degli acquirenti.</w:t>
      </w:r>
    </w:p>
    <w:p>
      <w:pPr>
        <w:pStyle w:val="BodyText"/>
      </w:pPr>
      <w:r>
        <w:t xml:space="preserve">Si usano metodi che rispondono a domande diverse: la spettrometria di massa mostra</w:t>
      </w:r>
      <w:r>
        <w:t xml:space="preserve"> </w:t>
      </w:r>
      <w:r>
        <w:rPr>
          <w:iCs/>
          <w:i/>
        </w:rPr>
        <w:t xml:space="preserve">quale</w:t>
      </w:r>
      <w:r>
        <w:t xml:space="preserve"> </w:t>
      </w:r>
      <w:r>
        <w:t xml:space="preserve">sostanza è presente; la cromatografia liquida misura</w:t>
      </w:r>
      <w:r>
        <w:t xml:space="preserve"> </w:t>
      </w:r>
      <w:r>
        <w:rPr>
          <w:iCs/>
          <w:i/>
        </w:rPr>
        <w:t xml:space="preserve">quanta</w:t>
      </w:r>
      <w:r>
        <w:t xml:space="preserve"> </w:t>
      </w:r>
      <w:r>
        <w:t xml:space="preserve">e</w:t>
      </w:r>
      <w:r>
        <w:t xml:space="preserve"> </w:t>
      </w:r>
      <w:r>
        <w:rPr>
          <w:iCs/>
          <w:i/>
        </w:rPr>
        <w:t xml:space="preserve">quanto pura</w:t>
      </w:r>
      <w:r>
        <w:t xml:space="preserve">; metodi speciali rilevano metalli, residui di solventi, batteri o endotossine. Nessun laboratorio verifica tutto di routine. Se un rapporto determina solo l’identità, non dice nulla sui germi, e viceversa.</w:t>
      </w:r>
    </w:p>
    <w:bookmarkEnd w:id="1003"/>
    <w:bookmarkStart w:id="1008" w:name="Xd52a280ff0a7d60fb4e5c3e25127089108059a9"/>
    <w:p>
      <w:pPr>
        <w:pStyle w:val="Heading3"/>
      </w:pPr>
      <w:r>
        <w:t xml:space="preserve">Quattro tipi di errore che si ripetono sempre</w:t>
      </w:r>
    </w:p>
    <w:p>
      <w:pPr>
        <w:pStyle w:val="FirstParagraph"/>
      </w:pPr>
      <w:r>
        <w:t xml:space="preserve">Trasversalmente alle singole analisi, i reperti si possono ordinare in quattro gruppi.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di errore</w:t>
            </w:r>
          </w:p>
        </w:tc>
        <w:tc>
          <w:tcPr/>
          <w:p>
            <w:pPr>
              <w:pStyle w:val="Compact"/>
              <w:jc w:val="left"/>
            </w:pPr>
            <w:r>
              <w:t xml:space="preserve">Esempi dalle analisi</w:t>
            </w:r>
          </w:p>
        </w:tc>
        <w:tc>
          <w:tcPr/>
          <w:p>
            <w:pPr>
              <w:pStyle w:val="Compact"/>
              <w:jc w:val="left"/>
            </w:pPr>
            <w:r>
              <w:t xml:space="preserve">Fonte</w:t>
            </w:r>
          </w:p>
        </w:tc>
      </w:tr>
      <w:tr>
        <w:tc>
          <w:tcPr/>
          <w:p>
            <w:pPr>
              <w:pStyle w:val="Compact"/>
              <w:jc w:val="left"/>
            </w:pPr>
            <w:r>
              <w:t xml:space="preserve">Principio attivo sbagliato o assente</w:t>
            </w:r>
          </w:p>
        </w:tc>
        <w:tc>
          <w:tcPr/>
          <w:p>
            <w:pPr>
              <w:pStyle w:val="Compact"/>
              <w:jc w:val="left"/>
            </w:pPr>
            <w:r>
              <w:t xml:space="preserve">9 campioni sequestrati su 36 senza peptide né proteina</w:t>
            </w:r>
          </w:p>
        </w:tc>
        <w:tc>
          <w:tcPr/>
          <w:p>
            <w:pPr>
              <w:pStyle w:val="Compact"/>
              <w:jc w:val="left"/>
            </w:pPr>
            <w:r>
              <w:t xml:space="preserve">Høj 2021, PMID 33686802</w:t>
            </w:r>
          </w:p>
        </w:tc>
      </w:tr>
      <w:tr>
        <w:tc>
          <w:tcPr/>
          <w:p>
            <w:pPr>
              <w:pStyle w:val="Compact"/>
              <w:jc w:val="left"/>
            </w:pPr>
            <w:r>
              <w:t xml:space="preserve">Quantità sbagliata</w:t>
            </w:r>
          </w:p>
        </w:tc>
        <w:tc>
          <w:tcPr/>
          <w:p>
            <w:pPr>
              <w:pStyle w:val="Compact"/>
              <w:jc w:val="left"/>
            </w:pPr>
            <w:r>
              <w:t xml:space="preserve">solo il 41% di 44 prodotti su internet con quantità corretta di principio attivo</w:t>
            </w:r>
          </w:p>
        </w:tc>
        <w:tc>
          <w:tcPr/>
          <w:p>
            <w:pPr>
              <w:pStyle w:val="Compact"/>
              <w:jc w:val="left"/>
            </w:pPr>
            <w:r>
              <w:t xml:space="preserve">Van Wagoner 2017, PMID 29183075</w:t>
            </w:r>
          </w:p>
        </w:tc>
      </w:tr>
      <w:tr>
        <w:tc>
          <w:tcPr/>
          <w:p>
            <w:pPr>
              <w:pStyle w:val="Compact"/>
              <w:jc w:val="left"/>
            </w:pPr>
            <w:r>
              <w:t xml:space="preserve">Bassa purezza, prodotti di degradazione</w:t>
            </w:r>
          </w:p>
        </w:tc>
        <w:tc>
          <w:tcPr/>
          <w:p>
            <w:pPr>
              <w:pStyle w:val="Compact"/>
              <w:jc w:val="left"/>
            </w:pPr>
            <w:r>
              <w:t xml:space="preserve">purezza dal 5 al 75% per determinati peptidi</w:t>
            </w:r>
          </w:p>
        </w:tc>
        <w:tc>
          <w:tcPr/>
          <w:p>
            <w:pPr>
              <w:pStyle w:val="Compact"/>
              <w:jc w:val="left"/>
            </w:pPr>
            <w:r>
              <w:t xml:space="preserve">Janvier 2018, PMID 30029448</w:t>
            </w:r>
          </w:p>
        </w:tc>
      </w:tr>
      <w:tr>
        <w:tc>
          <w:tcPr/>
          <w:p>
            <w:pPr>
              <w:pStyle w:val="Compact"/>
              <w:jc w:val="left"/>
            </w:pPr>
            <w:r>
              <w:t xml:space="preserve">Sostanze accompagnatrici pericolose</w:t>
            </w:r>
          </w:p>
        </w:tc>
        <w:tc>
          <w:tcPr/>
          <w:p>
            <w:pPr>
              <w:pStyle w:val="Compact"/>
              <w:jc w:val="left"/>
            </w:pPr>
            <w:r>
              <w:t xml:space="preserve">arsenico e piombo, in parte fino a dieci volte il limite</w:t>
            </w:r>
          </w:p>
        </w:tc>
        <w:tc>
          <w:tcPr/>
          <w:p>
            <w:pPr>
              <w:pStyle w:val="Compact"/>
              <w:jc w:val="left"/>
            </w:pPr>
            <w:r>
              <w:t xml:space="preserve">Janvier 2018, PMID 30029448</w:t>
            </w:r>
          </w:p>
        </w:tc>
      </w:tr>
    </w:tbl>
    <w:bookmarkStart w:id="1004" w:name="Xab8af1b09df346eaf118e457086b3ff972666e3"/>
    <w:p>
      <w:pPr>
        <w:pStyle w:val="Heading4"/>
      </w:pPr>
      <w:r>
        <w:t xml:space="preserve">Principio attivo sbagliato o del tutto assente</w:t>
      </w:r>
    </w:p>
    <w:p>
      <w:pPr>
        <w:pStyle w:val="FirstParagraph"/>
      </w:pPr>
      <w:r>
        <w:t xml:space="preserve">Nel 2019 un laboratorio forense danese ha ricevuto 36 campioni sequestrati in cui si sospettava la presenza di peptidi o proteine. 15 contenevano una sostanza dopante vietata, 12 una sostanza che non figurava nell’elenco danese delle sostanze dopanti, e 9 non contenevano affatto peptidi o proteine (Høj 2021, PMID 33686802). In un’operazione doganale a livello europeo i laboratori hanno segnalato, tra i preparati iniettabili sequestrati, ormone della crescita, sermorelina, Melanotan II e preparati del tutto privi di principio attivo; le spedizioni erano in media troppo grandi per il fabbisogno personale e probabilmente destinate in parte alla rivendita (Venhuis 2016, PMID 26456392). In un caso belga un preparato ritenuto IGF-1 conteneva invece un altro fattore di crescita, il fattore di crescita epidermico EGF (Vanhee 2017, PMID 27390261).</w:t>
      </w:r>
    </w:p>
    <w:p>
      <w:pPr>
        <w:pStyle w:val="BodyText"/>
      </w:pPr>
      <w:r>
        <w:t xml:space="preserve">Un laboratorio antidoping equino ha analizzato prodotti offerti su internet con le denominazioni «TB500», «TB1000» e «SGF1000». Il contenuto dei prodotti TB non corrispondeva sempre alle descrizioni precedenti. «SGF1000» era composto prevalentemente da proteine del tessuto connettivo e del sangue di pecora; i presunti componenti che favoriscono la crescita erano estremamente diluiti (Delcourt 2023, PMID 36482504).</w:t>
      </w:r>
    </w:p>
    <w:p>
      <w:pPr>
        <w:pStyle w:val="BodyText"/>
      </w:pPr>
      <w:r>
        <w:t xml:space="preserve">Quanto spesso etichetta e contenuto divergano lo mostra un’indagine statunitense che non riguardava peptidi, ma i cosiddetti SARM, i quali però usano lo stesso canale di distribuzione: di 44 prodotti su internet solo il 52% conteneva effettivamente un principio attivo del gruppo di sostanze pubblicizzato. Il 39% conteneva altre sostanze non autorizzate, tra cui il secretagogo dell’ormone della crescita ibutamoren, il 9% nessun principio attivo e il 25% sostanze non dichiarate (Van Wagoner 2017, PMID 29183075).</w:t>
      </w:r>
    </w:p>
    <w:bookmarkEnd w:id="1004"/>
    <w:bookmarkStart w:id="1005" w:name="quantità-sbagliata"/>
    <w:p>
      <w:pPr>
        <w:pStyle w:val="Heading4"/>
      </w:pPr>
      <w:r>
        <w:t xml:space="preserve">Quantità sbagliata</w:t>
      </w:r>
    </w:p>
    <w:p>
      <w:pPr>
        <w:pStyle w:val="FirstParagraph"/>
      </w:pPr>
      <w:r>
        <w:t xml:space="preserve">Anche quando nel flacone c’è la sostanza giusta, la quantità spesso non corrisponde. Nell’analisi statunitense citata la quantità di principio attivo misurata corrispondeva a quella in etichetta solo in 18 prodotti su 44 (41%) (Van Wagoner 2017, PMID 29183075). Un laboratorio di tossicologia francese ha esaminato 75 farmaci del mondo del bodybuilding sequestrati sul mercato nero: il 33% era di qualità scadente, cioè dosato in modo errato, il 32% contraffatto, cioè con un contenuto diverso da quello dichiarato, e solo il 19% corrispondeva completamente all’originale (Fabresse 2021, PMID 33838562). Una sorveglianza europea del mercato durata cinque anni, con 324 campioni da 13 paesi, è giunta alla conclusione, in base ai limitati dati quantitativi, che la maggior parte dei campioni conteneva quantità efficaci e che alcuni erano persino sovradosati (Barrios 2025, PMID 40551438).</w:t>
      </w:r>
    </w:p>
    <w:p>
      <w:pPr>
        <w:pStyle w:val="BodyText"/>
      </w:pPr>
      <w:r>
        <w:t xml:space="preserve">Entrambe le cose sono pericolose: troppo poco principio attivo induce a «ridosare»; troppo porta direttamente a effetti collaterali più forti. Con i farmaci GLP-1, la cui tollerabilità dipende molto dall’aumento lento della dose, una quantità sconosciuta è particolarmente problematica.</w:t>
      </w:r>
    </w:p>
    <w:bookmarkEnd w:id="1005"/>
    <w:bookmarkStart w:id="1006" w:name="Xae31d071238bae5f546e0919c33b70deeeab74d"/>
    <w:p>
      <w:pPr>
        <w:pStyle w:val="Heading4"/>
      </w:pPr>
      <w:r>
        <w:t xml:space="preserve">Bassa purezza, prodotti di degradazione e varianti di design</w:t>
      </w:r>
    </w:p>
    <w:p>
      <w:pPr>
        <w:pStyle w:val="FirstParagraph"/>
      </w:pPr>
      <w:r>
        <w:t xml:space="preserve">L’indagine sistematica più completa proviene dal Belgio. Il laboratorio di controllo ha acquistato i dieci farmaci peptidici più contraffatti del mercato belga presso tre farmacie online presumibilmente illegali e li ha analizzati per principio attivo, impurità peptidiche, piccole sostanze organiche estranee, metalli e residui di solventi. La quantità per flacone variava molto, e per i peptidi contenenti l’amminoacido cisteina la purezza era compresa tra il 5 e il 75% (Janvier 2018, PMID 30029448).</w:t>
      </w:r>
    </w:p>
    <w:p>
      <w:pPr>
        <w:pStyle w:val="BodyText"/>
      </w:pPr>
      <w:r>
        <w:t xml:space="preserve">Altri laboratori hanno trovato in prodotti del mercato nero di derivati dell’IGF-1 numerose forme peptidiche ossidate, cioè modificate chimicamente (Mongongu 2021, PMID 33587816), e in un campione sequestrato di Melanotan II una purezza del 30% (Deville 2024, PMID 39302005). In preparati sequestrati dalla dogana danese sono stati trovati derivati di GHRP-2, GHRP-6, ipamorelina e di un frammento di GHRH, ai quali era stato anteposto ciascuno un amminoacido glicina aggiuntivo (Gajda 2019, PMID 30136411). Queste «varianti di design» servono presumibilmente ad aggirare i test antidoping. Il loro effetto e la loro sicurezza nell’uomo sono del tutto sconosciuti.</w:t>
      </w:r>
    </w:p>
    <w:bookmarkEnd w:id="1006"/>
    <w:bookmarkStart w:id="1007" w:name="sostanze-accompagnatrici-pericolose"/>
    <w:p>
      <w:pPr>
        <w:pStyle w:val="Heading4"/>
      </w:pPr>
      <w:r>
        <w:t xml:space="preserve">Sostanze accompagnatrici pericolose</w:t>
      </w:r>
    </w:p>
    <w:p>
      <w:pPr>
        <w:pStyle w:val="FirstParagraph"/>
      </w:pPr>
      <w:r>
        <w:t xml:space="preserve">Nell’indagine belga sono stati trovati gli elementi tossici arsenico e piombo. Un campione era contaminato da piombo, diversi contenevano arsenico in concentrazioni fino a dieci volte il limite internazionale per i farmaci iniettabili. L’analisi più approfondita ha mostrato che l’arsenico era presente interamente nella più tossica forma inorganica. Gli autori sottolineano che l’arsenico è cancerogeno e che il piombo si accumula nell’organismo – con un uso ripetuto per mesi, un rischio aggiuntivo e strisciante (Janvier 2018, PMID 30029448).</w:t>
      </w:r>
    </w:p>
    <w:p>
      <w:pPr>
        <w:pStyle w:val="BodyText"/>
      </w:pPr>
      <w:r>
        <w:t xml:space="preserve">A ciò si aggiungono germi e componenti batterici. Lo stesso laboratorio ha rilevato in due preparati peptidici illegali per iniezione il batterio</w:t>
      </w:r>
      <w:r>
        <w:t xml:space="preserve"> </w:t>
      </w:r>
      <w:r>
        <w:rPr>
          <w:iCs/>
          <w:i/>
        </w:rPr>
        <w:t xml:space="preserve">Bacillus cereus</w:t>
      </w:r>
      <w:r>
        <w:t xml:space="preserve"> </w:t>
      </w:r>
      <w:r>
        <w:t xml:space="preserve">(Janvier 2018, PMID 28941153). Negli acquisti di prova di semaglutide della Parte I erano rilevabili endotossine in tutti i campioni (Ashraf 2024, PMID 39509151). Perché ciò sia rilevante per il sistema immunitario lo descrive il capitolo «Reazioni immunitarie e anticorpi».</w:t>
      </w:r>
    </w:p>
    <w:bookmarkEnd w:id="1007"/>
    <w:bookmarkEnd w:id="1008"/>
    <w:bookmarkStart w:id="1009" w:name="sostanze-sempre-nuove"/>
    <w:p>
      <w:pPr>
        <w:pStyle w:val="Heading3"/>
      </w:pPr>
      <w:r>
        <w:t xml:space="preserve">Sostanze sempre nuove</w:t>
      </w:r>
    </w:p>
    <w:p>
      <w:pPr>
        <w:pStyle w:val="FirstParagraph"/>
      </w:pPr>
      <w:r>
        <w:t xml:space="preserve">Il mercato grigio reagisce rapidamente alle tendenze. Una sorveglianza europea del mercato con 1.104 casi segnalati da 16 paesi tra il 2017 e il 2019 ha rilevato che l’11% dei campioni conteneva molecole biologiche, soprattutto «Research Peptides»; era in assoluto la seconda categoria più frequente (Deconinck 2021, PMID 33453144). Laboratori belgi hanno identificato in preparati sequestrati il «peptide anti-aging» Epitalon (Vanhee 2015, PMID 25535022) e i peptidi nootropi Selank e Semax; il laboratorio ha quindi sviluppato un proprio metodo di rilevamento per dieci di questi peptidi offerti su internet (Vanhee 2020, PMID 31667971). Nel frattempo vengono offerti anche principi attivi ancora in fase di studi clinici, per esempio retatrutide e amicretina (capitoli Retatrutide, Amicretina).</w:t>
      </w:r>
    </w:p>
    <w:p>
      <w:pPr>
        <w:pStyle w:val="BodyText"/>
      </w:pPr>
      <w:r>
        <w:t xml:space="preserve">Per i laboratori di controllo ciò significa una corsa contro il tempo: una sostanza per cui non esiste ancora una sostanza di riferimento non può essere identificata con certezza. Per gli acquirenti significa che sui prodotti più recenti si sa meno che mai su contenuto e qualità.</w:t>
      </w:r>
    </w:p>
    <w:p>
      <w:pPr>
        <w:pStyle w:val="BodyText"/>
      </w:pPr>
      <w:r>
        <w:t xml:space="preserve">Sempre più spesso i prodotti del mercato grigio compaiono anche in forme che sembrano più innocue di un’iniezione. Un’indagine statunitense ha trovato 24 cerotti venduti come integratori alimentari e un gel pubblicizzati come «GLP-1 naturale». Nessuno presentava un certificato di analisi, molti facevano pubblicità ingannevole; secondo il diritto statunitense la vendita di tali cerotti come integratori non è ammessa (White 2026, PMID 41480958). Nella sorveglianza europea del mercato il 24% dei preparati per lo sviluppo muscolare era presentato come integratore alimentare – chi li acquista spesso non sa di assumere un farmaco non autorizzato (Barrios 2025, PMID 40551438).</w:t>
      </w:r>
    </w:p>
    <w:bookmarkEnd w:id="1009"/>
    <w:bookmarkStart w:id="1010" w:name="che-cosa-le-analisi-non-mostrano"/>
    <w:p>
      <w:pPr>
        <w:pStyle w:val="Heading3"/>
      </w:pPr>
      <w:r>
        <w:t xml:space="preserve">Che cosa le analisi non mostrano</w:t>
      </w:r>
    </w:p>
    <w:p>
      <w:pPr>
        <w:pStyle w:val="FirstParagraph"/>
      </w:pPr>
      <w:r>
        <w:t xml:space="preserve">Per quanto chiari siano i reperti, hanno dei limiti.</w:t>
      </w:r>
    </w:p>
    <w:p>
      <w:pPr>
        <w:numPr>
          <w:ilvl w:val="0"/>
          <w:numId w:val="1345"/>
        </w:numPr>
        <w:pStyle w:val="Compact"/>
      </w:pPr>
      <w:r>
        <w:rPr>
          <w:bCs/>
          <w:b/>
        </w:rPr>
        <w:t xml:space="preserve">Nessun campione rappresentativo.</w:t>
      </w:r>
      <w:r>
        <w:t xml:space="preserve"> </w:t>
      </w:r>
      <w:r>
        <w:t xml:space="preserve">La merce sequestrata è una selezione di ciò che attira l’attenzione della dogana. Gli acquisti di prova comprendono per lo più pochi venditori. Quale sia la quota di prodotti difettosi sull’intero mercato non si può calcolare da questi dati.</w:t>
      </w:r>
    </w:p>
    <w:p>
      <w:pPr>
        <w:numPr>
          <w:ilvl w:val="0"/>
          <w:numId w:val="1345"/>
        </w:numPr>
        <w:pStyle w:val="Compact"/>
      </w:pPr>
      <w:r>
        <w:rPr>
          <w:bCs/>
          <w:b/>
        </w:rPr>
        <w:t xml:space="preserve">Istantanee.</w:t>
      </w:r>
      <w:r>
        <w:t xml:space="preserve"> </w:t>
      </w:r>
      <w:r>
        <w:t xml:space="preserve">Un venditore la cui merce oggi è corretta può domani fornire un lotto diverso. I buoni risultati di un’analisi non valgono per il flacone successivo.</w:t>
      </w:r>
    </w:p>
    <w:p>
      <w:pPr>
        <w:numPr>
          <w:ilvl w:val="0"/>
          <w:numId w:val="1345"/>
        </w:numPr>
        <w:pStyle w:val="Compact"/>
      </w:pPr>
      <w:r>
        <w:rPr>
          <w:bCs/>
          <w:b/>
        </w:rPr>
        <w:t xml:space="preserve">Non tutto viene verificato.</w:t>
      </w:r>
      <w:r>
        <w:t xml:space="preserve"> </w:t>
      </w:r>
      <w:r>
        <w:t xml:space="preserve">Molti rapporti determinano solo l’identità del principio attivo. Se un prodotto con contenuto «giusto» fosse sterile e privo di endotossine resta allora aperto.</w:t>
      </w:r>
    </w:p>
    <w:p>
      <w:pPr>
        <w:numPr>
          <w:ilvl w:val="0"/>
          <w:numId w:val="1345"/>
        </w:numPr>
        <w:pStyle w:val="Compact"/>
      </w:pPr>
      <w:r>
        <w:rPr>
          <w:bCs/>
          <w:b/>
        </w:rPr>
        <w:t xml:space="preserve">Nessuna affermazione su efficacia e sicurezza.</w:t>
      </w:r>
      <w:r>
        <w:t xml:space="preserve"> </w:t>
      </w:r>
      <w:r>
        <w:t xml:space="preserve">Anche un prodotto puro è sicuro solo quanto il principio attivo stesso. Per la maggior parte dei peptidi del mercato grigio mancano in merito studi sull’uomo (vedi Parte II).</w:t>
      </w:r>
    </w:p>
    <w:bookmarkEnd w:id="1010"/>
    <w:bookmarkStart w:id="1011" w:name="X1d2f7b0a714f18f69837eb734328020d9e84ecf"/>
    <w:p>
      <w:pPr>
        <w:pStyle w:val="Heading3"/>
      </w:pPr>
      <w:r>
        <w:t xml:space="preserve">Farmaci GLP-1: che cosa riferiscono i centri antiveleni</w:t>
      </w:r>
    </w:p>
    <w:p>
      <w:pPr>
        <w:pStyle w:val="FirstParagraph"/>
      </w:pPr>
      <w:r>
        <w:t xml:space="preserve">Per i farmaci GLP-1 esiste una fonte di dati aggiuntiva che mostra che cosa va effettivamente storto nell’uso: le chiamate ai centri antiveleni. Negli USA vengono raccolte in una banca dati nazionale. Questi dati non distinguono sempre tra originale, preparato galenico e merce del mercato grigio, ma mostrano l’ordine di grandezza dei problemi.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Periodo ed entità</w:t>
            </w:r>
          </w:p>
        </w:tc>
        <w:tc>
          <w:tcPr/>
          <w:p>
            <w:pPr>
              <w:pStyle w:val="Compact"/>
              <w:jc w:val="left"/>
            </w:pPr>
            <w:r>
              <w:t xml:space="preserve">Reperti principali</w:t>
            </w:r>
          </w:p>
        </w:tc>
      </w:tr>
      <w:tr>
        <w:tc>
          <w:tcPr/>
          <w:p>
            <w:pPr>
              <w:pStyle w:val="Compact"/>
              <w:jc w:val="left"/>
            </w:pPr>
            <w:r>
              <w:t xml:space="preserve">Gaw 2024, PMID 38421490</w:t>
            </w:r>
          </w:p>
        </w:tc>
        <w:tc>
          <w:tcPr/>
          <w:p>
            <w:pPr>
              <w:pStyle w:val="Compact"/>
              <w:jc w:val="left"/>
            </w:pPr>
            <w:r>
              <w:t xml:space="preserve">USA, 2017–2022, 5.713 casi</w:t>
            </w:r>
          </w:p>
        </w:tc>
        <w:tc>
          <w:tcPr/>
          <w:p>
            <w:pPr>
              <w:pStyle w:val="Compact"/>
              <w:jc w:val="left"/>
            </w:pPr>
            <w:r>
              <w:t xml:space="preserve">79,9% errori d’uso; 6,2% decorsi gravi, un decesso</w:t>
            </w:r>
          </w:p>
        </w:tc>
      </w:tr>
      <w:tr>
        <w:tc>
          <w:tcPr/>
          <w:p>
            <w:pPr>
              <w:pStyle w:val="Compact"/>
              <w:jc w:val="left"/>
            </w:pPr>
            <w:r>
              <w:t xml:space="preserve">Miller 2026, PMID 41634285</w:t>
            </w:r>
          </w:p>
        </w:tc>
        <w:tc>
          <w:tcPr/>
          <w:p>
            <w:pPr>
              <w:pStyle w:val="Compact"/>
              <w:jc w:val="left"/>
            </w:pPr>
            <w:r>
              <w:t xml:space="preserve">USA, 2012–2023, 10.033 casi</w:t>
            </w:r>
          </w:p>
        </w:tc>
        <w:tc>
          <w:tcPr/>
          <w:p>
            <w:pPr>
              <w:pStyle w:val="Compact"/>
              <w:jc w:val="left"/>
            </w:pPr>
            <w:r>
              <w:t xml:space="preserve">dopo l’autorizzazione per l’obesità più casi, quota con contatto medico od ospedaliero dal 23,0 al 33,5%</w:t>
            </w:r>
          </w:p>
        </w:tc>
      </w:tr>
      <w:tr>
        <w:tc>
          <w:tcPr/>
          <w:p>
            <w:pPr>
              <w:pStyle w:val="Compact"/>
              <w:jc w:val="left"/>
            </w:pPr>
            <w:r>
              <w:t xml:space="preserve">Senthilkumar 2026, PMID 41784916</w:t>
            </w:r>
          </w:p>
        </w:tc>
        <w:tc>
          <w:tcPr/>
          <w:p>
            <w:pPr>
              <w:pStyle w:val="Compact"/>
              <w:jc w:val="left"/>
            </w:pPr>
            <w:r>
              <w:t xml:space="preserve">USA, 2017–2024, 13.924 casi</w:t>
            </w:r>
          </w:p>
        </w:tc>
        <w:tc>
          <w:tcPr/>
          <w:p>
            <w:pPr>
              <w:pStyle w:val="Compact"/>
              <w:jc w:val="left"/>
            </w:pPr>
            <w:r>
              <w:t xml:space="preserve">91,7% senza conseguenze o con conseguenze lievi; 42 decorsi gravi, due decessi</w:t>
            </w:r>
          </w:p>
        </w:tc>
      </w:tr>
      <w:tr>
        <w:tc>
          <w:tcPr/>
          <w:p>
            <w:pPr>
              <w:pStyle w:val="Compact"/>
              <w:jc w:val="left"/>
            </w:pPr>
            <w:r>
              <w:t xml:space="preserve">Ho 2025, PMID 40371098</w:t>
            </w:r>
          </w:p>
        </w:tc>
        <w:tc>
          <w:tcPr/>
          <w:p>
            <w:pPr>
              <w:pStyle w:val="Compact"/>
              <w:jc w:val="left"/>
            </w:pPr>
            <w:r>
              <w:t xml:space="preserve">California, 2017–2023, 1.047 casi</w:t>
            </w:r>
          </w:p>
        </w:tc>
        <w:tc>
          <w:tcPr/>
          <w:p>
            <w:pPr>
              <w:pStyle w:val="Compact"/>
              <w:jc w:val="left"/>
            </w:pPr>
            <w:r>
              <w:t xml:space="preserve">21,0% in pronto soccorso, 4,4% ricoverati; ipoglicemia nel 3,8%</w:t>
            </w:r>
          </w:p>
        </w:tc>
      </w:tr>
    </w:tbl>
    <w:p>
      <w:pPr>
        <w:pStyle w:val="BodyText"/>
      </w:pPr>
      <w:r>
        <w:t xml:space="preserve">Spiccano diversi schemi:</w:t>
      </w:r>
    </w:p>
    <w:p>
      <w:pPr>
        <w:pStyle w:val="BodyText"/>
      </w:pPr>
      <w:r>
        <w:rPr>
          <w:bCs/>
          <w:b/>
        </w:rPr>
        <w:t xml:space="preserve">Il numero di casi è aumentato fortemente con la diffusione.</w:t>
      </w:r>
      <w:r>
        <w:t xml:space="preserve"> </w:t>
      </w:r>
      <w:r>
        <w:t xml:space="preserve">Dal 2021 al 2022 il tasso di casi segnalati per milione di abitanti è aumentato dell’80,9% (Gaw 2024, PMID 38421490). Tra il 2017 e il 2024 è aumentato complessivamente del 1.830,8% (Senthilkumar 2026, PMID 41784916).</w:t>
      </w:r>
    </w:p>
    <w:p>
      <w:pPr>
        <w:pStyle w:val="BodyText"/>
      </w:pPr>
      <w:r>
        <w:rPr>
          <w:bCs/>
          <w:b/>
        </w:rPr>
        <w:t xml:space="preserve">La maggior parte dei casi sono errori d’uso.</w:t>
      </w:r>
      <w:r>
        <w:t xml:space="preserve"> </w:t>
      </w:r>
      <w:r>
        <w:t xml:space="preserve">In tutte le analisi prevalevano errori involontari nell’uso, per esempio una dose doppia o misurata in modo sbagliato (Gaw 2024, PMID 38421490; Ho 2025, PMID 40371098). In un’analisi di un singolo centro il 21% dei casi era dovuto a errori al primo utilizzo della penna preriempita (Marshall 2024, PMID 38861153). Gli errori si verificano quindi anche con prodotti autorizzati. Nell’analisi californiana 36 casi riguardavano preparati galenici; per questi, nel 91,7% dei casi la causa erano errori nella misurazione o nell’iniezione (Ho 2025, PMID 40371098). Ciò concorda con i casi clinici, descritti nella Parte I, di confusioni tra millilitri, «unità» e milligrammi con i flaconi.</w:t>
      </w:r>
    </w:p>
    <w:p>
      <w:pPr>
        <w:pStyle w:val="BodyText"/>
      </w:pPr>
      <w:r>
        <w:rPr>
          <w:bCs/>
          <w:b/>
        </w:rPr>
        <w:t xml:space="preserve">Le conseguenze sono per lo più lievi, ma non sempre.</w:t>
      </w:r>
      <w:r>
        <w:t xml:space="preserve"> </w:t>
      </w:r>
      <w:r>
        <w:t xml:space="preserve">In primo piano ci sono nausea e vomito. Una minoranza non trascurabile ha però bisogno di cure mediche, e ci sono stati decessi (Gaw 2024, PMID 38421490; Senthilkumar 2026, PMID 41784916). Le ipoglicemie si sono verificate dal 3,4% (Muschler 2025, PMID 39803696) al 3,8% (Ho 2025, PMID 40371098) dei casi; in un’ulteriore analisi l’ipoglicemia è comparsa raramente, ma anche dopo l’uso di un solo farmaco GLP-1 (Marshall 2024, PMID 38861153). Quanto grave possa essere il decorso di un sovradosaggio lo mostra il caso, descritto nel capitolo «Reazioni immunitarie», di una donna che, dopo una dose accidentalmente dieci volte superiore proveniente da una farmacia galenica, ha dovuto essere ventilata per un gonfiore massiccio della gola e ha sviluppato anche un’ipoglicemia (Kraft 2026, PMID 42194666).</w:t>
      </w:r>
    </w:p>
    <w:p>
      <w:pPr>
        <w:pStyle w:val="BodyText"/>
      </w:pPr>
      <w:r>
        <w:rPr>
          <w:bCs/>
          <w:b/>
        </w:rPr>
        <w:t xml:space="preserve">Gli adolescenti sono un gruppo a rischio a sé.</w:t>
      </w:r>
      <w:r>
        <w:t xml:space="preserve"> </w:t>
      </w:r>
      <w:r>
        <w:t xml:space="preserve">Nei bambini e negli adolescenti tra i 6 e i 17 anni il tasso di casi è aumentato più che in ogni altro gruppo tra il 2017 e il 2024. Sono stati ricoverati più spesso degli adulti (rischio relativo 2,66), e i loro casi erano dovuti molto più spesso a un uso improprio intenzionale (rischio relativo 8,12) (Senthilkumar 2026, PMID 41784916). Maggiori dettagli nel capitolo seguente.</w:t>
      </w:r>
    </w:p>
    <w:bookmarkEnd w:id="1011"/>
    <w:bookmarkStart w:id="1012" w:name="che-cosa-ne-risulta"/>
    <w:p>
      <w:pPr>
        <w:pStyle w:val="Heading3"/>
      </w:pPr>
      <w:r>
        <w:t xml:space="preserve">Che cosa ne risulta</w:t>
      </w:r>
    </w:p>
    <w:p>
      <w:pPr>
        <w:pStyle w:val="FirstParagraph"/>
      </w:pPr>
      <w:r>
        <w:t xml:space="preserve">Le analisi di laboratorio e i dati dei centri antiveleni descrivono due facce dello stesso problema. Le analisi mostrano che i prodotti del mercato grigio possono discostarsi dall’etichetta sotto ogni aspetto immaginabile: nella sostanza, nella quantità, nella purezza e nelle sostanze tossiche accompagnatrici. I dati dei centri antiveleni mostrano che già con prodotti controllati gli errori di misurazione sono frequenti – e che i flaconi, che vanno prima sciolti e poi convertiti con un calcolo, sono particolarmente soggetti a errori.</w:t>
      </w:r>
    </w:p>
    <w:p>
      <w:pPr>
        <w:pStyle w:val="BodyText"/>
      </w:pPr>
      <w:r>
        <w:t xml:space="preserve">Combinando le due cose ne risulta un rischio che nessuno studio su un principio attivo può descrivere: chi si inietta un peptide del mercato grigio non conosce né il contenuto né la quantità, e ogni deviazione viene ulteriormente amplificata da possibili errori di calcolo propri. I dati di sicurezza degli studi registrativi, descritti nella Parte II, non valgono per questi prodotti.</w:t>
      </w:r>
    </w:p>
    <w:bookmarkEnd w:id="1012"/>
    <w:bookmarkStart w:id="1013" w:name="in-breve-1"/>
    <w:p>
      <w:pPr>
        <w:pStyle w:val="Heading3"/>
      </w:pPr>
      <w:r>
        <w:t xml:space="preserve">In breve</w:t>
      </w:r>
    </w:p>
    <w:p>
      <w:pPr>
        <w:numPr>
          <w:ilvl w:val="0"/>
          <w:numId w:val="1346"/>
        </w:numPr>
        <w:pStyle w:val="Compact"/>
      </w:pPr>
      <w:r>
        <w:t xml:space="preserve">Laboratori ufficiali, forensi e antidoping trovano regolarmente nei peptidi del mercato grigio principi attivi sbagliati, quantità sbagliate, bassa purezza e varianti di design.</w:t>
      </w:r>
    </w:p>
    <w:p>
      <w:pPr>
        <w:numPr>
          <w:ilvl w:val="0"/>
          <w:numId w:val="1346"/>
        </w:numPr>
        <w:pStyle w:val="Compact"/>
      </w:pPr>
      <w:r>
        <w:t xml:space="preserve">Un’analisi sistematica belga ha trovato inoltre arsenico e piombo, in parte fino a dieci volte il limite per le iniezioni, nonché batteri in preparati iniettabili.</w:t>
      </w:r>
    </w:p>
    <w:p>
      <w:pPr>
        <w:numPr>
          <w:ilvl w:val="0"/>
          <w:numId w:val="1346"/>
        </w:numPr>
        <w:pStyle w:val="Compact"/>
      </w:pPr>
      <w:r>
        <w:t xml:space="preserve">Nuovi «Research Peptides» compaiono più rapidamente di quanto i laboratori di controllo riescano a sviluppare metodi di rilevamento.</w:t>
      </w:r>
    </w:p>
    <w:p>
      <w:pPr>
        <w:numPr>
          <w:ilvl w:val="0"/>
          <w:numId w:val="1346"/>
        </w:numPr>
        <w:pStyle w:val="Compact"/>
      </w:pPr>
      <w:r>
        <w:t xml:space="preserve">Le analisi sono istantanee; un buon risultato non vale per il lotto successivo.</w:t>
      </w:r>
    </w:p>
    <w:p>
      <w:pPr>
        <w:numPr>
          <w:ilvl w:val="0"/>
          <w:numId w:val="1346"/>
        </w:numPr>
        <w:pStyle w:val="Compact"/>
      </w:pPr>
      <w:r>
        <w:t xml:space="preserve">Negli USA il numero di chiamate ai centri antiveleni per farmaci GLP-1 è aumentato fortemente. La maggior parte dei casi sono errori d’uso con conseguenze lievi, una minoranza ha un decorso grave. Per i preparati galenici quasi tutti i casi erano dovuti a errori di misurazione.</w:t>
      </w:r>
    </w:p>
    <w:bookmarkEnd w:id="1013"/>
    <w:bookmarkEnd w:id="1014"/>
    <w:bookmarkStart w:id="1025" w:name="X5f6f02601849e573c2773c80bfde040e00715e9"/>
    <w:p>
      <w:pPr>
        <w:pStyle w:val="Heading2"/>
      </w:pPr>
      <w:r>
        <w:t xml:space="preserve">Interazioni e gruppi a rischio particolare</w:t>
      </w:r>
    </w:p>
    <w:p>
      <w:pPr>
        <w:pStyle w:val="FirstParagraph"/>
      </w:pPr>
      <w:r>
        <w:t xml:space="preserve">Gli studi su cui si basa l’autorizzazione di un farmaco escludono quasi sempre determinate persone: donne in gravidanza, bambini, persone molto anziane o con più malattie, persone con disturbi alimentari o gravi malattie psichiche. Ciò che vale per i partecipanti agli studi è quindi trasferibile a questi gruppi solo in misura limitata. A ciò si aggiungono le interazioni con altri farmaci e situazioni come un’anestesia, in cui un effetto altrimenti innocuo può diventare improvvisamente pericoloso.</w:t>
      </w:r>
    </w:p>
    <w:p>
      <w:pPr>
        <w:pStyle w:val="BodyText"/>
      </w:pPr>
      <w:r>
        <w:t xml:space="preserve">Questo capitolo raccoglie queste questioni. Non sostituisce né la consulenza medica né il riassunto delle caratteristiche del prodotto. Per i farmaci autorizzati è il riassunto delle caratteristiche del prodotto a disciplinare in modo vincolante controindicazioni e interazioni; per i peptidi non autorizzati, di regola, su questi gruppi non esistono affatto dati.</w:t>
      </w:r>
    </w:p>
    <w:bookmarkStart w:id="1015" w:name="gravidanza-e-allattamento"/>
    <w:p>
      <w:pPr>
        <w:pStyle w:val="Heading3"/>
      </w:pPr>
      <w:r>
        <w:t xml:space="preserve">Gravidanza e allattamento</w:t>
      </w:r>
    </w:p>
    <w:p>
      <w:pPr>
        <w:pStyle w:val="FirstParagraph"/>
      </w:pPr>
      <w:r>
        <w:t xml:space="preserve">Per quasi tutti i peptidi di questo libro vale: in gravidanza non sono stati studiati o non sono indicati. I riassunti delle caratteristiche del prodotto dei farmaci GLP-1 prevedono di non usarli in gravidanza e di sospenderli per tempo prima di una gravidanza programmata (capitoli Semaglutide, Tirzepatide). Per maridebart cafraglutide ciò è particolarmente importante, perché in uno studio precoce il suo effetto è durato fino a 150 giorni dopo l’ultima dose (capitolo Maridebart cafraglutide).</w:t>
      </w:r>
    </w:p>
    <w:p>
      <w:pPr>
        <w:pStyle w:val="BodyText"/>
      </w:pPr>
      <w:r>
        <w:t xml:space="preserve">Poiché i farmaci GLP-1 vengono usati da molte donne in età fertile e la perdita di peso può migliorare la fertilità, si verificano comunque gravidanze non programmate durante il trattamento. Per questa situazione esistono ormai dati, in prevalenza rassicuranti:</w:t>
      </w:r>
    </w:p>
    <w:p>
      <w:pPr>
        <w:numPr>
          <w:ilvl w:val="0"/>
          <w:numId w:val="1347"/>
        </w:numPr>
        <w:pStyle w:val="Compact"/>
      </w:pPr>
      <w:r>
        <w:t xml:space="preserve">In un grande studio da quattro paesi nordici, dagli USA e da Israele, il tasso di malformazioni gravi nei figli di donne con diabete di tipo 2 che avevano ricevuto agonisti del recettore del GLP-1 nel periodo del concepimento non era più alto che con l’insulina (rischio relativo aggiustato 0,95) (Cesta 2024, PMID 38079178).</w:t>
      </w:r>
    </w:p>
    <w:p>
      <w:pPr>
        <w:numPr>
          <w:ilvl w:val="0"/>
          <w:numId w:val="1347"/>
        </w:numPr>
        <w:pStyle w:val="Compact"/>
      </w:pPr>
      <w:r>
        <w:t xml:space="preserve">Un’analisi di sei centri di consulenza sui farmaci in gravidanza ha trovato, in 168 gravidanze con esposizione al GLP-1 nel primo trimestre, malformazioni gravi nel 2,6%, nei gruppi di confronto nel 2,3% e nel 3,9% (Dao 2024, PMID 38663923).</w:t>
      </w:r>
    </w:p>
    <w:p>
      <w:pPr>
        <w:numPr>
          <w:ilvl w:val="0"/>
          <w:numId w:val="1347"/>
        </w:numPr>
        <w:pStyle w:val="Compact"/>
      </w:pPr>
      <w:r>
        <w:t xml:space="preserve">Uno studio statunitense con 3.572 gravidanze ha confrontato donne che hanno continuato a ritirare il farmaco anche nel primo trimestre con donne che lo hanno sospeso. Non è emerso un rischio chiaramente aumentato di aborto spontaneo o natimortalità, disturbi della crescita o malformazioni; le stime per le malformazioni erano però così imprecise che non si può escludere nemmeno una differenza rilevante (Brown 2026, PMID 42258827).</w:t>
      </w:r>
    </w:p>
    <w:p>
      <w:pPr>
        <w:numPr>
          <w:ilvl w:val="0"/>
          <w:numId w:val="1347"/>
        </w:numPr>
        <w:pStyle w:val="Compact"/>
      </w:pPr>
      <w:r>
        <w:t xml:space="preserve">Una meta-analisi di sette studi di coorte con oltre 40.000 gravidanze esposte non ha trovato un aumento statisticamente accertato delle malformazioni gravi; un segnale per le malformazioni delle vie urinarie si basava solo su dati non aggiustati. Gli autori valutano bassa la certezza delle prove (Uysal 2026, PMID 42420519).</w:t>
      </w:r>
    </w:p>
    <w:p>
      <w:pPr>
        <w:pStyle w:val="FirstParagraph"/>
      </w:pPr>
      <w:r>
        <w:t xml:space="preserve">Questi dati aiutano a valutare un’esposizione</w:t>
      </w:r>
      <w:r>
        <w:t xml:space="preserve"> </w:t>
      </w:r>
      <w:r>
        <w:rPr>
          <w:iCs/>
          <w:i/>
        </w:rPr>
        <w:t xml:space="preserve">accidentale</w:t>
      </w:r>
      <w:r>
        <w:t xml:space="preserve">. Non sono una prova che un uso programmato in gravidanza sarebbe sicuro. Per l’allattamento i dati sono ancora più scarsi; sul passaggio di bremelanotide nel latte materno è stato concluso un piccolo studio con dieci donne (NCT06867835).</w:t>
      </w:r>
    </w:p>
    <w:p>
      <w:pPr>
        <w:pStyle w:val="BodyText"/>
      </w:pPr>
      <w:r>
        <w:t xml:space="preserve">Alcuni peptidi sono pericolosi in gravidanza per il loro stesso principio d’azione. L’ossitocina provoca le contrazioni; un uso come spray nasale al di fuori del controllo medico è rischioso in gravidanza (capitolo Ossitocina). Per i peptidi del mercato grigio come BPC-157, TB-500, Epitalon o i secretagoghi dell’ormone della crescita non esiste alcun dato su gravidanza e allattamento.</w:t>
      </w:r>
    </w:p>
    <w:bookmarkEnd w:id="1015"/>
    <w:bookmarkStart w:id="1016" w:name="X95d6a2fa32da5d8132599a84bc22ba285873a69"/>
    <w:p>
      <w:pPr>
        <w:pStyle w:val="Heading3"/>
      </w:pPr>
      <w:r>
        <w:t xml:space="preserve">Contraccezione orale e svuotamento gastrico</w:t>
      </w:r>
    </w:p>
    <w:p>
      <w:pPr>
        <w:pStyle w:val="FirstParagraph"/>
      </w:pPr>
      <w:r>
        <w:t xml:space="preserve">I farmaci GLP-1, gli analoghi dell’amilina come la pramlintide e anche bremelanotide rallentano lo svuotamento dello stomaco. Di conseguenza le compresse assunte contemporaneamente possono passare nel sangue più tardi o in quantità diversa. Ciò riguarda soprattutto i farmaci per cui contano un rapido inizio d’azione o un livello ematico costante.</w:t>
      </w:r>
    </w:p>
    <w:p>
      <w:pPr>
        <w:pStyle w:val="BodyText"/>
      </w:pPr>
      <w:r>
        <w:t xml:space="preserve">La pillola anticoncezionale è stata studiata con particolare accuratezza. Per semaglutide uno studio con 43 donne non ha trovato un ridotto assorbimento dei due ormoni di una comune pillola combinata; il livello del progestinico era anzi più alto del 20% con semaglutide (Kapitza 2015, PMID 25475122). Con tirzepatide è diverso: una revisione di sei studi ha trovato una riduzione significativa della quantità di ormone assorbita solo con tirzepatide, non con gli altri agonisti del recettore del GLP-1. Come spiegazione gli autori indicano il maggiore ritardo dello svuotamento gastrico dopo la prima dose e dopo gli aumenti di dose (Skelley 2024, PMID 37940101). Il riassunto delle caratteristiche del prodotto di tirzepatide contiene quindi un’avvertenza specifica sulla contraccezione orale; i dettagli si trovano lì e andrebbero discussi con il medico.</w:t>
      </w:r>
    </w:p>
    <w:p>
      <w:pPr>
        <w:pStyle w:val="BodyText"/>
      </w:pPr>
      <w:r>
        <w:t xml:space="preserve">Indipendentemente dal principio attivo vale: vomito o diarrea intensi – frequenti con i farmaci GLP-1 – possono compromettere l’assorbimento di qualsiasi compressa, anche della pillola.</w:t>
      </w:r>
    </w:p>
    <w:p>
      <w:pPr>
        <w:pStyle w:val="BodyText"/>
      </w:pPr>
      <w:r>
        <w:t xml:space="preserve">Altre interazioni note in sintesi: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Interazione</w:t>
            </w:r>
          </w:p>
        </w:tc>
        <w:tc>
          <w:tcPr/>
          <w:p>
            <w:pPr>
              <w:pStyle w:val="Compact"/>
              <w:jc w:val="left"/>
            </w:pPr>
            <w:r>
              <w:t xml:space="preserve">Significato</w:t>
            </w:r>
          </w:p>
        </w:tc>
        <w:tc>
          <w:tcPr/>
          <w:p>
            <w:pPr>
              <w:pStyle w:val="Compact"/>
              <w:jc w:val="left"/>
            </w:pPr>
            <w:r>
              <w:t xml:space="preserve">Capitolo</w:t>
            </w:r>
          </w:p>
        </w:tc>
      </w:tr>
      <w:tr>
        <w:tc>
          <w:tcPr/>
          <w:p>
            <w:pPr>
              <w:pStyle w:val="Compact"/>
              <w:jc w:val="left"/>
            </w:pPr>
            <w:r>
              <w:t xml:space="preserve">Farmaci GLP-1, pramlintide</w:t>
            </w:r>
          </w:p>
        </w:tc>
        <w:tc>
          <w:tcPr/>
          <w:p>
            <w:pPr>
              <w:pStyle w:val="Compact"/>
              <w:jc w:val="left"/>
            </w:pPr>
            <w:r>
              <w:t xml:space="preserve">assorbimento ritardato delle compresse</w:t>
            </w:r>
          </w:p>
        </w:tc>
        <w:tc>
          <w:tcPr/>
          <w:p>
            <w:pPr>
              <w:pStyle w:val="Compact"/>
              <w:jc w:val="left"/>
            </w:pPr>
            <w:r>
              <w:t xml:space="preserve">da considerare per farmaci con stretto margine terapeutico</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meno ormone dalla pillola</w:t>
            </w:r>
          </w:p>
        </w:tc>
        <w:tc>
          <w:tcPr/>
          <w:p>
            <w:pPr>
              <w:pStyle w:val="Compact"/>
              <w:jc w:val="left"/>
            </w:pPr>
            <w:r>
              <w:t xml:space="preserve">avvertenza nel riassunto delle caratteristiche del prodotto</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livelli più bassi di indometacina e naltrexone</w:t>
            </w:r>
          </w:p>
        </w:tc>
        <w:tc>
          <w:tcPr/>
          <w:p>
            <w:pPr>
              <w:pStyle w:val="Compact"/>
              <w:jc w:val="left"/>
            </w:pPr>
            <w:r>
              <w:t xml:space="preserve">l’effetto di questi farmaci può diminuire</w:t>
            </w:r>
          </w:p>
        </w:tc>
        <w:tc>
          <w:tcPr/>
          <w:p>
            <w:pPr>
              <w:pStyle w:val="Compact"/>
              <w:jc w:val="left"/>
            </w:pPr>
            <w:r>
              <w:t xml:space="preserve">Bremelanotide</w:t>
            </w:r>
          </w:p>
        </w:tc>
      </w:tr>
      <w:tr>
        <w:tc>
          <w:tcPr/>
          <w:p>
            <w:pPr>
              <w:pStyle w:val="Compact"/>
              <w:jc w:val="left"/>
            </w:pPr>
            <w:r>
              <w:t xml:space="preserve">Macimorelina</w:t>
            </w:r>
          </w:p>
        </w:tc>
        <w:tc>
          <w:tcPr/>
          <w:p>
            <w:pPr>
              <w:pStyle w:val="Compact"/>
              <w:jc w:val="left"/>
            </w:pPr>
            <w:r>
              <w:t xml:space="preserve">prolunga l’intervallo QT</w:t>
            </w:r>
          </w:p>
        </w:tc>
        <w:tc>
          <w:tcPr/>
          <w:p>
            <w:pPr>
              <w:pStyle w:val="Compact"/>
              <w:jc w:val="left"/>
            </w:pPr>
            <w:r>
              <w:t xml:space="preserve">cautela con altri farmaci che prolungano il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metabolismo tramite enzimi epatici</w:t>
            </w:r>
          </w:p>
        </w:tc>
        <w:tc>
          <w:tcPr/>
          <w:p>
            <w:pPr>
              <w:pStyle w:val="Compact"/>
              <w:jc w:val="left"/>
            </w:pPr>
            <w:r>
              <w:t xml:space="preserve">possibili interazioni con altri farmaci</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sedativi e sonniferi, alcol</w:t>
            </w:r>
          </w:p>
        </w:tc>
        <w:tc>
          <w:tcPr/>
          <w:p>
            <w:pPr>
              <w:pStyle w:val="Compact"/>
              <w:jc w:val="left"/>
            </w:pPr>
            <w:r>
              <w:t xml:space="preserve">non studiato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coagulazione del sangue (solo dati animali)</w:t>
            </w:r>
          </w:p>
        </w:tc>
        <w:tc>
          <w:tcPr/>
          <w:p>
            <w:pPr>
              <w:pStyle w:val="Compact"/>
              <w:jc w:val="left"/>
            </w:pPr>
            <w:r>
              <w:t xml:space="preserve">con anticoagulanti sconosciuto</w:t>
            </w:r>
          </w:p>
        </w:tc>
        <w:tc>
          <w:tcPr/>
          <w:p>
            <w:pPr>
              <w:pStyle w:val="Compact"/>
              <w:jc w:val="left"/>
            </w:pPr>
            <w:r>
              <w:t xml:space="preserve">BPC-157</w:t>
            </w:r>
          </w:p>
        </w:tc>
      </w:tr>
    </w:tbl>
    <w:p>
      <w:pPr>
        <w:pStyle w:val="BodyText"/>
      </w:pPr>
      <w:r>
        <w:t xml:space="preserve">L’interazione di bremelanotide con indometacina e naltrexone è descritta nei dati registrativi (Clayton 2022, PMID 35147466). Il prolungamento del QT da macimorelina è stato misurato in uno studio ECG approfondito (Lissy 2021, PMID 32961034).</w:t>
      </w:r>
    </w:p>
    <w:bookmarkEnd w:id="1016"/>
    <w:bookmarkStart w:id="1017" w:name="anestesia-gastroscopia-e-aspirazione"/>
    <w:p>
      <w:pPr>
        <w:pStyle w:val="Heading3"/>
      </w:pPr>
      <w:r>
        <w:t xml:space="preserve">Anestesia, gastroscopia e aspirazione</w:t>
      </w:r>
    </w:p>
    <w:p>
      <w:pPr>
        <w:pStyle w:val="FirstParagraph"/>
      </w:pPr>
      <w:r>
        <w:t xml:space="preserve">Prima di un’anestesia lo stomaco deve essere vuoto. Il motivo: se durante l’anestesia il contenuto gastrico finisce nelle vie respiratorie (aspirazione), può seguirne una grave polmonite. Poiché i farmaci GLP-1 rallentano lo svuotamento gastrico, lo stomaco può contenere ancora residui di cibo nonostante un digiuno conforme alle prescrizioni.</w:t>
      </w:r>
    </w:p>
    <w:p>
      <w:pPr>
        <w:pStyle w:val="BodyText"/>
      </w:pPr>
      <w:r>
        <w:t xml:space="preserve">Gli studi in merito delineano un quadro diviso in due:</w:t>
      </w:r>
    </w:p>
    <w:p>
      <w:pPr>
        <w:numPr>
          <w:ilvl w:val="0"/>
          <w:numId w:val="1348"/>
        </w:numPr>
        <w:pStyle w:val="Compact"/>
      </w:pPr>
      <w:r>
        <w:rPr>
          <w:bCs/>
          <w:b/>
        </w:rPr>
        <w:t xml:space="preserve">Un maggiore contenuto residuo nello stomaco è ben documentato.</w:t>
      </w:r>
      <w:r>
        <w:t xml:space="preserve"> </w:t>
      </w:r>
      <w:r>
        <w:t xml:space="preserve">Una meta-analisi di 23 studi osservazionali con 262.018 persone sottoposte a gastroscopia ha trovato con gli agonisti del recettore del GLP-1 un rischio circa quattro volte e mezzo più alto di residui di cibo nello stomaco (odds ratio 4,54) e altrettanto più spesso esami interrotti anticipatamente. Una polmonite da aspirazione non si è verificata più spesso (odds ratio 0,96) (Baig 2025, PMID 39694296).</w:t>
      </w:r>
    </w:p>
    <w:p>
      <w:pPr>
        <w:numPr>
          <w:ilvl w:val="0"/>
          <w:numId w:val="1348"/>
        </w:numPr>
        <w:pStyle w:val="Compact"/>
      </w:pPr>
      <w:r>
        <w:t xml:space="preserve">In uno studio con ecografia gastrica prima di interventi programmati, il 49% delle persone in trattamento con semaglutide aveva uno «stomaco pieno», ma solo il 18% delle persone di controllo comparabili; residui di cibo solido sono stati trovati nel 42% contro il 7%. Ciò valeva anche se era stata saltata una dose prima dell’intervento (Vlaeminck 2026, PMID 41631344).</w:t>
      </w:r>
    </w:p>
    <w:p>
      <w:pPr>
        <w:numPr>
          <w:ilvl w:val="0"/>
          <w:numId w:val="1348"/>
        </w:numPr>
        <w:pStyle w:val="Compact"/>
      </w:pPr>
      <w:r>
        <w:rPr>
          <w:bCs/>
          <w:b/>
        </w:rPr>
        <w:t xml:space="preserve">Le aspirazioni effettive sono rare.</w:t>
      </w:r>
      <w:r>
        <w:t xml:space="preserve"> </w:t>
      </w:r>
      <w:r>
        <w:t xml:space="preserve">In un grande studio statunitense su banche dati con 296.389 coppie di persone con diabete di tipo 2, le complicanze respiratorie dopo interventi chirurgici con agonisti del recettore del GLP-1 si sono verificate persino più raramente (0,09% contro 0,34%), le aspirazioni nello 0,01% contro lo 0,03%. Gli autori sottolineano che non è chiaro se in questi casi fossero già state adottate misure precauzionali (Wu 2026, PMID 40940281).</w:t>
      </w:r>
    </w:p>
    <w:p>
      <w:pPr>
        <w:pStyle w:val="FirstParagraph"/>
      </w:pPr>
      <w:r>
        <w:t xml:space="preserve">È possibile che i tassi di aspirazione siano bassi proprio perché le équipe di anestesia conoscono il rischio e adattano la loro procedura. Se una pausa del farmaco prima di una gastroscopia riduca il problema dovrà chiarirlo un grande studio in Cina (NCT07276763). Per le persone in trattamento ciò significa soprattutto: prima di ogni intervento, anestesia o gastroscopia, dichiarare di usare un farmaco GLP-1 – anche se proviene da una farmacia galenica o dal mercato grigio. Come gestire il farmaco prima dell’intervento lo decide l’équipe curante secondo le raccomandazioni di volta in volta in vigore. Chi non considera un prodotto del mercato grigio come un farmaco e quindi non lo menziona toglie all’équipe di anestesia questa possibilità.</w:t>
      </w:r>
    </w:p>
    <w:bookmarkEnd w:id="1017"/>
    <w:bookmarkStart w:id="1018" w:name="X9043df3cd0f6422d34a2d6b4b2fb20e3e1ca23a"/>
    <w:p>
      <w:pPr>
        <w:pStyle w:val="Heading3"/>
      </w:pPr>
      <w:r>
        <w:t xml:space="preserve">Combinazione con farmaci antidiabetici e ipoglicemia</w:t>
      </w:r>
    </w:p>
    <w:p>
      <w:pPr>
        <w:pStyle w:val="FirstParagraph"/>
      </w:pPr>
      <w:r>
        <w:t xml:space="preserve">Come descritto nel capitolo «Effetti collaterali per apparato», i farmaci GLP-1 da soli causano a malapena ipoglicemie pericolose. Le cose cambiano in combinazione con insulina o sulfoniluree, che abbassano la glicemia indipendentemente dal valore attuale. In uno studio con exenatide in aggiunta a metformina e a una sulfonilurea si sono verificate ipoglicemie da lievi a moderate fino al 28%, con placebo nel 13%; con sulfonilurea a basso dosaggio erano più rare (Kendall 2005, PMID 15855571). Con la pramlintide, che si usa insieme all’insulina, le ipoglicemie gravi si sono verificate più spesso che con placebo (Edelman 2006, PMID 17003291). Per questo i riassunti delle caratteristiche del prodotto prevedono di verificare all’inizio la dose degli altri farmaci antidiabetici; l’attuazione spetta al medico.</w:t>
      </w:r>
    </w:p>
    <w:p>
      <w:pPr>
        <w:pStyle w:val="BodyText"/>
      </w:pPr>
      <w:r>
        <w:t xml:space="preserve">Per diversi peptidi non autorizzati è teoricamente ipotizzabile un’ulteriore riduzione della glicemia, per esempio per MOTS-c o IGF-1 LR3 (capitoli MOTS-c, IGF-1 LR3). Non è stato studiato. Al contrario, i peptidi dell’asse dell’ormone della crescita possono aumentare la glicemia e squilibrare un trattamento antidiabetico in corso (capitoli Ibutamoren, Tesamorelina).</w:t>
      </w:r>
    </w:p>
    <w:bookmarkEnd w:id="1018"/>
    <w:bookmarkStart w:id="1019" w:name="bambini-e-adolescenti-3"/>
    <w:p>
      <w:pPr>
        <w:pStyle w:val="Heading3"/>
      </w:pPr>
      <w:r>
        <w:t xml:space="preserve">Bambini e adolescenti</w:t>
      </w:r>
    </w:p>
    <w:p>
      <w:pPr>
        <w:pStyle w:val="FirstParagraph"/>
      </w:pPr>
      <w:r>
        <w:t xml:space="preserve">Semaglutide e liraglutide sono autorizzati nell’UE e negli USA anche per adolescenti dai dodici anni con obesità (aggiornato al 2026, da verificare). Gli studi registrativi mostrano un profilo di effetti collaterali simile a quello degli adulti: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w:t>
            </w:r>
          </w:p>
        </w:tc>
        <w:tc>
          <w:tcPr/>
          <w:p>
            <w:pPr>
              <w:pStyle w:val="Compact"/>
              <w:jc w:val="left"/>
            </w:pPr>
            <w:r>
              <w:t xml:space="preserve">Disturbi gastrointestinali</w:t>
            </w:r>
          </w:p>
        </w:tc>
        <w:tc>
          <w:tcPr/>
          <w:p>
            <w:pPr>
              <w:pStyle w:val="Compact"/>
              <w:jc w:val="left"/>
            </w:pPr>
            <w:r>
              <w:t xml:space="preserve">Altri reperti</w:t>
            </w:r>
          </w:p>
        </w:tc>
      </w:tr>
      <w:tr>
        <w:tc>
          <w:tcPr/>
          <w:p>
            <w:pPr>
              <w:pStyle w:val="Compact"/>
              <w:jc w:val="left"/>
            </w:pPr>
            <w:r>
              <w:t xml:space="preserve">STEP TEENS (Weghuber 2022), PMID 36322838</w:t>
            </w:r>
          </w:p>
        </w:tc>
        <w:tc>
          <w:tcPr/>
          <w:p>
            <w:pPr>
              <w:pStyle w:val="Compact"/>
              <w:jc w:val="left"/>
            </w:pPr>
            <w:r>
              <w:t xml:space="preserve">201 adolescenti, semaglutide, 68 settimane</w:t>
            </w:r>
          </w:p>
        </w:tc>
        <w:tc>
          <w:tcPr/>
          <w:p>
            <w:pPr>
              <w:pStyle w:val="Compact"/>
              <w:jc w:val="left"/>
            </w:pPr>
            <w:r>
              <w:t xml:space="preserve">62% vs. 42%</w:t>
            </w:r>
          </w:p>
        </w:tc>
        <w:tc>
          <w:tcPr/>
          <w:p>
            <w:pPr>
              <w:pStyle w:val="Compact"/>
              <w:jc w:val="left"/>
            </w:pPr>
            <w:r>
              <w:t xml:space="preserve">calcoli biliari nel 4%; eventi gravi 11% vs. 9%</w:t>
            </w:r>
          </w:p>
        </w:tc>
      </w:tr>
      <w:tr>
        <w:tc>
          <w:tcPr/>
          <w:p>
            <w:pPr>
              <w:pStyle w:val="Compact"/>
              <w:jc w:val="left"/>
            </w:pPr>
            <w:r>
              <w:t xml:space="preserve">SCALE Teens (Kelly 2020), PMID 32233338</w:t>
            </w:r>
          </w:p>
        </w:tc>
        <w:tc>
          <w:tcPr/>
          <w:p>
            <w:pPr>
              <w:pStyle w:val="Compact"/>
              <w:jc w:val="left"/>
            </w:pPr>
            <w:r>
              <w:t xml:space="preserve">251 adolescenti, liraglutide, 56 settimane</w:t>
            </w:r>
          </w:p>
        </w:tc>
        <w:tc>
          <w:tcPr/>
          <w:p>
            <w:pPr>
              <w:pStyle w:val="Compact"/>
              <w:jc w:val="left"/>
            </w:pPr>
            <w:r>
              <w:t xml:space="preserve">64,8% vs. 36,5%</w:t>
            </w:r>
          </w:p>
        </w:tc>
        <w:tc>
          <w:tcPr/>
          <w:p>
            <w:pPr>
              <w:pStyle w:val="Compact"/>
              <w:jc w:val="left"/>
            </w:pPr>
            <w:r>
              <w:t xml:space="preserve">interruzione per effetti collaterali 10,4% vs. 0%</w:t>
            </w:r>
          </w:p>
        </w:tc>
      </w:tr>
    </w:tbl>
    <w:p>
      <w:pPr>
        <w:pStyle w:val="BodyText"/>
      </w:pPr>
      <w:r>
        <w:t xml:space="preserve">Nello studio su liraglutide il BMI dopo la sospensione è risalito più che con il placebo, e nel gruppo liraglutide si è verificato un suicidio, che gli sperimentatori hanno classificato come probabilmente non legato al trattamento (Kelly 2020, PMID 32233338). Una meta-analisi di nove studi randomizzati e due studi osservazionali con adolescenti non ha trovato nel complesso alcun aumento di comportamenti suicidari o di depressione (Silva 2026, PMID 42115753).</w:t>
      </w:r>
    </w:p>
    <w:p>
      <w:pPr>
        <w:pStyle w:val="BodyText"/>
      </w:pPr>
      <w:r>
        <w:t xml:space="preserve">Un quadro diverso emerge dai dati dei centri antiveleni statunitensi. Nei bambini e negli adolescenti tra i 6 e i 17 anni i casi segnalati con farmaci GLP-1 sono aumentati più che in ogni altro gruppo tra il 2017 e il 2024. Sono stati ricoverati più spesso degli adulti (rischio relativo 2,66), hanno vomitato più spesso, e i loro casi erano dovuti circa otto volte più spesso a un uso improprio intenzionale (Senthilkumar 2026, PMID 41784916). Ciò fa pensare che gli adolescenti usino questi farmaci in parte al di fuori di un trattamento medico.</w:t>
      </w:r>
    </w:p>
    <w:p>
      <w:pPr>
        <w:pStyle w:val="BodyText"/>
      </w:pPr>
      <w:r>
        <w:t xml:space="preserve">Per i peptidi del mondo del fitness e del bodybuilding non è chiaro quanto siano diffusi tra gli adolescenti. Una revisione segnala la pubblicità sui social media e indizi di un uso crescente anche da parte di sportivi amatoriali più giovani, ma sottolinea che mancano studi sulla frequenza (Coutinho 2026, PMID 41880199). Per gli adolescenti, la cui crescita e il cui sistema ormonale non sono ancora completati, l’intervento sull’asse dell’ormone della crescita o degli ormoni sessuali con sostanze non autorizzate è particolarmente rischioso. I peptidi autorizzati per i bambini – per esempio la mecasermina nella grave carenza di IGF-1 – vengono usati esclusivamente sotto controllo specialistico (capitolo Mecasermina).</w:t>
      </w:r>
    </w:p>
    <w:bookmarkEnd w:id="1019"/>
    <w:bookmarkStart w:id="1020" w:name="persone-anziane"/>
    <w:p>
      <w:pPr>
        <w:pStyle w:val="Heading3"/>
      </w:pPr>
      <w:r>
        <w:t xml:space="preserve">Persone anziane</w:t>
      </w:r>
    </w:p>
    <w:p>
      <w:pPr>
        <w:pStyle w:val="FirstParagraph"/>
      </w:pPr>
      <w:r>
        <w:t xml:space="preserve">Con l’età aumenta il rischio che gli effetti collaterali abbiano un decorso più grave. Per le persone anziane sono importanti, con i peptidi, soprattutto quattro punti:</w:t>
      </w:r>
    </w:p>
    <w:p>
      <w:pPr>
        <w:numPr>
          <w:ilvl w:val="0"/>
          <w:numId w:val="1349"/>
        </w:numPr>
        <w:pStyle w:val="Compact"/>
      </w:pPr>
      <w:r>
        <w:rPr>
          <w:bCs/>
          <w:b/>
        </w:rPr>
        <w:t xml:space="preserve">Perdita di liquidi.</w:t>
      </w:r>
      <w:r>
        <w:t xml:space="preserve"> </w:t>
      </w:r>
      <w:r>
        <w:t xml:space="preserve">Vomito e diarrea con i farmaci GLP-1 possono portare, nelle persone anziane, più rapidamente a disidratazione e problemi renali.</w:t>
      </w:r>
    </w:p>
    <w:p>
      <w:pPr>
        <w:numPr>
          <w:ilvl w:val="0"/>
          <w:numId w:val="1349"/>
        </w:numPr>
        <w:pStyle w:val="Compact"/>
      </w:pPr>
      <w:r>
        <w:rPr>
          <w:bCs/>
          <w:b/>
        </w:rPr>
        <w:t xml:space="preserve">Massa muscolare.</w:t>
      </w:r>
      <w:r>
        <w:t xml:space="preserve"> </w:t>
      </w:r>
      <w:r>
        <w:t xml:space="preserve">Chi ha già pochi muscoli sopporta male un’ulteriore perdita (vedi la sezione seguente).</w:t>
      </w:r>
    </w:p>
    <w:p>
      <w:pPr>
        <w:numPr>
          <w:ilvl w:val="0"/>
          <w:numId w:val="1349"/>
        </w:numPr>
        <w:pStyle w:val="Compact"/>
      </w:pPr>
      <w:r>
        <w:rPr>
          <w:bCs/>
          <w:b/>
        </w:rPr>
        <w:t xml:space="preserve">Ritenzione idrica e cuore.</w:t>
      </w:r>
      <w:r>
        <w:t xml:space="preserve"> </w:t>
      </w:r>
      <w:r>
        <w:t xml:space="preserve">L’ormone della crescita ha causato in anziani sani più spesso gonfiori dei tessuti, dolori articolari e sindrome del tunnel carpale (Liu 2007, PMID 17227934). Uno studio con ibutamoren in anziani dopo frattura dell’anca è stato interrotto a causa di un segnale di insufficienza cardiaca (Adunsky 2011, PMID 21067829). Proprio i peptidi pubblicizzati come rimedi «anti-aging» sono quindi piuttosto gravosi per i cuori anziani.</w:t>
      </w:r>
    </w:p>
    <w:p>
      <w:pPr>
        <w:numPr>
          <w:ilvl w:val="0"/>
          <w:numId w:val="1349"/>
        </w:numPr>
        <w:pStyle w:val="Compact"/>
      </w:pPr>
      <w:r>
        <w:rPr>
          <w:bCs/>
          <w:b/>
        </w:rPr>
        <w:t xml:space="preserve">Più farmaci.</w:t>
      </w:r>
      <w:r>
        <w:t xml:space="preserve"> </w:t>
      </w:r>
      <w:r>
        <w:t xml:space="preserve">Le persone anziane assumono spesso molti farmaci contemporaneamente. Lo svuotamento gastrico ritardato può modificarne l’assorbimento, e le combinazioni con farmaci ipoglicemizzanti aumentano il rischio di ipoglicemia e cadute.</w:t>
      </w:r>
    </w:p>
    <w:bookmarkEnd w:id="1020"/>
    <w:bookmarkStart w:id="1021" w:name="Xf95d1c6f9952a88981f23b89176d8163d7ba0f1"/>
    <w:p>
      <w:pPr>
        <w:pStyle w:val="Heading3"/>
      </w:pPr>
      <w:r>
        <w:t xml:space="preserve">Perdita muscolare in caso di forte calo di peso</w:t>
      </w:r>
    </w:p>
    <w:p>
      <w:pPr>
        <w:pStyle w:val="FirstParagraph"/>
      </w:pPr>
      <w:r>
        <w:t xml:space="preserve">A ogni perdita di peso, oltre al grasso si perde anche massa magra, di cui fanno parte muscoli, organi e acqua. Per i farmaci GLP-1 molto efficaci la domanda è se questa quota sia insolitamente alta e se sia dannosa.</w:t>
      </w:r>
    </w:p>
    <w:p>
      <w:pPr>
        <w:numPr>
          <w:ilvl w:val="0"/>
          <w:numId w:val="1350"/>
        </w:numPr>
        <w:pStyle w:val="Compact"/>
      </w:pPr>
      <w:r>
        <w:t xml:space="preserve">In un sottostudio di SURMOUNT-1 con 160 partecipanti, il peso perso con tirzepatide era costituito per circa il 75% da grasso e per il 25% da massa magra – nella stessa proporzione che con placebo, solo con una perdita complessiva molto maggiore. Queste quote sono rimaste simili nella maggior parte dei sottogruppi, anche separati per età (Look 2025, PMID 39996356).</w:t>
      </w:r>
    </w:p>
    <w:p>
      <w:pPr>
        <w:numPr>
          <w:ilvl w:val="0"/>
          <w:numId w:val="1350"/>
        </w:numPr>
        <w:pStyle w:val="Compact"/>
      </w:pPr>
      <w:r>
        <w:t xml:space="preserve">Anche una meta-analisi a rete di 22 studi ha trovato che circa il 25% della perdita di peso era dovuto alla massa magra. Semaglutide e tirzepatide hanno portato alla perdita di peso maggiore, ma erano anche tra i principi attivi con cui si è persa più massa magra (Karakasis 2025, PMID 39719170).</w:t>
      </w:r>
    </w:p>
    <w:p>
      <w:pPr>
        <w:numPr>
          <w:ilvl w:val="0"/>
          <w:numId w:val="1350"/>
        </w:numPr>
        <w:pStyle w:val="Compact"/>
      </w:pPr>
      <w:r>
        <w:t xml:space="preserve">Una revisione sistematica di 35 studi è giunta a una quota leggermente più alta: in mediana il 28,3% della perdita di peso era attribuibile a parametri legati ai muscoli, e nel 65% degli studi la quota superava un valore di riferimento di circa il 25%. Nemmeno uno studio aveva misurato oggettivamente la capacità fisica (Batsis 2026, PMID 41996180).</w:t>
      </w:r>
    </w:p>
    <w:p>
      <w:pPr>
        <w:numPr>
          <w:ilvl w:val="0"/>
          <w:numId w:val="1350"/>
        </w:numPr>
        <w:pStyle w:val="Compact"/>
      </w:pPr>
      <w:r>
        <w:t xml:space="preserve">Un’ulteriore meta-analisi sottolinea l’altro lato: poiché il grasso diminuisce più dei muscoli, la</w:t>
      </w:r>
      <w:r>
        <w:t xml:space="preserve"> </w:t>
      </w:r>
      <w:r>
        <w:rPr>
          <w:iCs/>
          <w:i/>
        </w:rPr>
        <w:t xml:space="preserve">quota</w:t>
      </w:r>
      <w:r>
        <w:t xml:space="preserve"> </w:t>
      </w:r>
      <w:r>
        <w:t xml:space="preserve">di massa magra sul peso corporeo è aumentata di 1,81 punti percentuali. Gli autori raccomandano di accompagnare il trattamento con programmi di alimentazione e attività fisica (Laverde 2026, PMID 42321502).</w:t>
      </w:r>
    </w:p>
    <w:p>
      <w:pPr>
        <w:pStyle w:val="FirstParagraph"/>
      </w:pPr>
      <w:r>
        <w:t xml:space="preserve">In sintesi: la perdita muscolare con i farmaci GLP-1 non sembra, in rapporto alla perdita complessiva, sostanzialmente maggiore che con altre forme di riduzione del peso – in chilogrammi assoluti, però, è considerevole a causa della grande perdita di peso. Se ciò abbia conseguenze su forza, cadute o autonomia non è stato studiato. Per le persone anziane, le persone con poca massa muscolare e le persone fragili è una questione aperta. Se le combinazioni con cagrilintide influenzino la perdita muscolare è attualmente oggetto di studio (capitolo Cagrilintide).</w:t>
      </w:r>
    </w:p>
    <w:bookmarkEnd w:id="1021"/>
    <w:bookmarkStart w:id="1022" w:name="disturbi-alimentari"/>
    <w:p>
      <w:pPr>
        <w:pStyle w:val="Heading3"/>
      </w:pPr>
      <w:r>
        <w:t xml:space="preserve">Disturbi alimentari</w:t>
      </w:r>
    </w:p>
    <w:p>
      <w:pPr>
        <w:pStyle w:val="FirstParagraph"/>
      </w:pPr>
      <w:r>
        <w:t xml:space="preserve">I farmaci GLP-1 attenuano l’appetito e la sensazione di fame. Per le persone con anoressia (anorexia nervosa) o bulimia proprio questo effetto può essere pericoloso: può rafforzare un comportamento alimentare restrittivo e aggravare una malattia. Un caso clinico descrive l’abuso di semaglutide in un’anoressia atipica (Guerdjikova 2024, PMID 38329147), e uno studio trasversale statunitense ha esaminato quanto siano diffusi l’uso e l’abuso di farmaci GLP-1 tra le persone con disturbi alimentari (Peiper 2026, PMID 42340738).</w:t>
      </w:r>
    </w:p>
    <w:p>
      <w:pPr>
        <w:pStyle w:val="BodyText"/>
      </w:pPr>
      <w:r>
        <w:t xml:space="preserve">Nel 2026 un panel di 45 esperti e persone con esperienza diretta ha elaborato raccomandazioni con un procedimento di consenso. Secondo queste, prima di iniziare un trattamento con GLP-1 si dovrebbe indagare con un breve questionario validato su disturbi alimentari attuali e pregressi, i sintomi andrebbero osservati nel corso del trattamento, e in caso di anoressia attiva, anoressia atipica o bulimia con forte restrizione alimentare questi farmaci di regola non andrebbero usati. Anche in caso di disturbi alimentari pregressi sarebbe necessaria cautela (Keshen 2026, PMID 42742590).</w:t>
      </w:r>
    </w:p>
    <w:p>
      <w:pPr>
        <w:pStyle w:val="BodyText"/>
      </w:pPr>
      <w:r>
        <w:t xml:space="preserve">Per il disturbo da alimentazione incontrollata (binge eating), in cui le abbuffate si verificano senza comportamenti compensatori, esistono invece primi indizi che i farmaci GLP-1 potrebbero ridurre le abbuffate (Keshen 2026, PMID 42742590). Ciò mostra quanto sia importante una diagnosi accurata. Con il mercato grigio e con venditori online con scarso accompagnamento medico viene meno proprio questa indagine.</w:t>
      </w:r>
    </w:p>
    <w:bookmarkEnd w:id="1022"/>
    <w:bookmarkStart w:id="1023" w:name="sport-agonistico-e-controlli-antidoping"/>
    <w:p>
      <w:pPr>
        <w:pStyle w:val="Heading3"/>
      </w:pPr>
      <w:r>
        <w:t xml:space="preserve">Sport agonistico e controlli antidoping</w:t>
      </w:r>
    </w:p>
    <w:p>
      <w:pPr>
        <w:pStyle w:val="FirstParagraph"/>
      </w:pPr>
      <w:r>
        <w:t xml:space="preserve">Per gli sportivi soggetti a controlli antidoping la situazione con i peptidi è particolarmente delicata. Secondo la lista delle sostanze proibite dell’Agenzia mondiale antidoping (WADA) vale in linea di massima (aggiornato al 2026, da verificare):</w:t>
      </w:r>
    </w:p>
    <w:p>
      <w:pPr>
        <w:numPr>
          <w:ilvl w:val="0"/>
          <w:numId w:val="1351"/>
        </w:numPr>
        <w:pStyle w:val="Compact"/>
      </w:pPr>
      <w:r>
        <w:rPr>
          <w:bCs/>
          <w:b/>
        </w:rPr>
        <w:t xml:space="preserve">Proibiti (S2, ormoni peptidici e fattori di crescita):</w:t>
      </w:r>
      <w:r>
        <w:t xml:space="preserve"> </w:t>
      </w:r>
      <w:r>
        <w:t xml:space="preserve">tutti i secretagoghi dell’ormone della crescita e i derivati dell’IGF-1, timosina beta-4 e TB-500, ARA-290, negli uomini gonadorelina e liberatori di LH come la kisspeptina.</w:t>
      </w:r>
    </w:p>
    <w:p>
      <w:pPr>
        <w:numPr>
          <w:ilvl w:val="0"/>
          <w:numId w:val="1351"/>
        </w:numPr>
        <w:pStyle w:val="Compact"/>
      </w:pPr>
      <w:r>
        <w:rPr>
          <w:bCs/>
          <w:b/>
        </w:rPr>
        <w:t xml:space="preserve">Proibiti (S0, sostanze non approvate):</w:t>
      </w:r>
      <w:r>
        <w:t xml:space="preserve"> </w:t>
      </w:r>
      <w:r>
        <w:t xml:space="preserve">sostanze senza autorizzazione come farmaco per uso umano, per esempio BPC-157, Melanotan II e gli agonisti multipli GLP-1 ancora in fase di studio come retatrutide.</w:t>
      </w:r>
    </w:p>
    <w:p>
      <w:pPr>
        <w:numPr>
          <w:ilvl w:val="0"/>
          <w:numId w:val="1351"/>
        </w:numPr>
        <w:pStyle w:val="Compact"/>
      </w:pPr>
      <w:r>
        <w:rPr>
          <w:bCs/>
          <w:b/>
        </w:rPr>
        <w:t xml:space="preserve">Proibito (S4):</w:t>
      </w:r>
      <w:r>
        <w:t xml:space="preserve"> </w:t>
      </w:r>
      <w:r>
        <w:t xml:space="preserve">MOTS-c in quanto attivatore dell’enzima AMPK.</w:t>
      </w:r>
    </w:p>
    <w:p>
      <w:pPr>
        <w:numPr>
          <w:ilvl w:val="0"/>
          <w:numId w:val="1351"/>
        </w:numPr>
        <w:pStyle w:val="Compact"/>
      </w:pPr>
      <w:r>
        <w:rPr>
          <w:bCs/>
          <w:b/>
        </w:rPr>
        <w:t xml:space="preserve">Non proibiti:</w:t>
      </w:r>
      <w:r>
        <w:t xml:space="preserve"> </w:t>
      </w:r>
      <w:r>
        <w:t xml:space="preserve">i farmaci GLP-1 autorizzati. Semaglutide e tirzepatide sono però stati inseriti nel programma di monitoraggio della WADA per rilevare un possibile abuso; i laboratori hanno già sviluppato metodi di rilevamento per sangue e gocce di sangue essiccato (Borschel 2026, PMID 42874322).</w:t>
      </w:r>
    </w:p>
    <w:p>
      <w:pPr>
        <w:pStyle w:val="FirstParagraph"/>
      </w:pPr>
      <w:r>
        <w:t xml:space="preserve">I dettagli si trovano nei rispettivi capitoli. Tre punti sono importanti per tutti i peptidi.</w:t>
      </w:r>
    </w:p>
    <w:p>
      <w:pPr>
        <w:pStyle w:val="BodyText"/>
      </w:pPr>
      <w:r>
        <w:rPr>
          <w:bCs/>
          <w:b/>
        </w:rPr>
        <w:t xml:space="preserve">Prodotti contaminati.</w:t>
      </w:r>
      <w:r>
        <w:t xml:space="preserve"> </w:t>
      </w:r>
      <w:r>
        <w:t xml:space="preserve">Uno sportivo è responsabile di ogni sostanza proibita presente nel suo corpo – anche se proviene da un prodotto etichettato in modo errato. Le analisi di laboratorio nel capitolo «Prodotti del mercato grigio» mostrano che la merce del mercato grigio contiene spesso sostanze diverse o aggiuntive e che principi attivi proibiti compaiono anche in prodotti presentati come integratori alimentari (Barrios 2025, PMID 40551438).</w:t>
      </w:r>
    </w:p>
    <w:p>
      <w:pPr>
        <w:pStyle w:val="BodyText"/>
      </w:pPr>
      <w:r>
        <w:rPr>
          <w:bCs/>
          <w:b/>
        </w:rPr>
        <w:t xml:space="preserve">Varianti di design.</w:t>
      </w:r>
      <w:r>
        <w:t xml:space="preserve"> </w:t>
      </w:r>
      <w:r>
        <w:t xml:space="preserve">Peptidi modificati come Gly-GHRP-2 o Gly-ipamorelina servono presumibilmente ad aggirare i test (Gajda 2019, PMID 30136411). Il loro effetto e la loro sicurezza sono del tutto sconosciuti. L’esperienza mostra che i laboratori antidoping aggiornano i loro metodi; i campioni vengono inoltre conservati a lungo e possono essere rianalizzati in seguito.</w:t>
      </w:r>
    </w:p>
    <w:p>
      <w:pPr>
        <w:pStyle w:val="BodyText"/>
      </w:pPr>
      <w:r>
        <w:rPr>
          <w:bCs/>
          <w:b/>
        </w:rPr>
        <w:t xml:space="preserve">Beneficio dubbio.</w:t>
      </w:r>
      <w:r>
        <w:t xml:space="preserve"> </w:t>
      </w:r>
      <w:r>
        <w:t xml:space="preserve">Una revisione sui farmaci incretinici nello sport conclude che gli studi clinici non mostrano un miglioramento uniforme della prestazione fisica nell’uomo e che il 20–30% della perdita di peso è dovuto alla massa magra (La Vignera 2026, PMID 42511463). Per i peptidi rigenerativi e i secretagoghi dell’ormone della crescita una revisione di medicina dello sport giunge alla conclusione che restano sperimentali, con un profilo di sicurezza incerto, una qualità dei prodotti dubbia e ampi divieti antidoping (Villegas Meza 2026, PMID 42160466).</w:t>
      </w:r>
    </w:p>
    <w:bookmarkEnd w:id="1023"/>
    <w:bookmarkStart w:id="1024" w:name="in-breve-2"/>
    <w:p>
      <w:pPr>
        <w:pStyle w:val="Heading3"/>
      </w:pPr>
      <w:r>
        <w:t xml:space="preserve">In breve</w:t>
      </w:r>
    </w:p>
    <w:p>
      <w:pPr>
        <w:numPr>
          <w:ilvl w:val="0"/>
          <w:numId w:val="1352"/>
        </w:numPr>
        <w:pStyle w:val="Compact"/>
      </w:pPr>
      <w:r>
        <w:t xml:space="preserve">In gravidanza quasi tutti i peptidi non sono stati studiati o non sono indicati. Per un’esposizione accidentale ai farmaci GLP-1 i dati sono in prevalenza rassicuranti, ma incerti.</w:t>
      </w:r>
    </w:p>
    <w:p>
      <w:pPr>
        <w:numPr>
          <w:ilvl w:val="0"/>
          <w:numId w:val="1352"/>
        </w:numPr>
        <w:pStyle w:val="Compact"/>
      </w:pPr>
      <w:r>
        <w:t xml:space="preserve">Tirzepatide può ridurre l’assorbimento della pillola; con semaglutide ciò non è emerso. Vomito e diarrea compromettono l’assunzione di qualsiasi compressa.</w:t>
      </w:r>
    </w:p>
    <w:p>
      <w:pPr>
        <w:numPr>
          <w:ilvl w:val="0"/>
          <w:numId w:val="1352"/>
        </w:numPr>
        <w:pStyle w:val="Compact"/>
      </w:pPr>
      <w:r>
        <w:t xml:space="preserve">Con i farmaci GLP-1 lo stomaco resta più spesso pieno. Prima di anestesie e gastroscopie l’équipe curante deve esserne informata.</w:t>
      </w:r>
    </w:p>
    <w:p>
      <w:pPr>
        <w:numPr>
          <w:ilvl w:val="0"/>
          <w:numId w:val="1352"/>
        </w:numPr>
        <w:pStyle w:val="Compact"/>
      </w:pPr>
      <w:r>
        <w:t xml:space="preserve">In combinazione con insulina o sulfoniluree aumenta il rischio di ipoglicemia.</w:t>
      </w:r>
    </w:p>
    <w:p>
      <w:pPr>
        <w:numPr>
          <w:ilvl w:val="0"/>
          <w:numId w:val="1352"/>
        </w:numPr>
        <w:pStyle w:val="Compact"/>
      </w:pPr>
      <w:r>
        <w:t xml:space="preserve">Gli adolescenti si distinguono nei dati dei centri antiveleni per l’uso improprio intenzionale; in caso di disturbi alimentari i farmaci GLP-1 di regola non andrebbero usati.</w:t>
      </w:r>
    </w:p>
    <w:p>
      <w:pPr>
        <w:numPr>
          <w:ilvl w:val="0"/>
          <w:numId w:val="1352"/>
        </w:numPr>
        <w:pStyle w:val="Compact"/>
      </w:pPr>
      <w:r>
        <w:t xml:space="preserve">Circa un quarto della perdita di peso con i farmaci GLP-1 è dovuto alla massa magra; se ciò abbia conseguenze funzionali è aperto.</w:t>
      </w:r>
    </w:p>
    <w:p>
      <w:pPr>
        <w:numPr>
          <w:ilvl w:val="0"/>
          <w:numId w:val="1352"/>
        </w:numPr>
        <w:pStyle w:val="Compact"/>
      </w:pPr>
      <w:r>
        <w:t xml:space="preserve">Per gli sportivi la maggior parte dei peptidi è proibita, e i prodotti del mercato grigio comportano inoltre il rischio di sostanze dopanti non dichiarate.</w:t>
      </w:r>
    </w:p>
    <w:bookmarkEnd w:id="1024"/>
    <w:bookmarkEnd w:id="1025"/>
    <w:bookmarkEnd w:id="1026"/>
    <w:bookmarkStart w:id="1079" w:name="parte-v-futuro"/>
    <w:p>
      <w:pPr>
        <w:pStyle w:val="Heading1"/>
      </w:pPr>
      <w:r>
        <w:t xml:space="preserve">Parte V – Futuro</w:t>
      </w:r>
    </w:p>
    <w:p>
      <w:pPr>
        <w:pStyle w:val="FirstParagraph"/>
      </w:pPr>
      <w:r>
        <w:t xml:space="preserve">Le parti precedenti hanno descritto ciò che oggi si sa sui peptidi. Quest’ultima parte guarda avanti: quali principi attivi si trovano nei grandi studi che si concluderanno nei prossimi anni? Le iniezioni verranno sostituite dalle compresse? Che cosa significano i brevetti in scadenza per prezzi e disponibilità? E quali sviluppi ci si può attendere fino al 2035?</w:t>
      </w:r>
    </w:p>
    <w:p>
      <w:pPr>
        <w:pStyle w:val="BodyText"/>
      </w:pPr>
      <w:r>
        <w:t xml:space="preserve">In questo libro le affermazioni sul futuro sono rigorosamente separate. È</w:t>
      </w:r>
      <w:r>
        <w:t xml:space="preserve"> </w:t>
      </w:r>
      <w:r>
        <w:rPr>
          <w:bCs/>
          <w:b/>
        </w:rPr>
        <w:t xml:space="preserve">accertato</w:t>
      </w:r>
      <w:r>
        <w:t xml:space="preserve"> </w:t>
      </w:r>
      <w:r>
        <w:t xml:space="preserve">ciò che è iscritto in un registro di studi, pubblicato in uno studio sottoposto a revisione paritaria o deciso dalle autorità. Anche questo è solo un’istantanea: gli studi vengono prolungati, ridimensionati o interrotti, e le date di conclusione previste slittano spesso di anni. Tutto il resto è</w:t>
      </w:r>
      <w:r>
        <w:t xml:space="preserve"> </w:t>
      </w:r>
      <w:r>
        <w:rPr>
          <w:bCs/>
          <w:b/>
        </w:rPr>
        <w:t xml:space="preserve">valutazione dell’autore</w:t>
      </w:r>
      <w:r>
        <w:t xml:space="preserve"> </w:t>
      </w:r>
      <w:r>
        <w:t xml:space="preserve">ed è indicato espressamente come tale. La ricerca riflette la situazione a ottobre 2026.</w:t>
      </w:r>
    </w:p>
    <w:bookmarkStart w:id="1038" w:name="la-pipeline-che-cosa-è-in-fase-2-e-3"/>
    <w:p>
      <w:pPr>
        <w:pStyle w:val="Heading2"/>
      </w:pPr>
      <w:r>
        <w:t xml:space="preserve">La pipeline: che cosa è in fase 2 e 3</w:t>
      </w:r>
    </w:p>
    <w:p>
      <w:pPr>
        <w:pStyle w:val="FirstParagraph"/>
      </w:pPr>
      <w:r>
        <w:t xml:space="preserve">Con «pipeline» l’industria farmaceutica indica l’insieme dei principi attivi in fase di sviluppo. Le fasi sono spiegate nella Parte I: nella</w:t>
      </w:r>
      <w:r>
        <w:t xml:space="preserve"> </w:t>
      </w:r>
      <w:r>
        <w:rPr>
          <w:bCs/>
          <w:b/>
        </w:rPr>
        <w:t xml:space="preserve">fase 1</w:t>
      </w:r>
      <w:r>
        <w:t xml:space="preserve"> </w:t>
      </w:r>
      <w:r>
        <w:t xml:space="preserve">un principio attivo viene di norma testato su pochi volontari sani per la tollerabilità, nella</w:t>
      </w:r>
      <w:r>
        <w:t xml:space="preserve"> </w:t>
      </w:r>
      <w:r>
        <w:rPr>
          <w:bCs/>
          <w:b/>
        </w:rPr>
        <w:t xml:space="preserve">fase 2</w:t>
      </w:r>
      <w:r>
        <w:t xml:space="preserve"> </w:t>
      </w:r>
      <w:r>
        <w:t xml:space="preserve">su alcune centinaia di malati per l’efficacia e la dose adatta, nella</w:t>
      </w:r>
      <w:r>
        <w:t xml:space="preserve"> </w:t>
      </w:r>
      <w:r>
        <w:rPr>
          <w:bCs/>
          <w:b/>
        </w:rPr>
        <w:t xml:space="preserve">fase 3</w:t>
      </w:r>
      <w:r>
        <w:t xml:space="preserve"> </w:t>
      </w:r>
      <w:r>
        <w:t xml:space="preserve">su migliaia di persone ai fini dell’autorizzazione. La</w:t>
      </w:r>
      <w:r>
        <w:t xml:space="preserve"> </w:t>
      </w:r>
      <w:r>
        <w:rPr>
          <w:bCs/>
          <w:b/>
        </w:rPr>
        <w:t xml:space="preserve">fase 4</w:t>
      </w:r>
      <w:r>
        <w:t xml:space="preserve"> </w:t>
      </w:r>
      <w:r>
        <w:t xml:space="preserve">indica gli studi con farmaci già autorizzati. Chi vuole sapere che cosa potrebbe arrivare sul mercato nei prossimi cinque anni deve guardare soprattutto alla fase 3.</w:t>
      </w:r>
    </w:p>
    <w:bookmarkStart w:id="1027" w:name="come-è-stata-fatta-lanalisi"/>
    <w:p>
      <w:pPr>
        <w:pStyle w:val="Heading3"/>
      </w:pPr>
      <w:r>
        <w:t xml:space="preserve">Come è stata fatta l’analisi</w:t>
      </w:r>
    </w:p>
    <w:p>
      <w:pPr>
        <w:pStyle w:val="FirstParagraph"/>
      </w:pPr>
      <w:r>
        <w:t xml:space="preserve">La base sono gli elenchi del registro ClinicalTrials.gov, consultati nell’ottobre 2026 per i 58 principi attivi di questo libro (vedi Metodologia in appendice). Un piccolo programma di analisi ne ha estratto tutte le voci che</w:t>
      </w:r>
    </w:p>
    <w:p>
      <w:pPr>
        <w:numPr>
          <w:ilvl w:val="0"/>
          <w:numId w:val="1353"/>
        </w:numPr>
        <w:pStyle w:val="Compact"/>
      </w:pPr>
      <w:r>
        <w:t xml:space="preserve">descrivono uno studio</w:t>
      </w:r>
      <w:r>
        <w:t xml:space="preserve"> </w:t>
      </w:r>
      <w:r>
        <w:rPr>
          <w:bCs/>
          <w:b/>
        </w:rPr>
        <w:t xml:space="preserve">interventistico</w:t>
      </w:r>
      <w:r>
        <w:t xml:space="preserve">, cioè uno studio in cui un principio attivo viene somministrato in modo mirato (non una semplice osservazione), e</w:t>
      </w:r>
    </w:p>
    <w:p>
      <w:pPr>
        <w:numPr>
          <w:ilvl w:val="0"/>
          <w:numId w:val="1353"/>
        </w:numPr>
        <w:pStyle w:val="Compact"/>
      </w:pPr>
      <w:r>
        <w:t xml:space="preserve">sono contrassegnate come</w:t>
      </w:r>
      <w:r>
        <w:t xml:space="preserve"> </w:t>
      </w:r>
      <w:r>
        <w:rPr>
          <w:bCs/>
          <w:b/>
        </w:rPr>
        <w:t xml:space="preserve">in corso</w:t>
      </w:r>
      <w:r>
        <w:t xml:space="preserve">: in reclutamento, attivo senza ulteriore reclutamento, non ancora in reclutamento o partecipazione solo su invito.</w:t>
      </w:r>
    </w:p>
    <w:p>
      <w:pPr>
        <w:pStyle w:val="FirstParagraph"/>
      </w:pPr>
      <w:r>
        <w:t xml:space="preserve">Gli studi che compaiono sotto più principi attivi – per esempio un confronto tra retatrutide e tirzepatide – sono stati contati una sola volta.</w:t>
      </w:r>
    </w:p>
    <w:p>
      <w:pPr>
        <w:pStyle w:val="BodyText"/>
      </w:pPr>
      <w:r>
        <w:rPr>
          <w:bCs/>
          <w:b/>
        </w:rPr>
        <w:t xml:space="preserve">Che cosa è stato escluso – e perché:</w:t>
      </w:r>
    </w:p>
    <w:p>
      <w:pPr>
        <w:numPr>
          <w:ilvl w:val="0"/>
          <w:numId w:val="1354"/>
        </w:numPr>
        <w:pStyle w:val="Compact"/>
      </w:pPr>
      <w:r>
        <w:rPr>
          <w:bCs/>
          <w:b/>
        </w:rPr>
        <w:t xml:space="preserve">Otto voci dello sponsor «Hudson Biotech»</w:t>
      </w:r>
      <w:r>
        <w:t xml:space="preserve"> </w:t>
      </w:r>
      <w:r>
        <w:t xml:space="preserve">(una ciascuna per BPC-157, GHK-Cu, Melanotan II, MOTS-c, retatrutide, TB-500, tesamorelina e tirzepatide). Una voce di questo sponsor si definisce nella propria descrizione un esempio fittizio (vedi capitoli BPC-157 e TB-500). Nessuna di queste voci è considerata in questo libro come uno studio reale.</w:t>
      </w:r>
    </w:p>
    <w:p>
      <w:pPr>
        <w:numPr>
          <w:ilvl w:val="0"/>
          <w:numId w:val="1354"/>
        </w:numPr>
        <w:pStyle w:val="Compact"/>
      </w:pPr>
      <w:r>
        <w:rPr>
          <w:bCs/>
          <w:b/>
        </w:rPr>
        <w:t xml:space="preserve">Tutti i 1.000 risultati per il termine di ricerca «Gonadorelin».</w:t>
      </w:r>
      <w:r>
        <w:t xml:space="preserve"> </w:t>
      </w:r>
      <w:r>
        <w:t xml:space="preserve">Riguardano in larghissima parte derivati sintetici dell’ormone GnRH (per esempio leuprorelina o triptorelina) nel trattamento del cancro della prostata e del seno o nella medicina della riproduzione – quindi altri farmaci. Le poche voci sul GnRH naturale sono discusse nel capitolo Gonadorelina; nessuna di esse è uno studio di fase 3 in corso.</w:t>
      </w:r>
    </w:p>
    <w:p>
      <w:pPr>
        <w:pStyle w:val="FirstParagraph"/>
      </w:pPr>
      <w:r>
        <w:rPr>
          <w:bCs/>
          <w:b/>
        </w:rPr>
        <w:t xml:space="preserve">Che cosa non è stato escluso, ma verificato:</w:t>
      </w:r>
      <w:r>
        <w:t xml:space="preserve"> </w:t>
      </w:r>
      <w:r>
        <w:t xml:space="preserve">per glutatione, collagene e carnosina i termini di ricerca sono così generici che molti risultati citano la sostanza solo come componente di una miscela, come confronto o come parametro misurato. Così sotto glutatione compare un grande studio sulla dengue, perché vi si testa la N-acetilcisteina – un precursore del glutatione (NCT07543458). Sotto larazotide compaiono due studi su un principio attivo del tutto diverso contro la malattia di Fabry (NCT04020055, NCT06904261). Questi risultati sono inclusi nei numeri complessivi, ma nella valutazione non sono contati come studi su peptidi.</w:t>
      </w:r>
    </w:p>
    <w:p>
      <w:pPr>
        <w:pStyle w:val="BodyText"/>
      </w:pPr>
      <w:r>
        <w:rPr>
          <w:bCs/>
          <w:b/>
        </w:rPr>
        <w:t xml:space="preserve">Due limiti dell’analisi:</w:t>
      </w:r>
      <w:r>
        <w:t xml:space="preserve"> </w:t>
      </w:r>
      <w:r>
        <w:t xml:space="preserve">primo, non tutti gli sponsor comunicano tempestivamente la conclusione del loro studio; alcune voci con data di conclusione 2025 figurano ancora come «in corso» nel registro. Secondo, la consultazione comprende solo i 58 principi attivi di questo libro. Le nuove molecole senza un capitolo proprio compaiono solo se vengono confrontate con uno di questi principi attivi. Per questo, per i nuovi principi d’azione più avanti, è stata fatta una ricerca mirata supplementare.</w:t>
      </w:r>
    </w:p>
    <w:bookmarkEnd w:id="1027"/>
    <w:bookmarkStart w:id="1028" w:name="il-risultato-in-cifre"/>
    <w:p>
      <w:pPr>
        <w:pStyle w:val="Heading3"/>
      </w:pPr>
      <w:r>
        <w:t xml:space="preserve">Il risultato in cifre</w:t>
      </w:r>
    </w:p>
    <w:p>
      <w:pPr>
        <w:pStyle w:val="FirstParagraph"/>
      </w:pPr>
      <w:r>
        <w:t xml:space="preserve">Dopo le esclusioni sono rimasti 730 studi interventistici in corso. Di questi, 568 – ben tre quarti – riguardano principi attivi del gruppo A (metabolismo e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studi in corso in totale</w:t>
            </w:r>
          </w:p>
        </w:tc>
        <w:tc>
          <w:tcPr/>
          <w:p>
            <w:pPr>
              <w:pStyle w:val="Compact"/>
              <w:jc w:val="left"/>
            </w:pPr>
            <w:r>
              <w:t xml:space="preserve">di cui gruppo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senza indicazione di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Dei 157 studi di fase 3 in corso, 68 erano ancora in reclutamento, 54 erano attivi senza ulteriori arruolamenti e 35 non erano ancora iniziati. Aggiungendo gli studi combinati di fase 2/3 si arriva a 176 studi in fase avanzata; 157 di questi (142 in fase 3, 15 in fase 2/3) – quasi nove su dieci – appartengono al gruppo A.</w:t>
      </w:r>
    </w:p>
    <w:p>
      <w:pPr>
        <w:pStyle w:val="BodyText"/>
      </w:pPr>
      <w:r>
        <w:t xml:space="preserve">Nel gruppo A circa uno su tre di questi studi in fase avanzata è promosso da università e cliniche, gli altri da aziende. Le date di conclusione previste si distribuiscono così: 21 studi dovrebbero concludersi nel 2026, 49 nel 2027, 41 nel 2028 e 44 tra il 2029 e il 2033. La vera ondata di nuovi risultati è quindi attesa nel 2027 e nel 2028.</w:t>
      </w:r>
    </w:p>
    <w:p>
      <w:pPr>
        <w:pStyle w:val="BodyText"/>
      </w:pPr>
      <w:r>
        <w:rPr>
          <w:bCs/>
          <w:b/>
        </w:rPr>
        <w:t xml:space="preserve">I gruppi da B a F</w:t>
      </w:r>
      <w:r>
        <w:t xml:space="preserve"> </w:t>
      </w:r>
      <w:r>
        <w:t xml:space="preserve">hanno un aspetto completamente diverso. Dopo l’esame delle voci restano solo cinque studi di fase 3 in corso in cui un principio attivo di questo libro è effettivamente la sostanza in esame: timosina alfa-1 dopo intervento per cancro del colon (NCT05086614), collirio di timosina beta-4 nella cheratopatia neurotrofica (NCT05555589), elamipretide nella degenerazione maculare secca (NCT06373731), afamelanotide nella vitiligine (NCT06109649) e ibutamoren, che non è un peptide, in bambini con carenza di ormone della crescita (NCT06948214). A questi si aggiungono alcuni studi combinati di fase 2/3, per esempio su ossitocina spray nasale nel dolore cronico (NCT04903002) e su timosina alfa-1 nel fallimento ripetuto dell’impianto dopo fecondazione artificiale (NCT07675980). Per i «peptidi di ricerca» più popolari su internet – BPC-157, CJC-1295, ipamorelina, Epitalon, Semax, Selank – non è in corso nemmeno uno studio di fase 3.</w:t>
      </w:r>
    </w:p>
    <w:bookmarkEnd w:id="1028"/>
    <w:bookmarkStart w:id="1029" w:name="i-principali-studi-di-fase-3-in-corso"/>
    <w:p>
      <w:pPr>
        <w:pStyle w:val="Heading3"/>
      </w:pPr>
      <w:r>
        <w:t xml:space="preserve">I principali studi di fase 3 in corso</w:t>
      </w:r>
    </w:p>
    <w:p>
      <w:pPr>
        <w:pStyle w:val="FirstParagraph"/>
      </w:pPr>
      <w:r>
        <w:t xml:space="preserve">Le tabelle seguenti mostrano una selezione per dimensioni e importanza. «Conclusione prevista» è la fine dello studio indicata nel registro (situazione a ottobre 2026); l’endpoint principale viene spesso analizzato alcuni mesi prima, e le pubblicazioni seguono di solito da sei mesi a un anno dopo.</w:t>
      </w:r>
    </w:p>
    <w:p>
      <w:pPr>
        <w:pStyle w:val="BodyText"/>
      </w:pPr>
      <w:r>
        <w:rPr>
          <w:bCs/>
          <w:b/>
        </w:rPr>
        <w:t xml:space="preserve">Metabolismo e peso (gruppo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 NCT</w:t>
            </w:r>
          </w:p>
        </w:tc>
        <w:tc>
          <w:tcPr/>
          <w:p>
            <w:pPr>
              <w:pStyle w:val="Compact"/>
              <w:jc w:val="left"/>
            </w:pPr>
            <w:r>
              <w:t xml:space="preserve">Principio attivo</w:t>
            </w:r>
          </w:p>
        </w:tc>
        <w:tc>
          <w:tcPr/>
          <w:p>
            <w:pPr>
              <w:pStyle w:val="Compact"/>
              <w:jc w:val="left"/>
            </w:pPr>
            <w:r>
              <w:t xml:space="preserve">Quesito</w:t>
            </w:r>
          </w:p>
        </w:tc>
        <w:tc>
          <w:tcPr/>
          <w:p>
            <w:pPr>
              <w:pStyle w:val="Compact"/>
              <w:jc w:val="left"/>
            </w:pPr>
            <w:r>
              <w:t xml:space="preserve">Conclusione prevista</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perdita di peso, 800 adulti</w:t>
            </w:r>
          </w:p>
        </w:tc>
        <w:tc>
          <w:tcPr/>
          <w:p>
            <w:pPr>
              <w:pStyle w:val="Compact"/>
              <w:jc w:val="left"/>
            </w:pPr>
            <w:r>
              <w:t xml:space="preserve">dicembre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perdita di peso senza diabete, 3.853 partecipanti</w:t>
            </w:r>
          </w:p>
        </w:tc>
        <w:tc>
          <w:tcPr/>
          <w:p>
            <w:pPr>
              <w:pStyle w:val="Compact"/>
              <w:jc w:val="left"/>
            </w:pPr>
            <w:r>
              <w:t xml:space="preserve">aprile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eventi cardiovascolari e morte, 15.374 partecipanti</w:t>
            </w:r>
          </w:p>
        </w:tc>
        <w:tc>
          <w:tcPr/>
          <w:p>
            <w:pPr>
              <w:pStyle w:val="Compact"/>
              <w:jc w:val="left"/>
            </w:pPr>
            <w:r>
              <w:t xml:space="preserve">ottobre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eventi cardiovascolari, 7.101 partecipanti</w:t>
            </w:r>
          </w:p>
        </w:tc>
        <w:tc>
          <w:tcPr/>
          <w:p>
            <w:pPr>
              <w:pStyle w:val="Compact"/>
              <w:jc w:val="left"/>
            </w:pPr>
            <w:r>
              <w:t xml:space="preserve">ottobre 2027</w:t>
            </w:r>
          </w:p>
        </w:tc>
      </w:tr>
      <w:tr>
        <w:tc>
          <w:tcPr/>
          <w:p>
            <w:pPr>
              <w:pStyle w:val="Compact"/>
              <w:jc w:val="left"/>
            </w:pPr>
            <w:r>
              <w:t xml:space="preserve">NCT07564414</w:t>
            </w:r>
          </w:p>
        </w:tc>
        <w:tc>
          <w:tcPr/>
          <w:p>
            <w:pPr>
              <w:pStyle w:val="Compact"/>
              <w:jc w:val="left"/>
            </w:pPr>
            <w:r>
              <w:t xml:space="preserve">CagriSema (dosi più alte) vs. semaglutide</w:t>
            </w:r>
          </w:p>
        </w:tc>
        <w:tc>
          <w:tcPr/>
          <w:p>
            <w:pPr>
              <w:pStyle w:val="Compact"/>
              <w:jc w:val="left"/>
            </w:pPr>
            <w:r>
              <w:t xml:space="preserve">perdita di peso, 2.500 partecipanti</w:t>
            </w:r>
          </w:p>
        </w:tc>
        <w:tc>
          <w:tcPr/>
          <w:p>
            <w:pPr>
              <w:pStyle w:val="Compact"/>
              <w:jc w:val="left"/>
            </w:pPr>
            <w:r>
              <w:t xml:space="preserve">aprile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mantenimento del peso dopo il calo, 643 partecipanti</w:t>
            </w:r>
          </w:p>
        </w:tc>
        <w:tc>
          <w:tcPr/>
          <w:p>
            <w:pPr>
              <w:pStyle w:val="Compact"/>
              <w:jc w:val="left"/>
            </w:pPr>
            <w:r>
              <w:t xml:space="preserve">aprile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eventi cardiaci e renali, 10.000 partecipanti</w:t>
            </w:r>
          </w:p>
        </w:tc>
        <w:tc>
          <w:tcPr/>
          <w:p>
            <w:pPr>
              <w:pStyle w:val="Compact"/>
              <w:jc w:val="left"/>
            </w:pPr>
            <w:r>
              <w:t xml:space="preserve">febbraio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steatosi epatica (MASH), 1.205 partecipanti</w:t>
            </w:r>
          </w:p>
        </w:tc>
        <w:tc>
          <w:tcPr/>
          <w:p>
            <w:pPr>
              <w:pStyle w:val="Compact"/>
              <w:jc w:val="left"/>
            </w:pPr>
            <w:r>
              <w:t xml:space="preserve">aprile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complicanze epatiche nella cirrosi, 1.590 partecipanti</w:t>
            </w:r>
          </w:p>
        </w:tc>
        <w:tc>
          <w:tcPr/>
          <w:p>
            <w:pPr>
              <w:pStyle w:val="Compact"/>
              <w:jc w:val="left"/>
            </w:pPr>
            <w:r>
              <w:t xml:space="preserve">giugno 2029</w:t>
            </w:r>
          </w:p>
        </w:tc>
      </w:tr>
      <w:tr>
        <w:tc>
          <w:tcPr/>
          <w:p>
            <w:pPr>
              <w:pStyle w:val="Compact"/>
              <w:jc w:val="left"/>
            </w:pPr>
            <w:r>
              <w:t xml:space="preserve">AMAZE 1, NCT07339423</w:t>
            </w:r>
          </w:p>
        </w:tc>
        <w:tc>
          <w:tcPr/>
          <w:p>
            <w:pPr>
              <w:pStyle w:val="Compact"/>
              <w:jc w:val="left"/>
            </w:pPr>
            <w:r>
              <w:t xml:space="preserve">amicretina (zenagamtide)</w:t>
            </w:r>
          </w:p>
        </w:tc>
        <w:tc>
          <w:tcPr/>
          <w:p>
            <w:pPr>
              <w:pStyle w:val="Compact"/>
              <w:jc w:val="left"/>
            </w:pPr>
            <w:r>
              <w:t xml:space="preserve">perdita di peso, 1.150 partecipanti</w:t>
            </w:r>
          </w:p>
        </w:tc>
        <w:tc>
          <w:tcPr/>
          <w:p>
            <w:pPr>
              <w:pStyle w:val="Compact"/>
              <w:jc w:val="left"/>
            </w:pPr>
            <w:r>
              <w:t xml:space="preserve">agosto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eventi cardiovascolari, 12.800 partecipanti</w:t>
            </w:r>
          </w:p>
        </w:tc>
        <w:tc>
          <w:tcPr/>
          <w:p>
            <w:pPr>
              <w:pStyle w:val="Compact"/>
              <w:jc w:val="left"/>
            </w:pPr>
            <w:r>
              <w:t xml:space="preserve">settembre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scompenso cardiaco con obesità, 5.056 partecipanti</w:t>
            </w:r>
          </w:p>
        </w:tc>
        <w:tc>
          <w:tcPr/>
          <w:p>
            <w:pPr>
              <w:pStyle w:val="Compact"/>
              <w:jc w:val="left"/>
            </w:pPr>
            <w:r>
              <w:t xml:space="preserve">settembre 2030</w:t>
            </w:r>
          </w:p>
        </w:tc>
      </w:tr>
      <w:tr>
        <w:tc>
          <w:tcPr/>
          <w:p>
            <w:pPr>
              <w:pStyle w:val="Compact"/>
              <w:jc w:val="left"/>
            </w:pPr>
            <w:r>
              <w:t xml:space="preserve">AMBIENCE, NCT07861100</w:t>
            </w:r>
          </w:p>
        </w:tc>
        <w:tc>
          <w:tcPr/>
          <w:p>
            <w:pPr>
              <w:pStyle w:val="Compact"/>
              <w:jc w:val="left"/>
            </w:pPr>
            <w:r>
              <w:t xml:space="preserve">amicretina (zenagamtide)</w:t>
            </w:r>
          </w:p>
        </w:tc>
        <w:tc>
          <w:tcPr/>
          <w:p>
            <w:pPr>
              <w:pStyle w:val="Compact"/>
              <w:jc w:val="left"/>
            </w:pPr>
            <w:r>
              <w:t xml:space="preserve">eventi cardiovascolari, 8.500 previsti</w:t>
            </w:r>
          </w:p>
        </w:tc>
        <w:tc>
          <w:tcPr/>
          <w:p>
            <w:pPr>
              <w:pStyle w:val="Compact"/>
              <w:jc w:val="left"/>
            </w:pPr>
            <w:r>
              <w:t xml:space="preserve">settembre 2030</w:t>
            </w:r>
          </w:p>
        </w:tc>
      </w:tr>
      <w:tr>
        <w:tc>
          <w:tcPr/>
          <w:p>
            <w:pPr>
              <w:pStyle w:val="Compact"/>
              <w:jc w:val="left"/>
            </w:pPr>
            <w:r>
              <w:t xml:space="preserve">ATTAIN-Outcomes, NCT07241390</w:t>
            </w:r>
          </w:p>
        </w:tc>
        <w:tc>
          <w:tcPr/>
          <w:p>
            <w:pPr>
              <w:pStyle w:val="Compact"/>
              <w:jc w:val="left"/>
            </w:pPr>
            <w:r>
              <w:t xml:space="preserve">orforglipron (non un peptide)</w:t>
            </w:r>
          </w:p>
        </w:tc>
        <w:tc>
          <w:tcPr/>
          <w:p>
            <w:pPr>
              <w:pStyle w:val="Compact"/>
              <w:jc w:val="left"/>
            </w:pPr>
            <w:r>
              <w:t xml:space="preserve">eventi cardiovascolari, 7.140 partecipanti</w:t>
            </w:r>
          </w:p>
        </w:tc>
        <w:tc>
          <w:tcPr/>
          <w:p>
            <w:pPr>
              <w:pStyle w:val="Compact"/>
              <w:jc w:val="left"/>
            </w:pPr>
            <w:r>
              <w:t xml:space="preserve">agosto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con fibrosi, 1.800 partecipanti</w:t>
            </w:r>
          </w:p>
        </w:tc>
        <w:tc>
          <w:tcPr/>
          <w:p>
            <w:pPr>
              <w:pStyle w:val="Compact"/>
              <w:jc w:val="left"/>
            </w:pPr>
            <w:r>
              <w:t xml:space="preserve">dicembre 2031</w:t>
            </w:r>
          </w:p>
        </w:tc>
      </w:tr>
      <w:tr>
        <w:tc>
          <w:tcPr/>
          <w:p>
            <w:pPr>
              <w:pStyle w:val="Compact"/>
              <w:jc w:val="left"/>
            </w:pPr>
            <w:r>
              <w:t xml:space="preserve">SYNERGY-Outcomes, NCT07165028</w:t>
            </w:r>
          </w:p>
        </w:tc>
        <w:tc>
          <w:tcPr/>
          <w:p>
            <w:pPr>
              <w:pStyle w:val="Compact"/>
              <w:jc w:val="left"/>
            </w:pPr>
            <w:r>
              <w:t xml:space="preserve">tirzepatide e retatrutide</w:t>
            </w:r>
          </w:p>
        </w:tc>
        <w:tc>
          <w:tcPr/>
          <w:p>
            <w:pPr>
              <w:pStyle w:val="Compact"/>
              <w:jc w:val="left"/>
            </w:pPr>
            <w:r>
              <w:t xml:space="preserve">eventi epatici gravi, 4.500 partecipanti</w:t>
            </w:r>
          </w:p>
        </w:tc>
        <w:tc>
          <w:tcPr/>
          <w:p>
            <w:pPr>
              <w:pStyle w:val="Compact"/>
              <w:jc w:val="left"/>
            </w:pPr>
            <w:r>
              <w:t xml:space="preserve">agosto 2032</w:t>
            </w:r>
          </w:p>
        </w:tc>
      </w:tr>
    </w:tbl>
    <w:p>
      <w:pPr>
        <w:pStyle w:val="BodyText"/>
      </w:pPr>
      <w:r>
        <w:rPr>
          <w:bCs/>
          <w:b/>
        </w:rPr>
        <w:t xml:space="preserve">Altri gruppi: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 NCT</w:t>
            </w:r>
          </w:p>
        </w:tc>
        <w:tc>
          <w:tcPr/>
          <w:p>
            <w:pPr>
              <w:pStyle w:val="Compact"/>
              <w:jc w:val="left"/>
            </w:pPr>
            <w:r>
              <w:t xml:space="preserve">Principio attivo</w:t>
            </w:r>
          </w:p>
        </w:tc>
        <w:tc>
          <w:tcPr/>
          <w:p>
            <w:pPr>
              <w:pStyle w:val="Compact"/>
              <w:jc w:val="left"/>
            </w:pPr>
            <w:r>
              <w:t xml:space="preserve">Quesito</w:t>
            </w:r>
          </w:p>
        </w:tc>
        <w:tc>
          <w:tcPr/>
          <w:p>
            <w:pPr>
              <w:pStyle w:val="Compact"/>
              <w:jc w:val="left"/>
            </w:pPr>
            <w:r>
              <w:t xml:space="preserve">Conclusione prevista</w:t>
            </w:r>
          </w:p>
        </w:tc>
      </w:tr>
      <w:tr>
        <w:tc>
          <w:tcPr/>
          <w:p>
            <w:pPr>
              <w:pStyle w:val="Compact"/>
              <w:jc w:val="left"/>
            </w:pPr>
            <w:r>
              <w:t xml:space="preserve">SEER-2, NCT05555589</w:t>
            </w:r>
          </w:p>
        </w:tc>
        <w:tc>
          <w:tcPr/>
          <w:p>
            <w:pPr>
              <w:pStyle w:val="Compact"/>
              <w:jc w:val="left"/>
            </w:pPr>
            <w:r>
              <w:t xml:space="preserve">timosina beta-4 (collirio)</w:t>
            </w:r>
          </w:p>
        </w:tc>
        <w:tc>
          <w:tcPr/>
          <w:p>
            <w:pPr>
              <w:pStyle w:val="Compact"/>
              <w:jc w:val="left"/>
            </w:pPr>
            <w:r>
              <w:t xml:space="preserve">guarigione della cornea, 70 partecipanti</w:t>
            </w:r>
          </w:p>
        </w:tc>
        <w:tc>
          <w:tcPr/>
          <w:p>
            <w:pPr>
              <w:pStyle w:val="Compact"/>
              <w:jc w:val="left"/>
            </w:pPr>
            <w:r>
              <w:t xml:space="preserve">maggio 2026 (risultato in sospeso)</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vitiligine con fototerapia, 200 partecipanti</w:t>
            </w:r>
          </w:p>
        </w:tc>
        <w:tc>
          <w:tcPr/>
          <w:p>
            <w:pPr>
              <w:pStyle w:val="Compact"/>
              <w:jc w:val="left"/>
            </w:pPr>
            <w:r>
              <w:t xml:space="preserve">giugno 2026 (risultato in sospeso)</w:t>
            </w:r>
          </w:p>
        </w:tc>
      </w:tr>
      <w:tr>
        <w:tc>
          <w:tcPr/>
          <w:p>
            <w:pPr>
              <w:pStyle w:val="Compact"/>
              <w:jc w:val="left"/>
            </w:pPr>
            <w:r>
              <w:t xml:space="preserve">NCT05086614</w:t>
            </w:r>
          </w:p>
        </w:tc>
        <w:tc>
          <w:tcPr/>
          <w:p>
            <w:pPr>
              <w:pStyle w:val="Compact"/>
              <w:jc w:val="left"/>
            </w:pPr>
            <w:r>
              <w:t xml:space="preserve">timosina alfa-1</w:t>
            </w:r>
          </w:p>
        </w:tc>
        <w:tc>
          <w:tcPr/>
          <w:p>
            <w:pPr>
              <w:pStyle w:val="Compact"/>
              <w:jc w:val="left"/>
            </w:pPr>
            <w:r>
              <w:t xml:space="preserve">sopravvivenza libera da malattia dopo cancro del colon, 2.500 partecipanti</w:t>
            </w:r>
          </w:p>
        </w:tc>
        <w:tc>
          <w:tcPr/>
          <w:p>
            <w:pPr>
              <w:pStyle w:val="Compact"/>
              <w:jc w:val="left"/>
            </w:pPr>
            <w:r>
              <w:t xml:space="preserve">marzo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degenerazione maculare secca, 313 partecipanti</w:t>
            </w:r>
          </w:p>
        </w:tc>
        <w:tc>
          <w:tcPr/>
          <w:p>
            <w:pPr>
              <w:pStyle w:val="Compact"/>
              <w:jc w:val="left"/>
            </w:pPr>
            <w:r>
              <w:t xml:space="preserve">settembre 2027</w:t>
            </w:r>
          </w:p>
        </w:tc>
      </w:tr>
      <w:tr>
        <w:tc>
          <w:tcPr/>
          <w:p>
            <w:pPr>
              <w:pStyle w:val="Compact"/>
              <w:jc w:val="left"/>
            </w:pPr>
            <w:r>
              <w:t xml:space="preserve">NCT06948214</w:t>
            </w:r>
          </w:p>
        </w:tc>
        <w:tc>
          <w:tcPr/>
          <w:p>
            <w:pPr>
              <w:pStyle w:val="Compact"/>
              <w:jc w:val="left"/>
            </w:pPr>
            <w:r>
              <w:t xml:space="preserve">ibutamoren (LUM-201, non un peptide)</w:t>
            </w:r>
          </w:p>
        </w:tc>
        <w:tc>
          <w:tcPr/>
          <w:p>
            <w:pPr>
              <w:pStyle w:val="Compact"/>
              <w:jc w:val="left"/>
            </w:pPr>
            <w:r>
              <w:t xml:space="preserve">crescita in bambini con carenza ormonale, 150 partecipanti</w:t>
            </w:r>
          </w:p>
        </w:tc>
        <w:tc>
          <w:tcPr/>
          <w:p>
            <w:pPr>
              <w:pStyle w:val="Compact"/>
              <w:jc w:val="left"/>
            </w:pPr>
            <w:r>
              <w:t xml:space="preserve">gennaio 2028</w:t>
            </w:r>
          </w:p>
        </w:tc>
      </w:tr>
    </w:tbl>
    <w:p>
      <w:pPr>
        <w:pStyle w:val="BodyText"/>
      </w:pPr>
      <w:r>
        <w:t xml:space="preserve">I dettagli su ciascuno studio si trovano nella sezione «Studi in corso e prospettive» del rispettivo capitolo.</w:t>
      </w:r>
    </w:p>
    <w:bookmarkEnd w:id="1029"/>
    <w:bookmarkStart w:id="1030" w:name="Xa9023d504d272ade1676eb3da2214f40313a144"/>
    <w:p>
      <w:pPr>
        <w:pStyle w:val="Heading3"/>
      </w:pPr>
      <w:r>
        <w:t xml:space="preserve">Che cosa rivela il registro sulla direzione</w:t>
      </w:r>
    </w:p>
    <w:p>
      <w:pPr>
        <w:pStyle w:val="FirstParagraph"/>
      </w:pPr>
      <w:r>
        <w:rPr>
          <w:bCs/>
          <w:b/>
        </w:rPr>
        <w:t xml:space="preserve">Dalla bilancia agli endpoint clinici forti.</w:t>
      </w:r>
      <w:r>
        <w:t xml:space="preserve"> </w:t>
      </w:r>
      <w:r>
        <w:t xml:space="preserve">La prima generazione di studi sul dimagrimento misurava soprattutto chilogrammi. I grandi studi dei prossimi anni si chiedono se infarti, ictus, scompenso cardiaco, insufficienza renale o cirrosi epatica diventino più rari. Tutti e sei gli studi di fase 3 in corso del gruppo A con più di 5.000 partecipanti ciascuno sono studi di esito di questo tipo. Per i servizi sanitari e le assicurazioni che decidono sul rimborso questi risultati sono più importanti di qualsiasi record di perdita di peso.</w:t>
      </w:r>
    </w:p>
    <w:p>
      <w:pPr>
        <w:pStyle w:val="BodyText"/>
      </w:pPr>
      <w:r>
        <w:rPr>
          <w:bCs/>
          <w:b/>
        </w:rPr>
        <w:t xml:space="preserve">Confronti diretti.</w:t>
      </w:r>
      <w:r>
        <w:t xml:space="preserve"> </w:t>
      </w:r>
      <w:r>
        <w:t xml:space="preserve">I nuovi principi attivi devono confrontarsi sempre più con quelli affermati, non solo con il placebo: retatrutide contro tirzepatide (NCT06662383), zenagamtide contro semaglutide (AMAZE 7, NCT07668414), maridebart cafraglutide contro semaglutide nel diabete di tipo 2 (MARITIME-T2D-3, NCT07866066). Anche nuovi produttori si confrontano direttamente: Roche testa il doppio agonista GLP-1/GIP enicepatide contro tirzepatide (NCT07889648), l’azienda Kailera il principio attivo ribupatide contro semaglutide (KaiNETIC-3, NCT07284979), AstraZeneca il principio attivo da assumere quotidianamente elecoglipron contro semaglutide in compresse (Eluminate-2, NCT07662213).</w:t>
      </w:r>
    </w:p>
    <w:p>
      <w:pPr>
        <w:pStyle w:val="BodyText"/>
      </w:pPr>
      <w:r>
        <w:rPr>
          <w:bCs/>
          <w:b/>
        </w:rPr>
        <w:t xml:space="preserve">Mantenere il peso invece di perderlo soltanto.</w:t>
      </w:r>
      <w:r>
        <w:t xml:space="preserve"> </w:t>
      </w:r>
      <w:r>
        <w:t xml:space="preserve">Diversi studi esaminano espressamente il periodo dopo il calo di peso: retatrutide per il mantenimento del peso (TRIUMPH-6, NCT06859268), uno studio a lungo termine su CagriSema di due anni più estensione (NCT06780449), il passaggio da altri farmaci GLP-1 al maridebart cafraglutide somministrato mensilmente (NCT07575399) o al berobenatide, un principio attivo sperimentale di Pfizer da iniettare mensilmente (NCT07845500). Lo sfondo sono studi come SURMOUNT-4: chi ha sospeso tirzepatide dopo 36 settimane ha ripreso nell’anno successivo in media il 14,0%, mentre con il trattamento continuato il peso è sceso di un ulteriore 5,5% (Aronne 2024, PMID 38078870).</w:t>
      </w:r>
    </w:p>
    <w:p>
      <w:pPr>
        <w:pStyle w:val="BodyText"/>
      </w:pPr>
      <w:r>
        <w:rPr>
          <w:bCs/>
          <w:b/>
        </w:rPr>
        <w:t xml:space="preserve">Nuovi paesi, nuove molecole.</w:t>
      </w:r>
      <w:r>
        <w:t xml:space="preserve"> </w:t>
      </w:r>
      <w:r>
        <w:t xml:space="preserve">Gran parte dei nuovi studi di fase 3 proviene da aziende cinesi che testano propri principi attivi basati sul GLP-1 contro semaglutide o dulaglutide – per esempio il bofanglutide iniettato ogni due settimane (BALANCE-OBS, NCT07622810) o la proteina di fusione dell’exendina-4 JY09 (NCT06257966). Il mercato diventa quindi più ampio, non solo più potente.</w:t>
      </w:r>
    </w:p>
    <w:p>
      <w:pPr>
        <w:pStyle w:val="BodyText"/>
      </w:pPr>
      <w:r>
        <w:rPr>
          <w:bCs/>
          <w:b/>
        </w:rPr>
        <w:t xml:space="preserve">Bambini e adolescenti.</w:t>
      </w:r>
      <w:r>
        <w:t xml:space="preserve"> </w:t>
      </w:r>
      <w:r>
        <w:t xml:space="preserve">Per quasi tutti i grandi principi attivi sono in corso studi su adolescenti, in parte anche su bambini, per esempio per tirzepatide (NCT06439277, NCT07817875), orforglipron (NCT06672939) e CagriSema (NCT07253285, conclusione prevista nel 2033).</w:t>
      </w:r>
    </w:p>
    <w:p>
      <w:pPr>
        <w:pStyle w:val="BodyText"/>
      </w:pPr>
      <w:r>
        <w:rPr>
          <w:bCs/>
          <w:b/>
        </w:rPr>
        <w:t xml:space="preserve">E al di fuori del metabolismo?</w:t>
      </w:r>
      <w:r>
        <w:t xml:space="preserve"> </w:t>
      </w:r>
      <w:r>
        <w:t xml:space="preserve">Qui la pipeline è scarna. Dove un peptide non è brevettabile, viene già venduto come integratore o esiste solo sul mercato grigio, quasi nessuno finanzia costosi studi registrativi. Ciò spiega perché proprio i peptidi più discussi su internet manchino praticamente dai registri.</w:t>
      </w:r>
    </w:p>
    <w:bookmarkEnd w:id="1030"/>
    <w:bookmarkStart w:id="1036" w:name="nuovi-principi-dazione"/>
    <w:p>
      <w:pPr>
        <w:pStyle w:val="Heading3"/>
      </w:pPr>
      <w:r>
        <w:t xml:space="preserve">Nuovi principi d’azione</w:t>
      </w:r>
    </w:p>
    <w:bookmarkStart w:id="1031" w:name="tripli-agonisti"/>
    <w:p>
      <w:pPr>
        <w:pStyle w:val="Heading4"/>
      </w:pPr>
      <w:r>
        <w:t xml:space="preserve">Tripli agonisti</w:t>
      </w:r>
    </w:p>
    <w:p>
      <w:pPr>
        <w:pStyle w:val="FirstParagraph"/>
      </w:pPr>
      <w:r>
        <w:t xml:space="preserve">Retatrutide attiva tre recettori contemporaneamente: GLP-1, GIP e glucagone. La componente sul glucagone dovrebbe aumentare il consumo energetico e la degradazione dei grassi nel fegato. Nello studio di fase 2 con 338 adulti, dopo 48 settimane il peso è sceso del 24,2% alla dose più alta studiata, con placebo del 2,1% (Jastreboff 2023, PMID 37366315). Il primo studio di fase 3, TRIUMPH-1, con 2.339 adulti, lo ha confermato: dopo 80 settimane la perdita di peso era, a seconda della dose, dal 17,6 al 25,0%, con placebo del 3,9%. Nei partecipanti con artrosi del ginocchio il dolore si è ridotto, in quelli con apnea notturna il numero delle pause respiratorie (Jastreboff 2026, PMID 42814954). Se questa perdita di peso aggiuntiva porti anche a meno eventi cardiaci e renali dovrà mostrarlo TRIUMPH-Outcomes entro il 2029 (NCT06383390). Dettagli ed effetti collaterali sono descritti nel capitolo Retatrutide.</w:t>
      </w:r>
    </w:p>
    <w:bookmarkEnd w:id="1031"/>
    <w:bookmarkStart w:id="1032" w:name="amilina-la-quarta-via-ormonale"/>
    <w:p>
      <w:pPr>
        <w:pStyle w:val="Heading4"/>
      </w:pPr>
      <w:r>
        <w:t xml:space="preserve">Amilina: la quarta via ormonale</w:t>
      </w:r>
    </w:p>
    <w:p>
      <w:pPr>
        <w:pStyle w:val="FirstParagraph"/>
      </w:pPr>
      <w:r>
        <w:t xml:space="preserve">L’amilina viene secreta insieme all’insulina e agisce nel tronco encefalico dando sazietà. Si distinguono tre linee di sviluppo:</w:t>
      </w:r>
    </w:p>
    <w:p>
      <w:pPr>
        <w:numPr>
          <w:ilvl w:val="0"/>
          <w:numId w:val="1355"/>
        </w:numPr>
        <w:pStyle w:val="Compact"/>
      </w:pPr>
      <w:r>
        <w:rPr>
          <w:bCs/>
          <w:b/>
        </w:rPr>
        <w:t xml:space="preserve">Combinazione in un’unica iniezione:</w:t>
      </w:r>
      <w:r>
        <w:t xml:space="preserve"> </w:t>
      </w:r>
      <w:r>
        <w:t xml:space="preserve">CagriSema unisce l’analogo dell’amilina cagrilintide a semaglutide. In REDEFINE 1 con 3.417 adulti il peso è sceso dopo 68 settimane del 20,4%, con placebo del 3,0%; disturbi gastrointestinali si sono verificati nel 79,6% contro il 39,9% (Garvey 2025, PMID 40544433).</w:t>
      </w:r>
    </w:p>
    <w:p>
      <w:pPr>
        <w:numPr>
          <w:ilvl w:val="0"/>
          <w:numId w:val="1355"/>
        </w:numPr>
        <w:pStyle w:val="Compact"/>
      </w:pPr>
      <w:r>
        <w:rPr>
          <w:bCs/>
          <w:b/>
        </w:rPr>
        <w:t xml:space="preserve">Una molecola per due recettori:</w:t>
      </w:r>
      <w:r>
        <w:t xml:space="preserve"> </w:t>
      </w:r>
      <w:r>
        <w:t xml:space="preserve">l’amicretina, dal 2026 zenagamtide, attiva contemporaneamente i recettori del GLP-1 e dell’amilina. In un piccolo studio di fase 1b/2a con 125 partecipanti il peso è sceso al livello di dose più alto del 24,3% dopo 36 settimane (Dahl 2025, PMID 40550231). Il programma di fase 3 AMAZE è in corso dal 2026.</w:t>
      </w:r>
    </w:p>
    <w:p>
      <w:pPr>
        <w:numPr>
          <w:ilvl w:val="0"/>
          <w:numId w:val="1355"/>
        </w:numPr>
        <w:pStyle w:val="Compact"/>
      </w:pPr>
      <w:r>
        <w:rPr>
          <w:bCs/>
          <w:b/>
        </w:rPr>
        <w:t xml:space="preserve">Amilina da sola:</w:t>
      </w:r>
      <w:r>
        <w:t xml:space="preserve"> </w:t>
      </w:r>
      <w:r>
        <w:t xml:space="preserve">qui la speranza è una migliore tollerabilità. Eloralintide, un agonista selettivo del recettore dell’amilina di Lilly, ha portato in uno studio di fase 2 con 263 adulti, dopo 48 settimane, a una perdita di peso del 9–20% contro lo 0,4% con placebo; nausea e stanchezza erano, a seconda della dose, nettamente più frequenti che con placebo (Billings 2025, PMID 41207310). Petrelintide di Zealand Pharma ha ridotto il peso nello studio di fase 2 ZUPREME 1 con 493 partecipanti, dopo 28 settimane, del 7,9–9,8% (placebo 1,7%). La nausea si è verificata nel 20% contro il 6%, il vomito invece non più spesso che con placebo (Garvey 2026, PMID 42810355).</w:t>
      </w:r>
    </w:p>
    <w:p>
      <w:pPr>
        <w:pStyle w:val="FirstParagraph"/>
      </w:pPr>
      <w:r>
        <w:t xml:space="preserve">Entrambi i principi attivi a base di sola amilina sono ormai in fase 3: eloralintide in ENLIGHTEN-1 con 1.980 partecipanti previsti (NCT07321886, conclusione luglio 2030), petrelintide in ZUPREME-3 con 3.900 partecipanti previsti sotto la guida di Roche (NCT07843498, conclusione marzo 2029). Lilly testa inoltre una combinazione di eloralintide e tirzepatide (AMPLIFY-1, NCT07881432, 2.115 partecipanti previsti).</w:t>
      </w:r>
    </w:p>
    <w:bookmarkEnd w:id="1032"/>
    <w:bookmarkStart w:id="1033" w:name="coniugati-anticorpo-peptide"/>
    <w:p>
      <w:pPr>
        <w:pStyle w:val="Heading4"/>
      </w:pPr>
      <w:r>
        <w:t xml:space="preserve">Coniugati anticorpo-peptide</w:t>
      </w:r>
    </w:p>
    <w:p>
      <w:pPr>
        <w:pStyle w:val="FirstParagraph"/>
      </w:pPr>
      <w:r>
        <w:t xml:space="preserve">I peptidi vengono degradati rapidamente nel corpo ed eliminati attraverso i reni. Una soluzione è legarli a un anticorpo che resta nel sangue per settimane. Una revisione descrive questi coniugati anticorpo-peptide come una nuova classe di principi attivi a sé stante: a differenza delle proteine di fusione, il peptide viene prodotto chimicamente e solo dopo legato all’anticorpo, così da poter contenere anche elementi costitutivi insoliti (Yie 2026, PMID 42592044).</w:t>
      </w:r>
    </w:p>
    <w:p>
      <w:pPr>
        <w:pStyle w:val="BodyText"/>
      </w:pPr>
      <w:r>
        <w:t xml:space="preserve">L’esempio più noto è maridebart cafraglutide (MariTide). Unisce un anticorpo che blocca il recettore del GIP a peptidi di tipo GLP-1 che attivano il recettore del GLP-1. Nello studio di fase 2 con 592 partecipanti è stato iniettato ogni quattro od otto settimane. Dopo 52 settimane la perdita di peso senza diabete era dal 12,3 al 16,2% (placebo 2,5%), con diabete di tipo 2 dall’8,4 al 12,3% (placebo 1,7%). I disturbi gastrointestinali erano frequenti, ma più rari quando la dose veniva aumentata lentamente (Jastreboff 2025, PMID 40549887). Il concetto è: meno iniezioni invece del massimo effetto.</w:t>
      </w:r>
    </w:p>
    <w:bookmarkEnd w:id="1033"/>
    <w:bookmarkStart w:id="1034" w:name="X13220b9bf4249d222b4d142d791316da3ccfb57"/>
    <w:p>
      <w:pPr>
        <w:pStyle w:val="Heading4"/>
      </w:pPr>
      <w:r>
        <w:t xml:space="preserve">Proteggere i muscoli durante il dimagrimento</w:t>
      </w:r>
    </w:p>
    <w:p>
      <w:pPr>
        <w:pStyle w:val="FirstParagraph"/>
      </w:pPr>
      <w:r>
        <w:t xml:space="preserve">A ogni forte perdita di peso si perde anche massa muscolare e ossea. Un approccio è l’anticorpo</w:t>
      </w:r>
      <w:r>
        <w:t xml:space="preserve"> </w:t>
      </w:r>
      <w:r>
        <w:rPr>
          <w:bCs/>
          <w:b/>
        </w:rPr>
        <w:t xml:space="preserve">bimagrumab</w:t>
      </w:r>
      <w:r>
        <w:t xml:space="preserve">, che blocca i recettori dell’attivina di tipo II – interruttori che frenano la crescita muscolare. Bimagrumab non è un peptide, ma viene combinato in modo mirato con farmaci peptidici.</w:t>
      </w:r>
    </w:p>
    <w:p>
      <w:pPr>
        <w:numPr>
          <w:ilvl w:val="0"/>
          <w:numId w:val="1356"/>
        </w:numPr>
        <w:pStyle w:val="Compact"/>
      </w:pPr>
      <w:r>
        <w:t xml:space="preserve">In uno studio di fase 2 con 75 adulti con diabete di tipo 2 e sovrappeso, con il solo bimagrumab la massa grassa è scesa dopo 48 settimane del 20,5%, mentre la massa magra è aumentata del 3,6% (placebo −0,5% e −0,8%) (Heymsfield 2021, PMID 33439265).</w:t>
      </w:r>
    </w:p>
    <w:p>
      <w:pPr>
        <w:numPr>
          <w:ilvl w:val="0"/>
          <w:numId w:val="1356"/>
        </w:numPr>
        <w:pStyle w:val="Compact"/>
      </w:pPr>
      <w:r>
        <w:t xml:space="preserve">In uno studio di fase 2 con 507 adulti con obesità la perdita di peso dopo 48 settimane era di 9,3 kg con il solo bimagrumab, di 14,2 kg con la sola semaglutide e di 17,8 kg con la combinazione (placebo 3,3 kg). Effetti collaterali frequenti di bimagrumab erano crampi muscolari, diarrea e acne (Heymsfield 2026, PMID 41772149).</w:t>
      </w:r>
    </w:p>
    <w:p>
      <w:pPr>
        <w:pStyle w:val="FirstParagraph"/>
      </w:pPr>
      <w:r>
        <w:t xml:space="preserve">Lilly testa ora bimagrumab con tirzepatide (NCT06643728, 252 partecipanti, conclusione gennaio 2027). Uno studio più piccolo al Massachusetts General Hospital esamina la stessa combinazione con attenzione alla composizione corporea e alle ossa (NCT05933499). Se più massa muscolare alla scansione significhi anche più forza, meno cadute o meno fratture finora non è dimostrato. Nel registro non risultano studi di fase 3.</w:t>
      </w:r>
    </w:p>
    <w:bookmarkEnd w:id="1034"/>
    <w:bookmarkStart w:id="1035" w:name="compresse"/>
    <w:p>
      <w:pPr>
        <w:pStyle w:val="Heading4"/>
      </w:pPr>
      <w:r>
        <w:t xml:space="preserve">Compresse</w:t>
      </w:r>
    </w:p>
    <w:p>
      <w:pPr>
        <w:pStyle w:val="FirstParagraph"/>
      </w:pPr>
      <w:r>
        <w:t xml:space="preserve">Il cambiamento forse più gravido di conseguenze non riguarda il recettore, ma la via d’ingresso nel corpo: compresse con peptidi e piccole molecole che agiscono come peptidi. A questo tema è dedicato il prossimo capitolo.</w:t>
      </w:r>
    </w:p>
    <w:bookmarkEnd w:id="1035"/>
    <w:bookmarkEnd w:id="1036"/>
    <w:bookmarkStart w:id="1037" w:name="in-breve-3"/>
    <w:p>
      <w:pPr>
        <w:pStyle w:val="Heading3"/>
      </w:pPr>
      <w:r>
        <w:t xml:space="preserve">In breve</w:t>
      </w:r>
    </w:p>
    <w:p>
      <w:pPr>
        <w:numPr>
          <w:ilvl w:val="0"/>
          <w:numId w:val="1357"/>
        </w:numPr>
        <w:pStyle w:val="Compact"/>
      </w:pPr>
      <w:r>
        <w:t xml:space="preserve">Dopo l’esclusione di voci fittizie ed estranee al tema sono in corso 730 studi interventistici sui principi attivi di questo libro, di cui 157 in fase 3.</w:t>
      </w:r>
    </w:p>
    <w:p>
      <w:pPr>
        <w:numPr>
          <w:ilvl w:val="0"/>
          <w:numId w:val="1357"/>
        </w:numPr>
        <w:pStyle w:val="Compact"/>
      </w:pPr>
      <w:r>
        <w:t xml:space="preserve">Quasi nove studi in fase avanzata su dieci riguardano metabolismo e peso. Per i popolari peptidi del mercato grigio non è in corso nemmeno uno studio di fase 3.</w:t>
      </w:r>
    </w:p>
    <w:p>
      <w:pPr>
        <w:numPr>
          <w:ilvl w:val="0"/>
          <w:numId w:val="1357"/>
        </w:numPr>
        <w:pStyle w:val="Compact"/>
      </w:pPr>
      <w:r>
        <w:t xml:space="preserve">I grandi studi cardiovascolari, renali ed epatici si concludono tra il 2027 e il 2032. Solo essi mostreranno se i nuovi principi attivi fanno di più che ridurre il peso.</w:t>
      </w:r>
    </w:p>
    <w:p>
      <w:pPr>
        <w:numPr>
          <w:ilvl w:val="0"/>
          <w:numId w:val="1357"/>
        </w:numPr>
        <w:pStyle w:val="Compact"/>
      </w:pPr>
      <w:r>
        <w:t xml:space="preserve">I nuovi principi d’azione – tripli agonisti, amilina, coniugati anticorpo-peptide, protezione muscolare – sono documentati in studi di fase 2, e la maggior parte si trova in fase 3. Per nessuno di questi nuovi principi attivi un’autorizzazione è certa.</w:t>
      </w:r>
    </w:p>
    <w:bookmarkEnd w:id="1037"/>
    <w:bookmarkEnd w:id="1038"/>
    <w:bookmarkStart w:id="1052" w:name="compresse-invece-di-iniezioni"/>
    <w:p>
      <w:pPr>
        <w:pStyle w:val="Heading2"/>
      </w:pPr>
      <w:r>
        <w:t xml:space="preserve">Compresse invece di iniezioni</w:t>
      </w:r>
    </w:p>
    <w:p>
      <w:pPr>
        <w:pStyle w:val="FirstParagraph"/>
      </w:pPr>
      <w:r>
        <w:t xml:space="preserve">Quasi tutti i farmaci peptidici di questo libro vengono iniettati. Il motivo è semplice: l’apparato gastrointestinale è fatto per scomporre proteine e peptidi nei loro elementi costitutivi. Ciò che è utile per il cibo rende un peptide inutilizzabile come farmaco prima che raggiunga il sangue. La Parte I ha descritto in dettaglio questi ostacoli (capitolo «Come i peptidi entrano nel corpo»).</w:t>
      </w:r>
    </w:p>
    <w:p>
      <w:pPr>
        <w:pStyle w:val="BodyText"/>
      </w:pPr>
      <w:r>
        <w:t xml:space="preserve">Che si faccia comunque un’intensa ricerca sulle compresse ha diversi motivi. Molte persone non amano farsi iniezioni. Le iniezioni vanno per lo più conservate in frigorifero, e le penne sono complesse da produrre. E poiché i farmaci contro l’obesità, secondo le conoscenze attuali, vanno assunti a tempo indeterminato per essere efficaci, ogni facilitazione per il trattamento a lungo termine conta. Una revisione descrive come negli studi clinici siano già state sperimentate forme orali di insulina, calcitonina, paratormone e vasopressina, e come solo semaglutide abbia segnato la svolta per un principio attivo di ampio uso (Drucker 2020, PMID 31848464).</w:t>
      </w:r>
    </w:p>
    <w:p>
      <w:pPr>
        <w:pStyle w:val="BodyText"/>
      </w:pPr>
      <w:r>
        <w:t xml:space="preserve">Oggi esistono due vie fondamentalmente diverse verso la compressa: si protegge un</w:t>
      </w:r>
      <w:r>
        <w:t xml:space="preserve"> </w:t>
      </w:r>
      <w:r>
        <w:rPr>
          <w:bCs/>
          <w:b/>
        </w:rPr>
        <w:t xml:space="preserve">peptide</w:t>
      </w:r>
      <w:r>
        <w:t xml:space="preserve"> </w:t>
      </w:r>
      <w:r>
        <w:t xml:space="preserve">in modo che almeno una piccola parte venga assorbita – oppure si sostituisce il peptide con una</w:t>
      </w:r>
      <w:r>
        <w:t xml:space="preserve"> </w:t>
      </w:r>
      <w:r>
        <w:rPr>
          <w:bCs/>
          <w:b/>
        </w:rPr>
        <w:t xml:space="preserve">piccola molecola</w:t>
      </w:r>
      <w:r>
        <w:t xml:space="preserve">, che passa dall’intestino al sangue come un farmaco comune e agisce comunque sullo stesso recettore.</w:t>
      </w:r>
    </w:p>
    <w:bookmarkStart w:id="1044" w:name="X5e30516178af34bd0b9429909b0ba66ec0aaeff"/>
    <w:p>
      <w:pPr>
        <w:pStyle w:val="Heading3"/>
      </w:pPr>
      <w:r>
        <w:t xml:space="preserve">Via 1: peptide più promotore dell’assorbimento</w:t>
      </w:r>
    </w:p>
    <w:bookmarkStart w:id="1039" w:name="il-principio"/>
    <w:p>
      <w:pPr>
        <w:pStyle w:val="Heading4"/>
      </w:pPr>
      <w:r>
        <w:t xml:space="preserve">Il principio</w:t>
      </w:r>
    </w:p>
    <w:p>
      <w:pPr>
        <w:pStyle w:val="FirstParagraph"/>
      </w:pPr>
      <w:r>
        <w:t xml:space="preserve">Un</w:t>
      </w:r>
      <w:r>
        <w:t xml:space="preserve"> </w:t>
      </w:r>
      <w:r>
        <w:rPr>
          <w:bCs/>
          <w:b/>
        </w:rPr>
        <w:t xml:space="preserve">promotore dell’assorbimento</w:t>
      </w:r>
      <w:r>
        <w:t xml:space="preserve"> </w:t>
      </w:r>
      <w:r>
        <w:t xml:space="preserve">(termine tecnico: promotore della permeazione) è un eccipiente che rende la mucosa temporaneamente più permeabile o protegge il peptide dalla degradazione. Nella compressa di semaglutide si tratta dell’eccipiente</w:t>
      </w:r>
      <w:r>
        <w:t xml:space="preserve"> </w:t>
      </w:r>
      <w:r>
        <w:rPr>
          <w:bCs/>
          <w:b/>
        </w:rPr>
        <w:t xml:space="preserve">SNAC</w:t>
      </w:r>
      <w:r>
        <w:t xml:space="preserve">. Nelle immediate vicinanze della compressa alza il pH, attenua l’attivazione dell’enzima digestivo pepsina e fa sì che semaglutide si presenti come singola molecola, più facile da assorbire. Ciononostante, secondo una revisione, solo circa lo 0,4–1% del principio attivo arriva nel sangue – e solo a digiuno e con poca acqua. Dopo un pasto nel sangue non è praticamente rilevabile semaglutide (Vahora 2026, PMID 42687069). Ne derivano le rigide regole di assunzione riportate nel riassunto delle caratteristiche del prodotto.</w:t>
      </w:r>
    </w:p>
    <w:bookmarkEnd w:id="1039"/>
    <w:bookmarkStart w:id="1040" w:name="la-compressa-di-semaglutide-nellobesità"/>
    <w:p>
      <w:pPr>
        <w:pStyle w:val="Heading4"/>
      </w:pPr>
      <w:r>
        <w:t xml:space="preserve">La compressa di semaglutide nell’obesità</w:t>
      </w:r>
    </w:p>
    <w:p>
      <w:pPr>
        <w:pStyle w:val="FirstParagraph"/>
      </w:pPr>
      <w:r>
        <w:t xml:space="preserve">Per il diabete di tipo 2 la compressa di semaglutide (Rybelsus) è autorizzata nell’UE dal 2020. Per l’obesità sono state testate dosi più alte: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OASIS 1 (Knop 2023), PMID 37385278</w:t>
            </w:r>
          </w:p>
        </w:tc>
        <w:tc>
          <w:tcPr/>
          <w:p>
            <w:pPr>
              <w:pStyle w:val="Compact"/>
              <w:jc w:val="left"/>
            </w:pPr>
            <w:r>
              <w:t xml:space="preserve">667 adulti senza diabete, compressa contro placebo</w:t>
            </w:r>
          </w:p>
        </w:tc>
        <w:tc>
          <w:tcPr/>
          <w:p>
            <w:pPr>
              <w:pStyle w:val="Compact"/>
              <w:jc w:val="left"/>
            </w:pPr>
            <w:r>
              <w:t xml:space="preserve">68 settimane</w:t>
            </w:r>
          </w:p>
        </w:tc>
        <w:tc>
          <w:tcPr/>
          <w:p>
            <w:pPr>
              <w:pStyle w:val="Compact"/>
              <w:jc w:val="left"/>
            </w:pPr>
            <w:r>
              <w:t xml:space="preserve">−15,1% di peso vs. −2,4%</w:t>
            </w:r>
          </w:p>
        </w:tc>
      </w:tr>
      <w:tr>
        <w:tc>
          <w:tcPr/>
          <w:p>
            <w:pPr>
              <w:pStyle w:val="Compact"/>
              <w:jc w:val="left"/>
            </w:pPr>
            <w:r>
              <w:t xml:space="preserve">OASIS 4 (Wharton 2025), PMID 40934115</w:t>
            </w:r>
          </w:p>
        </w:tc>
        <w:tc>
          <w:tcPr/>
          <w:p>
            <w:pPr>
              <w:pStyle w:val="Compact"/>
              <w:jc w:val="left"/>
            </w:pPr>
            <w:r>
              <w:t xml:space="preserve">307 adulti senza diabete, dose più bassa in compresse contro placebo</w:t>
            </w:r>
          </w:p>
        </w:tc>
        <w:tc>
          <w:tcPr/>
          <w:p>
            <w:pPr>
              <w:pStyle w:val="Compact"/>
              <w:jc w:val="left"/>
            </w:pPr>
            <w:r>
              <w:t xml:space="preserve">64 settimane</w:t>
            </w:r>
          </w:p>
        </w:tc>
        <w:tc>
          <w:tcPr/>
          <w:p>
            <w:pPr>
              <w:pStyle w:val="Compact"/>
              <w:jc w:val="left"/>
            </w:pPr>
            <w:r>
              <w:t xml:space="preserve">−13,6% vs. −2,2%</w:t>
            </w:r>
          </w:p>
        </w:tc>
      </w:tr>
      <w:tr>
        <w:tc>
          <w:tcPr/>
          <w:p>
            <w:pPr>
              <w:pStyle w:val="Compact"/>
              <w:jc w:val="left"/>
            </w:pPr>
            <w:r>
              <w:t xml:space="preserve">Per confronto: STEP 1 (Wilding 2021), PMID 33567185</w:t>
            </w:r>
          </w:p>
        </w:tc>
        <w:tc>
          <w:tcPr/>
          <w:p>
            <w:pPr>
              <w:pStyle w:val="Compact"/>
              <w:jc w:val="left"/>
            </w:pPr>
            <w:r>
              <w:t xml:space="preserve">1.961 adulti senza diabete, iniezione settimanale contro placebo</w:t>
            </w:r>
          </w:p>
        </w:tc>
        <w:tc>
          <w:tcPr/>
          <w:p>
            <w:pPr>
              <w:pStyle w:val="Compact"/>
              <w:jc w:val="left"/>
            </w:pPr>
            <w:r>
              <w:t xml:space="preserve">68 settimane</w:t>
            </w:r>
          </w:p>
        </w:tc>
        <w:tc>
          <w:tcPr/>
          <w:p>
            <w:pPr>
              <w:pStyle w:val="Compact"/>
              <w:jc w:val="left"/>
            </w:pPr>
            <w:r>
              <w:t xml:space="preserve">−14,9% vs. −2,4%</w:t>
            </w:r>
          </w:p>
        </w:tc>
      </w:tr>
    </w:tbl>
    <w:p>
      <w:pPr>
        <w:pStyle w:val="BodyText"/>
      </w:pPr>
      <w:r>
        <w:t xml:space="preserve">In entrambi gli studi con compresse i disturbi gastrointestinali erano frequenti: 80% contro 46% con placebo in OASIS 1, 74,0% contro 42,2% in OASIS 4. Secondo il capitolo Semaglutide, lo studio OASIS 4 costituisce la base della compressa di Wegovy autorizzata negli USA (verificare lo stato attuale dell’autorizzazione). Un ulteriore studio di fase 3 sulla compressa è in corso (OASIS 5, NCT07770841, conclusione aprile 2028).</w:t>
      </w:r>
    </w:p>
    <w:p>
      <w:pPr>
        <w:pStyle w:val="BodyText"/>
      </w:pPr>
      <w:r>
        <w:t xml:space="preserve">I numeri sono vicini a quelli dell’iniezione. Manca tuttavia un grande confronto diretto tra compressa e iniezione nell’obesità, e i confronti trasversali tra studi sono solo un orientamento approssimativo.</w:t>
      </w:r>
    </w:p>
    <w:p>
      <w:pPr>
        <w:pStyle w:val="BodyText"/>
      </w:pPr>
      <w:r>
        <w:rPr>
          <w:bCs/>
          <w:b/>
        </w:rPr>
        <w:t xml:space="preserve">Uno svantaggio raramente menzionato:</w:t>
      </w:r>
      <w:r>
        <w:t xml:space="preserve"> </w:t>
      </w:r>
      <w:r>
        <w:t xml:space="preserve">poiché ne viene assorbita solo una frazione, la compressa richiede una quantità di principio attivo molte volte superiore. Una stima dei costi per i generici dopo la scadenza del brevetto è arrivata, per semaglutide iniettabile, a 28–140 dollari USA per persona all’anno, per la compressa a 186–380 dollari USA (Levi 2026, PMID 42437874). La compressa non è quindi automaticamente la soluzione più economica (maggiori dettagli nel capitolo «Brevetti, generici e prezzi»).</w:t>
      </w:r>
    </w:p>
    <w:bookmarkEnd w:id="1040"/>
    <w:bookmarkStart w:id="1041" w:name="endpoint-clinici-forti-soul"/>
    <w:p>
      <w:pPr>
        <w:pStyle w:val="Heading4"/>
      </w:pPr>
      <w:r>
        <w:t xml:space="preserve">Endpoint clinici forti: SOUL</w:t>
      </w:r>
    </w:p>
    <w:p>
      <w:pPr>
        <w:pStyle w:val="FirstParagraph"/>
      </w:pPr>
      <w:r>
        <w:t xml:space="preserve">Per il diabete di tipo 2 il beneficio della compressa di semaglutide è dimostrato oltre la glicemia. In SOUL, con 9.650 persone con diabete di tipo 2 e malattia vascolare o renale, eventi cardiovascolari gravi si sono verificati, in un periodo medio di osservazione di circa quattro anni, nel 12,0% con la compressa e nel 13,8% con placebo (hazard ratio 0,86). Gli endpoint renali confermativi non differivano in modo significativo (McGuire 2025, PMID 40162642). Per le persone con obesità senza diabete uno studio del genere con la compressa non esiste ancora.</w:t>
      </w:r>
    </w:p>
    <w:bookmarkEnd w:id="1041"/>
    <w:bookmarkStart w:id="1042" w:name="amilina-e-glp-1-in-compressa"/>
    <w:p>
      <w:pPr>
        <w:pStyle w:val="Heading4"/>
      </w:pPr>
      <w:r>
        <w:t xml:space="preserve">Amilina e GLP-1 in compressa</w:t>
      </w:r>
    </w:p>
    <w:p>
      <w:pPr>
        <w:pStyle w:val="FirstParagraph"/>
      </w:pPr>
      <w:r>
        <w:t xml:space="preserve">Novo Nordisk sviluppa anche l’amicretina (dal 2026 zenagamtide) in compressa. Secondo la pubblicazione dello studio, il peptide agisce sui recettori del GLP-1, dell’amilina e della calcitonina. In uno studio di fase 2 con 186 adulti con diabete di tipo 2, dopo 36 settimane l’HbA1c è sceso nei tre gruppi di dose da 0,5 a 1,1 punti percentuali in più rispetto al placebo. I disturbi gastrointestinali si sono verificati, a seconda della dose, nel 26–47% (placebo 23%); eventi avversi gravi hanno riguardato il 4% con zenagamtide e nessuno con placebo (Mora 2026, PMID 42532079). Lo studio di fase 3 AMAZE 9 testa la compressa nel sovrappeso con 950 partecipanti (NCT07720271, conclusione agosto 2028). Uno studio di fase 1 esamina espressamente come quantità d’acqua e momento del pasto influenzino l’assorbimento (NCT07815067) – un indizio che anche questa compressa sarà probabilmente legata a regole di assunzione.</w:t>
      </w:r>
    </w:p>
    <w:bookmarkEnd w:id="1042"/>
    <w:bookmarkStart w:id="1043" w:name="Xd9e82fad6e3974492cb8ac508c8dff1c10fb5b2"/>
    <w:p>
      <w:pPr>
        <w:pStyle w:val="Heading4"/>
      </w:pPr>
      <w:r>
        <w:t xml:space="preserve">Peptidi orali al di fuori del metabolismo</w:t>
      </w:r>
    </w:p>
    <w:p>
      <w:pPr>
        <w:pStyle w:val="FirstParagraph"/>
      </w:pPr>
      <w:r>
        <w:t xml:space="preserve">La svolta non si limita ai farmaci dimagranti. Due esempi mostrano che i peptidi orali stanno diventando una classe di farmaci a sé stante:</w:t>
      </w:r>
    </w:p>
    <w:p>
      <w:pPr>
        <w:numPr>
          <w:ilvl w:val="0"/>
          <w:numId w:val="1358"/>
        </w:numPr>
        <w:pStyle w:val="Compact"/>
      </w:pPr>
      <w:r>
        <w:rPr>
          <w:bCs/>
          <w:b/>
        </w:rPr>
        <w:t xml:space="preserve">Enlicitide</w:t>
      </w:r>
      <w:r>
        <w:t xml:space="preserve"> </w:t>
      </w:r>
      <w:r>
        <w:t xml:space="preserve">è un peptide ad anello (macrociclico) che inibisce la proteina PCSK9 e riduce così il colesterolo LDL. Finora questi inibitori esistevano solo in forma iniettabile (anticorpi). Il principio attivo è stato trovato con un metodo che esplora biblioteche di peptidi molto grandi alla ricerca di partner di legame adatti, e poi ottimizzato chimicamente in modo mirato (Johns 2023, PMID 37125593). Nello studio di fase 3 CORALreef Lipids con 2.909 partecipanti il colesterolo LDL è sceso dopo 24 settimane del 57,1%, con placebo è salito del 3,0%. Gli eventi avversi si sono verificati con frequenza simile in entrambi i gruppi (Navar 2026, PMID 41879224). Se ciò prevenga anche infarti e ictus dovrà mostrarlo CORALreef Outcomes con 14.550 partecipanti (NCT06008756, conclusione novembre 2031).</w:t>
      </w:r>
    </w:p>
    <w:p>
      <w:pPr>
        <w:numPr>
          <w:ilvl w:val="0"/>
          <w:numId w:val="1358"/>
        </w:numPr>
        <w:pStyle w:val="Compact"/>
      </w:pPr>
      <w:r>
        <w:rPr>
          <w:bCs/>
          <w:b/>
        </w:rPr>
        <w:t xml:space="preserve">Icotrokinra</w:t>
      </w:r>
      <w:r>
        <w:t xml:space="preserve"> </w:t>
      </w:r>
      <w:r>
        <w:t xml:space="preserve">è un peptide orale che blocca il recettore del messaggero infiammatorio interleuchina-23. Nello studio di fase 3 ICONIC-LEAD con 684 adulti e adolescenti con psoriasi da moderata a grave, dopo 16 settimane il 65% ha raggiunto una pelle (quasi) libera da lesioni contro l’8% con placebo; gli eventi avversi erano ugualmente frequenti in entrambi i gruppi (49%) (Bissonnette 2025, PMID 41191940). Nel marzo 2026 icotrokinra è stato autorizzato negli USA, nell’UE la valutazione era in corso (Keam 2026, PMID 42243571; verificare lo stato attuale). Notevole è il percorso: secondo un’indagine farmacologica icotrokinra funziona</w:t>
      </w:r>
      <w:r>
        <w:t xml:space="preserve"> </w:t>
      </w:r>
      <w:r>
        <w:rPr>
          <w:bCs/>
          <w:b/>
        </w:rPr>
        <w:t xml:space="preserve">senza</w:t>
      </w:r>
      <w:r>
        <w:t xml:space="preserve"> </w:t>
      </w:r>
      <w:r>
        <w:t xml:space="preserve">promotore dell’assorbimento. Nell’esperimento animale solo lo 0,1–0,3% è arrivato nel sangue, eppure un effetto sistemico era misurabile, perché il peptide è molto stabile e molto potente (Knight 2025, PMID 40629250). Sono in corso studi nella colite ulcerosa (ICONIC-UC, NCT07196748).</w:t>
      </w:r>
    </w:p>
    <w:p>
      <w:pPr>
        <w:pStyle w:val="FirstParagraph"/>
      </w:pPr>
      <w:r>
        <w:t xml:space="preserve">Entrambi i principi attivi non sono peptidi del mercato grigio, ma molecole progettate a tavolino in modo mirato e testate per anni in grandi studi. Non hanno nulla in comune con i peptidi «orali» offerti su internet.</w:t>
      </w:r>
    </w:p>
    <w:bookmarkEnd w:id="1043"/>
    <w:bookmarkEnd w:id="1044"/>
    <w:bookmarkStart w:id="1047" w:name="via-2-piccole-molecole-invece-di-peptidi"/>
    <w:p>
      <w:pPr>
        <w:pStyle w:val="Heading3"/>
      </w:pPr>
      <w:r>
        <w:t xml:space="preserve">Via 2: piccole molecole invece di peptidi</w:t>
      </w:r>
    </w:p>
    <w:bookmarkStart w:id="1045" w:name="orforglipron"/>
    <w:p>
      <w:pPr>
        <w:pStyle w:val="Heading4"/>
      </w:pPr>
      <w:r>
        <w:t xml:space="preserve">Orforglipron</w:t>
      </w:r>
    </w:p>
    <w:p>
      <w:pPr>
        <w:pStyle w:val="FirstParagraph"/>
      </w:pPr>
      <w:r>
        <w:t xml:space="preserve">Orforglipron non è un peptide, ma una piccola molecola prodotta chimicamente che attiva il recettore del GLP-1 (in dettaglio nel capitolo Orforglipron nella Parte II · A). Si assume come una normale compressa una volta al giorno, secondo gli studi senza riguardo ai pasti o alla quantità d’acqua (Rosenstock 2026, PMID 41765029).</w:t>
      </w:r>
    </w:p>
    <w:p>
      <w:pPr>
        <w:numPr>
          <w:ilvl w:val="0"/>
          <w:numId w:val="1359"/>
        </w:numPr>
        <w:pStyle w:val="Compact"/>
      </w:pPr>
      <w:r>
        <w:rPr>
          <w:bCs/>
          <w:b/>
        </w:rPr>
        <w:t xml:space="preserve">Peso:</w:t>
      </w:r>
      <w:r>
        <w:t xml:space="preserve"> </w:t>
      </w:r>
      <w:r>
        <w:t xml:space="preserve">in ATTAIN-1, con 3.127 adulti con obesità, il peso è sceso dopo 72 settimane alla dose più alta dell’11,2%, con placebo del 2,1%. A causa degli effetti collaterali ha interrotto il 5,3–10,3% (placebo 2,7%) (Wharton 2025, PMID 40960239).</w:t>
      </w:r>
    </w:p>
    <w:p>
      <w:pPr>
        <w:numPr>
          <w:ilvl w:val="0"/>
          <w:numId w:val="1359"/>
        </w:numPr>
        <w:pStyle w:val="Compact"/>
      </w:pPr>
      <w:r>
        <w:rPr>
          <w:bCs/>
          <w:b/>
        </w:rPr>
        <w:t xml:space="preserve">Glicemia:</w:t>
      </w:r>
      <w:r>
        <w:t xml:space="preserve"> </w:t>
      </w:r>
      <w:r>
        <w:t xml:space="preserve">nel confronto in aperto con la compressa di semaglutide (ACHIEVE-3, 1.698 partecipanti) orforglipron ha ridotto l’HbA1c dopo 52 settimane in misura maggiore, alle rispettive dosi più alte di 1,91 contro 1,47 punti percentuali (Rosenstock 2026, PMID 41765029).</w:t>
      </w:r>
    </w:p>
    <w:p>
      <w:pPr>
        <w:numPr>
          <w:ilvl w:val="0"/>
          <w:numId w:val="1359"/>
        </w:numPr>
        <w:pStyle w:val="Compact"/>
      </w:pPr>
      <w:r>
        <w:rPr>
          <w:bCs/>
          <w:b/>
        </w:rPr>
        <w:t xml:space="preserve">Mantenere il peso:</w:t>
      </w:r>
      <w:r>
        <w:t xml:space="preserve"> </w:t>
      </w:r>
      <w:r>
        <w:t xml:space="preserve">in ATTAIN-MAINTAIN i partecipanti, dopo un calo di peso con tirzepatide o semaglutide iniettabili, sono passati a orforglipron o placebo. Dopo 52 settimane, con orforglipron hanno mantenuto rispettivamente il 74,7% e il 79,3% della perdita di peso, con placebo il 49,2% e il 37,6%. Non c’era un gruppo che continuasse semplicemente a ricevere l’iniezione; gli autori lo indicano essi stessi come limite (Aronne 2026, PMID 42120723).</w:t>
      </w:r>
    </w:p>
    <w:p>
      <w:pPr>
        <w:numPr>
          <w:ilvl w:val="0"/>
          <w:numId w:val="1359"/>
        </w:numPr>
        <w:pStyle w:val="Compact"/>
      </w:pPr>
      <w:r>
        <w:rPr>
          <w:bCs/>
          <w:b/>
        </w:rPr>
        <w:t xml:space="preserve">Fegato:</w:t>
      </w:r>
      <w:r>
        <w:t xml:space="preserve"> </w:t>
      </w:r>
      <w:r>
        <w:t xml:space="preserve">per le piccole molecole GLP-1 i valori epatici erano una preoccupazione particolare. Un’analisi aggregata di sette studi di fase 3 con 11.220 partecipanti non ha trovato per orforglipron alcun caso che soddisfacesse i criteri di un danno epatico da farmaci (Wharton 2026, PMID 42338042).</w:t>
      </w:r>
    </w:p>
    <w:bookmarkEnd w:id="1045"/>
    <w:bookmarkStart w:id="1046" w:name="non-ogni-piccola-molecola-ce-la-fa"/>
    <w:p>
      <w:pPr>
        <w:pStyle w:val="Heading4"/>
      </w:pPr>
      <w:r>
        <w:t xml:space="preserve">Non ogni piccola molecola ce la fa</w:t>
      </w:r>
    </w:p>
    <w:p>
      <w:pPr>
        <w:pStyle w:val="FirstParagraph"/>
      </w:pPr>
      <w:r>
        <w:t xml:space="preserve">Che la strada sia difficile lo mostra</w:t>
      </w:r>
      <w:r>
        <w:t xml:space="preserve"> </w:t>
      </w:r>
      <w:r>
        <w:rPr>
          <w:bCs/>
          <w:b/>
        </w:rPr>
        <w:t xml:space="preserve">danuglipron</w:t>
      </w:r>
      <w:r>
        <w:t xml:space="preserve"> </w:t>
      </w:r>
      <w:r>
        <w:t xml:space="preserve">di Pfizer. In uno studio di fase 2b con 628 adulti con obesità, in cui le compresse venivano assunte due volte al giorno, il peso è sceso molto più che con placebo, ma solo il 39,3% ha completato il trattamento; circa il 38% ha interrotto a causa degli effetti collaterali (Buckeridge 2025, PMID 40539310). Secondo comunicazioni del produttore lo sviluppo è stato interrotto (aggiornato al 2026, da verificare). Altre aziende sviluppano proprie compresse; AstraZeneca, per esempio, testa il principio attivo elecoglipron in uno studio di fase 3 contro la compressa di semaglutide (Eluminate-2, NCT07662213).</w:t>
      </w:r>
    </w:p>
    <w:bookmarkEnd w:id="1046"/>
    <w:bookmarkEnd w:id="1047"/>
    <w:bookmarkStart w:id="1048" w:name="X32134f0ca148a73309bf1f2ab7344ce7914487e"/>
    <w:p>
      <w:pPr>
        <w:pStyle w:val="Heading3"/>
      </w:pPr>
      <w:r>
        <w:t xml:space="preserve">Compressa peptidica o piccola molecola: un confronto</w:t>
      </w:r>
    </w:p>
    <w:p>
      <w:pPr>
        <w:pStyle w:val="FirstParagraph"/>
      </w:pPr>
      <w:r>
        <w:t xml:space="preserve">Manca un confronto diretto tra la compressa di semaglutide e orforglipron nell’obesità. Un’analisi li ha confrontati indirettamente, allineando i dati individuali di OASIS 4 con i dati aggregati pubblicati di ATTAIN-1. Secondo questa analisi la perdita di peso con la compressa di semaglutide era maggiore di circa 3 punti percentuali, e le interruzioni per effetti collaterali erano più frequenti con orforglipron (Michalak 2026, PMID 42225305). Questi confronti indiretti vanno letti con cautela: i dati individuali erano disponibili solo per uno dei due studi, e precisamente per quello del programma di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Caratteristica</w:t>
            </w:r>
          </w:p>
        </w:tc>
        <w:tc>
          <w:tcPr/>
          <w:p>
            <w:pPr>
              <w:pStyle w:val="Compact"/>
              <w:jc w:val="left"/>
            </w:pPr>
            <w:r>
              <w:t xml:space="preserve">Iniezione peptidica</w:t>
            </w:r>
          </w:p>
        </w:tc>
        <w:tc>
          <w:tcPr/>
          <w:p>
            <w:pPr>
              <w:pStyle w:val="Compact"/>
              <w:jc w:val="left"/>
            </w:pPr>
            <w:r>
              <w:t xml:space="preserve">Compressa peptidica</w:t>
            </w:r>
          </w:p>
        </w:tc>
        <w:tc>
          <w:tcPr/>
          <w:p>
            <w:pPr>
              <w:pStyle w:val="Compact"/>
              <w:jc w:val="left"/>
            </w:pPr>
            <w:r>
              <w:t xml:space="preserve">Piccola molecola</w:t>
            </w:r>
          </w:p>
        </w:tc>
      </w:tr>
      <w:tr>
        <w:tc>
          <w:tcPr/>
          <w:p>
            <w:pPr>
              <w:pStyle w:val="Compact"/>
              <w:jc w:val="left"/>
            </w:pPr>
            <w:r>
              <w:t xml:space="preserve">Esempio</w:t>
            </w:r>
          </w:p>
        </w:tc>
        <w:tc>
          <w:tcPr/>
          <w:p>
            <w:pPr>
              <w:pStyle w:val="Compact"/>
              <w:jc w:val="left"/>
            </w:pPr>
            <w:r>
              <w:t xml:space="preserve">semaglutide, tirzepatide</w:t>
            </w:r>
          </w:p>
        </w:tc>
        <w:tc>
          <w:tcPr/>
          <w:p>
            <w:pPr>
              <w:pStyle w:val="Compact"/>
              <w:jc w:val="left"/>
            </w:pPr>
            <w:r>
              <w:t xml:space="preserve">compressa di semaglutide, compressa di zenagamtide</w:t>
            </w:r>
          </w:p>
        </w:tc>
        <w:tc>
          <w:tcPr/>
          <w:p>
            <w:pPr>
              <w:pStyle w:val="Compact"/>
              <w:jc w:val="left"/>
            </w:pPr>
            <w:r>
              <w:t xml:space="preserve">orforglipron</w:t>
            </w:r>
          </w:p>
        </w:tc>
      </w:tr>
      <w:tr>
        <w:tc>
          <w:tcPr/>
          <w:p>
            <w:pPr>
              <w:pStyle w:val="Compact"/>
              <w:jc w:val="left"/>
            </w:pPr>
            <w:r>
              <w:t xml:space="preserve">Assunzione</w:t>
            </w:r>
          </w:p>
        </w:tc>
        <w:tc>
          <w:tcPr/>
          <w:p>
            <w:pPr>
              <w:pStyle w:val="Compact"/>
              <w:jc w:val="left"/>
            </w:pPr>
            <w:r>
              <w:t xml:space="preserve">da settimanale a mensile</w:t>
            </w:r>
          </w:p>
        </w:tc>
        <w:tc>
          <w:tcPr/>
          <w:p>
            <w:pPr>
              <w:pStyle w:val="Compact"/>
              <w:jc w:val="left"/>
            </w:pPr>
            <w:r>
              <w:t xml:space="preserve">quotidiana, a digiuno, con regole di assunzione</w:t>
            </w:r>
          </w:p>
        </w:tc>
        <w:tc>
          <w:tcPr/>
          <w:p>
            <w:pPr>
              <w:pStyle w:val="Compact"/>
              <w:jc w:val="left"/>
            </w:pPr>
            <w:r>
              <w:t xml:space="preserve">quotidiana, senza regole sui pasti</w:t>
            </w:r>
          </w:p>
        </w:tc>
      </w:tr>
      <w:tr>
        <w:tc>
          <w:tcPr/>
          <w:p>
            <w:pPr>
              <w:pStyle w:val="Compact"/>
              <w:jc w:val="left"/>
            </w:pPr>
            <w:r>
              <w:t xml:space="preserve">Fabbisogno di principio attivo</w:t>
            </w:r>
          </w:p>
        </w:tc>
        <w:tc>
          <w:tcPr/>
          <w:p>
            <w:pPr>
              <w:pStyle w:val="Compact"/>
              <w:jc w:val="left"/>
            </w:pPr>
            <w:r>
              <w:t xml:space="preserve">basso</w:t>
            </w:r>
          </w:p>
        </w:tc>
        <w:tc>
          <w:tcPr/>
          <w:p>
            <w:pPr>
              <w:pStyle w:val="Compact"/>
              <w:jc w:val="left"/>
            </w:pPr>
            <w:r>
              <w:t xml:space="preserve">molto alto (assorbimento circa 1%)</w:t>
            </w:r>
          </w:p>
        </w:tc>
        <w:tc>
          <w:tcPr/>
          <w:p>
            <w:pPr>
              <w:pStyle w:val="Compact"/>
              <w:jc w:val="left"/>
            </w:pPr>
            <w:r>
              <w:t xml:space="preserve">normale per compresse</w:t>
            </w:r>
          </w:p>
        </w:tc>
      </w:tr>
      <w:tr>
        <w:tc>
          <w:tcPr/>
          <w:p>
            <w:pPr>
              <w:pStyle w:val="Compact"/>
              <w:jc w:val="left"/>
            </w:pPr>
            <w:r>
              <w:t xml:space="preserve">Perdita di peso negli studi</w:t>
            </w:r>
          </w:p>
        </w:tc>
        <w:tc>
          <w:tcPr/>
          <w:p>
            <w:pPr>
              <w:pStyle w:val="Compact"/>
              <w:jc w:val="left"/>
            </w:pPr>
            <w:r>
              <w:t xml:space="preserve">la più alta</w:t>
            </w:r>
          </w:p>
        </w:tc>
        <w:tc>
          <w:tcPr/>
          <w:p>
            <w:pPr>
              <w:pStyle w:val="Compact"/>
              <w:jc w:val="left"/>
            </w:pPr>
            <w:r>
              <w:t xml:space="preserve">simile all’iniezione di semaglutide</w:t>
            </w:r>
          </w:p>
        </w:tc>
        <w:tc>
          <w:tcPr/>
          <w:p>
            <w:pPr>
              <w:pStyle w:val="Compact"/>
              <w:jc w:val="left"/>
            </w:pPr>
            <w:r>
              <w:t xml:space="preserve">un po’ minore</w:t>
            </w:r>
          </w:p>
        </w:tc>
      </w:tr>
      <w:tr>
        <w:tc>
          <w:tcPr/>
          <w:p>
            <w:pPr>
              <w:pStyle w:val="Compact"/>
              <w:jc w:val="left"/>
            </w:pPr>
            <w:r>
              <w:t xml:space="preserve">Degradazione, interazioni</w:t>
            </w:r>
          </w:p>
        </w:tc>
        <w:tc>
          <w:tcPr/>
          <w:p>
            <w:pPr>
              <w:pStyle w:val="Compact"/>
              <w:jc w:val="left"/>
            </w:pPr>
            <w:r>
              <w:t xml:space="preserve">come le proteine, quasi nessuna interazione</w:t>
            </w:r>
          </w:p>
        </w:tc>
        <w:tc>
          <w:tcPr/>
          <w:p>
            <w:pPr>
              <w:pStyle w:val="Compact"/>
              <w:jc w:val="left"/>
            </w:pPr>
            <w:r>
              <w:t xml:space="preserve">come le proteine</w:t>
            </w:r>
          </w:p>
        </w:tc>
        <w:tc>
          <w:tcPr/>
          <w:p>
            <w:pPr>
              <w:pStyle w:val="Compact"/>
              <w:jc w:val="left"/>
            </w:pPr>
            <w:r>
              <w:t xml:space="preserve">tramite enzimi epatici, interazioni possibili</w:t>
            </w:r>
          </w:p>
        </w:tc>
      </w:tr>
      <w:tr>
        <w:tc>
          <w:tcPr/>
          <w:p>
            <w:pPr>
              <w:pStyle w:val="Compact"/>
              <w:jc w:val="left"/>
            </w:pPr>
            <w:r>
              <w:t xml:space="preserve">Endpoint clinici forti</w:t>
            </w:r>
          </w:p>
        </w:tc>
        <w:tc>
          <w:tcPr/>
          <w:p>
            <w:pPr>
              <w:pStyle w:val="Compact"/>
              <w:jc w:val="left"/>
            </w:pPr>
            <w:r>
              <w:t xml:space="preserve">dimostrati per diversi principi attivi</w:t>
            </w:r>
          </w:p>
        </w:tc>
        <w:tc>
          <w:tcPr/>
          <w:p>
            <w:pPr>
              <w:pStyle w:val="Compact"/>
              <w:jc w:val="left"/>
            </w:pPr>
            <w:r>
              <w:t xml:space="preserve">dimostrati nel diabete di tipo 2 (SOUL)</w:t>
            </w:r>
          </w:p>
        </w:tc>
        <w:tc>
          <w:tcPr/>
          <w:p>
            <w:pPr>
              <w:pStyle w:val="Compact"/>
              <w:jc w:val="left"/>
            </w:pPr>
            <w:r>
              <w:t xml:space="preserve">studio di esito in corso fino al 2031</w:t>
            </w:r>
          </w:p>
        </w:tc>
      </w:tr>
    </w:tbl>
    <w:p>
      <w:pPr>
        <w:pStyle w:val="BodyText"/>
      </w:pPr>
      <w:r>
        <w:t xml:space="preserve">Il punto «interazioni» merita una spiegazione: i peptidi vengono degradati nel corpo come le altre proteine. Le piccole molecole come orforglipron vengono invece metabolizzate tramite enzimi epatici, attraverso cui passano anche molti altri farmaci. Per questo per orforglipron sono stati condotti numerosi studi di interazione (vedi capitolo Orforglipron).</w:t>
      </w:r>
    </w:p>
    <w:bookmarkEnd w:id="1048"/>
    <w:bookmarkStart w:id="1049" w:name="domande-aperte"/>
    <w:p>
      <w:pPr>
        <w:pStyle w:val="Heading3"/>
      </w:pPr>
      <w:r>
        <w:t xml:space="preserve">Domande aperte</w:t>
      </w:r>
    </w:p>
    <w:p>
      <w:pPr>
        <w:pStyle w:val="FirstParagraph"/>
      </w:pPr>
      <w:r>
        <w:rPr>
          <w:bCs/>
          <w:b/>
        </w:rPr>
        <w:t xml:space="preserve">Una compressa quotidiana si assume in modo più affidabile di un’iniezione settimanale?</w:t>
      </w:r>
      <w:r>
        <w:t xml:space="preserve"> </w:t>
      </w:r>
      <w:r>
        <w:t xml:space="preserve">Non è affatto scontato. Chi scambia un’iniezione a settimana con sette compresse ha sette occasioni a settimana per dimenticare una dose. Per la compressa di semaglutide si aggiunge che già un pasto troppo anticipato può impedire praticamente l’assorbimento (Vahora 2026, PMID 42687069). Come ciò si ripercuota sull’effetto nella vita quotidiana non lo mostrano gli studi registrativi, con i loro partecipanti seguiti da vicino.</w:t>
      </w:r>
    </w:p>
    <w:p>
      <w:pPr>
        <w:pStyle w:val="BodyText"/>
      </w:pPr>
      <w:r>
        <w:rPr>
          <w:bCs/>
          <w:b/>
        </w:rPr>
        <w:t xml:space="preserve">Esistono endpoint clinici forti per le compresse nell’obesità?</w:t>
      </w:r>
      <w:r>
        <w:t xml:space="preserve"> </w:t>
      </w:r>
      <w:r>
        <w:t xml:space="preserve">Non ancora. SOUL riguardava persone con diabete di tipo 2. Lo studio cardiovascolare su orforglipron è in corso fino al 2031 (NCT07241390), e orforglipron viene testato persino in persone in sovrappeso, per prevenire la progressione verso l’obesità o le malattie conseguenti (ATTAIN-NOW, NCT07794579, 2.001 partecipanti, conclusione settembre 2030).</w:t>
      </w:r>
    </w:p>
    <w:p>
      <w:pPr>
        <w:pStyle w:val="BodyText"/>
      </w:pPr>
      <w:r>
        <w:rPr>
          <w:bCs/>
          <w:b/>
        </w:rPr>
        <w:t xml:space="preserve">La compressa è il mezzo per il mantenimento?</w:t>
      </w:r>
      <w:r>
        <w:t xml:space="preserve"> </w:t>
      </w:r>
      <w:r>
        <w:t xml:space="preserve">ATTAIN-MAINTAIN suggerisce che il passaggio dall’iniezione a una compressa possa mantenere gran parte della perdita di peso. Se ciò sia altrettanto valido quanto proseguire con l’iniezione non è stato verificato.</w:t>
      </w:r>
    </w:p>
    <w:p>
      <w:pPr>
        <w:pStyle w:val="BodyText"/>
      </w:pPr>
      <w:r>
        <w:rPr>
          <w:bCs/>
          <w:b/>
        </w:rPr>
        <w:t xml:space="preserve">Le compresse diventeranno più economiche?</w:t>
      </w:r>
      <w:r>
        <w:t xml:space="preserve"> </w:t>
      </w:r>
      <w:r>
        <w:t xml:space="preserve">Per le piccole molecole è plausibile, perché vengono prodotte con procedimenti chimici standard. Per le compresse peptidiche la stima dei costi depone piuttosto contro, perché richiedono molto più principio attivo (Levi 2026, PMID 42437874). I prezzi concreti in Europa sono aperti.</w:t>
      </w:r>
    </w:p>
    <w:p>
      <w:pPr>
        <w:pStyle w:val="BodyText"/>
      </w:pPr>
      <w:r>
        <w:rPr>
          <w:bCs/>
          <w:b/>
        </w:rPr>
        <w:t xml:space="preserve">E le gocce, le compresse orodispersibili e gli spray nasali di internet?</w:t>
      </w:r>
      <w:r>
        <w:t xml:space="preserve"> </w:t>
      </w:r>
      <w:r>
        <w:t xml:space="preserve">Qui è d’obbligo la cautela. Un’indagine sulle preparazioni galeniche prodotte negli USA ha trovato preparazioni di semaglutide o tirzepatide per uso sublinguale e come compresse orodispersibili per le quali non esistono prove di efficacia e sicurezza (Belcourt 2026, PMID 41689811). In un’analisi di laboratorio, generici di semaglutide orale contenevano in parte molto meno principio attivo di quanto dichiarato e rilasciavano principio attivo e SNAC in modo diverso dall’originale (Hach 2024, PMID 39379664). Un peptide venduto «in compresse» viene a malapena assorbito senza una formulazione verificata – ciò vale per semaglutide come per BPC-157 o altri peptidi del mercato grigio.</w:t>
      </w:r>
    </w:p>
    <w:bookmarkEnd w:id="1049"/>
    <w:bookmarkStart w:id="1050" w:name="valutazione-dellautore"/>
    <w:p>
      <w:pPr>
        <w:pStyle w:val="Heading3"/>
      </w:pPr>
      <w:r>
        <w:t xml:space="preserve">Valutazione dell’autore</w:t>
      </w:r>
    </w:p>
    <w:p>
      <w:pPr>
        <w:pStyle w:val="FirstParagraph"/>
      </w:pPr>
      <w:r>
        <w:t xml:space="preserve">L’iniezione non scomparirà, ma il suo monopolio è finito. Per la fase di forte calo di peso i principi attivi iniettabili dovrebbero restare in testa nei prossimi anni, perché negli studi ottengono di più e i dati cardiovascolari esistono finora quasi esclusivamente per loro. Per il mantenimento pluriennale, per le persone con paura degli aghi e per i paesi senza una catena del freddo affidabile, le compresse sono invece un vero progresso. Se si affermeranno più le compresse peptidiche o le piccole molecole sarà deciso meno dall’efficacia che da prezzo, comodità di assunzione e sicurezza a lungo termine. È una valutazione; accertato è solo che entrambe le vie vengono testate in grandi studi di fase 3.</w:t>
      </w:r>
    </w:p>
    <w:bookmarkEnd w:id="1050"/>
    <w:bookmarkStart w:id="1051" w:name="in-breve-4"/>
    <w:p>
      <w:pPr>
        <w:pStyle w:val="Heading3"/>
      </w:pPr>
      <w:r>
        <w:t xml:space="preserve">In breve</w:t>
      </w:r>
    </w:p>
    <w:p>
      <w:pPr>
        <w:numPr>
          <w:ilvl w:val="0"/>
          <w:numId w:val="1360"/>
        </w:numPr>
        <w:pStyle w:val="Compact"/>
      </w:pPr>
      <w:r>
        <w:t xml:space="preserve">I peptidi in compresse funzionano solo con un grande impegno tecnico. Con la compressa di semaglutide circa l’1% del principio attivo arriva nel sangue, eppure negli studi raggiunge perdite di peso simili all’iniezione.</w:t>
      </w:r>
    </w:p>
    <w:p>
      <w:pPr>
        <w:numPr>
          <w:ilvl w:val="0"/>
          <w:numId w:val="1360"/>
        </w:numPr>
        <w:pStyle w:val="Compact"/>
      </w:pPr>
      <w:r>
        <w:t xml:space="preserve">Le piccole molecole come orforglipron aggirano il problema, ma negli studi hanno prodotto una perdita di peso un po’ minore e vengono degradate tramite enzimi epatici.</w:t>
      </w:r>
    </w:p>
    <w:p>
      <w:pPr>
        <w:numPr>
          <w:ilvl w:val="0"/>
          <w:numId w:val="1360"/>
        </w:numPr>
        <w:pStyle w:val="Compact"/>
      </w:pPr>
      <w:r>
        <w:t xml:space="preserve">I peptidi orali stanno diventando una classe di farmaci a sé anche al di fuori del metabolismo, per esempio contro il colesterolo alto (enlicitide) e la psoriasi (icotrokinra).</w:t>
      </w:r>
    </w:p>
    <w:p>
      <w:pPr>
        <w:numPr>
          <w:ilvl w:val="0"/>
          <w:numId w:val="1360"/>
        </w:numPr>
        <w:pStyle w:val="Compact"/>
      </w:pPr>
      <w:r>
        <w:t xml:space="preserve">Restano aperti i dati a lungo termine, gli endpoint clinici forti nell’obesità, l’aderenza alla terapia nella vita quotidiana e i prezzi.</w:t>
      </w:r>
    </w:p>
    <w:p>
      <w:pPr>
        <w:numPr>
          <w:ilvl w:val="0"/>
          <w:numId w:val="1360"/>
        </w:numPr>
        <w:pStyle w:val="Compact"/>
      </w:pPr>
      <w:r>
        <w:t xml:space="preserve">I farmaci vanno usati solo con accompagnamento medico e secondo il riassunto delle caratteristiche del prodotto; i peptidi «orali» del mercato grigio non hanno nulla a che fare con questi sviluppi.</w:t>
      </w:r>
    </w:p>
    <w:bookmarkEnd w:id="1051"/>
    <w:bookmarkEnd w:id="1052"/>
    <w:bookmarkStart w:id="1063" w:name="brevetti-generici-e-prezzi"/>
    <w:p>
      <w:pPr>
        <w:pStyle w:val="Heading2"/>
      </w:pPr>
      <w:r>
        <w:t xml:space="preserve">Brevetti, generici e prezzi</w:t>
      </w:r>
    </w:p>
    <w:p>
      <w:pPr>
        <w:pStyle w:val="FirstParagraph"/>
      </w:pPr>
      <w:r>
        <w:t xml:space="preserve">Se un farmaco funziona lo decidono gli studi. Se arriva alle persone lo decidono brevetti, prezzi, catene di approvvigionamento e casse malattia. Per i farmaci GLP-1 questa seconda parte della storia è quasi drammatica quanto la prima: carenze di fornitura, un mercato di copie galeniche negli USA, contraffazioni in tutto il mondo – e nel 2026 la scadenza dei primi brevetti di semaglutide in grandi paesi.</w:t>
      </w:r>
    </w:p>
    <w:p>
      <w:pPr>
        <w:pStyle w:val="BodyText"/>
      </w:pPr>
      <w:r>
        <w:rPr>
          <w:bCs/>
          <w:b/>
        </w:rPr>
        <w:t xml:space="preserve">Un’avvertenza importante in premessa:</w:t>
      </w:r>
      <w:r>
        <w:t xml:space="preserve"> </w:t>
      </w:r>
      <w:r>
        <w:t xml:space="preserve">prezzi, durata dei brevetti e regole di rimborso cambiano rapidamente e sono documentati solo in parte in lavori scientifici. Dove questo capitolo fornisce dati senza prova da studi, sono contrassegnati con «aggiornato al 2026, da verificare». Prezzi concreti in euro volutamente non vengono indicati, perché variano a seconda del paese, della confezione e del momento.</w:t>
      </w:r>
    </w:p>
    <w:bookmarkStart w:id="1053" w:name="X733fa6d6bec1a49f6b1a9cf4b8e9a8fdd95a649"/>
    <w:p>
      <w:pPr>
        <w:pStyle w:val="Heading3"/>
      </w:pPr>
      <w:r>
        <w:t xml:space="preserve">Brevetti, generici e biosimilari: i termini</w:t>
      </w:r>
    </w:p>
    <w:p>
      <w:pPr>
        <w:pStyle w:val="FirstParagraph"/>
      </w:pPr>
      <w:r>
        <w:t xml:space="preserve">Un</w:t>
      </w:r>
      <w:r>
        <w:t xml:space="preserve"> </w:t>
      </w:r>
      <w:r>
        <w:rPr>
          <w:bCs/>
          <w:b/>
        </w:rPr>
        <w:t xml:space="preserve">brevetto</w:t>
      </w:r>
      <w:r>
        <w:t xml:space="preserve"> </w:t>
      </w:r>
      <w:r>
        <w:t xml:space="preserve">concede al produttore per un periodo limitato il diritto esclusivo di vendere un principio attivo. Nell’UE e negli USA la durata di base è di 20 anni dal deposito; poiché lo sviluppo dura molti anni, per i farmaci può essere prolungata fino a cinque anni tramite un certificato protettivo complementare. Oltre al brevetto sul principio attivo stesso esistono spesso altri brevetti su procedimenti di produzione, forme farmaceutiche o penne (aggiornato al 2026, da verificare).</w:t>
      </w:r>
    </w:p>
    <w:p>
      <w:pPr>
        <w:pStyle w:val="BodyText"/>
      </w:pPr>
      <w:r>
        <w:t xml:space="preserve">Alla scadenza della protezione altri produttori possono offrire preparati equivalenti:</w:t>
      </w:r>
    </w:p>
    <w:p>
      <w:pPr>
        <w:numPr>
          <w:ilvl w:val="0"/>
          <w:numId w:val="1361"/>
        </w:numPr>
        <w:pStyle w:val="Compact"/>
      </w:pPr>
      <w:r>
        <w:t xml:space="preserve">I</w:t>
      </w:r>
      <w:r>
        <w:t xml:space="preserve"> </w:t>
      </w:r>
      <w:r>
        <w:rPr>
          <w:bCs/>
          <w:b/>
        </w:rPr>
        <w:t xml:space="preserve">generici</w:t>
      </w:r>
      <w:r>
        <w:t xml:space="preserve"> </w:t>
      </w:r>
      <w:r>
        <w:t xml:space="preserve">sono copie di principi attivi prodotti chimicamente. Devono dimostrare di contenere lo stesso principio attivo e di essere ugualmente disponibili nell’organismo; non sono necessari nuovi grandi studi di efficacia.</w:t>
      </w:r>
    </w:p>
    <w:p>
      <w:pPr>
        <w:numPr>
          <w:ilvl w:val="0"/>
          <w:numId w:val="1361"/>
        </w:numPr>
        <w:pStyle w:val="Compact"/>
      </w:pPr>
      <w:r>
        <w:t xml:space="preserve">I</w:t>
      </w:r>
      <w:r>
        <w:t xml:space="preserve"> </w:t>
      </w:r>
      <w:r>
        <w:rPr>
          <w:bCs/>
          <w:b/>
        </w:rPr>
        <w:t xml:space="preserve">biosimilari</w:t>
      </w:r>
      <w:r>
        <w:t xml:space="preserve"> </w:t>
      </w:r>
      <w:r>
        <w:t xml:space="preserve">sono successori di principi attivi prodotti biologicamente, per esempio anticorpi o proteine di fusione. Poiché la produzione biologica non fornisce mai molecole del tutto identiche, la loro autorizzazione è più complessa.</w:t>
      </w:r>
    </w:p>
    <w:p>
      <w:pPr>
        <w:pStyle w:val="FirstParagraph"/>
      </w:pPr>
      <w:r>
        <w:t xml:space="preserve">Peptidi brevi come liraglutide o semaglutide stanno nel mezzo: possono essere prodotti con tecniche di ingegneria genetica o chimicamente. Ciò ha conseguenze pratiche. Un’analisi di laboratorio ha confrontato 16 prodotti generici iniettabili e 8 orali di semaglutide e 2 prodotti generici di liraglutide con gli originali. Ha trovato nuove impurità, in diverse compresse di semaglutide molto meno principio attivo di quanto dichiarato e per liraglutide una maggiore tendenza all’aggregazione (Hach 2024, PMID 39379664). Se le differenze abbiano un significato clinico è, secondo gli autori, sconosciuto. L’analisi mostra però perché le autorità guardino con attenzione ai generici peptidici.</w:t>
      </w:r>
    </w:p>
    <w:bookmarkEnd w:id="1053"/>
    <w:bookmarkStart w:id="1054" w:name="liraglutide-il-primo-generico-glp-1"/>
    <w:p>
      <w:pPr>
        <w:pStyle w:val="Heading3"/>
      </w:pPr>
      <w:r>
        <w:t xml:space="preserve">Liraglutide: il primo generico GLP-1</w:t>
      </w:r>
    </w:p>
    <w:p>
      <w:pPr>
        <w:pStyle w:val="FirstParagraph"/>
      </w:pPr>
      <w:r>
        <w:t xml:space="preserve">Liraglutide è il primo principio attivo GLP-1 la cui protezione è scaduta in grandi mercati. Negli USA sono in commercio dal 2024 generici della formulazione per il diabete (Victoza) e dal 2025 anche di quella per l’obesità (Saxenda). In Europa i preparati equivalenti si aggiungono gradualmente; la situazione varia da paese a paese (vedi capitolo Liraglutide; aggiornato al 2026, da verificare).</w:t>
      </w:r>
    </w:p>
    <w:p>
      <w:pPr>
        <w:pStyle w:val="BodyText"/>
      </w:pPr>
      <w:r>
        <w:t xml:space="preserve">Per l’assistenza ciò ha due facce. Da un lato un principio attivo con beneficio cardiovascolare dimostrato nel diabete di tipo 2 diventa più economico. Dall’altro liraglutide va iniettato ogni giorno e sul peso agisce molto meno di semaglutide: in STEP 8 il peso è sceso in media del 15,8% con semaglutide settimanale, del 6,4% con liraglutide giornaliero; almeno un quinto del proprio peso lo hanno perso il 38,5% contro il 6,0% (Rubino 2022, PMID 35015037). Per chi non può permettersi il farmaco più recente, un farmaco più vecchio ed economico può comunque essere una scelta migliore di nessun farmaco.</w:t>
      </w:r>
    </w:p>
    <w:bookmarkEnd w:id="1054"/>
    <w:bookmarkStart w:id="1055" w:name="semaglutide-il-2026-come-anno-di-svolta"/>
    <w:p>
      <w:pPr>
        <w:pStyle w:val="Heading3"/>
      </w:pPr>
      <w:r>
        <w:t xml:space="preserve">Semaglutide: il 2026 come anno di svolta</w:t>
      </w:r>
    </w:p>
    <w:p>
      <w:pPr>
        <w:pStyle w:val="FirstParagraph"/>
      </w:pPr>
      <w:r>
        <w:t xml:space="preserve">Per semaglutide i brevetti scadono nel 2026 in diversi grandi paesi al di fuori dell’UE e degli USA, tra cui, secondo il capitolo Semaglutide, Canada, Cina, India e Brasile. Un’analisi di banche dati brevettuali ha delineato il seguente quadro (Levi 2026, PMID 42437874):</w:t>
      </w:r>
    </w:p>
    <w:p>
      <w:pPr>
        <w:numPr>
          <w:ilvl w:val="0"/>
          <w:numId w:val="1362"/>
        </w:numPr>
        <w:pStyle w:val="Compact"/>
      </w:pPr>
      <w:r>
        <w:t xml:space="preserve">In dodici paesi la protezione brevettuale termina nel 2026. In questi paesi vive il 47% delle persone con obesità e il 49% delle persone con diabete di tipo 2 in tutto il mondo.</w:t>
      </w:r>
    </w:p>
    <w:p>
      <w:pPr>
        <w:numPr>
          <w:ilvl w:val="0"/>
          <w:numId w:val="1362"/>
        </w:numPr>
        <w:pStyle w:val="Compact"/>
      </w:pPr>
      <w:r>
        <w:t xml:space="preserve">In altri 150 paesi gli autori non hanno trovato alcun deposito di brevetto.</w:t>
      </w:r>
    </w:p>
    <w:p>
      <w:pPr>
        <w:numPr>
          <w:ilvl w:val="0"/>
          <w:numId w:val="1362"/>
        </w:numPr>
        <w:pStyle w:val="Compact"/>
      </w:pPr>
      <w:r>
        <w:t xml:space="preserve">Entro la fine del 2026 i generici di semaglutide iniettabile potrebbero così essere disponibili in 162 paesi, in cui vive il 69% delle persone con diabete di tipo 2 e l’84% delle persone con obesità clinica.</w:t>
      </w:r>
    </w:p>
    <w:p>
      <w:pPr>
        <w:numPr>
          <w:ilvl w:val="0"/>
          <w:numId w:val="1362"/>
        </w:numPr>
        <w:pStyle w:val="Compact"/>
      </w:pPr>
      <w:r>
        <w:t xml:space="preserve">Dai dati sulle forniture di principio attivo dall’India hanno stimato i costi di produzione: un anno di semaglutide iniettabile potrebbe essere offerto come generico a 28–140 dollari USA per persona, la compressa a 186–380 dollari USA. La penna rappresentava una parte sproporzionatamente grande dei costi.</w:t>
      </w:r>
    </w:p>
    <w:p>
      <w:pPr>
        <w:pStyle w:val="FirstParagraph"/>
      </w:pPr>
      <w:r>
        <w:t xml:space="preserve">Gli autori stessi sottolineano che costi delle penne, ulteriori brevetti e sistemi sanitari deboli possono comunque limitare l’accesso. Quanto i generici possano abbassare i prezzi lo mostra un’analisi dall’India: lì i prezzi degli inibitori di SGLT2 e degli agonisti del recettore del GLP-1 sono scesi dopo la scadenza dei brevetti di circa il 60–90%. Tra i prezzi dei generici indiani e i prezzi di listino statunitensi gli autori hanno trovato differenze da 15 a 65 volte. Segnalano però anche che i generici di diversi produttori possono differire per qualità e assorbimento nell’organismo (Mohan 2026, PMID 42747945).</w:t>
      </w:r>
    </w:p>
    <w:p>
      <w:pPr>
        <w:pStyle w:val="BodyText"/>
      </w:pPr>
      <w:r>
        <w:rPr>
          <w:bCs/>
          <w:b/>
        </w:rPr>
        <w:t xml:space="preserve">Nell’UE e negli USA</w:t>
      </w:r>
      <w:r>
        <w:t xml:space="preserve"> </w:t>
      </w:r>
      <w:r>
        <w:t xml:space="preserve">i generici di semaglutide sono attesi solo intorno al 2031/2032 (aggiornato al 2026, da verificare). Per i lettori in Austria e in Germania ciò significa: un generico di semaglutide venduto legalmente in Canada o in India non è qui un farmaco autorizzato. Le regole sull’importazione per uso personale sono restrittive (vedi capitolo «Quadro giuridico» nella Parte I), e le offerte online che si richiamano a tali generici sono una tipica porta d’ingresso per le contraffazioni (vedi capitolo «Il mercato grigio»).</w:t>
      </w:r>
    </w:p>
    <w:p>
      <w:pPr>
        <w:pStyle w:val="BodyText"/>
      </w:pPr>
      <w:r>
        <w:rPr>
          <w:bCs/>
          <w:b/>
        </w:rPr>
        <w:t xml:space="preserve">Un segnale politico:</w:t>
      </w:r>
      <w:r>
        <w:t xml:space="preserve"> </w:t>
      </w:r>
      <w:r>
        <w:t xml:space="preserve">nel settembre 2025 l’Organizzazione mondiale della sanità ha inserito semaglutide, liraglutide, dulaglutide e tirzepatide nel suo elenco dei medicinali essenziali. Un commento vi vede un passo che dovrebbe facilitare le negoziazioni sui prezzi e lo sviluppo di generici nei paesi a basso e medio reddito; al contempo indica come ostacoli la mancanza di risorse, infrastrutture deboli e il rischio di un uso acritico (Mani 2025, PMID 41358329). Nella sua prima linea guida sulle terapie GLP-1 nell’obesità l’OMS formula una raccomandazione condizionata per il trattamento a lungo termine insieme a una terapia comportamentale intensiva. Come motivi della limitazione cita, tra l’altro, i dati limitati a lungo termine, i costi e la questione dell’accesso equo (Celletti 2026, PMID 41324410).</w:t>
      </w:r>
    </w:p>
    <w:bookmarkEnd w:id="1055"/>
    <w:bookmarkStart w:id="1056" w:name="tirzepatide-e-i-successori"/>
    <w:p>
      <w:pPr>
        <w:pStyle w:val="Heading3"/>
      </w:pPr>
      <w:r>
        <w:t xml:space="preserve">Tirzepatide e i successori</w:t>
      </w:r>
    </w:p>
    <w:p>
      <w:pPr>
        <w:pStyle w:val="FirstParagraph"/>
      </w:pPr>
      <w:r>
        <w:t xml:space="preserve">Per tirzepatide e tutti i principi attivi più recenti – retatrutide, CagriSema, amicretina, maridebart cafraglutide, orforglipron – non c’è da attendersi una scadenza brevettuale in questo decennio. Per tirzepatide, secondo fonti del settore, i generici sono attesi al più presto nella seconda metà degli anni 2030 (aggiornato al 2026, da verificare). Ne risulta uno schema prevedibile: i principi attivi più vecchi diventano più economici, i più potenti restano costosi.</w:t>
      </w:r>
    </w:p>
    <w:bookmarkEnd w:id="1056"/>
    <w:bookmarkStart w:id="1057" w:name="la-fine-del-compounding-negli-usa"/>
    <w:p>
      <w:pPr>
        <w:pStyle w:val="Heading3"/>
      </w:pPr>
      <w:r>
        <w:t xml:space="preserve">La fine del compounding negli USA</w:t>
      </w:r>
    </w:p>
    <w:p>
      <w:pPr>
        <w:pStyle w:val="FirstParagraph"/>
      </w:pPr>
      <w:r>
        <w:t xml:space="preserve">Durante le carenze ufficiali di fornitura le farmacie statunitensi potevano preparare esse stesse semaglutide e tirzepatide («compounding», vedi Parte I). Ne è nato un grande mercato. Un’indagine nello stato americano del Colorado ha trovato nella primavera del 2024 93 aziende con 188 sedi che pubblicizzavano questi preparati – per lo più come spa mediche o servizi per il dimagrimento. 41 di questi siti web facevano riferimento nelle descrizioni dei prodotti all’autorizzazione della FDA, sebbene i preparati non ne avessero alcuna. Un venditore pubblicizzava una miscela con BPC-157, una sostanza che la FDA ha classificato come non idonea al compounding (DiStefano 2025, PMID 39776466).</w:t>
      </w:r>
    </w:p>
    <w:p>
      <w:pPr>
        <w:pStyle w:val="BodyText"/>
      </w:pPr>
      <w:r>
        <w:t xml:space="preserve">Dopo che la FDA ha dichiarato concluse le carenze – per tirzepatide alla fine del 2024, per semaglutide all’inizio del 2025 –, i periodi transitori per le copie dei preparati autorizzati sono scaduti nel corso del 2025 (aggiornato al 2026, da verificare). Da allora sono ammesse solo preparazioni che si differenziano dai preparati autorizzati. Un’analisi ha trovato 33 prodotti di questo tipo, tra cui miscele con vitamina B12, glicina o un lassativo, nonché gocce e compresse orodispersibili, il cui beneficio e la cui sicurezza sono in gran parte sconosciuti (Belcourt 2026, PMID 41689811). Un laboratorio ha trovato in miscele di tirzepatide e B12 di diversi venditori un’impurità finora sconosciuta, che si forma per una reazione chimica tra tirzepatide e determinate forme di B12; quali conseguenze abbia per la salute è sconosciuto (Jordan 2026, PMID 42010938).</w:t>
      </w:r>
    </w:p>
    <w:p>
      <w:pPr>
        <w:pStyle w:val="BodyText"/>
      </w:pPr>
      <w:r>
        <w:t xml:space="preserve">Il compounding non è quindi scomparso, ma si è spostato in una nicchia in cui le aggiunte «personalizzate» forniscono la base giuridica. In Europa non esiste un sistema paragonabile.</w:t>
      </w:r>
    </w:p>
    <w:bookmarkEnd w:id="1057"/>
    <w:bookmarkStart w:id="1058" w:name="carenze-di-fornitura"/>
    <w:p>
      <w:pPr>
        <w:pStyle w:val="Heading3"/>
      </w:pPr>
      <w:r>
        <w:t xml:space="preserve">Carenze di fornitura</w:t>
      </w:r>
    </w:p>
    <w:p>
      <w:pPr>
        <w:pStyle w:val="FirstParagraph"/>
      </w:pPr>
      <w:r>
        <w:t xml:space="preserve">Dal 2022 la domanda di semaglutide e poi di tirzepatide ha superato la produzione. Le persone con diabete di tipo 2 a volte non ricevevano i loro farmaci. In Germania e in Austria autorità e società scientifiche hanno invitato a riservare Ozempic alle persone con diabete di tipo 2 e a non prescriverlo per la sola perdita di peso (aggiornato al 2026, da verificare).</w:t>
      </w:r>
    </w:p>
    <w:p>
      <w:pPr>
        <w:pStyle w:val="BodyText"/>
      </w:pPr>
      <w:r>
        <w:t xml:space="preserve">Quanto era grande la quota di prescrizioni al di fuori dell’autorizzazione? Uno studio di registro nazionale dalla Danimarca dà una risposta. Il numero di nuovi utilizzatori di Ozempic è aumentato fortemente dal 2022, fino a un picco di 10 ogni 1.000 adulti all’anno all’inizio del 2023. Nel 2022 un terzo dei nuovi utilizzatori non aveva un diabete di tipo 2 documentato; nel 2023 questa quota è di nuovo diminuita. Gli autori concludono che le prescrizioni per la perdita di peso spiegano solo una parte minore della carenza (Mailhac 2024, PMID 38685990).</w:t>
      </w:r>
    </w:p>
    <w:p>
      <w:pPr>
        <w:pStyle w:val="BodyText"/>
      </w:pPr>
      <w:r>
        <w:t xml:space="preserve">Le carenze hanno conseguenze dirette sul trattamento. In un’indagine statunitense su 288 persone che hanno sospeso semaglutide o tirzepatide per la perdita di peso entro il primo anno, l’11,8% ha indicato le carenze di fornitura come motivo principale. I più frequenti erano però problemi di costo o di assicurazione (47,6%), seguiti dagli effetti collaterali (14,6%); il 2,4% è passato a un preparato galenico (Gasoyan 2025, PMID 41039650).</w:t>
      </w:r>
    </w:p>
    <w:p>
      <w:pPr>
        <w:pStyle w:val="BodyText"/>
      </w:pPr>
      <w:r>
        <w:t xml:space="preserve">Da allora i produttori hanno ampliato fortemente le capacità produttive, e negli USA le carenze ufficiali sono considerate concluse. In Europa la situazione varia a seconda del preparato e del paese (aggiornato al 2026, da verificare).</w:t>
      </w:r>
    </w:p>
    <w:bookmarkEnd w:id="1058"/>
    <w:bookmarkStart w:id="1059" w:name="prezzi-quanto-vale-un-farmaco-dimagrante"/>
    <w:p>
      <w:pPr>
        <w:pStyle w:val="Heading3"/>
      </w:pPr>
      <w:r>
        <w:t xml:space="preserve">Prezzi: quanto vale un farmaco dimagrante?</w:t>
      </w:r>
    </w:p>
    <w:p>
      <w:pPr>
        <w:pStyle w:val="FirstParagraph"/>
      </w:pPr>
      <w:r>
        <w:t xml:space="preserve">Negli USA i prezzi di listino dei farmaci GLP-1 sono molto più alti che in Europa. Lavori di economia sanitaria statunitensi si chiedono quindi se il beneficio giustifichi il prezzo:</w:t>
      </w:r>
    </w:p>
    <w:p>
      <w:pPr>
        <w:numPr>
          <w:ilvl w:val="0"/>
          <w:numId w:val="1363"/>
        </w:numPr>
        <w:pStyle w:val="Compact"/>
      </w:pPr>
      <w:r>
        <w:t xml:space="preserve">Un modello per gli adulti statunitensi ha mostrato che tirzepatide e semaglutide eviterebbero nell’arco della vita molti casi di diabete e malattie cardiovascolari, ma ai prezzi netti di allora non erano costo-efficaci. Per raggiungere una soglia consueta i prezzi avrebbero dovuto scendere di un ulteriore 30,5% (tirzepatide) e 81,9% (semaglutide) (Hwang 2025, PMID 40085108).</w:t>
      </w:r>
    </w:p>
    <w:p>
      <w:pPr>
        <w:numPr>
          <w:ilvl w:val="0"/>
          <w:numId w:val="1363"/>
        </w:numPr>
        <w:pStyle w:val="Compact"/>
      </w:pPr>
      <w:r>
        <w:t xml:space="preserve">Una meta-analisi di nove studi di economia sanitaria da paesi ad alto reddito ha concluso che gli agonisti del recettore del GLP-1 per il trattamento dell’obesità senza diabete non sono in generale costo-efficaci dal punto di vista dei finanziatori; in sottogruppi e su periodi più lunghi potrebbe essere diverso (Dhippayom 2026, PMID 41365841).</w:t>
      </w:r>
    </w:p>
    <w:p>
      <w:pPr>
        <w:numPr>
          <w:ilvl w:val="0"/>
          <w:numId w:val="1363"/>
        </w:numPr>
        <w:pStyle w:val="Compact"/>
      </w:pPr>
      <w:r>
        <w:t xml:space="preserve">Per le persone senza diabete che hanno già avuto un infarto o un ictus un modello ha dato un esito più favorevole: al prezzo che i pazienti paganti in proprio negli USA pagavano al momento dell’analisi, semaglutide sarebbe costo-efficace in questo gruppo (Hennessy 2026, PMID 41637062).</w:t>
      </w:r>
    </w:p>
    <w:p>
      <w:pPr>
        <w:pStyle w:val="FirstParagraph"/>
      </w:pPr>
      <w:r>
        <w:t xml:space="preserve">Questi calcoli dipendono molto dalle ipotesi di prezzo, e i prezzi si muovono. Negli USA dal 2025 i produttori hanno introdotto offerte dirette nettamente più economiche per chi paga in proprio e hanno stipulato accordi sui prezzi con il governo; semaglutide è inoltre oggetto delle negoziazioni statali sui prezzi per il programma per anziani Medicare (aggiornato al 2026, da verificare). Quanto la copertura dei costi influenzi l’uso lo mostra un’analisi statunitense: dopo che Wegovy, nel marzo 2024, è stato autorizzato per la riduzione del rischio cardiovascolare e coperto da Medicare per questo uso, il numero di confezioni di Wegovy dispensate tramite Medicare è aumentato in termini relativi del 598,1% (Scannell 2026, PMID 42640207).</w:t>
      </w:r>
    </w:p>
    <w:p>
      <w:pPr>
        <w:pStyle w:val="BodyText"/>
      </w:pPr>
      <w:r>
        <w:rPr>
          <w:bCs/>
          <w:b/>
        </w:rPr>
        <w:t xml:space="preserve">Valutazione dell’autore:</w:t>
      </w:r>
      <w:r>
        <w:t xml:space="preserve"> </w:t>
      </w:r>
      <w:r>
        <w:t xml:space="preserve">i prezzi dei farmaci basati sul GLP-1 diminuiranno nei prossimi anni – grazie ai generici dei principi attivi più vecchi, alla concorrenza tra produttori, alle compresse a base di piccole molecole e alla pressione politica. L’effetto sarà più evidente nei paesi con scadenza brevettuale precoce. Nell’UE il grande salto di prezzo dovrebbe arrivare solo con i generici di semaglutide all’inizio degli anni 2030.</w:t>
      </w:r>
    </w:p>
    <w:bookmarkEnd w:id="1059"/>
    <w:bookmarkStart w:id="1060" w:name="rimborso-in-germania-e-in-austria"/>
    <w:p>
      <w:pPr>
        <w:pStyle w:val="Heading3"/>
      </w:pPr>
      <w:r>
        <w:t xml:space="preserve">Rimborso in Germania e in Austria</w:t>
      </w:r>
    </w:p>
    <w:p>
      <w:pPr>
        <w:pStyle w:val="FirstParagraph"/>
      </w:pPr>
      <w:r>
        <w:rPr>
          <w:bCs/>
          <w:b/>
        </w:rPr>
        <w:t xml:space="preserve">Germania:</w:t>
      </w:r>
      <w:r>
        <w:t xml:space="preserve"> </w:t>
      </w:r>
      <w:r>
        <w:t xml:space="preserve">nel diabete di tipo 2 l’assicurazione sanitaria obbligatoria copre i costi dei farmaci GLP-1 autorizzati come Ozempic, Rybelsus, Trulicity o Mounjaro nell’ambito dell’autorizzazione. I farmaci che servono prevalentemente alla riduzione del peso sono invece esclusi dal rimborso secondo il § 34 SGB V; Wegovy, Saxenda e Mounjaro per la gestione del peso devono quindi di regola essere pagati di tasca propria dagli assicurati del sistema obbligatorio. Se questa regola verrà modificata per le persone con alto rischio cardiovascolare è oggetto di discussione politica e negli organi di autogoverno. Le assicurazioni sanitarie private decidono secondo le proprie condizioni tariffarie (aggiornato al 2026, da verificare).</w:t>
      </w:r>
    </w:p>
    <w:p>
      <w:pPr>
        <w:pStyle w:val="BodyText"/>
      </w:pPr>
      <w:r>
        <w:rPr>
          <w:bCs/>
          <w:b/>
        </w:rPr>
        <w:t xml:space="preserve">Austria:</w:t>
      </w:r>
      <w:r>
        <w:t xml:space="preserve"> </w:t>
      </w:r>
      <w:r>
        <w:t xml:space="preserve">per il diabete di tipo 2 i farmaci GLP-1 sono rimborsabili, ma la copertura è in parte legata a condizioni o a un’autorizzazione da parte della cassa malattia. Per la sola gestione del peso i costi di regola non vengono coperti o lo sono solo in casi eccezionali (aggiornato al 2026, da verificare).</w:t>
      </w:r>
    </w:p>
    <w:p>
      <w:pPr>
        <w:pStyle w:val="BodyText"/>
      </w:pPr>
      <w:r>
        <w:t xml:space="preserve">In entrambi i paesi vale: se un trattamento venga rimborsato dipende dall’indicazione, dai reperti e dalla situazione giuridica attuale. Il medico curante e la cassa malattia sono gli interlocutori giusti. Una prescrizione per la perdita di peso con un preparato autorizzato solo per il diabete è un uso al di fuori dell’autorizzazione e non viene rimborsata.</w:t>
      </w:r>
    </w:p>
    <w:bookmarkEnd w:id="1060"/>
    <w:bookmarkStart w:id="1061" w:name="che-cosa-significa-per-i-pazienti"/>
    <w:p>
      <w:pPr>
        <w:pStyle w:val="Heading3"/>
      </w:pPr>
      <w:r>
        <w:t xml:space="preserve">Che cosa significa per i pazienti</w:t>
      </w:r>
    </w:p>
    <w:p>
      <w:pPr>
        <w:numPr>
          <w:ilvl w:val="0"/>
          <w:numId w:val="1364"/>
        </w:numPr>
        <w:pStyle w:val="Compact"/>
      </w:pPr>
      <w:r>
        <w:rPr>
          <w:bCs/>
          <w:b/>
        </w:rPr>
        <w:t xml:space="preserve">Più economico non significa mercato grigio.</w:t>
      </w:r>
      <w:r>
        <w:t xml:space="preserve"> </w:t>
      </w:r>
      <w:r>
        <w:t xml:space="preserve">Con la scadenza dei brevetti in altri paesi aumenteranno le offerte che si richiamano a «generici». Per l’Austria e la Germania solo i preparati autorizzati qui e provenienti da farmacie sono farmaci controllati.</w:t>
      </w:r>
    </w:p>
    <w:p>
      <w:pPr>
        <w:numPr>
          <w:ilvl w:val="0"/>
          <w:numId w:val="1364"/>
        </w:numPr>
        <w:pStyle w:val="Compact"/>
      </w:pPr>
      <w:r>
        <w:rPr>
          <w:bCs/>
          <w:b/>
        </w:rPr>
        <w:t xml:space="preserve">Sospendere per motivi di costo è frequente – e ha conseguenze.</w:t>
      </w:r>
      <w:r>
        <w:t xml:space="preserve"> </w:t>
      </w:r>
      <w:r>
        <w:t xml:space="preserve">Nell’estensione di STEP 1 i partecipanti, un anno dopo la sospensione di semaglutide, hanno ripreso in media due terzi della perdita di peso, e i miglioramenti di pressione arteriosa e valori ematici sono in gran parte regrediti (Wilding 2022, PMID 35441470). Chi pensa di sospendere per motivi di costo dovrebbe parlarne con il medico.</w:t>
      </w:r>
    </w:p>
    <w:p>
      <w:pPr>
        <w:numPr>
          <w:ilvl w:val="0"/>
          <w:numId w:val="1364"/>
        </w:numPr>
        <w:pStyle w:val="Compact"/>
      </w:pPr>
      <w:r>
        <w:rPr>
          <w:bCs/>
          <w:b/>
        </w:rPr>
        <w:t xml:space="preserve">I principi attivi più vecchi non sono privi di valore.</w:t>
      </w:r>
      <w:r>
        <w:t xml:space="preserve"> </w:t>
      </w:r>
      <w:r>
        <w:t xml:space="preserve">Liraglutide o dulaglutide sono ben studiati e hanno nel diabete di tipo 2 un beneficio cardiovascolare dimostrato. Quale principio attivo sia indicato nel singolo caso è una decisione medica.</w:t>
      </w:r>
    </w:p>
    <w:bookmarkEnd w:id="1061"/>
    <w:bookmarkStart w:id="1062" w:name="in-breve-5"/>
    <w:p>
      <w:pPr>
        <w:pStyle w:val="Heading3"/>
      </w:pPr>
      <w:r>
        <w:t xml:space="preserve">In breve</w:t>
      </w:r>
    </w:p>
    <w:p>
      <w:pPr>
        <w:numPr>
          <w:ilvl w:val="0"/>
          <w:numId w:val="1365"/>
        </w:numPr>
        <w:pStyle w:val="Compact"/>
      </w:pPr>
      <w:r>
        <w:t xml:space="preserve">Nel 2026 la protezione brevettuale di semaglutide termina in paesi in cui vive quasi la metà delle persone con obesità. Lì i generici potrebbero costare una frazione dei prezzi attuali; nell’UE e negli USA sono attesi solo intorno al 2031/2032 (da verificare).</w:t>
      </w:r>
    </w:p>
    <w:p>
      <w:pPr>
        <w:numPr>
          <w:ilvl w:val="0"/>
          <w:numId w:val="1365"/>
        </w:numPr>
        <w:pStyle w:val="Compact"/>
      </w:pPr>
      <w:r>
        <w:t xml:space="preserve">Per liraglutide esistono già generici; tirzepatide e tutti i principi attivi più recenti resteranno presumibilmente protetti da brevetto fino a ben oltre la metà degli anni 2030.</w:t>
      </w:r>
    </w:p>
    <w:p>
      <w:pPr>
        <w:numPr>
          <w:ilvl w:val="0"/>
          <w:numId w:val="1365"/>
        </w:numPr>
        <w:pStyle w:val="Compact"/>
      </w:pPr>
      <w:r>
        <w:t xml:space="preserve">Il compounding statunitense con copie dei preparati autorizzati è in gran parte terminato dopo la fine delle carenze; restano preparazioni modificate con aggiunte non verificate.</w:t>
      </w:r>
    </w:p>
    <w:p>
      <w:pPr>
        <w:numPr>
          <w:ilvl w:val="0"/>
          <w:numId w:val="1365"/>
        </w:numPr>
        <w:pStyle w:val="Compact"/>
      </w:pPr>
      <w:r>
        <w:t xml:space="preserve">Negli studi i costi sono il motivo più frequente di interruzione di un trattamento. In Germania i farmaci dimagranti sono esclusi dal rimborso, in Austria il rimborso è solo limitato (aggiornato al 2026, da verificare).</w:t>
      </w:r>
    </w:p>
    <w:bookmarkEnd w:id="1062"/>
    <w:bookmarkEnd w:id="1063"/>
    <w:bookmarkStart w:id="1078" w:name="previsioni-dal-2030-al-2035"/>
    <w:p>
      <w:pPr>
        <w:pStyle w:val="Heading2"/>
      </w:pPr>
      <w:r>
        <w:t xml:space="preserve">Previsioni dal 2030 al 2035</w:t>
      </w:r>
    </w:p>
    <w:p>
      <w:pPr>
        <w:pStyle w:val="FirstParagraph"/>
      </w:pPr>
      <w:r>
        <w:t xml:space="preserve">Le previsioni in medicina hanno un pessimo bilancio di successi. Anche questo libro ne conosce esempi: esperimenti sugli animali e dati osservazionali facevano sperare che i farmaci GLP-1 rallentassero il declino cognitivo nell’Alzheimer. Nei due studi di fase 3 evoke ed evoke+, con complessivamente 3.808 partecipanti, la malattia è però progredita con le compresse di semaglutide alla stessa velocità che con il placebo (Cummings 2026, PMID 41865758). Nel Parkinson lo studio di fase 3 Exenatide-PD3, con 194 partecipanti, non ha trovato alcun indizio che l’exenatide rallenti la progressione (Vijiaratnam 2025, PMID 39919773).</w:t>
      </w:r>
    </w:p>
    <w:p>
      <w:pPr>
        <w:pStyle w:val="BodyText"/>
      </w:pPr>
      <w:r>
        <w:t xml:space="preserve">Questo capitolo separa quindi rigorosamente in ogni sezione:</w:t>
      </w:r>
    </w:p>
    <w:p>
      <w:pPr>
        <w:numPr>
          <w:ilvl w:val="0"/>
          <w:numId w:val="1366"/>
        </w:numPr>
        <w:pStyle w:val="Compact"/>
      </w:pPr>
      <w:r>
        <w:rPr>
          <w:bCs/>
          <w:b/>
        </w:rPr>
        <w:t xml:space="preserve">Accertato:</w:t>
      </w:r>
      <w:r>
        <w:t xml:space="preserve"> </w:t>
      </w:r>
      <w:r>
        <w:t xml:space="preserve">ciò che è iscritto nei registri degli studi (con data di conclusione prevista), ciò che è pubblicato in studi sottoposti a revisione paritaria e ciò che è stato deciso dalle autorità. Anche ciò che è accertato può cambiare – le date di conclusione slittano, gli studi vengono interrotti.</w:t>
      </w:r>
    </w:p>
    <w:p>
      <w:pPr>
        <w:numPr>
          <w:ilvl w:val="0"/>
          <w:numId w:val="1366"/>
        </w:numPr>
        <w:pStyle w:val="Compact"/>
      </w:pPr>
      <w:r>
        <w:rPr>
          <w:bCs/>
          <w:b/>
        </w:rPr>
        <w:t xml:space="preserve">Valutazione dell’autore:</w:t>
      </w:r>
      <w:r>
        <w:t xml:space="preserve"> </w:t>
      </w:r>
      <w:r>
        <w:t xml:space="preserve">un’aspettativa motivata, che può rivelarsi sbagliata. È indicata come tale e di volta in volta motivata.</w:t>
      </w:r>
    </w:p>
    <w:p>
      <w:pPr>
        <w:pStyle w:val="FirstParagraph"/>
      </w:pPr>
      <w:r>
        <w:t xml:space="preserve">I dati dei registri riflettono la situazione a ottobre 2026.</w:t>
      </w:r>
    </w:p>
    <w:bookmarkStart w:id="1064" w:name="gruppo-a-metabolismo-e-peso"/>
    <w:p>
      <w:pPr>
        <w:pStyle w:val="Heading3"/>
      </w:pPr>
      <w:r>
        <w:t xml:space="preserve">Gruppo A – Metabolismo e peso</w:t>
      </w:r>
    </w:p>
    <w:p>
      <w:pPr>
        <w:pStyle w:val="FirstParagraph"/>
      </w:pPr>
      <w:r>
        <w:rPr>
          <w:bCs/>
          <w:b/>
        </w:rPr>
        <w:t xml:space="preserve">Accertato:</w:t>
      </w:r>
    </w:p>
    <w:p>
      <w:pPr>
        <w:numPr>
          <w:ilvl w:val="0"/>
          <w:numId w:val="1367"/>
        </w:numPr>
        <w:pStyle w:val="Compact"/>
      </w:pPr>
      <w:r>
        <w:t xml:space="preserve">Entro il 2032 si concluderanno almeno nove grandi studi di esito e sul fegato: SURMOUNT-MMO su tirzepatide (NCT05556512) e REDEFINE 3 su CagriSema (NCT05669755) nel 2027, TRIUMPH-Outcomes su retatrutide (NCT06383390) e LIVERAGE-Cirrhosis su survodutide (NCT06632457) nel 2029, MARITIME-CV e MARITIME-HF su maridebart cafraglutide (NCT07037433, NCT07037459) nonché AMBIENCE su zenagamtide (NCT07861100) nel 2030, ATTAIN-Outcomes su orforglipron (NCT07241390) nel 2031 e SYNERGY-Outcomes su tirzepatide e retatrutide (NCT07165028) nel 2032.</w:t>
      </w:r>
    </w:p>
    <w:p>
      <w:pPr>
        <w:numPr>
          <w:ilvl w:val="0"/>
          <w:numId w:val="1367"/>
        </w:numPr>
        <w:pStyle w:val="Compact"/>
      </w:pPr>
      <w:r>
        <w:t xml:space="preserve">Principi attivi a base di sola amilina sono in fase 3: eloralintide (ENLIGHTEN-1, NCT07321886, conclusione 2030) e petrelintide (ZUPREME-3, NCT07843498, conclusione 2029).</w:t>
      </w:r>
    </w:p>
    <w:p>
      <w:pPr>
        <w:numPr>
          <w:ilvl w:val="0"/>
          <w:numId w:val="1367"/>
        </w:numPr>
        <w:pStyle w:val="Compact"/>
      </w:pPr>
      <w:r>
        <w:t xml:space="preserve">Per CagriSema e orforglipron, secondo i rispettivi capitoli, le domande di autorizzazione sono state presentate o annunciate; per retatrutide sono attese dopo la conclusione di TRIUMPH-1 e TRIUMPH-2 (situazione a ottobre 2026, da verificare).</w:t>
      </w:r>
    </w:p>
    <w:p>
      <w:pPr>
        <w:numPr>
          <w:ilvl w:val="0"/>
          <w:numId w:val="1367"/>
        </w:numPr>
        <w:pStyle w:val="Compact"/>
      </w:pPr>
      <w:r>
        <w:t xml:space="preserve">In dodici paesi la protezione brevettuale di semaglutide termina nel 2026, tra cui grandi mercati al di fuori di UE e USA (Levi 2026, PMID 42437874). Nell’UE e negli USA i generici sono attesi intorno al 2031/2032 (aggiornato al 2026, da verificare).</w:t>
      </w:r>
    </w:p>
    <w:p>
      <w:pPr>
        <w:pStyle w:val="FirstParagraph"/>
      </w:pPr>
      <w:r>
        <w:rPr>
          <w:bCs/>
          <w:b/>
        </w:rPr>
        <w:t xml:space="preserve">Valutazione dell’autore:</w:t>
      </w:r>
      <w:r>
        <w:t xml:space="preserve"> </w:t>
      </w:r>
      <w:r>
        <w:t xml:space="preserve">entro il 2030 nell’UE saranno presumibilmente autorizzate diverse nuove classi di principi attivi – almeno una combinazione con amilina, un triplo agonista e una piccola molecola in compresse. Motivazione: i programmi di fase 3 sono in stadio avanzato, i risultati finora pubblicati sono chiaramente positivi e i produttori hanno presentato o annunciato domande di autorizzazione. Una perdita di peso media del 20–25% negli studi non dovrebbe allora essere più un’eccezione. Più importante di un nuovo record sarà però la domanda su quale principio attivo sia adatto a quale persona: chi ha bisogno soprattutto di protezione cardiaca, chi ha una steatosi epatica, chi vuole evitare le iniezioni, chi tollera male gli effetti collaterali. Tra il 2030 e il 2035 mi aspetto prezzi nettamente in calo per semaglutide in Europa grazie ai generici, mentre i principi attivi più recenti resteranno costosi. Il rischio di un’assistenza a due velocità – i farmaci più potenti per chi paga in proprio, quelli più vecchi per tutti gli altri – lo ritengo reale.</w:t>
      </w:r>
    </w:p>
    <w:bookmarkEnd w:id="1064"/>
    <w:bookmarkStart w:id="1065" w:name="Xbffee3f034239cbe240826074928f59ed162365"/>
    <w:p>
      <w:pPr>
        <w:pStyle w:val="Heading3"/>
      </w:pPr>
      <w:r>
        <w:t xml:space="preserve">Gruppo B – Guarigione, rigenerazione e sistema immunitario</w:t>
      </w:r>
    </w:p>
    <w:p>
      <w:pPr>
        <w:pStyle w:val="FirstParagraph"/>
      </w:pPr>
      <w:r>
        <w:rPr>
          <w:bCs/>
          <w:b/>
        </w:rPr>
        <w:t xml:space="preserve">Accertato:</w:t>
      </w:r>
    </w:p>
    <w:p>
      <w:pPr>
        <w:numPr>
          <w:ilvl w:val="0"/>
          <w:numId w:val="1368"/>
        </w:numPr>
        <w:pStyle w:val="Compact"/>
      </w:pPr>
      <w:r>
        <w:t xml:space="preserve">Lo studio di fase 3 sulla timosina alfa-1 dopo intervento per cancro del colon, con 2.500 partecipanti, dovrebbe concludersi nel marzo 2027 (NCT05086614).</w:t>
      </w:r>
    </w:p>
    <w:p>
      <w:pPr>
        <w:numPr>
          <w:ilvl w:val="0"/>
          <w:numId w:val="1368"/>
        </w:numPr>
        <w:pStyle w:val="Compact"/>
      </w:pPr>
      <w:r>
        <w:t xml:space="preserve">Lo studio di fase 3 SEER-2 con collirio di timosina beta-4 nella cheratopatia neurotrofica risultava concluso secondo il registro nel maggio 2026; a ottobre 2026 i risultati non erano disponibili (NCT05555589).</w:t>
      </w:r>
    </w:p>
    <w:p>
      <w:pPr>
        <w:numPr>
          <w:ilvl w:val="0"/>
          <w:numId w:val="1368"/>
        </w:numPr>
        <w:pStyle w:val="Compact"/>
      </w:pPr>
      <w:r>
        <w:t xml:space="preserve">È previsto uno studio cinese di fase 2 con timosina beta-4 ricombinante dopo infarto (NCT07586865, 189 partecipanti, conclusione maggio 2028).</w:t>
      </w:r>
    </w:p>
    <w:p>
      <w:pPr>
        <w:numPr>
          <w:ilvl w:val="0"/>
          <w:numId w:val="1368"/>
        </w:numPr>
        <w:pStyle w:val="Compact"/>
      </w:pPr>
      <w:r>
        <w:t xml:space="preserve">Per BPC-157 è registrato un piccolo studio randomizzato con 30 partecipanti dopo interventi alla spalla, non ancora iniziato (NCT07803250, conclusione prevista agosto 2027).</w:t>
      </w:r>
    </w:p>
    <w:p>
      <w:pPr>
        <w:pStyle w:val="FirstParagraph"/>
      </w:pPr>
      <w:r>
        <w:rPr>
          <w:bCs/>
          <w:b/>
        </w:rPr>
        <w:t xml:space="preserve">Valutazione dell’autore:</w:t>
      </w:r>
      <w:r>
        <w:t xml:space="preserve"> </w:t>
      </w:r>
      <w:r>
        <w:t xml:space="preserve">entro il 2035 ritengo molto improbabile un’autorizzazione di BPC-157, TB-500 o KPV nell’UE. Motivazione: non esistono programmi di fase 2 o di fase 3, né un produttore con un riconoscibile interesse all’autorizzazione, e anche un risultato positivo del piccolo studio sulla spalla sarebbe solo un primo indizio. Più realistica è un’autorizzazione di nicchia per il collirio di timosina beta-4 in una rara malattia della cornea, se SEER-2 darà esito positivo. La timosina alfa-1 potrebbe avere in Cina un ruolo più importante nel follow-up oncologico, se lo studio sul cancro del colon sarà positivo – ma con riserva, a causa della mancanza del doppio cieco.</w:t>
      </w:r>
    </w:p>
    <w:bookmarkEnd w:id="1065"/>
    <w:bookmarkStart w:id="1066" w:name="gruppo-c-asse-dellormone-della-crescita"/>
    <w:p>
      <w:pPr>
        <w:pStyle w:val="Heading3"/>
      </w:pPr>
      <w:r>
        <w:t xml:space="preserve">Gruppo C – Asse dell’ormone della crescita</w:t>
      </w:r>
    </w:p>
    <w:p>
      <w:pPr>
        <w:pStyle w:val="FirstParagraph"/>
      </w:pPr>
      <w:r>
        <w:rPr>
          <w:bCs/>
          <w:b/>
        </w:rPr>
        <w:t xml:space="preserve">Accertato:</w:t>
      </w:r>
    </w:p>
    <w:p>
      <w:pPr>
        <w:numPr>
          <w:ilvl w:val="0"/>
          <w:numId w:val="1369"/>
        </w:numPr>
        <w:pStyle w:val="Compact"/>
      </w:pPr>
      <w:r>
        <w:t xml:space="preserve">Ibutamoren (non un peptide) viene testato come LUM-201 in uno studio di fase 3 con 150 bambini con carenza di ormone della crescita (NCT06948214, conclusione gennaio 2028). Uno studio di fase 2 con 202 anziani con obesità dovrebbe esaminare LUM-201 in aggiunta a semaglutide (NCT07754045, conclusione febbraio 2028).</w:t>
      </w:r>
    </w:p>
    <w:p>
      <w:pPr>
        <w:numPr>
          <w:ilvl w:val="0"/>
          <w:numId w:val="1369"/>
        </w:numPr>
        <w:pStyle w:val="Compact"/>
      </w:pPr>
      <w:r>
        <w:t xml:space="preserve">Il registro a lungo termine sulla mecasermina prosegue fino alla fine del 2027 (NCT00903110).</w:t>
      </w:r>
    </w:p>
    <w:p>
      <w:pPr>
        <w:numPr>
          <w:ilvl w:val="0"/>
          <w:numId w:val="1369"/>
        </w:numPr>
        <w:pStyle w:val="Compact"/>
      </w:pPr>
      <w:r>
        <w:t xml:space="preserve">Per sermorelina, CJC-1295, ipamorelina, GHRP-2, GHRP-6, hexarelin e IGF-1 LR3 non è registrato alcuno studio in corso (vedi i rispettivi capitoli).</w:t>
      </w:r>
    </w:p>
    <w:p>
      <w:pPr>
        <w:pStyle w:val="FirstParagraph"/>
      </w:pPr>
      <w:r>
        <w:rPr>
          <w:bCs/>
          <w:b/>
        </w:rPr>
        <w:t xml:space="preserve">Valutazione dell’autore:</w:t>
      </w:r>
      <w:r>
        <w:t xml:space="preserve"> </w:t>
      </w:r>
      <w:r>
        <w:t xml:space="preserve">una nuova autorizzazione di un peptide che libera ormone della crescita per adulti la ritengo improbabile entro il 2035. Motivazione: le sostanze sono vecchie, difficilmente brevettabili, e le questioni di sicurezza legate a livelli di IGF-1 stabilmente elevati (vedi Parte IV) rendono i grandi studi costosi e rischiosi. Interessante è un’altra tendenza: poiché una forte perdita di peso costa anche muscoli, l’asse dell’ormone della crescita potrebbe ricevere nuova attenzione come possibile protezione muscolare – lo studio con LUM-201 e semaglutide è un primo esempio. Se ne derivi un beneficio è del tutto aperto.</w:t>
      </w:r>
    </w:p>
    <w:bookmarkEnd w:id="1066"/>
    <w:bookmarkStart w:id="1067" w:name="gruppo-d-cervello-sonno-e-longevità"/>
    <w:p>
      <w:pPr>
        <w:pStyle w:val="Heading3"/>
      </w:pPr>
      <w:r>
        <w:t xml:space="preserve">Gruppo D – Cervello, sonno e longevità</w:t>
      </w:r>
    </w:p>
    <w:p>
      <w:pPr>
        <w:pStyle w:val="FirstParagraph"/>
      </w:pPr>
      <w:r>
        <w:rPr>
          <w:bCs/>
          <w:b/>
        </w:rPr>
        <w:t xml:space="preserve">Accertato:</w:t>
      </w:r>
    </w:p>
    <w:p>
      <w:pPr>
        <w:numPr>
          <w:ilvl w:val="0"/>
          <w:numId w:val="1370"/>
        </w:numPr>
        <w:pStyle w:val="Compact"/>
      </w:pPr>
      <w:r>
        <w:t xml:space="preserve">Elamipretide (SS-31) è autorizzato negli USA da settembre 2025 con procedura accelerata per la sindrome di Barth, vincolato a uno studio di conferma (4TAZPower, NCT07531251, conclusione novembre 2029). Lo studio di fase 3 ReNEW nella degenerazione maculare secca dovrebbe concludersi nel settembre 2027 (NCT06373731).</w:t>
      </w:r>
    </w:p>
    <w:p>
      <w:pPr>
        <w:numPr>
          <w:ilvl w:val="0"/>
          <w:numId w:val="1370"/>
        </w:numPr>
        <w:pStyle w:val="Compact"/>
      </w:pPr>
      <w:r>
        <w:t xml:space="preserve">Su Cerebrolysin sono in corso solo studi più piccoli, per esempio nella CADASIL (NCT05755997).</w:t>
      </w:r>
    </w:p>
    <w:p>
      <w:pPr>
        <w:numPr>
          <w:ilvl w:val="0"/>
          <w:numId w:val="1370"/>
        </w:numPr>
        <w:pStyle w:val="Compact"/>
      </w:pPr>
      <w:r>
        <w:t xml:space="preserve">Per Semax, Selank, Dihexa, DSIP, Pinealon, umanina, FOXO4-DRI e MOTS-c non risulta alcuno studio registrato in modo affidabile sulla somministrazione del principio attivo. Per Epitalon esiste solo uno studio non controllato in cui è uno dei cinque componenti di un siero per la pelle (NCT07888595).</w:t>
      </w:r>
    </w:p>
    <w:p>
      <w:pPr>
        <w:numPr>
          <w:ilvl w:val="0"/>
          <w:numId w:val="1370"/>
        </w:numPr>
        <w:pStyle w:val="Compact"/>
      </w:pPr>
      <w:r>
        <w:t xml:space="preserve">Negli USA viene rivalutata la classificazione di diversi di questi peptidi per le preparazioni galeniche (vedi capitoli Semax e Dihexa; Willis 2026, PMID 42752426).</w:t>
      </w:r>
    </w:p>
    <w:p>
      <w:pPr>
        <w:pStyle w:val="FirstParagraph"/>
      </w:pPr>
      <w:r>
        <w:rPr>
          <w:bCs/>
          <w:b/>
        </w:rPr>
        <w:t xml:space="preserve">Valutazione dell’autore:</w:t>
      </w:r>
      <w:r>
        <w:t xml:space="preserve"> </w:t>
      </w:r>
      <w:r>
        <w:t xml:space="preserve">i peptidi della longevità resteranno presumibilmente fino al 2035 ciò che sono oggi: sostanze con interessanti dati animali e una grande domanda online, ma senza prova di un beneficio nell’uomo. Motivazione: gli studi sull’«invecchiamento sano» richiedono molti anni ed endpoint chiari che per questo ambito quasi non esistono ancora; nessun produttore ha un programma riconoscibile. Se le autorità statunitensi liberalizzassero singoli peptidi per le preparazioni galeniche, ciò ne aumenterebbe la diffusione senza migliorare i dati. Elamipretide è l’unico principio attivo di questo gruppo con una strada realistica verso un’autorizzazione più ampia, e anche questo solo se ReNEW darà esito positivo.</w:t>
      </w:r>
    </w:p>
    <w:bookmarkEnd w:id="1067"/>
    <w:bookmarkStart w:id="1068" w:name="X870a31c791b60f4823aac314b7d3542d8f48541"/>
    <w:p>
      <w:pPr>
        <w:pStyle w:val="Heading3"/>
      </w:pPr>
      <w:r>
        <w:t xml:space="preserve">Gruppo E – Ormoni, sessualità e pigmentazione</w:t>
      </w:r>
    </w:p>
    <w:p>
      <w:pPr>
        <w:pStyle w:val="FirstParagraph"/>
      </w:pPr>
      <w:r>
        <w:rPr>
          <w:bCs/>
          <w:b/>
        </w:rPr>
        <w:t xml:space="preserve">Accertato:</w:t>
      </w:r>
    </w:p>
    <w:p>
      <w:pPr>
        <w:numPr>
          <w:ilvl w:val="0"/>
          <w:numId w:val="1371"/>
        </w:numPr>
        <w:pStyle w:val="Compact"/>
      </w:pPr>
      <w:r>
        <w:t xml:space="preserve">Lo studio di fase 3 sull’afamelanotide nella vitiligine, con 200 partecipanti, risultava concluso secondo il registro nel giugno 2026; a ottobre 2026 non erano disponibili risultati sottoposti a revisione paritaria (NCT06109649).</w:t>
      </w:r>
    </w:p>
    <w:p>
      <w:pPr>
        <w:numPr>
          <w:ilvl w:val="0"/>
          <w:numId w:val="1371"/>
        </w:numPr>
        <w:pStyle w:val="Compact"/>
      </w:pPr>
      <w:r>
        <w:t xml:space="preserve">La kisspeptina viene studiata in piccoli studi di fase 2 nella carenza ormonale congenita (NCT05896293, conclusione maggio 2028) e nell’amenorrea ipotalamica (NCT07224438, conclusione maggio 2030).</w:t>
      </w:r>
    </w:p>
    <w:p>
      <w:pPr>
        <w:numPr>
          <w:ilvl w:val="0"/>
          <w:numId w:val="1371"/>
        </w:numPr>
        <w:pStyle w:val="Compact"/>
      </w:pPr>
      <w:r>
        <w:t xml:space="preserve">L’ossitocina spray nasale viene testata come complemento di una terapia di coppia nel disturbo da stress post-traumatico con 240 partecipanti (NCT06194851, conclusione settembre 2028).</w:t>
      </w:r>
    </w:p>
    <w:p>
      <w:pPr>
        <w:pStyle w:val="FirstParagraph"/>
      </w:pPr>
      <w:r>
        <w:rPr>
          <w:bCs/>
          <w:b/>
        </w:rPr>
        <w:t xml:space="preserve">Valutazione dell’autore:</w:t>
      </w:r>
      <w:r>
        <w:t xml:space="preserve"> </w:t>
      </w:r>
      <w:r>
        <w:t xml:space="preserve">entro il 2030 è ipotizzabile soprattutto un’estensione dell’autorizzazione dell’afamelanotide alla vitiligine – se lo studio di fase 3 sarà positivo. La kisspeptina dovrebbe restare uno strumento di ricerca e diagnostica; un’autorizzazione entro il 2035 presuppone studi comparativi più grandi, che finora mancano. Per l’ossitocina spray nasale non mi aspetto un’autorizzazione per l’autismo o l’ansia sociale, tutt’al più prove per usi strettamente delimitati in combinazione con la psicoterapia. Il Melanotan II resta un prodotto del mercato grigio.</w:t>
      </w:r>
    </w:p>
    <w:bookmarkEnd w:id="1068"/>
    <w:bookmarkStart w:id="1069" w:name="Xe5e5cae28e98db599e9d825234128713ffbe5fb"/>
    <w:p>
      <w:pPr>
        <w:pStyle w:val="Heading3"/>
      </w:pPr>
      <w:r>
        <w:t xml:space="preserve">Gruppo F – Collagene, alimentazione e cosmetica</w:t>
      </w:r>
    </w:p>
    <w:p>
      <w:pPr>
        <w:pStyle w:val="FirstParagraph"/>
      </w:pPr>
      <w:r>
        <w:rPr>
          <w:bCs/>
          <w:b/>
        </w:rPr>
        <w:t xml:space="preserve">Accertato:</w:t>
      </w:r>
    </w:p>
    <w:p>
      <w:pPr>
        <w:numPr>
          <w:ilvl w:val="0"/>
          <w:numId w:val="1372"/>
        </w:numPr>
        <w:pStyle w:val="Compact"/>
      </w:pPr>
      <w:r>
        <w:t xml:space="preserve">Uno studio controllato con placebo con 204 partecipanti testa il collagene idrolizzato nell’artrosi del ginocchio, l’endpoint principale è il dolore (NCT04998188, conclusione dicembre 2027).</w:t>
      </w:r>
    </w:p>
    <w:p>
      <w:pPr>
        <w:numPr>
          <w:ilvl w:val="0"/>
          <w:numId w:val="1372"/>
        </w:numPr>
        <w:pStyle w:val="Compact"/>
      </w:pPr>
      <w:r>
        <w:t xml:space="preserve">Uno studio di fase 1/2 con 144 partecipanti esamina la carnosina nell’arteriopatia periferica, l’endpoint principale è la distanza percorsa in sei minuti (NCT06480760, conclusione ottobre 2028).</w:t>
      </w:r>
    </w:p>
    <w:p>
      <w:pPr>
        <w:numPr>
          <w:ilvl w:val="0"/>
          <w:numId w:val="1372"/>
        </w:numPr>
        <w:pStyle w:val="Compact"/>
      </w:pPr>
      <w:r>
        <w:t xml:space="preserve">Per lattotripeptidi, Matrixyl e Argireline non è registrato alcuno studio in corso.</w:t>
      </w:r>
    </w:p>
    <w:p>
      <w:pPr>
        <w:pStyle w:val="FirstParagraph"/>
      </w:pPr>
      <w:r>
        <w:rPr>
          <w:bCs/>
          <w:b/>
        </w:rPr>
        <w:t xml:space="preserve">Valutazione dell’autore:</w:t>
      </w:r>
      <w:r>
        <w:t xml:space="preserve"> </w:t>
      </w:r>
      <w:r>
        <w:t xml:space="preserve">questo gruppo resterà nell’ambito di alimenti e cosmetici; non ci si devono attendere autorizzazioni come farmaci, perché i prodotti sono già in libera vendita e nessuno dovrebbe sostenere i costi di un programma registrativo. Ciò che potrebbe cambiare è la qualità delle prove: studi finanziati in modo indipendente e registrati in anticipo, come quello sull’artrosi del ginocchio, mostreranno se i piccoli effetti degli studi finanziati dai produttori reggono. Mi aspetto che in questi studi gli effetti risultino piuttosto più piccoli.</w:t>
      </w:r>
    </w:p>
    <w:bookmarkEnd w:id="1069"/>
    <w:bookmarkStart w:id="1075" w:name="temi-trasversali"/>
    <w:p>
      <w:pPr>
        <w:pStyle w:val="Heading3"/>
      </w:pPr>
      <w:r>
        <w:t xml:space="preserve">Temi trasversali</w:t>
      </w:r>
    </w:p>
    <w:bookmarkStart w:id="1070" w:name="dati-a-lungo-termine"/>
    <w:p>
      <w:pPr>
        <w:pStyle w:val="Heading4"/>
      </w:pPr>
      <w:r>
        <w:t xml:space="preserve">Dati a lungo termine</w:t>
      </w:r>
    </w:p>
    <w:p>
      <w:pPr>
        <w:pStyle w:val="FirstParagraph"/>
      </w:pPr>
      <w:r>
        <w:rPr>
          <w:bCs/>
          <w:b/>
        </w:rPr>
        <w:t xml:space="preserve">Accertato:</w:t>
      </w:r>
      <w:r>
        <w:t xml:space="preserve"> </w:t>
      </w:r>
      <w:r>
        <w:t xml:space="preserve">la linea guida dell’OMS sulle terapie GLP-1 nell’obesità formula solo una raccomandazione condizionata e indica tra i motivi i dati limitati a lungo termine (Celletti 2026, PMID 41324410). Gli studi di esito in corso osservano i loro partecipanti per diversi anni, ma quasi nessuno per oltre dieci anni.</w:t>
      </w:r>
    </w:p>
    <w:p>
      <w:pPr>
        <w:pStyle w:val="BodyText"/>
      </w:pPr>
      <w:r>
        <w:rPr>
          <w:bCs/>
          <w:b/>
        </w:rPr>
        <w:t xml:space="preserve">Valutazione dell’autore:</w:t>
      </w:r>
      <w:r>
        <w:t xml:space="preserve"> </w:t>
      </w:r>
      <w:r>
        <w:t xml:space="preserve">entro il 2035 i dati a dieci anni proverranno soprattutto da registri nazionali e dati delle casse malattia, non da studi randomizzati. Rileveranno meglio gli effetti collaterali rari, ma separeranno con più difficoltà causa ed effetto. Per bambini e adolescenti, per i quali diversi studi proseguono fino all’inizio degli anni 2030, la questione delle conseguenze a lungo termine è particolarmente urgente.</w:t>
      </w:r>
    </w:p>
    <w:bookmarkEnd w:id="1070"/>
    <w:bookmarkStart w:id="1071" w:name="terapia-di-mantenimento"/>
    <w:p>
      <w:pPr>
        <w:pStyle w:val="Heading4"/>
      </w:pPr>
      <w:r>
        <w:t xml:space="preserve">Terapia di mantenimento</w:t>
      </w:r>
    </w:p>
    <w:p>
      <w:pPr>
        <w:pStyle w:val="FirstParagraph"/>
      </w:pPr>
      <w:r>
        <w:rPr>
          <w:bCs/>
          <w:b/>
        </w:rPr>
        <w:t xml:space="preserve">Accertato:</w:t>
      </w:r>
      <w:r>
        <w:t xml:space="preserve"> </w:t>
      </w:r>
      <w:r>
        <w:t xml:space="preserve">dopo la sospensione gran parte del peso perso ritorna. Nell’estensione di STEP 1, un anno dopo la fine del trattamento con semaglutide, erano in media due terzi (Wilding 2022, PMID 35441470). In SURMOUNT-4 i partecipanti, dopo il passaggio da tirzepatide a placebo, hanno ripreso nell’anno successivo il 14,0% (Aronne 2024, PMID 38078870). Il passaggio dall’iniezione a orforglipron ha mantenuto in ATTAIN-MAINTAIN gran parte della perdita di peso (Aronne 2026, PMID 42120723). Sono in corso altri studi sul mantenimento del peso (TRIUMPH-6, NCT06859268; passaggio a principi attivi mensili, NCT07575399, NCT07845500). Calcoli modellistici suggeriscono che somministrazioni meno frequenti potrebbero mantenere parte dell’effetto; ciò finora non è stato verificato in studi e non è una base per modifiche arbitrarie del trattamento (Cengiz 2025, PMID 39950222).</w:t>
      </w:r>
    </w:p>
    <w:p>
      <w:pPr>
        <w:pStyle w:val="BodyText"/>
      </w:pPr>
      <w:r>
        <w:rPr>
          <w:bCs/>
          <w:b/>
        </w:rPr>
        <w:t xml:space="preserve">Valutazione dell’autore:</w:t>
      </w:r>
      <w:r>
        <w:t xml:space="preserve"> </w:t>
      </w:r>
      <w:r>
        <w:t xml:space="preserve">entro il 2030 si affermerà un modello a gradini: prima una fase con un principio attivo molto efficace, poi un mantenimento con una compressa, un preparato mensile o un’intensità più bassa. Motivazione: diversi produttori stanno testando proprio questa sequenza, ed è attraente per i finanziatori. Se il mantenimento sia necessario per tutta la vita o se in alcune persone una sospensione riesca senza un grande recupero di peso resterà una delle principali questioni aperte.</w:t>
      </w:r>
    </w:p>
    <w:bookmarkEnd w:id="1071"/>
    <w:bookmarkStart w:id="1072" w:name="personalizzazione"/>
    <w:p>
      <w:pPr>
        <w:pStyle w:val="Heading4"/>
      </w:pPr>
      <w:r>
        <w:t xml:space="preserve">Personalizzazione</w:t>
      </w:r>
    </w:p>
    <w:p>
      <w:pPr>
        <w:pStyle w:val="FirstParagraph"/>
      </w:pPr>
      <w:r>
        <w:rPr>
          <w:bCs/>
          <w:b/>
        </w:rPr>
        <w:t xml:space="preserve">Accertato:</w:t>
      </w:r>
      <w:r>
        <w:t xml:space="preserve"> </w:t>
      </w:r>
      <w:r>
        <w:t xml:space="preserve">la medicina di precisione nell’obesità esiste già per rare forme genetiche: setmelanotide è autorizzato solo per determinati difetti genetici (vedi capitolo Setmelanotide). Orforglipron viene testato in uno studio con 2.001 partecipanti in sovrappeso, per prevenire la progressione verso l’obesità o le malattie conseguenti (ATTAIN-NOW, NCT07794579, conclusione settembre 2030). L’OMS annuncia che come passo successivo elaborerà criteri su chi debba essere trattato per primo in caso di risorse limitate (Celletti 2026, PMID 41324410).</w:t>
      </w:r>
    </w:p>
    <w:p>
      <w:pPr>
        <w:pStyle w:val="BodyText"/>
      </w:pPr>
      <w:r>
        <w:rPr>
          <w:bCs/>
          <w:b/>
        </w:rPr>
        <w:t xml:space="preserve">Valutazione dell’autore:</w:t>
      </w:r>
      <w:r>
        <w:t xml:space="preserve"> </w:t>
      </w:r>
      <w:r>
        <w:t xml:space="preserve">un test affidabile che dica in anticipo chi risponde bene a quale principio attivo non è in vista entro il 2030. La personalizzazione sarà inizialmente pragmatica: secondo malattie concomitanti, tollerabilità, disponibilità alle iniezioni e costi. La questione se i farmaci debbano essere usati già prima che si sviluppi un’obesità resterà controversa sul piano etico ed economico.</w:t>
      </w:r>
    </w:p>
    <w:bookmarkEnd w:id="1072"/>
    <w:bookmarkStart w:id="1073" w:name="regolamentazione-del-mercato-grigio"/>
    <w:p>
      <w:pPr>
        <w:pStyle w:val="Heading4"/>
      </w:pPr>
      <w:r>
        <w:t xml:space="preserve">Regolamentazione del mercato grigio</w:t>
      </w:r>
    </w:p>
    <w:p>
      <w:pPr>
        <w:pStyle w:val="FirstParagraph"/>
      </w:pPr>
      <w:r>
        <w:rPr>
          <w:bCs/>
          <w:b/>
        </w:rPr>
        <w:t xml:space="preserve">Accertato:</w:t>
      </w:r>
      <w:r>
        <w:t xml:space="preserve"> </w:t>
      </w:r>
      <w:r>
        <w:t xml:space="preserve">le analisi di laboratorio e i casi clinici della Parte I e della Parte IV mostrano contraffazioni, dosaggi errati e impurità. Nel frattempo vengono venduti online anche principi attivi non autorizzati come retatrutide e zenagamtide (Rubin 2026, PMID 42853576). Negli USA le copie galeniche di semaglutide e tirzepatide sono state in gran parte cessate dopo la fine delle carenze; le preparazioni modificate continuano a esistere (Belcourt 2026, PMID 41689811). La classificazione dei peptidi per le preparazioni galeniche viene rinegoziata negli USA (Willis 2026, PMID 42752426).</w:t>
      </w:r>
    </w:p>
    <w:p>
      <w:pPr>
        <w:pStyle w:val="BodyText"/>
      </w:pPr>
      <w:r>
        <w:rPr>
          <w:bCs/>
          <w:b/>
        </w:rPr>
        <w:t xml:space="preserve">Valutazione dell’autore:</w:t>
      </w:r>
      <w:r>
        <w:t xml:space="preserve"> </w:t>
      </w:r>
      <w:r>
        <w:t xml:space="preserve">il mercato grigio non scomparirà entro il 2035, ma cambierà. Prezzi in calo per i farmaci autorizzati dovrebbero ridurre l’incentivo a contraffare semaglutide. Allo stesso tempo ogni nuovo principio attivo che fa scalpore negli studi verrà offerto come «Research Peptide» già prima della sua autorizzazione. Mi aspetto controlli più severi sui rivenditori online e sui canali di pagamento nell’UE, ma nessuna soluzione efficace finché saranno possibili ordini da paesi con una vigilanza debole.</w:t>
      </w:r>
    </w:p>
    <w:bookmarkEnd w:id="1073"/>
    <w:bookmarkStart w:id="1074" w:name="X8dd0b4d3120935f1d4c976f6f58f970d846a209"/>
    <w:p>
      <w:pPr>
        <w:pStyle w:val="Heading4"/>
      </w:pPr>
      <w:r>
        <w:t xml:space="preserve">Intelligenza artificiale nella progettazione di peptidi</w:t>
      </w:r>
    </w:p>
    <w:p>
      <w:pPr>
        <w:pStyle w:val="FirstParagraph"/>
      </w:pPr>
      <w:r>
        <w:rPr>
          <w:bCs/>
          <w:b/>
        </w:rPr>
        <w:t xml:space="preserve">Accertato:</w:t>
      </w:r>
      <w:r>
        <w:t xml:space="preserve"> </w:t>
      </w:r>
      <w:r>
        <w:t xml:space="preserve">finora tutte le prove pubblicate provengono da esperimenti di laboratorio e sugli animali. Un gruppo di ricerca ha progettato con metodi di apprendimento automatico 10.000 nuovi agonisti del recettore del GLP-1, ne ha selezionati 60 al computer e li ha testati in laboratorio; due candidati hanno agito nei topi circa tre volte più a lungo di semaglutide (Wei 2025, PMID 40787887). Un altro metodo ha progettato peptidi ad anello che si legano in modo mirato a proteine predefinite; le strutture determinate in laboratorio corrispondevano strettamente ai modelli al computer (Rettie 2025, PMID 40542165). Con un modello ad apprendimento sono stati derivati da peptidi batterici nuovi peptidi antimicrobici, uno dei quali ha ridotto in topi con un’infezione della coscia la carica batterica di oltre il 95% (Wang 2025, PMID 39825096). Il peptide orale anti-PCSK9 enlicitide è stato trovato con un altro metodo ad alta produttività ed è già in fase 3 (Johns 2023, PMID 37125593; NCT06008756).</w:t>
      </w:r>
    </w:p>
    <w:p>
      <w:pPr>
        <w:pStyle w:val="BodyText"/>
      </w:pPr>
      <w:r>
        <w:rPr>
          <w:bCs/>
          <w:b/>
        </w:rPr>
        <w:t xml:space="preserve">Valutazione dell’autore:</w:t>
      </w:r>
      <w:r>
        <w:t xml:space="preserve"> </w:t>
      </w:r>
      <w:r>
        <w:t xml:space="preserve">entro il 2030 i primi peptidi progettati con metodi di IA saranno in studi precoci sull’uomo; un’autorizzazione entro il 2035 è possibile, ma non probabile, perché anche una molecola trovata rapidamente deve attraversare tutte le fasi cliniche. L’IA accorcia la ricerca dei candidati, non la sperimentazione sull’uomo. Per i lettori ciò significa: le offerte che promettono «peptidi ottimizzati con l’IA» sono pubblicità, non una prova di efficacia.</w:t>
      </w:r>
    </w:p>
    <w:bookmarkEnd w:id="1074"/>
    <w:bookmarkEnd w:id="1075"/>
    <w:bookmarkStart w:id="1076" w:name="X1885f6ffe14378b1ff53471cc591802c9fde229"/>
    <w:p>
      <w:pPr>
        <w:pStyle w:val="Heading3"/>
      </w:pPr>
      <w:r>
        <w:t xml:space="preserve">Cronologia: che cosa è annunciato nel registro fino al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Evento previsto secondo il registro</w:t>
            </w:r>
          </w:p>
        </w:tc>
        <w:tc>
          <w:tcPr/>
          <w:p>
            <w:pPr>
              <w:pStyle w:val="Compact"/>
              <w:jc w:val="left"/>
            </w:pPr>
            <w:r>
              <w:t xml:space="preserve">Principio attivo</w:t>
            </w:r>
          </w:p>
        </w:tc>
        <w:tc>
          <w:tcPr/>
          <w:p>
            <w:pPr>
              <w:pStyle w:val="Compact"/>
              <w:jc w:val="left"/>
            </w:pPr>
            <w:r>
              <w:t xml:space="preserve">Studio</w:t>
            </w:r>
          </w:p>
        </w:tc>
      </w:tr>
      <w:tr>
        <w:tc>
          <w:tcPr/>
          <w:p>
            <w:pPr>
              <w:pStyle w:val="Compact"/>
              <w:jc w:val="left"/>
            </w:pPr>
            <w:r>
              <w:t xml:space="preserve">2026/2027</w:t>
            </w:r>
          </w:p>
        </w:tc>
        <w:tc>
          <w:tcPr/>
          <w:p>
            <w:pPr>
              <w:pStyle w:val="Compact"/>
              <w:jc w:val="left"/>
            </w:pPr>
            <w:r>
              <w:t xml:space="preserve">risultati del confronto diretto con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risultati cardiovascolari senza diabete</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risultati cardiovascolari</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follow-up dopo cancro del colon</w:t>
            </w:r>
          </w:p>
        </w:tc>
        <w:tc>
          <w:tcPr/>
          <w:p>
            <w:pPr>
              <w:pStyle w:val="Compact"/>
              <w:jc w:val="left"/>
            </w:pPr>
            <w:r>
              <w:t xml:space="preserve">timosina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degenerazione maculare</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crescita nei bambini</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eventi cardiaci e renali</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risultati cardiovascolari, scompenso cardiaco</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risultati cardiovascolari</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risultati cardiovascolari</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risultati cardiovascolari</w:t>
            </w:r>
          </w:p>
        </w:tc>
        <w:tc>
          <w:tcPr/>
          <w:p>
            <w:pPr>
              <w:pStyle w:val="Compact"/>
              <w:jc w:val="left"/>
            </w:pPr>
            <w:r>
              <w:t xml:space="preserve">enlicitide (peptide orale)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eventi epatici gravi</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Gli anni sono le date di conclusione degli studi indicate nel registro. Le pubblicazioni seguono per lo più più tardi, e gli slittamenti sono frequenti.</w:t>
      </w:r>
    </w:p>
    <w:bookmarkEnd w:id="1076"/>
    <w:bookmarkStart w:id="1077" w:name="conclusione-del-libro"/>
    <w:p>
      <w:pPr>
        <w:pStyle w:val="Heading3"/>
      </w:pPr>
      <w:r>
        <w:t xml:space="preserve">Conclusione del libro</w:t>
      </w:r>
    </w:p>
    <w:p>
      <w:pPr>
        <w:pStyle w:val="FirstParagraph"/>
      </w:pPr>
      <w:r>
        <w:t xml:space="preserve">Dei peptidi di questo libro solo pochi hanno dimostrato in grandi studi sull’uomo che cosa sanno fare – in primo luogo i farmaci basati sul GLP-1, il cui beneficio è documentato fino a una riduzione degli eventi cardiovascolari. Per la maggior parte dei peptidi pubblicizzati su internet come rimedi miracolosi per la guarigione, i muscoli o una lunga vita esistono invece solo esperimenti sugli animali, piccoli studi o nessun dato – e nemmeno un grande studio in corso che possa cambiare presto la situazione. Il futuro della medicina dei peptidi non si decide quindi nei negozi online, ma negli studi di esito che si concluderanno tra il 2027 e il 2032. Chi si interessa a un peptide fa bene a porsi tre domande: esistono studi randomizzati sull’uomo, il prodotto è un farmaco controllato, e un medico accompagna l’uso?</w:t>
      </w:r>
    </w:p>
    <w:bookmarkEnd w:id="1077"/>
    <w:bookmarkEnd w:id="1078"/>
    <w:bookmarkEnd w:id="1079"/>
    <w:bookmarkStart w:id="1099" w:name="glossario"/>
    <w:p>
      <w:pPr>
        <w:pStyle w:val="Heading1"/>
      </w:pPr>
      <w:r>
        <w:t xml:space="preserve">Glossario</w:t>
      </w:r>
    </w:p>
    <w:p>
      <w:pPr>
        <w:pStyle w:val="FirstParagraph"/>
      </w:pPr>
      <w:r>
        <w:t xml:space="preserve">Le spiegazioni seguenti sono volutamente brevi. Trattazioni più ampie si trovano nei capitoli della Parte I, in particolare in «Che cosa sono i peptidi – e che cosa non sono» e «Leggere correttamente gli studi».</w:t>
      </w:r>
    </w:p>
    <w:bookmarkStart w:id="1080" w:name="a"/>
    <w:p>
      <w:pPr>
        <w:pStyle w:val="Heading3"/>
      </w:pPr>
      <w:r>
        <w:t xml:space="preserve">A</w:t>
      </w:r>
    </w:p>
    <w:p>
      <w:pPr>
        <w:pStyle w:val="FirstParagraph"/>
      </w:pPr>
      <w:r>
        <w:rPr>
          <w:bCs/>
          <w:b/>
        </w:rPr>
        <w:t xml:space="preserve">Acromegalia</w:t>
      </w:r>
      <w:r>
        <w:t xml:space="preserve">: Malattia dovuta a una sovrapproduzione persistente di ormone della crescita in età adulta, per lo più causata da un tumore benigno dell’ipofisi. Tipici sono mani, piedi e tratti del viso ingranditi.</w:t>
      </w:r>
    </w:p>
    <w:p>
      <w:pPr>
        <w:pStyle w:val="BodyText"/>
      </w:pPr>
      <w:r>
        <w:rPr>
          <w:bCs/>
          <w:b/>
        </w:rPr>
        <w:t xml:space="preserve">Agonista</w:t>
      </w:r>
      <w:r>
        <w:t xml:space="preserve">: Una sostanza che si lega a un recettore e lo attiva, cioè scatena un segnale. Semaglutide, per esempio, è un agonista del recettore del GLP-1.</w:t>
      </w:r>
    </w:p>
    <w:p>
      <w:pPr>
        <w:pStyle w:val="BodyText"/>
      </w:pPr>
      <w:r>
        <w:rPr>
          <w:bCs/>
          <w:b/>
        </w:rPr>
        <w:t xml:space="preserve">Agonista del recettore del GLP-1</w:t>
      </w:r>
      <w:r>
        <w:t xml:space="preserve">: Un principio attivo che attiva il recettore del GLP-1, per esempio exenatide, liraglutide, dulaglutide o semaglutide.</w:t>
      </w:r>
    </w:p>
    <w:p>
      <w:pPr>
        <w:pStyle w:val="BodyText"/>
      </w:pPr>
      <w:r>
        <w:rPr>
          <w:bCs/>
          <w:b/>
        </w:rPr>
        <w:t xml:space="preserve">Albumina</w:t>
      </w:r>
      <w:r>
        <w:t xml:space="preserve">: La proteina più abbondante del plasma sanguigno. Alcuni farmaci peptidici sono costruiti in modo da legarsi all’albumina e rimanere così più a lungo nel corpo.</w:t>
      </w:r>
    </w:p>
    <w:p>
      <w:pPr>
        <w:pStyle w:val="BodyText"/>
      </w:pPr>
      <w:r>
        <w:rPr>
          <w:bCs/>
          <w:b/>
        </w:rPr>
        <w:t xml:space="preserve">Amilina</w:t>
      </w:r>
      <w:r>
        <w:t xml:space="preserve">: Un ormone peptidico secreto dal pancreas insieme all’insulina, che influenza tra l’altro la sazietà e lo svuotamento gastrico. Derivati come pramlintide e cagrilintide sono usati come farmaci o oggetto di ricerca.</w:t>
      </w:r>
    </w:p>
    <w:p>
      <w:pPr>
        <w:pStyle w:val="BodyText"/>
      </w:pPr>
      <w:r>
        <w:rPr>
          <w:bCs/>
          <w:b/>
        </w:rPr>
        <w:t xml:space="preserve">Amminoacido</w:t>
      </w:r>
      <w:r>
        <w:t xml:space="preserve">: Elemento costitutivo di base di peptidi e proteine. L’essere umano utilizza essenzialmente 20 amminoacidi standard, che vengono uniti in catene tramite legami peptidici.</w:t>
      </w:r>
    </w:p>
    <w:p>
      <w:pPr>
        <w:pStyle w:val="BodyText"/>
      </w:pPr>
      <w:r>
        <w:rPr>
          <w:bCs/>
          <w:b/>
        </w:rPr>
        <w:t xml:space="preserve">Analisi intention-to-treat</w:t>
      </w:r>
      <w:r>
        <w:t xml:space="preserve">: Analisi di uno studio in cui tutti i partecipanti vengono contati nel gruppo a cui sono stati assegnati – anche se hanno interrotto il trattamento. È considerata una stima più realistica dell’effetto nella vita quotidiana.</w:t>
      </w:r>
    </w:p>
    <w:p>
      <w:pPr>
        <w:pStyle w:val="BodyText"/>
      </w:pPr>
      <w:r>
        <w:rPr>
          <w:bCs/>
          <w:b/>
        </w:rPr>
        <w:t xml:space="preserve">Analogo</w:t>
      </w:r>
      <w:r>
        <w:t xml:space="preserve">: Una molecola ricostruita sul modello di una molecola naturale, ma modificata in modo mirato – per esempio per renderla più stabile o di più lunga durata d’azione.</w:t>
      </w:r>
    </w:p>
    <w:p>
      <w:pPr>
        <w:pStyle w:val="BodyText"/>
      </w:pPr>
      <w:r>
        <w:rPr>
          <w:bCs/>
          <w:b/>
        </w:rPr>
        <w:t xml:space="preserve">Angiogenesi</w:t>
      </w:r>
      <w:r>
        <w:t xml:space="preserve">: Formazione di nuovi vasi sanguigni. È importante per la guarigione delle ferite, ma può anche favorire la crescita dei tumori.</w:t>
      </w:r>
    </w:p>
    <w:p>
      <w:pPr>
        <w:pStyle w:val="BodyText"/>
      </w:pPr>
      <w:r>
        <w:rPr>
          <w:bCs/>
          <w:b/>
        </w:rPr>
        <w:t xml:space="preserve">Antagonista</w:t>
      </w:r>
      <w:r>
        <w:t xml:space="preserve">: Una sostanza che si lega a un recettore senza attivarlo e blocca così l’azione dei messaggeri endogeni.</w:t>
      </w:r>
    </w:p>
    <w:p>
      <w:pPr>
        <w:pStyle w:val="BodyText"/>
      </w:pPr>
      <w:r>
        <w:rPr>
          <w:bCs/>
          <w:b/>
        </w:rPr>
        <w:t xml:space="preserve">Anticorpi</w:t>
      </w:r>
      <w:r>
        <w:t xml:space="preserve">: Molecole proteiche del sistema immunitario che si legano in modo mirato a strutture estranee. Gli anticorpi formati contro farmaci peptidici possono attenuarne l’effetto o scatenare reazioni.</w:t>
      </w:r>
    </w:p>
    <w:p>
      <w:pPr>
        <w:pStyle w:val="BodyText"/>
      </w:pPr>
      <w:r>
        <w:rPr>
          <w:bCs/>
          <w:b/>
        </w:rPr>
        <w:t xml:space="preserve">Autorizzazione all’immissione in commercio</w:t>
      </w:r>
      <w:r>
        <w:t xml:space="preserve">: L’approvazione da parte delle autorità per mettere in commercio un farmaco, dopo la verifica di qualità, efficacia e sicurezza.</w:t>
      </w:r>
    </w:p>
    <w:bookmarkEnd w:id="1080"/>
    <w:bookmarkStart w:id="1081" w:name="b"/>
    <w:p>
      <w:pPr>
        <w:pStyle w:val="Heading3"/>
      </w:pPr>
      <w:r>
        <w:t xml:space="preserve">B</w:t>
      </w:r>
    </w:p>
    <w:p>
      <w:pPr>
        <w:pStyle w:val="FirstParagraph"/>
      </w:pPr>
      <w:r>
        <w:rPr>
          <w:bCs/>
          <w:b/>
        </w:rPr>
        <w:t xml:space="preserve">Bias di pubblicazione</w:t>
      </w:r>
      <w:r>
        <w:t xml:space="preserve">: La distorsione del quadro complessivo quando gli studi con risultati positivi vengono pubblicati più spesso di quelli con risultati negativi.</w:t>
      </w:r>
    </w:p>
    <w:p>
      <w:pPr>
        <w:pStyle w:val="BodyText"/>
      </w:pPr>
      <w:r>
        <w:rPr>
          <w:bCs/>
          <w:b/>
        </w:rPr>
        <w:t xml:space="preserve">Biodisponibilità</w:t>
      </w:r>
      <w:r>
        <w:t xml:space="preserve">: La quota di un principio attivo somministrato che arriva immodificata nella circolazione sanguigna. Con un’infusione in vena è del 100%, con le compresse di peptidi spesso solo di pochi punti percentuali o meno.</w:t>
      </w:r>
    </w:p>
    <w:p>
      <w:pPr>
        <w:pStyle w:val="BodyText"/>
      </w:pPr>
      <w:r>
        <w:rPr>
          <w:bCs/>
          <w:b/>
        </w:rPr>
        <w:t xml:space="preserve">Biosimilare</w:t>
      </w:r>
      <w:r>
        <w:t xml:space="preserve">: Un preparato successore di un farmaco biologico dopo la scadenza della protezione brevettuale. Deve essere dimostrabilmente molto simile all’originale per qualità, efficacia e sicurezza.</w:t>
      </w:r>
    </w:p>
    <w:p>
      <w:pPr>
        <w:pStyle w:val="BodyText"/>
      </w:pPr>
      <w:r>
        <w:rPr>
          <w:bCs/>
          <w:b/>
        </w:rPr>
        <w:t xml:space="preserve">BMI (indice di massa corporea)</w:t>
      </w:r>
      <w:r>
        <w:t xml:space="preserve">: Peso corporeo in chilogrammi diviso per il quadrato dell’altezza in metri. Misura approssimativa di sottopeso, normopeso e sovrappeso.</w:t>
      </w:r>
    </w:p>
    <w:bookmarkEnd w:id="1081"/>
    <w:bookmarkStart w:id="1082" w:name="c"/>
    <w:p>
      <w:pPr>
        <w:pStyle w:val="Heading3"/>
      </w:pPr>
      <w:r>
        <w:t xml:space="preserve">C</w:t>
      </w:r>
    </w:p>
    <w:p>
      <w:pPr>
        <w:pStyle w:val="FirstParagraph"/>
      </w:pPr>
      <w:r>
        <w:rPr>
          <w:bCs/>
          <w:b/>
        </w:rPr>
        <w:t xml:space="preserve">C-terminale</w:t>
      </w:r>
      <w:r>
        <w:t xml:space="preserve">: L’estremità di una catena peptidica con il gruppo acido libero. Le sequenze peptidiche si scrivono dall’N-terminale al C-terminale.</w:t>
      </w:r>
    </w:p>
    <w:p>
      <w:pPr>
        <w:pStyle w:val="BodyText"/>
      </w:pPr>
      <w:r>
        <w:rPr>
          <w:bCs/>
          <w:b/>
        </w:rPr>
        <w:t xml:space="preserve">Caso clinico</w:t>
      </w:r>
      <w:r>
        <w:t xml:space="preserve">: La descrizione di un singolo caso di malattia in una rivista scientifica. I casi clinici sono importanti per riconoscere effetti collaterali rari, ma dicono poco sull’efficacia.</w:t>
      </w:r>
    </w:p>
    <w:p>
      <w:pPr>
        <w:pStyle w:val="BodyText"/>
      </w:pPr>
      <w:r>
        <w:rPr>
          <w:bCs/>
          <w:b/>
        </w:rPr>
        <w:t xml:space="preserve">Cecità (mascheramento)</w:t>
      </w:r>
      <w:r>
        <w:t xml:space="preserve">: L’occultamento dell’assegnazione ai gruppi ai partecipanti e/o al personale dello studio, per evitare effetti legati alle aspettative.</w:t>
      </w:r>
    </w:p>
    <w:p>
      <w:pPr>
        <w:pStyle w:val="BodyText"/>
      </w:pPr>
      <w:r>
        <w:rPr>
          <w:bCs/>
          <w:b/>
        </w:rPr>
        <w:t xml:space="preserve">Compounding</w:t>
      </w:r>
      <w:r>
        <w:t xml:space="preserve">: Negli USA la produzione di farmaci da parte delle farmacie stesse, per esempio in caso di carenze di fornitura. Queste preparazioni non sono specialità medicinali autorizzate.</w:t>
      </w:r>
    </w:p>
    <w:p>
      <w:pPr>
        <w:pStyle w:val="BodyText"/>
      </w:pPr>
      <w:r>
        <w:rPr>
          <w:bCs/>
          <w:b/>
        </w:rPr>
        <w:t xml:space="preserve">Conflitto di interessi</w:t>
      </w:r>
      <w:r>
        <w:t xml:space="preserve">: Una situazione in cui interessi economici o di altro tipo potrebbero influenzare il giudizio di ricercatori o autori, per esempio tramite il finanziamento di uno studio da parte del produttore.</w:t>
      </w:r>
    </w:p>
    <w:p>
      <w:pPr>
        <w:pStyle w:val="BodyText"/>
      </w:pPr>
      <w:r>
        <w:rPr>
          <w:bCs/>
          <w:b/>
        </w:rPr>
        <w:t xml:space="preserve">Confondimento (fattore confondente)</w:t>
      </w:r>
      <w:r>
        <w:t xml:space="preserve">: Un fattore che è legato sia a un trattamento sia a un risultato e può così creare un’associazione apparente. Problema tipico degli studi osservazionali.</w:t>
      </w:r>
    </w:p>
    <w:bookmarkEnd w:id="1082"/>
    <w:bookmarkStart w:id="1083" w:name="d"/>
    <w:p>
      <w:pPr>
        <w:pStyle w:val="Heading3"/>
      </w:pPr>
      <w:r>
        <w:t xml:space="preserve">D</w:t>
      </w:r>
    </w:p>
    <w:p>
      <w:pPr>
        <w:pStyle w:val="FirstParagraph"/>
      </w:pPr>
      <w:r>
        <w:rPr>
          <w:bCs/>
          <w:b/>
        </w:rPr>
        <w:t xml:space="preserve">Dalton</w:t>
      </w:r>
      <w:r>
        <w:t xml:space="preserve">: Unità di misura per la massa delle molecole. Un amminoacido in una catena peptidica pesa in media poco più di 100 dalton.</w:t>
      </w:r>
    </w:p>
    <w:p>
      <w:pPr>
        <w:pStyle w:val="BodyText"/>
      </w:pPr>
      <w:r>
        <w:rPr>
          <w:bCs/>
          <w:b/>
        </w:rPr>
        <w:t xml:space="preserve">Diabete di tipo 2</w:t>
      </w:r>
      <w:r>
        <w:t xml:space="preserve">: La forma più frequente di diabete, in cui il corpo utilizza l’insulina in modo meno efficace e il pancreas non ne produce abbastanza per compensare. Spesso associato al sovrappeso.</w:t>
      </w:r>
    </w:p>
    <w:p>
      <w:pPr>
        <w:pStyle w:val="BodyText"/>
      </w:pPr>
      <w:r>
        <w:rPr>
          <w:bCs/>
          <w:b/>
        </w:rPr>
        <w:t xml:space="preserve">Dipeptidil peptidasi-4 (DPP-4)</w:t>
      </w:r>
      <w:r>
        <w:t xml:space="preserve">: Un enzima che degrada rapidamente, tra l’altro, l’ormone intestinale GLP-1. Gli inibitori di questo enzima (gliptine) sono usati come compresse antidiabetiche.</w:t>
      </w:r>
    </w:p>
    <w:p>
      <w:pPr>
        <w:pStyle w:val="BodyText"/>
      </w:pPr>
      <w:r>
        <w:rPr>
          <w:bCs/>
          <w:b/>
        </w:rPr>
        <w:t xml:space="preserve">Doppio cieco</w:t>
      </w:r>
      <w:r>
        <w:t xml:space="preserve">: Uno studio in cui né i partecipanti né il personale dello studio sanno chi riceve il principio attivo e chi il placebo. Ciò riduce l’influenza delle aspettative sui risultati.</w:t>
      </w:r>
    </w:p>
    <w:bookmarkEnd w:id="1083"/>
    <w:bookmarkStart w:id="1084" w:name="e"/>
    <w:p>
      <w:pPr>
        <w:pStyle w:val="Heading3"/>
      </w:pPr>
      <w:r>
        <w:t xml:space="preserve">E</w:t>
      </w:r>
    </w:p>
    <w:p>
      <w:pPr>
        <w:pStyle w:val="FirstParagraph"/>
      </w:pPr>
      <w:r>
        <w:rPr>
          <w:bCs/>
          <w:b/>
        </w:rPr>
        <w:t xml:space="preserve">Effetto placebo</w:t>
      </w:r>
      <w:r>
        <w:t xml:space="preserve">: Un miglioramento dei disturbi che non dipende da un principio attivo, ma da aspettative, attenzioni ricevute o dal decorso naturale.</w:t>
      </w:r>
    </w:p>
    <w:p>
      <w:pPr>
        <w:pStyle w:val="BodyText"/>
      </w:pPr>
      <w:r>
        <w:rPr>
          <w:bCs/>
          <w:b/>
        </w:rPr>
        <w:t xml:space="preserve">Emivita</w:t>
      </w:r>
      <w:r>
        <w:t xml:space="preserve">: Il tempo dopo il quale metà di un principio attivo è stata degradata o eliminata dal corpo. Determina in modo decisivo quanto spesso un farmaco deve essere somministrato.</w:t>
      </w:r>
    </w:p>
    <w:p>
      <w:pPr>
        <w:pStyle w:val="BodyText"/>
      </w:pPr>
      <w:r>
        <w:rPr>
          <w:bCs/>
          <w:b/>
        </w:rPr>
        <w:t xml:space="preserve">Endotossine</w:t>
      </w:r>
      <w:r>
        <w:t xml:space="preserve">: Componenti termostabili della parete cellulare di determinati batteri. Se arrivano nel sangue possono provocare febbre, infiammazioni e reazioni circolatorie; restano attive anche dopo l’uccisione dei batteri.</w:t>
      </w:r>
    </w:p>
    <w:p>
      <w:pPr>
        <w:pStyle w:val="BodyText"/>
      </w:pPr>
      <w:r>
        <w:rPr>
          <w:bCs/>
          <w:b/>
        </w:rPr>
        <w:t xml:space="preserve">Endpoint</w:t>
      </w:r>
      <w:r>
        <w:t xml:space="preserve">: La caratteristica con cui in uno studio si misura il successo di un trattamento, per esempio perdita di peso, glicemia o infarti. Il più importante viene stabilito prima dell’inizio dello studio come endpoint primario.</w:t>
      </w:r>
    </w:p>
    <w:p>
      <w:pPr>
        <w:pStyle w:val="BodyText"/>
      </w:pPr>
      <w:r>
        <w:rPr>
          <w:bCs/>
          <w:b/>
        </w:rPr>
        <w:t xml:space="preserve">Endpoint clinico forte</w:t>
      </w:r>
      <w:r>
        <w:t xml:space="preserve">: Un risultato di studio che conta direttamente per i pazienti, per esempio morte, infarto, ictus o frattura ossea.</w:t>
      </w:r>
    </w:p>
    <w:p>
      <w:pPr>
        <w:pStyle w:val="BodyText"/>
      </w:pPr>
      <w:r>
        <w:rPr>
          <w:bCs/>
          <w:b/>
        </w:rPr>
        <w:t xml:space="preserve">Endpoint surrogato</w:t>
      </w:r>
      <w:r>
        <w:t xml:space="preserve">: Un valore misurato usato al posto di un evento clinicamente rilevante, per esempio la glicemia invece dell’infarto. Il miglioramento di un surrogato non significa automaticamente un beneficio per i pazienti.</w:t>
      </w:r>
    </w:p>
    <w:p>
      <w:pPr>
        <w:pStyle w:val="BodyText"/>
      </w:pPr>
      <w:r>
        <w:rPr>
          <w:bCs/>
          <w:b/>
        </w:rPr>
        <w:t xml:space="preserve">Esenzione a fini terapeutici (Therapeutic Use Exemption, TUE)</w:t>
      </w:r>
      <w:r>
        <w:t xml:space="preserve">: Un’autorizzazione medica eccezionale nello sport, che consente l’uso di un farmaco proibito ma necessario dal punto di vista medico.</w:t>
      </w:r>
    </w:p>
    <w:p>
      <w:pPr>
        <w:pStyle w:val="BodyText"/>
      </w:pPr>
      <w:r>
        <w:rPr>
          <w:bCs/>
          <w:b/>
        </w:rPr>
        <w:t xml:space="preserve">Estimando</w:t>
      </w:r>
      <w:r>
        <w:t xml:space="preserve">: Una descrizione precisa di quale effetto del trattamento venga stimato in uno studio – per esempio indipendentemente dal fatto che i partecipanti interrompano il trattamento, oppure solo per il periodo di effettiva assunzione.</w:t>
      </w:r>
    </w:p>
    <w:p>
      <w:pPr>
        <w:pStyle w:val="BodyText"/>
      </w:pPr>
      <w:r>
        <w:rPr>
          <w:bCs/>
          <w:b/>
        </w:rPr>
        <w:t xml:space="preserve">EudraVigilance</w:t>
      </w:r>
      <w:r>
        <w:t xml:space="preserve">: La banca dati dell’Agenzia europea per i medicinali per le segnalazioni di sospette reazioni avverse.</w:t>
      </w:r>
    </w:p>
    <w:p>
      <w:pPr>
        <w:pStyle w:val="BodyText"/>
      </w:pPr>
      <w:r>
        <w:rPr>
          <w:bCs/>
          <w:b/>
        </w:rPr>
        <w:t xml:space="preserve">Evento avverso</w:t>
      </w:r>
      <w:r>
        <w:t xml:space="preserve">: Qualsiasi problema di salute che si verifica durante uno studio, indipendentemente dal fatto che sia causato dal trattamento. Solo il confronto con il gruppo di controllo mostra se un nesso è probabile.</w:t>
      </w:r>
    </w:p>
    <w:bookmarkEnd w:id="1084"/>
    <w:bookmarkStart w:id="1085" w:name="f"/>
    <w:p>
      <w:pPr>
        <w:pStyle w:val="Heading3"/>
      </w:pPr>
      <w:r>
        <w:t xml:space="preserve">F</w:t>
      </w:r>
    </w:p>
    <w:p>
      <w:pPr>
        <w:pStyle w:val="FirstParagraph"/>
      </w:pPr>
      <w:r>
        <w:rPr>
          <w:bCs/>
          <w:b/>
        </w:rPr>
        <w:t xml:space="preserve">FAERS</w:t>
      </w:r>
      <w:r>
        <w:t xml:space="preserve">: Il sistema di segnalazione dell’autorità statunitense per i farmaci FDA per le sospette reazioni avverse.</w:t>
      </w:r>
    </w:p>
    <w:p>
      <w:pPr>
        <w:pStyle w:val="BodyText"/>
      </w:pPr>
      <w:r>
        <w:rPr>
          <w:bCs/>
          <w:b/>
        </w:rPr>
        <w:t xml:space="preserve">Farmaco biologico</w:t>
      </w:r>
      <w:r>
        <w:t xml:space="preserve">: Un farmaco il cui principio attivo è prodotto con l’aiuto di cellule viventi, per esempio con tecniche di ingegneria genetica in batteri o cellule di mammifero. Ne fanno parte molti peptidi più grandi e tutti i farmaci anticorpali.</w:t>
      </w:r>
    </w:p>
    <w:p>
      <w:pPr>
        <w:pStyle w:val="BodyText"/>
      </w:pPr>
      <w:r>
        <w:rPr>
          <w:bCs/>
          <w:b/>
        </w:rPr>
        <w:t xml:space="preserve">Farmacocinetica</w:t>
      </w:r>
      <w:r>
        <w:t xml:space="preserve">: La disciplina che studia che cosa fa il corpo con un principio attivo – assorbimento, distribuzione, degradazione ed eliminazione.</w:t>
      </w:r>
    </w:p>
    <w:p>
      <w:pPr>
        <w:pStyle w:val="BodyText"/>
      </w:pPr>
      <w:r>
        <w:rPr>
          <w:bCs/>
          <w:b/>
        </w:rPr>
        <w:t xml:space="preserve">Farmacodinamica</w:t>
      </w:r>
      <w:r>
        <w:t xml:space="preserve">: La disciplina che studia che cosa fa un principio attivo nel corpo – cioè i suoi effetti e meccanismi d’azione.</w:t>
      </w:r>
    </w:p>
    <w:p>
      <w:pPr>
        <w:pStyle w:val="BodyText"/>
      </w:pPr>
      <w:r>
        <w:rPr>
          <w:bCs/>
          <w:b/>
        </w:rPr>
        <w:t xml:space="preserve">Farmacovigilanza</w:t>
      </w:r>
      <w:r>
        <w:t xml:space="preserve">: Il monitoraggio sistematico dei farmaci dopo l’autorizzazione, per riconoscere e valutare gli effetti collaterali.</w:t>
      </w:r>
    </w:p>
    <w:p>
      <w:pPr>
        <w:pStyle w:val="BodyText"/>
      </w:pPr>
      <w:r>
        <w:rPr>
          <w:bCs/>
          <w:b/>
        </w:rPr>
        <w:t xml:space="preserve">Fasi degli studi</w:t>
      </w:r>
      <w:r>
        <w:t xml:space="preserve">: Gli stadi della sperimentazione dei farmaci sull’uomo, dalla fase 1 (tollerabilità su poche persone) alla fase 3 (grandi studi comparativi) e alla fase 4 (osservazione dopo l’autorizzazione).</w:t>
      </w:r>
    </w:p>
    <w:bookmarkEnd w:id="1085"/>
    <w:bookmarkStart w:id="1086" w:name="g"/>
    <w:p>
      <w:pPr>
        <w:pStyle w:val="Heading3"/>
      </w:pPr>
      <w:r>
        <w:t xml:space="preserve">G</w:t>
      </w:r>
    </w:p>
    <w:p>
      <w:pPr>
        <w:pStyle w:val="FirstParagraph"/>
      </w:pPr>
      <w:r>
        <w:rPr>
          <w:bCs/>
          <w:b/>
        </w:rPr>
        <w:t xml:space="preserve">GHRH (ormone di rilascio dell’ormone della crescita)</w:t>
      </w:r>
      <w:r>
        <w:t xml:space="preserve">: Un ormone dell’ipotalamo che stimola l’ipofisi a secernere ormone della crescita. Sermorelina, tesamorelina e CJC-1295 ne sono derivati.</w:t>
      </w:r>
    </w:p>
    <w:p>
      <w:pPr>
        <w:pStyle w:val="BodyText"/>
      </w:pPr>
      <w:r>
        <w:rPr>
          <w:bCs/>
          <w:b/>
        </w:rPr>
        <w:t xml:space="preserve">GHRP (peptidi di rilascio dell’ormone della crescita)</w:t>
      </w:r>
      <w:r>
        <w:t xml:space="preserve">: Un gruppo di peptidi sintetici che aumentano la secrezione dell’ormone della crescita tramite il recettore della grelina, per esempio GHRP-2, GHRP-6, hexarelin e ipamorelina.</w:t>
      </w:r>
    </w:p>
    <w:p>
      <w:pPr>
        <w:pStyle w:val="BodyText"/>
      </w:pPr>
      <w:r>
        <w:rPr>
          <w:bCs/>
          <w:b/>
        </w:rPr>
        <w:t xml:space="preserve">GIP (polipeptide insulinotropico glucosio-dipendente)</w:t>
      </w:r>
      <w:r>
        <w:t xml:space="preserve">: Un ormone intestinale del gruppo delle incretine. Tirzepatide attiva, oltre al recettore del GLP-1, anche il recettore del GIP.</w:t>
      </w:r>
    </w:p>
    <w:p>
      <w:pPr>
        <w:pStyle w:val="BodyText"/>
      </w:pPr>
      <w:r>
        <w:rPr>
          <w:bCs/>
          <w:b/>
        </w:rPr>
        <w:t xml:space="preserve">GLP-1 (peptide simil-glucagone 1)</w:t>
      </w:r>
      <w:r>
        <w:t xml:space="preserve">: Un ormone intestinale secreto dopo i pasti, che potenzia il rilascio di insulina in funzione della glicemia, rallenta lo svuotamento gastrico e influenza il senso di sazietà.</w:t>
      </w:r>
    </w:p>
    <w:p>
      <w:pPr>
        <w:pStyle w:val="BodyText"/>
      </w:pPr>
      <w:r>
        <w:rPr>
          <w:bCs/>
          <w:b/>
        </w:rPr>
        <w:t xml:space="preserve">Glucagone</w:t>
      </w:r>
      <w:r>
        <w:t xml:space="preserve">: Un ormone peptidico del pancreas che aumenta la glicemia. Alcuni nuovi principi attivi attivano anche il recettore del glucagone.</w:t>
      </w:r>
    </w:p>
    <w:p>
      <w:pPr>
        <w:pStyle w:val="BodyText"/>
      </w:pPr>
      <w:r>
        <w:rPr>
          <w:bCs/>
          <w:b/>
        </w:rPr>
        <w:t xml:space="preserve">GnRH (ormone di rilascio delle gonadotropine)</w:t>
      </w:r>
      <w:r>
        <w:t xml:space="preserve">: Un ormone dell’ipotalamo che regola la secrezione degli ormoni LH e FSH, che controllano gli ormoni sessuali. La gonadorelina ne è una forma sintetica.</w:t>
      </w:r>
    </w:p>
    <w:p>
      <w:pPr>
        <w:pStyle w:val="BodyText"/>
      </w:pPr>
      <w:r>
        <w:rPr>
          <w:bCs/>
          <w:b/>
        </w:rPr>
        <w:t xml:space="preserve">Grelina</w:t>
      </w:r>
      <w:r>
        <w:t xml:space="preserve">: Un ormone peptidico prodotto soprattutto nello stomaco, che provoca fame e stimola la secrezione dell’ormone della crescita.</w:t>
      </w:r>
    </w:p>
    <w:p>
      <w:pPr>
        <w:pStyle w:val="BodyText"/>
      </w:pPr>
      <w:r>
        <w:rPr>
          <w:bCs/>
          <w:b/>
        </w:rPr>
        <w:t xml:space="preserve">Gruppo di controllo</w:t>
      </w:r>
      <w:r>
        <w:t xml:space="preserve">: Il gruppo di confronto in uno studio, che non riceve il principio attivo, ma un placebo o un trattamento standard.</w:t>
      </w:r>
    </w:p>
    <w:bookmarkEnd w:id="1086"/>
    <w:bookmarkStart w:id="1087" w:name="h"/>
    <w:p>
      <w:pPr>
        <w:pStyle w:val="Heading3"/>
      </w:pPr>
      <w:r>
        <w:t xml:space="preserve">H</w:t>
      </w:r>
    </w:p>
    <w:p>
      <w:pPr>
        <w:pStyle w:val="FirstParagraph"/>
      </w:pPr>
      <w:r>
        <w:rPr>
          <w:bCs/>
          <w:b/>
        </w:rPr>
        <w:t xml:space="preserve">Hazard ratio</w:t>
      </w:r>
      <w:r>
        <w:t xml:space="preserve">: Una misura di come il rischio di un evento differisca nel tempo tra due gruppi. Un valore di 0,80 indica un rischio relativo inferiore di circa il 20%.</w:t>
      </w:r>
    </w:p>
    <w:p>
      <w:pPr>
        <w:pStyle w:val="BodyText"/>
      </w:pPr>
      <w:r>
        <w:rPr>
          <w:bCs/>
          <w:b/>
        </w:rPr>
        <w:t xml:space="preserve">HbA1c</w:t>
      </w:r>
      <w:r>
        <w:t xml:space="preserve">: La quota del pigmento rosso del sangue a cui è legato lo zucchero. Rispecchia la glicemia media degli ultimi due o tre mesi ed è un importante endpoint surrogato negli studi sul diabete.</w:t>
      </w:r>
    </w:p>
    <w:p>
      <w:pPr>
        <w:pStyle w:val="BodyText"/>
      </w:pPr>
      <w:r>
        <w:rPr>
          <w:bCs/>
          <w:b/>
        </w:rPr>
        <w:t xml:space="preserve">HPLC (cromatografia liquida ad alte prestazioni)</w:t>
      </w:r>
      <w:r>
        <w:t xml:space="preserve">: Un metodo di laboratorio con cui è possibile separare miscele di sostanze e determinare la purezza dei peptidi.</w:t>
      </w:r>
    </w:p>
    <w:bookmarkEnd w:id="1087"/>
    <w:bookmarkStart w:id="1088" w:name="i"/>
    <w:p>
      <w:pPr>
        <w:pStyle w:val="Heading3"/>
      </w:pPr>
      <w:r>
        <w:t xml:space="preserve">I</w:t>
      </w:r>
    </w:p>
    <w:p>
      <w:pPr>
        <w:pStyle w:val="FirstParagraph"/>
      </w:pPr>
      <w:r>
        <w:rPr>
          <w:bCs/>
          <w:b/>
        </w:rPr>
        <w:t xml:space="preserve">Idrolizzato</w:t>
      </w:r>
      <w:r>
        <w:t xml:space="preserve">: Una miscela di frammenti che si forma quando le proteine vengono scisse con enzimi o acidi. I peptidi di collagene si ottengono in questo modo.</w:t>
      </w:r>
    </w:p>
    <w:p>
      <w:pPr>
        <w:pStyle w:val="BodyText"/>
      </w:pPr>
      <w:r>
        <w:rPr>
          <w:bCs/>
          <w:b/>
        </w:rPr>
        <w:t xml:space="preserve">IGF-1 (fattore di crescita insulino-simile 1)</w:t>
      </w:r>
      <w:r>
        <w:t xml:space="preserve">: Un fattore di crescita prodotto soprattutto nel fegato sotto l’influenza dell’ormone della crescita. Media molti effetti dell’ormone della crescita e serve come valore di laboratorio per valutarlo.</w:t>
      </w:r>
    </w:p>
    <w:p>
      <w:pPr>
        <w:pStyle w:val="BodyText"/>
      </w:pPr>
      <w:r>
        <w:rPr>
          <w:bCs/>
          <w:b/>
        </w:rPr>
        <w:t xml:space="preserve">Immunogenicità</w:t>
      </w:r>
      <w:r>
        <w:t xml:space="preserve">: La proprietà di una sostanza di scatenare una reazione del sistema immunitario, per esempio la formazione di anticorpi.</w:t>
      </w:r>
    </w:p>
    <w:p>
      <w:pPr>
        <w:pStyle w:val="BodyText"/>
      </w:pPr>
      <w:r>
        <w:rPr>
          <w:bCs/>
          <w:b/>
        </w:rPr>
        <w:t xml:space="preserve">Impurità</w:t>
      </w:r>
      <w:r>
        <w:t xml:space="preserve">: Componenti indesiderati di un prodotto, per esempio catene peptidiche difettose derivanti dalla sintesi, residui di solventi, metalli o componenti batterici.</w:t>
      </w:r>
    </w:p>
    <w:p>
      <w:pPr>
        <w:pStyle w:val="BodyText"/>
      </w:pPr>
      <w:r>
        <w:rPr>
          <w:bCs/>
          <w:b/>
        </w:rPr>
        <w:t xml:space="preserve">In vitro</w:t>
      </w:r>
      <w:r>
        <w:t xml:space="preserve">: «Nel vetro» – esperimenti in laboratorio su cellule, tessuti o molecole isolate al di fuori di un organismo vivente.</w:t>
      </w:r>
    </w:p>
    <w:p>
      <w:pPr>
        <w:pStyle w:val="BodyText"/>
      </w:pPr>
      <w:r>
        <w:rPr>
          <w:bCs/>
          <w:b/>
        </w:rPr>
        <w:t xml:space="preserve">Incretine</w:t>
      </w:r>
      <w:r>
        <w:t xml:space="preserve">: Ormoni intestinali che dopo un pasto potenziano la secrezione di insulina. I più importanti sono GLP-1 e GIP.</w:t>
      </w:r>
    </w:p>
    <w:p>
      <w:pPr>
        <w:pStyle w:val="BodyText"/>
      </w:pPr>
      <w:r>
        <w:rPr>
          <w:bCs/>
          <w:b/>
        </w:rPr>
        <w:t xml:space="preserve">Insulina</w:t>
      </w:r>
      <w:r>
        <w:t xml:space="preserve">: Un ormone peptidico del pancreas composto da 51 amminoacidi, che abbassa la glicemia. Nel 1922 è stato il primo peptide usato come farmaco.</w:t>
      </w:r>
    </w:p>
    <w:p>
      <w:pPr>
        <w:pStyle w:val="BodyText"/>
      </w:pPr>
      <w:r>
        <w:rPr>
          <w:bCs/>
          <w:b/>
        </w:rPr>
        <w:t xml:space="preserve">Integratore alimentare</w:t>
      </w:r>
      <w:r>
        <w:t xml:space="preserve">: Un alimento destinato a integrare la normale alimentazione con nutrienti o altre sostanze. Non ha bisogno di autorizzazione, ma non può avere un effetto farmacologico.</w:t>
      </w:r>
    </w:p>
    <w:p>
      <w:pPr>
        <w:pStyle w:val="BodyText"/>
      </w:pPr>
      <w:r>
        <w:rPr>
          <w:bCs/>
          <w:b/>
        </w:rPr>
        <w:t xml:space="preserve">Intervallo di confidenza</w:t>
      </w:r>
      <w:r>
        <w:t xml:space="preserve">: Un intervallo attorno a un risultato di studio in cui il valore vero si trova con una determinata probabilità (di solito 95%). Intervalli ampi indicano una stima incerta.</w:t>
      </w:r>
    </w:p>
    <w:p>
      <w:pPr>
        <w:pStyle w:val="BodyText"/>
      </w:pPr>
      <w:r>
        <w:rPr>
          <w:bCs/>
          <w:b/>
        </w:rPr>
        <w:t xml:space="preserve">Ipofisi</w:t>
      </w:r>
      <w:r>
        <w:t xml:space="preserve">: Una piccola ghiandola endocrina alla base del cranio, che secerne tra l’altro l’ormone della crescita e gli ormoni di controllo per tiroide, surreni e gonadi.</w:t>
      </w:r>
    </w:p>
    <w:p>
      <w:pPr>
        <w:pStyle w:val="BodyText"/>
      </w:pPr>
      <w:r>
        <w:rPr>
          <w:bCs/>
          <w:b/>
        </w:rPr>
        <w:t xml:space="preserve">Ipoglicemia</w:t>
      </w:r>
      <w:r>
        <w:t xml:space="preserve">: Livello di zucchero nel sangue troppo basso. Può provocare tremori, sudorazione, confusione e perdita di coscienza ed è un’emergenza.</w:t>
      </w:r>
    </w:p>
    <w:p>
      <w:pPr>
        <w:pStyle w:val="BodyText"/>
      </w:pPr>
      <w:r>
        <w:rPr>
          <w:bCs/>
          <w:b/>
        </w:rPr>
        <w:t xml:space="preserve">Ipotalamo</w:t>
      </w:r>
      <w:r>
        <w:t xml:space="preserve">: Una regione del cervello che controlla l’ipofisi tramite ormoni di rilascio ed è coinvolta in fame, sete, sonno e temperatura corporea.</w:t>
      </w:r>
    </w:p>
    <w:bookmarkEnd w:id="1088"/>
    <w:bookmarkStart w:id="1089" w:name="l"/>
    <w:p>
      <w:pPr>
        <w:pStyle w:val="Heading3"/>
      </w:pPr>
      <w:r>
        <w:t xml:space="preserve">L</w:t>
      </w:r>
    </w:p>
    <w:p>
      <w:pPr>
        <w:pStyle w:val="FirstParagraph"/>
      </w:pPr>
      <w:r>
        <w:rPr>
          <w:bCs/>
          <w:b/>
        </w:rPr>
        <w:t xml:space="preserve">Legame peptidico</w:t>
      </w:r>
      <w:r>
        <w:t xml:space="preserve">: Il legame chimico tra il gruppo acido di un amminoacido e il gruppo amminico del successivo, durante la cui formazione viene eliminata acqua.</w:t>
      </w:r>
    </w:p>
    <w:p>
      <w:pPr>
        <w:pStyle w:val="BodyText"/>
      </w:pPr>
      <w:r>
        <w:rPr>
          <w:bCs/>
          <w:b/>
        </w:rPr>
        <w:t xml:space="preserve">Liofilizzato</w:t>
      </w:r>
      <w:r>
        <w:t xml:space="preserve">: Una polvere essiccata a freddo. Molti peptidi vengono conservati in questa forma e devono essere sciolti in un liquido prima dell’uso.</w:t>
      </w:r>
    </w:p>
    <w:p>
      <w:pPr>
        <w:pStyle w:val="BodyText"/>
      </w:pPr>
      <w:r>
        <w:rPr>
          <w:bCs/>
          <w:b/>
        </w:rPr>
        <w:t xml:space="preserve">Livello di evidenza</w:t>
      </w:r>
      <w:r>
        <w:t xml:space="preserve">: In questo libro una classificazione da A a D di quanto bene sia dimostrato l’effetto di un peptide sull’uomo. A indica più grandi studi randomizzati e un’autorizzazione, D esclusivamente studi sugli animali e di laboratorio.</w:t>
      </w:r>
    </w:p>
    <w:bookmarkEnd w:id="1089"/>
    <w:bookmarkStart w:id="1090" w:name="m"/>
    <w:p>
      <w:pPr>
        <w:pStyle w:val="Heading3"/>
      </w:pPr>
      <w:r>
        <w:t xml:space="preserve">M</w:t>
      </w:r>
    </w:p>
    <w:p>
      <w:pPr>
        <w:pStyle w:val="FirstParagraph"/>
      </w:pPr>
      <w:r>
        <w:rPr>
          <w:bCs/>
          <w:b/>
        </w:rPr>
        <w:t xml:space="preserve">Medicinale</w:t>
      </w:r>
      <w:r>
        <w:t xml:space="preserve">: Una sostanza o una preparazione destinata a curare, alleviare o prevenire malattie, o che influenza funzioni corporee per via farmacologica, immunologica o metabolica. Nell’UE un medicinale ha bisogno di un’autorizzazione prima della vendita.</w:t>
      </w:r>
    </w:p>
    <w:p>
      <w:pPr>
        <w:pStyle w:val="BodyText"/>
      </w:pPr>
      <w:r>
        <w:rPr>
          <w:bCs/>
          <w:b/>
        </w:rPr>
        <w:t xml:space="preserve">Medicinale per funzione</w:t>
      </w:r>
      <w:r>
        <w:t xml:space="preserve">: Termine giuridico per un prodotto che è considerato un medicinale per il suo effetto farmacologico, immunologico o metabolico – indipendentemente da come viene pubblicizzato.</w:t>
      </w:r>
    </w:p>
    <w:p>
      <w:pPr>
        <w:pStyle w:val="BodyText"/>
      </w:pPr>
      <w:r>
        <w:rPr>
          <w:bCs/>
          <w:b/>
        </w:rPr>
        <w:t xml:space="preserve">Medicinale per presentazione</w:t>
      </w:r>
      <w:r>
        <w:t xml:space="preserve">: Termine giuridico per un prodotto che è considerato un medicinale perché viene presentato o pubblicizzato come rimedio contro le malattie.</w:t>
      </w:r>
    </w:p>
    <w:p>
      <w:pPr>
        <w:pStyle w:val="BodyText"/>
      </w:pPr>
      <w:r>
        <w:rPr>
          <w:bCs/>
          <w:b/>
        </w:rPr>
        <w:t xml:space="preserve">Meta-analisi</w:t>
      </w:r>
      <w:r>
        <w:t xml:space="preserve">: Una sintesi statistica dei risultati di più studi sulla stessa domanda. È valida solo quanto gli studi che vi confluiscono.</w:t>
      </w:r>
    </w:p>
    <w:p>
      <w:pPr>
        <w:pStyle w:val="BodyText"/>
      </w:pPr>
      <w:r>
        <w:rPr>
          <w:bCs/>
          <w:b/>
        </w:rPr>
        <w:t xml:space="preserve">Mimetico</w:t>
      </w:r>
      <w:r>
        <w:t xml:space="preserve">: Una sostanza che imita l’effetto di un’altra senza averne la struttura – per esempio una piccola molecola che attiva un recettore come un ormone peptidico.</w:t>
      </w:r>
    </w:p>
    <w:bookmarkEnd w:id="1090"/>
    <w:bookmarkStart w:id="1091" w:name="n"/>
    <w:p>
      <w:pPr>
        <w:pStyle w:val="Heading3"/>
      </w:pPr>
      <w:r>
        <w:t xml:space="preserve">N</w:t>
      </w:r>
    </w:p>
    <w:p>
      <w:pPr>
        <w:pStyle w:val="FirstParagraph"/>
      </w:pPr>
      <w:r>
        <w:rPr>
          <w:bCs/>
          <w:b/>
        </w:rPr>
        <w:t xml:space="preserve">N-terminale</w:t>
      </w:r>
      <w:r>
        <w:t xml:space="preserve">: L’inizio di una catena peptidica con il gruppo amminico libero.</w:t>
      </w:r>
    </w:p>
    <w:p>
      <w:pPr>
        <w:pStyle w:val="BodyText"/>
      </w:pPr>
      <w:r>
        <w:rPr>
          <w:bCs/>
          <w:b/>
        </w:rPr>
        <w:t xml:space="preserve">Novel Food</w:t>
      </w:r>
      <w:r>
        <w:t xml:space="preserve">: Nell’UE un alimento o un ingrediente che non è stato consumato in misura significativa prima del 15 maggio 1997. Questi prodotti hanno bisogno di un’autorizzazione prima della vendita.</w:t>
      </w:r>
    </w:p>
    <w:p>
      <w:pPr>
        <w:pStyle w:val="BodyText"/>
      </w:pPr>
      <w:r>
        <w:rPr>
          <w:bCs/>
          <w:b/>
        </w:rPr>
        <w:t xml:space="preserve">Number Needed to Treat (NNT)</w:t>
      </w:r>
      <w:r>
        <w:t xml:space="preserve">: Il numero di persone che devono essere trattate per un certo periodo affinché una persona eviti un evento. Si calcola dalla riduzione del rischio assoluto.</w:t>
      </w:r>
    </w:p>
    <w:p>
      <w:pPr>
        <w:pStyle w:val="BodyText"/>
      </w:pPr>
      <w:r>
        <w:rPr>
          <w:bCs/>
          <w:b/>
        </w:rPr>
        <w:t xml:space="preserve">Numero NCT</w:t>
      </w:r>
      <w:r>
        <w:t xml:space="preserve">: Il numero identificativo di uno studio nel registro ClinicalTrials.gov, composto da «NCT» e otto cifre.</w:t>
      </w:r>
    </w:p>
    <w:bookmarkEnd w:id="1091"/>
    <w:bookmarkStart w:id="1092" w:name="o"/>
    <w:p>
      <w:pPr>
        <w:pStyle w:val="Heading3"/>
      </w:pPr>
      <w:r>
        <w:t xml:space="preserve">O</w:t>
      </w:r>
    </w:p>
    <w:p>
      <w:pPr>
        <w:pStyle w:val="FirstParagraph"/>
      </w:pPr>
      <w:r>
        <w:rPr>
          <w:bCs/>
          <w:b/>
        </w:rPr>
        <w:t xml:space="preserve">Obesità</w:t>
      </w:r>
      <w:r>
        <w:t xml:space="preserve">: Eccesso di peso patologico, per lo più definito come un indice di massa corporea pari o superiore a 30. È considerata una malattia cronica con un rischio aumentato di diabete, malattie cardiovascolari e articolari.</w:t>
      </w:r>
    </w:p>
    <w:p>
      <w:pPr>
        <w:pStyle w:val="BodyText"/>
      </w:pPr>
      <w:r>
        <w:rPr>
          <w:bCs/>
          <w:b/>
        </w:rPr>
        <w:t xml:space="preserve">Oligopeptide</w:t>
      </w:r>
      <w:r>
        <w:t xml:space="preserve">: Un peptide breve composto da circa due a dieci amminoacidi.</w:t>
      </w:r>
    </w:p>
    <w:p>
      <w:pPr>
        <w:pStyle w:val="BodyText"/>
      </w:pPr>
      <w:r>
        <w:rPr>
          <w:bCs/>
          <w:b/>
        </w:rPr>
        <w:t xml:space="preserve">Ormone della crescita (somatotropina)</w:t>
      </w:r>
      <w:r>
        <w:t xml:space="preserve">: Una proteina dell’ipofisi che influenza crescita, metabolismo e composizione corporea. Molti peptidi di questo libro dovrebbero aumentarne la secrezione.</w:t>
      </w:r>
    </w:p>
    <w:bookmarkEnd w:id="1092"/>
    <w:bookmarkStart w:id="1093" w:name="p"/>
    <w:p>
      <w:pPr>
        <w:pStyle w:val="Heading3"/>
      </w:pPr>
      <w:r>
        <w:t xml:space="preserve">P</w:t>
      </w:r>
    </w:p>
    <w:p>
      <w:pPr>
        <w:pStyle w:val="FirstParagraph"/>
      </w:pPr>
      <w:r>
        <w:rPr>
          <w:bCs/>
          <w:b/>
        </w:rPr>
        <w:t xml:space="preserve">Pancreatite</w:t>
      </w:r>
      <w:r>
        <w:t xml:space="preserve">: Infiammazione del pancreas. Viene discussa come possibile effetto collaterale raro dei farmaci GLP-1.</w:t>
      </w:r>
    </w:p>
    <w:p>
      <w:pPr>
        <w:pStyle w:val="BodyText"/>
      </w:pPr>
      <w:r>
        <w:rPr>
          <w:bCs/>
          <w:b/>
        </w:rPr>
        <w:t xml:space="preserve">Peptide</w:t>
      </w:r>
      <w:r>
        <w:t xml:space="preserve">: Una catena di amminoacidi uniti da legami peptidici. A partire da circa 50 amminoacidi si parla di solito di proteina.</w:t>
      </w:r>
    </w:p>
    <w:p>
      <w:pPr>
        <w:pStyle w:val="BodyText"/>
      </w:pPr>
      <w:r>
        <w:rPr>
          <w:bCs/>
          <w:b/>
        </w:rPr>
        <w:t xml:space="preserve">Peptide ciclico</w:t>
      </w:r>
      <w:r>
        <w:t xml:space="preserve">: Un peptide la cui catena è chiusa ad anello. Le strutture ad anello rendono spesso i peptidi più stabili nei confronti degli enzimi.</w:t>
      </w:r>
    </w:p>
    <w:p>
      <w:pPr>
        <w:pStyle w:val="BodyText"/>
      </w:pPr>
      <w:r>
        <w:rPr>
          <w:bCs/>
          <w:b/>
        </w:rPr>
        <w:t xml:space="preserve">Peptidi antimicrobici</w:t>
      </w:r>
      <w:r>
        <w:t xml:space="preserve">: Peptidi endogeni che fanno parte delle difese immunitarie innate e possono danneggiare batteri, funghi o virus. Un esempio è LL-37.</w:t>
      </w:r>
    </w:p>
    <w:p>
      <w:pPr>
        <w:pStyle w:val="BodyText"/>
      </w:pPr>
      <w:r>
        <w:rPr>
          <w:bCs/>
          <w:b/>
        </w:rPr>
        <w:t xml:space="preserve">Piramide delle evidenze</w:t>
      </w:r>
      <w:r>
        <w:t xml:space="preserve">: Una gerarchia dei tipi di studio in base al loro valore probatorio, dagli studi di laboratorio e sugli animali in basso fino alle meta-analisi di studi randomizzati in alto.</w:t>
      </w:r>
    </w:p>
    <w:p>
      <w:pPr>
        <w:pStyle w:val="BodyText"/>
      </w:pPr>
      <w:r>
        <w:rPr>
          <w:bCs/>
          <w:b/>
        </w:rPr>
        <w:t xml:space="preserve">Placebo</w:t>
      </w:r>
      <w:r>
        <w:t xml:space="preserve">: Un preparato fittizio senza principio attivo, usato negli studi come confronto.</w:t>
      </w:r>
    </w:p>
    <w:p>
      <w:pPr>
        <w:pStyle w:val="BodyText"/>
      </w:pPr>
      <w:r>
        <w:rPr>
          <w:bCs/>
          <w:b/>
        </w:rPr>
        <w:t xml:space="preserve">PMID</w:t>
      </w:r>
      <w:r>
        <w:t xml:space="preserve">: Il numero identificativo PubMed, un numero univoco per ogni voce nella banca dati bibliografica PubMed.</w:t>
      </w:r>
    </w:p>
    <w:p>
      <w:pPr>
        <w:pStyle w:val="BodyText"/>
      </w:pPr>
      <w:r>
        <w:rPr>
          <w:bCs/>
          <w:b/>
        </w:rPr>
        <w:t xml:space="preserve">Polipeptide</w:t>
      </w:r>
      <w:r>
        <w:t xml:space="preserve">: Una catena peptidica più lunga, per lo più con più di dieci amminoacidi.</w:t>
      </w:r>
    </w:p>
    <w:p>
      <w:pPr>
        <w:pStyle w:val="BodyText"/>
      </w:pPr>
      <w:r>
        <w:rPr>
          <w:bCs/>
          <w:b/>
        </w:rPr>
        <w:t xml:space="preserve">Preprint</w:t>
      </w:r>
      <w:r>
        <w:t xml:space="preserve">: Un lavoro scientifico reso pubblico prima della revisione da parte di esperti.</w:t>
      </w:r>
    </w:p>
    <w:p>
      <w:pPr>
        <w:pStyle w:val="BodyText"/>
      </w:pPr>
      <w:r>
        <w:rPr>
          <w:bCs/>
          <w:b/>
        </w:rPr>
        <w:t xml:space="preserve">Prodotto cosmetico</w:t>
      </w:r>
      <w:r>
        <w:t xml:space="preserve">: Un prodotto per uso esterno che pulisce, cura, protegge o modifica l’aspetto. Non può rivendicare un effetto medicinale e nell’UE non ha bisogno di autorizzazione.</w:t>
      </w:r>
    </w:p>
    <w:p>
      <w:pPr>
        <w:pStyle w:val="BodyText"/>
      </w:pPr>
      <w:r>
        <w:rPr>
          <w:bCs/>
          <w:b/>
        </w:rPr>
        <w:t xml:space="preserve">Proteasi</w:t>
      </w:r>
      <w:r>
        <w:t xml:space="preserve">: Un enzima che scinde i legami peptidici e degrada così proteine e peptidi. Chiamato anche peptidasi.</w:t>
      </w:r>
    </w:p>
    <w:p>
      <w:pPr>
        <w:pStyle w:val="BodyText"/>
      </w:pPr>
      <w:r>
        <w:rPr>
          <w:bCs/>
          <w:b/>
        </w:rPr>
        <w:t xml:space="preserve">Proteina</w:t>
      </w:r>
      <w:r>
        <w:t xml:space="preserve">: Una grande molecola proteica composta per lo più da più di 50 amminoacidi, con un determinato ripiegamento spaziale.</w:t>
      </w:r>
    </w:p>
    <w:p>
      <w:pPr>
        <w:pStyle w:val="BodyText"/>
      </w:pPr>
      <w:r>
        <w:rPr>
          <w:bCs/>
          <w:b/>
        </w:rPr>
        <w:t xml:space="preserve">PubMed</w:t>
      </w:r>
      <w:r>
        <w:t xml:space="preserve">: Una banca dati bibliografica liberamente accessibile della National Library of Medicine statunitense, con milioni di voci della ricerca biomedica.</w:t>
      </w:r>
    </w:p>
    <w:bookmarkEnd w:id="1093"/>
    <w:bookmarkStart w:id="1094" w:name="r"/>
    <w:p>
      <w:pPr>
        <w:pStyle w:val="Heading3"/>
      </w:pPr>
      <w:r>
        <w:t xml:space="preserve">R</w:t>
      </w:r>
    </w:p>
    <w:p>
      <w:pPr>
        <w:pStyle w:val="FirstParagraph"/>
      </w:pPr>
      <w:r>
        <w:rPr>
          <w:bCs/>
          <w:b/>
        </w:rPr>
        <w:t xml:space="preserve">Rabdomiolisi</w:t>
      </w:r>
      <w:r>
        <w:t xml:space="preserve">: Una disgregazione del tessuto muscolare in cui componenti muscolari passano nel sangue e possono danneggiare i reni.</w:t>
      </w:r>
    </w:p>
    <w:p>
      <w:pPr>
        <w:pStyle w:val="BodyText"/>
      </w:pPr>
      <w:r>
        <w:rPr>
          <w:bCs/>
          <w:b/>
        </w:rPr>
        <w:t xml:space="preserve">Randomizzazione</w:t>
      </w:r>
      <w:r>
        <w:t xml:space="preserve">: L’assegnazione casuale dei partecipanti ai gruppi di uno studio. Fa sì che i gruppi differiscano sistematicamente solo per il trattamento.</w:t>
      </w:r>
    </w:p>
    <w:p>
      <w:pPr>
        <w:pStyle w:val="BodyText"/>
      </w:pPr>
      <w:r>
        <w:rPr>
          <w:bCs/>
          <w:b/>
        </w:rPr>
        <w:t xml:space="preserve">RCT (studio randomizzato controllato)</w:t>
      </w:r>
      <w:r>
        <w:t xml:space="preserve">: Uno studio con assegnazione casuale a un gruppo di trattamento e a un gruppo di controllo. È considerato il modo più affidabile per dimostrare l’effetto di un trattamento.</w:t>
      </w:r>
    </w:p>
    <w:p>
      <w:pPr>
        <w:pStyle w:val="BodyText"/>
      </w:pPr>
      <w:r>
        <w:rPr>
          <w:bCs/>
          <w:b/>
        </w:rPr>
        <w:t xml:space="preserve">Recettore</w:t>
      </w:r>
      <w:r>
        <w:t xml:space="preserve">: Una molecola proteica, per lo più sulla superficie cellulare, a cui si lega un messaggero, scatenando così un segnale nella cellula.</w:t>
      </w:r>
    </w:p>
    <w:p>
      <w:pPr>
        <w:pStyle w:val="BodyText"/>
      </w:pPr>
      <w:r>
        <w:rPr>
          <w:bCs/>
          <w:b/>
        </w:rPr>
        <w:t xml:space="preserve">Recettori della melanocortina</w:t>
      </w:r>
      <w:r>
        <w:t xml:space="preserve">: Una famiglia di recettori che influenzano tra l’altro la pigmentazione della pelle, l’appetito e la funzione sessuale. Afamelanotide, bremelanotide, Melanotan II e setmelanotide agiscono su questi recettori.</w:t>
      </w:r>
    </w:p>
    <w:p>
      <w:pPr>
        <w:pStyle w:val="BodyText"/>
      </w:pPr>
      <w:r>
        <w:rPr>
          <w:bCs/>
          <w:b/>
        </w:rPr>
        <w:t xml:space="preserve">Registro degli studi</w:t>
      </w:r>
      <w:r>
        <w:t xml:space="preserve">: Banche dati pubbliche in cui gli studi clinici vengono iscritti prima dell’inizio, per esempio ClinicalTrials.gov o il registro UE.</w:t>
      </w:r>
    </w:p>
    <w:p>
      <w:pPr>
        <w:pStyle w:val="BodyText"/>
      </w:pPr>
      <w:r>
        <w:rPr>
          <w:bCs/>
          <w:b/>
        </w:rPr>
        <w:t xml:space="preserve">Research Peptides</w:t>
      </w:r>
      <w:r>
        <w:t xml:space="preserve">: Peptidi venduti con la dicitura «solo per scopi di ricerca» o «non per uso umano», ma spesso a privati. Non sono farmaci controllati.</w:t>
      </w:r>
    </w:p>
    <w:p>
      <w:pPr>
        <w:pStyle w:val="BodyText"/>
      </w:pPr>
      <w:r>
        <w:rPr>
          <w:bCs/>
          <w:b/>
        </w:rPr>
        <w:t xml:space="preserve">Revisione sistematica</w:t>
      </w:r>
      <w:r>
        <w:t xml:space="preserve">: Un lavoro che, secondo regole stabilite, cerca, valuta e riassume tutti gli studi disponibili su una domanda.</w:t>
      </w:r>
    </w:p>
    <w:p>
      <w:pPr>
        <w:pStyle w:val="BodyText"/>
      </w:pPr>
      <w:r>
        <w:rPr>
          <w:bCs/>
          <w:b/>
        </w:rPr>
        <w:t xml:space="preserve">Riassunto delle caratteristiche del prodotto</w:t>
      </w:r>
      <w:r>
        <w:t xml:space="preserve">: L’informazione approvata dalle autorità su un farmaco autorizzato, destinata a medici e farmacie, con indicazioni, posologia, controindicazioni ed effetti collaterali.</w:t>
      </w:r>
    </w:p>
    <w:p>
      <w:pPr>
        <w:pStyle w:val="BodyText"/>
      </w:pPr>
      <w:r>
        <w:rPr>
          <w:bCs/>
          <w:b/>
        </w:rPr>
        <w:t xml:space="preserve">Ricombinante</w:t>
      </w:r>
      <w:r>
        <w:t xml:space="preserve">: Prodotto con tecniche di ingegneria genetica, inserendo le istruzioni di costruzione di un peptide o di una proteina in batteri, lieviti o altre cellule.</w:t>
      </w:r>
    </w:p>
    <w:p>
      <w:pPr>
        <w:pStyle w:val="BodyText"/>
      </w:pPr>
      <w:r>
        <w:rPr>
          <w:bCs/>
          <w:b/>
        </w:rPr>
        <w:t xml:space="preserve">Riduzione del rischio assoluto</w:t>
      </w:r>
      <w:r>
        <w:t xml:space="preserve">: La differenza nella frequenza di un evento tra due gruppi, espressa in punti percentuali. Se un rischio scende dall’8% al 6,5%, la riduzione del rischio assoluto è di 1,5 punti percentuali.</w:t>
      </w:r>
    </w:p>
    <w:p>
      <w:pPr>
        <w:pStyle w:val="BodyText"/>
      </w:pPr>
      <w:r>
        <w:rPr>
          <w:bCs/>
          <w:b/>
        </w:rPr>
        <w:t xml:space="preserve">Rischio relativo</w:t>
      </w:r>
      <w:r>
        <w:t xml:space="preserve">: Il rapporto tra le frequenze di un evento in due gruppi. Un rischio relativo di 0,5 indica un dimezzamento – indipendentemente da quanto sia frequente l’evento nel complesso.</w:t>
      </w:r>
    </w:p>
    <w:bookmarkEnd w:id="1094"/>
    <w:bookmarkStart w:id="1095" w:name="s"/>
    <w:p>
      <w:pPr>
        <w:pStyle w:val="Heading3"/>
      </w:pPr>
      <w:r>
        <w:t xml:space="preserve">S</w:t>
      </w:r>
    </w:p>
    <w:p>
      <w:pPr>
        <w:pStyle w:val="FirstParagraph"/>
      </w:pPr>
      <w:r>
        <w:rPr>
          <w:bCs/>
          <w:b/>
        </w:rPr>
        <w:t xml:space="preserve">Secretagogo</w:t>
      </w:r>
      <w:r>
        <w:t xml:space="preserve">: Una sostanza che stimola la secrezione di un’altra sostanza. I secretagoghi dell’ormone della crescita aumentano il rilascio di ormone della crescita.</w:t>
      </w:r>
    </w:p>
    <w:p>
      <w:pPr>
        <w:pStyle w:val="BodyText"/>
      </w:pPr>
      <w:r>
        <w:rPr>
          <w:bCs/>
          <w:b/>
        </w:rPr>
        <w:t xml:space="preserve">Sequenza</w:t>
      </w:r>
      <w:r>
        <w:t xml:space="preserve">: L’ordine degli amminoacidi in una catena peptidica. Determina le proprietà del peptide.</w:t>
      </w:r>
    </w:p>
    <w:p>
      <w:pPr>
        <w:pStyle w:val="BodyText"/>
      </w:pPr>
      <w:r>
        <w:rPr>
          <w:bCs/>
          <w:b/>
        </w:rPr>
        <w:t xml:space="preserve">Significatività (statistica)</w:t>
      </w:r>
      <w:r>
        <w:t xml:space="preserve">: L’affermazione che una differenza osservata probabilmente non è dovuta solo al caso. Non dice nulla sul fatto che la differenza sia grande o rilevante.</w:t>
      </w:r>
    </w:p>
    <w:p>
      <w:pPr>
        <w:pStyle w:val="BodyText"/>
      </w:pPr>
      <w:r>
        <w:rPr>
          <w:bCs/>
          <w:b/>
        </w:rPr>
        <w:t xml:space="preserve">Sintesi peptidica in fase solida</w:t>
      </w:r>
      <w:r>
        <w:t xml:space="preserve">: Procedimento chimico in cui una catena peptidica viene costruita su un materiale di supporto solido, un elemento alla volta. È alla base della produzione della maggior parte dei peptidi brevi.</w:t>
      </w:r>
    </w:p>
    <w:p>
      <w:pPr>
        <w:pStyle w:val="BodyText"/>
      </w:pPr>
      <w:r>
        <w:rPr>
          <w:bCs/>
          <w:b/>
        </w:rPr>
        <w:t xml:space="preserve">SNAC</w:t>
      </w:r>
      <w:r>
        <w:t xml:space="preserve">: Un eccipiente (N-[8-(2-idrossibenzoil)ammino]caprilato di sodio) che nella compressa di semaglutide rende possibile l’assorbimento del peptide nello stomaco.</w:t>
      </w:r>
    </w:p>
    <w:p>
      <w:pPr>
        <w:pStyle w:val="BodyText"/>
      </w:pPr>
      <w:r>
        <w:rPr>
          <w:bCs/>
          <w:b/>
        </w:rPr>
        <w:t xml:space="preserve">Sottocutaneo</w:t>
      </w:r>
      <w:r>
        <w:t xml:space="preserve">: Iniettato sotto la pelle, nel tessuto adiposo sottocutaneo. È la via di somministrazione più frequente per i farmaci peptidici.</w:t>
      </w:r>
    </w:p>
    <w:p>
      <w:pPr>
        <w:pStyle w:val="BodyText"/>
      </w:pPr>
      <w:r>
        <w:rPr>
          <w:bCs/>
          <w:b/>
        </w:rPr>
        <w:t xml:space="preserve">Spettrometria di massa</w:t>
      </w:r>
      <w:r>
        <w:t xml:space="preserve">: Un metodo di misura che determina le molecole in base alla loro massa. Permette di identificare in modo univoco i peptidi in prodotti e liquidi corporei, per esempio nei controlli antidoping.</w:t>
      </w:r>
    </w:p>
    <w:p>
      <w:pPr>
        <w:pStyle w:val="BodyText"/>
      </w:pPr>
      <w:r>
        <w:rPr>
          <w:bCs/>
          <w:b/>
        </w:rPr>
        <w:t xml:space="preserve">Sterilità</w:t>
      </w:r>
      <w:r>
        <w:t xml:space="preserve">: Assenza di microrganismi vivi. Un prodotto sterile può comunque contenere endotossine.</w:t>
      </w:r>
    </w:p>
    <w:p>
      <w:pPr>
        <w:pStyle w:val="BodyText"/>
      </w:pPr>
      <w:r>
        <w:rPr>
          <w:bCs/>
          <w:b/>
        </w:rPr>
        <w:t xml:space="preserve">Studi preclinici</w:t>
      </w:r>
      <w:r>
        <w:t xml:space="preserve">: Indagini in laboratorio e sugli animali condotte prima dei primi studi sull’uomo.</w:t>
      </w:r>
    </w:p>
    <w:p>
      <w:pPr>
        <w:pStyle w:val="BodyText"/>
      </w:pPr>
      <w:r>
        <w:rPr>
          <w:bCs/>
          <w:b/>
        </w:rPr>
        <w:t xml:space="preserve">Studio di coorte</w:t>
      </w:r>
      <w:r>
        <w:t xml:space="preserve">: Uno studio osservazionale che segue un gruppo di persone per un lungo periodo e confronta con quale frequenza si verificano determinati eventi in presenza di caratteristiche o trattamenti diversi.</w:t>
      </w:r>
    </w:p>
    <w:p>
      <w:pPr>
        <w:pStyle w:val="BodyText"/>
      </w:pPr>
      <w:r>
        <w:rPr>
          <w:bCs/>
          <w:b/>
        </w:rPr>
        <w:t xml:space="preserve">Studio in aperto</w:t>
      </w:r>
      <w:r>
        <w:t xml:space="preserve">: Uno studio senza cecità, in cui partecipanti e personale dello studio sanno quale trattamento viene somministrato.</w:t>
      </w:r>
    </w:p>
    <w:bookmarkEnd w:id="1095"/>
    <w:bookmarkStart w:id="1096" w:name="u"/>
    <w:p>
      <w:pPr>
        <w:pStyle w:val="Heading3"/>
      </w:pPr>
      <w:r>
        <w:t xml:space="preserve">U</w:t>
      </w:r>
    </w:p>
    <w:p>
      <w:pPr>
        <w:pStyle w:val="FirstParagraph"/>
      </w:pPr>
      <w:r>
        <w:rPr>
          <w:bCs/>
          <w:b/>
        </w:rPr>
        <w:t xml:space="preserve">Uso off-label</w:t>
      </w:r>
      <w:r>
        <w:t xml:space="preserve">: L’uso di un farmaco autorizzato al di fuori delle indicazioni, dei dosaggi o dei gruppi di persone autorizzati.</w:t>
      </w:r>
    </w:p>
    <w:bookmarkEnd w:id="1096"/>
    <w:bookmarkStart w:id="1097" w:name="v"/>
    <w:p>
      <w:pPr>
        <w:pStyle w:val="Heading3"/>
      </w:pPr>
      <w:r>
        <w:t xml:space="preserve">V</w:t>
      </w:r>
    </w:p>
    <w:p>
      <w:pPr>
        <w:pStyle w:val="FirstParagraph"/>
      </w:pPr>
      <w:r>
        <w:rPr>
          <w:bCs/>
          <w:b/>
        </w:rPr>
        <w:t xml:space="preserve">Valore p</w:t>
      </w:r>
      <w:r>
        <w:t xml:space="preserve">: Una misura statistica di quanto sarebbe probabile una differenza almeno così grande se in realtà non ci fosse alcun effetto. Valori inferiori a 0,05 sono considerati di solito statisticamente significativi.</w:t>
      </w:r>
    </w:p>
    <w:bookmarkEnd w:id="1097"/>
    <w:bookmarkStart w:id="1098" w:name="w"/>
    <w:p>
      <w:pPr>
        <w:pStyle w:val="Heading3"/>
      </w:pPr>
      <w:r>
        <w:t xml:space="preserve">W</w:t>
      </w:r>
    </w:p>
    <w:p>
      <w:pPr>
        <w:pStyle w:val="FirstParagraph"/>
      </w:pPr>
      <w:r>
        <w:rPr>
          <w:bCs/>
          <w:b/>
        </w:rPr>
        <w:t xml:space="preserve">WADA (Agenzia mondiale antidoping)</w:t>
      </w:r>
      <w:r>
        <w:t xml:space="preserve">: L’organizzazione internazionale che pubblica ogni anno l’elenco delle sostanze e dei metodi proibiti nello sport.</w:t>
      </w:r>
    </w:p>
    <w:bookmarkEnd w:id="1098"/>
    <w:bookmarkEnd w:id="1099"/>
    <w:bookmarkStart w:id="1115" w:name="metodologia"/>
    <w:p>
      <w:pPr>
        <w:pStyle w:val="Heading1"/>
      </w:pPr>
      <w:r>
        <w:t xml:space="preserve">Metodologia</w:t>
      </w:r>
    </w:p>
    <w:p>
      <w:pPr>
        <w:pStyle w:val="FirstParagraph"/>
      </w:pPr>
      <w:r>
        <w:t xml:space="preserve">Questa appendice descrive come sono stati cercati, selezionati e verificati gli studi per questo libro. Dovrebbe permetterLe di ricostruire la ricerca e, se necessario, di ripeterla o aggiornarla in prima persona.</w:t>
      </w:r>
    </w:p>
    <w:bookmarkStart w:id="1100" w:name="banche-dati"/>
    <w:p>
      <w:pPr>
        <w:pStyle w:val="Heading3"/>
      </w:pPr>
      <w:r>
        <w:t xml:space="preserve">Banche dati</w:t>
      </w:r>
    </w:p>
    <w:p>
      <w:pPr>
        <w:pStyle w:val="FirstParagraph"/>
      </w:pPr>
      <w:r>
        <w:t xml:space="preserve">La ricerca si basa su due banche dati liberamente accessibili:</w:t>
      </w:r>
    </w:p>
    <w:p>
      <w:pPr>
        <w:numPr>
          <w:ilvl w:val="0"/>
          <w:numId w:val="1373"/>
        </w:numPr>
        <w:pStyle w:val="Compact"/>
      </w:pPr>
      <w:r>
        <w:rPr>
          <w:bCs/>
          <w:b/>
        </w:rPr>
        <w:t xml:space="preserve">PubMed</w:t>
      </w:r>
      <w:r>
        <w:t xml:space="preserve"> </w:t>
      </w:r>
      <w:r>
        <w:t xml:space="preserve">(pubmed.ncbi.nlm.nih.gov), la banca dati bibliografica della National Library of Medicine statunitense. Registra pubblicazioni di riviste biomediche con titolo, autori, riassunto (abstract) e parole chiave. Ogni voce ha un numero univoco, il PMID.</w:t>
      </w:r>
    </w:p>
    <w:p>
      <w:pPr>
        <w:numPr>
          <w:ilvl w:val="0"/>
          <w:numId w:val="1373"/>
        </w:numPr>
        <w:pStyle w:val="Compact"/>
      </w:pPr>
      <w:r>
        <w:rPr>
          <w:bCs/>
          <w:b/>
        </w:rPr>
        <w:t xml:space="preserve">ClinicalTrials.gov</w:t>
      </w:r>
      <w:r>
        <w:t xml:space="preserve"> </w:t>
      </w:r>
      <w:r>
        <w:t xml:space="preserve">(clinicaltrials.gov), il registro degli studi dei National Institutes of Health statunitensi. Qui vengono registrati prima del loro inizio studi clinici da tutto il mondo, con disegno, numero previsto di partecipanti, endpoint e stato. Ogni studio ha un numero NCT.</w:t>
      </w:r>
    </w:p>
    <w:p>
      <w:pPr>
        <w:pStyle w:val="FirstParagraph"/>
      </w:pPr>
      <w:r>
        <w:t xml:space="preserve">Entrambe le banche dati sono state interrogate tramite le loro interfacce di programmazione ufficiali e pubblicamente accessibili: PubMed tramite le E-Utilities del National Center for Biotechnology Information, ClinicalTrials.gov tramite l’interfaccia di programmazione nella versione 2. Altre banche dati come Embase, Cochrane Library, Web of Science, il registro UE degli studi o registri nazionali non sono state consultate in modo sistematico.</w:t>
      </w:r>
    </w:p>
    <w:bookmarkEnd w:id="1100"/>
    <w:bookmarkStart w:id="1101" w:name="periodo-delle-interrogazioni"/>
    <w:p>
      <w:pPr>
        <w:pStyle w:val="Heading3"/>
      </w:pPr>
      <w:r>
        <w:t xml:space="preserve">Periodo delle interrogazioni</w:t>
      </w:r>
    </w:p>
    <w:p>
      <w:pPr>
        <w:pStyle w:val="FirstParagraph"/>
      </w:pPr>
      <w:r>
        <w:t xml:space="preserve">Le interrogazioni sistematiche sono state effettuate nell’</w:t>
      </w:r>
      <w:r>
        <w:rPr>
          <w:bCs/>
          <w:b/>
        </w:rPr>
        <w:t xml:space="preserve">ottobre 2026</w:t>
      </w:r>
      <w:r>
        <w:t xml:space="preserve">; il conteggio dei risultati per tutti i peptidi risale al 28 ottobre 2026. Ricerche mirate integrative su singoli studi, casi clinici e revisioni sono state svolte nello stesso periodo. Gli studi pubblicati successivamente non sono considerati. Il libro è aggiornato a novembre 2026.</w:t>
      </w:r>
    </w:p>
    <w:bookmarkEnd w:id="1101"/>
    <w:bookmarkStart w:id="1102" w:name="strategia-di-ricerca"/>
    <w:p>
      <w:pPr>
        <w:pStyle w:val="Heading3"/>
      </w:pPr>
      <w:r>
        <w:t xml:space="preserve">Strategia di ricerca</w:t>
      </w:r>
    </w:p>
    <w:p>
      <w:pPr>
        <w:pStyle w:val="FirstParagraph"/>
      </w:pPr>
      <w:r>
        <w:t xml:space="preserve">Per ciascuno dei 58 peptidi e sostanze di confronto è stato definito un proprio termine di ricerca PubMed. Comprende il nome internazionale del principio attivo e le abbreviazioni, i nomi in codice e i nomi commerciali di uso comune, e cerca nel titolo e nel riassunto (contrassegno</w:t>
      </w:r>
      <w:r>
        <w:t xml:space="preserve"> </w:t>
      </w:r>
      <w:r>
        <w:rPr>
          <w:rStyle w:val="VerbatimChar"/>
        </w:rPr>
        <w:t xml:space="preserve">[tiab]</w:t>
      </w:r>
      <w:r>
        <w:t xml:space="preserve">) o solo nel titolo (</w:t>
      </w:r>
      <w:r>
        <w:rPr>
          <w:rStyle w:val="VerbatimChar"/>
        </w:rPr>
        <w:t xml:space="preserve">[ti]</w:t>
      </w:r>
      <w:r>
        <w:t xml:space="preserve">). Per termini ambigui il termine di ricerca è stato ristretto, per esempio per i peptidi di collagene ai lavori sull’assunzione o per la kisspeptina ai lavori sulla somministrazione del peptide.</w:t>
      </w:r>
    </w:p>
    <w:p>
      <w:pPr>
        <w:pStyle w:val="BodyText"/>
      </w:pPr>
      <w:r>
        <w:t xml:space="preserve">A questo termine di ricerca sono stati applicati tre filtri:</w:t>
      </w:r>
    </w:p>
    <w:p>
      <w:pPr>
        <w:pStyle w:val="BodyText"/>
      </w:pPr>
      <w:r>
        <w:rPr>
          <w:bCs/>
          <w:b/>
        </w:rPr>
        <w:t xml:space="preserve">Studi sull’uomo.</w:t>
      </w:r>
      <w:r>
        <w:t xml:space="preserve"> </w:t>
      </w:r>
      <w:r>
        <w:t xml:space="preserve">Per trovare studi clinici sull’uomo, il termine di ricerca è stato combinato con il seguente filtro:</w:t>
      </w:r>
    </w:p>
    <w:p>
      <w:pPr>
        <w:pStyle w:val="BodyText"/>
      </w:pPr>
      <w:r>
        <w:rPr>
          <w:rStyle w:val="VerbatimChar"/>
        </w:rPr>
        <w:t xml:space="preserve">(clinical trial[pt] OR randomized controlled trial[pt]) AND humans[mh]</w:t>
      </w:r>
    </w:p>
    <w:p>
      <w:pPr>
        <w:pStyle w:val="BodyText"/>
      </w:pPr>
      <w:r>
        <w:t xml:space="preserve">La parte</w:t>
      </w:r>
      <w:r>
        <w:t xml:space="preserve"> </w:t>
      </w:r>
      <w:r>
        <w:rPr>
          <w:rStyle w:val="VerbatimChar"/>
        </w:rPr>
        <w:t xml:space="preserve">[pt]</w:t>
      </w:r>
      <w:r>
        <w:t xml:space="preserve"> </w:t>
      </w:r>
      <w:r>
        <w:t xml:space="preserve">cerca il tipo di pubblicazione che PubMed assegna a ogni articolo;</w:t>
      </w:r>
      <w:r>
        <w:t xml:space="preserve"> </w:t>
      </w:r>
      <w:r>
        <w:rPr>
          <w:rStyle w:val="VerbatimChar"/>
        </w:rPr>
        <w:t xml:space="preserve">humans[mh]</w:t>
      </w:r>
      <w:r>
        <w:t xml:space="preserve"> </w:t>
      </w:r>
      <w:r>
        <w:t xml:space="preserve">sta per la parola chiave «esseri umani» nel sistema di parole chiave MeSH. Si trovano così articoli contrassegnati come studio clinico o come studio randomizzato controllato e che riguardano esseri umani.</w:t>
      </w:r>
    </w:p>
    <w:p>
      <w:pPr>
        <w:pStyle w:val="BodyText"/>
      </w:pPr>
      <w:r>
        <w:rPr>
          <w:bCs/>
          <w:b/>
        </w:rPr>
        <w:t xml:space="preserve">Meta-analisi e revisioni.</w:t>
      </w:r>
      <w:r>
        <w:t xml:space="preserve"> </w:t>
      </w:r>
      <w:r>
        <w:t xml:space="preserve">Per i lavori di sintesi il termine di ricerca è stato combinato con questo filtro:</w:t>
      </w:r>
    </w:p>
    <w:p>
      <w:pPr>
        <w:pStyle w:val="BodyText"/>
      </w:pPr>
      <w:r>
        <w:rPr>
          <w:rStyle w:val="VerbatimChar"/>
        </w:rPr>
        <w:t xml:space="preserve">(meta-analysis[pt] OR systematic review[pt])</w:t>
      </w:r>
    </w:p>
    <w:p>
      <w:pPr>
        <w:pStyle w:val="BodyText"/>
      </w:pPr>
      <w:r>
        <w:rPr>
          <w:bCs/>
          <w:b/>
        </w:rPr>
        <w:t xml:space="preserve">Ricerca preclinica.</w:t>
      </w:r>
      <w:r>
        <w:t xml:space="preserve"> </w:t>
      </w:r>
      <w:r>
        <w:t xml:space="preserve">Per i peptidi con meno di 25 studi sull’uomo trovati sono stati inoltre analizzati i lavori restanti più rilevanti senza il filtro per gli studi sull’uomo, per includere studi sugli animali e di laboratorio, casi clinici e analisi di prodotti del mercato grigio.</w:t>
      </w:r>
    </w:p>
    <w:p>
      <w:pPr>
        <w:pStyle w:val="BodyText"/>
      </w:pPr>
      <w:r>
        <w:rPr>
          <w:bCs/>
          <w:b/>
        </w:rPr>
        <w:t xml:space="preserve">Studi di registro.</w:t>
      </w:r>
      <w:r>
        <w:t xml:space="preserve"> </w:t>
      </w:r>
      <w:r>
        <w:t xml:space="preserve">Su ClinicalTrials.gov per ogni peptide è stato usato un proprio termine di ricerca, per lo più semplice, con il nome del principio attivo. Sono state registrate tutte le voci, indipendentemente da stato e fase dello studio.</w:t>
      </w:r>
    </w:p>
    <w:p>
      <w:pPr>
        <w:pStyle w:val="BodyText"/>
      </w:pPr>
      <w:r>
        <w:t xml:space="preserve">Oltre a queste ricerche automatizzate, per ogni capitolo sono stati cercati in modo mirato i principali studi registrativi e di esito, grandi meta-analisi, programmi di studio (per esempio STEP, SURMOUNT o SELECT), dati di sicurezza, casi clinici e analisi di laboratorio di prodotti del mercato grigio. Per la Parte I sono stati inoltre ricercati lavori sulla storia della medicina dei peptidi, sulle forme farmaceutiche, sulla metodologia degli studi e sul mercato grigio.</w:t>
      </w:r>
    </w:p>
    <w:bookmarkEnd w:id="1102"/>
    <w:bookmarkStart w:id="1109" w:name="termini-di-ricerca-per-peptide"/>
    <w:p>
      <w:pPr>
        <w:pStyle w:val="Heading3"/>
      </w:pPr>
      <w:r>
        <w:t xml:space="preserve">Termini di ricerca per peptide</w:t>
      </w:r>
    </w:p>
    <w:p>
      <w:pPr>
        <w:pStyle w:val="FirstParagraph"/>
      </w:pPr>
      <w:r>
        <w:t xml:space="preserve">Le tabelle seguenti riportano i termini di ricerca PubMed usati per l’interrogazione sistematica. A ogni termine sono stati aggiunti i filtri descritti sopra. Un asterisco alla fine di una parola sta per qualsiasi desinenza,</w:t>
      </w:r>
      <w:r>
        <w:t xml:space="preserve"> </w:t>
      </w:r>
      <w:r>
        <w:rPr>
          <w:rStyle w:val="VerbatimChar"/>
        </w:rPr>
        <w:t xml:space="preserve">OR</w:t>
      </w:r>
      <w:r>
        <w:t xml:space="preserve"> </w:t>
      </w:r>
      <w:r>
        <w:t xml:space="preserve">collega denominazioni alternative,</w:t>
      </w:r>
      <w:r>
        <w:t xml:space="preserve"> </w:t>
      </w:r>
      <w:r>
        <w:rPr>
          <w:rStyle w:val="VerbatimChar"/>
        </w:rPr>
        <w:t xml:space="preserve">AND</w:t>
      </w:r>
      <w:r>
        <w:t xml:space="preserve"> </w:t>
      </w:r>
      <w:r>
        <w:t xml:space="preserve">restringe la ricerca.</w:t>
      </w:r>
    </w:p>
    <w:bookmarkStart w:id="1103" w:name="a.-metabolismo-e-peso-1"/>
    <w:p>
      <w:pPr>
        <w:pStyle w:val="Heading4"/>
      </w:pPr>
      <w:r>
        <w:t xml:space="preserve">A. Metabolismo e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(confronto)</w:t>
            </w:r>
          </w:p>
        </w:tc>
        <w:tc>
          <w:tcPr/>
          <w:p>
            <w:pPr>
              <w:pStyle w:val="Compact"/>
              <w:jc w:val="left"/>
            </w:pPr>
            <w:r>
              <w:rPr>
                <w:rStyle w:val="VerbatimChar"/>
              </w:rPr>
              <w:t xml:space="preserve">orforglipron[tiab]</w:t>
            </w:r>
          </w:p>
        </w:tc>
      </w:tr>
    </w:tbl>
    <w:bookmarkEnd w:id="1103"/>
    <w:bookmarkStart w:id="1104" w:name="X1815c9af507f818e39bf73d6d71cde01f418154"/>
    <w:p>
      <w:pPr>
        <w:pStyle w:val="Heading4"/>
      </w:pPr>
      <w:r>
        <w:t xml:space="preserve">B. Guarigione, rigenerazione e sistema immunitario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 timosina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 o Thymogen</w:t>
            </w:r>
          </w:p>
        </w:tc>
        <w:tc>
          <w:tcPr/>
          <w:p>
            <w:pPr>
              <w:pStyle w:val="Compact"/>
              <w:jc w:val="left"/>
            </w:pPr>
            <w:r>
              <w:rPr>
                <w:rStyle w:val="VerbatimChar"/>
              </w:rPr>
              <w:t xml:space="preserve">thymalin[tiab] OR thymogen[tiab]</w:t>
            </w:r>
          </w:p>
        </w:tc>
      </w:tr>
    </w:tbl>
    <w:bookmarkEnd w:id="1104"/>
    <w:bookmarkStart w:id="1105" w:name="c.-asse-dellormone-della-crescita-1"/>
    <w:p>
      <w:pPr>
        <w:pStyle w:val="Heading4"/>
      </w:pPr>
      <w:r>
        <w:t xml:space="preserve">C. Asse dell’ormone della crescita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(confronto)</w:t>
            </w:r>
          </w:p>
        </w:tc>
        <w:tc>
          <w:tcPr/>
          <w:p>
            <w:pPr>
              <w:pStyle w:val="Compact"/>
              <w:jc w:val="left"/>
            </w:pPr>
            <w:r>
              <w:rPr>
                <w:rStyle w:val="VerbatimChar"/>
              </w:rPr>
              <w:t xml:space="preserve">ibutamoren[tiab] OR MK-677[tiab] OR MK-0677[tiab]</w:t>
            </w:r>
          </w:p>
        </w:tc>
      </w:tr>
    </w:tbl>
    <w:bookmarkEnd w:id="1105"/>
    <w:bookmarkStart w:id="1106" w:name="d.-cervello-sonno-e-longevità-1"/>
    <w:p>
      <w:pPr>
        <w:pStyle w:val="Heading4"/>
      </w:pPr>
      <w:r>
        <w:t xml:space="preserve">D. Cervello, sonno e longevità</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Umanina</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Glutatione</w:t>
            </w:r>
          </w:p>
        </w:tc>
        <w:tc>
          <w:tcPr/>
          <w:p>
            <w:pPr>
              <w:pStyle w:val="Compact"/>
              <w:jc w:val="left"/>
            </w:pPr>
            <w:r>
              <w:rPr>
                <w:rStyle w:val="VerbatimChar"/>
              </w:rPr>
              <w:t xml:space="preserve">glutathione[ti] AND (supplementation[tiab] OR oral[tiab] OR intravenous[tiab])</w:t>
            </w:r>
          </w:p>
        </w:tc>
      </w:tr>
    </w:tbl>
    <w:bookmarkEnd w:id="1106"/>
    <w:bookmarkStart w:id="1107" w:name="e.-ormoni-sessualità-e-pigmentazione-1"/>
    <w:p>
      <w:pPr>
        <w:pStyle w:val="Heading4"/>
      </w:pPr>
      <w:r>
        <w:t xml:space="preserve">E. Ormoni, sessualità e pigmentazione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Ossitocina (intranasale)</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1107"/>
    <w:bookmarkStart w:id="1108" w:name="f.-collagene-alimentazione-e-cosmetica-1"/>
    <w:p>
      <w:pPr>
        <w:pStyle w:val="Heading4"/>
      </w:pPr>
      <w:r>
        <w:t xml:space="preserve">F. Collagene, alimentazione e cosmetica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Collagene idrolizzato o peptidi di collagene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Lattotripeptidi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(peptide di rame)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esapeptide-8 (Argireline)</w:t>
            </w:r>
          </w:p>
        </w:tc>
        <w:tc>
          <w:tcPr/>
          <w:p>
            <w:pPr>
              <w:pStyle w:val="Compact"/>
              <w:jc w:val="left"/>
            </w:pPr>
            <w:r>
              <w:rPr>
                <w:rStyle w:val="VerbatimChar"/>
              </w:rPr>
              <w:t xml:space="preserve">acetyl hexapeptide[tiab] OR argireline[tiab]</w:t>
            </w:r>
          </w:p>
        </w:tc>
      </w:tr>
    </w:tbl>
    <w:bookmarkEnd w:id="1108"/>
    <w:bookmarkEnd w:id="1109"/>
    <w:bookmarkStart w:id="1110" w:name="entità-dei-risultati"/>
    <w:p>
      <w:pPr>
        <w:pStyle w:val="Heading3"/>
      </w:pPr>
      <w:r>
        <w:t xml:space="preserve">Entità dei risultati</w:t>
      </w:r>
    </w:p>
    <w:p>
      <w:pPr>
        <w:pStyle w:val="FirstParagraph"/>
      </w:pPr>
      <w:r>
        <w:t xml:space="preserve">Complessivamente le 58 interrogazioni hanno dato 3.216 risultati con il filtro per gli studi sull’uomo e 1.739 risultati con il filtro per meta-analisi e revisioni. Su ClinicalTrials.gov sono state trovate 4.879 voci di registro. Questi totali contengono conteggi multipli, perché alcuni studi riguardano più peptidi – per esempio gli studi di confronto tra semaglutide e tirzepatide. I numeri per peptide sono indicati all’inizio della sezione «Studi sull’uomo» del rispettivo capitolo.</w:t>
      </w:r>
    </w:p>
    <w:p>
      <w:pPr>
        <w:pStyle w:val="BodyText"/>
      </w:pPr>
      <w:r>
        <w:t xml:space="preserve">La distribuzione è molto diseguale: ai farmaci GLP-1 autorizzati corrispondono centinaia di studi sull’uomo, per molti peptidi del mercato grigio invece nessuno o solo una manciata.</w:t>
      </w:r>
    </w:p>
    <w:bookmarkEnd w:id="1110"/>
    <w:bookmarkStart w:id="1111" w:name="selezione-e-analisi"/>
    <w:p>
      <w:pPr>
        <w:pStyle w:val="Heading3"/>
      </w:pPr>
      <w:r>
        <w:t xml:space="preserve">Selezione e analisi</w:t>
      </w:r>
    </w:p>
    <w:p>
      <w:pPr>
        <w:pStyle w:val="FirstParagraph"/>
      </w:pPr>
      <w:r>
        <w:t xml:space="preserve">Per ogni peptide tutti i risultati con il filtro per gli studi sull’uomo sono stati registrati come elenco sintetico (titolo, anno, rivista, primo autore o prima autrice); costituiscono la base dell’elenco degli studi in appendice. Gli studi sull’uomo e le revisioni più importanti secondo la rilevanza di PubMed sono stati letti e analizzati con i loro riassunti, integrati dai lavori cercati in modo mirato.</w:t>
      </w:r>
    </w:p>
    <w:p>
      <w:pPr>
        <w:pStyle w:val="BodyText"/>
      </w:pPr>
      <w:r>
        <w:t xml:space="preserve">Per la presentazione nel testo vale:</w:t>
      </w:r>
    </w:p>
    <w:p>
      <w:pPr>
        <w:numPr>
          <w:ilvl w:val="0"/>
          <w:numId w:val="1374"/>
        </w:numPr>
        <w:pStyle w:val="Compact"/>
      </w:pPr>
      <w:r>
        <w:t xml:space="preserve">Ogni studio citato è stato letto sulla base della sua voce in PubMed o della voce di registro.</w:t>
      </w:r>
    </w:p>
    <w:p>
      <w:pPr>
        <w:numPr>
          <w:ilvl w:val="0"/>
          <w:numId w:val="1374"/>
        </w:numPr>
        <w:pStyle w:val="Compact"/>
      </w:pPr>
      <w:r>
        <w:t xml:space="preserve">I numeri – per esempio numeri di partecipanti, percentuali, variazioni di peso o valori p – provengono esclusivamente dal riassunto della pubblicazione o dalla voce di registro. Ciò che non è documentato lì non viene citato come numero.</w:t>
      </w:r>
    </w:p>
    <w:p>
      <w:pPr>
        <w:numPr>
          <w:ilvl w:val="0"/>
          <w:numId w:val="1374"/>
        </w:numPr>
        <w:pStyle w:val="Compact"/>
      </w:pPr>
      <w:r>
        <w:t xml:space="preserve">I testi completi non sono stati analizzati in modo sistematico. Dettagli che si trovano solo nel testo completo, per esempio singoli tassi di effetti collaterali o sottogruppi, mancano quindi in parte.</w:t>
      </w:r>
    </w:p>
    <w:p>
      <w:pPr>
        <w:numPr>
          <w:ilvl w:val="0"/>
          <w:numId w:val="1374"/>
        </w:numPr>
        <w:pStyle w:val="Compact"/>
      </w:pPr>
      <w:r>
        <w:t xml:space="preserve">I risultati sugli animali e di laboratorio sono indicati espressamente come tali.</w:t>
      </w:r>
    </w:p>
    <w:p>
      <w:pPr>
        <w:numPr>
          <w:ilvl w:val="0"/>
          <w:numId w:val="1374"/>
        </w:numPr>
        <w:pStyle w:val="Compact"/>
      </w:pPr>
      <w:r>
        <w:t xml:space="preserve">Per gli studi in corso viene riportato solo ciò che è nel registro. Sono contrassegnati come</w:t>
      </w:r>
      <w:r>
        <w:t xml:space="preserve"> </w:t>
      </w:r>
      <w:r>
        <w:rPr>
          <w:iCs/>
          <w:i/>
        </w:rPr>
        <w:t xml:space="preserve">accertati</w:t>
      </w:r>
      <w:r>
        <w:t xml:space="preserve"> </w:t>
      </w:r>
      <w:r>
        <w:t xml:space="preserve">(registrati, in corso), le previsioni proprie come</w:t>
      </w:r>
      <w:r>
        <w:t xml:space="preserve"> </w:t>
      </w:r>
      <w:r>
        <w:rPr>
          <w:iCs/>
          <w:i/>
        </w:rPr>
        <w:t xml:space="preserve">valutazione</w:t>
      </w:r>
      <w:r>
        <w:t xml:space="preserve">.</w:t>
      </w:r>
    </w:p>
    <w:bookmarkEnd w:id="1111"/>
    <w:bookmarkStart w:id="1112" w:name="livelli-di-evidenza"/>
    <w:p>
      <w:pPr>
        <w:pStyle w:val="Heading3"/>
      </w:pPr>
      <w:r>
        <w:t xml:space="preserve">Livelli di evidenza</w:t>
      </w:r>
    </w:p>
    <w:p>
      <w:pPr>
        <w:pStyle w:val="FirstParagraph"/>
      </w:pPr>
      <w:r>
        <w:t xml:space="preserve">Ogni peptide ha ricevuto un livello di evidenza secondo i seguenti criteri: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Livello</w:t>
            </w:r>
          </w:p>
        </w:tc>
        <w:tc>
          <w:tcPr/>
          <w:p>
            <w:pPr>
              <w:pStyle w:val="Compact"/>
              <w:jc w:val="left"/>
            </w:pPr>
            <w:r>
              <w:t xml:space="preserve">Criterio</w:t>
            </w:r>
          </w:p>
        </w:tc>
      </w:tr>
      <w:tr>
        <w:tc>
          <w:tcPr/>
          <w:p>
            <w:pPr>
              <w:pStyle w:val="Compact"/>
              <w:jc w:val="left"/>
            </w:pPr>
            <w:r>
              <w:t xml:space="preserve">A</w:t>
            </w:r>
          </w:p>
        </w:tc>
        <w:tc>
          <w:tcPr/>
          <w:p>
            <w:pPr>
              <w:pStyle w:val="Compact"/>
              <w:jc w:val="left"/>
            </w:pPr>
            <w:r>
              <w:t xml:space="preserve">più grandi studi randomizzati sull’uomo, autorizzazione come farmaco</w:t>
            </w:r>
          </w:p>
        </w:tc>
      </w:tr>
      <w:tr>
        <w:tc>
          <w:tcPr/>
          <w:p>
            <w:pPr>
              <w:pStyle w:val="Compact"/>
              <w:jc w:val="left"/>
            </w:pPr>
            <w:r>
              <w:t xml:space="preserve">B</w:t>
            </w:r>
          </w:p>
        </w:tc>
        <w:tc>
          <w:tcPr/>
          <w:p>
            <w:pPr>
              <w:pStyle w:val="Compact"/>
              <w:jc w:val="left"/>
            </w:pPr>
            <w:r>
              <w:t xml:space="preserve">singoli studi randomizzati sull’uomo</w:t>
            </w:r>
          </w:p>
        </w:tc>
      </w:tr>
      <w:tr>
        <w:tc>
          <w:tcPr/>
          <w:p>
            <w:pPr>
              <w:pStyle w:val="Compact"/>
              <w:jc w:val="left"/>
            </w:pPr>
            <w:r>
              <w:t xml:space="preserve">C</w:t>
            </w:r>
          </w:p>
        </w:tc>
        <w:tc>
          <w:tcPr/>
          <w:p>
            <w:pPr>
              <w:pStyle w:val="Compact"/>
              <w:jc w:val="left"/>
            </w:pPr>
            <w:r>
              <w:t xml:space="preserve">solo studi piccoli o non controllati sull’uomo</w:t>
            </w:r>
          </w:p>
        </w:tc>
      </w:tr>
      <w:tr>
        <w:tc>
          <w:tcPr/>
          <w:p>
            <w:pPr>
              <w:pStyle w:val="Compact"/>
              <w:jc w:val="left"/>
            </w:pPr>
            <w:r>
              <w:t xml:space="preserve">D</w:t>
            </w:r>
          </w:p>
        </w:tc>
        <w:tc>
          <w:tcPr/>
          <w:p>
            <w:pPr>
              <w:pStyle w:val="Compact"/>
              <w:jc w:val="left"/>
            </w:pPr>
            <w:r>
              <w:t xml:space="preserve">solo studi sugli animali e di laboratorio</w:t>
            </w:r>
          </w:p>
        </w:tc>
      </w:tr>
    </w:tbl>
    <w:p>
      <w:pPr>
        <w:pStyle w:val="BodyText"/>
      </w:pPr>
      <w:r>
        <w:t xml:space="preserve">La classificazione si riferisce ai dati complessivi sull’uomo e al principale ambito d’uso studiato. È una valutazione dell’autore basata sugli studi analizzati e non una classificazione ufficiale.</w:t>
      </w:r>
    </w:p>
    <w:bookmarkEnd w:id="1112"/>
    <w:bookmarkStart w:id="1113" w:name="limiti-della-metodologia"/>
    <w:p>
      <w:pPr>
        <w:pStyle w:val="Heading3"/>
      </w:pPr>
      <w:r>
        <w:t xml:space="preserve">Limiti della metodologia</w:t>
      </w:r>
    </w:p>
    <w:p>
      <w:pPr>
        <w:pStyle w:val="FirstParagraph"/>
      </w:pPr>
      <w:r>
        <w:t xml:space="preserve">Come ogni ricerca bibliografica, anche questa ha dei limiti, di cui dovrebbe tenere conto durante la lettura:</w:t>
      </w:r>
    </w:p>
    <w:p>
      <w:pPr>
        <w:pStyle w:val="BodyText"/>
      </w:pPr>
      <w:r>
        <w:rPr>
          <w:bCs/>
          <w:b/>
        </w:rPr>
        <w:t xml:space="preserve">I risultati non equivalgono a studi indipendenti.</w:t>
      </w:r>
      <w:r>
        <w:t xml:space="preserve"> </w:t>
      </w:r>
      <w:r>
        <w:t xml:space="preserve">Un grande studio viene spesso pubblicato in più articoli – risultato principale, sottogruppi, follow-up, qualità della vita. Ciascuno di questi articoli è un risultato a sé. Al contrario, più studi possono essere riassunti in un unico articolo. I numeri dei risultati riflettono quindi l’ordine di grandezza della ricerca, non il numero esatto di studi indipendenti.</w:t>
      </w:r>
    </w:p>
    <w:p>
      <w:pPr>
        <w:pStyle w:val="BodyText"/>
      </w:pPr>
      <w:r>
        <w:rPr>
          <w:bCs/>
          <w:b/>
        </w:rPr>
        <w:t xml:space="preserve">I tipi di pubblicazione non sono sempre corretti.</w:t>
      </w:r>
      <w:r>
        <w:t xml:space="preserve"> </w:t>
      </w:r>
      <w:r>
        <w:t xml:space="preserve">Il filtro per gli studi sull’uomo si basa sull’indicizzazione di PubMed. Alcuni studi non sono contrassegnati come studio clinico e quindi mancano; alcuni lavori contrassegnati come studio clinico sono, a un esame più attento, studi osservazionali o lavori di laboratorio con materiale umano. Gli articoli molto recenti spesso non sono ancora completamente indicizzati.</w:t>
      </w:r>
    </w:p>
    <w:p>
      <w:pPr>
        <w:pStyle w:val="BodyText"/>
      </w:pPr>
      <w:r>
        <w:rPr>
          <w:bCs/>
          <w:b/>
        </w:rPr>
        <w:t xml:space="preserve">I termini di ricerca possono avere lacune.</w:t>
      </w:r>
      <w:r>
        <w:t xml:space="preserve"> </w:t>
      </w:r>
      <w:r>
        <w:t xml:space="preserve">Un termine di ricerca trova solo ciò che è descritto nel titolo o nel riassunto con le parole scelte. Gli studi che indicano una sostanza solo con un nome in codice o con un’altra grafia possono mancare. Al contrario, sigle ambigue come «KPV» o «SS-31» possono includere anche lavori su temi del tutto diversi. Per i capitoli i risultati sono stati quindi esaminati e non ripresi senza verifica.</w:t>
      </w:r>
    </w:p>
    <w:p>
      <w:pPr>
        <w:pStyle w:val="BodyText"/>
      </w:pPr>
      <w:r>
        <w:rPr>
          <w:bCs/>
          <w:b/>
        </w:rPr>
        <w:t xml:space="preserve">Lingue.</w:t>
      </w:r>
      <w:r>
        <w:t xml:space="preserve"> </w:t>
      </w:r>
      <w:r>
        <w:t xml:space="preserve">PubMed registra prevalentemente riviste in lingua inglese. I lavori pubblicati solo in altre lingue e in riviste non registrate mancano in gran parte. Ciò riguarda in particolare alcuni peptidi studiati e usati soprattutto in Russia o in altri paesi dell’Europa orientale, come Semax, Selank, Epitalon o Thymalin. Per questi la situazione effettiva degli studi è forse più ampia, ma difficilmente verificabile per i lettori internazionali.</w:t>
      </w:r>
    </w:p>
    <w:p>
      <w:pPr>
        <w:pStyle w:val="BodyText"/>
      </w:pPr>
      <w:r>
        <w:rPr>
          <w:bCs/>
          <w:b/>
        </w:rPr>
        <w:t xml:space="preserve">Studi non pubblicati.</w:t>
      </w:r>
      <w:r>
        <w:t xml:space="preserve"> </w:t>
      </w:r>
      <w:r>
        <w:t xml:space="preserve">Gli studi mai pubblicati non sono contenuti in PubMed. Il registro ClinicalTrials.gov aiuta a riconoscere queste lacune, ma non comprende tutti gli studi del mondo.</w:t>
      </w:r>
    </w:p>
    <w:p>
      <w:pPr>
        <w:pStyle w:val="BodyText"/>
      </w:pPr>
      <w:r>
        <w:rPr>
          <w:bCs/>
          <w:b/>
        </w:rPr>
        <w:t xml:space="preserve">Solo riassunti.</w:t>
      </w:r>
      <w:r>
        <w:t xml:space="preserve"> </w:t>
      </w:r>
      <w:r>
        <w:t xml:space="preserve">L’analisi si basa sui riassunti. Questi riportano i risultati principali, ma possono presentare in modo abbreviato limiti, effetti collaterali o debolezze metodologiche.</w:t>
      </w:r>
    </w:p>
    <w:p>
      <w:pPr>
        <w:pStyle w:val="BodyText"/>
      </w:pPr>
      <w:r>
        <w:rPr>
          <w:bCs/>
          <w:b/>
        </w:rPr>
        <w:t xml:space="preserve">Istantanea.</w:t>
      </w:r>
      <w:r>
        <w:t xml:space="preserve"> </w:t>
      </w:r>
      <w:r>
        <w:t xml:space="preserve">La ricerca riflette la situazione a ottobre 2026. In ambiti in rapida crescita come i farmaci GLP-1 escono nuovi studi ogni settimana.</w:t>
      </w:r>
    </w:p>
    <w:bookmarkEnd w:id="1113"/>
    <w:bookmarkStart w:id="1114" w:name="supporto-dellia-e-controllo-di-qualità"/>
    <w:p>
      <w:pPr>
        <w:pStyle w:val="Heading3"/>
      </w:pPr>
      <w:r>
        <w:t xml:space="preserve">Supporto dell’IA e controllo di qualità</w:t>
      </w:r>
    </w:p>
    <w:p>
      <w:pPr>
        <w:pStyle w:val="FirstParagraph"/>
      </w:pPr>
      <w:r>
        <w:t xml:space="preserve">Questo libro è stato ricercato e redatto con il supporto dell’intelligenza artificiale e rivisto dall’autore. L’IA è stata impiegata per i seguenti compiti:</w:t>
      </w:r>
    </w:p>
    <w:p>
      <w:pPr>
        <w:numPr>
          <w:ilvl w:val="0"/>
          <w:numId w:val="1375"/>
        </w:numPr>
        <w:pStyle w:val="Compact"/>
      </w:pPr>
      <w:r>
        <w:t xml:space="preserve">esecuzione delle interrogazioni delle banche dati tramite le interfacce citate, con programmi di supporto scritti appositamente,</w:t>
      </w:r>
    </w:p>
    <w:p>
      <w:pPr>
        <w:numPr>
          <w:ilvl w:val="0"/>
          <w:numId w:val="1375"/>
        </w:numPr>
        <w:pStyle w:val="Compact"/>
      </w:pPr>
      <w:r>
        <w:t xml:space="preserve">lettura e analisi dei riassunti e delle voci di registro,</w:t>
      </w:r>
    </w:p>
    <w:p>
      <w:pPr>
        <w:numPr>
          <w:ilvl w:val="0"/>
          <w:numId w:val="1375"/>
        </w:numPr>
        <w:pStyle w:val="Compact"/>
      </w:pPr>
      <w:r>
        <w:t xml:space="preserve">stesura di bozze di testo secondo regole fisse di stile e di lavoro.</w:t>
      </w:r>
    </w:p>
    <w:p>
      <w:pPr>
        <w:pStyle w:val="FirstParagraph"/>
      </w:pPr>
      <w:r>
        <w:t xml:space="preserve">Per evitare il rischio noto che i sistemi di IA inventino fonti o numeri, valevano regole vincolanti: ogni studio nel testo è citato con PMID o numero NCT; ogni numero deve provenire da un riassunto o da una voce di registro effettivamente consultati; gli studi possono essere citati solo se la loro voce è stata prima consultata e letta.</w:t>
      </w:r>
    </w:p>
    <w:p>
      <w:pPr>
        <w:pStyle w:val="BodyText"/>
      </w:pPr>
      <w:r>
        <w:t xml:space="preserve">Inoltre ogni capitolo è stato controllato con un programma di verifica. Per ogni PMID e numero NCT citato nel testo, il programma richiama la voce in PubMed o in ClinicalTrials.gov e segnala come errore un numero inesistente. Confronta inoltre il primo autore o la prima autrice e l’anno di pubblicazione, riportati nel testo prima del PMID, con la voce della banca dati e segnala le discrepanze. Infine cerca formulazioni non ammesse come promesse di guarigione, raccomandazioni di dosaggio o indicazioni su fonti di approvvigionamento. Un capitolo era considerato finito solo quando questa verifica si concludeva senza errori.</w:t>
      </w:r>
    </w:p>
    <w:p>
      <w:pPr>
        <w:pStyle w:val="BodyText"/>
      </w:pPr>
      <w:r>
        <w:t xml:space="preserve">Questa verifica garantisce che ogni fonte citata esista e sia attribuita correttamente. Non può escludere del tutto che un risultato sia riportato nel testo in modo abbreviato o fuorviante. Per questo tutte le fonti sono indicate in modo che possa consultarle personalmente – come fare è spiegato nella sezione «Su questo libro» all’inizio.</w:t>
      </w:r>
    </w:p>
    <w:bookmarkEnd w:id="1114"/>
    <w:bookmarkEnd w:id="1115"/>
    <w:bookmarkStart w:id="1174" w:name="indice-degli-studi"/>
    <w:p>
      <w:pPr>
        <w:pStyle w:val="Heading1"/>
      </w:pPr>
      <w:r>
        <w:t xml:space="preserve">Indice degli studi</w:t>
      </w:r>
    </w:p>
    <w:p>
      <w:pPr>
        <w:pStyle w:val="FirstParagraph"/>
      </w:pPr>
      <w:r>
        <w:t xml:space="preserve">Questo indice elenca tutte le pubblicazioni di studi clinici sull’uomo che la ricerca ha trovato in PubMed per ciascun peptide (interrogazione di ottobre 2026; filtri: vedi Metodologia). Titoli e riviste sono riportati nella lingua originale. Ogni studio può essere consultato tramite il suo PMID su pubmed.ncbi.nlm.nih.gov. Non ogni voce è uno studio a sé: alcuni studi sono stati analizzati e pubblicati più volte.</w:t>
      </w:r>
      <w:r>
        <w:t xml:space="preserve"> </w:t>
      </w:r>
      <w:r>
        <w:t xml:space="preserve">Totale: 3.216 voci.</w:t>
      </w:r>
    </w:p>
    <w:bookmarkStart w:id="1116" w:name="exenatide-437"/>
    <w:p>
      <w:pPr>
        <w:pStyle w:val="Heading2"/>
      </w:pPr>
      <w:r>
        <w:t xml:space="preserve">Exenatide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6"/>
    <w:bookmarkStart w:id="1117"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7"/>
    <w:bookmarkStart w:id="1118"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8"/>
    <w:bookmarkStart w:id="1119" w:name="semaglutide-342"/>
    <w:p>
      <w:pPr>
        <w:pStyle w:val="Heading2"/>
      </w:pPr>
      <w:r>
        <w:t xml:space="preserve">Semaglutide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9"/>
    <w:bookmarkStart w:id="1120" w:name="tirzepatide-144"/>
    <w:p>
      <w:pPr>
        <w:pStyle w:val="Heading2"/>
      </w:pPr>
      <w:r>
        <w:t xml:space="preserve">Tirzepatide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0"/>
    <w:bookmarkStart w:id="1121" w:name="retatrutide-10"/>
    <w:p>
      <w:pPr>
        <w:pStyle w:val="Heading2"/>
      </w:pPr>
      <w:r>
        <w:t xml:space="preserve">Retatrutide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1"/>
    <w:bookmarkStart w:id="1122"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2"/>
    <w:bookmarkStart w:id="1123"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3"/>
    <w:bookmarkStart w:id="1124" w:name="cagrilintide-e-cagrisema-15"/>
    <w:p>
      <w:pPr>
        <w:pStyle w:val="Heading2"/>
      </w:pPr>
      <w:r>
        <w:t xml:space="preserve">Cagrilintide e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4"/>
    <w:bookmarkStart w:id="1125" w:name="amycretin-zenagamtide-4"/>
    <w:p>
      <w:pPr>
        <w:pStyle w:val="Heading2"/>
      </w:pPr>
      <w:r>
        <w:t xml:space="preserve">Amycretin (zenagamtide)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5"/>
    <w:bookmarkStart w:id="1126"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6"/>
    <w:bookmarkStart w:id="1127"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7"/>
    <w:bookmarkStart w:id="1128" w:name="setmelanotide-15"/>
    <w:p>
      <w:pPr>
        <w:pStyle w:val="Heading2"/>
      </w:pPr>
      <w:r>
        <w:t xml:space="preserve">Setmelanotide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8"/>
    <w:bookmarkStart w:id="1129" w:name="aod-9604-0"/>
    <w:p>
      <w:pPr>
        <w:pStyle w:val="Heading2"/>
      </w:pPr>
      <w:r>
        <w:t xml:space="preserve">AOD-9604 (0)</w:t>
      </w:r>
    </w:p>
    <w:p>
      <w:pPr>
        <w:pStyle w:val="FirstParagraph"/>
      </w:pPr>
      <w:r>
        <w:t xml:space="preserve">Nessuna pubblicazione di studi clinici sull’uomo trovata.</w:t>
      </w:r>
    </w:p>
    <w:bookmarkEnd w:id="1129"/>
    <w:bookmarkStart w:id="1130" w:name="orforglipron-per-confronto-20"/>
    <w:p>
      <w:pPr>
        <w:pStyle w:val="Heading2"/>
      </w:pPr>
      <w:r>
        <w:t xml:space="preserve">Orforglipron (per confronto)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0"/>
    <w:bookmarkStart w:id="1131" w:name="bpc-157-0"/>
    <w:p>
      <w:pPr>
        <w:pStyle w:val="Heading2"/>
      </w:pPr>
      <w:r>
        <w:t xml:space="preserve">BPC-157 (0)</w:t>
      </w:r>
    </w:p>
    <w:p>
      <w:pPr>
        <w:pStyle w:val="FirstParagraph"/>
      </w:pPr>
      <w:r>
        <w:t xml:space="preserve">Nessuna pubblicazione di studi clinici sull’uomo trovata.</w:t>
      </w:r>
    </w:p>
    <w:bookmarkEnd w:id="1131"/>
    <w:bookmarkStart w:id="1132" w:name="tb-500-e-timosina-beta-4-9"/>
    <w:p>
      <w:pPr>
        <w:pStyle w:val="Heading2"/>
      </w:pPr>
      <w:r>
        <w:t xml:space="preserve">TB-500 e timosina beta 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2"/>
    <w:bookmarkStart w:id="1133" w:name="timosina-alfa-1-timalfasina-90"/>
    <w:p>
      <w:pPr>
        <w:pStyle w:val="Heading2"/>
      </w:pPr>
      <w:r>
        <w:t xml:space="preserve">Timosina alfa 1 (timalfasina)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3"/>
    <w:bookmarkStart w:id="1134" w:name="kpv-0"/>
    <w:p>
      <w:pPr>
        <w:pStyle w:val="Heading2"/>
      </w:pPr>
      <w:r>
        <w:t xml:space="preserve">KPV (0)</w:t>
      </w:r>
    </w:p>
    <w:p>
      <w:pPr>
        <w:pStyle w:val="FirstParagraph"/>
      </w:pPr>
      <w:r>
        <w:t xml:space="preserve">Nessuna pubblicazione di studi clinici sull’uomo trovata.</w:t>
      </w:r>
    </w:p>
    <w:bookmarkEnd w:id="1134"/>
    <w:bookmarkStart w:id="11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5"/>
    <w:bookmarkStart w:id="1136" w:name="ara-290-cibinetide-5"/>
    <w:p>
      <w:pPr>
        <w:pStyle w:val="Heading2"/>
      </w:pPr>
      <w:r>
        <w:t xml:space="preserve">ARA-290 (cibinetide)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6"/>
    <w:bookmarkStart w:id="1137"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7"/>
    <w:bookmarkStart w:id="1138" w:name="timalina-e-timogeno-17"/>
    <w:p>
      <w:pPr>
        <w:pStyle w:val="Heading2"/>
      </w:pPr>
      <w:r>
        <w:t xml:space="preserve">Timalina e timogeno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8"/>
    <w:bookmarkStart w:id="1139" w:name="sermorelina-0"/>
    <w:p>
      <w:pPr>
        <w:pStyle w:val="Heading2"/>
      </w:pPr>
      <w:r>
        <w:t xml:space="preserve">Sermorelina (0)</w:t>
      </w:r>
    </w:p>
    <w:p>
      <w:pPr>
        <w:pStyle w:val="FirstParagraph"/>
      </w:pPr>
      <w:r>
        <w:t xml:space="preserve">Nessuna pubblicazione di studi clinici sull’uomo trovata.</w:t>
      </w:r>
    </w:p>
    <w:bookmarkEnd w:id="1139"/>
    <w:bookmarkStart w:id="1140" w:name="tesamorelina-23"/>
    <w:p>
      <w:pPr>
        <w:pStyle w:val="Heading2"/>
      </w:pPr>
      <w:r>
        <w:t xml:space="preserve">Tesamorelina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0"/>
    <w:bookmarkStart w:id="11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1"/>
    <w:bookmarkStart w:id="1142" w:name="ipamorelina-2"/>
    <w:p>
      <w:pPr>
        <w:pStyle w:val="Heading2"/>
      </w:pPr>
      <w:r>
        <w:t xml:space="preserve">Ipamorelina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2"/>
    <w:bookmarkStart w:id="1143" w:name="ghrp-2-pralmorelina-55"/>
    <w:p>
      <w:pPr>
        <w:pStyle w:val="Heading2"/>
      </w:pPr>
      <w:r>
        <w:t xml:space="preserve">GHRP-2 (pralmorelina)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3"/>
    <w:bookmarkStart w:id="11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4"/>
    <w:bookmarkStart w:id="1145" w:name="exarelina-58"/>
    <w:p>
      <w:pPr>
        <w:pStyle w:val="Heading2"/>
      </w:pPr>
      <w:r>
        <w:t xml:space="preserve">Exarelina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5"/>
    <w:bookmarkStart w:id="1146" w:name="macimorelina-4"/>
    <w:p>
      <w:pPr>
        <w:pStyle w:val="Heading2"/>
      </w:pPr>
      <w:r>
        <w:t xml:space="preserve">Macimorelina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6"/>
    <w:bookmarkStart w:id="1147" w:name="mecasermina-igf-1-21"/>
    <w:p>
      <w:pPr>
        <w:pStyle w:val="Heading2"/>
      </w:pPr>
      <w:r>
        <w:t xml:space="preserve">Mecasermina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7"/>
    <w:bookmarkStart w:id="1148" w:name="igf-1-lr3-0"/>
    <w:p>
      <w:pPr>
        <w:pStyle w:val="Heading2"/>
      </w:pPr>
      <w:r>
        <w:t xml:space="preserve">IGF-1 LR3 (0)</w:t>
      </w:r>
    </w:p>
    <w:p>
      <w:pPr>
        <w:pStyle w:val="FirstParagraph"/>
      </w:pPr>
      <w:r>
        <w:t xml:space="preserve">Nessuna pubblicazione di studi clinici sull’uomo trovata.</w:t>
      </w:r>
    </w:p>
    <w:bookmarkEnd w:id="1148"/>
    <w:bookmarkStart w:id="1149"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9"/>
    <w:bookmarkStart w:id="11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0"/>
    <w:bookmarkStart w:id="11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1"/>
    <w:bookmarkStart w:id="1152"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2"/>
    <w:bookmarkStart w:id="1153" w:name="dihexa-0"/>
    <w:p>
      <w:pPr>
        <w:pStyle w:val="Heading2"/>
      </w:pPr>
      <w:r>
        <w:t xml:space="preserve">Dihexa (0)</w:t>
      </w:r>
    </w:p>
    <w:p>
      <w:pPr>
        <w:pStyle w:val="FirstParagraph"/>
      </w:pPr>
      <w:r>
        <w:t xml:space="preserve">Nessuna pubblicazione di studi clinici sull’uomo trovata.</w:t>
      </w:r>
    </w:p>
    <w:bookmarkEnd w:id="1153"/>
    <w:bookmarkStart w:id="1154" w:name="dsip-peptide-inducente-il-sonno-delta-18"/>
    <w:p>
      <w:pPr>
        <w:pStyle w:val="Heading2"/>
      </w:pPr>
      <w:r>
        <w:t xml:space="preserve">DSIP (peptide inducente il sonno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4"/>
    <w:bookmarkStart w:id="11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5"/>
    <w:bookmarkStart w:id="11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6"/>
    <w:bookmarkStart w:id="11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7"/>
    <w:bookmarkStart w:id="1158" w:name="umanina-humanin-8"/>
    <w:p>
      <w:pPr>
        <w:pStyle w:val="Heading2"/>
      </w:pPr>
      <w:r>
        <w:t xml:space="preserve">Umanina (humanin)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8"/>
    <w:bookmarkStart w:id="1159" w:name="ss-31-elamipretide-19"/>
    <w:p>
      <w:pPr>
        <w:pStyle w:val="Heading2"/>
      </w:pPr>
      <w:r>
        <w:t xml:space="preserve">SS-31 (elamipretide)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9"/>
    <w:bookmarkStart w:id="1160" w:name="foxo4-dri-0"/>
    <w:p>
      <w:pPr>
        <w:pStyle w:val="Heading2"/>
      </w:pPr>
      <w:r>
        <w:t xml:space="preserve">FOXO4-DRI (0)</w:t>
      </w:r>
    </w:p>
    <w:p>
      <w:pPr>
        <w:pStyle w:val="FirstParagraph"/>
      </w:pPr>
      <w:r>
        <w:t xml:space="preserve">Nessuna pubblicazione di studi clinici sull’uomo trovata.</w:t>
      </w:r>
    </w:p>
    <w:bookmarkEnd w:id="1160"/>
    <w:bookmarkStart w:id="1161" w:name="glutatione-161"/>
    <w:p>
      <w:pPr>
        <w:pStyle w:val="Heading2"/>
      </w:pPr>
      <w:r>
        <w:t xml:space="preserve">Glutatione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1"/>
    <w:bookmarkStart w:id="1162" w:name="bremelanotide-pt-141-16"/>
    <w:p>
      <w:pPr>
        <w:pStyle w:val="Heading2"/>
      </w:pPr>
      <w:r>
        <w:t xml:space="preserve">Bremelanotide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2"/>
    <w:bookmarkStart w:id="11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3"/>
    <w:bookmarkStart w:id="1164" w:name="afamelanotide-10"/>
    <w:p>
      <w:pPr>
        <w:pStyle w:val="Heading2"/>
      </w:pPr>
      <w:r>
        <w:t xml:space="preserve">Afamelanotide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4"/>
    <w:bookmarkStart w:id="1165" w:name="kisspeptina-37"/>
    <w:p>
      <w:pPr>
        <w:pStyle w:val="Heading2"/>
      </w:pPr>
      <w:r>
        <w:t xml:space="preserve">Kisspeptina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5"/>
    <w:bookmarkStart w:id="1166" w:name="ossitocina-spray-nasale-349"/>
    <w:p>
      <w:pPr>
        <w:pStyle w:val="Heading2"/>
      </w:pPr>
      <w:r>
        <w:t xml:space="preserve">Ossitocina (spray nasale)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6"/>
    <w:bookmarkStart w:id="1167" w:name="gonadorelina-9"/>
    <w:p>
      <w:pPr>
        <w:pStyle w:val="Heading2"/>
      </w:pPr>
      <w:r>
        <w:t xml:space="preserve">Gonadorelina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7"/>
    <w:bookmarkStart w:id="1168" w:name="Xafbc25bedfa9442642c4a72b1190b96f89385f8"/>
    <w:p>
      <w:pPr>
        <w:pStyle w:val="Heading2"/>
      </w:pPr>
      <w:r>
        <w:t xml:space="preserve">Peptidi di collagene (collagene idrolizzato)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8"/>
    <w:bookmarkStart w:id="1169" w:name="lattotripeptidi-vpp-e-ipp-21"/>
    <w:p>
      <w:pPr>
        <w:pStyle w:val="Heading2"/>
      </w:pPr>
      <w:r>
        <w:t xml:space="preserve">Lattotripeptidi (VPP e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9"/>
    <w:bookmarkStart w:id="1170" w:name="carnosina-57"/>
    <w:p>
      <w:pPr>
        <w:pStyle w:val="Heading2"/>
      </w:pPr>
      <w:r>
        <w:t xml:space="preserve">Carnosina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0"/>
    <w:bookmarkStart w:id="1171" w:name="ghk-cu-peptide-di-rame-1"/>
    <w:p>
      <w:pPr>
        <w:pStyle w:val="Heading2"/>
      </w:pPr>
      <w:r>
        <w:t xml:space="preserve">GHK-Cu (peptide di rame)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1"/>
    <w:bookmarkStart w:id="1172" w:name="palmitoil-pentapeptide-4-matrixyl-1"/>
    <w:p>
      <w:pPr>
        <w:pStyle w:val="Heading2"/>
      </w:pPr>
      <w:r>
        <w:t xml:space="preserve">Palmitoil 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2"/>
    <w:bookmarkStart w:id="1173" w:name="acetil-esapeptide-8-argireline-3"/>
    <w:p>
      <w:pPr>
        <w:pStyle w:val="Heading2"/>
      </w:pPr>
      <w:r>
        <w:t xml:space="preserve">Acetil esapeptide-8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3"/>
    <w:bookmarkEnd w:id="1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peptidi, dalla semaglutide al BPC-157: cosa mostrano davvero gli studi sull’uomo, quali rischi sono noti, qual è il quadro normativo e dove va la ricerca.</dc:description>
  <dc:language>it-IT</dc:language>
  <dc:subject/>
  <cp:keywords/>
  <dcterms:created xsi:type="dcterms:W3CDTF">2026-10-29T16:19:50Z</dcterms:created>
  <dcterms:modified xsi:type="dcterms:W3CDTF">2026-10-29T16:19:50Z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Tutti i diritti riservati.</vt:lpwstr>
  </property>
  <property fmtid="{D5CDD505-2E9C-101B-9397-08002B2CF9AE}" pid="5" name="toc-title">
    <vt:lpwstr>Indice</vt:lpwstr>
  </property>
</Properties>
</file>