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Date"/>
      </w:pPr>
      <w:r>
        <w:t xml:space="preserve">2026-11</w:t>
      </w:r>
    </w:p>
    <w:sdt>
      <w:sdtPr>
        <w:docPartObj>
          <w:docPartGallery w:val="Table of Contents"/>
          <w:docPartUnique/>
        </w:docPartObj>
      </w:sdtPr>
      <w:sdtContent>
        <w:p>
          <w:pPr>
            <w:pStyle w:val="TOCHeading"/>
          </w:pPr>
          <w:r>
            <w:t xml:space="preserve">Inhoud</w:t>
          </w:r>
        </w:p>
        <w:p>
          <w:r>
            <w:fldChar w:fldCharType="begin" w:dirty="true"/>
            <w:instrText xml:space="preserve">TOC \o "1-2" \h \z \u</w:instrText>
            <w:fldChar w:fldCharType="separate"/>
            <w:fldChar w:fldCharType="end"/>
          </w:r>
        </w:p>
      </w:sdtContent>
    </w:sdt>
    <w:bookmarkStart w:id="26" w:name="belangrijke-kennisgeving"/>
    <w:p>
      <w:pPr>
        <w:pStyle w:val="Heading1"/>
      </w:pPr>
      <w:r>
        <w:t xml:space="preserve">Belangrijke kennisgeving</w:t>
      </w:r>
    </w:p>
    <w:bookmarkStart w:id="20" w:name="geen-vervanging-voor-medisch-advies"/>
    <w:p>
      <w:pPr>
        <w:pStyle w:val="Heading3"/>
      </w:pPr>
      <w:r>
        <w:t xml:space="preserve">Geen vervanging voor medisch advies</w:t>
      </w:r>
    </w:p>
    <w:p>
      <w:pPr>
        <w:pStyle w:val="FirstParagraph"/>
      </w:pPr>
      <w:r>
        <w:t xml:space="preserve">Dit boek dient uitsluitend ter algemene informatie en educatie. Het vervangt geen medisch advies, diagnose of behandeling. Voordat u beslissingen over uw gezondheid neemt of een geneesmiddel start, stopt of wijzigt, overlegt u bij voorkeur met een arts of een apotheker. Bij acute klachten neemt u contact op met de huisartsenpost of belt u het alarmnummer.</w:t>
      </w:r>
    </w:p>
    <w:bookmarkEnd w:id="20"/>
    <w:bookmarkStart w:id="21" w:name="geen-gebruiksadviezen"/>
    <w:p>
      <w:pPr>
        <w:pStyle w:val="Heading3"/>
      </w:pPr>
      <w:r>
        <w:t xml:space="preserve">Geen gebruiksadviezen</w:t>
      </w:r>
    </w:p>
    <w:p>
      <w:pPr>
        <w:pStyle w:val="FirstParagraph"/>
      </w:pPr>
      <w:r>
        <w:t xml:space="preserve">Dit boek bevat bewust geen adviezen over het gebruik van peptiden, geen doseringen, geen instructies voor inname of injectie, geen gebruikscycli en geen combinatieadviezen. Wanneer in de tekst een dosis wordt genoemd, beschrijft die uitsluitend wat in een bepaalde studie is onderzocht. Het is geen advies en laat zich niet vertalen naar uw persoonlijke situatie. Voor geregistreerde geneesmiddelen zijn de productinformatie (SmPC), de bijsluiter en de begeleiding door een arts bepalend.</w:t>
      </w:r>
    </w:p>
    <w:bookmarkEnd w:id="21"/>
    <w:bookmarkStart w:id="22" w:name="veel-stoffen-zijn-niet-geregistreerd"/>
    <w:p>
      <w:pPr>
        <w:pStyle w:val="Heading3"/>
      </w:pPr>
      <w:r>
        <w:t xml:space="preserve">Veel stoffen zijn niet geregistreerd</w:t>
      </w:r>
    </w:p>
    <w:p>
      <w:pPr>
        <w:pStyle w:val="FirstParagraph"/>
      </w:pPr>
      <w:r>
        <w:t xml:space="preserve">Een groot deel van de in dit boek beschreven peptiden is in de Europese Unie, in Oostenrijk, in Duitsland en in de VS</w:t>
      </w:r>
      <w:r>
        <w:t xml:space="preserve"> </w:t>
      </w:r>
      <w:r>
        <w:rPr>
          <w:bCs/>
          <w:b/>
        </w:rPr>
        <w:t xml:space="preserve">niet</w:t>
      </w:r>
      <w:r>
        <w:t xml:space="preserve"> </w:t>
      </w:r>
      <w:r>
        <w:t xml:space="preserve">als geneesmiddel geregistreerd. Voor veel ervan zijn alleen dier- of laboratoriumstudies beschikbaar. De beschrijving van zulke stoffen in dit boek is geen uitspraak over hun werkzaamheid of veiligheid bij de mens en geen aansporing om ze te gebruiken. Producten die op internet als „research peptides” of „alleen voor onderzoeksdoeleinden” worden aangeboden, kunnen verkeerd gedoseerd, verontreinigd of vervalst zijn. Het gebruik ervan kan aanzienlijke gevolgen hebben voor uw gezondheid en juridische gevolgen.</w:t>
      </w:r>
    </w:p>
    <w:bookmarkEnd w:id="22"/>
    <w:bookmarkStart w:id="23" w:name="doping"/>
    <w:p>
      <w:pPr>
        <w:pStyle w:val="Heading3"/>
      </w:pPr>
      <w:r>
        <w:t xml:space="preserve">Doping</w:t>
      </w:r>
    </w:p>
    <w:p>
      <w:pPr>
        <w:pStyle w:val="FirstParagraph"/>
      </w:pPr>
      <w:r>
        <w:t xml:space="preserve">Veel van de beschreven peptiden staan op de verboden lijst van het Wereld Anti-Doping Agentschap (WADA). Het gebruik ervan kan voor sporters die aan dopingcontroles onderworpen zijn tot een schorsing leiden. In Oostenrijk en Duitsland kunnen handel, doorgifte en in bepaalde gevallen ook bezit van dopingmiddelen strafbaar zijn.</w:t>
      </w:r>
    </w:p>
    <w:bookmarkEnd w:id="23"/>
    <w:bookmarkStart w:id="24" w:name="stand-van-zaken-en-aansprakelijkheid"/>
    <w:p>
      <w:pPr>
        <w:pStyle w:val="Heading3"/>
      </w:pPr>
      <w:r>
        <w:t xml:space="preserve">Stand van zaken en aansprakelijkheid</w:t>
      </w:r>
    </w:p>
    <w:p>
      <w:pPr>
        <w:pStyle w:val="FirstParagraph"/>
      </w:pPr>
      <w:r>
        <w:t xml:space="preserve">De informatie in dit boek geeft de</w:t>
      </w:r>
      <w:r>
        <w:t xml:space="preserve"> </w:t>
      </w:r>
      <w:r>
        <w:rPr>
          <w:bCs/>
          <w:b/>
        </w:rPr>
        <w:t xml:space="preserve">stand van november 2026</w:t>
      </w:r>
      <w:r>
        <w:t xml:space="preserve"> </w:t>
      </w:r>
      <w:r>
        <w:t xml:space="preserve">weer. Het onderzoek in de databases vond plaats in oktober 2026. Medische kennis, registraties, wetten en antidopingregels veranderen voortdurend. Alle gegevens zijn naar beste weten en met grote zorg samengesteld, maar zonder garantie voor juistheid, volledigheid en actualiteit. Aansprakelijkheid van de auteur voor schade die voortvloeit uit het gebruik van de informatie in dit boek is uitgesloten, voor zover de wet dat toestaat. De beschrijving van de juridische situatie is geen juridisch advies.</w:t>
      </w:r>
    </w:p>
    <w:bookmarkEnd w:id="24"/>
    <w:bookmarkStart w:id="25" w:name="X08a565f69d336abfc8c400c4ba45d9895fb6fa6"/>
    <w:p>
      <w:pPr>
        <w:pStyle w:val="Heading3"/>
      </w:pPr>
      <w:r>
        <w:t xml:space="preserve">Transparantie: hoe dit boek tot stand is gekomen</w:t>
      </w:r>
    </w:p>
    <w:p>
      <w:pPr>
        <w:pStyle w:val="FirstParagraph"/>
      </w:pPr>
      <w:r>
        <w:t xml:space="preserve">Dit boek is met ondersteuning van kunstmatige intelligentie (AI) onderzocht en geschreven en daarna door de auteur bewerkt. De AI werd ingezet om studies te zoeken in de databases PubMed en ClinicalTrials.gov, samenvattingen van studies te analyseren en tekstconcepten op te stellen.</w:t>
      </w:r>
    </w:p>
    <w:p>
      <w:pPr>
        <w:pStyle w:val="BodyText"/>
      </w:pPr>
      <w:r>
        <w:t xml:space="preserve">Om fouten te voorkomen gelden strikte regels: elke genoemde studie wordt vermeld met haar PubMed-nummer (PMID) of haar registratienummer bij ClinicalTrials.gov (NCT-nummer). Elk getal komt uit de samenvatting van de betreffende publicatie of uit de registratie. Alle geciteerde nummers zijn bovendien automatisch tegen de databases gecontroleerd. Zo kunt u elke bron zelf opzoeken en de gegevens controleren. Hoe dat werkt, staat in de volgende paragraaf; details over het onderzoek vindt u in de bijlage „Methodologie”.</w:t>
      </w:r>
    </w:p>
    <w:bookmarkEnd w:id="25"/>
    <w:bookmarkEnd w:id="26"/>
    <w:bookmarkStart w:id="35" w:name="over-dit-boek"/>
    <w:p>
      <w:pPr>
        <w:pStyle w:val="Heading1"/>
      </w:pPr>
      <w:r>
        <w:t xml:space="preserve">Over dit boek</w:t>
      </w:r>
    </w:p>
    <w:bookmarkStart w:id="27" w:name="waarvoor-dit-boek-bedoeld-is"/>
    <w:p>
      <w:pPr>
        <w:pStyle w:val="Heading3"/>
      </w:pPr>
      <w:r>
        <w:t xml:space="preserve">Waarvoor dit boek bedoeld is</w:t>
      </w:r>
    </w:p>
    <w:p>
      <w:pPr>
        <w:pStyle w:val="FirstParagraph"/>
      </w:pPr>
      <w:r>
        <w:t xml:space="preserve">Peptiden liggen op ieders lippen. Afslankinjecties zoals semaglutide en tirzepatide hebben de behandeling van overgewicht veranderd, en op internet worden tientallen andere peptiden aangeboden – voor sneller herstel, meer spieren, een betere huid, meer energie of een langer leven. Tussen de beloften op fora, sociale media en webwinkels en wat daadwerkelijk bij de mens is onderzocht, gaapt vaak een grote kloof.</w:t>
      </w:r>
    </w:p>
    <w:p>
      <w:pPr>
        <w:pStyle w:val="BodyText"/>
      </w:pPr>
      <w:r>
        <w:t xml:space="preserve">Dit boek wil die kloof zichtbaar maken. Het beschrijft voor elk behandeld peptide nuchter welke studies bij mensen er zijn, wat ze laten zien en wat niet, welke risico’s bekend zijn en hoe de juridische status eruitziet. Het vergelijkt de peptiden met elkaar en beoordeelt hoe solide het bewijs telkens is. Het moet u helpen beweringen kritisch te toetsen en geïnformeerde gesprekken te voeren met artsen en apotheken.</w:t>
      </w:r>
    </w:p>
    <w:bookmarkEnd w:id="27"/>
    <w:bookmarkStart w:id="28" w:name="voor-wie-dit-boek-geschreven-is"/>
    <w:p>
      <w:pPr>
        <w:pStyle w:val="Heading3"/>
      </w:pPr>
      <w:r>
        <w:t xml:space="preserve">Voor wie dit boek geschreven is</w:t>
      </w:r>
    </w:p>
    <w:p>
      <w:pPr>
        <w:numPr>
          <w:ilvl w:val="0"/>
          <w:numId w:val="1001"/>
        </w:numPr>
        <w:pStyle w:val="Compact"/>
      </w:pPr>
      <w:r>
        <w:t xml:space="preserve">Voor</w:t>
      </w:r>
      <w:r>
        <w:t xml:space="preserve"> </w:t>
      </w:r>
      <w:r>
        <w:rPr>
          <w:bCs/>
          <w:b/>
        </w:rPr>
        <w:t xml:space="preserve">geïnteresseerde leken</w:t>
      </w:r>
      <w:r>
        <w:t xml:space="preserve"> </w:t>
      </w:r>
      <w:r>
        <w:t xml:space="preserve">die willen weten wat er achter de peptidenhype zit.</w:t>
      </w:r>
    </w:p>
    <w:p>
      <w:pPr>
        <w:numPr>
          <w:ilvl w:val="0"/>
          <w:numId w:val="1001"/>
        </w:numPr>
        <w:pStyle w:val="Compact"/>
      </w:pPr>
      <w:r>
        <w:t xml:space="preserve">Voor mensen die een</w:t>
      </w:r>
      <w:r>
        <w:t xml:space="preserve"> </w:t>
      </w:r>
      <w:r>
        <w:rPr>
          <w:bCs/>
          <w:b/>
        </w:rPr>
        <w:t xml:space="preserve">geregistreerd peptidegeneesmiddel</w:t>
      </w:r>
      <w:r>
        <w:t xml:space="preserve"> </w:t>
      </w:r>
      <w:r>
        <w:t xml:space="preserve">voorgeschreven hebben gekregen of dat overwegen en de onderzoeksstand willen begrijpen.</w:t>
      </w:r>
    </w:p>
    <w:p>
      <w:pPr>
        <w:numPr>
          <w:ilvl w:val="0"/>
          <w:numId w:val="1001"/>
        </w:numPr>
        <w:pStyle w:val="Compact"/>
      </w:pPr>
      <w:r>
        <w:t xml:space="preserve">Voor</w:t>
      </w:r>
      <w:r>
        <w:t xml:space="preserve"> </w:t>
      </w:r>
      <w:r>
        <w:rPr>
          <w:bCs/>
          <w:b/>
        </w:rPr>
        <w:t xml:space="preserve">sporters</w:t>
      </w:r>
      <w:r>
        <w:t xml:space="preserve"> </w:t>
      </w:r>
      <w:r>
        <w:t xml:space="preserve">en trainers die reclamebeloften en dopingrisico’s willen inschatten.</w:t>
      </w:r>
    </w:p>
    <w:p>
      <w:pPr>
        <w:numPr>
          <w:ilvl w:val="0"/>
          <w:numId w:val="1001"/>
        </w:numPr>
        <w:pStyle w:val="Compact"/>
      </w:pPr>
      <w:r>
        <w:t xml:space="preserve">Voor</w:t>
      </w:r>
      <w:r>
        <w:t xml:space="preserve"> </w:t>
      </w:r>
      <w:r>
        <w:rPr>
          <w:bCs/>
          <w:b/>
        </w:rPr>
        <w:t xml:space="preserve">professionals</w:t>
      </w:r>
      <w:r>
        <w:t xml:space="preserve"> </w:t>
      </w:r>
      <w:r>
        <w:t xml:space="preserve">uit farmacie, geneeskunde, voedingsadvies, cosmetica en journalistiek die een snel, op bronnen gebaseerd overzicht zoeken.</w:t>
      </w:r>
    </w:p>
    <w:p>
      <w:pPr>
        <w:pStyle w:val="FirstParagraph"/>
      </w:pPr>
      <w:r>
        <w:t xml:space="preserve">Voorkennis is niet nodig. Vaktermen worden bij hun eerste vermelding uitgelegd en zijn bovendien te vinden in de woordenlijst.</w:t>
      </w:r>
    </w:p>
    <w:bookmarkEnd w:id="28"/>
    <w:bookmarkStart w:id="29" w:name="hoe-het-boek-is-opgebouwd"/>
    <w:p>
      <w:pPr>
        <w:pStyle w:val="Heading3"/>
      </w:pPr>
      <w:r>
        <w:t xml:space="preserve">Hoe het boek is opgebouwd</w:t>
      </w:r>
    </w:p>
    <w:p>
      <w:pPr>
        <w:pStyle w:val="FirstParagraph"/>
      </w:pPr>
      <w:r>
        <w:rPr>
          <w:bCs/>
          <w:b/>
        </w:rPr>
        <w:t xml:space="preserve">Deel I – Basis</w:t>
      </w:r>
      <w:r>
        <w:t xml:space="preserve"> </w:t>
      </w:r>
      <w:r>
        <w:t xml:space="preserve">legt uit wat peptiden zijn, hoe de peptidegeneeskunde zich heeft ontwikkeld, hoe peptiden in het lichaam terechtkomen, hoe u studies leest, wat er op de grijze markt gebeurt en welk juridisch kader geldt. Wie niet vertrouwd is met deze onderwerpen, kan het best hier beginnen.</w:t>
      </w:r>
    </w:p>
    <w:p>
      <w:pPr>
        <w:pStyle w:val="BodyText"/>
      </w:pPr>
      <w:r>
        <w:rPr>
          <w:bCs/>
          <w:b/>
        </w:rPr>
        <w:t xml:space="preserve">Deel II – De peptiden</w:t>
      </w:r>
      <w:r>
        <w:t xml:space="preserve"> </w:t>
      </w:r>
      <w:r>
        <w:t xml:space="preserve">stelt de afzonderlijke werkzame stoffen voor in zes groepen: stofwisseling en gewicht; herstel, regeneratie en immuunsysteem; groeihormoonas; hersenen, slaap en een lang leven; hormonen, seksualiteit en pigmentatie; collageen, voeding en cosmetica. Elk hoofdstuk volgt dezelfde opbouw: profiel, werkingsprincipe, studies bij mensen, dier- en laboratoriumstudies, risico’s en bijwerkingen, juridische status, lopende studies en vooruitzichten, conclusie. Zo kunt u peptiden gemakkelijk met elkaar vergelijken en gericht opzoeken.</w:t>
      </w:r>
    </w:p>
    <w:p>
      <w:pPr>
        <w:pStyle w:val="BodyText"/>
      </w:pPr>
      <w:r>
        <w:rPr>
          <w:bCs/>
          <w:b/>
        </w:rPr>
        <w:t xml:space="preserve">Deel III – De grote vergelijking</w:t>
      </w:r>
      <w:r>
        <w:t xml:space="preserve"> </w:t>
      </w:r>
      <w:r>
        <w:t xml:space="preserve">zet alle peptiden naast elkaar en vergelijkt de GLP-1-geneesmiddelen rechtstreeks.</w:t>
      </w:r>
    </w:p>
    <w:p>
      <w:pPr>
        <w:pStyle w:val="BodyText"/>
      </w:pPr>
      <w:r>
        <w:rPr>
          <w:bCs/>
          <w:b/>
        </w:rPr>
        <w:t xml:space="preserve">Deel IV – Risico’s</w:t>
      </w:r>
      <w:r>
        <w:t xml:space="preserve"> </w:t>
      </w:r>
      <w:r>
        <w:t xml:space="preserve">vat bijwerkingen, kanker- en immuunrisico’s, problemen met producten van de grijze markt en bijzondere risicogroepen samen.</w:t>
      </w:r>
    </w:p>
    <w:p>
      <w:pPr>
        <w:pStyle w:val="BodyText"/>
      </w:pPr>
      <w:r>
        <w:rPr>
          <w:bCs/>
          <w:b/>
        </w:rPr>
        <w:t xml:space="preserve">Deel V – Toekomst</w:t>
      </w:r>
      <w:r>
        <w:t xml:space="preserve"> </w:t>
      </w:r>
      <w:r>
        <w:t xml:space="preserve">kijkt naar de ontwikkelingspijplijn, nieuwe toedieningsvormen, aflopende octrooien en prijzen. Vaststaande feiten en inschattingen worden daarbij duidelijk gescheiden.</w:t>
      </w:r>
    </w:p>
    <w:p>
      <w:pPr>
        <w:pStyle w:val="BodyText"/>
      </w:pPr>
      <w:r>
        <w:t xml:space="preserve">In de</w:t>
      </w:r>
      <w:r>
        <w:t xml:space="preserve"> </w:t>
      </w:r>
      <w:r>
        <w:rPr>
          <w:bCs/>
          <w:b/>
        </w:rPr>
        <w:t xml:space="preserve">bijlage</w:t>
      </w:r>
      <w:r>
        <w:t xml:space="preserve"> </w:t>
      </w:r>
      <w:r>
        <w:t xml:space="preserve">vindt u de woordenlijst, de methodologie van het onderzoek en de lijst van geanalyseerde studies.</w:t>
      </w:r>
    </w:p>
    <w:bookmarkEnd w:id="29"/>
    <w:bookmarkStart w:id="30" w:name="de-bewijsniveaus"/>
    <w:p>
      <w:pPr>
        <w:pStyle w:val="Heading3"/>
      </w:pPr>
      <w:r>
        <w:t xml:space="preserve">De bewijsniveaus</w:t>
      </w:r>
    </w:p>
    <w:p>
      <w:pPr>
        <w:pStyle w:val="FirstParagraph"/>
      </w:pPr>
      <w:r>
        <w:t xml:space="preserve">Elk peptide krijgt in het profiel een bewijsniveau. Dat beschrijft hoe goed de gegevens</w:t>
      </w:r>
      <w:r>
        <w:t xml:space="preserve"> </w:t>
      </w:r>
      <w:r>
        <w:rPr>
          <w:bCs/>
          <w:b/>
        </w:rPr>
        <w:t xml:space="preserve">bij de mens</w:t>
      </w:r>
      <w:r>
        <w:t xml:space="preserve"> </w:t>
      </w:r>
      <w:r>
        <w:t xml:space="preserve">zijn: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Niveau</w:t>
            </w:r>
          </w:p>
        </w:tc>
        <w:tc>
          <w:tcPr/>
          <w:p>
            <w:pPr>
              <w:pStyle w:val="Compact"/>
              <w:jc w:val="left"/>
            </w:pPr>
            <w:r>
              <w:t xml:space="preserve">Betekenis</w:t>
            </w:r>
          </w:p>
        </w:tc>
      </w:tr>
      <w:tr>
        <w:tc>
          <w:tcPr/>
          <w:p>
            <w:pPr>
              <w:pStyle w:val="Compact"/>
              <w:jc w:val="left"/>
            </w:pPr>
            <w:r>
              <w:t xml:space="preserve">A</w:t>
            </w:r>
          </w:p>
        </w:tc>
        <w:tc>
          <w:tcPr/>
          <w:p>
            <w:pPr>
              <w:pStyle w:val="Compact"/>
              <w:jc w:val="left"/>
            </w:pPr>
            <w:r>
              <w:t xml:space="preserve">meerdere grote gerandomiseerde studies bij mensen, registratie als geneesmiddel</w:t>
            </w:r>
          </w:p>
        </w:tc>
      </w:tr>
      <w:tr>
        <w:tc>
          <w:tcPr/>
          <w:p>
            <w:pPr>
              <w:pStyle w:val="Compact"/>
              <w:jc w:val="left"/>
            </w:pPr>
            <w:r>
              <w:t xml:space="preserve">B</w:t>
            </w:r>
          </w:p>
        </w:tc>
        <w:tc>
          <w:tcPr/>
          <w:p>
            <w:pPr>
              <w:pStyle w:val="Compact"/>
              <w:jc w:val="left"/>
            </w:pPr>
            <w:r>
              <w:t xml:space="preserve">enkele gerandomiseerde studies bij mensen</w:t>
            </w:r>
          </w:p>
        </w:tc>
      </w:tr>
      <w:tr>
        <w:tc>
          <w:tcPr/>
          <w:p>
            <w:pPr>
              <w:pStyle w:val="Compact"/>
              <w:jc w:val="left"/>
            </w:pPr>
            <w:r>
              <w:t xml:space="preserve">C</w:t>
            </w:r>
          </w:p>
        </w:tc>
        <w:tc>
          <w:tcPr/>
          <w:p>
            <w:pPr>
              <w:pStyle w:val="Compact"/>
              <w:jc w:val="left"/>
            </w:pPr>
            <w:r>
              <w:t xml:space="preserve">alleen kleine of ongecontroleerde studies bij mensen</w:t>
            </w:r>
          </w:p>
        </w:tc>
      </w:tr>
      <w:tr>
        <w:tc>
          <w:tcPr/>
          <w:p>
            <w:pPr>
              <w:pStyle w:val="Compact"/>
              <w:jc w:val="left"/>
            </w:pPr>
            <w:r>
              <w:t xml:space="preserve">D</w:t>
            </w:r>
          </w:p>
        </w:tc>
        <w:tc>
          <w:tcPr/>
          <w:p>
            <w:pPr>
              <w:pStyle w:val="Compact"/>
              <w:jc w:val="left"/>
            </w:pPr>
            <w:r>
              <w:t xml:space="preserve">alleen dier- en laboratoriumstudies</w:t>
            </w:r>
          </w:p>
        </w:tc>
      </w:tr>
    </w:tbl>
    <w:p>
      <w:pPr>
        <w:pStyle w:val="BodyText"/>
      </w:pPr>
      <w:r>
        <w:t xml:space="preserve">Het bewijsniveau is geen advies en geen uitspraak over de veiligheid van een stof. Ook een werkzame stof van niveau A heeft bijwerkingen, en een stof van niveau D is niet noodzakelijk werkingsloos – ze is alleen nog niet voldoende bij de mens onderzocht. Wat er achter de begrippen „gerandomiseerd”, „gecontroleerd” of „surrogaateindpunt” zit, legt het hoofdstuk „Studies goed lezen” uit.</w:t>
      </w:r>
    </w:p>
    <w:bookmarkEnd w:id="30"/>
    <w:bookmarkStart w:id="31" w:name="hoe-bronnen-worden-vermeld"/>
    <w:p>
      <w:pPr>
        <w:pStyle w:val="Heading3"/>
      </w:pPr>
      <w:r>
        <w:t xml:space="preserve">Hoe bronnen worden vermeld</w:t>
      </w:r>
    </w:p>
    <w:p>
      <w:pPr>
        <w:pStyle w:val="FirstParagraph"/>
      </w:pPr>
      <w:r>
        <w:t xml:space="preserve">Elke studie wordt in de tekst vermeld met de eerste auteur, het jaar van publicatie en het PubMed-nummer, bijvoorbeeld:</w:t>
      </w:r>
    </w:p>
    <w:p>
      <w:pPr>
        <w:pStyle w:val="BodyText"/>
      </w:pPr>
      <w:r>
        <w:t xml:space="preserve">(Wilding 2021, PMID 33567185)</w:t>
      </w:r>
    </w:p>
    <w:p>
      <w:pPr>
        <w:pStyle w:val="BodyText"/>
      </w:pPr>
      <w:r>
        <w:t xml:space="preserve">Geregistreerde studies, vooral lopende, worden vermeld met hun nummer in het Amerikaanse studieregister ClinicalTrials.gov, bijvoorbeeld:</w:t>
      </w:r>
    </w:p>
    <w:p>
      <w:pPr>
        <w:pStyle w:val="BodyText"/>
      </w:pPr>
      <w:r>
        <w:t xml:space="preserve">(NCT03548935)</w:t>
      </w:r>
    </w:p>
    <w:p>
      <w:pPr>
        <w:pStyle w:val="BodyText"/>
      </w:pPr>
      <w:r>
        <w:t xml:space="preserve">Voetnoten en een aparte literatuurlijst aan het eind van elk hoofdstuk zijn er niet; de volledige studielijst staat in de bijlage.</w:t>
      </w:r>
    </w:p>
    <w:bookmarkEnd w:id="31"/>
    <w:bookmarkStart w:id="32" w:name="zo-zoekt-u-een-bron-op"/>
    <w:p>
      <w:pPr>
        <w:pStyle w:val="Heading3"/>
      </w:pPr>
      <w:r>
        <w:t xml:space="preserve">Zo zoekt u een bron op</w:t>
      </w:r>
    </w:p>
    <w:p>
      <w:pPr>
        <w:pStyle w:val="FirstParagraph"/>
      </w:pPr>
      <w:r>
        <w:rPr>
          <w:bCs/>
          <w:b/>
        </w:rPr>
        <w:t xml:space="preserve">PMID</w:t>
      </w:r>
      <w:r>
        <w:t xml:space="preserve">: het PubMed-identificatienummer is een uniek nummer voor elke vermelding in PubMed, de vrij toegankelijke literatuurdatabase van de Amerikaanse National Library of Medicine.</w:t>
      </w:r>
    </w:p>
    <w:p>
      <w:pPr>
        <w:numPr>
          <w:ilvl w:val="0"/>
          <w:numId w:val="1002"/>
        </w:numPr>
        <w:pStyle w:val="Compact"/>
      </w:pPr>
      <w:r>
        <w:t xml:space="preserve">Open in uw browser de pagina pubmed.ncbi.nlm.nih.gov.</w:t>
      </w:r>
    </w:p>
    <w:p>
      <w:pPr>
        <w:numPr>
          <w:ilvl w:val="0"/>
          <w:numId w:val="1002"/>
        </w:numPr>
        <w:pStyle w:val="Compact"/>
      </w:pPr>
      <w:r>
        <w:t xml:space="preserve">Voer het nummer in het zoekveld in, bijvoorbeeld 33567185, en start de zoekopdracht.</w:t>
      </w:r>
    </w:p>
    <w:p>
      <w:pPr>
        <w:numPr>
          <w:ilvl w:val="0"/>
          <w:numId w:val="1002"/>
        </w:numPr>
        <w:pStyle w:val="Compact"/>
      </w:pPr>
      <w:r>
        <w:t xml:space="preserve">U komt direct bij de vermelding met titel, auteurs, vaktijdschrift en meestal een samenvatting (abstract).</w:t>
      </w:r>
    </w:p>
    <w:p>
      <w:pPr>
        <w:pStyle w:val="FirstParagraph"/>
      </w:pPr>
      <w:r>
        <w:t xml:space="preserve">U kunt het nummer ook direct achter het adres plakken: pubmed.ncbi.nlm.nih.gov/33567185. Veel vermeldingen bevatten een link naar de volledige tekst, die deels gratis en deels alleen tegen betaling beschikbaar is.</w:t>
      </w:r>
    </w:p>
    <w:p>
      <w:pPr>
        <w:pStyle w:val="BodyText"/>
      </w:pPr>
      <w:r>
        <w:rPr>
          <w:bCs/>
          <w:b/>
        </w:rPr>
        <w:t xml:space="preserve">NCT-nummer</w:t>
      </w:r>
      <w:r>
        <w:t xml:space="preserve">: geregistreerde studies vindt u op de pagina clinicaltrials.gov door het nummer in het zoekveld in te voeren of achter het adres clinicaltrials.gov/study/ te plakken, bijvoorbeeld clinicaltrials.gov/study/NCT03548935. Daar ziet u studieopzet, aantal deelnemers, eindpunten en de actuele status.</w:t>
      </w:r>
    </w:p>
    <w:bookmarkEnd w:id="32"/>
    <w:bookmarkStart w:id="33" w:name="wat-dit-boek-bewust-niet-bevat"/>
    <w:p>
      <w:pPr>
        <w:pStyle w:val="Heading3"/>
      </w:pPr>
      <w:r>
        <w:t xml:space="preserve">Wat dit boek bewust niet bevat</w:t>
      </w:r>
    </w:p>
    <w:p>
      <w:pPr>
        <w:numPr>
          <w:ilvl w:val="0"/>
          <w:numId w:val="1003"/>
        </w:numPr>
        <w:pStyle w:val="Compact"/>
      </w:pPr>
      <w:r>
        <w:rPr>
          <w:bCs/>
          <w:b/>
        </w:rPr>
        <w:t xml:space="preserve">Geen doseringen en gebruiksinstructies.</w:t>
      </w:r>
      <w:r>
        <w:t xml:space="preserve"> </w:t>
      </w:r>
      <w:r>
        <w:t xml:space="preserve">Er staat niet in hoeveel, hoe vaak of hoe lang een peptide gebruikt moet worden, er zijn geen instructies voor oplossen of injecteren en geen combinaties van meerdere stoffen. Bij geregistreerde geneesmiddelen verwijst het boek naar de productinformatie en de begeleiding door een arts.</w:t>
      </w:r>
    </w:p>
    <w:p>
      <w:pPr>
        <w:numPr>
          <w:ilvl w:val="0"/>
          <w:numId w:val="1003"/>
        </w:numPr>
        <w:pStyle w:val="Compact"/>
      </w:pPr>
      <w:r>
        <w:rPr>
          <w:bCs/>
          <w:b/>
        </w:rPr>
        <w:t xml:space="preserve">Geen verkooppunten.</w:t>
      </w:r>
      <w:r>
        <w:t xml:space="preserve"> </w:t>
      </w:r>
      <w:r>
        <w:t xml:space="preserve">Er worden geen webwinkels, fabrikanten, apotheken of landen genoemd waar men peptiden kan kopen, en er worden geen aanwijzingen gegeven hoe men controles omzeilt.</w:t>
      </w:r>
    </w:p>
    <w:p>
      <w:pPr>
        <w:numPr>
          <w:ilvl w:val="0"/>
          <w:numId w:val="1003"/>
        </w:numPr>
        <w:pStyle w:val="Compact"/>
      </w:pPr>
      <w:r>
        <w:rPr>
          <w:bCs/>
          <w:b/>
        </w:rPr>
        <w:t xml:space="preserve">Geen genezingsbeloften.</w:t>
      </w:r>
      <w:r>
        <w:t xml:space="preserve"> </w:t>
      </w:r>
      <w:r>
        <w:t xml:space="preserve">Het boek beschrijft wat in studies is waargenomen – niet wat een stof bij u teweeg zal brengen.</w:t>
      </w:r>
    </w:p>
    <w:p>
      <w:pPr>
        <w:numPr>
          <w:ilvl w:val="0"/>
          <w:numId w:val="1003"/>
        </w:numPr>
        <w:pStyle w:val="Compact"/>
      </w:pPr>
      <w:r>
        <w:rPr>
          <w:bCs/>
          <w:b/>
        </w:rPr>
        <w:t xml:space="preserve">Geen productaanbevelingen.</w:t>
      </w:r>
      <w:r>
        <w:t xml:space="preserve"> </w:t>
      </w:r>
      <w:r>
        <w:t xml:space="preserve">Er worden geen merken of aanbieders aanbevolen. Merknamen van geregistreerde geneesmiddelen worden alleen genoemd als dat nodig is voor het begrip.</w:t>
      </w:r>
    </w:p>
    <w:bookmarkEnd w:id="33"/>
    <w:bookmarkStart w:id="34" w:name="tot-slot"/>
    <w:p>
      <w:pPr>
        <w:pStyle w:val="Heading3"/>
      </w:pPr>
      <w:r>
        <w:t xml:space="preserve">Tot slot</w:t>
      </w:r>
    </w:p>
    <w:p>
      <w:pPr>
        <w:pStyle w:val="FirstParagraph"/>
      </w:pPr>
      <w:r>
        <w:t xml:space="preserve">Dit boek is een hulpmiddel om na te denken, geen gids voor zelfbehandeling. Als u na het lezen meer vragen hebt dan ervoor, is dat geen slecht teken: vaak is het eerlijkste antwoord op de vraag „Werkt dit peptide?” een „Dat weet nog niemand”.</w:t>
      </w:r>
    </w:p>
    <w:bookmarkEnd w:id="34"/>
    <w:bookmarkEnd w:id="35"/>
    <w:bookmarkStart w:id="36" w:name="colofon"/>
    <w:p>
      <w:pPr>
        <w:pStyle w:val="Heading1"/>
      </w:pPr>
      <w:r>
        <w:t xml:space="preserve">Colofon</w:t>
      </w:r>
    </w:p>
    <w:p>
      <w:pPr>
        <w:pStyle w:val="FirstParagraph"/>
      </w:pPr>
      <w:r>
        <w:rPr>
          <w:bCs/>
          <w:b/>
        </w:rPr>
        <w:t xml:space="preserve">Het peptidenhandboek</w:t>
      </w:r>
      <w:r>
        <w:t xml:space="preserve"> </w:t>
      </w:r>
      <w:r>
        <w:t xml:space="preserve">Alle studies bij mensen vergeleken – werking, risico’s, wetgeving en vooruitzichten</w:t>
      </w:r>
    </w:p>
    <w:p>
      <w:pPr>
        <w:pStyle w:val="BodyText"/>
      </w:pPr>
      <w:r>
        <w:t xml:space="preserve">© 2026 Josef Gallab. Alle rechten voorbehouden.</w:t>
      </w:r>
    </w:p>
    <w:p>
      <w:pPr>
        <w:pStyle w:val="BodyText"/>
      </w:pPr>
      <w:r>
        <w:t xml:space="preserve">Eerste druk. Stand van het onderzoek: oktober/november 2026. Vertaald uit het Duitse origineel.</w:t>
      </w:r>
    </w:p>
    <w:p>
      <w:pPr>
        <w:pStyle w:val="BodyText"/>
      </w:pPr>
      <w:r>
        <w:t xml:space="preserve">Dit boek dient uitsluitend ter informatie. Het vervangt geen medisch advies, diagnose of behandeling</w:t>
      </w:r>
      <w:r>
        <w:t xml:space="preserve"> </w:t>
      </w:r>
      <w:r>
        <w:t xml:space="preserve">en bevat geen gebruiksaanbevelingen. Veel van de beschreven stoffen zijn niet als geneesmiddel toegelaten.</w:t>
      </w:r>
    </w:p>
    <w:p>
      <w:pPr>
        <w:pStyle w:val="BodyText"/>
      </w:pPr>
      <w:r>
        <w:t xml:space="preserve">Omslag: Josef Gallab</w:t>
      </w:r>
    </w:p>
    <w:p>
      <w:pPr>
        <w:pStyle w:val="BodyText"/>
      </w:pPr>
      <w:r>
        <w:t xml:space="preserve">Niets uit deze uitgave mag zonder schriftelijke toestemming van de auteur worden verveelvoudigd of verspreid.</w:t>
      </w:r>
    </w:p>
    <w:bookmarkEnd w:id="36"/>
    <w:bookmarkStart w:id="129" w:name="deel-i-basis"/>
    <w:p>
      <w:pPr>
        <w:pStyle w:val="Heading1"/>
      </w:pPr>
      <w:r>
        <w:t xml:space="preserve">Deel I – Basis</w:t>
      </w:r>
    </w:p>
    <w:p>
      <w:pPr>
        <w:pStyle w:val="FirstParagraph"/>
      </w:pPr>
      <w:r>
        <w:t xml:space="preserve">Voordat het in deel II over afzonderlijke werkzame stoffen gaat, legt dit deel het fundament. U leert wat een peptide chemisch eigenlijk is, hoe binnen een eeuw uit een extract van alvleesklieren van honden een van de best verkopende geneesmiddelgroepen ter wereld is ontstaan, waarom de meeste peptiden geïnjecteerd moeten worden, hoe u een studie leest zonder u door krantenkoppen te laten misleiden, wat er op de grijze markt werkelijk in de flesjes zit en welke juridische regels gelden.</w:t>
      </w:r>
    </w:p>
    <w:p>
      <w:pPr>
        <w:pStyle w:val="BodyText"/>
      </w:pPr>
      <w:r>
        <w:t xml:space="preserve">Wie alleen een bepaald peptide wil opzoeken, kan direct naar deel II springen. De hoofdstukken van dit deel leggen echter de begrippen en maatstaven uit die daar voortdurend worden gebruikt – zoals „gerandomiseerd”, „surrogaateindpunt”, „bewijsniveau B” of „research peptide”. Een korte blik loont daarom ook voor lezers met weinig tijd.</w:t>
      </w:r>
    </w:p>
    <w:bookmarkStart w:id="48" w:name="wat-peptiden-zijn-en-wat-niet"/>
    <w:p>
      <w:pPr>
        <w:pStyle w:val="Heading2"/>
      </w:pPr>
      <w:r>
        <w:t xml:space="preserve">Wat peptiden zijn – en wat niet</w:t>
      </w:r>
    </w:p>
    <w:p>
      <w:pPr>
        <w:pStyle w:val="FirstParagraph"/>
      </w:pPr>
      <w:r>
        <w:t xml:space="preserve">Het woord „peptide” heeft de afgelopen jaren een verbazingwekkende carrière gemaakt. Het staat op huidcrèmes en eiwitpoeders, in advertenties voor afslankinjecties en op online fora waar over „genezingspeptiden” wordt gediscussieerd. Toch duidt het begrip in de eerste plaats alleen een bepaalde chemische bouw aan – niet meer en niet minder. Het zegt niets over de vraag of een stof werkt, of ze veilig is of of ze überhaupt in het lichaam terechtkomt. Dit hoofdstuk verduidelijkt de basisbegrippen en rekent af met enkele wijdverbreide misverstanden.</w:t>
      </w:r>
    </w:p>
    <w:bookmarkStart w:id="37" w:name="aminozuren-de-bouwstenen"/>
    <w:p>
      <w:pPr>
        <w:pStyle w:val="Heading3"/>
      </w:pPr>
      <w:r>
        <w:t xml:space="preserve">Aminozuren: de bouwstenen</w:t>
      </w:r>
    </w:p>
    <w:p>
      <w:pPr>
        <w:pStyle w:val="FirstParagraph"/>
      </w:pPr>
      <w:r>
        <w:t xml:space="preserve">Alle peptiden en eiwitten bestaan uit aminozuren. Een aminozuur is een klein molecuul met twee typische onderdelen: een aminogroep (die stikstof bevat) en een zuurgroep (carboxylgroep). Daartussen zit een centraal koolstofatoom waaraan een zogeheten zijketen hangt. Die zijketen onderscheidt de aminozuren van elkaar: ze kan klein en onopvallend zijn zoals bij glycine, olieachtig en waterafstotend zoals bij leucine, elektrisch geladen zoals bij lysine of zwavelhoudend zoals bij cysteïne.</w:t>
      </w:r>
    </w:p>
    <w:p>
      <w:pPr>
        <w:pStyle w:val="BodyText"/>
      </w:pPr>
      <w:r>
        <w:t xml:space="preserve">Het menselijk lichaam bouwt zijn eiwitten in wezen op uit 20 standaardaminozuren. Sommige daarvan kan het zelf aanmaken, andere – de „essentiële” aminozuren – moet het via de voeding opnemen. Daarnaast bestaan er honderden andere aminozuren die in de natuur voorkomen of in het laboratorium worden gemaakt. Voor de ontwikkeling van geneesmiddelen zijn zulke „niet-natuurlijke” aminozuren belangrijk, omdat ze een peptide stabieler kunnen maken. Een voorbeeld vindt u verderop bij semaglutide.</w:t>
      </w:r>
    </w:p>
    <w:p>
      <w:pPr>
        <w:pStyle w:val="BodyText"/>
      </w:pPr>
      <w:r>
        <w:t xml:space="preserve">Belangrijk om veel reclamebeloften te begrijpen: losse aminozuren zijn geen peptiden. Een voedingssupplement met arginine, glutamine of „BCAA” bevat vrije aminozuren, dus losse bouwstenen – geen peptide.</w:t>
      </w:r>
    </w:p>
    <w:bookmarkEnd w:id="37"/>
    <w:bookmarkStart w:id="38" w:name="de-peptidebinding"/>
    <w:p>
      <w:pPr>
        <w:pStyle w:val="Heading3"/>
      </w:pPr>
      <w:r>
        <w:t xml:space="preserve">De peptidebinding</w:t>
      </w:r>
    </w:p>
    <w:p>
      <w:pPr>
        <w:pStyle w:val="FirstParagraph"/>
      </w:pPr>
      <w:r>
        <w:t xml:space="preserve">Wanneer twee aminozuren zich met elkaar verbinden, reageert de zuurgroep van het ene met de aminogroep van het andere. Daarbij wordt een watermolecuul afgesplitst en ontstaat een stabiele verbinding: de peptidebinding. Het resultaat heet een dipeptide. Hangt men er nog een aminozuur aan, dan ontstaat een tripeptide, daarna een tetrapeptide enzovoort. Zo’n keten heeft altijd een richting: ze begint met een vrije aminogroep (de „N-terminus”) en eindigt met een vrije zuurgroep (de „C-terminus”). In vakartikelen worden aminozuren daarom altijd van links naar rechts, van het N- naar het C-uiteinde, opgeschreven – vaak met afkortingen van één letter. Het tripeptide „GHK” staat bijvoorbeeld voor glycine–histidine–lysine.</w:t>
      </w:r>
    </w:p>
    <w:p>
      <w:pPr>
        <w:pStyle w:val="BodyText"/>
      </w:pPr>
      <w:r>
        <w:t xml:space="preserve">De volgorde van de aminozuren noemt men sequentie of primaire structuur. Die is beslissend: twee peptiden uit dezelfde bouwstenen in een andere volgorde zijn verschillende stoffen met verschillende eigenschappen – zoals „roos” en „soor” uit dezelfde letters bestaan.</w:t>
      </w:r>
    </w:p>
    <w:bookmarkEnd w:id="38"/>
    <w:bookmarkStart w:id="39" w:name="peptide-of-eiwit-een-kwestie-van-lengte"/>
    <w:p>
      <w:pPr>
        <w:pStyle w:val="Heading3"/>
      </w:pPr>
      <w:r>
        <w:t xml:space="preserve">Peptide of eiwit? Een kwestie van lengte</w:t>
      </w:r>
    </w:p>
    <w:p>
      <w:pPr>
        <w:pStyle w:val="FirstParagraph"/>
      </w:pPr>
      <w:r>
        <w:t xml:space="preserve">Tussen peptiden en eiwitten bestaat geen scherpe natuurwetenschappelijke grens, maar een conventie. Grofweg geldt:</w:t>
      </w:r>
    </w:p>
    <w:p>
      <w:pPr>
        <w:numPr>
          <w:ilvl w:val="0"/>
          <w:numId w:val="1004"/>
        </w:numPr>
        <w:pStyle w:val="Compact"/>
      </w:pPr>
      <w:r>
        <w:rPr>
          <w:bCs/>
          <w:b/>
        </w:rPr>
        <w:t xml:space="preserve">Oligopeptiden</w:t>
      </w:r>
      <w:r>
        <w:t xml:space="preserve">: ongeveer 2 tot 10 aminozuren, bijvoorbeeld het tripeptide glutathion of het dipeptide carnosine.</w:t>
      </w:r>
    </w:p>
    <w:p>
      <w:pPr>
        <w:numPr>
          <w:ilvl w:val="0"/>
          <w:numId w:val="1004"/>
        </w:numPr>
        <w:pStyle w:val="Compact"/>
      </w:pPr>
      <w:r>
        <w:rPr>
          <w:bCs/>
          <w:b/>
        </w:rPr>
        <w:t xml:space="preserve">Polypeptiden</w:t>
      </w:r>
      <w:r>
        <w:t xml:space="preserve">: langere ketens tot ongeveer 50 aminozuren.</w:t>
      </w:r>
    </w:p>
    <w:p>
      <w:pPr>
        <w:numPr>
          <w:ilvl w:val="0"/>
          <w:numId w:val="1004"/>
        </w:numPr>
        <w:pStyle w:val="Compact"/>
      </w:pPr>
      <w:r>
        <w:rPr>
          <w:bCs/>
          <w:b/>
        </w:rPr>
        <w:t xml:space="preserve">Eiwitten (proteïnen)</w:t>
      </w:r>
      <w:r>
        <w:t xml:space="preserve">: grotere moleculen, meestal met meer dan 50 aminozuren en een vaste ruimtelijke vouwing.</w:t>
      </w:r>
    </w:p>
    <w:p>
      <w:pPr>
        <w:pStyle w:val="FirstParagraph"/>
      </w:pPr>
      <w:r>
        <w:t xml:space="preserve">Insuline ligt met 51 aminozuren precies op deze grens. Het bestaat uit twee ketens die via zwavelbruggen verbonden zijn, en wordt afhankelijk van het leerboek een peptide of een klein eiwit genoemd. Het menselijk groeihormoon is daarentegen duidelijk een eiwit: de meest voorkomende vorm bestaat uit 191 aminozuren en weegt ongeveer 22.000 dalton (Krug 2018, PMID 29864719). Dalton is de eenheid voor de massa van moleculen; een gemiddeld aminozuur in een keten weegt iets meer dan 100 dalton.</w:t>
      </w:r>
    </w:p>
    <w:p>
      <w:pPr>
        <w:pStyle w:val="BodyText"/>
      </w:pPr>
      <w:r>
        <w:t xml:space="preserve">Enkele voorbeelden uit dit boek ter oriëntatie: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Stof</w:t>
            </w:r>
          </w:p>
        </w:tc>
        <w:tc>
          <w:tcPr/>
          <w:p>
            <w:pPr>
              <w:pStyle w:val="Compact"/>
              <w:jc w:val="left"/>
            </w:pPr>
            <w:r>
              <w:t xml:space="preserve">Lengte</w:t>
            </w:r>
          </w:p>
        </w:tc>
        <w:tc>
          <w:tcPr/>
          <w:p>
            <w:pPr>
              <w:pStyle w:val="Compact"/>
              <w:jc w:val="left"/>
            </w:pPr>
            <w:r>
              <w:t xml:space="preserve">Opmerking</w:t>
            </w:r>
          </w:p>
        </w:tc>
      </w:tr>
      <w:tr>
        <w:tc>
          <w:tcPr/>
          <w:p>
            <w:pPr>
              <w:pStyle w:val="Compact"/>
              <w:jc w:val="left"/>
            </w:pPr>
            <w:r>
              <w:t xml:space="preserve">Carnosine</w:t>
            </w:r>
          </w:p>
        </w:tc>
        <w:tc>
          <w:tcPr/>
          <w:p>
            <w:pPr>
              <w:pStyle w:val="Compact"/>
              <w:jc w:val="left"/>
            </w:pPr>
            <w:r>
              <w:t xml:space="preserve">2 aminozuren</w:t>
            </w:r>
          </w:p>
        </w:tc>
        <w:tc>
          <w:tcPr/>
          <w:p>
            <w:pPr>
              <w:pStyle w:val="Compact"/>
              <w:jc w:val="left"/>
            </w:pPr>
            <w:r>
              <w:t xml:space="preserve">komt voor in spieren</w:t>
            </w:r>
          </w:p>
        </w:tc>
      </w:tr>
      <w:tr>
        <w:tc>
          <w:tcPr/>
          <w:p>
            <w:pPr>
              <w:pStyle w:val="Compact"/>
              <w:jc w:val="left"/>
            </w:pPr>
            <w:r>
              <w:t xml:space="preserve">Glutathion</w:t>
            </w:r>
          </w:p>
        </w:tc>
        <w:tc>
          <w:tcPr/>
          <w:p>
            <w:pPr>
              <w:pStyle w:val="Compact"/>
              <w:jc w:val="left"/>
            </w:pPr>
            <w:r>
              <w:t xml:space="preserve">3 aminozuren</w:t>
            </w:r>
          </w:p>
        </w:tc>
        <w:tc>
          <w:tcPr/>
          <w:p>
            <w:pPr>
              <w:pStyle w:val="Compact"/>
              <w:jc w:val="left"/>
            </w:pPr>
            <w:r>
              <w:t xml:space="preserve">lichaamseigen beschermmolecuul</w:t>
            </w:r>
          </w:p>
        </w:tc>
      </w:tr>
      <w:tr>
        <w:tc>
          <w:tcPr/>
          <w:p>
            <w:pPr>
              <w:pStyle w:val="Compact"/>
              <w:jc w:val="left"/>
            </w:pPr>
            <w:r>
              <w:t xml:space="preserve">Oxytocine</w:t>
            </w:r>
          </w:p>
        </w:tc>
        <w:tc>
          <w:tcPr/>
          <w:p>
            <w:pPr>
              <w:pStyle w:val="Compact"/>
              <w:jc w:val="left"/>
            </w:pPr>
            <w:r>
              <w:t xml:space="preserve">9 aminozuren</w:t>
            </w:r>
          </w:p>
        </w:tc>
        <w:tc>
          <w:tcPr/>
          <w:p>
            <w:pPr>
              <w:pStyle w:val="Compact"/>
              <w:jc w:val="left"/>
            </w:pPr>
            <w:r>
              <w:t xml:space="preserve">hormoon, ringvormig gebouwd</w:t>
            </w:r>
          </w:p>
        </w:tc>
      </w:tr>
      <w:tr>
        <w:tc>
          <w:tcPr/>
          <w:p>
            <w:pPr>
              <w:pStyle w:val="Compact"/>
              <w:jc w:val="left"/>
            </w:pPr>
            <w:r>
              <w:t xml:space="preserve">GLP-1 (actieve vorm)</w:t>
            </w:r>
          </w:p>
        </w:tc>
        <w:tc>
          <w:tcPr/>
          <w:p>
            <w:pPr>
              <w:pStyle w:val="Compact"/>
              <w:jc w:val="left"/>
            </w:pPr>
            <w:r>
              <w:t xml:space="preserve">30 aminozuren</w:t>
            </w:r>
          </w:p>
        </w:tc>
        <w:tc>
          <w:tcPr/>
          <w:p>
            <w:pPr>
              <w:pStyle w:val="Compact"/>
              <w:jc w:val="left"/>
            </w:pPr>
            <w:r>
              <w:t xml:space="preserve">darmhormoon</w:t>
            </w:r>
          </w:p>
        </w:tc>
      </w:tr>
      <w:tr>
        <w:tc>
          <w:tcPr/>
          <w:p>
            <w:pPr>
              <w:pStyle w:val="Compact"/>
              <w:jc w:val="left"/>
            </w:pPr>
            <w:r>
              <w:t xml:space="preserve">Exendine-4 (exenatide)</w:t>
            </w:r>
          </w:p>
        </w:tc>
        <w:tc>
          <w:tcPr/>
          <w:p>
            <w:pPr>
              <w:pStyle w:val="Compact"/>
              <w:jc w:val="left"/>
            </w:pPr>
            <w:r>
              <w:t xml:space="preserve">39 aminozuren</w:t>
            </w:r>
          </w:p>
        </w:tc>
        <w:tc>
          <w:tcPr/>
          <w:p>
            <w:pPr>
              <w:pStyle w:val="Compact"/>
              <w:jc w:val="left"/>
            </w:pPr>
            <w:r>
              <w:t xml:space="preserve">uit hagedissengif</w:t>
            </w:r>
          </w:p>
        </w:tc>
      </w:tr>
      <w:tr>
        <w:tc>
          <w:tcPr/>
          <w:p>
            <w:pPr>
              <w:pStyle w:val="Compact"/>
              <w:jc w:val="left"/>
            </w:pPr>
            <w:r>
              <w:t xml:space="preserve">Insuline</w:t>
            </w:r>
          </w:p>
        </w:tc>
        <w:tc>
          <w:tcPr/>
          <w:p>
            <w:pPr>
              <w:pStyle w:val="Compact"/>
              <w:jc w:val="left"/>
            </w:pPr>
            <w:r>
              <w:t xml:space="preserve">51 aminozuren</w:t>
            </w:r>
          </w:p>
        </w:tc>
        <w:tc>
          <w:tcPr/>
          <w:p>
            <w:pPr>
              <w:pStyle w:val="Compact"/>
              <w:jc w:val="left"/>
            </w:pPr>
            <w:r>
              <w:t xml:space="preserve">twee ketens</w:t>
            </w:r>
          </w:p>
        </w:tc>
      </w:tr>
      <w:tr>
        <w:tc>
          <w:tcPr/>
          <w:p>
            <w:pPr>
              <w:pStyle w:val="Compact"/>
              <w:jc w:val="left"/>
            </w:pPr>
            <w:r>
              <w:t xml:space="preserve">Groeihormoon</w:t>
            </w:r>
          </w:p>
        </w:tc>
        <w:tc>
          <w:tcPr/>
          <w:p>
            <w:pPr>
              <w:pStyle w:val="Compact"/>
              <w:jc w:val="left"/>
            </w:pPr>
            <w:r>
              <w:t xml:space="preserve">191 aminozuren</w:t>
            </w:r>
          </w:p>
        </w:tc>
        <w:tc>
          <w:tcPr/>
          <w:p>
            <w:pPr>
              <w:pStyle w:val="Compact"/>
              <w:jc w:val="left"/>
            </w:pPr>
            <w:r>
              <w:t xml:space="preserve">eiwit</w:t>
            </w:r>
          </w:p>
        </w:tc>
      </w:tr>
    </w:tbl>
    <w:p>
      <w:pPr>
        <w:pStyle w:val="BodyText"/>
      </w:pPr>
      <w:r>
        <w:t xml:space="preserve">De lengte van exendine-4 wordt vermeld in de eerste beschrijving (Eng 1992, PMID 1313797); de overige gegevens komen overeen met de leerboekkennis.</w:t>
      </w:r>
    </w:p>
    <w:p>
      <w:pPr>
        <w:pStyle w:val="BodyText"/>
      </w:pPr>
      <w:r>
        <w:t xml:space="preserve">In de praktijk is de lengte om meerdere redenen belangrijk. Korte peptiden zijn eenvoudiger en goedkoper chemisch te maken. Lange ketens vouwen zich tot complexe vormen die onmisbaar kunnen zijn voor de werking. En hoe groter een molecuul, hoe moeilijker het door de huid of de darmwand komt – daarover meer in het hoofdstuk over de toedieningsvormen.</w:t>
      </w:r>
    </w:p>
    <w:bookmarkEnd w:id="39"/>
    <w:bookmarkStart w:id="40" w:name="hoe-peptiden-in-het-lichaam-werken"/>
    <w:p>
      <w:pPr>
        <w:pStyle w:val="Heading3"/>
      </w:pPr>
      <w:r>
        <w:t xml:space="preserve">Hoe peptiden in het lichaam werken</w:t>
      </w:r>
    </w:p>
    <w:p>
      <w:pPr>
        <w:pStyle w:val="FirstParagraph"/>
      </w:pPr>
      <w:r>
        <w:t xml:space="preserve">Het menselijk lichaam gebruikt peptiden vooral als boodschapperstoffen. Een peptidehormoon wordt in een cel aangemaakt, aan het bloed of het weefsel afgegeven en koppelt bij een andere cel aan een passende receptor. Receptoren zijn eiwitmoleculen in de celwand die als een slot werken: alleen de passende sleutel zet in het celinnerste een signaal in gang.</w:t>
      </w:r>
    </w:p>
    <w:p>
      <w:pPr>
        <w:pStyle w:val="BodyText"/>
      </w:pPr>
      <w:r>
        <w:t xml:space="preserve">Omdat peptiden meestal te groot en te goed in water oplosbaar zijn om door de vettige celmembraan heen te glippen, werken de meeste via receptoren aan het celoppervlak. Veel daarvan behoren tot de grote familie van G-eiwitgekoppelde receptoren. De GLP-1-receptor, waarlangs semaglutide of liraglutide werken, is zo’n receptor. Hij komt niet alleen voor in de alvleesklier, maar ook in het maag-darmkanaal, het hart, de longen, de nieren en de hersenen (Knudsen 2019, PMID 31031702) – dat verklaart waarom deze werkzame stoffen zoveel verschillende effecten hebben.</w:t>
      </w:r>
    </w:p>
    <w:p>
      <w:pPr>
        <w:pStyle w:val="BodyText"/>
      </w:pPr>
      <w:r>
        <w:t xml:space="preserve">Peptiden vervullen in het lichaam zeer uiteenlopende taken:</w:t>
      </w:r>
    </w:p>
    <w:p>
      <w:pPr>
        <w:numPr>
          <w:ilvl w:val="0"/>
          <w:numId w:val="1005"/>
        </w:numPr>
        <w:pStyle w:val="Compact"/>
      </w:pPr>
      <w:r>
        <w:rPr>
          <w:bCs/>
          <w:b/>
        </w:rPr>
        <w:t xml:space="preserve">Hormonen</w:t>
      </w:r>
      <w:r>
        <w:t xml:space="preserve"> </w:t>
      </w:r>
      <w:r>
        <w:t xml:space="preserve">zoals insuline, glucagon, GLP-1, oxytocine of vasopressine sturen de stofwisseling, de waterhuishouding en de voortplanting.</w:t>
      </w:r>
    </w:p>
    <w:p>
      <w:pPr>
        <w:numPr>
          <w:ilvl w:val="0"/>
          <w:numId w:val="1005"/>
        </w:numPr>
        <w:pStyle w:val="Compact"/>
      </w:pPr>
      <w:r>
        <w:rPr>
          <w:bCs/>
          <w:b/>
        </w:rPr>
        <w:t xml:space="preserve">Releasingfactoren</w:t>
      </w:r>
      <w:r>
        <w:t xml:space="preserve"> </w:t>
      </w:r>
      <w:r>
        <w:t xml:space="preserve">uit de hypothalamus, zoals het gonadotropine-releasing hormoon (GnRH), geven de hypofyse opdrachten.</w:t>
      </w:r>
    </w:p>
    <w:p>
      <w:pPr>
        <w:numPr>
          <w:ilvl w:val="0"/>
          <w:numId w:val="1005"/>
        </w:numPr>
        <w:pStyle w:val="Compact"/>
      </w:pPr>
      <w:r>
        <w:rPr>
          <w:bCs/>
          <w:b/>
        </w:rPr>
        <w:t xml:space="preserve">Neuropeptiden</w:t>
      </w:r>
      <w:r>
        <w:t xml:space="preserve"> </w:t>
      </w:r>
      <w:r>
        <w:t xml:space="preserve">zoals endorfines werken als signaalstoffen in het zenuwstelsel.</w:t>
      </w:r>
    </w:p>
    <w:p>
      <w:pPr>
        <w:numPr>
          <w:ilvl w:val="0"/>
          <w:numId w:val="1005"/>
        </w:numPr>
        <w:pStyle w:val="Compact"/>
      </w:pPr>
      <w:r>
        <w:rPr>
          <w:bCs/>
          <w:b/>
        </w:rPr>
        <w:t xml:space="preserve">Antimicrobiële peptiden</w:t>
      </w:r>
      <w:r>
        <w:t xml:space="preserve"> </w:t>
      </w:r>
      <w:r>
        <w:t xml:space="preserve">zoals LL-37 maken deel uit van de aangeboren afweer.</w:t>
      </w:r>
    </w:p>
    <w:p>
      <w:pPr>
        <w:numPr>
          <w:ilvl w:val="0"/>
          <w:numId w:val="1005"/>
        </w:numPr>
        <w:pStyle w:val="Compact"/>
      </w:pPr>
      <w:r>
        <w:rPr>
          <w:bCs/>
          <w:b/>
        </w:rPr>
        <w:t xml:space="preserve">Structuurbouwstenen en afbraakproducten</w:t>
      </w:r>
      <w:r>
        <w:t xml:space="preserve">: wanneer collageen of melkeiwit wordt verteerd, ontstaan korte peptiden, waarvan sommige in het bloed aantoonbaar zijn.</w:t>
      </w:r>
    </w:p>
    <w:p>
      <w:pPr>
        <w:pStyle w:val="FirstParagraph"/>
      </w:pPr>
      <w:r>
        <w:t xml:space="preserve">Deze verscheidenheid verklaart waarom onder het begrip „peptide” zulke verschillende stoffen worden samengebracht: een zeer werkzaam diabetesgeneesmiddel op recept net zo goed als een collageenpoeder uit de supermarkt.</w:t>
      </w:r>
    </w:p>
    <w:bookmarkEnd w:id="40"/>
    <w:bookmarkStart w:id="41" w:name="X1d0a827285dedf3bc8c2c210ea68b464cdb2c79"/>
    <w:p>
      <w:pPr>
        <w:pStyle w:val="Heading3"/>
      </w:pPr>
      <w:r>
        <w:t xml:space="preserve">Korte levensduur: het basisprobleem van natuurlijke peptiden</w:t>
      </w:r>
    </w:p>
    <w:p>
      <w:pPr>
        <w:pStyle w:val="FirstParagraph"/>
      </w:pPr>
      <w:r>
        <w:t xml:space="preserve">Lichaamseigen peptiden zijn meestal gebouwd voor een korte, precieze werking. Het lichaam beschikt over een groot aantal enzymen die peptidebindingen splitsen – zogeheten peptidasen of proteasen. Dat is zinvol: een hormoonsignaal moet na het eten komen en weer gaan.</w:t>
      </w:r>
    </w:p>
    <w:p>
      <w:pPr>
        <w:pStyle w:val="BodyText"/>
      </w:pPr>
      <w:r>
        <w:t xml:space="preserve">Voor een geneesmiddel is die korte levensduur echter een probleem. Het natuurlijke GLP-1 wordt door het enzym dipeptidylpeptidase-4 (DPP-4) snel in stukken geknipt. In menselijk bloedplasma in de reageerbuis bedroeg de halfwaardetijd ongeveer 20 minuten (Deacon 1995, PMID 7883856); in het lichaam wordt GLP-1 bovendien snel uit de circulatie verwijderd. Als geneesmiddel zou onveranderd GLP-1 daarom nauwelijks bruikbaar zijn.</w:t>
      </w:r>
    </w:p>
    <w:p>
      <w:pPr>
        <w:pStyle w:val="BodyText"/>
      </w:pPr>
      <w:r>
        <w:t xml:space="preserve">De oplossing van het farmaceutisch onderzoek bestond erin het molecuul gericht te veranderen. Bij semaglutide werden twee aminozuren van het natuurlijke GLP-1 vervangen – op positie 8 staat het niet-natuurlijke aminozuur Aib, dat het molecuul tegen DPP-4 beschermt – en aan de keten werd via een verbindingsstuk een vetzuur gehangen. Het vetzuur zorgt ervoor dat semaglutide in het bloed reversibel aan het transporteiwit albumine bindt (Lau 2015, PMID 26308095). Zo ontstaat een depot waaruit de werkzame stof langzaam vrijkomt. De halfwaardetijd bij de mens bedraagt ongeveer een week (Marso 2016, PMID 27633186) – daarom volstaat één injectie per week.</w:t>
      </w:r>
    </w:p>
    <w:p>
      <w:pPr>
        <w:pStyle w:val="BodyText"/>
      </w:pPr>
      <w:r>
        <w:t xml:space="preserve">Dit principe – natuurlijk voorbeeld, gericht gestabiliseerd – loopt als een rode draad door de moderne peptidegeneeskunde. Het betekent echter ook: een peptidegeneesmiddel is meestal</w:t>
      </w:r>
      <w:r>
        <w:t xml:space="preserve"> </w:t>
      </w:r>
      <w:r>
        <w:rPr>
          <w:bCs/>
          <w:b/>
        </w:rPr>
        <w:t xml:space="preserve">geen</w:t>
      </w:r>
      <w:r>
        <w:t xml:space="preserve"> </w:t>
      </w:r>
      <w:r>
        <w:t xml:space="preserve">„natuurlijke” stof in de zin van onveranderd lichaamseigen. Het is een molecuul dat door de natuur is geïnspireerd, maar in het laboratorium is geoptimaliseerd.</w:t>
      </w:r>
    </w:p>
    <w:bookmarkEnd w:id="41"/>
    <w:bookmarkStart w:id="42" w:name="hoe-peptiden-worden-gemaakt"/>
    <w:p>
      <w:pPr>
        <w:pStyle w:val="Heading3"/>
      </w:pPr>
      <w:r>
        <w:t xml:space="preserve">Hoe peptiden worden gemaakt</w:t>
      </w:r>
    </w:p>
    <w:p>
      <w:pPr>
        <w:pStyle w:val="FirstParagraph"/>
      </w:pPr>
      <w:r>
        <w:t xml:space="preserve">Er zijn drie fundamentele manieren om peptiden te verkrijgen:</w:t>
      </w:r>
    </w:p>
    <w:p>
      <w:pPr>
        <w:pStyle w:val="BodyText"/>
      </w:pPr>
      <w:r>
        <w:rPr>
          <w:bCs/>
          <w:b/>
        </w:rPr>
        <w:t xml:space="preserve">Chemische synthese.</w:t>
      </w:r>
      <w:r>
        <w:t xml:space="preserve"> </w:t>
      </w:r>
      <w:r>
        <w:t xml:space="preserve">Sinds de jaren 1960 worden peptiden bouwsteen voor bouwsteen op een vast dragermateriaal opgebouwd. Deze methode van vastefase-peptidesynthese werd ontwikkeld door Robert Bruce Merrifield (Merrifield 1969, PMID 4307033), die daarvoor in 1984 de Nobelprijs voor de Scheikunde kreeg. Tegenwoordig verlopen zulke syntheses grotendeels automatisch. Ze vormen de basis van bijna alle korte peptiden, ook van die welke op de grijze markt worden aangeboden. Bij elke koppelingsstap kunnen echter fouten ontstaan – bijvoorbeeld ontbrekende of dubbele aminozuren. Een zorgvuldige zuiveringsstap is daarom onmisbaar.</w:t>
      </w:r>
    </w:p>
    <w:p>
      <w:pPr>
        <w:pStyle w:val="BodyText"/>
      </w:pPr>
      <w:r>
        <w:rPr>
          <w:bCs/>
          <w:b/>
        </w:rPr>
        <w:t xml:space="preserve">Genetisch gemodificeerde (recombinante) productie.</w:t>
      </w:r>
      <w:r>
        <w:t xml:space="preserve"> </w:t>
      </w:r>
      <w:r>
        <w:t xml:space="preserve">Daarbij wordt de bouwinstructie voor het peptide in bacteriën of gistcellen ingebracht, die het vervolgens in grote tanks produceren. Humane insuline was het eerste geneesmiddel dat zo werd gemaakt; in klinische studies bij mensen werd het vanaf 1980 gebruikt (The 1989, PMID 2690608). Grotere peptiden en eiwitten worden tot op heden overwegend op deze manier verkregen, deels gecombineerd met chemische modificatiestappen.</w:t>
      </w:r>
    </w:p>
    <w:p>
      <w:pPr>
        <w:pStyle w:val="BodyText"/>
      </w:pPr>
      <w:r>
        <w:rPr>
          <w:bCs/>
          <w:b/>
        </w:rPr>
        <w:t xml:space="preserve">Winning uit natuurlijke bronnen.</w:t>
      </w:r>
      <w:r>
        <w:t xml:space="preserve"> </w:t>
      </w:r>
      <w:r>
        <w:t xml:space="preserve">Vroege insulines werden gewonnen uit alvleesklieren van runderen en varkens. Collageenpeptiden ontstaan tegenwoordig doordat collageen uit huid, botten of visschubben met enzymen in kleinere stukken wordt gesplitst (hydrolyse). Zulke hydrolysaten zijn mengsels van veel verschillende peptiden – geen uniforme werkzame stof.</w:t>
      </w:r>
    </w:p>
    <w:p>
      <w:pPr>
        <w:pStyle w:val="BodyText"/>
      </w:pPr>
      <w:r>
        <w:t xml:space="preserve">De productiewijze is van belang voor de veiligheid. Een onderzoek vergeleek namaakproducten van semaglutide en liraglutide met de originele preparaten en vond bij sommige werkzame stoffen van namaakproducten nieuwe verontreinigingen, waaronder eiwitten met een hoger moleculegewicht, sporenmetalen en resten van oplosmiddelen (Hach 2024, PMID 39379664). Of zulke verschillen klinisch relevant zijn, is onduidelijk – ze laten echter zien dat „dezelfde werkzame stof” niet automatisch „hetzelfde product” betekent. Het onderzoek werd overigens uitgevoerd door de fabrikant van de originele preparaten, waarmee bij de beoordeling rekening moet worden gehouden.</w:t>
      </w:r>
    </w:p>
    <w:bookmarkEnd w:id="42"/>
    <w:bookmarkStart w:id="43" w:name="X18efa93daf1608cc322c55ee9de6aa97ff0b3d3"/>
    <w:p>
      <w:pPr>
        <w:pStyle w:val="Heading3"/>
      </w:pPr>
      <w:r>
        <w:t xml:space="preserve">Peptiden als geneesmiddel: een groeiende groep</w:t>
      </w:r>
    </w:p>
    <w:p>
      <w:pPr>
        <w:pStyle w:val="FirstParagraph"/>
      </w:pPr>
      <w:r>
        <w:t xml:space="preserve">Peptiden bezetten een niche tussen de klassieke „kleine moleculen” (zoals aspirine of metformine) en de grote biologische geneesmiddelen (zoals antilichamen). Ze kunnen zeer gericht aan een receptor binden, wat vaak leidt tot weinig ongewenste bijwerkingen op andere plaatsen. Tegelijk zijn ze moeilijker in tabletvorm te brengen en vaak duur om te maken.</w:t>
      </w:r>
    </w:p>
    <w:p>
      <w:pPr>
        <w:pStyle w:val="BodyText"/>
      </w:pPr>
      <w:r>
        <w:t xml:space="preserve">Volgens een overzichtsartikel hebben sinds de introductie van insuline meer dan 80 peptidegeneesmiddelen de markt bereikt, onder meer tegen diabetes, kanker, osteoporose, multiple sclerose, hiv-infectie en chronische pijn (Muttenthaler 2021, PMID 33536635). Een andere analyse telde meer dan 150 peptiden in actieve klinische ontwikkeling (Lau 2018, PMID 28720325). De aantallen verschillen afhankelijk van de telwijze, maar wijzen in dezelfde richting: peptiden zijn een vast en groeiend onderdeel van de geneeskunde.</w:t>
      </w:r>
    </w:p>
    <w:p>
      <w:pPr>
        <w:pStyle w:val="BodyText"/>
      </w:pPr>
      <w:r>
        <w:t xml:space="preserve">Veel geneesmiddelpeptiden kent u misschien zonder ze als peptiden te hebben herkend: insuline, het osteoporosemiddel teriparatide (een fragment van het bijschildklierhormoon van 34 aminozuren), werkzame stoffen tegen prostaatkanker die het GnRH-systeem beïnvloeden, het weeënmiddel oxytocine of het antibioticum vancomycine, een glycopeptide.</w:t>
      </w:r>
    </w:p>
    <w:bookmarkEnd w:id="43"/>
    <w:bookmarkStart w:id="44" w:name="wat-peptiden-niet-zijn"/>
    <w:p>
      <w:pPr>
        <w:pStyle w:val="Heading3"/>
      </w:pPr>
      <w:r>
        <w:t xml:space="preserve">Wat peptiden niet zijn</w:t>
      </w:r>
    </w:p>
    <w:p>
      <w:pPr>
        <w:pStyle w:val="FirstParagraph"/>
      </w:pPr>
      <w:r>
        <w:t xml:space="preserve">Juist omdat het begrip zo populair is geworden, loont een blik op wijdverbreide misverstanden.</w:t>
      </w:r>
    </w:p>
    <w:p>
      <w:pPr>
        <w:pStyle w:val="BodyText"/>
      </w:pPr>
      <w:r>
        <w:rPr>
          <w:bCs/>
          <w:b/>
        </w:rPr>
        <w:t xml:space="preserve">„Peptide” is geen kwaliteitskenmerk.</w:t>
      </w:r>
      <w:r>
        <w:t xml:space="preserve"> </w:t>
      </w:r>
      <w:r>
        <w:t xml:space="preserve">De chemische bouw zegt niets over nut of risico. Insuline redt dagelijks levens – in de verkeerde hoeveelheid kan het dodelijk zijn. Een peptide is niet automatisch milder dan een „chemisch” geneesmiddel.</w:t>
      </w:r>
    </w:p>
    <w:p>
      <w:pPr>
        <w:pStyle w:val="BodyText"/>
      </w:pPr>
      <w:r>
        <w:rPr>
          <w:bCs/>
          <w:b/>
        </w:rPr>
        <w:t xml:space="preserve">„Lichaamseigen” betekent niet „onschuldig”.</w:t>
      </w:r>
      <w:r>
        <w:t xml:space="preserve"> </w:t>
      </w:r>
      <w:r>
        <w:t xml:space="preserve">Veel peptiden van de grijze markt worden aangeprezen als „lichaamseigen” of „bio-identiek”. Maar ook lichaamseigen stoffen kunnen schade aanrichten in onnatuurlijk hoge hoeveelheden, op de verkeerde plaats of gedurende lange tijd. Een voorbeeld is het groeihormoonsysteem: een tekort maakt ziek, een blijvend teveel ook. Bovendien zijn veel zogenaamd lichaamseigen peptiden in werkelijkheid afgeleiden of fragmenten die in deze vorm helemaal niet in het lichaam voorkomen. BPC-157 is bijvoorbeeld een sequentie van 15 aminozuren (Cox 2017, PMID 28035768) die door de ontdekkers werd afgeleid uit maagsap; als zelfstandig hormoon van de mens is ze niet erkend.</w:t>
      </w:r>
    </w:p>
    <w:p>
      <w:pPr>
        <w:pStyle w:val="BodyText"/>
      </w:pPr>
      <w:r>
        <w:rPr>
          <w:bCs/>
          <w:b/>
        </w:rPr>
        <w:t xml:space="preserve">Peptiden zijn geen steroïden.</w:t>
      </w:r>
      <w:r>
        <w:t xml:space="preserve"> </w:t>
      </w:r>
      <w:r>
        <w:t xml:space="preserve">Anabolica zoals testosteron zijn steroïdhormonen met een volledig ander chemisch skelet van koolstofringen. Ze werken via receptoren in het celinnerste. In de fitnesswereld worden beide groepen soms op één hoop gegooid; chemisch en farmacologisch hebben ze weinig gemeen.</w:t>
      </w:r>
    </w:p>
    <w:p>
      <w:pPr>
        <w:pStyle w:val="BodyText"/>
      </w:pPr>
      <w:r>
        <w:rPr>
          <w:bCs/>
          <w:b/>
        </w:rPr>
        <w:t xml:space="preserve">Niet alles wat vergelijkbaar werkt, is een peptide.</w:t>
      </w:r>
      <w:r>
        <w:t xml:space="preserve"> </w:t>
      </w:r>
      <w:r>
        <w:t xml:space="preserve">Orforglipron activeert bijvoorbeeld net als semaglutide de GLP-1-receptor, maar is een klein, niet-peptidisch molecuul. Ibutamoren (MK-677) stimuleert net als sommige peptiden de afgifte van groeihormoon, maar is zelf geen peptide. Beide worden in dit boek daarom alleen ter vergelijking behandeld.</w:t>
      </w:r>
    </w:p>
    <w:p>
      <w:pPr>
        <w:pStyle w:val="BodyText"/>
      </w:pPr>
      <w:r>
        <w:rPr>
          <w:bCs/>
          <w:b/>
        </w:rPr>
        <w:t xml:space="preserve">Een peptide in een crème is niet hetzelfde als een peptide in een injectie.</w:t>
      </w:r>
      <w:r>
        <w:t xml:space="preserve"> </w:t>
      </w:r>
      <w:r>
        <w:t xml:space="preserve">Cosmetische peptiden zoals palmitoyl-pentapeptide-4 zijn speciaal zo ontworpen dat ze in de bovenste huidlaag zouden moeten werken. Of en hoe diep ze binnendringen, is een aparte vraag. Omgekeerd komt een peptide dat als geneesmiddel wordt geïnjecteerd niet zomaar door de huid wanneer men het opsmeert.</w:t>
      </w:r>
    </w:p>
    <w:p>
      <w:pPr>
        <w:pStyle w:val="BodyText"/>
      </w:pPr>
      <w:r>
        <w:rPr>
          <w:bCs/>
          <w:b/>
        </w:rPr>
        <w:t xml:space="preserve">Ingenomen peptiden worden meestal verteerd.</w:t>
      </w:r>
      <w:r>
        <w:t xml:space="preserve"> </w:t>
      </w:r>
      <w:r>
        <w:t xml:space="preserve">Het maag-darmkanaal is erop ingericht eiwitten in aminozuren en zeer korte fragmenten te splitsen. Een peptidehormoon dat men doorslikt, wordt daarom in de regel afgebroken voordat het kan werken. Uitzonderingen – zoals zeer kleine peptiden uit collageen die in het bloed aantoonbaar zijn, of de semaglutidetablet met haar hulpstof – worden in het hoofdstuk na het volgende uitgelegd.</w:t>
      </w:r>
    </w:p>
    <w:bookmarkEnd w:id="44"/>
    <w:bookmarkStart w:id="45" w:name="natuurlijk-natuuridentiek-gemodificeerd"/>
    <w:p>
      <w:pPr>
        <w:pStyle w:val="Heading3"/>
      </w:pPr>
      <w:r>
        <w:t xml:space="preserve">Natuurlijk, natuuridentiek, gemodificeerd</w:t>
      </w:r>
    </w:p>
    <w:p>
      <w:pPr>
        <w:pStyle w:val="FirstParagraph"/>
      </w:pPr>
      <w:r>
        <w:t xml:space="preserve">Voor de indeling van de peptiden in deel II helpt een eenvoudig onderscheid:</w:t>
      </w:r>
    </w:p>
    <w:p>
      <w:pPr>
        <w:numPr>
          <w:ilvl w:val="0"/>
          <w:numId w:val="1006"/>
        </w:numPr>
        <w:pStyle w:val="Compact"/>
      </w:pPr>
      <w:r>
        <w:rPr>
          <w:bCs/>
          <w:b/>
        </w:rPr>
        <w:t xml:space="preserve">Natuuridentieke peptiden</w:t>
      </w:r>
      <w:r>
        <w:t xml:space="preserve"> </w:t>
      </w:r>
      <w:r>
        <w:t xml:space="preserve">komen exact overeen met een lichaamseigen molecuul, zoals oxytocine of glutathion.</w:t>
      </w:r>
    </w:p>
    <w:p>
      <w:pPr>
        <w:numPr>
          <w:ilvl w:val="0"/>
          <w:numId w:val="1006"/>
        </w:numPr>
        <w:pStyle w:val="Compact"/>
      </w:pPr>
      <w:r>
        <w:rPr>
          <w:bCs/>
          <w:b/>
        </w:rPr>
        <w:t xml:space="preserve">Gemodificeerde analogen</w:t>
      </w:r>
      <w:r>
        <w:t xml:space="preserve"> </w:t>
      </w:r>
      <w:r>
        <w:t xml:space="preserve">zijn afgeleid van het natuurlijke voorbeeld, maar gericht veranderd – door vervangen aminozuren, aangehangen vetzuren of ringvormige structuren. Bijna alle moderne peptidegeneesmiddelen behoren hiertoe.</w:t>
      </w:r>
    </w:p>
    <w:p>
      <w:pPr>
        <w:numPr>
          <w:ilvl w:val="0"/>
          <w:numId w:val="1006"/>
        </w:numPr>
        <w:pStyle w:val="Compact"/>
      </w:pPr>
      <w:r>
        <w:rPr>
          <w:bCs/>
          <w:b/>
        </w:rPr>
        <w:t xml:space="preserve">Lichaamsvreemde of nieuw ontworpen peptiden</w:t>
      </w:r>
      <w:r>
        <w:t xml:space="preserve"> </w:t>
      </w:r>
      <w:r>
        <w:t xml:space="preserve">zijn afkomstig van andere organismen (zoals exendine-4 uit het speeksel van het gilamonster) of werden in het laboratorium nieuw ontwikkeld (zoals de cosmetische peptiden of de dubbele en drievoudige agonisten tirzepatide en retatrutide).</w:t>
      </w:r>
    </w:p>
    <w:p>
      <w:pPr>
        <w:pStyle w:val="FirstParagraph"/>
      </w:pPr>
      <w:r>
        <w:t xml:space="preserve">Voor de veiligheid is deze indeling alleen niet beslissend. Ze helpt wel te begrijpen waarom studies bij mensen bij alle drie groepen onmisbaar zijn: zelfs een natuuridentiek molecuul gedraagt zich anders wanneer het in grote hoeveelheid van buitenaf wordt toegediend.</w:t>
      </w:r>
    </w:p>
    <w:bookmarkEnd w:id="45"/>
    <w:bookmarkStart w:id="46" w:name="Xaeef4e3281405ae541b245b1079c1947e44ac1c"/>
    <w:p>
      <w:pPr>
        <w:pStyle w:val="Heading3"/>
      </w:pPr>
      <w:r>
        <w:t xml:space="preserve">Waarom peptiden juist nu zoveel aandacht krijgen</w:t>
      </w:r>
    </w:p>
    <w:p>
      <w:pPr>
        <w:pStyle w:val="FirstParagraph"/>
      </w:pPr>
      <w:r>
        <w:t xml:space="preserve">Drie ontwikkelingen verklaren de hype van de afgelopen jaren:</w:t>
      </w:r>
    </w:p>
    <w:p>
      <w:pPr>
        <w:pStyle w:val="BodyText"/>
      </w:pPr>
      <w:r>
        <w:rPr>
          <w:bCs/>
          <w:b/>
        </w:rPr>
        <w:t xml:space="preserve">Ten eerste de GLP-1-geneesmiddelen.</w:t>
      </w:r>
      <w:r>
        <w:t xml:space="preserve"> </w:t>
      </w:r>
      <w:r>
        <w:t xml:space="preserve">De resultaten van werkzame stoffen zoals semaglutide en tirzepatide bij overgewicht hebben peptiden in het nieuws gebracht. In de registratiestudie STEP 1 verloren deelnemers met semaglutide gemiddeld 14,9% van hun lichaamsgewicht, met placebo 2,4% (Wilding 2021, PMID 33567185). Zulke cijfers waren met geneesmiddelen nooit eerder bereikt.</w:t>
      </w:r>
    </w:p>
    <w:p>
      <w:pPr>
        <w:pStyle w:val="BodyText"/>
      </w:pPr>
      <w:r>
        <w:rPr>
          <w:bCs/>
          <w:b/>
        </w:rPr>
        <w:t xml:space="preserve">Ten tweede de gemakkelijke beschikbaarheid.</w:t>
      </w:r>
      <w:r>
        <w:t xml:space="preserve"> </w:t>
      </w:r>
      <w:r>
        <w:t xml:space="preserve">Korte peptiden kunnen tegenwoordig in veel landen goedkoop worden gesynthetiseerd en worden via internet wereldwijd aangeboden – vaak met het etiket „alleen voor onderzoeksdoeleinden”. Wat dat betekent, behandelt het hoofdstuk over de grijze markt.</w:t>
      </w:r>
    </w:p>
    <w:p>
      <w:pPr>
        <w:pStyle w:val="BodyText"/>
      </w:pPr>
      <w:r>
        <w:rPr>
          <w:bCs/>
          <w:b/>
        </w:rPr>
        <w:t xml:space="preserve">Ten derde sociale media.</w:t>
      </w:r>
      <w:r>
        <w:t xml:space="preserve"> </w:t>
      </w:r>
      <w:r>
        <w:t xml:space="preserve">Ervaringsverhalen, voor-en-nafoto’s en aanbevelingen van influencers verspreiden zich sneller dan wetenschappelijke gegevens. Een overzichtsartikel beschrijft hoe digitale reclame, toegang tot de grijze markt en zelfinjectie samenwerken en producten normaliseren waarvan identiteit, zuiverheid en veiligheid onduidelijk zijn (Hailu 2026, PMID 42437212).</w:t>
      </w:r>
    </w:p>
    <w:p>
      <w:pPr>
        <w:pStyle w:val="BodyText"/>
      </w:pPr>
      <w:r>
        <w:t xml:space="preserve">Dit boek wil daar een nuchter tegenwicht bieden: voor elk peptide wordt nagegaan wat bij de mens werkelijk is onderzocht – en wat niet.</w:t>
      </w:r>
    </w:p>
    <w:bookmarkEnd w:id="46"/>
    <w:bookmarkStart w:id="47" w:name="het-belangrijkste-in-het-kort"/>
    <w:p>
      <w:pPr>
        <w:pStyle w:val="Heading3"/>
      </w:pPr>
      <w:r>
        <w:t xml:space="preserve">Het belangrijkste in het kort</w:t>
      </w:r>
    </w:p>
    <w:p>
      <w:pPr>
        <w:numPr>
          <w:ilvl w:val="0"/>
          <w:numId w:val="1007"/>
        </w:numPr>
        <w:pStyle w:val="Compact"/>
      </w:pPr>
      <w:r>
        <w:t xml:space="preserve">Peptiden zijn ketens van aminozuren, verbonden door peptidebindingen. Vanaf ongeveer 50 aminozuren spreekt men meestal van eiwitten.</w:t>
      </w:r>
    </w:p>
    <w:p>
      <w:pPr>
        <w:numPr>
          <w:ilvl w:val="0"/>
          <w:numId w:val="1007"/>
        </w:numPr>
        <w:pStyle w:val="Compact"/>
      </w:pPr>
      <w:r>
        <w:t xml:space="preserve">In het lichaam werken peptiden vooral als boodschapperstoffen via receptoren aan het celoppervlak.</w:t>
      </w:r>
    </w:p>
    <w:p>
      <w:pPr>
        <w:numPr>
          <w:ilvl w:val="0"/>
          <w:numId w:val="1007"/>
        </w:numPr>
        <w:pStyle w:val="Compact"/>
      </w:pPr>
      <w:r>
        <w:t xml:space="preserve">Natuurlijke peptiden worden snel afgebroken. Moderne peptidegeneesmiddelen zijn daarom bijna altijd gericht veranderde moleculen.</w:t>
      </w:r>
    </w:p>
    <w:p>
      <w:pPr>
        <w:numPr>
          <w:ilvl w:val="0"/>
          <w:numId w:val="1007"/>
        </w:numPr>
        <w:pStyle w:val="Compact"/>
      </w:pPr>
      <w:r>
        <w:t xml:space="preserve">Peptiden worden chemisch gesynthetiseerd, genetisch gemodificeerd geproduceerd of uit natuurlijke bronnen gewonnen. Productiewijze en zuiverheid beïnvloeden de veiligheid.</w:t>
      </w:r>
    </w:p>
    <w:p>
      <w:pPr>
        <w:numPr>
          <w:ilvl w:val="0"/>
          <w:numId w:val="1007"/>
        </w:numPr>
        <w:pStyle w:val="Compact"/>
      </w:pPr>
      <w:r>
        <w:t xml:space="preserve">„Peptide” is een chemische beschrijving, geen keurmerk. Of een bepaald peptide bij de mens werkt en veilig is, kunnen alleen goede studies aantonen.</w:t>
      </w:r>
    </w:p>
    <w:bookmarkEnd w:id="47"/>
    <w:bookmarkEnd w:id="48"/>
    <w:bookmarkStart w:id="62" w:name="X20daa4f9edd4207cafe74ef011f2a1006582a42"/>
    <w:p>
      <w:pPr>
        <w:pStyle w:val="Heading2"/>
      </w:pPr>
      <w:r>
        <w:t xml:space="preserve">Korte geschiedenis: van insuline tot de GLP-1-geneesmiddelen</w:t>
      </w:r>
    </w:p>
    <w:p>
      <w:pPr>
        <w:pStyle w:val="FirstParagraph"/>
      </w:pPr>
      <w:r>
        <w:t xml:space="preserve">De geschiedenis van de peptidegeneesmiddelen is een geschiedenis van doorbraken, dwaalwegen en verbazingwekkende toevalligheden. Ze begint met een wanhopig experiment in Toronto, loopt via het gif van een Amerikaanse woestijnhagedis en eindigt – voorlopig – bij afslankinjecties die tot de best verkochte geneesmiddelen ter wereld behoren. Dit hoofdstuk vertelt de belangrijkste etappes. Het moet u helpen de huidige opwinding rond peptiden in perspectief te plaatsen: veel van wat als revolutionair wordt verkocht, staat op de schouders van honderd jaar moeizaam onderzoek.</w:t>
      </w:r>
    </w:p>
    <w:bookmarkStart w:id="49" w:name="X5bc6ac1b15d3b23cf8e389915b5415d773ebf8e"/>
    <w:p>
      <w:pPr>
        <w:pStyle w:val="Heading3"/>
      </w:pPr>
      <w:r>
        <w:t xml:space="preserve">Vóór 1922: boodschapperstoffen worden ontdekt</w:t>
      </w:r>
    </w:p>
    <w:p>
      <w:pPr>
        <w:pStyle w:val="FirstParagraph"/>
      </w:pPr>
      <w:r>
        <w:t xml:space="preserve">Rond 1900 brak in de fysiologie een nieuw idee door: organen communiceren niet alleen via zenuwen, maar ook via chemische boodschapperstoffen in het bloed. De Britse fysiologen William Bayliss en Ernest Starling beschreven in 1902 secretine, een stof uit de darmwand die de alvleesklier aanzet tot sapproductie. Voor zulke boodschapperstoffen bedacht Starling kort daarna het begrip „hormoon”. Secretine is – zoals we nu weten – een peptide. Daarmee stond een peptide aan het begin van het hele hormoononderzoek.</w:t>
      </w:r>
    </w:p>
    <w:p>
      <w:pPr>
        <w:pStyle w:val="BodyText"/>
      </w:pPr>
      <w:r>
        <w:t xml:space="preserve">Tegelijk was bekend dat suikerziekte (diabetes mellitus) samenhangt met de alvleesklier. Honden bij wie men het orgaan verwijderde, kregen een dodelijke diabetes. Veel onderzoeksgroepen probeerden de vermoede bloedsuikerverlagende stof uit de klier te winnen. De extracten waren echter ofwel onwerkzaam, ofwel zo verontreinigd dat ze ernstige reacties veroorzaakten.</w:t>
      </w:r>
    </w:p>
    <w:bookmarkEnd w:id="49"/>
    <w:bookmarkStart w:id="50" w:name="insuline-het-eerste-peptidegeneesmiddel"/>
    <w:p>
      <w:pPr>
        <w:pStyle w:val="Heading3"/>
      </w:pPr>
      <w:r>
        <w:t xml:space="preserve">1922: insuline – het eerste peptidegeneesmiddel</w:t>
      </w:r>
    </w:p>
    <w:p>
      <w:pPr>
        <w:pStyle w:val="FirstParagraph"/>
      </w:pPr>
      <w:r>
        <w:t xml:space="preserve">In de zomer van 1921 zette een groep aan de Universiteit van Toronto de beslissende stap. Frederick Banting en Charles Best verkregen onder leiding van John Macleod een extract dat bij honden zonder alvleesklier de bloedsuiker verlaagde. De biochemicus James Collip verbeterde de zuivering zo ver dat het extract bij mensen kon worden uitgeprobeerd. In januari 1922 kreeg een 14-jarige jongen met ernstige diabetes in Toronto de eerste injecties. Nog in hetzelfde jaar rapporteerde de groep over haar ervaringen bij patiënten (Banting 1922, PMID 20314060).</w:t>
      </w:r>
    </w:p>
    <w:p>
      <w:pPr>
        <w:pStyle w:val="BodyText"/>
      </w:pPr>
      <w:r>
        <w:t xml:space="preserve">Het effect was dramatisch: diabetes type 1, tot dan toe binnen korte tijd dodelijk, werd een behandelbare chronische ziekte. Een overzichtsartikel ter gelegenheid van het honderdjarig jubileum beschrijft precies deze omslag als de kern van de ontdekking (Sims 2021, PMID 34267380). Banting en Macleod kregen in 1923 de Nobelprijs voor de Geneeskunde.</w:t>
      </w:r>
    </w:p>
    <w:p>
      <w:pPr>
        <w:pStyle w:val="BodyText"/>
      </w:pPr>
      <w:r>
        <w:t xml:space="preserve">De decennia daarna draaiden, zoals een historisch overzicht samenvat, om zeer praktische vragen: genoeg insuline produceren, het zuiverder maken om allergische reacties te voorkomen, standaarden vastleggen en de werkingsduur verlengen zodat er minder injecties nodig zijn (Owens 2022, PMID 34708913). Precies deze thema’s – productie, zuiverheid, werkingsduur, toediening – begeleiden de peptidegeneeskunde tot op de dag van vandaag.</w:t>
      </w:r>
    </w:p>
    <w:bookmarkEnd w:id="50"/>
    <w:bookmarkStart w:id="51" w:name="X7053d6e571bbd5b19b77c595d4d8aee8bd1e3bf"/>
    <w:p>
      <w:pPr>
        <w:pStyle w:val="Heading3"/>
      </w:pPr>
      <w:r>
        <w:t xml:space="preserve">Jaren 1950: peptiden worden leesbaar en maakbaar</w:t>
      </w:r>
    </w:p>
    <w:p>
      <w:pPr>
        <w:pStyle w:val="FirstParagraph"/>
      </w:pPr>
      <w:r>
        <w:t xml:space="preserve">Lang was onduidelijk hoe insuline chemisch is opgebouwd. De Britse biochemicus Frederick Sanger ontrafelde begin jaren 1950 stap voor stap de volgorde van de aminozuren in de twee insulineketens (Sanger 1952, PMID 13018185). Insuline was daarmee het eerste eiwitmolecuul waarvan de volledige sequentie bekend was. Sanger kreeg daarvoor in 1958 de Nobelprijs voor de Scheikunde. Het inzicht dat eiwitten een vaste, precies bepaalde volgorde van bouwstenen hebben, was fundamenteel voor de hele moleculaire biologie.</w:t>
      </w:r>
    </w:p>
    <w:p>
      <w:pPr>
        <w:pStyle w:val="BodyText"/>
      </w:pPr>
      <w:r>
        <w:t xml:space="preserve">Vrijwel tegelijk slaagde de Amerikaanse chemicus Vincent du Vigneaud in de eerste chemische synthese van een peptidehormoon: oxytocine, een hormoon van negen aminozuren dat weeën en de melktoeschietreflex opwekt. Hij werd daarvoor in 1955 bekroond met de Nobelprijs voor de Scheikunde. Voor het eerst was een lichaamseigen hormoon in het laboratorium „nagebouwd” – synthetisch oxytocine wordt in de verloskunde nog altijd gebruikt.</w:t>
      </w:r>
    </w:p>
    <w:p>
      <w:pPr>
        <w:pStyle w:val="BodyText"/>
      </w:pPr>
      <w:r>
        <w:t xml:space="preserve">In de jaren 1960 ontwikkelde Robert Bruce Merrifield de vastefasesynthese, waarbij een peptideketen op een vaste drager bouwsteen voor bouwsteen wordt verlengd (Merrifield 1969, PMID 4307033). De methode liet zich automatiseren en maakte de productie van willekeurige korte peptiden pas praktisch haalbaar. Merrifield kreeg in 1984 de Nobelprijs voor de Scheikunde. Zonder deze techniek zouden de meeste moderne peptidegeneesmiddelen niet bestaan, en evenmin de huidige grijze markt.</w:t>
      </w:r>
    </w:p>
    <w:bookmarkEnd w:id="51"/>
    <w:bookmarkStart w:id="52" w:name="jaren-1960-en-1970-meten-en-sturen"/>
    <w:p>
      <w:pPr>
        <w:pStyle w:val="Heading3"/>
      </w:pPr>
      <w:r>
        <w:t xml:space="preserve">Jaren 1960 en 1970: meten en sturen</w:t>
      </w:r>
    </w:p>
    <w:p>
      <w:pPr>
        <w:pStyle w:val="FirstParagraph"/>
      </w:pPr>
      <w:r>
        <w:t xml:space="preserve">Een ander obstakel was de meetbaarheid. Peptidehormonen komen in het bloed in minieme hoeveelheden voor. Rosalyn Yalow en Solomon Berson ontwikkelden een meetmethode met antilichamen en radioactief gemerkte moleculen, de radio-immunoassay, en bepaalden daarmee voor het eerst insuline in het bloed van mensen (Yalow 1960, PMID 13846364). Yalow kreeg in 1977 de Nobelprijs. Plotseling kon men volgen wanneer het lichaam welke peptidehormonen afgeeft.</w:t>
      </w:r>
    </w:p>
    <w:p>
      <w:pPr>
        <w:pStyle w:val="BodyText"/>
      </w:pPr>
      <w:r>
        <w:t xml:space="preserve">In hetzelfde jaar werden Roger Guillemin en Andrew Schally onderscheiden. Zij hadden de peptideboodschappers van de hypothalamus ontrafeld – het hersengebied dat de hypofyse opdrachten geeft. Uit deze ontdekkingen kwamen complete geneesmiddelklassen voort: afgeleiden van het gonadotropine-releasing hormoon (GnRH) worden bijvoorbeeld gebruikt bij prostaatkanker, endometriose en vruchtbaarheidsbehandelingen. Het hormoon somatostatine werd het voorbeeld voor octreotide, dat wordt gebruikt bij hormoonproducerende tumoren en acromegalie. Ook de groeihormoonvrijmakende peptiden, die in deel II uitgebreid aan bod komen, hebben hier hun wortels.</w:t>
      </w:r>
    </w:p>
    <w:bookmarkEnd w:id="52"/>
    <w:bookmarkStart w:id="53" w:name="X9904bba570be9b4ef0e5bf547297f52e676c4ae"/>
    <w:p>
      <w:pPr>
        <w:pStyle w:val="Heading3"/>
      </w:pPr>
      <w:r>
        <w:t xml:space="preserve">Jaren 1980: genetische modificatie verandert alles</w:t>
      </w:r>
    </w:p>
    <w:p>
      <w:pPr>
        <w:pStyle w:val="FirstParagraph"/>
      </w:pPr>
      <w:r>
        <w:t xml:space="preserve">Tot in de jaren 1980 kwam insuline uit alvleesklieren van slachtdieren. Het menselijk groeihormoon werd gewonnen uit de hypofysen van overledenen; deze periode liep van 1958 tot 1985 (Ranke 2018, PMID 29546874). Deze winning had een tragische keerzijde: enkele kinderen die zulk hormoon hadden gekregen, kregen jaren later de ziekte van Creutzfeldt-Jakob, die door verontreinigde preparaten was overgedragen. De episode is tot op heden een waarschuwing over het belang van zuiverheid en herkomst bij biologische werkzame stoffen.</w:t>
      </w:r>
    </w:p>
    <w:p>
      <w:pPr>
        <w:pStyle w:val="BodyText"/>
      </w:pPr>
      <w:r>
        <w:t xml:space="preserve">Genetische modificatie bood een uitweg. Humane insuline, gemaakt in bacteriën, werd vanaf 1980 in klinische studies bij mensen gebruikt en was het eerste geneesmiddel uit recombinant-DNA-technologie (The 1989, PMID 2690608). Enkele jaren later volgde recombinant groeihormoon. Voor het eerst waren menselijke peptiden en eiwitten in praktisch onbeperkte hoeveelheid beschikbaar.</w:t>
      </w:r>
    </w:p>
    <w:p>
      <w:pPr>
        <w:pStyle w:val="BodyText"/>
      </w:pPr>
      <w:r>
        <w:t xml:space="preserve">In de jaren 1990 gingen de fabrikanten een stap verder: ze veranderden de insulinemoleculen gericht, zodat ze sneller of langzamer werkten. Deze „insulineanalogen” waren een voorloper van het principe dat later de GLP-1-geneesmiddelen zo succesvol maakte: een natuurlijk voorbeeld, in het laboratorium geoptimaliseerd voor het gebruik.</w:t>
      </w:r>
    </w:p>
    <w:p>
      <w:pPr>
        <w:pStyle w:val="BodyText"/>
      </w:pPr>
      <w:r>
        <w:t xml:space="preserve">Ook andere peptidegeneesmiddelen vestigden zich. Een voorbeeld is teriparatide, een fragment van het bijschildklierhormoon. In een grote studie met 1.637 vrouwen na de overgang met osteoporose traden nieuwe wervelfracturen op bij 14% van de vrouwen met placebo, maar slechts bij 5% respectievelijk 4% in de twee teriparatidegroepen (Neer 2001, PMID 11346808). Zulke studies met „harde” eindpunten zoals botbreuken legden de lat waaraan ook nieuwe peptiden zich moeten meten.</w:t>
      </w:r>
    </w:p>
    <w:bookmarkEnd w:id="53"/>
    <w:bookmarkStart w:id="54" w:name="Xd5b24baf2cf4b568d4fa555045f64892c80eaec"/>
    <w:p>
      <w:pPr>
        <w:pStyle w:val="Heading3"/>
      </w:pPr>
      <w:r>
        <w:t xml:space="preserve">De incretines: van de darm naar het geneesmiddel</w:t>
      </w:r>
    </w:p>
    <w:p>
      <w:pPr>
        <w:pStyle w:val="FirstParagraph"/>
      </w:pPr>
      <w:r>
        <w:t xml:space="preserve">De geschiedenis van de GLP-1-geneesmiddelen begint met een waarneming uit de jaren 1960: suiker die men doorslikt, veroorzaakt een veel sterkere insulineafgifte dan dezelfde hoeveelheid suiker die rechtstreeks in het bloed wordt gespoten. De darm moet dus bij het eten signalen naar de alvleesklier sturen. Deze signaalstoffen noemde men incretines.</w:t>
      </w:r>
    </w:p>
    <w:p>
      <w:pPr>
        <w:pStyle w:val="BodyText"/>
      </w:pPr>
      <w:r>
        <w:t xml:space="preserve">Het eerste bekende incretine was GIP (glucoseafhankelijk insulinotroop polypeptide). In de jaren 1980 stuitte men op een tweede: het glucagon-like peptide-1, kortweg GLP-1. Een Britse groep liet in 1987 zien dat GLP-1 bij de mens na een maaltijd in het bloed stijgt, dat het – geïnfundeerd in hoeveelheden zoals na het eten – bij zeven vrijwilligers de insulineafgifte verhoogde en de bloedsuiker verlaagde, en dat het daarbij werkzamer was dan GIP (Kreymann 1987, PMID 2890903).</w:t>
      </w:r>
    </w:p>
    <w:p>
      <w:pPr>
        <w:pStyle w:val="BodyText"/>
      </w:pPr>
      <w:r>
        <w:t xml:space="preserve">Het probleem: natuurlijk GLP-1 wordt in het bloed binnen enkele minuten afgebroken door het enzym DPP-4 (Deacon 1995, PMID 7883856). Als geneesmiddel was het zo nauwelijks bruikbaar. Er werden twee oplossingsrichtingen gevolgd: remmers van het afbraakenzym (de zogeheten gliptines, die als tabletten geregistreerd zijn en geen peptiden zijn) en stabiele nabootsingen van GLP-1 zelf.</w:t>
      </w:r>
    </w:p>
    <w:bookmarkEnd w:id="54"/>
    <w:bookmarkStart w:id="55" w:name="het-hagedissengif-exenatide"/>
    <w:p>
      <w:pPr>
        <w:pStyle w:val="Heading3"/>
      </w:pPr>
      <w:r>
        <w:t xml:space="preserve">Het hagedissengif: exenatide</w:t>
      </w:r>
    </w:p>
    <w:p>
      <w:pPr>
        <w:pStyle w:val="FirstParagraph"/>
      </w:pPr>
      <w:r>
        <w:t xml:space="preserve">De eerste stabiele nabootsing kwam uit een onverwachte hoek. De Amerikaanse endocrinoloog John Eng onderzocht begin jaren 1990 het gif van het gilamonster (Heloderma suspectum), een giftig reptiel uit het zuidwesten van de VS. Hij isoleerde daaruit een peptide van 39 aminozuren, dat hij exendine-4 noemde (Eng 1992, PMID 1313797). Exendine-4 lijkt op het menselijke GLP-1, activeert dezelfde receptor, maar wordt door DPP-4 nauwelijks aangetast.</w:t>
      </w:r>
    </w:p>
    <w:p>
      <w:pPr>
        <w:pStyle w:val="BodyText"/>
      </w:pPr>
      <w:r>
        <w:t xml:space="preserve">Synthetisch exendine-4 kreeg de naam exenatide en werd in 2005 in de VS als eerste geneesmiddel van deze klasse geregistreerd. In een van de registratiestudies met 336 mensen met diabetes type 2 die al metformine gebruikten, daalde de langetermijnbloedsuikerwaarde HbA1c na 30 weken in de hogere dosisgroep met 0,78 procentpunt, onder placebo steeg hij licht met 0,08 procentpunt. Tegelijk vielen de deelnemers met exenatide af, bij de hogere dosis met 2,8 kg (DeFronzo 2005, PMID 15855572). Exenatide moest aanvankelijk twee keer per dag worden geïnjecteerd.</w:t>
      </w:r>
    </w:p>
    <w:p>
      <w:pPr>
        <w:pStyle w:val="BodyText"/>
      </w:pPr>
      <w:r>
        <w:t xml:space="preserve">Het gewichtsverlies gold toen als welkome bijwerking. Dat juist dit effect twee decennia later de hele klasse beroemd zou maken, vermoedden toen waarschijnlijk maar weinigen.</w:t>
      </w:r>
    </w:p>
    <w:bookmarkEnd w:id="55"/>
    <w:bookmarkStart w:id="56" w:name="X63982c816b96590a5403db2f3fbfeb6dfc1b84b"/>
    <w:p>
      <w:pPr>
        <w:pStyle w:val="Heading3"/>
      </w:pPr>
      <w:r>
        <w:t xml:space="preserve">Langer werkzaam: liraglutide en semaglutide</w:t>
      </w:r>
    </w:p>
    <w:p>
      <w:pPr>
        <w:pStyle w:val="FirstParagraph"/>
      </w:pPr>
      <w:r>
        <w:t xml:space="preserve">De Deense fabrikant Novo Nordisk koos een andere weg. In plaats van een lichaamsvreemd peptide te gebruiken, veranderde men het menselijke GLP-1 zodanig dat het in het bloed aan het transporteiwit albumine bindt en daardoor langzamer wordt afgebroken. Het resultaat was liraglutide, dat eenmaal per dag wordt geïnjecteerd en in 2009 in de EU werd geregistreerd. Een overzicht van de ontwikkelaars beschrijft hoe daarvoor passende combinaties van vetzuur en verbindingsstuk werden gezocht om de albuminebinding te maximaliseren zonder de werking op de receptor te verliezen (Knudsen 2019, PMID 31031702).</w:t>
      </w:r>
    </w:p>
    <w:p>
      <w:pPr>
        <w:pStyle w:val="BodyText"/>
      </w:pPr>
      <w:r>
        <w:t xml:space="preserve">Liraglutide werd later in een hogere dosis ook voor gewichtsbehandeling getest. In de studie SCALE met 3.731 deelnemers zonder diabetes verloren mensen met liraglutide in 56 weken gemiddeld 8,4 kg, met placebo 2,8 kg (Pi-Sunyer 2015, PMID 26132939).</w:t>
      </w:r>
    </w:p>
    <w:p>
      <w:pPr>
        <w:pStyle w:val="BodyText"/>
      </w:pPr>
      <w:r>
        <w:t xml:space="preserve">De volgende stap was semaglutide: een nog sterker aan albumine gebonden molecuul dat maar eenmaal per week hoeft te worden geïnjecteerd (Lau 2015, PMID 26308095). In de registratiestudie STEP 1 met 1.961 volwassenen met overgewicht of obesitas daalde het lichaamsgewicht over 68 weken gemiddeld met 14,9%, onder placebo met 2,4% (Wilding 2021, PMID 33567185). Deze orde van grootte lag duidelijk boven alles wat eerdere afslankmiddelen hadden bereikt.</w:t>
      </w:r>
    </w:p>
    <w:bookmarkEnd w:id="56"/>
    <w:bookmarkStart w:id="57" w:name="van-bloedsuiker-naar-hart"/>
    <w:p>
      <w:pPr>
        <w:pStyle w:val="Heading3"/>
      </w:pPr>
      <w:r>
        <w:t xml:space="preserve">Van bloedsuiker naar hart</w:t>
      </w:r>
    </w:p>
    <w:p>
      <w:pPr>
        <w:pStyle w:val="FirstParagraph"/>
      </w:pPr>
      <w:r>
        <w:t xml:space="preserve">Een keerpunt kwam toen de autoriteiten na problemen met een ander diabetesmiddel vanaf 2008 van nieuwe diabetesgeneesmiddelen eisten dat ze hun cardiovasculaire veiligheid in grote studies aantoonden. Deze studies moesten eigenlijk alleen laten zien dat de middelen het hart niet in gevaar brengen. Bij de GLP-1-geneesmiddelen lieten ze meer zien.</w:t>
      </w:r>
    </w:p>
    <w:p>
      <w:pPr>
        <w:pStyle w:val="BodyText"/>
      </w:pPr>
      <w:r>
        <w:t xml:space="preserve">In de studie LEADER met 9.340 mensen met diabetes type 2 en een hoog cardiovasculair risico trad de gecombineerde gebeurtenis van cardiovasculaire dood, niet-fataal hartinfarct of beroerte onder liraglutide op bij 13,0%, onder placebo bij 14,9% (Marso 2016, PMID 27295427). In de studie SUSTAIN-6 met 3.297 deelnemers was dat onder semaglutide 6,6%, onder placebo 8,9%; wel traden onder semaglutide vaker complicaties aan het netvlies op (Marso 2016, PMID 27633186).</w:t>
      </w:r>
    </w:p>
    <w:p>
      <w:pPr>
        <w:pStyle w:val="BodyText"/>
      </w:pPr>
      <w:r>
        <w:t xml:space="preserve">In 2023 volgde de studie SELECT, die voor het eerst mensen met overgewicht en hart- en vaatziekte, maar zonder diabetes onderzocht. Bij 17.604 deelnemers trad de gecombineerde cardiovasculaire gebeurtenis over gemiddeld 39,8 maanden onder semaglutide op bij 6,5%, onder placebo bij 8,0% (Lincoff 2023, PMID 37952131). Daarmee was aangetoond dat een peptidegeneesmiddel bij obesitas niet alleen het gewicht, maar ook harde gebeurtenissen zoals hartinfarcten kan beïnvloeden. Wat deze percentages betekenen – en waarom men onderscheid moet maken tussen relatieve en absolute verschillen –, legt het hoofdstuk „Studies goed lezen” uit.</w:t>
      </w:r>
    </w:p>
    <w:bookmarkEnd w:id="57"/>
    <w:bookmarkStart w:id="58" w:name="de-tablet-en-de-meervoudige-agonisten"/>
    <w:p>
      <w:pPr>
        <w:pStyle w:val="Heading3"/>
      </w:pPr>
      <w:r>
        <w:t xml:space="preserve">De tablet en de meervoudige agonisten</w:t>
      </w:r>
    </w:p>
    <w:p>
      <w:pPr>
        <w:pStyle w:val="FirstParagraph"/>
      </w:pPr>
      <w:r>
        <w:t xml:space="preserve">Twee andere ontwikkelingen bepaalden de afgelopen jaren.</w:t>
      </w:r>
    </w:p>
    <w:p>
      <w:pPr>
        <w:pStyle w:val="BodyText"/>
      </w:pPr>
      <w:r>
        <w:rPr>
          <w:bCs/>
          <w:b/>
        </w:rPr>
        <w:t xml:space="preserve">De eerste peptidetablet van deze klasse.</w:t>
      </w:r>
      <w:r>
        <w:t xml:space="preserve"> </w:t>
      </w:r>
      <w:r>
        <w:t xml:space="preserve">Met een speciale hulpstof lukte het semaglutide als tablet beschikbaar te maken. In de studie PIONEER 1 verlaagde oraal semaglutide de HbA1c-waarde bij mensen met diabetes type 2 duidelijk sterker dan placebo (Aroda 2019, PMID 31186300). Hoe dat technisch werkt, legt het volgende hoofdstuk uit.</w:t>
      </w:r>
    </w:p>
    <w:p>
      <w:pPr>
        <w:pStyle w:val="BodyText"/>
      </w:pPr>
      <w:r>
        <w:rPr>
          <w:bCs/>
          <w:b/>
        </w:rPr>
        <w:t xml:space="preserve">Gecombineerde werkzame stoffen.</w:t>
      </w:r>
      <w:r>
        <w:t xml:space="preserve"> </w:t>
      </w:r>
      <w:r>
        <w:t xml:space="preserve">Tirzepatide activeert tegelijk de GLP-1- en de GIP-receptor. In de studie SURMOUNT-1 met 2.539 volwassenen met obesitas bedroeg het gemiddelde gewichtsverlies na 72 weken afhankelijk van de dosis 15,0% tot 20,9%, onder placebo 3,1% (Jastreboff 2022, PMID 35658024). Inmiddels worden drievoudige agonisten zoals retatrutide en combinaties met het hormoon amyline in grote studies getest. Deel II stelt ze afzonderlijk voor, deel V werpt een blik op de pijplijn.</w:t>
      </w:r>
    </w:p>
    <w:p>
      <w:pPr>
        <w:pStyle w:val="BodyText"/>
      </w:pPr>
      <w:r>
        <w:t xml:space="preserve">Opmerkelijk is dat het incretine GIP, dat in de jaren 1980 als zwakker dan GLP-1 gold (Kreymann 1987, PMID 2890903), in combinatie weer een rol speelt. Onderzoek verloopt zelden rechtlijnig.</w:t>
      </w:r>
    </w:p>
    <w:bookmarkEnd w:id="58"/>
    <w:bookmarkStart w:id="59" w:name="de-keerzijde-van-het-succes"/>
    <w:p>
      <w:pPr>
        <w:pStyle w:val="Heading3"/>
      </w:pPr>
      <w:r>
        <w:t xml:space="preserve">De keerzijde van het succes</w:t>
      </w:r>
    </w:p>
    <w:p>
      <w:pPr>
        <w:pStyle w:val="FirstParagraph"/>
      </w:pPr>
      <w:r>
        <w:t xml:space="preserve">Het enorme succes van de GLP-1-geneesmiddelen had bijwerkingen buiten de farmacologie. Leveringstekorten vanaf 2022 leidden ertoe dat mensen met diabetes hun geneesmiddelen tijdelijk niet kregen. In de VS gebruikten apotheken een uitzonderingsregel om namaakpreparaten te bereiden. Wereldwijd doken vervalsingen op die in sommige gevallen in plaats van semaglutide insuline bevatten. En de groeiende belangstelling voor „peptiden” in het algemeen opende een markt voor stoffen die nooit fatsoenlijk bij de mens zijn onderzocht. Het hoofdstuk over de grijze markt gaat daar uitgebreid op in.</w:t>
      </w:r>
    </w:p>
    <w:bookmarkEnd w:id="59"/>
    <w:bookmarkStart w:id="60" w:name="wat-de-geschiedenis-leert"/>
    <w:p>
      <w:pPr>
        <w:pStyle w:val="Heading3"/>
      </w:pPr>
      <w:r>
        <w:t xml:space="preserve">Wat de geschiedenis leert</w:t>
      </w:r>
    </w:p>
    <w:p>
      <w:pPr>
        <w:pStyle w:val="FirstParagraph"/>
      </w:pPr>
      <w:r>
        <w:t xml:space="preserve">Uit honderd jaar peptidegeneeskunde zijn enkele lessen te trekken die nuttig zijn voor de beoordeling van de stoffen in dit boek:</w:t>
      </w:r>
    </w:p>
    <w:p>
      <w:pPr>
        <w:numPr>
          <w:ilvl w:val="0"/>
          <w:numId w:val="1008"/>
        </w:numPr>
        <w:pStyle w:val="Compact"/>
      </w:pPr>
      <w:r>
        <w:rPr>
          <w:bCs/>
          <w:b/>
        </w:rPr>
        <w:t xml:space="preserve">Zuiverheid is geen detail.</w:t>
      </w:r>
      <w:r>
        <w:t xml:space="preserve"> </w:t>
      </w:r>
      <w:r>
        <w:t xml:space="preserve">Van de verontreinigde insuline-extracten uit de begintijd tot het groeihormoon uit hypofysen van overledenen laat de geschiedenis zien dat productiekwaliteit over leven en dood kan beslissen.</w:t>
      </w:r>
    </w:p>
    <w:p>
      <w:pPr>
        <w:numPr>
          <w:ilvl w:val="0"/>
          <w:numId w:val="1008"/>
        </w:numPr>
        <w:pStyle w:val="Compact"/>
      </w:pPr>
      <w:r>
        <w:rPr>
          <w:bCs/>
          <w:b/>
        </w:rPr>
        <w:t xml:space="preserve">Werkingsmechanisme is niet hetzelfde als nut.</w:t>
      </w:r>
      <w:r>
        <w:t xml:space="preserve"> </w:t>
      </w:r>
      <w:r>
        <w:t xml:space="preserve">Dat een peptide op een receptor werkt, betekent nog niet dat het mensen baat. Bij de GLP-1-geneesmiddelen waren daarvoor grote studies met duizenden deelnemers en jarenlange observatie nodig.</w:t>
      </w:r>
    </w:p>
    <w:p>
      <w:pPr>
        <w:numPr>
          <w:ilvl w:val="0"/>
          <w:numId w:val="1008"/>
        </w:numPr>
        <w:pStyle w:val="Compact"/>
      </w:pPr>
      <w:r>
        <w:rPr>
          <w:bCs/>
          <w:b/>
        </w:rPr>
        <w:t xml:space="preserve">Verrassingen zijn er in beide richtingen.</w:t>
      </w:r>
      <w:r>
        <w:t xml:space="preserve"> </w:t>
      </w:r>
      <w:r>
        <w:t xml:space="preserve">Het gewichtsverlies door exenatide was aanvankelijk een voetnoot, de hartbeschermende effecten werden in veiligheidsstudies ontdekt. Omgekeerd kwamen in grote studies ook onverwachte risico’s aan het licht, zoals de netvliescomplicaties in SUSTAIN-6.</w:t>
      </w:r>
    </w:p>
    <w:p>
      <w:pPr>
        <w:numPr>
          <w:ilvl w:val="0"/>
          <w:numId w:val="1008"/>
        </w:numPr>
        <w:pStyle w:val="Compact"/>
      </w:pPr>
      <w:r>
        <w:rPr>
          <w:bCs/>
          <w:b/>
        </w:rPr>
        <w:t xml:space="preserve">Goede ideeën hebben tijd nodig.</w:t>
      </w:r>
      <w:r>
        <w:t xml:space="preserve"> </w:t>
      </w:r>
      <w:r>
        <w:t xml:space="preserve">Tussen de beschrijving van GLP-1 bij de mens in 1987 en de registratie van semaglutide voor gewichtsbehandeling verstreken meer dan drie decennia. Peptiden die nu op internet als „doorbraak” worden aangeprezen, zonder dat er één gecontroleerde studie bij mensen bestaat, staan in het beste geval aan het begin van zo’n weg.</w:t>
      </w:r>
    </w:p>
    <w:bookmarkEnd w:id="60"/>
    <w:bookmarkStart w:id="61" w:name="tijdlijn"/>
    <w:p>
      <w:pPr>
        <w:pStyle w:val="Heading3"/>
      </w:pPr>
      <w:r>
        <w:t xml:space="preserve">Tijdlijn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Jaar</w:t>
            </w:r>
          </w:p>
        </w:tc>
        <w:tc>
          <w:tcPr/>
          <w:p>
            <w:pPr>
              <w:pStyle w:val="Compact"/>
              <w:jc w:val="left"/>
            </w:pPr>
            <w:r>
              <w:t xml:space="preserve">Gebeurtenis</w:t>
            </w:r>
          </w:p>
        </w:tc>
      </w:tr>
      <w:tr>
        <w:tc>
          <w:tcPr/>
          <w:p>
            <w:pPr>
              <w:pStyle w:val="Compact"/>
              <w:jc w:val="left"/>
            </w:pPr>
            <w:r>
              <w:t xml:space="preserve">1902</w:t>
            </w:r>
          </w:p>
        </w:tc>
        <w:tc>
          <w:tcPr/>
          <w:p>
            <w:pPr>
              <w:pStyle w:val="Compact"/>
              <w:jc w:val="left"/>
            </w:pPr>
            <w:r>
              <w:t xml:space="preserve">Secretine beschreven, eerste hormoon (een peptide)</w:t>
            </w:r>
          </w:p>
        </w:tc>
      </w:tr>
      <w:tr>
        <w:tc>
          <w:tcPr/>
          <w:p>
            <w:pPr>
              <w:pStyle w:val="Compact"/>
              <w:jc w:val="left"/>
            </w:pPr>
            <w:r>
              <w:t xml:space="preserve">1922</w:t>
            </w:r>
          </w:p>
        </w:tc>
        <w:tc>
          <w:tcPr/>
          <w:p>
            <w:pPr>
              <w:pStyle w:val="Compact"/>
              <w:jc w:val="left"/>
            </w:pPr>
            <w:r>
              <w:t xml:space="preserve">Eerste insulinebehandeling van een mens in Toronto</w:t>
            </w:r>
          </w:p>
        </w:tc>
      </w:tr>
      <w:tr>
        <w:tc>
          <w:tcPr/>
          <w:p>
            <w:pPr>
              <w:pStyle w:val="Compact"/>
              <w:jc w:val="left"/>
            </w:pPr>
            <w:r>
              <w:t xml:space="preserve">1951–1955</w:t>
            </w:r>
          </w:p>
        </w:tc>
        <w:tc>
          <w:tcPr/>
          <w:p>
            <w:pPr>
              <w:pStyle w:val="Compact"/>
              <w:jc w:val="left"/>
            </w:pPr>
            <w:r>
              <w:t xml:space="preserve">Sanger ontrafelt de insulinesequentie</w:t>
            </w:r>
          </w:p>
        </w:tc>
      </w:tr>
      <w:tr>
        <w:tc>
          <w:tcPr/>
          <w:p>
            <w:pPr>
              <w:pStyle w:val="Compact"/>
              <w:jc w:val="left"/>
            </w:pPr>
            <w:r>
              <w:t xml:space="preserve">1953</w:t>
            </w:r>
          </w:p>
        </w:tc>
        <w:tc>
          <w:tcPr/>
          <w:p>
            <w:pPr>
              <w:pStyle w:val="Compact"/>
              <w:jc w:val="left"/>
            </w:pPr>
            <w:r>
              <w:t xml:space="preserve">Eerste chemische synthese van een peptidehormoon (oxytocine)</w:t>
            </w:r>
          </w:p>
        </w:tc>
      </w:tr>
      <w:tr>
        <w:tc>
          <w:tcPr/>
          <w:p>
            <w:pPr>
              <w:pStyle w:val="Compact"/>
              <w:jc w:val="left"/>
            </w:pPr>
            <w:r>
              <w:t xml:space="preserve">jaren 1960</w:t>
            </w:r>
          </w:p>
        </w:tc>
        <w:tc>
          <w:tcPr/>
          <w:p>
            <w:pPr>
              <w:pStyle w:val="Compact"/>
              <w:jc w:val="left"/>
            </w:pPr>
            <w:r>
              <w:t xml:space="preserve">Vastefasesynthese (Merrifield), radio-immunoassay</w:t>
            </w:r>
          </w:p>
        </w:tc>
      </w:tr>
      <w:tr>
        <w:tc>
          <w:tcPr/>
          <w:p>
            <w:pPr>
              <w:pStyle w:val="Compact"/>
              <w:jc w:val="left"/>
            </w:pPr>
            <w:r>
              <w:t xml:space="preserve">1980</w:t>
            </w:r>
          </w:p>
        </w:tc>
        <w:tc>
          <w:tcPr/>
          <w:p>
            <w:pPr>
              <w:pStyle w:val="Compact"/>
              <w:jc w:val="left"/>
            </w:pPr>
            <w:r>
              <w:t xml:space="preserve">Humane insuline uit genetische modificatie in klinische studies</w:t>
            </w:r>
          </w:p>
        </w:tc>
      </w:tr>
      <w:tr>
        <w:tc>
          <w:tcPr/>
          <w:p>
            <w:pPr>
              <w:pStyle w:val="Compact"/>
              <w:jc w:val="left"/>
            </w:pPr>
            <w:r>
              <w:t xml:space="preserve">1985</w:t>
            </w:r>
          </w:p>
        </w:tc>
        <w:tc>
          <w:tcPr/>
          <w:p>
            <w:pPr>
              <w:pStyle w:val="Compact"/>
              <w:jc w:val="left"/>
            </w:pPr>
            <w:r>
              <w:t xml:space="preserve">Einde van de winning van groeihormoon uit hypofysen</w:t>
            </w:r>
          </w:p>
        </w:tc>
      </w:tr>
      <w:tr>
        <w:tc>
          <w:tcPr/>
          <w:p>
            <w:pPr>
              <w:pStyle w:val="Compact"/>
              <w:jc w:val="left"/>
            </w:pPr>
            <w:r>
              <w:t xml:space="preserve">1987</w:t>
            </w:r>
          </w:p>
        </w:tc>
        <w:tc>
          <w:tcPr/>
          <w:p>
            <w:pPr>
              <w:pStyle w:val="Compact"/>
              <w:jc w:val="left"/>
            </w:pPr>
            <w:r>
              <w:t xml:space="preserve">GLP-1 als incretine bij de mens beschreven</w:t>
            </w:r>
          </w:p>
        </w:tc>
      </w:tr>
      <w:tr>
        <w:tc>
          <w:tcPr/>
          <w:p>
            <w:pPr>
              <w:pStyle w:val="Compact"/>
              <w:jc w:val="left"/>
            </w:pPr>
            <w:r>
              <w:t xml:space="preserve">1992</w:t>
            </w:r>
          </w:p>
        </w:tc>
        <w:tc>
          <w:tcPr/>
          <w:p>
            <w:pPr>
              <w:pStyle w:val="Compact"/>
              <w:jc w:val="left"/>
            </w:pPr>
            <w:r>
              <w:t xml:space="preserve">Exendine-4 in hagedissengif ontdekt</w:t>
            </w:r>
          </w:p>
        </w:tc>
      </w:tr>
      <w:tr>
        <w:tc>
          <w:tcPr/>
          <w:p>
            <w:pPr>
              <w:pStyle w:val="Compact"/>
              <w:jc w:val="left"/>
            </w:pPr>
            <w:r>
              <w:t xml:space="preserve">2005</w:t>
            </w:r>
          </w:p>
        </w:tc>
        <w:tc>
          <w:tcPr/>
          <w:p>
            <w:pPr>
              <w:pStyle w:val="Compact"/>
              <w:jc w:val="left"/>
            </w:pPr>
            <w:r>
              <w:t xml:space="preserve">Exenatide in de VS geregistreerd</w:t>
            </w:r>
          </w:p>
        </w:tc>
      </w:tr>
      <w:tr>
        <w:tc>
          <w:tcPr/>
          <w:p>
            <w:pPr>
              <w:pStyle w:val="Compact"/>
              <w:jc w:val="left"/>
            </w:pPr>
            <w:r>
              <w:t xml:space="preserve">2009</w:t>
            </w:r>
          </w:p>
        </w:tc>
        <w:tc>
          <w:tcPr/>
          <w:p>
            <w:pPr>
              <w:pStyle w:val="Compact"/>
              <w:jc w:val="left"/>
            </w:pPr>
            <w:r>
              <w:t xml:space="preserve">Liraglutide in de EU geregistreerd</w:t>
            </w:r>
          </w:p>
        </w:tc>
      </w:tr>
      <w:tr>
        <w:tc>
          <w:tcPr/>
          <w:p>
            <w:pPr>
              <w:pStyle w:val="Compact"/>
              <w:jc w:val="left"/>
            </w:pPr>
            <w:r>
              <w:t xml:space="preserve">2016</w:t>
            </w:r>
          </w:p>
        </w:tc>
        <w:tc>
          <w:tcPr/>
          <w:p>
            <w:pPr>
              <w:pStyle w:val="Compact"/>
              <w:jc w:val="left"/>
            </w:pPr>
            <w:r>
              <w:t xml:space="preserve">LEADER en SUSTAIN-6: minder cardiovasculaire gebeurtenissen</w:t>
            </w:r>
          </w:p>
        </w:tc>
      </w:tr>
      <w:tr>
        <w:tc>
          <w:tcPr/>
          <w:p>
            <w:pPr>
              <w:pStyle w:val="Compact"/>
              <w:jc w:val="left"/>
            </w:pPr>
            <w:r>
              <w:t xml:space="preserve">2019</w:t>
            </w:r>
          </w:p>
        </w:tc>
        <w:tc>
          <w:tcPr/>
          <w:p>
            <w:pPr>
              <w:pStyle w:val="Compact"/>
              <w:jc w:val="left"/>
            </w:pPr>
            <w:r>
              <w:t xml:space="preserve">Eerste GLP-1-tablet (oraal semaglutide)</w:t>
            </w:r>
          </w:p>
        </w:tc>
      </w:tr>
      <w:tr>
        <w:tc>
          <w:tcPr/>
          <w:p>
            <w:pPr>
              <w:pStyle w:val="Compact"/>
              <w:jc w:val="left"/>
            </w:pPr>
            <w:r>
              <w:t xml:space="preserve">2021</w:t>
            </w:r>
          </w:p>
        </w:tc>
        <w:tc>
          <w:tcPr/>
          <w:p>
            <w:pPr>
              <w:pStyle w:val="Compact"/>
              <w:jc w:val="left"/>
            </w:pPr>
            <w:r>
              <w:t xml:space="preserve">Semaglutide voor gewichtsbehandeling (STEP-programma)</w:t>
            </w:r>
          </w:p>
        </w:tc>
      </w:tr>
      <w:tr>
        <w:tc>
          <w:tcPr/>
          <w:p>
            <w:pPr>
              <w:pStyle w:val="Compact"/>
              <w:jc w:val="left"/>
            </w:pPr>
            <w:r>
              <w:t xml:space="preserve">2022</w:t>
            </w:r>
          </w:p>
        </w:tc>
        <w:tc>
          <w:tcPr/>
          <w:p>
            <w:pPr>
              <w:pStyle w:val="Compact"/>
              <w:jc w:val="left"/>
            </w:pPr>
            <w:r>
              <w:t xml:space="preserve">Tirzepatide: eerste dubbele GIP/GLP-1-agonist</w:t>
            </w:r>
          </w:p>
        </w:tc>
      </w:tr>
      <w:tr>
        <w:tc>
          <w:tcPr/>
          <w:p>
            <w:pPr>
              <w:pStyle w:val="Compact"/>
              <w:jc w:val="left"/>
            </w:pPr>
            <w:r>
              <w:t xml:space="preserve">2023</w:t>
            </w:r>
          </w:p>
        </w:tc>
        <w:tc>
          <w:tcPr/>
          <w:p>
            <w:pPr>
              <w:pStyle w:val="Compact"/>
              <w:jc w:val="left"/>
            </w:pPr>
            <w:r>
              <w:t xml:space="preserve">SELECT: hartbescherming bij obesitas zonder diabetes</w:t>
            </w:r>
          </w:p>
        </w:tc>
      </w:tr>
    </w:tbl>
    <w:p>
      <w:pPr>
        <w:pStyle w:val="BodyText"/>
      </w:pPr>
      <w:r>
        <w:t xml:space="preserve">De registratiejaren hebben betrekking op de telkens eerste registratie; in andere landen en voor andere toepassingsgebieden gelden deels andere data. Stand 2026, actuele situatie zo nodig controleren.</w:t>
      </w:r>
    </w:p>
    <w:bookmarkEnd w:id="61"/>
    <w:bookmarkEnd w:id="62"/>
    <w:bookmarkStart w:id="76" w:name="X855f8eedb9c6dc8cc71de0c0b0c0c9ba917cd81"/>
    <w:p>
      <w:pPr>
        <w:pStyle w:val="Heading2"/>
      </w:pPr>
      <w:r>
        <w:t xml:space="preserve">Hoe peptiden in het lichaam komen – en waarom dat lastig is</w:t>
      </w:r>
    </w:p>
    <w:p>
      <w:pPr>
        <w:pStyle w:val="FirstParagraph"/>
      </w:pPr>
      <w:r>
        <w:t xml:space="preserve">Bijna elk peptidegeneesmiddel dat u kent, wordt geïnjecteerd: insuline, semaglutide, tirzepatide, teriparatide. Dat is geen toeval en geen voorkeur van de farmaceutische industrie, maar een gevolg van de biologie. Het menselijk lichaam is uitstekend in het afbreken van eiwitten en peptiden – het leeft er immers van de eiwitten uit de voeding in hun bouwstenen te splitsen. Dit hoofdstuk legt uit welke hindernissen een peptide op weg naar zijn werkingsplaats moet overwinnen, welke wegen de geneeskunde heeft gevonden en waarom veel beloften over druppels, capsules en crèmes met voorzichtigheid moeten worden bekeken.</w:t>
      </w:r>
    </w:p>
    <w:bookmarkStart w:id="63" w:name="X391cf1f1eb54dfb8f2aa3056fa08dd57d8955e9"/>
    <w:p>
      <w:pPr>
        <w:pStyle w:val="Heading3"/>
      </w:pPr>
      <w:r>
        <w:t xml:space="preserve">Het basisprobleem: biologische beschikbaarheid</w:t>
      </w:r>
    </w:p>
    <w:p>
      <w:pPr>
        <w:pStyle w:val="FirstParagraph"/>
      </w:pPr>
      <w:r>
        <w:t xml:space="preserve">Een centraal begrip in dit hoofdstuk is de</w:t>
      </w:r>
      <w:r>
        <w:t xml:space="preserve"> </w:t>
      </w:r>
      <w:r>
        <w:rPr>
          <w:bCs/>
          <w:b/>
        </w:rPr>
        <w:t xml:space="preserve">biologische beschikbaarheid</w:t>
      </w:r>
      <w:r>
        <w:t xml:space="preserve">. Die geeft aan welk deel van een toegediende hoeveelheid daadwerkelijk onveranderd in de bloedsomloop aankomt. Bij een infuus rechtstreeks in de ader is dat per definitie 100%. Bij alle andere wegen gaat een deel verloren – door afbraak, door barrières of doordat de stof eenvoudigweg weer wordt uitgescheiden.</w:t>
      </w:r>
    </w:p>
    <w:p>
      <w:pPr>
        <w:pStyle w:val="BodyText"/>
      </w:pPr>
      <w:r>
        <w:t xml:space="preserve">Voor peptiden is de biologische beschikbaarheid bijzonder kritisch, omdat drie eigenschappen samenkomen:</w:t>
      </w:r>
    </w:p>
    <w:p>
      <w:pPr>
        <w:numPr>
          <w:ilvl w:val="0"/>
          <w:numId w:val="1009"/>
        </w:numPr>
        <w:pStyle w:val="Compact"/>
      </w:pPr>
      <w:r>
        <w:rPr>
          <w:bCs/>
          <w:b/>
        </w:rPr>
        <w:t xml:space="preserve">Ze zijn gevoelig voor enzymen.</w:t>
      </w:r>
      <w:r>
        <w:t xml:space="preserve"> </w:t>
      </w:r>
      <w:r>
        <w:t xml:space="preserve">Peptidebindingen worden gericht gesplitst door verteringsenzymen zoals pepsine in de maag of trypsine in de dunne darm, en daarnaast door talrijke enzymen in het bloed en in weefsels.</w:t>
      </w:r>
    </w:p>
    <w:p>
      <w:pPr>
        <w:numPr>
          <w:ilvl w:val="0"/>
          <w:numId w:val="1009"/>
        </w:numPr>
        <w:pStyle w:val="Compact"/>
      </w:pPr>
      <w:r>
        <w:rPr>
          <w:bCs/>
          <w:b/>
        </w:rPr>
        <w:t xml:space="preserve">Ze zijn groot.</w:t>
      </w:r>
      <w:r>
        <w:t xml:space="preserve"> </w:t>
      </w:r>
      <w:r>
        <w:t xml:space="preserve">Vergeleken met klassieke geneesmiddelen zoals ibuprofen zijn de meeste peptiden reusachtig. Al een peptide van tien aminozuren weegt meer dan 1.000 dalton.</w:t>
      </w:r>
    </w:p>
    <w:p>
      <w:pPr>
        <w:numPr>
          <w:ilvl w:val="0"/>
          <w:numId w:val="1009"/>
        </w:numPr>
        <w:pStyle w:val="Compact"/>
      </w:pPr>
      <w:r>
        <w:rPr>
          <w:bCs/>
          <w:b/>
        </w:rPr>
        <w:t xml:space="preserve">Ze zijn meestal wateroplosbaar en vaak elektrisch geladen.</w:t>
      </w:r>
      <w:r>
        <w:t xml:space="preserve"> </w:t>
      </w:r>
      <w:r>
        <w:t xml:space="preserve">Daardoor komen ze moeilijk door de vethoudende membranen van cellen.</w:t>
      </w:r>
    </w:p>
    <w:p>
      <w:pPr>
        <w:pStyle w:val="FirstParagraph"/>
      </w:pPr>
      <w:r>
        <w:t xml:space="preserve">Elke toedieningsweg is een poging deze hindernissen te omzeilen. Een overzichtsartikel over orale peptiden vat samen dat eiwit- en peptidegeneesmiddelen in de regel buiten het maag-darmkanaal om moeten worden toegediend, wat de therapietrouw kan verminderen (Drucker 2020, PMID 31848464).</w:t>
      </w:r>
    </w:p>
    <w:bookmarkEnd w:id="63"/>
    <w:bookmarkStart w:id="64" w:name="de-injectie-standaardweg-met-nadelen"/>
    <w:p>
      <w:pPr>
        <w:pStyle w:val="Heading3"/>
      </w:pPr>
      <w:r>
        <w:t xml:space="preserve">De injectie: standaardweg met nadelen</w:t>
      </w:r>
    </w:p>
    <w:p>
      <w:pPr>
        <w:pStyle w:val="FirstParagraph"/>
      </w:pPr>
      <w:r>
        <w:t xml:space="preserve">De meeste peptidegeneesmiddelen worden</w:t>
      </w:r>
      <w:r>
        <w:t xml:space="preserve"> </w:t>
      </w:r>
      <w:r>
        <w:rPr>
          <w:bCs/>
          <w:b/>
        </w:rPr>
        <w:t xml:space="preserve">subcutaan</w:t>
      </w:r>
      <w:r>
        <w:t xml:space="preserve"> </w:t>
      </w:r>
      <w:r>
        <w:t xml:space="preserve">geïnjecteerd, dus in het onderhuidse vetweefsel – meestal in de buik, het bovenbeen of de bovenarm. Van daaruit komt de werkzame stof via kleine bloedvaten en lymfevaten in de circulatie. De biologische beschikbaarheid is hoog, en patiënten kunnen de injectie na instructie zelf toedienen. Minder vaak worden peptiden in de spier (</w:t>
      </w:r>
      <w:r>
        <w:rPr>
          <w:bCs/>
          <w:b/>
        </w:rPr>
        <w:t xml:space="preserve">intramusculair</w:t>
      </w:r>
      <w:r>
        <w:t xml:space="preserve">) of rechtstreeks in de ader (</w:t>
      </w:r>
      <w:r>
        <w:rPr>
          <w:bCs/>
          <w:b/>
        </w:rPr>
        <w:t xml:space="preserve">intraveneus</w:t>
      </w:r>
      <w:r>
        <w:t xml:space="preserve">) gegeven, bijvoorbeeld in het ziekenhuis.</w:t>
      </w:r>
    </w:p>
    <w:p>
      <w:pPr>
        <w:pStyle w:val="BodyText"/>
      </w:pPr>
      <w:r>
        <w:t xml:space="preserve">De injectie omzeilt weliswaar het maag-darmkanaal, maar niet de enzymen in het bloed. Daarom heeft het farmaceutisch onderzoek veel moeite gestoken in het langer houdbaar maken van peptiden:</w:t>
      </w:r>
    </w:p>
    <w:p>
      <w:pPr>
        <w:numPr>
          <w:ilvl w:val="0"/>
          <w:numId w:val="1010"/>
        </w:numPr>
        <w:pStyle w:val="Compact"/>
      </w:pPr>
      <w:r>
        <w:rPr>
          <w:bCs/>
          <w:b/>
        </w:rPr>
        <w:t xml:space="preserve">Vervangen van aminozuren</w:t>
      </w:r>
      <w:r>
        <w:t xml:space="preserve"> </w:t>
      </w:r>
      <w:r>
        <w:t xml:space="preserve">op de plaatsen waar enzymen aangrijpen.</w:t>
      </w:r>
    </w:p>
    <w:p>
      <w:pPr>
        <w:numPr>
          <w:ilvl w:val="0"/>
          <w:numId w:val="1010"/>
        </w:numPr>
        <w:pStyle w:val="Compact"/>
      </w:pPr>
      <w:r>
        <w:rPr>
          <w:bCs/>
          <w:b/>
        </w:rPr>
        <w:t xml:space="preserve">Aanhangen van vetzuren</w:t>
      </w:r>
      <w:r>
        <w:t xml:space="preserve">, zodat het peptide aan het bloedeiwit albumine bindt. Liraglutide en semaglutide gebruiken dit principe (Knudsen 2019, PMID 31031702). Bij semaglutide levert dat een halfwaardetijd van ongeveer een week op (Marso 2016, PMID 27633186).</w:t>
      </w:r>
    </w:p>
    <w:p>
      <w:pPr>
        <w:numPr>
          <w:ilvl w:val="0"/>
          <w:numId w:val="1010"/>
        </w:numPr>
        <w:pStyle w:val="Compact"/>
      </w:pPr>
      <w:r>
        <w:rPr>
          <w:bCs/>
          <w:b/>
        </w:rPr>
        <w:t xml:space="preserve">Koppeling aan grotere moleculen</w:t>
      </w:r>
      <w:r>
        <w:t xml:space="preserve">, bijvoorbeeld aan delen van antilichamen of aan polymeren zoals polyethyleenglycol. Dulaglutide is een voorbeeld van een GLP-1-molecuul dat aan een antilichaamfragment is gebonden.</w:t>
      </w:r>
    </w:p>
    <w:p>
      <w:pPr>
        <w:numPr>
          <w:ilvl w:val="0"/>
          <w:numId w:val="1010"/>
        </w:numPr>
        <w:pStyle w:val="Compact"/>
      </w:pPr>
      <w:r>
        <w:rPr>
          <w:bCs/>
          <w:b/>
        </w:rPr>
        <w:t xml:space="preserve">Depotvormen</w:t>
      </w:r>
      <w:r>
        <w:t xml:space="preserve">, waarbij de werkzame stof is ingebed in minuscule bolletjes of gels waaruit ze langzaam vrijkomt.</w:t>
      </w:r>
    </w:p>
    <w:p>
      <w:pPr>
        <w:pStyle w:val="FirstParagraph"/>
      </w:pPr>
      <w:r>
        <w:t xml:space="preserve">Voor de gebruikers brengt de injectie ook verplichtingen mee: het product moet steriel zijn, de naald mag maar één keer worden gebruikt, en veel preparaten moeten gekoeld worden bewaard. Voorgevulde pennen met ingestelde dosisstappen verkleinen het risico op fouten aanzienlijk. Hoe belangrijk dat is, laat een casusreeks van een Amerikaans vergiftigingeninformatiecentrum zien: bij semaglutide dat in apotheken als flesje met spuiten was afgegeven, kwamen tienvoudige overdoseringen voor, onder meer doordat milliliters, „eenheden” en milligrammen door elkaar werden gehaald (Lambson 2023, PMID 37392810). Meer daarover in het hoofdstuk over de grijze markt.</w:t>
      </w:r>
    </w:p>
    <w:bookmarkEnd w:id="64"/>
    <w:bookmarkStart w:id="65" w:name="de-tablet-de-moeilijkste-weg"/>
    <w:p>
      <w:pPr>
        <w:pStyle w:val="Heading3"/>
      </w:pPr>
      <w:r>
        <w:t xml:space="preserve">De tablet: de moeilijkste weg</w:t>
      </w:r>
    </w:p>
    <w:p>
      <w:pPr>
        <w:pStyle w:val="FirstParagraph"/>
      </w:pPr>
      <w:r>
        <w:t xml:space="preserve">Een tablet zou voor de meeste mensen de gemakkelijkste oplossing zijn. Voor peptiden is het tegelijk de meest veeleisende. Op de weg van mond naar bloed liggen meerdere hindernissen op de loer:</w:t>
      </w:r>
    </w:p>
    <w:p>
      <w:pPr>
        <w:numPr>
          <w:ilvl w:val="0"/>
          <w:numId w:val="1011"/>
        </w:numPr>
        <w:pStyle w:val="Compact"/>
      </w:pPr>
      <w:r>
        <w:rPr>
          <w:bCs/>
          <w:b/>
        </w:rPr>
        <w:t xml:space="preserve">Maagzuur</w:t>
      </w:r>
      <w:r>
        <w:t xml:space="preserve"> </w:t>
      </w:r>
      <w:r>
        <w:t xml:space="preserve">kan de ruimtelijke structuur van peptiden vernietigen.</w:t>
      </w:r>
    </w:p>
    <w:p>
      <w:pPr>
        <w:numPr>
          <w:ilvl w:val="0"/>
          <w:numId w:val="1011"/>
        </w:numPr>
        <w:pStyle w:val="Compact"/>
      </w:pPr>
      <w:r>
        <w:rPr>
          <w:bCs/>
          <w:b/>
        </w:rPr>
        <w:t xml:space="preserve">Pepsine</w:t>
      </w:r>
      <w:r>
        <w:t xml:space="preserve"> </w:t>
      </w:r>
      <w:r>
        <w:t xml:space="preserve">in de maag en</w:t>
      </w:r>
      <w:r>
        <w:t xml:space="preserve"> </w:t>
      </w:r>
      <w:r>
        <w:rPr>
          <w:bCs/>
          <w:b/>
        </w:rPr>
        <w:t xml:space="preserve">alvleesklierenzymen</w:t>
      </w:r>
      <w:r>
        <w:t xml:space="preserve"> </w:t>
      </w:r>
      <w:r>
        <w:t xml:space="preserve">in de dunne darm splitsen peptiden in kleine fragmenten.</w:t>
      </w:r>
    </w:p>
    <w:p>
      <w:pPr>
        <w:numPr>
          <w:ilvl w:val="0"/>
          <w:numId w:val="1011"/>
        </w:numPr>
        <w:pStyle w:val="Compact"/>
      </w:pPr>
      <w:r>
        <w:t xml:space="preserve">Een</w:t>
      </w:r>
      <w:r>
        <w:t xml:space="preserve"> </w:t>
      </w:r>
      <w:r>
        <w:rPr>
          <w:bCs/>
          <w:b/>
        </w:rPr>
        <w:t xml:space="preserve">slijmlaag</w:t>
      </w:r>
      <w:r>
        <w:t xml:space="preserve"> </w:t>
      </w:r>
      <w:r>
        <w:t xml:space="preserve">over het darmslijmvlies houdt grote moleculen tegen.</w:t>
      </w:r>
    </w:p>
    <w:p>
      <w:pPr>
        <w:numPr>
          <w:ilvl w:val="0"/>
          <w:numId w:val="1011"/>
        </w:numPr>
        <w:pStyle w:val="Compact"/>
      </w:pPr>
      <w:r>
        <w:t xml:space="preserve">De</w:t>
      </w:r>
      <w:r>
        <w:t xml:space="preserve"> </w:t>
      </w:r>
      <w:r>
        <w:rPr>
          <w:bCs/>
          <w:b/>
        </w:rPr>
        <w:t xml:space="preserve">darmcellen</w:t>
      </w:r>
      <w:r>
        <w:t xml:space="preserve"> </w:t>
      </w:r>
      <w:r>
        <w:t xml:space="preserve">zelf zijn nauw met elkaar verbonden. Grote, wateroplosbare moleculen komen noch door de cellen, noch tussen de cellen door.</w:t>
      </w:r>
    </w:p>
    <w:p>
      <w:pPr>
        <w:numPr>
          <w:ilvl w:val="0"/>
          <w:numId w:val="1011"/>
        </w:numPr>
        <w:pStyle w:val="Compact"/>
      </w:pPr>
      <w:r>
        <w:t xml:space="preserve">Wat toch in het bloed terechtkomt, passeert eerst de</w:t>
      </w:r>
      <w:r>
        <w:t xml:space="preserve"> </w:t>
      </w:r>
      <w:r>
        <w:rPr>
          <w:bCs/>
          <w:b/>
        </w:rPr>
        <w:t xml:space="preserve">lever</w:t>
      </w:r>
      <w:r>
        <w:t xml:space="preserve">, die nog een deel kan afbreken.</w:t>
      </w:r>
    </w:p>
    <w:p>
      <w:pPr>
        <w:pStyle w:val="FirstParagraph"/>
      </w:pPr>
      <w:r>
        <w:t xml:space="preserve">Het overzichtsartikel van Drucker noemt als oplossingsrichtingen stoffen die de doorlaatbaarheid verhogen, remmers van verteringsenzymen en dragerpeptiden die door slijm en cellen kunnen dringen. In klinische studies zijn orale vormen beproefd van onder meer insuline, calcitonine, bijschildklierhormoon en vasopressine (Drucker 2020, PMID 31848464). De doorbraak voor een breed gebruikte werkzame stof kwam echter pas met de semaglutidetablet.</w:t>
      </w:r>
    </w:p>
    <w:bookmarkEnd w:id="65"/>
    <w:bookmarkStart w:id="66" w:name="X44bbc389322b78f9c7f5d2637bca6f68a2e6122"/>
    <w:p>
      <w:pPr>
        <w:pStyle w:val="Heading3"/>
      </w:pPr>
      <w:r>
        <w:t xml:space="preserve">De SNAC-techniek: hoe de semaglutidetablet werkt</w:t>
      </w:r>
    </w:p>
    <w:p>
      <w:pPr>
        <w:pStyle w:val="FirstParagraph"/>
      </w:pPr>
      <w:r>
        <w:t xml:space="preserve">De semaglutidetablet bevat naast de werkzame stof een hulpstof genaamd</w:t>
      </w:r>
      <w:r>
        <w:t xml:space="preserve"> </w:t>
      </w:r>
      <w:r>
        <w:rPr>
          <w:bCs/>
          <w:b/>
        </w:rPr>
        <w:t xml:space="preserve">SNAC</w:t>
      </w:r>
      <w:r>
        <w:t xml:space="preserve"> </w:t>
      </w:r>
      <w:r>
        <w:t xml:space="preserve">(natrium-N-[8-(2-hydroxybenzoyl)amino]caprylaat). Een studie die gegevens uit onderzoek bij mensen en bij honden combineerde, verklaarde wat daarbij gebeurt (Buckley 2018, PMID 30429357):</w:t>
      </w:r>
    </w:p>
    <w:p>
      <w:pPr>
        <w:numPr>
          <w:ilvl w:val="0"/>
          <w:numId w:val="1012"/>
        </w:numPr>
        <w:pStyle w:val="Compact"/>
      </w:pPr>
      <w:r>
        <w:t xml:space="preserve">De opname vindt verrassend genoeg niet in de darm plaats, maar</w:t>
      </w:r>
      <w:r>
        <w:t xml:space="preserve"> </w:t>
      </w:r>
      <w:r>
        <w:rPr>
          <w:bCs/>
          <w:b/>
        </w:rPr>
        <w:t xml:space="preserve">in de maag</w:t>
      </w:r>
      <w:r>
        <w:t xml:space="preserve">.</w:t>
      </w:r>
    </w:p>
    <w:p>
      <w:pPr>
        <w:numPr>
          <w:ilvl w:val="0"/>
          <w:numId w:val="1012"/>
        </w:numPr>
        <w:pStyle w:val="Compact"/>
      </w:pPr>
      <w:r>
        <w:t xml:space="preserve">Ze is beperkt tot een klein gebied</w:t>
      </w:r>
      <w:r>
        <w:t xml:space="preserve"> </w:t>
      </w:r>
      <w:r>
        <w:rPr>
          <w:bCs/>
          <w:b/>
        </w:rPr>
        <w:t xml:space="preserve">direct aan het oppervlak van de tablet</w:t>
      </w:r>
      <w:r>
        <w:t xml:space="preserve">.</w:t>
      </w:r>
    </w:p>
    <w:p>
      <w:pPr>
        <w:numPr>
          <w:ilvl w:val="0"/>
          <w:numId w:val="1012"/>
        </w:numPr>
        <w:pStyle w:val="Compact"/>
      </w:pPr>
      <w:r>
        <w:t xml:space="preserve">SNAC buffert daar plaatselijk het maagzuur en</w:t>
      </w:r>
      <w:r>
        <w:t xml:space="preserve"> </w:t>
      </w:r>
      <w:r>
        <w:rPr>
          <w:bCs/>
          <w:b/>
        </w:rPr>
        <w:t xml:space="preserve">beschermt</w:t>
      </w:r>
      <w:r>
        <w:t xml:space="preserve"> </w:t>
      </w:r>
      <w:r>
        <w:t xml:space="preserve">semaglutide zo tegen afbraak door enzymen.</w:t>
      </w:r>
    </w:p>
    <w:p>
      <w:pPr>
        <w:numPr>
          <w:ilvl w:val="0"/>
          <w:numId w:val="1012"/>
        </w:numPr>
        <w:pStyle w:val="Compact"/>
      </w:pPr>
      <w:r>
        <w:t xml:space="preserve">SNAC verhoogt de doorlaatbaarheid van het maagslijmvlies slechts</w:t>
      </w:r>
      <w:r>
        <w:t xml:space="preserve"> </w:t>
      </w:r>
      <w:r>
        <w:rPr>
          <w:bCs/>
          <w:b/>
        </w:rPr>
        <w:t xml:space="preserve">kortstondig</w:t>
      </w:r>
      <w:r>
        <w:t xml:space="preserve">.</w:t>
      </w:r>
    </w:p>
    <w:p>
      <w:pPr>
        <w:numPr>
          <w:ilvl w:val="0"/>
          <w:numId w:val="1012"/>
        </w:numPr>
        <w:pStyle w:val="Compact"/>
      </w:pPr>
      <w:r>
        <w:t xml:space="preserve">Semaglutide komt</w:t>
      </w:r>
      <w:r>
        <w:t xml:space="preserve"> </w:t>
      </w:r>
      <w:r>
        <w:rPr>
          <w:bCs/>
          <w:b/>
        </w:rPr>
        <w:t xml:space="preserve">door de cellen heen</w:t>
      </w:r>
      <w:r>
        <w:t xml:space="preserve"> </w:t>
      </w:r>
      <w:r>
        <w:t xml:space="preserve">in het bloed, zonder dat de verbindingen tussen de cellen worden geopend.</w:t>
      </w:r>
    </w:p>
    <w:p>
      <w:pPr>
        <w:pStyle w:val="FirstParagraph"/>
      </w:pPr>
      <w:r>
        <w:t xml:space="preserve">Een recenter overzichtsartikel voegt toe dat SNAC de pH in de directe omgeving verhoogt, de activering van pepsine dempt en ertoe bijdraagt dat semaglutide als afzonderlijk molecuul aanwezig is, in plaats van zich samen te voegen tot grotere, slechter opneembare clusters (Vahora 2026, PMID 42687069).</w:t>
      </w:r>
    </w:p>
    <w:p>
      <w:pPr>
        <w:pStyle w:val="BodyText"/>
      </w:pPr>
      <w:r>
        <w:t xml:space="preserve">Ondanks deze techniek is de opbrengst gering. Hetzelfde overzicht geeft de absolute biologische beschikbaarheid van oraal semaglutide op als slechts ongeveer 0,4 tot 1% – en dat onder geoptimaliseerde omstandigheden: nuchter en met weinig water. Na een maaltijd is in het bloed praktisch geen semaglutide aantoonbaar (Vahora 2026, PMID 42687069). Daarom gelden voor de tablet strikte innameregels, die in de productinformatie zijn beschreven en met de behandelend arts moeten worden besproken.</w:t>
      </w:r>
    </w:p>
    <w:p>
      <w:pPr>
        <w:pStyle w:val="BodyText"/>
      </w:pPr>
      <w:r>
        <w:t xml:space="preserve">De geringe biologische beschikbaarheid heeft een praktisch gevolg: voor de tablet is een veelvoud aan werkzame stof nodig. In de studie SUSTAIN-6 kregen de deelnemers 0,5 of 1,0 mg semaglutide eenmaal per week als injectie (Marso 2016, PMID 27633186). In de tabletstudie PIONEER 1 werden daarentegen dagelijks 3, 7 of 14 mg onderzocht (Aroda 2019, PMID 31186300). Dat de langetermijnwerking toch gelijkmatig is, komt door de lange halfwaardetijd: schommelingen in de opname van dag tot dag worden over de week grotendeels uitgevlakt (Vahora 2026, PMID 42687069).</w:t>
      </w:r>
    </w:p>
    <w:p>
      <w:pPr>
        <w:pStyle w:val="BodyText"/>
      </w:pPr>
      <w:r>
        <w:t xml:space="preserve">De tablet werkt, dat laten de studies zien. In PIONEER 1 met 703 mensen met diabetes type 2 daalde de HbA1c-waarde na 26 weken bij de hoogste dosis 1,1 procentpunt sterker dan onder placebo (Aroda 2019, PMID 31186300). In de studie OASIS 1 werd een hogere dosis van 50 mg per dag getest bij 667 volwassenen met overgewicht of obesitas zonder diabetes. Na 68 weken bedroeg het gemiddelde gewichtsverlies 15,1%, onder placebo 2,4% (Knop 2023, PMID 37385278). Maag-darmklachten traden op bij 80% van de deelnemers met semaglutide en bij 46% met placebo.</w:t>
      </w:r>
    </w:p>
    <w:p>
      <w:pPr>
        <w:pStyle w:val="BodyText"/>
      </w:pPr>
      <w:r>
        <w:t xml:space="preserve">Een belangrijke opmerking voor de praktijk: de SNAC-techniek is gebonden aan de precieze samenstelling van de tablet. Een onderzoek naar namaakproducten vond bij meerdere orale semaglutidepreparaten duidelijk minder werkzame stof dan aangegeven en een ander afgiftegedrag van semaglutide en SNAC, wat de opname zou kunnen verminderen (Hach 2024, PMID 39379664). Een tablet die „semaglutide” bevat, is dus niet automatisch even werkzaam als het geregistreerde preparaat.</w:t>
      </w:r>
    </w:p>
    <w:p>
      <w:pPr>
        <w:pStyle w:val="BodyText"/>
      </w:pPr>
      <w:r>
        <w:t xml:space="preserve">Parallel aan de peptidetabletten worden kleine, niet-peptidische moleculen ontwikkeld die dezelfde receptor activeren en als gewone tablet kunnen worden ingenomen, zoals orforglipron. Ze worden in deel II ter vergelijking voorgesteld en in deel V behandeld in samenhang met de toekomst van de tablettherapieën.</w:t>
      </w:r>
    </w:p>
    <w:bookmarkEnd w:id="66"/>
    <w:bookmarkStart w:id="67" w:name="Xbbf8cb8548b7be0f66e338b7b23b433f2d0bcd5"/>
    <w:p>
      <w:pPr>
        <w:pStyle w:val="Heading3"/>
      </w:pPr>
      <w:r>
        <w:t xml:space="preserve">Uitzondering voedingsmiddelen: korte peptiden uit collageen en melk</w:t>
      </w:r>
    </w:p>
    <w:p>
      <w:pPr>
        <w:pStyle w:val="FirstParagraph"/>
      </w:pPr>
      <w:r>
        <w:t xml:space="preserve">Als peptiden in het maag-darmkanaal worden afgebroken, hoe kunnen collageenpeptiden of melkpeptiden die als poeder of drank worden geconsumeerd dan werken? Het antwoord is genuanceerd.</w:t>
      </w:r>
    </w:p>
    <w:p>
      <w:pPr>
        <w:pStyle w:val="BodyText"/>
      </w:pPr>
      <w:r>
        <w:t xml:space="preserve">Bij de vertering ontstaan niet alleen afzonderlijke aminozuren, maar ook zeer korte fragmenten van twee of drie bouwstenen. Sommige daarvan zijn relatief bestand tegen enzymen en worden via eigen transportsystemen opgenomen. Zo werden na consumptie van collageenhydrolysaat bij vijf gezonde vrijwilligers de dipeptiden prolyl-hydroxyproline en hydroxyprolyl-glycine in het bloedplasma gemeten (Sugihara 2012, PMID 22040651).</w:t>
      </w:r>
    </w:p>
    <w:p>
      <w:pPr>
        <w:pStyle w:val="BodyText"/>
      </w:pPr>
      <w:r>
        <w:t xml:space="preserve">Daaruit volgt echter niet automatisch dat deze fragmenten in het lichaam een bepaalde werking hebben – bijvoorbeeld op de huid of de gewrichten. Of dat zo is, kan alleen in gecontroleerde studies met klinische eindpunten worden vastgesteld. Deze gegevens worden in deel II besproken in het hoofdstuk over collageenpeptiden. Voor grotere peptiden zoals hormonen geldt daarentegen: doorgeslikt worden ze verteerd.</w:t>
      </w:r>
    </w:p>
    <w:bookmarkEnd w:id="67"/>
    <w:bookmarkStart w:id="68" w:name="onder-de-tong-weinig-bewijs"/>
    <w:p>
      <w:pPr>
        <w:pStyle w:val="Heading3"/>
      </w:pPr>
      <w:r>
        <w:t xml:space="preserve">Onder de tong: weinig bewijs</w:t>
      </w:r>
    </w:p>
    <w:p>
      <w:pPr>
        <w:pStyle w:val="FirstParagraph"/>
      </w:pPr>
      <w:r>
        <w:t xml:space="preserve">Het mondslijmvlies, vooral onder de tong, is goed doorbloed. Stoffen die hier worden opgenomen, omzeilen maag en lever. Voor sommige kleine geneesmiddelen werkt dat goed, voor peptiden is het slijmvlies echter een aanzienlijke barrière.</w:t>
      </w:r>
    </w:p>
    <w:p>
      <w:pPr>
        <w:pStyle w:val="BodyText"/>
      </w:pPr>
      <w:r>
        <w:t xml:space="preserve">Toch worden vooral in de VS semaglutide en tirzepatide als druppels of smelttabletten voor gebruik onder de tong aangeboden. Een analyse van aanbiedingen van Amerikaanse apotheken die zelf geneesmiddelen bereiden, vond 33 producten die afwijken van de geregistreerde preparaten. Van de 17 producten met slechts één werkzame stof was 82% bedoeld voor gebruik onder de tong, de overige als smelttablet. De auteurs vinden zo’n toedieningsvorm in principe begrijpelijk, maar stellen vast dat een voordeel ten opzichte van de geregistreerde preparaten niet is aangetoond en dat gegevens over veiligheid en werkzaamheid ontbreken (Belcourt 2026, PMID 41689811).</w:t>
      </w:r>
    </w:p>
    <w:bookmarkEnd w:id="68"/>
    <w:bookmarkStart w:id="69" w:name="de-neusspray-snel-maar-beperkt"/>
    <w:p>
      <w:pPr>
        <w:pStyle w:val="Heading3"/>
      </w:pPr>
      <w:r>
        <w:t xml:space="preserve">De neusspray: snel, maar beperkt</w:t>
      </w:r>
    </w:p>
    <w:p>
      <w:pPr>
        <w:pStyle w:val="FirstParagraph"/>
      </w:pPr>
      <w:r>
        <w:t xml:space="preserve">Het neusslijmvlies heeft een groot, goed doorbloed oppervlak, en stoffen komen van daaruit rechtstreeks in het bloed. Sommige peptidegeneesmiddelen gebruiken deze weg al lang, bijvoorbeeld het vasopressine-analoog desmopressine. Ook oxytocine wordt als neusspray onderzocht.</w:t>
      </w:r>
    </w:p>
    <w:p>
      <w:pPr>
        <w:pStyle w:val="BodyText"/>
      </w:pPr>
      <w:r>
        <w:t xml:space="preserve">De grenzen zijn echter duidelijk:</w:t>
      </w:r>
    </w:p>
    <w:p>
      <w:pPr>
        <w:numPr>
          <w:ilvl w:val="0"/>
          <w:numId w:val="1013"/>
        </w:numPr>
        <w:pStyle w:val="Compact"/>
      </w:pPr>
      <w:r>
        <w:t xml:space="preserve">De opname is voor grotere peptiden gering en schommelt sterk – afhankelijk van de spuittechniek, verkoudheid of de hoeveelheid slijm.</w:t>
      </w:r>
    </w:p>
    <w:p>
      <w:pPr>
        <w:numPr>
          <w:ilvl w:val="0"/>
          <w:numId w:val="1013"/>
        </w:numPr>
        <w:pStyle w:val="Compact"/>
      </w:pPr>
      <w:r>
        <w:t xml:space="preserve">Een groot deel van de verstuiving wordt doorgeslikt of via de trilhaartjes afgevoerd.</w:t>
      </w:r>
    </w:p>
    <w:p>
      <w:pPr>
        <w:numPr>
          <w:ilvl w:val="0"/>
          <w:numId w:val="1013"/>
        </w:numPr>
        <w:pStyle w:val="Compact"/>
      </w:pPr>
      <w:r>
        <w:t xml:space="preserve">Vaak gebruikte prikkelende stoffen of hulpstoffen kunnen het slijmvlies belasten.</w:t>
      </w:r>
    </w:p>
    <w:p>
      <w:pPr>
        <w:pStyle w:val="FirstParagraph"/>
      </w:pPr>
      <w:r>
        <w:t xml:space="preserve">Bijzonder populair is het idee dat peptiden via de neus „rechtstreeks in de hersenen” zouden komen. Voor sommige stoffen zijn er aanwijzingen voor zulke routes via reuk- en aangezichtszenuwen, maar de gegevens zijn mager. Een veel geciteerd kritisch overzicht kwam voor oxytocine tot de conclusie dat slechts zeer weinig van het via de neus gegeven oxytocine in het hersenvocht aankomt, terwijl de concentraties in het bloed stijgen tot waarden boven het natuurlijke niveau – met mogelijke effecten op het maag-darmkanaal, het hart en de voortplantingsorganen (Leng 2016, PMID 26049207). De auteurs manen tot scepsis tegenover studies met gedragseffecten en pleiten voor vooraf geregistreerde studies. Dat is relevant voor alle peptiden die als „neusspray voor de hersenen” worden aangeprezen, zoals semax of selank, die in deel II worden behandeld.</w:t>
      </w:r>
    </w:p>
    <w:bookmarkEnd w:id="69"/>
    <w:bookmarkStart w:id="70" w:name="inhalatie-een-leerzame-mislukking"/>
    <w:p>
      <w:pPr>
        <w:pStyle w:val="Heading3"/>
      </w:pPr>
      <w:r>
        <w:t xml:space="preserve">Inhalatie: een leerzame mislukking</w:t>
      </w:r>
    </w:p>
    <w:p>
      <w:pPr>
        <w:pStyle w:val="FirstParagraph"/>
      </w:pPr>
      <w:r>
        <w:t xml:space="preserve">De longen bieden een enorm oppervlak met een zeer dunne barrière naar het bloed. Daarom werd intensief gewerkt aan inhaleerbare insuline. Een eerste product kwam op de markt, maar werd al snel weer teruggetrokken; andere ontwikkelingen werden stopgezet. Een commentaar uit die tijd beschrijft voor- en nadelen vanuit het perspectief van patiënten, artsen, industrie en betalers – waaronder de grootte van de inhalatoren en de kosten (Heinemann 2008, PMID 19885220). Later werd in de VS een andere inhaleerbare insuline geregistreerd. Voor de meeste andere peptiden speelt inhalatie tot nu toe geen rol.</w:t>
      </w:r>
    </w:p>
    <w:bookmarkEnd w:id="70"/>
    <w:bookmarkStart w:id="71" w:name="de-huid-een-zeer-goede-barrière"/>
    <w:p>
      <w:pPr>
        <w:pStyle w:val="Heading3"/>
      </w:pPr>
      <w:r>
        <w:t xml:space="preserve">De huid: een zeer goede barrière</w:t>
      </w:r>
    </w:p>
    <w:p>
      <w:pPr>
        <w:pStyle w:val="FirstParagraph"/>
      </w:pPr>
      <w:r>
        <w:t xml:space="preserve">De huid is een van de dichtste organen van het lichaam. De buitenste laag, de hoornlaag, bestaat uit afgestorven cellen die in vetten zijn ingebed – een soort metselwerk met mortel. Een bekende vuistregel uit de dermatologie zegt dat een stof kleiner moet zijn dan ongeveer 500 dalton om in noemenswaardige mate door de huid te komen. De auteurs onderbouwen dat onder meer met het feit dat praktisch alle bekende contactallergenen en alle geneesmiddelen die in pleisters voor afgifte van werkzame stoffen worden gebruikt onder deze grens liggen (Bos 2000, PMID 10839713).</w:t>
      </w:r>
    </w:p>
    <w:p>
      <w:pPr>
        <w:pStyle w:val="BodyText"/>
      </w:pPr>
      <w:r>
        <w:t xml:space="preserve">Voor peptiden betekent dit: al vanaf ongeveer vier tot vijf aminozuren liggen ze in de regel boven deze grens. Een tripeptide zoals GHK kan eronder blijven, peptiden zoals palmitoyl-pentapeptide-4 of acetyl-hexapeptide-8 liggen er duidelijk boven. Cosmeticafabrikanten proberen het binnendringen te verbeteren met aangehangen vetzuren (zoals bij het „palmitoyl”-peptide) of speciale dragersystemen. Of de peptiden daarbij in voldoende hoeveelheid hun vermoedelijke doelcellen in diepere huidlagen bereiken, is een vraag die voor elk product afzonderlijk zou moeten worden onderzocht. De onderzoeksstand daarover wordt in deel II besproken.</w:t>
      </w:r>
    </w:p>
    <w:p>
      <w:pPr>
        <w:pStyle w:val="BodyText"/>
      </w:pPr>
      <w:r>
        <w:t xml:space="preserve">Een vuistregel blijft een vuistregel: er zijn uitzonderingen, en hulpmiddelen zoals microneedlepleisters kunnen de barrière overwinnen. Zulke pleisters dragen minuscule naaldjes die alleen de bovenste huidlaag doordringen. Voor peptiden zijn ze nog grotendeels in ontwikkeling.</w:t>
      </w:r>
    </w:p>
    <w:p>
      <w:pPr>
        <w:pStyle w:val="BodyText"/>
      </w:pPr>
      <w:r>
        <w:t xml:space="preserve">Voor geneesmiddelpeptiden zoals GLP-1-analogen, groeihormoonvrijmakers of melanotan geldt: een eenvoudige crème of gel brengt ze niet in noemenswaardige hoeveelheid in het bloed. Aanbiedingen op internet die het tegendeel beweren, moet u met grote scepsis bekijken.</w:t>
      </w:r>
    </w:p>
    <w:bookmarkEnd w:id="71"/>
    <w:bookmarkStart w:id="72" w:name="stabiliteit-het-onderschatte-probleem"/>
    <w:p>
      <w:pPr>
        <w:pStyle w:val="Heading3"/>
      </w:pPr>
      <w:r>
        <w:t xml:space="preserve">Stabiliteit: het onderschatte probleem</w:t>
      </w:r>
    </w:p>
    <w:p>
      <w:pPr>
        <w:pStyle w:val="FirstParagraph"/>
      </w:pPr>
      <w:r>
        <w:t xml:space="preserve">Ook buiten het lichaam zijn peptiden kwetsbaar. Ze kunnen uiteenvallen, chemisch veranderen (bijvoorbeeld door oxidatie) of samenklonteren tot grotere clusters. Zulke klonten – vakmensen spreken van aggregatie of fibrillevorming – kunnen de werking verminderen en het immuunsysteem prikkelen. Een onderzoek vond bij namaakpreparaten van liraglutide een sterkere neiging tot fibrillevorming en een geringere fysische stabiliteit dan bij het origineel (Hach 2024, PMID 39379664).</w:t>
      </w:r>
    </w:p>
    <w:p>
      <w:pPr>
        <w:pStyle w:val="BodyText"/>
      </w:pPr>
      <w:r>
        <w:t xml:space="preserve">Daarom worden geregistreerde peptidegeneesmiddelen onder precies vastgelegde omstandigheden gemaakt, verpakt, gekoeld vervoerd en voorzien van houdbaarheidsdata. Peptiden van de grijze markt worden daarentegen meestal verkocht als gevriesdroogd poeder dat vóór gebruik zelf moet worden opgelost. Elk van deze stappen – vervoer zonder koeling, opslag, oplossen, opzuigen – is een mogelijke bron van fouten.</w:t>
      </w:r>
    </w:p>
    <w:bookmarkEnd w:id="72"/>
    <w:bookmarkStart w:id="73" w:name="immuunreacties"/>
    <w:p>
      <w:pPr>
        <w:pStyle w:val="Heading3"/>
      </w:pPr>
      <w:r>
        <w:t xml:space="preserve">Immuunreacties</w:t>
      </w:r>
    </w:p>
    <w:p>
      <w:pPr>
        <w:pStyle w:val="FirstParagraph"/>
      </w:pPr>
      <w:r>
        <w:t xml:space="preserve">Peptiden zijn eiwitstoffen en kunnen door het immuunsysteem als lichaamsvreemd worden herkend, vooral wanneer ze niet precies overeenkomen met een lichaamseigen molecuul of verontreinigingen bevatten. Mogelijke gevolgen zijn reacties op de injectieplaats, allergische reacties of de vorming van antilichamen die de werking kunnen afzwakken. In de analyse van namaaksemaglutide werden met computermodellen voorspelde nieuwe bindingsplaatsen voor het immuunsysteem gevonden, die wijzen op een mogelijk risico op immuunreacties (Hach 2024, PMID 39379664). Deel IV behandelt immuunreacties uitgebreid.</w:t>
      </w:r>
    </w:p>
    <w:bookmarkEnd w:id="73"/>
    <w:bookmarkStart w:id="74" w:name="overzicht-toedieningswegen-vergeleken"/>
    <w:p>
      <w:pPr>
        <w:pStyle w:val="Heading3"/>
      </w:pPr>
      <w:r>
        <w:t xml:space="preserve">Overzicht: toedieningswegen vergeleken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Weg</w:t>
            </w:r>
          </w:p>
        </w:tc>
        <w:tc>
          <w:tcPr/>
          <w:p>
            <w:pPr>
              <w:pStyle w:val="Compact"/>
              <w:jc w:val="left"/>
            </w:pPr>
            <w:r>
              <w:t xml:space="preserve">Hoofdprobleem</w:t>
            </w:r>
          </w:p>
        </w:tc>
        <w:tc>
          <w:tcPr/>
          <w:p>
            <w:pPr>
              <w:pStyle w:val="Compact"/>
              <w:jc w:val="left"/>
            </w:pPr>
            <w:r>
              <w:t xml:space="preserve">Voorbeelden</w:t>
            </w:r>
          </w:p>
        </w:tc>
      </w:tr>
      <w:tr>
        <w:tc>
          <w:tcPr/>
          <w:p>
            <w:pPr>
              <w:pStyle w:val="Compact"/>
              <w:jc w:val="left"/>
            </w:pPr>
            <w:r>
              <w:t xml:space="preserve">Injectie onder de huid</w:t>
            </w:r>
          </w:p>
        </w:tc>
        <w:tc>
          <w:tcPr/>
          <w:p>
            <w:pPr>
              <w:pStyle w:val="Compact"/>
              <w:jc w:val="left"/>
            </w:pPr>
            <w:r>
              <w:t xml:space="preserve">naald, steriliteit, koeling</w:t>
            </w:r>
          </w:p>
        </w:tc>
        <w:tc>
          <w:tcPr/>
          <w:p>
            <w:pPr>
              <w:pStyle w:val="Compact"/>
              <w:jc w:val="left"/>
            </w:pPr>
            <w:r>
              <w:t xml:space="preserve">insuline, semaglutide, tirzepatide</w:t>
            </w:r>
          </w:p>
        </w:tc>
      </w:tr>
      <w:tr>
        <w:tc>
          <w:tcPr/>
          <w:p>
            <w:pPr>
              <w:pStyle w:val="Compact"/>
              <w:jc w:val="left"/>
            </w:pPr>
            <w:r>
              <w:t xml:space="preserve">Tablet</w:t>
            </w:r>
          </w:p>
        </w:tc>
        <w:tc>
          <w:tcPr/>
          <w:p>
            <w:pPr>
              <w:pStyle w:val="Compact"/>
              <w:jc w:val="left"/>
            </w:pPr>
            <w:r>
              <w:t xml:space="preserve">afbraak in het maag-darmkanaal</w:t>
            </w:r>
          </w:p>
        </w:tc>
        <w:tc>
          <w:tcPr/>
          <w:p>
            <w:pPr>
              <w:pStyle w:val="Compact"/>
              <w:jc w:val="left"/>
            </w:pPr>
            <w:r>
              <w:t xml:space="preserve">semaglutide met SNAC</w:t>
            </w:r>
          </w:p>
        </w:tc>
      </w:tr>
      <w:tr>
        <w:tc>
          <w:tcPr/>
          <w:p>
            <w:pPr>
              <w:pStyle w:val="Compact"/>
              <w:jc w:val="left"/>
            </w:pPr>
            <w:r>
              <w:t xml:space="preserve">Onder de tong</w:t>
            </w:r>
          </w:p>
        </w:tc>
        <w:tc>
          <w:tcPr/>
          <w:p>
            <w:pPr>
              <w:pStyle w:val="Compact"/>
              <w:jc w:val="left"/>
            </w:pPr>
            <w:r>
              <w:t xml:space="preserve">slijmvlies als barrière</w:t>
            </w:r>
          </w:p>
        </w:tc>
        <w:tc>
          <w:tcPr/>
          <w:p>
            <w:pPr>
              <w:pStyle w:val="Compact"/>
              <w:jc w:val="left"/>
            </w:pPr>
            <w:r>
              <w:t xml:space="preserve">geen betrouwbare gegevens</w:t>
            </w:r>
          </w:p>
        </w:tc>
      </w:tr>
      <w:tr>
        <w:tc>
          <w:tcPr/>
          <w:p>
            <w:pPr>
              <w:pStyle w:val="Compact"/>
              <w:jc w:val="left"/>
            </w:pPr>
            <w:r>
              <w:t xml:space="preserve">Neusspray</w:t>
            </w:r>
          </w:p>
        </w:tc>
        <w:tc>
          <w:tcPr/>
          <w:p>
            <w:pPr>
              <w:pStyle w:val="Compact"/>
              <w:jc w:val="left"/>
            </w:pPr>
            <w:r>
              <w:t xml:space="preserve">geringe, schommelende opname</w:t>
            </w:r>
          </w:p>
        </w:tc>
        <w:tc>
          <w:tcPr/>
          <w:p>
            <w:pPr>
              <w:pStyle w:val="Compact"/>
              <w:jc w:val="left"/>
            </w:pPr>
            <w:r>
              <w:t xml:space="preserve">desmopressine, oxytocine</w:t>
            </w:r>
          </w:p>
        </w:tc>
      </w:tr>
      <w:tr>
        <w:tc>
          <w:tcPr/>
          <w:p>
            <w:pPr>
              <w:pStyle w:val="Compact"/>
              <w:jc w:val="left"/>
            </w:pPr>
            <w:r>
              <w:t xml:space="preserve">Inhalatie</w:t>
            </w:r>
          </w:p>
        </w:tc>
        <w:tc>
          <w:tcPr/>
          <w:p>
            <w:pPr>
              <w:pStyle w:val="Compact"/>
              <w:jc w:val="left"/>
            </w:pPr>
            <w:r>
              <w:t xml:space="preserve">apparaten, veiligheid voor de longen</w:t>
            </w:r>
          </w:p>
        </w:tc>
        <w:tc>
          <w:tcPr/>
          <w:p>
            <w:pPr>
              <w:pStyle w:val="Compact"/>
              <w:jc w:val="left"/>
            </w:pPr>
            <w:r>
              <w:t xml:space="preserve">inhaleerbare insuline</w:t>
            </w:r>
          </w:p>
        </w:tc>
      </w:tr>
      <w:tr>
        <w:tc>
          <w:tcPr/>
          <w:p>
            <w:pPr>
              <w:pStyle w:val="Compact"/>
              <w:jc w:val="left"/>
            </w:pPr>
            <w:r>
              <w:t xml:space="preserve">Huid</w:t>
            </w:r>
          </w:p>
        </w:tc>
        <w:tc>
          <w:tcPr/>
          <w:p>
            <w:pPr>
              <w:pStyle w:val="Compact"/>
              <w:jc w:val="left"/>
            </w:pPr>
            <w:r>
              <w:t xml:space="preserve">hoornlaag, molecuulgrootte</w:t>
            </w:r>
          </w:p>
        </w:tc>
        <w:tc>
          <w:tcPr/>
          <w:p>
            <w:pPr>
              <w:pStyle w:val="Compact"/>
              <w:jc w:val="left"/>
            </w:pPr>
            <w:r>
              <w:t xml:space="preserve">cosmetische peptiden</w:t>
            </w:r>
          </w:p>
        </w:tc>
      </w:tr>
    </w:tbl>
    <w:bookmarkEnd w:id="74"/>
    <w:bookmarkStart w:id="75" w:name="het-belangrijkste-in-het-kort-1"/>
    <w:p>
      <w:pPr>
        <w:pStyle w:val="Heading3"/>
      </w:pPr>
      <w:r>
        <w:t xml:space="preserve">Het belangrijkste in het kort</w:t>
      </w:r>
    </w:p>
    <w:p>
      <w:pPr>
        <w:numPr>
          <w:ilvl w:val="0"/>
          <w:numId w:val="1014"/>
        </w:numPr>
        <w:pStyle w:val="Compact"/>
      </w:pPr>
      <w:r>
        <w:t xml:space="preserve">Peptiden worden in het maag-darmkanaal afgebroken, zijn groot en komen slecht door membranen. Daarom worden de meeste peptidegeneesmiddelen geïnjecteerd.</w:t>
      </w:r>
    </w:p>
    <w:p>
      <w:pPr>
        <w:numPr>
          <w:ilvl w:val="0"/>
          <w:numId w:val="1014"/>
        </w:numPr>
        <w:pStyle w:val="Compact"/>
      </w:pPr>
      <w:r>
        <w:t xml:space="preserve">Een lange werkingsduur bereikt men door gerichte veranderingen van het molecuul, bijvoorbeeld aangehangen vetzuren voor binding aan albumine.</w:t>
      </w:r>
    </w:p>
    <w:p>
      <w:pPr>
        <w:numPr>
          <w:ilvl w:val="0"/>
          <w:numId w:val="1014"/>
        </w:numPr>
        <w:pStyle w:val="Compact"/>
      </w:pPr>
      <w:r>
        <w:t xml:space="preserve">De semaglutidetablet gebruikt de hulpstof SNAC, die opname in de maag mogelijk maakt. De biologische beschikbaarheid blijft met ongeveer 0,4 tot 1% zeer laag.</w:t>
      </w:r>
    </w:p>
    <w:p>
      <w:pPr>
        <w:numPr>
          <w:ilvl w:val="0"/>
          <w:numId w:val="1014"/>
        </w:numPr>
        <w:pStyle w:val="Compact"/>
      </w:pPr>
      <w:r>
        <w:t xml:space="preserve">Bij neussprays en crèmes is de opname van grotere peptiden beperkt. Beloften als „rechtstreeks in de hersenen” of „via de huid in het bloed” zijn meestal niet onderbouwd.</w:t>
      </w:r>
    </w:p>
    <w:p>
      <w:pPr>
        <w:numPr>
          <w:ilvl w:val="0"/>
          <w:numId w:val="1014"/>
        </w:numPr>
        <w:pStyle w:val="Compact"/>
      </w:pPr>
      <w:r>
        <w:t xml:space="preserve">Stabiliteit, steriliteit en zuiverheid zijn bij peptiden geen bijzaak, maar een voorwaarde voor veiligheid en werking.</w:t>
      </w:r>
    </w:p>
    <w:bookmarkEnd w:id="75"/>
    <w:bookmarkEnd w:id="76"/>
    <w:bookmarkStart w:id="96" w:name="studies-goed-lezen"/>
    <w:p>
      <w:pPr>
        <w:pStyle w:val="Heading2"/>
      </w:pPr>
      <w:r>
        <w:t xml:space="preserve">Studies goed lezen</w:t>
      </w:r>
    </w:p>
    <w:p>
      <w:pPr>
        <w:pStyle w:val="FirstParagraph"/>
      </w:pPr>
      <w:r>
        <w:t xml:space="preserve">„Studies tonen aan …” – nauwelijks een formulering wordt in reclame voor peptiden zo vaak gebruikt. Daarmee kan van alles bedoeld zijn: een proef met cellen in een petrischaal, een experiment met twaalf ratten, een ervaringsverhaal van één patiënt of een studie met 17.000 deelnemers over meer dan drie jaar. Wie peptiden wil beoordelen, moet deze verschillen kennen. Dit hoofdstuk is een soort gereedschapskist. Het legt de belangrijkste soorten studies uit, de valkuilen bij het interpreteren van resultaten en hoe u zelf kunt nagaan wat er achter een bewering zit.</w:t>
      </w:r>
    </w:p>
    <w:bookmarkStart w:id="77" w:name="de-bewijspiramide"/>
    <w:p>
      <w:pPr>
        <w:pStyle w:val="Heading3"/>
      </w:pPr>
      <w:r>
        <w:t xml:space="preserve">De bewijspiramide</w:t>
      </w:r>
    </w:p>
    <w:p>
      <w:pPr>
        <w:pStyle w:val="FirstParagraph"/>
      </w:pPr>
      <w:r>
        <w:t xml:space="preserve">Vakmensen rangschikken soorten studies vaak in een piramide. Onderaan staan onderzoeksvormen die veel aanwijzingen, maar weinig zekerheid opleveren; bovenaan die welke het betrouwbaarst laten zien of een behandeling bij de mens werkt. Van onder naar boven:</w:t>
      </w:r>
    </w:p>
    <w:p>
      <w:pPr>
        <w:numPr>
          <w:ilvl w:val="0"/>
          <w:numId w:val="1015"/>
        </w:numPr>
        <w:pStyle w:val="Compact"/>
      </w:pPr>
      <w:r>
        <w:rPr>
          <w:bCs/>
          <w:b/>
        </w:rPr>
        <w:t xml:space="preserve">Laboratorium- en celstudies</w:t>
      </w:r>
      <w:r>
        <w:t xml:space="preserve"> </w:t>
      </w:r>
      <w:r>
        <w:t xml:space="preserve">(in vitro, „in glas”): cellen of weefsels worden in het laboratorium aan een stof blootgesteld.</w:t>
      </w:r>
    </w:p>
    <w:p>
      <w:pPr>
        <w:numPr>
          <w:ilvl w:val="0"/>
          <w:numId w:val="1015"/>
        </w:numPr>
        <w:pStyle w:val="Compact"/>
      </w:pPr>
      <w:r>
        <w:rPr>
          <w:bCs/>
          <w:b/>
        </w:rPr>
        <w:t xml:space="preserve">Dierstudies</w:t>
      </w:r>
      <w:r>
        <w:t xml:space="preserve"> </w:t>
      </w:r>
      <w:r>
        <w:t xml:space="preserve">(meestal bij muizen of ratten).</w:t>
      </w:r>
    </w:p>
    <w:p>
      <w:pPr>
        <w:numPr>
          <w:ilvl w:val="0"/>
          <w:numId w:val="1015"/>
        </w:numPr>
        <w:pStyle w:val="Compact"/>
      </w:pPr>
      <w:r>
        <w:rPr>
          <w:bCs/>
          <w:b/>
        </w:rPr>
        <w:t xml:space="preserve">Casusbeschrijvingen en casusreeksen</w:t>
      </w:r>
      <w:r>
        <w:t xml:space="preserve">: beschrijvingen van één of enkele patiënten.</w:t>
      </w:r>
    </w:p>
    <w:p>
      <w:pPr>
        <w:numPr>
          <w:ilvl w:val="0"/>
          <w:numId w:val="1015"/>
        </w:numPr>
        <w:pStyle w:val="Compact"/>
      </w:pPr>
      <w:r>
        <w:rPr>
          <w:bCs/>
          <w:b/>
        </w:rPr>
        <w:t xml:space="preserve">Observationele studies</w:t>
      </w:r>
      <w:r>
        <w:t xml:space="preserve">: men observeert mensen die een stof toch al wel of niet gebruiken en vergelijkt wat er met hen gebeurt.</w:t>
      </w:r>
    </w:p>
    <w:p>
      <w:pPr>
        <w:numPr>
          <w:ilvl w:val="0"/>
          <w:numId w:val="1015"/>
        </w:numPr>
        <w:pStyle w:val="Compact"/>
      </w:pPr>
      <w:r>
        <w:rPr>
          <w:bCs/>
          <w:b/>
        </w:rPr>
        <w:t xml:space="preserve">Gecontroleerde studies zonder willekeurige toewijzing</w:t>
      </w:r>
      <w:r>
        <w:t xml:space="preserve"> </w:t>
      </w:r>
      <w:r>
        <w:t xml:space="preserve">en</w:t>
      </w:r>
      <w:r>
        <w:t xml:space="preserve"> </w:t>
      </w:r>
      <w:r>
        <w:rPr>
          <w:bCs/>
          <w:b/>
        </w:rPr>
        <w:t xml:space="preserve">open studies</w:t>
      </w:r>
      <w:r>
        <w:t xml:space="preserve">.</w:t>
      </w:r>
    </w:p>
    <w:p>
      <w:pPr>
        <w:numPr>
          <w:ilvl w:val="0"/>
          <w:numId w:val="1015"/>
        </w:numPr>
        <w:pStyle w:val="Compact"/>
      </w:pPr>
      <w:r>
        <w:rPr>
          <w:bCs/>
          <w:b/>
        </w:rPr>
        <w:t xml:space="preserve">Gerandomiseerde gecontroleerde studies</w:t>
      </w:r>
      <w:r>
        <w:t xml:space="preserve"> </w:t>
      </w:r>
      <w:r>
        <w:t xml:space="preserve">(RCT).</w:t>
      </w:r>
    </w:p>
    <w:p>
      <w:pPr>
        <w:numPr>
          <w:ilvl w:val="0"/>
          <w:numId w:val="1015"/>
        </w:numPr>
        <w:pStyle w:val="Compact"/>
      </w:pPr>
      <w:r>
        <w:rPr>
          <w:bCs/>
          <w:b/>
        </w:rPr>
        <w:t xml:space="preserve">Systematische reviews en meta-analyses</w:t>
      </w:r>
      <w:r>
        <w:t xml:space="preserve">, die alle beschikbare goede studies over een vraag samenvatten.</w:t>
      </w:r>
    </w:p>
    <w:p>
      <w:pPr>
        <w:pStyle w:val="FirstParagraph"/>
      </w:pPr>
      <w:r>
        <w:t xml:space="preserve">De piramide is een vereenvoudiging. Een grote, zorgvuldige observationele studie kan zeggingskrachtiger zijn dan een piepkleine, slecht uitgevoerde RCT, en een meta-analyse is maar zo goed als de studies die erin worden opgenomen. Als grove oriëntatie is ze echter nuttig – vooral om te herkennen hoe laag in de piramide het bewijs voor veel peptiden van de grijze markt zich bevindt.</w:t>
      </w:r>
    </w:p>
    <w:bookmarkEnd w:id="77"/>
    <w:bookmarkStart w:id="78" w:name="X0c17498eacbbeda55bcd7a372cb5ab6ea349c28"/>
    <w:p>
      <w:pPr>
        <w:pStyle w:val="Heading3"/>
      </w:pPr>
      <w:r>
        <w:t xml:space="preserve">Laboratoriumstudies: wat er in de petrischaal gebeurt</w:t>
      </w:r>
    </w:p>
    <w:p>
      <w:pPr>
        <w:pStyle w:val="FirstParagraph"/>
      </w:pPr>
      <w:r>
        <w:t xml:space="preserve">In celkweken kunnen mechanismen goed worden onderzocht: welke receptor wordt geactiveerd? Welke genen worden afgelezen? Groeien of bewegen cellen sneller? Zulke studies zijn onmisbaar voor fundamenteel onderzoek.</w:t>
      </w:r>
    </w:p>
    <w:p>
      <w:pPr>
        <w:pStyle w:val="BodyText"/>
      </w:pPr>
      <w:r>
        <w:t xml:space="preserve">Hun beperkingen zijn echter groot. Cellen in een schaal hebben geen bloedsomloop, geen lever die stoffen afbreekt, geen immuunsysteem en geen spijsvertering. De concentraties die in het laboratorium worden gebruikt, zijn vaak veel hoger dan wat in het menselijk lichaam überhaupt haalbaar is. Een stof die in de petrischaal kankercellen doodt, kan in het lichaam werkingsloos of giftig zijn. Wanneer een reclametekst zich op „studies” beroept en het gaat om celkweken, is dat een aanwijzing voor een mogelijk mechanisme – niet voor een nut bij de mens.</w:t>
      </w:r>
    </w:p>
    <w:bookmarkEnd w:id="78"/>
    <w:bookmarkStart w:id="79" w:name="Xf934a5276a63c688526be91349f03cdd1120e29"/>
    <w:p>
      <w:pPr>
        <w:pStyle w:val="Heading3"/>
      </w:pPr>
      <w:r>
        <w:t xml:space="preserve">Dierstudies: belangrijk, maar niet overdraagbaar</w:t>
      </w:r>
    </w:p>
    <w:p>
      <w:pPr>
        <w:pStyle w:val="FirstParagraph"/>
      </w:pPr>
      <w:r>
        <w:t xml:space="preserve">Dierproeven maken het mogelijk effecten in een heel organisme te onderzoeken en veiligheidsvragen op te helderen voordat mensen aan een nieuwe stof worden blootgesteld. Tegelijk verschillen muizen en ratten in stofwisseling, levensduur, lichaamsgrootte en ziekteontstaan aanzienlijk van de mens. Bovendien worden ziekten bij dieren vaak kunstmatig opgewekt – bijvoorbeeld een peesletsel door een snede –, wat slechts ten dele overeenkomt met de situatie bij mensen.</w:t>
      </w:r>
    </w:p>
    <w:p>
      <w:pPr>
        <w:pStyle w:val="BodyText"/>
      </w:pPr>
      <w:r>
        <w:t xml:space="preserve">Hoe moeilijk de vertaling is, laat een systematische review zien die behandeleffecten in dierproeven vergeleek met die in klinische studies (Perel 2007, PMID 17175568). Enkele voorbeelden daaruit:</w:t>
      </w:r>
    </w:p>
    <w:p>
      <w:pPr>
        <w:numPr>
          <w:ilvl w:val="0"/>
          <w:numId w:val="1016"/>
        </w:numPr>
        <w:pStyle w:val="Compact"/>
      </w:pPr>
      <w:r>
        <w:t xml:space="preserve">Corticosteroïden verbeterden bij hoofdletsel in diermodellen de uitkomsten, in klinische studies bij mensen bleek er geen nut.</w:t>
      </w:r>
    </w:p>
    <w:p>
      <w:pPr>
        <w:numPr>
          <w:ilvl w:val="0"/>
          <w:numId w:val="1016"/>
        </w:numPr>
        <w:pStyle w:val="Compact"/>
      </w:pPr>
      <w:r>
        <w:t xml:space="preserve">De werkzame stof tirilazad verkleinde bij dieren met een beroerte het beschadigde hersengebied met 29% en verbeterde neurologische scores met 48%. Bij mensen met een beroerte ging hij gepaard met een slechtere uitkomst.</w:t>
      </w:r>
    </w:p>
    <w:p>
      <w:pPr>
        <w:numPr>
          <w:ilvl w:val="0"/>
          <w:numId w:val="1016"/>
        </w:numPr>
        <w:pStyle w:val="Compact"/>
      </w:pPr>
      <w:r>
        <w:t xml:space="preserve">Andere behandelingen, zoals het oplossen van bloedstolsels bij een beroerte, werkten zowel bij dieren als bij mensen.</w:t>
      </w:r>
    </w:p>
    <w:p>
      <w:pPr>
        <w:pStyle w:val="FirstParagraph"/>
      </w:pPr>
      <w:r>
        <w:t xml:space="preserve">De auteurs schrijven de afwijkingen toe aan vertekeningen in de dierstudies en aan het feit dat diermodellen menselijke ziekten onvoldoende weergeven.</w:t>
      </w:r>
    </w:p>
    <w:p>
      <w:pPr>
        <w:pStyle w:val="BodyText"/>
      </w:pPr>
      <w:r>
        <w:t xml:space="preserve">Voor dit boek heeft dat een duidelijk gevolg: wanneer voor een peptide alleen dierdata beschikbaar zijn, krijgt het bewijsniveau D – ongeacht hoe indrukwekkend de resultaten bij ratten eruitzien. En in de tekst wordt steeds uitdrukkelijk vermeld wanneer een resultaat van dieren of uit het laboratorium afkomstig is.</w:t>
      </w:r>
    </w:p>
    <w:bookmarkEnd w:id="79"/>
    <w:bookmarkStart w:id="80" w:name="Xa8c1dd8e94a8fca6369edbbb3a36a9e48bc7542"/>
    <w:p>
      <w:pPr>
        <w:pStyle w:val="Heading3"/>
      </w:pPr>
      <w:r>
        <w:t xml:space="preserve">Casusbeschrijvingen en observationele studies</w:t>
      </w:r>
    </w:p>
    <w:p>
      <w:pPr>
        <w:pStyle w:val="FirstParagraph"/>
      </w:pPr>
      <w:r>
        <w:rPr>
          <w:bCs/>
          <w:b/>
        </w:rPr>
        <w:t xml:space="preserve">Casusbeschrijvingen</w:t>
      </w:r>
      <w:r>
        <w:t xml:space="preserve"> </w:t>
      </w:r>
      <w:r>
        <w:t xml:space="preserve">beschrijven afzonderlijke patiënten. Over werkzaamheid zeggen ze weinig, voor de veiligheid kunnen ze daarentegen zeer waardevol zijn: zeldzame of onverwachte bijwerkingen vallen vaak het eerst op in casusbeschrijvingen. In het hoofdstuk over de grijze markt leert u verscheidene van zulke verslagen kennen, bijvoorbeeld over ernstige hypoglykemieën door vervalste preparaten.</w:t>
      </w:r>
    </w:p>
    <w:p>
      <w:pPr>
        <w:pStyle w:val="BodyText"/>
      </w:pPr>
      <w:r>
        <w:rPr>
          <w:bCs/>
          <w:b/>
        </w:rPr>
        <w:t xml:space="preserve">Observationele studies</w:t>
      </w:r>
      <w:r>
        <w:t xml:space="preserve"> </w:t>
      </w:r>
      <w:r>
        <w:t xml:space="preserve">vergelijken mensen die een stof gebruiken met mensen die dat niet doen. Hun hoofdprobleem is de zogeheten</w:t>
      </w:r>
      <w:r>
        <w:t xml:space="preserve"> </w:t>
      </w:r>
      <w:r>
        <w:rPr>
          <w:bCs/>
          <w:b/>
        </w:rPr>
        <w:t xml:space="preserve">verstorende factor</w:t>
      </w:r>
      <w:r>
        <w:t xml:space="preserve"> </w:t>
      </w:r>
      <w:r>
        <w:t xml:space="preserve">(confounding): wie een bepaald preparaat gebruikt, verschilt vaak ook op andere punten – bijvoorbeeld in inkomen, gezondheidsbewustzijn of eerdere aandoeningen. Een gevonden verband hoeft daarom geen oorzaak-gevolgrelatie te zijn.</w:t>
      </w:r>
    </w:p>
    <w:p>
      <w:pPr>
        <w:pStyle w:val="BodyText"/>
      </w:pPr>
      <w:r>
        <w:t xml:space="preserve">Een bijzondere vorm zijn analyses van</w:t>
      </w:r>
      <w:r>
        <w:t xml:space="preserve"> </w:t>
      </w:r>
      <w:r>
        <w:rPr>
          <w:bCs/>
          <w:b/>
        </w:rPr>
        <w:t xml:space="preserve">meldsystemen voor bijwerkingen</w:t>
      </w:r>
      <w:r>
        <w:t xml:space="preserve"> </w:t>
      </w:r>
      <w:r>
        <w:t xml:space="preserve">zoals de Europese database EudraVigilance of het Amerikaanse FAERS. Die verzamelen vermoedelijke meldingen van artsen, patiënten en fabrikanten. Zulke gegevens tonen signalen die verder onderzocht moeten worden, maar ze bewijzen geen verband en zeggen niets over hoe vaak een bijwerking werkelijk voorkomt.</w:t>
      </w:r>
    </w:p>
    <w:bookmarkEnd w:id="80"/>
    <w:bookmarkStart w:id="81" w:name="X02f5ca5eff3cd081f01a3c45c9487b4a4f2dcda"/>
    <w:p>
      <w:pPr>
        <w:pStyle w:val="Heading3"/>
      </w:pPr>
      <w:r>
        <w:t xml:space="preserve">De gerandomiseerde gecontroleerde studie (RCT)</w:t>
      </w:r>
    </w:p>
    <w:p>
      <w:pPr>
        <w:pStyle w:val="FirstParagraph"/>
      </w:pPr>
      <w:r>
        <w:t xml:space="preserve">De RCT geldt als gouden standaard om de werking van een behandeling te toetsen. Drie elementen kenmerken haar:</w:t>
      </w:r>
    </w:p>
    <w:p>
      <w:pPr>
        <w:pStyle w:val="BodyText"/>
      </w:pPr>
      <w:r>
        <w:rPr>
          <w:bCs/>
          <w:b/>
        </w:rPr>
        <w:t xml:space="preserve">Controlegroep.</w:t>
      </w:r>
      <w:r>
        <w:t xml:space="preserve"> </w:t>
      </w:r>
      <w:r>
        <w:t xml:space="preserve">Naast de groep die de werkzame stof krijgt, is er een vergelijkingsgroep – met placebo, een standaardbehandeling of helemaal geen behandeling. Alleen zo kan men zeggen of een verandering aan de werkzame stof te danken is of ook zonder die stof zou zijn opgetreden.</w:t>
      </w:r>
    </w:p>
    <w:p>
      <w:pPr>
        <w:pStyle w:val="BodyText"/>
      </w:pPr>
      <w:r>
        <w:rPr>
          <w:bCs/>
          <w:b/>
        </w:rPr>
        <w:t xml:space="preserve">Randomisatie.</w:t>
      </w:r>
      <w:r>
        <w:t xml:space="preserve"> </w:t>
      </w:r>
      <w:r>
        <w:t xml:space="preserve">Wie in welke groep komt, bepaalt het toeval. Daardoor verdelen bekende en onbekende invloedsfactoren zich gelijkmatig over beide groepen. Verschillen in de uitkomst zijn dan met grote waarschijnlijkheid aan de behandeling toe te schrijven.</w:t>
      </w:r>
    </w:p>
    <w:p>
      <w:pPr>
        <w:pStyle w:val="BodyText"/>
      </w:pPr>
      <w:r>
        <w:rPr>
          <w:bCs/>
          <w:b/>
        </w:rPr>
        <w:t xml:space="preserve">Blindering.</w:t>
      </w:r>
      <w:r>
        <w:t xml:space="preserve"> </w:t>
      </w:r>
      <w:r>
        <w:t xml:space="preserve">Bij een</w:t>
      </w:r>
      <w:r>
        <w:t xml:space="preserve"> </w:t>
      </w:r>
      <w:r>
        <w:rPr>
          <w:bCs/>
          <w:b/>
        </w:rPr>
        <w:t xml:space="preserve">dubbelblinde</w:t>
      </w:r>
      <w:r>
        <w:t xml:space="preserve"> </w:t>
      </w:r>
      <w:r>
        <w:t xml:space="preserve">studie weten noch de deelnemers noch het studiepersoneel wie de werkzame stof en wie de placebo krijgt. Dat voorkomt dat verwachtingen de uitkomst beïnvloeden. In een</w:t>
      </w:r>
      <w:r>
        <w:t xml:space="preserve"> </w:t>
      </w:r>
      <w:r>
        <w:rPr>
          <w:bCs/>
          <w:b/>
        </w:rPr>
        <w:t xml:space="preserve">open</w:t>
      </w:r>
      <w:r>
        <w:t xml:space="preserve"> </w:t>
      </w:r>
      <w:r>
        <w:t xml:space="preserve">studie weten alle betrokkenen ervan; dat kan soms niet anders, maar maakt de resultaten gevoeliger voor vertekening, vooral bij subjectieve eindpunten zoals pijn, stemming of het uiterlijk van de huid.</w:t>
      </w:r>
    </w:p>
    <w:bookmarkEnd w:id="81"/>
    <w:bookmarkStart w:id="82" w:name="Xa6c3f7f74e9799e735a3ddab9837e6292aefc5b"/>
    <w:p>
      <w:pPr>
        <w:pStyle w:val="Heading3"/>
      </w:pPr>
      <w:r>
        <w:t xml:space="preserve">Het placebo-effect en waarom controlegroepen onmisbaar zijn</w:t>
      </w:r>
    </w:p>
    <w:p>
      <w:pPr>
        <w:pStyle w:val="FirstParagraph"/>
      </w:pPr>
      <w:r>
        <w:t xml:space="preserve">Mensen gaat het in studies vaak beter, ook als ze alleen een schijnpreparaat krijgen. Dat komt door verwachtingen, door de extra aandacht, door leefstijlveranderingen tijdens een studie en doordat veel klachten sowieso vanzelf verbeteren.</w:t>
      </w:r>
    </w:p>
    <w:p>
      <w:pPr>
        <w:pStyle w:val="BodyText"/>
      </w:pPr>
      <w:r>
        <w:t xml:space="preserve">Een sprekend voorbeeld levert de studie STEP 1: ook de placebogroep verloor over 68 weken gemiddeld 2,4% van het lichaamsgewicht, omdat alle deelnemers daarnaast leefstijladvies kregen (Wilding 2021, PMID 33567185). Het eigenlijke effect van de werkzame stof is het verschil tussen de groepen – in dit geval 12,4 procentpunten, niet 14,9%.</w:t>
      </w:r>
    </w:p>
    <w:p>
      <w:pPr>
        <w:pStyle w:val="BodyText"/>
      </w:pPr>
      <w:r>
        <w:t xml:space="preserve">Een overzichtsartikel over peptiden in de sportgeneeskunde wijst er uitdrukkelijk op dat het placebo-effect een deel van de gerapporteerde effecten van ongereguleerde peptiden zou kunnen verklaren en dat sociale media dit effect versterken (Mendias 2026, PMID 41966639). Ervaringsverhalen van fora zijn daarom geen vervanging voor gecontroleerde studies.</w:t>
      </w:r>
    </w:p>
    <w:bookmarkEnd w:id="82"/>
    <w:bookmarkStart w:id="83" w:name="studiefasen"/>
    <w:p>
      <w:pPr>
        <w:pStyle w:val="Heading3"/>
      </w:pPr>
      <w:r>
        <w:t xml:space="preserve">Studiefasen</w:t>
      </w:r>
    </w:p>
    <w:p>
      <w:pPr>
        <w:pStyle w:val="FirstParagraph"/>
      </w:pPr>
      <w:r>
        <w:t xml:space="preserve">Nieuwe geneesmiddelen doorlopen bij de mens doorgaans vier fasen: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Fase</w:t>
            </w:r>
          </w:p>
        </w:tc>
        <w:tc>
          <w:tcPr/>
          <w:p>
            <w:pPr>
              <w:pStyle w:val="Compact"/>
              <w:jc w:val="left"/>
            </w:pPr>
            <w:r>
              <w:t xml:space="preserve">Doel</w:t>
            </w:r>
          </w:p>
        </w:tc>
        <w:tc>
          <w:tcPr/>
          <w:p>
            <w:pPr>
              <w:pStyle w:val="Compact"/>
              <w:jc w:val="left"/>
            </w:pPr>
            <w:r>
              <w:t xml:space="preserve">Typische omvang</w:t>
            </w:r>
          </w:p>
        </w:tc>
      </w:tr>
      <w:tr>
        <w:tc>
          <w:tcPr/>
          <w:p>
            <w:pPr>
              <w:pStyle w:val="Compact"/>
              <w:jc w:val="left"/>
            </w:pPr>
            <w:r>
              <w:t xml:space="preserve">Fase 1</w:t>
            </w:r>
          </w:p>
        </w:tc>
        <w:tc>
          <w:tcPr/>
          <w:p>
            <w:pPr>
              <w:pStyle w:val="Compact"/>
              <w:jc w:val="left"/>
            </w:pPr>
            <w:r>
              <w:t xml:space="preserve">verdraagbaarheid, gedrag in het lichaam</w:t>
            </w:r>
          </w:p>
        </w:tc>
        <w:tc>
          <w:tcPr/>
          <w:p>
            <w:pPr>
              <w:pStyle w:val="Compact"/>
              <w:jc w:val="left"/>
            </w:pPr>
            <w:r>
              <w:t xml:space="preserve">enkele tientallen gezonde mensen</w:t>
            </w:r>
          </w:p>
        </w:tc>
      </w:tr>
      <w:tr>
        <w:tc>
          <w:tcPr/>
          <w:p>
            <w:pPr>
              <w:pStyle w:val="Compact"/>
              <w:jc w:val="left"/>
            </w:pPr>
            <w:r>
              <w:t xml:space="preserve">Fase 2</w:t>
            </w:r>
          </w:p>
        </w:tc>
        <w:tc>
          <w:tcPr/>
          <w:p>
            <w:pPr>
              <w:pStyle w:val="Compact"/>
              <w:jc w:val="left"/>
            </w:pPr>
            <w:r>
              <w:t xml:space="preserve">eerste werkzaamheid, dosisbepaling</w:t>
            </w:r>
          </w:p>
        </w:tc>
        <w:tc>
          <w:tcPr/>
          <w:p>
            <w:pPr>
              <w:pStyle w:val="Compact"/>
              <w:jc w:val="left"/>
            </w:pPr>
            <w:r>
              <w:t xml:space="preserve">ongeveer 100 tot enkele honderden</w:t>
            </w:r>
          </w:p>
        </w:tc>
      </w:tr>
      <w:tr>
        <w:tc>
          <w:tcPr/>
          <w:p>
            <w:pPr>
              <w:pStyle w:val="Compact"/>
              <w:jc w:val="left"/>
            </w:pPr>
            <w:r>
              <w:t xml:space="preserve">Fase 3</w:t>
            </w:r>
          </w:p>
        </w:tc>
        <w:tc>
          <w:tcPr/>
          <w:p>
            <w:pPr>
              <w:pStyle w:val="Compact"/>
              <w:jc w:val="left"/>
            </w:pPr>
            <w:r>
              <w:t xml:space="preserve">werkzaamheid en veiligheid in vergelijking</w:t>
            </w:r>
          </w:p>
        </w:tc>
        <w:tc>
          <w:tcPr/>
          <w:p>
            <w:pPr>
              <w:pStyle w:val="Compact"/>
              <w:jc w:val="left"/>
            </w:pPr>
            <w:r>
              <w:t xml:space="preserve">honderden tot duizenden</w:t>
            </w:r>
          </w:p>
        </w:tc>
      </w:tr>
      <w:tr>
        <w:tc>
          <w:tcPr/>
          <w:p>
            <w:pPr>
              <w:pStyle w:val="Compact"/>
              <w:jc w:val="left"/>
            </w:pPr>
            <w:r>
              <w:t xml:space="preserve">Fase 4</w:t>
            </w:r>
          </w:p>
        </w:tc>
        <w:tc>
          <w:tcPr/>
          <w:p>
            <w:pPr>
              <w:pStyle w:val="Compact"/>
              <w:jc w:val="left"/>
            </w:pPr>
            <w:r>
              <w:t xml:space="preserve">observatie na registratie</w:t>
            </w:r>
          </w:p>
        </w:tc>
        <w:tc>
          <w:tcPr/>
          <w:p>
            <w:pPr>
              <w:pStyle w:val="Compact"/>
              <w:jc w:val="left"/>
            </w:pPr>
            <w:r>
              <w:t xml:space="preserve">vaak zeer groot</w:t>
            </w:r>
          </w:p>
        </w:tc>
      </w:tr>
    </w:tbl>
    <w:p>
      <w:pPr>
        <w:pStyle w:val="BodyText"/>
      </w:pPr>
      <w:r>
        <w:t xml:space="preserve">Veel werkzame stoffen stranden tussen fase 2 en fase 3. Een veelbelovend fase 2-resultaat is daarom nog geen garantie voor een latere registratie.</w:t>
      </w:r>
    </w:p>
    <w:bookmarkEnd w:id="83"/>
    <w:bookmarkStart w:id="84" w:name="X4a0cdaab5b9e66a0bc9c88df4cbc18d6782fb10"/>
    <w:p>
      <w:pPr>
        <w:pStyle w:val="Heading3"/>
      </w:pPr>
      <w:r>
        <w:t xml:space="preserve">Eindpunten: wat wordt er eigenlijk gemeten?</w:t>
      </w:r>
    </w:p>
    <w:p>
      <w:pPr>
        <w:pStyle w:val="FirstParagraph"/>
      </w:pPr>
      <w:r>
        <w:t xml:space="preserve">Elke studie legt vooraf een</w:t>
      </w:r>
      <w:r>
        <w:t xml:space="preserve"> </w:t>
      </w:r>
      <w:r>
        <w:rPr>
          <w:bCs/>
          <w:b/>
        </w:rPr>
        <w:t xml:space="preserve">primair eindpunt</w:t>
      </w:r>
      <w:r>
        <w:t xml:space="preserve"> </w:t>
      </w:r>
      <w:r>
        <w:t xml:space="preserve">vast – het hoofddoel waaraan het succes wordt afgemeten. Daarnaast zijn er secundaire eindpunten. Wordt een resultaat pas achteraf als belangrijk naar voren gehaald, dan is voorzichtigheid geboden: wie veel eindpunten meet, vindt bijna altijd wel ergens een „significant” verschil.</w:t>
      </w:r>
    </w:p>
    <w:p>
      <w:pPr>
        <w:pStyle w:val="BodyText"/>
      </w:pPr>
      <w:r>
        <w:t xml:space="preserve">Bijzonder belangrijk is het onderscheid tussen</w:t>
      </w:r>
      <w:r>
        <w:t xml:space="preserve"> </w:t>
      </w:r>
      <w:r>
        <w:rPr>
          <w:bCs/>
          <w:b/>
        </w:rPr>
        <w:t xml:space="preserve">harde eindpunten</w:t>
      </w:r>
      <w:r>
        <w:t xml:space="preserve"> </w:t>
      </w:r>
      <w:r>
        <w:t xml:space="preserve">en</w:t>
      </w:r>
      <w:r>
        <w:t xml:space="preserve"> </w:t>
      </w:r>
      <w:r>
        <w:rPr>
          <w:bCs/>
          <w:b/>
        </w:rPr>
        <w:t xml:space="preserve">surrogaateindpunten</w:t>
      </w:r>
      <w:r>
        <w:t xml:space="preserve">:</w:t>
      </w:r>
    </w:p>
    <w:p>
      <w:pPr>
        <w:numPr>
          <w:ilvl w:val="0"/>
          <w:numId w:val="1017"/>
        </w:numPr>
        <w:pStyle w:val="Compact"/>
      </w:pPr>
      <w:r>
        <w:rPr>
          <w:bCs/>
          <w:b/>
        </w:rPr>
        <w:t xml:space="preserve">Harde eindpunten</w:t>
      </w:r>
      <w:r>
        <w:t xml:space="preserve"> </w:t>
      </w:r>
      <w:r>
        <w:t xml:space="preserve">zijn gebeurtenissen die voor patiënten direct tellen: overlijden, hartinfarct, beroerte, botbreuk, blindheid, kwaliteit van leven.</w:t>
      </w:r>
    </w:p>
    <w:p>
      <w:pPr>
        <w:numPr>
          <w:ilvl w:val="0"/>
          <w:numId w:val="1017"/>
        </w:numPr>
        <w:pStyle w:val="Compact"/>
      </w:pPr>
      <w:r>
        <w:rPr>
          <w:bCs/>
          <w:b/>
        </w:rPr>
        <w:t xml:space="preserve">Surrogaateindpunten</w:t>
      </w:r>
      <w:r>
        <w:t xml:space="preserve"> </w:t>
      </w:r>
      <w:r>
        <w:t xml:space="preserve">(vervangende eindpunten) zijn meetwaarden waarvan men aanneemt dat ze samenhangen met harde eindpunten: bloedsuiker, HbA1c, cholesterol, bloeddruk, botdichtheid, lichaamsgewicht of laboratoriumwaarden zoals IGF-1.</w:t>
      </w:r>
    </w:p>
    <w:p>
      <w:pPr>
        <w:pStyle w:val="FirstParagraph"/>
      </w:pPr>
      <w:r>
        <w:t xml:space="preserve">Surrogaateindpunten zijn praktisch, omdat ze sneller en met minder deelnemers te meten zijn. Maar ze kunnen misleiden. Het bekendste voorbeeld is de Cardiac Arrhythmia Suppression Trial (CAST) uit de late jaren 1980. Men ging ervan uit dat geneesmiddelen die bepaalde hartritmestoornissen na een hartinfarct onderdrukken, ook sterfgevallen voorkomen. De geneesmiddelen onderdrukten de ritmestoornissen inderdaad – het surrogaateindpunt was bereikt. Maar in de gerandomiseerde studie stierven onder twee van deze geneesmiddelen meer mensen dan onder placebo: aan ritmestoornissen stierven 43 deelnemers met werkzame stof tegenover 16 met placebo (Echt 1991, PMID 1900101).</w:t>
      </w:r>
    </w:p>
    <w:p>
      <w:pPr>
        <w:pStyle w:val="BodyText"/>
      </w:pPr>
      <w:r>
        <w:t xml:space="preserve">Bij peptiden komt u surrogaateindpunten voortdurend tegen. Bij groeihormoonvrijmakers wordt vaak alleen gemeten of de spiegel van groeihormoon of IGF-1 stijgt – niet of mensen daardoor gezonder of sterker worden of langer leven. Bij de GLP-1-geneesmiddelen zijn er daarentegen inmiddels grote studies met harde eindpunten zoals hartinfarct en beroerte. Dat is een van de redenen waarom ze in dit boek het hoogste bewijsniveau krijgen.</w:t>
      </w:r>
    </w:p>
    <w:bookmarkEnd w:id="84"/>
    <w:bookmarkStart w:id="85" w:name="relatieve-en-absolute-risicos"/>
    <w:p>
      <w:pPr>
        <w:pStyle w:val="Heading3"/>
      </w:pPr>
      <w:r>
        <w:t xml:space="preserve">Relatieve en absolute risico’s</w:t>
      </w:r>
    </w:p>
    <w:p>
      <w:pPr>
        <w:pStyle w:val="FirstParagraph"/>
      </w:pPr>
      <w:r>
        <w:t xml:space="preserve">Nauwelijks een statistisch detail wordt zo vaak verkeerd begrepen als dit. Neem de studie SELECT: over gemiddeld 39,8 maanden trad de gecombineerde cardiovasculaire gebeurtenis op bij 6,5% van de deelnemers met semaglutide en bij 8,0% met placebo. De hazard ratio – een maat voor het relatieve risico in de tijd – bedroeg 0,80 (Lincoff 2023, PMID 37952131).</w:t>
      </w:r>
    </w:p>
    <w:p>
      <w:pPr>
        <w:pStyle w:val="BodyText"/>
      </w:pPr>
      <w:r>
        <w:t xml:space="preserve">Daaruit zijn twee uitspraken af te leiden die allebei juist zijn:</w:t>
      </w:r>
    </w:p>
    <w:p>
      <w:pPr>
        <w:numPr>
          <w:ilvl w:val="0"/>
          <w:numId w:val="1018"/>
        </w:numPr>
        <w:pStyle w:val="Compact"/>
      </w:pPr>
      <w:r>
        <w:rPr>
          <w:bCs/>
          <w:b/>
        </w:rPr>
        <w:t xml:space="preserve">Relatief:</w:t>
      </w:r>
      <w:r>
        <w:t xml:space="preserve"> </w:t>
      </w:r>
      <w:r>
        <w:t xml:space="preserve">het risico was ongeveer 20% lager.</w:t>
      </w:r>
    </w:p>
    <w:p>
      <w:pPr>
        <w:numPr>
          <w:ilvl w:val="0"/>
          <w:numId w:val="1018"/>
        </w:numPr>
        <w:pStyle w:val="Compact"/>
      </w:pPr>
      <w:r>
        <w:rPr>
          <w:bCs/>
          <w:b/>
        </w:rPr>
        <w:t xml:space="preserve">Absoluut:</w:t>
      </w:r>
      <w:r>
        <w:t xml:space="preserve"> </w:t>
      </w:r>
      <w:r>
        <w:t xml:space="preserve">het aandeel getroffenen daalde met 1,5 procentpunt – van 8,0 naar 6,5 op de 100 mensen.</w:t>
      </w:r>
    </w:p>
    <w:p>
      <w:pPr>
        <w:pStyle w:val="FirstParagraph"/>
      </w:pPr>
      <w:r>
        <w:t xml:space="preserve">Uit het absolute verschil kan de</w:t>
      </w:r>
      <w:r>
        <w:t xml:space="preserve"> </w:t>
      </w:r>
      <w:r>
        <w:rPr>
          <w:bCs/>
          <w:b/>
        </w:rPr>
        <w:t xml:space="preserve">number needed to treat (NNT)</w:t>
      </w:r>
      <w:r>
        <w:t xml:space="preserve"> </w:t>
      </w:r>
      <w:r>
        <w:t xml:space="preserve">worden berekend: hoeveel mensen behandeld moeten worden opdat één persoon een gebeurtenis bespaard blijft. Hier zijn dat rekenkundig ongeveer 67 mensen over ruim drie jaar. Dat betekent niet dat de behandeling onbelangrijk is – bij miljoenen getroffenen is het effect aanzienlijk. Maar het laat zien dat de meeste behandelden ook zonder geneesmiddel geen gebeurtenis zouden hebben gehad, en dat sommigen er ondanks het geneesmiddel toch een krijgen.</w:t>
      </w:r>
    </w:p>
    <w:p>
      <w:pPr>
        <w:pStyle w:val="BodyText"/>
      </w:pPr>
      <w:r>
        <w:t xml:space="preserve">Reclame en krantenkoppen geven de voorkeur aan relatieve cijfers, omdat die groter klinken. Goede studieverslagen noemen beide. Let daarom altijd op de uitgangsfrequentie: een „halvering” van het risico van 2 naar 1 op de 10.000 is iets heel anders dan van 20 naar 10 op de 100.</w:t>
      </w:r>
    </w:p>
    <w:p>
      <w:pPr>
        <w:pStyle w:val="BodyText"/>
      </w:pPr>
      <w:r>
        <w:t xml:space="preserve">Hetzelfde geldt voor bijwerkingen. In SELECT stopte 16,6% van de deelnemers met semaglutide met de behandeling vanwege ongewenste voorvallen, tegenover 8,2% met placebo (Lincoff 2023, PMID 37952131). Relatief is dat een verdubbeling, absoluut een verschil van 8,4 procentpunten.</w:t>
      </w:r>
    </w:p>
    <w:bookmarkEnd w:id="85"/>
    <w:bookmarkStart w:id="86" w:name="X984cdcda867a49aa7287db90b70f62935fe451c"/>
    <w:p>
      <w:pPr>
        <w:pStyle w:val="Heading3"/>
      </w:pPr>
      <w:r>
        <w:t xml:space="preserve">Statistische significantie en betrouwbaarheidsintervallen</w:t>
      </w:r>
    </w:p>
    <w:p>
      <w:pPr>
        <w:pStyle w:val="FirstParagraph"/>
      </w:pPr>
      <w:r>
        <w:t xml:space="preserve">Een</w:t>
      </w:r>
      <w:r>
        <w:t xml:space="preserve"> </w:t>
      </w:r>
      <w:r>
        <w:rPr>
          <w:bCs/>
          <w:b/>
        </w:rPr>
        <w:t xml:space="preserve">p-waarde</w:t>
      </w:r>
      <w:r>
        <w:t xml:space="preserve"> </w:t>
      </w:r>
      <w:r>
        <w:t xml:space="preserve">geeft aan hoe waarschijnlijk een minstens zo groot verschil zou zijn als er in werkelijkheid geen effect bestond. Is ze kleiner dan 0,05, dan geldt een resultaat gewoonlijk als „statistisch significant”. Dat betekent niet dat het effect groot of betekenisvol is – bij zeer grote studies worden ook minieme verschillen significant.</w:t>
      </w:r>
    </w:p>
    <w:p>
      <w:pPr>
        <w:pStyle w:val="BodyText"/>
      </w:pPr>
      <w:r>
        <w:t xml:space="preserve">Zeggingskrachtiger is vaak het</w:t>
      </w:r>
      <w:r>
        <w:t xml:space="preserve"> </w:t>
      </w:r>
      <w:r>
        <w:rPr>
          <w:bCs/>
          <w:b/>
        </w:rPr>
        <w:t xml:space="preserve">95%-betrouwbaarheidsinterval</w:t>
      </w:r>
      <w:r>
        <w:t xml:space="preserve">. Het geeft een bereik aan waarbinnen het ware effect met grote waarschijnlijkheid ligt. In STEP 1 bedroeg het verschil in lichaamsgewicht tussen semaglutide en placebo 12,4 procentpunten, met een betrouwbaarheidsinterval van 11,5 tot 13,4 (Wilding 2021, PMID 33567185). Zo’n smal interval wijst op een precieze schatting. Bij kleine studies zijn de intervallen vaak zeer breed – een teken dat het ware effect groot, klein of zelfs nul zou kunnen zijn.</w:t>
      </w:r>
    </w:p>
    <w:bookmarkEnd w:id="86"/>
    <w:bookmarkStart w:id="87" w:name="Xb88ee1321147aaffc0741b78c764ce07a92566f"/>
    <w:p>
      <w:pPr>
        <w:pStyle w:val="Heading3"/>
      </w:pPr>
      <w:r>
        <w:t xml:space="preserve">Hoe er geteld wordt: de vraag naar de schatter</w:t>
      </w:r>
    </w:p>
    <w:p>
      <w:pPr>
        <w:pStyle w:val="FirstParagraph"/>
      </w:pPr>
      <w:r>
        <w:t xml:space="preserve">Een detail dat in recentere studies belangrijk is geworden: hoe worden mensen geteld die met de behandeling stoppen of aanvullende geneesmiddelen gebruiken? In de studie PIONEER 1 werden twee analyses gerapporteerd. Analyseert men alle deelnemers, ongeacht of ze de tabletten bleven innemen, dan daalde de HbA1c-waarde bij de hoogste dosis 1,1 procentpunt sterker dan onder placebo. Bekijkt men alleen de tijd waarin de tabletten daadwerkelijk werden ingenomen, dan was dat 1,4 procentpunt (Aroda 2019, PMID 31186300). Beide cijfers zijn correct, maar beantwoorden verschillende vragen. Het eerste is meestal realistischer voor het dagelijks leven.</w:t>
      </w:r>
    </w:p>
    <w:bookmarkEnd w:id="87"/>
    <w:bookmarkStart w:id="88" w:name="duur-en-omvang"/>
    <w:p>
      <w:pPr>
        <w:pStyle w:val="Heading3"/>
      </w:pPr>
      <w:r>
        <w:t xml:space="preserve">Duur en omvang</w:t>
      </w:r>
    </w:p>
    <w:p>
      <w:pPr>
        <w:pStyle w:val="FirstParagraph"/>
      </w:pPr>
      <w:r>
        <w:t xml:space="preserve">Veel peptidestudies zijn kort. Een verandering van laboratoriumwaarden na twee weken zegt weinig over wat er na twee jaar gebeurt – niet over het nut en niet over risico’s zoals kanker, die vaak pas na jaren zichtbaar worden. Even belangrijk is de omvang: zeldzame bijwerkingen die één op de duizend mensen treffen, blijven in een studie met 40 deelnemers onvermijdelijk onopgemerkt. Het ontbreken van bijwerkingen in een kleine studie is geen bewijs van veiligheid.</w:t>
      </w:r>
    </w:p>
    <w:p>
      <w:pPr>
        <w:pStyle w:val="BodyText"/>
      </w:pPr>
      <w:r>
        <w:t xml:space="preserve">Op basis van theoretische overwegingen en simulaties leidde de epidemioloog John Ioannidis af dat onderzoeksresultaten onbetrouwbaarder zijn naarmate de studies en de effecten kleiner zijn, naarmate meer vraagstellingen zonder voorselectie worden getest, naarmate opzet en analyse flexibeler zijn en naarmate financiële belangen en vooroordelen in een vakgebied groter zijn (Ioannidis 2005, PMID 16060722). Veel van deze kenmerken gelden voor het onderzoek naar weinig onderzochte peptiden.</w:t>
      </w:r>
    </w:p>
    <w:bookmarkEnd w:id="88"/>
    <w:bookmarkStart w:id="89" w:name="belangenconflicten"/>
    <w:p>
      <w:pPr>
        <w:pStyle w:val="Heading3"/>
      </w:pPr>
      <w:r>
        <w:t xml:space="preserve">Belangenconflicten</w:t>
      </w:r>
    </w:p>
    <w:p>
      <w:pPr>
        <w:pStyle w:val="FirstParagraph"/>
      </w:pPr>
      <w:r>
        <w:t xml:space="preserve">De grote registratiestudies worden bijna altijd door de fabrikanten gefinancierd. Dat is wettelijk zo voorzien en niet automatisch een smet – deze studies zijn aan strenge regels gebonden, worden vooraf geregistreerd en door autoriteiten gecontroleerd. Toch loont een blik op de financiering. Een Cochrane-review kwam tot de conclusie dat door de industrie gesponsorde studies vaker gunstige werkzaamheidsresultaten (relatief risico 1,27) en vaker gunstige conclusies (relatief risico 1,34) rapporteerden dan studies met andere financiering (Lundh 2017, PMID 28207928).</w:t>
      </w:r>
    </w:p>
    <w:p>
      <w:pPr>
        <w:pStyle w:val="BodyText"/>
      </w:pPr>
      <w:r>
        <w:t xml:space="preserve">Belangenconflicten bestaan niet alleen bij farmaceutische concerns. Ook onderzoekers die een stof hebben ontdekt en octrooien bezitten, klinieken die peptidetherapieën verkopen of influencers met kortingscodes hebben belang bij positieve resultaten. Een waarschuwingssignaal is het wanneer bijna alle studies over een stof van één enkele onderzoeksgroep komen en niet door onafhankelijke teams zijn bevestigd.</w:t>
      </w:r>
    </w:p>
    <w:bookmarkEnd w:id="89"/>
    <w:bookmarkStart w:id="90" w:name="het-probleem-van-de-verdwenen-studies"/>
    <w:p>
      <w:pPr>
        <w:pStyle w:val="Heading3"/>
      </w:pPr>
      <w:r>
        <w:t xml:space="preserve">Het probleem van de verdwenen studies</w:t>
      </w:r>
    </w:p>
    <w:p>
      <w:pPr>
        <w:pStyle w:val="FirstParagraph"/>
      </w:pPr>
      <w:r>
        <w:t xml:space="preserve">Niet elke studie wordt gepubliceerd – en het zijn vooral de teleurstellende die verdwijnen. Hoe sterk dat kan vertekenen, liet een onderzoek naar antidepressiva zien. Van 74 bij de Amerikaanse geneesmiddelenautoriteit FDA geregistreerde studies werd 31% niet gepubliceerd. Volgens de gepubliceerde literatuur was 94% van de studies positief, volgens de analyse van de FDA slechts 51% (Turner 2008, PMID 18199864). Wie alleen de vaktijdschriften leest, krijgt een te rooskleurig beeld.</w:t>
      </w:r>
    </w:p>
    <w:bookmarkEnd w:id="90"/>
    <w:bookmarkStart w:id="91" w:name="studieregisters"/>
    <w:p>
      <w:pPr>
        <w:pStyle w:val="Heading3"/>
      </w:pPr>
      <w:r>
        <w:t xml:space="preserve">Studieregisters</w:t>
      </w:r>
    </w:p>
    <w:p>
      <w:pPr>
        <w:pStyle w:val="FirstParagraph"/>
      </w:pPr>
      <w:r>
        <w:t xml:space="preserve">Als reactie op zulke bevindingen verklaarde het internationale comité van redacteuren van medische vaktijdschriften in 2004 dat klinische studies vóór de start in een openbaar register moeten zijn ingeschreven om later gepubliceerd te kunnen worden (DeAngelis 2004, PMID 15355936). Tegenwoordig zijn registers een centraal hulpmiddel:</w:t>
      </w:r>
    </w:p>
    <w:p>
      <w:pPr>
        <w:numPr>
          <w:ilvl w:val="0"/>
          <w:numId w:val="1019"/>
        </w:numPr>
        <w:pStyle w:val="Compact"/>
      </w:pPr>
      <w:r>
        <w:rPr>
          <w:bCs/>
          <w:b/>
        </w:rPr>
        <w:t xml:space="preserve">ClinicalTrials.gov</w:t>
      </w:r>
      <w:r>
        <w:t xml:space="preserve"> </w:t>
      </w:r>
      <w:r>
        <w:t xml:space="preserve">(VS) is het grootste register. Elke studie krijgt een nummer in het formaat „NCT” plus acht cijfers. De studie SELECT heeft bijvoorbeeld het nummer NCT03574597.</w:t>
      </w:r>
    </w:p>
    <w:p>
      <w:pPr>
        <w:numPr>
          <w:ilvl w:val="0"/>
          <w:numId w:val="1019"/>
        </w:numPr>
        <w:pStyle w:val="Compact"/>
      </w:pPr>
      <w:r>
        <w:t xml:space="preserve">In de</w:t>
      </w:r>
      <w:r>
        <w:t xml:space="preserve"> </w:t>
      </w:r>
      <w:r>
        <w:rPr>
          <w:bCs/>
          <w:b/>
        </w:rPr>
        <w:t xml:space="preserve">EU</w:t>
      </w:r>
      <w:r>
        <w:t xml:space="preserve"> </w:t>
      </w:r>
      <w:r>
        <w:t xml:space="preserve">worden klinische proeven vastgelegd in het Clinical Trials Information System (CTIS) van het Europees Geneesmiddelenbureau; oudere studies staan in het EU Clinical Trials Register.</w:t>
      </w:r>
    </w:p>
    <w:p>
      <w:pPr>
        <w:numPr>
          <w:ilvl w:val="0"/>
          <w:numId w:val="1019"/>
        </w:numPr>
        <w:pStyle w:val="Compact"/>
      </w:pPr>
      <w:r>
        <w:t xml:space="preserve">De</w:t>
      </w:r>
      <w:r>
        <w:t xml:space="preserve"> </w:t>
      </w:r>
      <w:r>
        <w:rPr>
          <w:bCs/>
          <w:b/>
        </w:rPr>
        <w:t xml:space="preserve">Wereldgezondheidsorganisatie</w:t>
      </w:r>
      <w:r>
        <w:t xml:space="preserve"> </w:t>
      </w:r>
      <w:r>
        <w:t xml:space="preserve">bundelt veel nationale registers in een zoekportaal (ICTRP).</w:t>
      </w:r>
    </w:p>
    <w:p>
      <w:pPr>
        <w:pStyle w:val="FirstParagraph"/>
      </w:pPr>
      <w:r>
        <w:t xml:space="preserve">In het register staan onder meer de geplande studieopzet, het aantal deelnemers, het primaire eindpunt en de status. Zo kan worden nagegaan of een gepubliceerde studie haar oorspronkelijk geplande eindpunten rapporteert – en of er over een stof studies zijn gestart maar nooit gepubliceerd. Voor dit boek zijn registers vooral gebruikt om lopende studies te vinden. Belangrijk: een registratie is geen resultaat. Dat een studie geregistreerd is, zegt niets over de vraag of de stof werkt.</w:t>
      </w:r>
    </w:p>
    <w:bookmarkEnd w:id="91"/>
    <w:bookmarkStart w:id="92" w:name="andere-waarschuwingssignalen"/>
    <w:p>
      <w:pPr>
        <w:pStyle w:val="Heading3"/>
      </w:pPr>
      <w:r>
        <w:t xml:space="preserve">Andere waarschuwingssignalen</w:t>
      </w:r>
    </w:p>
    <w:p>
      <w:pPr>
        <w:numPr>
          <w:ilvl w:val="0"/>
          <w:numId w:val="1020"/>
        </w:numPr>
        <w:pStyle w:val="Compact"/>
      </w:pPr>
      <w:r>
        <w:rPr>
          <w:bCs/>
          <w:b/>
        </w:rPr>
        <w:t xml:space="preserve">Alleen een congresabstract of een preprint.</w:t>
      </w:r>
      <w:r>
        <w:t xml:space="preserve"> </w:t>
      </w:r>
      <w:r>
        <w:t xml:space="preserve">Voorpublicaties (bijvoorbeeld op medRxiv) en congresbijdragen zijn nog niet volledig beoordeeld.</w:t>
      </w:r>
    </w:p>
    <w:p>
      <w:pPr>
        <w:numPr>
          <w:ilvl w:val="0"/>
          <w:numId w:val="1020"/>
        </w:numPr>
        <w:pStyle w:val="Compact"/>
      </w:pPr>
      <w:r>
        <w:rPr>
          <w:bCs/>
          <w:b/>
        </w:rPr>
        <w:t xml:space="preserve">Vaktijdschriften met twijfelachtige normen.</w:t>
      </w:r>
      <w:r>
        <w:t xml:space="preserve"> </w:t>
      </w:r>
      <w:r>
        <w:t xml:space="preserve">Sommige tijdschriften publiceren tegen betaling bijna alles.</w:t>
      </w:r>
    </w:p>
    <w:p>
      <w:pPr>
        <w:numPr>
          <w:ilvl w:val="0"/>
          <w:numId w:val="1020"/>
        </w:numPr>
        <w:pStyle w:val="Compact"/>
      </w:pPr>
      <w:r>
        <w:rPr>
          <w:bCs/>
          <w:b/>
        </w:rPr>
        <w:t xml:space="preserve">Studies die niet te vinden zijn.</w:t>
      </w:r>
      <w:r>
        <w:t xml:space="preserve"> </w:t>
      </w:r>
      <w:r>
        <w:t xml:space="preserve">Als een geciteerde studie niet in PubMed of een register te vinden is, is voorzichtigheid geboden.</w:t>
      </w:r>
    </w:p>
    <w:p>
      <w:pPr>
        <w:numPr>
          <w:ilvl w:val="0"/>
          <w:numId w:val="1020"/>
        </w:numPr>
        <w:pStyle w:val="Compact"/>
      </w:pPr>
      <w:r>
        <w:rPr>
          <w:bCs/>
          <w:b/>
        </w:rPr>
        <w:t xml:space="preserve">Vertaling van zieken naar gezonden.</w:t>
      </w:r>
      <w:r>
        <w:t xml:space="preserve"> </w:t>
      </w:r>
      <w:r>
        <w:t xml:space="preserve">Een stof die bij een bepaalde ziekte helpt, hoeft bij gezonde mensen geen nut te hebben – de verhouding tussen risico en nut is daar een heel andere.</w:t>
      </w:r>
    </w:p>
    <w:p>
      <w:pPr>
        <w:numPr>
          <w:ilvl w:val="0"/>
          <w:numId w:val="1020"/>
        </w:numPr>
        <w:pStyle w:val="Compact"/>
      </w:pPr>
      <w:r>
        <w:rPr>
          <w:bCs/>
          <w:b/>
        </w:rPr>
        <w:t xml:space="preserve">Vertaling van de ene stof naar de andere.</w:t>
      </w:r>
      <w:r>
        <w:t xml:space="preserve"> </w:t>
      </w:r>
      <w:r>
        <w:t xml:space="preserve">Resultaten over semaglutide gelden niet automatisch voor een product van de grijze markt waarop „semaglutide” staat – en studies over thymosine bèta-4 niet automatisch voor het fragment „TB-500”.</w:t>
      </w:r>
    </w:p>
    <w:bookmarkEnd w:id="92"/>
    <w:bookmarkStart w:id="93" w:name="tien-vragen-bij-elke-studie"/>
    <w:p>
      <w:pPr>
        <w:pStyle w:val="Heading3"/>
      </w:pPr>
      <w:r>
        <w:t xml:space="preserve">Tien vragen bij elke studie</w:t>
      </w:r>
    </w:p>
    <w:p>
      <w:pPr>
        <w:numPr>
          <w:ilvl w:val="0"/>
          <w:numId w:val="1021"/>
        </w:numPr>
        <w:pStyle w:val="Compact"/>
      </w:pPr>
      <w:r>
        <w:t xml:space="preserve">Zijn er mensen onderzocht – of dieren of cellen?</w:t>
      </w:r>
    </w:p>
    <w:p>
      <w:pPr>
        <w:numPr>
          <w:ilvl w:val="0"/>
          <w:numId w:val="1021"/>
        </w:numPr>
        <w:pStyle w:val="Compact"/>
      </w:pPr>
      <w:r>
        <w:t xml:space="preserve">Was er een controlegroep, en werd er willekeurig toegewezen?</w:t>
      </w:r>
    </w:p>
    <w:p>
      <w:pPr>
        <w:numPr>
          <w:ilvl w:val="0"/>
          <w:numId w:val="1021"/>
        </w:numPr>
        <w:pStyle w:val="Compact"/>
      </w:pPr>
      <w:r>
        <w:t xml:space="preserve">Was de studie geblindeerd?</w:t>
      </w:r>
    </w:p>
    <w:p>
      <w:pPr>
        <w:numPr>
          <w:ilvl w:val="0"/>
          <w:numId w:val="1021"/>
        </w:numPr>
        <w:pStyle w:val="Compact"/>
      </w:pPr>
      <w:r>
        <w:t xml:space="preserve">Hoeveel deelnemers waren er, en hoe lang werden ze gevolgd?</w:t>
      </w:r>
    </w:p>
    <w:p>
      <w:pPr>
        <w:numPr>
          <w:ilvl w:val="0"/>
          <w:numId w:val="1021"/>
        </w:numPr>
        <w:pStyle w:val="Compact"/>
      </w:pPr>
      <w:r>
        <w:t xml:space="preserve">Wie werd onderzocht – zieken of gezonden, jongeren of ouderen?</w:t>
      </w:r>
    </w:p>
    <w:p>
      <w:pPr>
        <w:numPr>
          <w:ilvl w:val="0"/>
          <w:numId w:val="1021"/>
        </w:numPr>
        <w:pStyle w:val="Compact"/>
      </w:pPr>
      <w:r>
        <w:t xml:space="preserve">Wat was het primaire eindpunt: een hard eindpunt of een surrogaat?</w:t>
      </w:r>
    </w:p>
    <w:p>
      <w:pPr>
        <w:numPr>
          <w:ilvl w:val="0"/>
          <w:numId w:val="1021"/>
        </w:numPr>
        <w:pStyle w:val="Compact"/>
      </w:pPr>
      <w:r>
        <w:t xml:space="preserve">Hoe groot was het verschil absoluut, niet alleen relatief?</w:t>
      </w:r>
    </w:p>
    <w:p>
      <w:pPr>
        <w:numPr>
          <w:ilvl w:val="0"/>
          <w:numId w:val="1021"/>
        </w:numPr>
        <w:pStyle w:val="Compact"/>
      </w:pPr>
      <w:r>
        <w:t xml:space="preserve">Hoeveel deelnemers stopten, en welke bijwerkingen traden op?</w:t>
      </w:r>
    </w:p>
    <w:p>
      <w:pPr>
        <w:numPr>
          <w:ilvl w:val="0"/>
          <w:numId w:val="1021"/>
        </w:numPr>
        <w:pStyle w:val="Compact"/>
      </w:pPr>
      <w:r>
        <w:t xml:space="preserve">Wie heeft de studie betaald, en zijn de resultaten onafhankelijk bevestigd?</w:t>
      </w:r>
    </w:p>
    <w:p>
      <w:pPr>
        <w:numPr>
          <w:ilvl w:val="0"/>
          <w:numId w:val="1021"/>
        </w:numPr>
        <w:pStyle w:val="Compact"/>
      </w:pPr>
      <w:r>
        <w:t xml:space="preserve">Was de studie vooraf geregistreerd, en komen de gerapporteerde eindpunten overeen met het register?</w:t>
      </w:r>
    </w:p>
    <w:bookmarkEnd w:id="93"/>
    <w:bookmarkStart w:id="94" w:name="hoe-dit-boek-het-bewijs-indeelt"/>
    <w:p>
      <w:pPr>
        <w:pStyle w:val="Heading3"/>
      </w:pPr>
      <w:r>
        <w:t xml:space="preserve">Hoe dit boek het bewijs indeelt</w:t>
      </w:r>
    </w:p>
    <w:p>
      <w:pPr>
        <w:pStyle w:val="FirstParagraph"/>
      </w:pPr>
      <w:r>
        <w:t xml:space="preserve">Elk peptide in deel II krijgt een bewijsniveau:</w:t>
      </w:r>
    </w:p>
    <w:p>
      <w:pPr>
        <w:numPr>
          <w:ilvl w:val="0"/>
          <w:numId w:val="1022"/>
        </w:numPr>
        <w:pStyle w:val="Compact"/>
      </w:pPr>
      <w:r>
        <w:rPr>
          <w:bCs/>
          <w:b/>
        </w:rPr>
        <w:t xml:space="preserve">A</w:t>
      </w:r>
      <w:r>
        <w:t xml:space="preserve">: meerdere grote gerandomiseerde studies bij mensen, registratie als geneesmiddel.</w:t>
      </w:r>
    </w:p>
    <w:p>
      <w:pPr>
        <w:numPr>
          <w:ilvl w:val="0"/>
          <w:numId w:val="1022"/>
        </w:numPr>
        <w:pStyle w:val="Compact"/>
      </w:pPr>
      <w:r>
        <w:rPr>
          <w:bCs/>
          <w:b/>
        </w:rPr>
        <w:t xml:space="preserve">B</w:t>
      </w:r>
      <w:r>
        <w:t xml:space="preserve">: enkele gerandomiseerde studies bij mensen.</w:t>
      </w:r>
    </w:p>
    <w:p>
      <w:pPr>
        <w:numPr>
          <w:ilvl w:val="0"/>
          <w:numId w:val="1022"/>
        </w:numPr>
        <w:pStyle w:val="Compact"/>
      </w:pPr>
      <w:r>
        <w:rPr>
          <w:bCs/>
          <w:b/>
        </w:rPr>
        <w:t xml:space="preserve">C</w:t>
      </w:r>
      <w:r>
        <w:t xml:space="preserve">: alleen kleine of ongecontroleerde studies bij mensen.</w:t>
      </w:r>
    </w:p>
    <w:p>
      <w:pPr>
        <w:numPr>
          <w:ilvl w:val="0"/>
          <w:numId w:val="1022"/>
        </w:numPr>
        <w:pStyle w:val="Compact"/>
      </w:pPr>
      <w:r>
        <w:rPr>
          <w:bCs/>
          <w:b/>
        </w:rPr>
        <w:t xml:space="preserve">D</w:t>
      </w:r>
      <w:r>
        <w:t xml:space="preserve">: alleen dier- en laboratoriumstudies.</w:t>
      </w:r>
    </w:p>
    <w:p>
      <w:pPr>
        <w:pStyle w:val="FirstParagraph"/>
      </w:pPr>
      <w:r>
        <w:t xml:space="preserve">Het niveau beoordeelt de</w:t>
      </w:r>
      <w:r>
        <w:t xml:space="preserve"> </w:t>
      </w:r>
      <w:r>
        <w:rPr>
          <w:bCs/>
          <w:b/>
        </w:rPr>
        <w:t xml:space="preserve">hoeveelheid en kwaliteit van de gegevens bij de mens</w:t>
      </w:r>
      <w:r>
        <w:t xml:space="preserve">, niet of een stof „goed” of „slecht” is. Een peptide met niveau A kan aanzienlijke bijwerkingen hebben, en een peptide met niveau D kan in de toekomst wel degelijk nuttig blijken – het is alleen nog niet voldoende onderzocht. De indeling geldt bovendien voor een bepaalde toepassing: een stof kan voor de ene ziekte goed onderbouwd zijn en voor een andere helemaal niet.</w:t>
      </w:r>
    </w:p>
    <w:bookmarkEnd w:id="94"/>
    <w:bookmarkStart w:id="95" w:name="het-belangrijkste-in-het-kort-2"/>
    <w:p>
      <w:pPr>
        <w:pStyle w:val="Heading3"/>
      </w:pPr>
      <w:r>
        <w:t xml:space="preserve">Het belangrijkste in het kort</w:t>
      </w:r>
    </w:p>
    <w:p>
      <w:pPr>
        <w:numPr>
          <w:ilvl w:val="0"/>
          <w:numId w:val="1023"/>
        </w:numPr>
        <w:pStyle w:val="Compact"/>
      </w:pPr>
      <w:r>
        <w:t xml:space="preserve">Laboratorium- en dierstudies leveren aanwijzingen voor mechanismen, maar geen bewijs voor een nut bij de mens.</w:t>
      </w:r>
    </w:p>
    <w:p>
      <w:pPr>
        <w:numPr>
          <w:ilvl w:val="0"/>
          <w:numId w:val="1023"/>
        </w:numPr>
        <w:pStyle w:val="Compact"/>
      </w:pPr>
      <w:r>
        <w:t xml:space="preserve">De gerandomiseerde, gecontroleerde, geblindeerde vergelijking is de betrouwbaarste manier om een werking aan te tonen.</w:t>
      </w:r>
    </w:p>
    <w:p>
      <w:pPr>
        <w:numPr>
          <w:ilvl w:val="0"/>
          <w:numId w:val="1023"/>
        </w:numPr>
        <w:pStyle w:val="Compact"/>
      </w:pPr>
      <w:r>
        <w:t xml:space="preserve">Surrogaateindpunten zoals laboratoriumwaarden kunnen misleiden; harde eindpunten tellen.</w:t>
      </w:r>
    </w:p>
    <w:p>
      <w:pPr>
        <w:numPr>
          <w:ilvl w:val="0"/>
          <w:numId w:val="1023"/>
        </w:numPr>
        <w:pStyle w:val="Compact"/>
      </w:pPr>
      <w:r>
        <w:t xml:space="preserve">Relatieve cijfers klinken groter dan absolute. Vraag altijd naar de uitgangsfrequentie.</w:t>
      </w:r>
    </w:p>
    <w:p>
      <w:pPr>
        <w:numPr>
          <w:ilvl w:val="0"/>
          <w:numId w:val="1023"/>
        </w:numPr>
        <w:pStyle w:val="Compact"/>
      </w:pPr>
      <w:r>
        <w:t xml:space="preserve">Financiering, publicatiebias en ontbrekende bevestiging door onafhankelijke groepen kunnen het beeld vertekenen. Studieregisters helpen dat na te gaan.</w:t>
      </w:r>
    </w:p>
    <w:bookmarkEnd w:id="95"/>
    <w:bookmarkEnd w:id="96"/>
    <w:bookmarkStart w:id="114" w:name="de-grijze-markt"/>
    <w:p>
      <w:pPr>
        <w:pStyle w:val="Heading2"/>
      </w:pPr>
      <w:r>
        <w:t xml:space="preserve">De grijze markt</w:t>
      </w:r>
    </w:p>
    <w:p>
      <w:pPr>
        <w:pStyle w:val="FirstParagraph"/>
      </w:pPr>
      <w:r>
        <w:t xml:space="preserve">Wie op internet naar peptiden zoekt, komt al snel terecht bij webwinkels met professioneel ogende pagina’s, laboratoriumfoto’s en zuiverheidscertificaten. Aangeboden worden flesjes met wit poeder: BPC-157, TB-500, ipamorelin, melanotan II – en steeds vaker ook semaglutide, tirzepatide of nog helemaal niet geregistreerde werkzame stoffen zoals retatrutide. Bijna altijd staat ergens de vermelding „Research Use Only” of „not for human consumption” – alleen voor onderzoeksdoeleinden, niet voor gebruik bij de mens.</w:t>
      </w:r>
    </w:p>
    <w:p>
      <w:pPr>
        <w:pStyle w:val="BodyText"/>
      </w:pPr>
      <w:r>
        <w:t xml:space="preserve">Dit hoofdstuk beschrijft wat er over deze markt bekend is: uit laboratoriumanalyses van gekochte en in beslag genomen producten, uit casusbeschrijvingen van vergiftigingen en uit analyses van bijwerkingsmeldingen. Het moet u helpen de risico’s realistisch in te schatten. Verkooppunten worden in dit boek principieel niet genoemd.</w:t>
      </w:r>
    </w:p>
    <w:bookmarkStart w:id="97" w:name="wat-research-peptides-zijn"/>
    <w:p>
      <w:pPr>
        <w:pStyle w:val="Heading3"/>
      </w:pPr>
      <w:r>
        <w:t xml:space="preserve">Wat „research peptides” zijn</w:t>
      </w:r>
    </w:p>
    <w:p>
      <w:pPr>
        <w:pStyle w:val="FirstParagraph"/>
      </w:pPr>
      <w:r>
        <w:t xml:space="preserve">Als „research peptides” of „research chemicals” worden stoffen aangeduid die officieel alleen voor onderzoeksdoeleinden aan laboratoria worden verkocht. De opdruk „niet voor gebruik bij de mens” moet de verkoop juridisch afdekken: een product dat niet als geneesmiddel wordt aangeboden, hoeft – zo luidt de redenering van de aanbieders – ook geen registratie als geneesmiddel te hebben. In de praktijk richten veel van deze webwinkels zich echter herkenbaar op particulieren die de stoffen zelf willen injecteren. Of deze constructie juridisch standhoudt, wordt in het volgende hoofdstuk besproken; in veel gevallen doet ze dat niet.</w:t>
      </w:r>
    </w:p>
    <w:p>
      <w:pPr>
        <w:pStyle w:val="BodyText"/>
      </w:pPr>
      <w:r>
        <w:t xml:space="preserve">Een overzicht beschrijft het patroon aan de hand van semaglutide en tirzepatide: fabrikanten verkopen flesjes „alleen voor onderzoeksdoeleinden” of „niet voor menselijke consumptie” rechtstreeks aan consumenten, vaak zonder de materialen en de kennis die nodig zijn om de werkzame stof op te lossen, op te zuigen en te injecteren. Daarmee worden artsen en apotheken omzeild – en met hen de controle op wisselwerkingen en het medisch toezicht (Belcourt 2025, PMID 39285774).</w:t>
      </w:r>
    </w:p>
    <w:p>
      <w:pPr>
        <w:pStyle w:val="BodyText"/>
      </w:pPr>
      <w:r>
        <w:t xml:space="preserve">Hoe moeilijk het gebruik voor leken is, onderzocht een kleine studie aan een Amerikaanse universiteit. 20 volwassenen moesten aan de hand van informatie van internet de nodige stappen uitvoeren om zo’n semaglutidepoeder op te lossen en een injectiespuit klaar te maken. Van 34 handelingen voerden ze er gemiddeld 15 correct uit. De onderzoekers zagen fouten die tot een verkeerde dosering, prikaccidenten of infecties zouden kunnen leiden (Sedensky 2026, PMID 42541373).</w:t>
      </w:r>
    </w:p>
    <w:bookmarkEnd w:id="97"/>
    <w:bookmarkStart w:id="102" w:name="X3493dedb17fa86e15644295c526bb2284d61e5a"/>
    <w:p>
      <w:pPr>
        <w:pStyle w:val="Heading3"/>
      </w:pPr>
      <w:r>
        <w:t xml:space="preserve">Wat er in de flesjes zit: laboratoriumanalyses</w:t>
      </w:r>
    </w:p>
    <w:p>
      <w:pPr>
        <w:pStyle w:val="FirstParagraph"/>
      </w:pPr>
      <w:r>
        <w:t xml:space="preserve">De betrouwbaarste informatie over producten van de grijze markt komt uit laboratoriumanalyses. Die worden vooral uitgevoerd door antidopinglaboratoria, geneesmiddelenautoriteiten en afzonderlijke onderzoeksgroepen die producten gericht kopen of van douane en politie ontvangen.</w:t>
      </w:r>
    </w:p>
    <w:bookmarkStart w:id="98" w:name="Xda643b1c4957690026e695d10ff93ffaec99f7d"/>
    <w:p>
      <w:pPr>
        <w:pStyle w:val="Heading4"/>
      </w:pPr>
      <w:r>
        <w:t xml:space="preserve">Semaglutide uit illegale online apotheken</w:t>
      </w:r>
    </w:p>
    <w:p>
      <w:pPr>
        <w:pStyle w:val="FirstParagraph"/>
      </w:pPr>
      <w:r>
        <w:t xml:space="preserve">Een bijzonder grondig onderzoek combineerde een marktanalyse met proefaankopen (Ashraf 2024, PMID 39509151). De onderzoekers analyseerden 1.080 links uit zoekmachines. 317 leidden naar online apotheken, waarvan 134 naar 59 verschillende illegale websites. De 30 belangrijkste domeinen met een verbinding naar illegale apotheken registreerden in drie maanden van 2023 meer dan 4,7 miljoen bezoeken.</w:t>
      </w:r>
    </w:p>
    <w:p>
      <w:pPr>
        <w:pStyle w:val="BodyText"/>
      </w:pPr>
      <w:r>
        <w:t xml:space="preserve">Bij zes illegale aanbieders werden proefaankopen gedaan. De resultaten:</w:t>
      </w:r>
    </w:p>
    <w:p>
      <w:pPr>
        <w:numPr>
          <w:ilvl w:val="0"/>
          <w:numId w:val="1024"/>
        </w:numPr>
        <w:pStyle w:val="Compact"/>
      </w:pPr>
      <w:r>
        <w:t xml:space="preserve">Drie bestelde voorgevulde Ozempic-pennen kwamen nooit aan – het ging om oplichting zonder levering.</w:t>
      </w:r>
    </w:p>
    <w:p>
      <w:pPr>
        <w:numPr>
          <w:ilvl w:val="0"/>
          <w:numId w:val="1024"/>
        </w:numPr>
        <w:pStyle w:val="Compact"/>
      </w:pPr>
      <w:r>
        <w:t xml:space="preserve">Drie flesjes met poeder werden geleverd. Alle golden als waarschijnlijk ondermaats of vervalst; bij de visuele controle voldeden ze aan 59 tot 63% van de criteria niet.</w:t>
      </w:r>
    </w:p>
    <w:p>
      <w:pPr>
        <w:numPr>
          <w:ilvl w:val="0"/>
          <w:numId w:val="1024"/>
        </w:numPr>
        <w:pStyle w:val="Compact"/>
      </w:pPr>
      <w:r>
        <w:t xml:space="preserve">Het semaglutidegehalte lag 28,6 tot 38,7%</w:t>
      </w:r>
      <w:r>
        <w:t xml:space="preserve"> </w:t>
      </w:r>
      <w:r>
        <w:rPr>
          <w:bCs/>
          <w:b/>
        </w:rPr>
        <w:t xml:space="preserve">boven</w:t>
      </w:r>
      <w:r>
        <w:t xml:space="preserve"> </w:t>
      </w:r>
      <w:r>
        <w:t xml:space="preserve">de opgegeven hoeveelheid.</w:t>
      </w:r>
    </w:p>
    <w:p>
      <w:pPr>
        <w:numPr>
          <w:ilvl w:val="0"/>
          <w:numId w:val="1024"/>
        </w:numPr>
        <w:pStyle w:val="Compact"/>
      </w:pPr>
      <w:r>
        <w:t xml:space="preserve">De gemeten zuiverheid bedroeg slechts 7,7 tot 14,4% – in plaats van de op het etiket beloofde 99%.</w:t>
      </w:r>
    </w:p>
    <w:p>
      <w:pPr>
        <w:numPr>
          <w:ilvl w:val="0"/>
          <w:numId w:val="1024"/>
        </w:numPr>
        <w:pStyle w:val="Compact"/>
      </w:pPr>
      <w:r>
        <w:t xml:space="preserve">Levende kiemen werden niet gevonden, maar in</w:t>
      </w:r>
      <w:r>
        <w:t xml:space="preserve"> </w:t>
      </w:r>
      <w:r>
        <w:rPr>
          <w:bCs/>
          <w:b/>
        </w:rPr>
        <w:t xml:space="preserve">alle</w:t>
      </w:r>
      <w:r>
        <w:t xml:space="preserve"> </w:t>
      </w:r>
      <w:r>
        <w:t xml:space="preserve">monsters waren endotoxinen aantoonbaar.</w:t>
      </w:r>
    </w:p>
    <w:p>
      <w:pPr>
        <w:pStyle w:val="FirstParagraph"/>
      </w:pPr>
      <w:r>
        <w:t xml:space="preserve">Deze studie laat meerdere typische problemen tegelijk zien: verkeerde hoeveelheden, geringe zuiverheid, verontreiniging en regelrechte oplichting.</w:t>
      </w:r>
    </w:p>
    <w:bookmarkEnd w:id="98"/>
    <w:bookmarkStart w:id="99" w:name="X1963585812944d09a75558b67f3eec16e9bc083"/>
    <w:p>
      <w:pPr>
        <w:pStyle w:val="Heading4"/>
      </w:pPr>
      <w:r>
        <w:t xml:space="preserve">Namaakproducten vergeleken met het origineel</w:t>
      </w:r>
    </w:p>
    <w:p>
      <w:pPr>
        <w:pStyle w:val="FirstParagraph"/>
      </w:pPr>
      <w:r>
        <w:t xml:space="preserve">Een ander onderzoek analyseerde 16 injecteerbare en 8 orale semaglutide-namaakproducten en 2 liraglutide-namaakproducten en vergeleek ze met de originele preparaten (Hach 2024, PMID 39379664). Er werden nieuwe verontreinigingen gevonden, waaronder grotere eiwitmoleculen, sporenmetalen en resten van oplosmiddelen. Meerdere orale preparaten bevatten duidelijk minder semaglutide dan aangegeven. Bovendien werden structuren gevonden die volgens computervoorspelling door het immuunsysteem herkend zouden kunnen worden. Omdat de studie van de fabrikant van de originele preparaten afkomstig is, moet ze met de nodige voorzichtigheid worden gelezen; de beschreven problemen komen echter overeen met onafhankelijke bevindingen.</w:t>
      </w:r>
    </w:p>
    <w:bookmarkEnd w:id="99"/>
    <w:bookmarkStart w:id="100" w:name="melanotan-ii-uit-webwinkels"/>
    <w:p>
      <w:pPr>
        <w:pStyle w:val="Heading4"/>
      </w:pPr>
      <w:r>
        <w:t xml:space="preserve">Melanotan II uit webwinkels</w:t>
      </w:r>
    </w:p>
    <w:p>
      <w:pPr>
        <w:pStyle w:val="FirstParagraph"/>
      </w:pPr>
      <w:r>
        <w:t xml:space="preserve">Voor het bruiningspeptide melanotan II onderzocht een onderzoeksgroep flesjes uit drie webwinkels. Alle winkels gaven 10 mg per flesje op; in werkelijkheid bevatten de flesjes tussen 4,32 en 8,84 mg. In producten van twee winkels werden onbekende verontreinigingen van 4,1 tot 5,9% gevonden (Breindahl 2015, PMID 24771717).</w:t>
      </w:r>
    </w:p>
    <w:bookmarkEnd w:id="100"/>
    <w:bookmarkStart w:id="101" w:name="X28ead64ad93dcbbb5f481aaa9347db1384cdcc0"/>
    <w:p>
      <w:pPr>
        <w:pStyle w:val="Heading4"/>
      </w:pPr>
      <w:r>
        <w:t xml:space="preserve">In beslag genomen producten uit de dopingwereld</w:t>
      </w:r>
    </w:p>
    <w:p>
      <w:pPr>
        <w:pStyle w:val="FirstParagraph"/>
      </w:pPr>
      <w:r>
        <w:t xml:space="preserve">Het antidopinglaboratorium in Keulen analyseert al jaren in beslag genomen producten. In een rapport over het jaar 2009 beschreef het onder meer als groeihormoon gelabelde flesjes zonder enige farmacologisch actieve inhoud, ongezuiverd long-R3-IGF-1 en voedingssupplementen die het groeihormoonvrijmakende peptide GHRP-2 bevatten (Kohler 2010, PMID 21204286). In tabletten die als vrij verkrijgbaar voedingssupplement werden aangeboden, werd ongeveer 50 microgram GHRP-2 per tablet gemeten (Thomas 2010, PMID 20878896) – een stof die in de sport verboden is en waarvoor geen registratie bestaat.</w:t>
      </w:r>
    </w:p>
    <w:p>
      <w:pPr>
        <w:pStyle w:val="BodyText"/>
      </w:pPr>
      <w:r>
        <w:t xml:space="preserve">Tussen 2010 en 2013 analyseerde hetzelfde laboratorium 337 andere producten. Peptidehormonen en groeifactoren maakten 12,8% uit, vooral groeihormoon en groeihormoonvrijmakende peptiden. Tot de opvallende vondsten behoorden thymosine bèta-4 en een fusie-eiwit met onbekende biologische werking (Krug 2014, PMID 25168622). In Noorwegen bevatte 28% van de tussen 2011 en 2014 in beslag genomen en geanalyseerde producten op peptiden of eiwitten gebaseerde dopingmiddelen (Hullstein 2015, PMID 26607218).</w:t>
      </w:r>
    </w:p>
    <w:p>
      <w:pPr>
        <w:pStyle w:val="BodyText"/>
      </w:pPr>
      <w:r>
        <w:t xml:space="preserve">Een later rapport uit Keulen beschrijft afgeleide varianten van bekende peptiden die niet als geneesmiddel bestaan: Gly-GHRP-6, Gly-GHRP-2 en Gly-ipamorelin – dus de betreffende peptiden met een extra aminozuur glycine aan het begin – en een licht veranderde vorm van groeihormoon (Krug 2018, PMID 29864719). Zulke afgeleiden zijn mogelijk pogingen om dopingtests te omzeilen; hun werking en veiligheid bij de mens zijn onbekend.</w:t>
      </w:r>
    </w:p>
    <w:p>
      <w:pPr>
        <w:pStyle w:val="BodyText"/>
      </w:pPr>
      <w:r>
        <w:t xml:space="preserve">Ook BPC-157 werd in in beslag genomen flesjes geïdentificeerd. Een onderzoeksgroep ontwikkelde daarop een detectiemethode voor urinemonsters (Cox 2017, PMID 28035768).</w:t>
      </w:r>
    </w:p>
    <w:p>
      <w:pPr>
        <w:pStyle w:val="BodyText"/>
      </w:pPr>
      <w:r>
        <w:t xml:space="preserve">Een overzichtsartikel vat samen dat bij vervalste peptide- en eiwitgeneesmiddelen telkens weer de verkeerde werkzame stof, de verkeerde hoeveelheid of helemaal geen werkzame stof werd gevonden, dat giftige verontreinigingen en bijproducten van de productie tot gezondheidsschade leidden en dat bij inbeslagnames ook stoffen opdoken die in klinische studies waren mislukt of zich nog in de fase van dierproeven bevonden (Janvier 2018, PMID 30165334).</w:t>
      </w:r>
    </w:p>
    <w:bookmarkEnd w:id="101"/>
    <w:bookmarkEnd w:id="102"/>
    <w:bookmarkStart w:id="103" w:name="X473fcc769ed3587ebd5b2ab84f361b5edfe04f5"/>
    <w:p>
      <w:pPr>
        <w:pStyle w:val="Heading3"/>
      </w:pPr>
      <w:r>
        <w:t xml:space="preserve">De typische kwaliteitsproblemen in overzicht</w:t>
      </w:r>
    </w:p>
    <w:p>
      <w:pPr>
        <w:pStyle w:val="FirstParagraph"/>
      </w:pPr>
      <w:r>
        <w:t xml:space="preserve">Uit deze analyses ontstaat een terugkerend beeld: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Probleem</w:t>
            </w:r>
          </w:p>
        </w:tc>
        <w:tc>
          <w:tcPr/>
          <w:p>
            <w:pPr>
              <w:pStyle w:val="Compact"/>
              <w:jc w:val="left"/>
            </w:pPr>
            <w:r>
              <w:t xml:space="preserve">Gevolg</w:t>
            </w:r>
          </w:p>
        </w:tc>
        <w:tc>
          <w:tcPr/>
          <w:p>
            <w:pPr>
              <w:pStyle w:val="Compact"/>
              <w:jc w:val="left"/>
            </w:pPr>
            <w:r>
              <w:t xml:space="preserve">Voorbeeld</w:t>
            </w:r>
          </w:p>
        </w:tc>
      </w:tr>
      <w:tr>
        <w:tc>
          <w:tcPr/>
          <w:p>
            <w:pPr>
              <w:pStyle w:val="Compact"/>
              <w:jc w:val="left"/>
            </w:pPr>
            <w:r>
              <w:t xml:space="preserve">Te veel werkzame stof</w:t>
            </w:r>
          </w:p>
        </w:tc>
        <w:tc>
          <w:tcPr/>
          <w:p>
            <w:pPr>
              <w:pStyle w:val="Compact"/>
              <w:jc w:val="left"/>
            </w:pPr>
            <w:r>
              <w:t xml:space="preserve">overdosering, meer bijwerkingen</w:t>
            </w:r>
          </w:p>
        </w:tc>
        <w:tc>
          <w:tcPr/>
          <w:p>
            <w:pPr>
              <w:pStyle w:val="Compact"/>
              <w:jc w:val="left"/>
            </w:pPr>
            <w:r>
              <w:t xml:space="preserve">semaglutide tot 38,7% boven opgave</w:t>
            </w:r>
          </w:p>
        </w:tc>
      </w:tr>
      <w:tr>
        <w:tc>
          <w:tcPr/>
          <w:p>
            <w:pPr>
              <w:pStyle w:val="Compact"/>
              <w:jc w:val="left"/>
            </w:pPr>
            <w:r>
              <w:t xml:space="preserve">Te weinig werkzame stof</w:t>
            </w:r>
          </w:p>
        </w:tc>
        <w:tc>
          <w:tcPr/>
          <w:p>
            <w:pPr>
              <w:pStyle w:val="Compact"/>
              <w:jc w:val="left"/>
            </w:pPr>
            <w:r>
              <w:t xml:space="preserve">geen werking</w:t>
            </w:r>
          </w:p>
        </w:tc>
        <w:tc>
          <w:tcPr/>
          <w:p>
            <w:pPr>
              <w:pStyle w:val="Compact"/>
              <w:jc w:val="left"/>
            </w:pPr>
            <w:r>
              <w:t xml:space="preserve">melanotan II 4,32 in plaats van 10 mg</w:t>
            </w:r>
          </w:p>
        </w:tc>
      </w:tr>
      <w:tr>
        <w:tc>
          <w:tcPr/>
          <w:p>
            <w:pPr>
              <w:pStyle w:val="Compact"/>
              <w:jc w:val="left"/>
            </w:pPr>
            <w:r>
              <w:t xml:space="preserve">Verkeerde werkzame stof</w:t>
            </w:r>
          </w:p>
        </w:tc>
        <w:tc>
          <w:tcPr/>
          <w:p>
            <w:pPr>
              <w:pStyle w:val="Compact"/>
              <w:jc w:val="left"/>
            </w:pPr>
            <w:r>
              <w:t xml:space="preserve">onvoorspelbare, deels levensgevaarlijke werking</w:t>
            </w:r>
          </w:p>
        </w:tc>
        <w:tc>
          <w:tcPr/>
          <w:p>
            <w:pPr>
              <w:pStyle w:val="Compact"/>
              <w:jc w:val="left"/>
            </w:pPr>
            <w:r>
              <w:t xml:space="preserve">insuline in plaats van semaglutide</w:t>
            </w:r>
          </w:p>
        </w:tc>
      </w:tr>
      <w:tr>
        <w:tc>
          <w:tcPr/>
          <w:p>
            <w:pPr>
              <w:pStyle w:val="Compact"/>
              <w:jc w:val="left"/>
            </w:pPr>
            <w:r>
              <w:t xml:space="preserve">Geen werkzame stof</w:t>
            </w:r>
          </w:p>
        </w:tc>
        <w:tc>
          <w:tcPr/>
          <w:p>
            <w:pPr>
              <w:pStyle w:val="Compact"/>
              <w:jc w:val="left"/>
            </w:pPr>
            <w:r>
              <w:t xml:space="preserve">oplichting, geen werking</w:t>
            </w:r>
          </w:p>
        </w:tc>
        <w:tc>
          <w:tcPr/>
          <w:p>
            <w:pPr>
              <w:pStyle w:val="Compact"/>
              <w:jc w:val="left"/>
            </w:pPr>
            <w:r>
              <w:t xml:space="preserve">lege „groeihormoon”-flesjes</w:t>
            </w:r>
          </w:p>
        </w:tc>
      </w:tr>
      <w:tr>
        <w:tc>
          <w:tcPr/>
          <w:p>
            <w:pPr>
              <w:pStyle w:val="Compact"/>
              <w:jc w:val="left"/>
            </w:pPr>
            <w:r>
              <w:t xml:space="preserve">Verontreinigingen</w:t>
            </w:r>
          </w:p>
        </w:tc>
        <w:tc>
          <w:tcPr/>
          <w:p>
            <w:pPr>
              <w:pStyle w:val="Compact"/>
              <w:jc w:val="left"/>
            </w:pPr>
            <w:r>
              <w:t xml:space="preserve">immuunreacties, giftige werking</w:t>
            </w:r>
          </w:p>
        </w:tc>
        <w:tc>
          <w:tcPr/>
          <w:p>
            <w:pPr>
              <w:pStyle w:val="Compact"/>
              <w:jc w:val="left"/>
            </w:pPr>
            <w:r>
              <w:t xml:space="preserve">bijproducten van de synthese</w:t>
            </w:r>
          </w:p>
        </w:tc>
      </w:tr>
      <w:tr>
        <w:tc>
          <w:tcPr/>
          <w:p>
            <w:pPr>
              <w:pStyle w:val="Compact"/>
              <w:jc w:val="left"/>
            </w:pPr>
            <w:r>
              <w:t xml:space="preserve">Endotoxinen</w:t>
            </w:r>
          </w:p>
        </w:tc>
        <w:tc>
          <w:tcPr/>
          <w:p>
            <w:pPr>
              <w:pStyle w:val="Compact"/>
              <w:jc w:val="left"/>
            </w:pPr>
            <w:r>
              <w:t xml:space="preserve">koorts, ontsteking, circulatiereacties</w:t>
            </w:r>
          </w:p>
        </w:tc>
        <w:tc>
          <w:tcPr/>
          <w:p>
            <w:pPr>
              <w:pStyle w:val="Compact"/>
              <w:jc w:val="left"/>
            </w:pPr>
            <w:r>
              <w:t xml:space="preserve">in alle proefaankopen van semaglutide</w:t>
            </w:r>
          </w:p>
        </w:tc>
      </w:tr>
    </w:tbl>
    <w:bookmarkEnd w:id="103"/>
    <w:bookmarkStart w:id="104" w:name="Xcf40747c9f70cc574d8659efdfcf8addbe8e114"/>
    <w:p>
      <w:pPr>
        <w:pStyle w:val="Heading3"/>
      </w:pPr>
      <w:r>
        <w:t xml:space="preserve">Zuiverheid: wat het percentage betekent – en wat niet</w:t>
      </w:r>
    </w:p>
    <w:p>
      <w:pPr>
        <w:pStyle w:val="FirstParagraph"/>
      </w:pPr>
      <w:r>
        <w:t xml:space="preserve">Veel aanbieders adverteren met „99% zuiverheid” en voegen analysecertificaten bij. Daarover enkele opmerkingen:</w:t>
      </w:r>
    </w:p>
    <w:p>
      <w:pPr>
        <w:numPr>
          <w:ilvl w:val="0"/>
          <w:numId w:val="1025"/>
        </w:numPr>
        <w:pStyle w:val="Compact"/>
      </w:pPr>
      <w:r>
        <w:rPr>
          <w:bCs/>
          <w:b/>
        </w:rPr>
        <w:t xml:space="preserve">Zuiverheid meet alleen bepaalde verontreinigingen.</w:t>
      </w:r>
      <w:r>
        <w:t xml:space="preserve"> </w:t>
      </w:r>
      <w:r>
        <w:t xml:space="preserve">Een typische meting (hogedrukvloeistofchromatografie, HPLC) laat zien welk percentage van de meetbare peptidesignalen aan de gewenste stof toe te schrijven is. Vaak worden zouten, water, resten van oplosmiddelen, metalen of endotoxinen niet gemeten.</w:t>
      </w:r>
    </w:p>
    <w:p>
      <w:pPr>
        <w:numPr>
          <w:ilvl w:val="0"/>
          <w:numId w:val="1025"/>
        </w:numPr>
        <w:pStyle w:val="Compact"/>
      </w:pPr>
      <w:r>
        <w:rPr>
          <w:bCs/>
          <w:b/>
        </w:rPr>
        <w:t xml:space="preserve">Zuiverheid zegt niets over de hoeveelheid.</w:t>
      </w:r>
      <w:r>
        <w:t xml:space="preserve"> </w:t>
      </w:r>
      <w:r>
        <w:t xml:space="preserve">Een flesje kan een zeer zuivere stof bevatten, maar in de verkeerde hoeveelheid.</w:t>
      </w:r>
    </w:p>
    <w:p>
      <w:pPr>
        <w:numPr>
          <w:ilvl w:val="0"/>
          <w:numId w:val="1025"/>
        </w:numPr>
        <w:pStyle w:val="Compact"/>
      </w:pPr>
      <w:r>
        <w:rPr>
          <w:bCs/>
          <w:b/>
        </w:rPr>
        <w:t xml:space="preserve">Zuiverheid zegt niets over steriliteit.</w:t>
      </w:r>
      <w:r>
        <w:t xml:space="preserve"> </w:t>
      </w:r>
      <w:r>
        <w:t xml:space="preserve">Een poeder kan chemisch zuiver zijn en toch verontreinigd met bacteriën of bacteriële bestanddelen.</w:t>
      </w:r>
    </w:p>
    <w:p>
      <w:pPr>
        <w:numPr>
          <w:ilvl w:val="0"/>
          <w:numId w:val="1025"/>
        </w:numPr>
        <w:pStyle w:val="Compact"/>
      </w:pPr>
      <w:r>
        <w:rPr>
          <w:bCs/>
          <w:b/>
        </w:rPr>
        <w:t xml:space="preserve">Certificaten zijn niet controleerbaar.</w:t>
      </w:r>
      <w:r>
        <w:t xml:space="preserve"> </w:t>
      </w:r>
      <w:r>
        <w:t xml:space="preserve">Of een bijgevoegd certificaat werkelijk bij het geleverde flesje hoort, kunt u als koper niet vaststellen. De proefaankopen van semaglutide lieten een zuiverheid van 7,7 tot 14,4% zien, ondanks een etiket met 99% (Ashraf 2024, PMID 39509151).</w:t>
      </w:r>
    </w:p>
    <w:p>
      <w:pPr>
        <w:pStyle w:val="FirstParagraph"/>
      </w:pPr>
      <w:r>
        <w:t xml:space="preserve">Daar komen verontreinigingen bij die typisch bij de chemische synthese ontstaan: peptiden met ontbrekende of dubbele bouwstenen, verkeerd gevouwen of chemisch veranderde varianten, resten van beschermgroepen en reagentia. Voor geregistreerde geneesmiddelen zijn grenswaarden voor zulke verontreinigingen vastgelegd en worden die regelmatig gecontroleerd.</w:t>
      </w:r>
    </w:p>
    <w:bookmarkEnd w:id="104"/>
    <w:bookmarkStart w:id="105" w:name="endotoxinen-onzichtbaar-en-gevaarlijk"/>
    <w:p>
      <w:pPr>
        <w:pStyle w:val="Heading3"/>
      </w:pPr>
      <w:r>
        <w:t xml:space="preserve">Endotoxinen: onzichtbaar en gevaarlijk</w:t>
      </w:r>
    </w:p>
    <w:p>
      <w:pPr>
        <w:pStyle w:val="FirstParagraph"/>
      </w:pPr>
      <w:r>
        <w:t xml:space="preserve">Endotoxinen zijn bestanddelen van de celwand van bepaalde bacteriën. Ze blijven bestaan, ook als de bacteriën gedood zijn, en zijn zeer hittebestendig. Komen ze in het bloed, dan kunnen ze koorts, koude rillingen, bloeddrukdaling en in grotere hoeveelheden een levensbedreigende shock veroorzaken. Daarom gelden voor injecties en infusen strenge grenswaarden, en geneesmiddelenfabrikanten controleren elke partij.</w:t>
      </w:r>
    </w:p>
    <w:p>
      <w:pPr>
        <w:pStyle w:val="BodyText"/>
      </w:pPr>
      <w:r>
        <w:t xml:space="preserve">Een poeder dat „steriel” of „kiemvrij” is, kan toch endotoxinen bevatten – precies dat lieten de proefaankopen van semaglutide zien: geen levende kiemen, maar endotoxinen in alle monsters (Ashraf 2024, PMID 39509151). Ook het oplossen met niet-steriel water, het meermaals opzuigen uit hetzelfde flesje of het hergebruiken van naalden kan kiemen binnenbrengen.</w:t>
      </w:r>
    </w:p>
    <w:bookmarkEnd w:id="105"/>
    <w:bookmarkStart w:id="106" w:name="doseringsfouten"/>
    <w:p>
      <w:pPr>
        <w:pStyle w:val="Heading3"/>
      </w:pPr>
      <w:r>
        <w:t xml:space="preserve">Doseringsfouten</w:t>
      </w:r>
    </w:p>
    <w:p>
      <w:pPr>
        <w:pStyle w:val="FirstParagraph"/>
      </w:pPr>
      <w:r>
        <w:t xml:space="preserve">Zelfs als een product precies bevat wat erop staat, is de juiste dosering op de grijze markt lastig. Poeder moet met een bepaalde hoeveelheid vloeistof worden opgelost; de dosis volgt dan uit een omrekening. Wie zich verrekent of eenheden verwisselt, kan gemakkelijk een veelvoud van de bedoelde hoeveelheid injecteren.</w:t>
      </w:r>
    </w:p>
    <w:p>
      <w:pPr>
        <w:pStyle w:val="BodyText"/>
      </w:pPr>
      <w:r>
        <w:t xml:space="preserve">Een casusreeks van een Amerikaans vergiftigingeninformatiecentrum beschrijft drie gevallen met semaglutide uit apotheken en een schoonheidssalon. Twee personen hadden zich per ongeluk de tienvoudige hoeveelheid geïnjecteerd. Allen hadden dagenlang misselijkheid, braken en buikpijn. Eén persoon had een flesje met spuiten gekregen zonder enige uitleg, een ander verwisselde milliliters, „eenheden” en milligrammen (Lambson 2023, PMID 37392810). De auteurs benadrukken dat flesjes, anders dan voorgevulde pennen, geen veiligheidsmechanismen tegen zulke fouten bieden.</w:t>
      </w:r>
    </w:p>
    <w:bookmarkEnd w:id="106"/>
    <w:bookmarkStart w:id="107" w:name="X5c74339c13a3765a6965a062b7ea71f13c45435"/>
    <w:p>
      <w:pPr>
        <w:pStyle w:val="Heading3"/>
      </w:pPr>
      <w:r>
        <w:t xml:space="preserve">Vervalsingen van Ozempic en andere GLP-1-geneesmiddelen</w:t>
      </w:r>
    </w:p>
    <w:p>
      <w:pPr>
        <w:pStyle w:val="FirstParagraph"/>
      </w:pPr>
      <w:r>
        <w:t xml:space="preserve">Met de enorme vraag naar semaglutide doken wereldwijd vervalsingen op. De Wereldgezondheidsorganisatie waarschuwde in 2024 voor vervalste Ozempic in de wereldwijde toeleveringsketen (Ruder 2024, PMID 39028647).</w:t>
      </w:r>
    </w:p>
    <w:p>
      <w:pPr>
        <w:pStyle w:val="BodyText"/>
      </w:pPr>
      <w:r>
        <w:t xml:space="preserve">Bijzonder gevaarlijk zijn vervalsingen die een andere werkzame stof bevatten. In Italië werd een 31-jarige vrouw in hypoglykemisch coma naar de spoedeisende hulp gebracht nadat ze zich vermeende Ozempic van internet had geïnjecteerd. De toxicologische analyse wees uit dat het flesje insuline in plaats van semaglutide bevatte (Antonacci 2026, PMID 41125326). Uit Nederland werden twee vergelijkbare gevallen gemeld: twee mensen zonder diabetes en zonder obesitas hadden zich zonder recept verkregen semaglutide geïnjecteerd en lagen met ernstige hypoglykemie, kaliumtekort en onderkoeling in coma. Oorzaak was een vergiftiging met synthetische insuline. Om de bloedsuiker stabiel te houden, was tot twee dagen een continu glucose-infuus nodig (Stammers 2026, PMID 42390457).</w:t>
      </w:r>
    </w:p>
    <w:p>
      <w:pPr>
        <w:pStyle w:val="BodyText"/>
      </w:pPr>
      <w:r>
        <w:t xml:space="preserve">Deze gevallen zijn zo belangrijk omdat echt semaglutide bij gezonde mensen op zichzelf nauwelijks een noemenswaardige hypoglykemie veroorzaakt. Een hypoglykemie na een „afslankinjectie” is daarom een waarschuwingssignaal voor een vervalst product.</w:t>
      </w:r>
    </w:p>
    <w:p>
      <w:pPr>
        <w:pStyle w:val="BodyText"/>
      </w:pPr>
      <w:r>
        <w:t xml:space="preserve">Een analyse van de Europese bijwerkingendatabase EudraVigilance vond van 2018 tot 2025 in totaal 234 meldingen over mogelijk vervalste semaglutide. 73,5% betrof vrouwen, en 89,3% van de gemelde bijwerkingen was ernstig. Het vaakst werden braken, misselijkheid en hypoglykemie gemeld. Vergeleken met echt semaglutide werden hypoglykemie, gebruik buiten de geregistreerde indicatie, malaise en gebrek aan werking onevenredig vaak gemeld (Zinzi 2026, PMID 42137313). Zoals bij alle meldgegevens geldt: ze tonen signalen, geen frequenties.</w:t>
      </w:r>
    </w:p>
    <w:bookmarkEnd w:id="107"/>
    <w:bookmarkStart w:id="108" w:name="X6ce472ccd45184db3bf7b742c16e7685ad27c9e"/>
    <w:p>
      <w:pPr>
        <w:pStyle w:val="Heading3"/>
      </w:pPr>
      <w:r>
        <w:t xml:space="preserve">Niet-geregistreerde GLP-1-werkzame stoffen</w:t>
      </w:r>
    </w:p>
    <w:p>
      <w:pPr>
        <w:pStyle w:val="FirstParagraph"/>
      </w:pPr>
      <w:r>
        <w:t xml:space="preserve">Inmiddels worden op de grijze markt ook werkzame stoffen aangeboden die nog helemaal niet geregistreerd zijn, zoals de drievoudige agonist retatrutide. Voor zulke stoffen zijn er weliswaar studies van de fabrikanten, maar geen gecontroleerde producten – wat er in een flesje met het opschrift „retatrutide” werkelijk zit, is onbekend. Een vaktijdschrift wijdde in 2026 een eigen artikel aan deze zwarte markt (Rubin 2026, PMID 42853576).</w:t>
      </w:r>
    </w:p>
    <w:p>
      <w:pPr>
        <w:pStyle w:val="BodyText"/>
      </w:pPr>
      <w:r>
        <w:t xml:space="preserve">Een casusbeschrijving gaat over een vrouw van midden twintig die met vijf dagen aanhoudende misselijkheid, herhaaldelijk braken en diarree in het ziekenhuis kwam. De klachten verbeterden ondanks meerdere middelen tegen misselijkheid aanvankelijk niet. Pas door herhaaldelijk doorvragen kwam aan het licht dat een zelfbenoemde lifecoach zonder medische kwalificatie haar vier wekelijkse injecties had gegeven van een product dat zogenaamd retatrutide bevatte. Zelf had ze de injecties niet als geneesmiddel beschouwd (Buzzi 2026, PMID 42843917). De casus laat nog een probleem zien: wie peptiden niet als geneesmiddel ziet, vermeldt ze ook niet bij artsen.</w:t>
      </w:r>
    </w:p>
    <w:bookmarkEnd w:id="108"/>
    <w:bookmarkStart w:id="109" w:name="gevaren-buiten-verontreiniging"/>
    <w:p>
      <w:pPr>
        <w:pStyle w:val="Heading3"/>
      </w:pPr>
      <w:r>
        <w:t xml:space="preserve">Gevaren buiten verontreiniging</w:t>
      </w:r>
    </w:p>
    <w:p>
      <w:pPr>
        <w:pStyle w:val="FirstParagraph"/>
      </w:pPr>
      <w:r>
        <w:t xml:space="preserve">Ook een volkomen zuiver peptide van de grijze markt kan gevaarlijk zijn als de stof zelf nooit voldoende bij de mens is onderzocht. Een casusbeschrijving gaat over een 39-jarige man die zich melanotan II van internet injecteerde – naar eigen zeggen zes keer de starthoeveelheid die hem was aangeraden. Hij kreeg hartkloppingen, onrust, zweetaanvallen en een massale spierafbraak (rabdomyolyse) met nierfunctiestoornis en moest op de intensive care worden behandeld. De analyse bevestigde dat het product inderdaad melanotan II bevatte (Nelson 2012, PMID 23121206).</w:t>
      </w:r>
    </w:p>
    <w:p>
      <w:pPr>
        <w:pStyle w:val="BodyText"/>
      </w:pPr>
      <w:r>
        <w:t xml:space="preserve">Overzichtsartikelen noemen als mogelijke risico’s van ongereguleerde peptiden onder meer verontreinigingen, onnauwkeurige dosering, pathologische vaatnieuwvorming, het ontstaan van kanker, belasting van het hart- en vaatstelsel en overmatige hormoonsignalen (Moiz 2026, PMID 42757290). Veel van deze risico’s zijn theoretisch afgeleid, juist omdat er nauwelijks studies bij mensen zijn. Een sportgeneeskundig overzicht concludeert dat veel niet-geregistreerde peptiden in diermodellen gunstige effecten laten zien, maar dat betrouwbare veiligheidsgegevens bij de mens schaars zijn en ernstige schade mogelijk is (Mendias 2026, PMID 41966639).</w:t>
      </w:r>
    </w:p>
    <w:bookmarkEnd w:id="109"/>
    <w:bookmarkStart w:id="110" w:name="compounding-in-de-vs"/>
    <w:p>
      <w:pPr>
        <w:pStyle w:val="Heading3"/>
      </w:pPr>
      <w:r>
        <w:t xml:space="preserve">Compounding in de VS</w:t>
      </w:r>
    </w:p>
    <w:p>
      <w:pPr>
        <w:pStyle w:val="FirstParagraph"/>
      </w:pPr>
      <w:r>
        <w:t xml:space="preserve">Een bijzonderheid van de Amerikaanse markt is</w:t>
      </w:r>
      <w:r>
        <w:t xml:space="preserve"> </w:t>
      </w:r>
      <w:r>
        <w:rPr>
          <w:bCs/>
          <w:b/>
        </w:rPr>
        <w:t xml:space="preserve">compounding</w:t>
      </w:r>
      <w:r>
        <w:t xml:space="preserve">: apotheken mogen onder bepaalde voorwaarden zelf geneesmiddelen bereiden, bijvoorbeeld wanneer een geregistreerd preparaat niet leverbaar is. Tijdens de leveringstekorten van semaglutide en tirzepatide ontstond zo een grote markt voor namaakpreparaten, die vaak via telegeneeskundige aanbieders werden verkocht. Deze preparaten zijn geen geregistreerde geneesmiddelen; hun werkzaamheid en veiligheid zijn niet in studies getoetst.</w:t>
      </w:r>
    </w:p>
    <w:p>
      <w:pPr>
        <w:pStyle w:val="BodyText"/>
      </w:pPr>
      <w:r>
        <w:t xml:space="preserve">Een analyse van de Amerikaanse bijwerkingendatabase FAERS vergeleek meldingen over zelf bereide en geregistreerde GLP-1-preparaten. Van 81.078 meldingen betroffen er 707 zelf bereide producten. Bij deze werden onder meer buikpijn, galblaasontstekingen, bereidingsfouten en verontreinigingen onevenredig vaak gemeld, evenals ziekenhuisopnames; gebruiks- en doseringsfouten werden daarentegen minder vaak gemeld (McCall 2026, PMID 40285721). De auteurs benadrukken dat zulke gegevens geen oorzaak-gevolgrelatie aantonen.</w:t>
      </w:r>
    </w:p>
    <w:p>
      <w:pPr>
        <w:pStyle w:val="BodyText"/>
      </w:pPr>
      <w:r>
        <w:t xml:space="preserve">Na het einde van de leveringstekorten mogen apotheken volgens het Amerikaanse recht alleen nog preparaten maken die verschillen van de geregistreerde – bijvoorbeeld door een andere toedieningsvorm of toevoegingen. Een onderzoek vond 33 van zulke producten, waaronder combinaties met vitamine B12, glycine, niacinamide, een laxeermiddel of een middel tegen misselijkheid, en druppels en smelttabletten voor gebruik onder de tong. Voor vitaminen en het laxeermiddel vonden de auteurs nauwelijks een onderbouwing. Voor de toevoeging van het middel tegen misselijkheid en voor de nieuwe toedieningsvormen zien ze weliswaar een begrijpelijk idee, maar geen bewijs voor werkzaamheid en veiligheid (Belcourt 2026, PMID 41689811).</w:t>
      </w:r>
    </w:p>
    <w:p>
      <w:pPr>
        <w:pStyle w:val="BodyText"/>
      </w:pPr>
      <w:r>
        <w:t xml:space="preserve">Compounding is geen grijze markt in strikte zin: de apotheken hebben een vergunning en staan onder toezicht. Voor patiënten vervaagt de grens echter wanneer producten via online platforms met weinig medische begeleiding worden verkocht. In Europa bestaat geen vergelijkbaar systeem; hier is de bereiding in de apotheek aan duidelijk strengere voorwaarden gebonden (meer daarover in het volgende hoofdstuk).</w:t>
      </w:r>
    </w:p>
    <w:bookmarkEnd w:id="110"/>
    <w:bookmarkStart w:id="111" w:name="wie-de-grijze-markt-gebruikt-en-waarom"/>
    <w:p>
      <w:pPr>
        <w:pStyle w:val="Heading3"/>
      </w:pPr>
      <w:r>
        <w:t xml:space="preserve">Wie de grijze markt gebruikt – en waarom</w:t>
      </w:r>
    </w:p>
    <w:p>
      <w:pPr>
        <w:pStyle w:val="FirstParagraph"/>
      </w:pPr>
      <w:r>
        <w:t xml:space="preserve">De redenen om naar de grijze markt te grijpen zijn uiteenlopend: hoge prijzen en geen vergoeding voor geregistreerde geneesmiddelen, leveringstekorten, de wens om af te vallen zonder medische indicatie, prestatieverbetering in de sport, hoop op sneller herstel van blessures of op een langer leven. Een overzichtsartikel beschrijft hoe online reclame, ervaringsverhalen op sociale media, zelfinjectie, combinaties van meerdere stoffen en zwakke bewaking van bijwerkingen samenwerken en onduidelijke producten normaliseren (Hailu 2026, PMID 42437212).</w:t>
      </w:r>
    </w:p>
    <w:p>
      <w:pPr>
        <w:pStyle w:val="BodyText"/>
      </w:pPr>
      <w:r>
        <w:t xml:space="preserve">Deze motieven zijn begrijpelijk. De analyses in dit hoofdstuk laten echter zien dat kopers op de grijze markt niet kunnen weten wat ze werkelijk krijgen.</w:t>
      </w:r>
    </w:p>
    <w:bookmarkEnd w:id="111"/>
    <w:bookmarkStart w:id="112" w:name="Xd68267e83b3eb49da979f17ecfba48288534cdd"/>
    <w:p>
      <w:pPr>
        <w:pStyle w:val="Heading3"/>
      </w:pPr>
      <w:r>
        <w:t xml:space="preserve">Als u al peptiden van de grijze markt hebt gebruikt</w:t>
      </w:r>
    </w:p>
    <w:p>
      <w:pPr>
        <w:pStyle w:val="FirstParagraph"/>
      </w:pPr>
      <w:r>
        <w:t xml:space="preserve">Dit boek geeft geen gebruiksaanwijzingen. Enkele algemene punten zijn om veiligheidsredenen echter belangrijk:</w:t>
      </w:r>
    </w:p>
    <w:p>
      <w:pPr>
        <w:numPr>
          <w:ilvl w:val="0"/>
          <w:numId w:val="1026"/>
        </w:numPr>
        <w:pStyle w:val="Compact"/>
      </w:pPr>
      <w:r>
        <w:t xml:space="preserve">Informeer uw arts over alle injecties, peptiden en „onderzoekschemicaliën” die u gebruikt – ook als u ze niet als geneesmiddel beschouwt.</w:t>
      </w:r>
    </w:p>
    <w:p>
      <w:pPr>
        <w:numPr>
          <w:ilvl w:val="0"/>
          <w:numId w:val="1026"/>
        </w:numPr>
        <w:pStyle w:val="Compact"/>
      </w:pPr>
      <w:r>
        <w:t xml:space="preserve">Onverwachte klachten zoals trillen, zweten, verwardheid of bewustzijnsstoornissen na een injectie kunnen wijzen op een hypoglykemie en zijn een noodgeval.</w:t>
      </w:r>
    </w:p>
    <w:p>
      <w:pPr>
        <w:numPr>
          <w:ilvl w:val="0"/>
          <w:numId w:val="1026"/>
        </w:numPr>
        <w:pStyle w:val="Compact"/>
      </w:pPr>
      <w:r>
        <w:t xml:space="preserve">Verdachte producten en bijwerkingen kunnen aan de autoriteiten worden gemeld: in Duitsland bij het Bundesinstitut für Arzneimittel und Medizinprodukte (BfArM), in Oostenrijk bij het Bundesamt für Sicherheit im Gesundheitswesen (BASG).</w:t>
      </w:r>
    </w:p>
    <w:bookmarkEnd w:id="112"/>
    <w:bookmarkStart w:id="113" w:name="het-belangrijkste-in-het-kort-3"/>
    <w:p>
      <w:pPr>
        <w:pStyle w:val="Heading3"/>
      </w:pPr>
      <w:r>
        <w:t xml:space="preserve">Het belangrijkste in het kort</w:t>
      </w:r>
    </w:p>
    <w:p>
      <w:pPr>
        <w:numPr>
          <w:ilvl w:val="0"/>
          <w:numId w:val="1027"/>
        </w:numPr>
        <w:pStyle w:val="Compact"/>
      </w:pPr>
      <w:r>
        <w:t xml:space="preserve">De vermelding „alleen voor onderzoeksdoeleinden” beschermt niet tegen risico’s; ze verschuift de verantwoordelijkheid naar de kopers.</w:t>
      </w:r>
    </w:p>
    <w:p>
      <w:pPr>
        <w:numPr>
          <w:ilvl w:val="0"/>
          <w:numId w:val="1027"/>
        </w:numPr>
        <w:pStyle w:val="Compact"/>
      </w:pPr>
      <w:r>
        <w:t xml:space="preserve">Laboratoriumanalyses vonden bij peptiden van de grijze markt te veel, te weinig, de verkeerde of helemaal geen werkzame stof, en daarnaast verontreinigingen en endotoxinen.</w:t>
      </w:r>
    </w:p>
    <w:p>
      <w:pPr>
        <w:numPr>
          <w:ilvl w:val="0"/>
          <w:numId w:val="1027"/>
        </w:numPr>
        <w:pStyle w:val="Compact"/>
      </w:pPr>
      <w:r>
        <w:t xml:space="preserve">Vervalste semaglutideproducten die insuline bevatten, leidden tot levensgevaarlijke hypoglykemieën.</w:t>
      </w:r>
    </w:p>
    <w:p>
      <w:pPr>
        <w:numPr>
          <w:ilvl w:val="0"/>
          <w:numId w:val="1027"/>
        </w:numPr>
        <w:pStyle w:val="Compact"/>
      </w:pPr>
      <w:r>
        <w:t xml:space="preserve">Ook zelf bereide preparaten uit Amerikaanse apotheken zijn niet getoetst zoals geregistreerde geneesmiddelen.</w:t>
      </w:r>
    </w:p>
    <w:p>
      <w:pPr>
        <w:numPr>
          <w:ilvl w:val="0"/>
          <w:numId w:val="1027"/>
        </w:numPr>
        <w:pStyle w:val="Compact"/>
      </w:pPr>
      <w:r>
        <w:t xml:space="preserve">Zelfs een zuiver product blijft riskant als de werkzame stof nooit voldoende bij de mens is onderzocht.</w:t>
      </w:r>
    </w:p>
    <w:bookmarkEnd w:id="113"/>
    <w:bookmarkEnd w:id="114"/>
    <w:bookmarkStart w:id="128" w:name="juridisch-kader"/>
    <w:p>
      <w:pPr>
        <w:pStyle w:val="Heading2"/>
      </w:pPr>
      <w:r>
        <w:t xml:space="preserve">Juridisch kader</w:t>
      </w:r>
    </w:p>
    <w:p>
      <w:pPr>
        <w:pStyle w:val="FirstParagraph"/>
      </w:pPr>
      <w:r>
        <w:t xml:space="preserve">Of een peptide een geneesmiddel op recept, een voedingssupplement, een cosmetisch product of een verboden dopingmiddel is, hangt niet alleen af van het molecuul. Beslissend is ook waarvoor het bestemd is, hoe het wordt aangeboden en hoe het in het lichaam werkt. Hetzelfde collageenpeptide kan als levensmiddel in het supermarktschap staan; een peptide met aantoonbare hormoonachtige werking is daarentegen bijna altijd een geneesmiddel – wat er ook op het etiket staat. Dit hoofdstuk geeft een overzicht van de regels in de Europese Unie, in Oostenrijk, in Duitsland en in de VS en van de antidopingbepalingen.</w:t>
      </w:r>
    </w:p>
    <w:p>
      <w:pPr>
        <w:pStyle w:val="BlockText"/>
      </w:pPr>
      <w:r>
        <w:rPr>
          <w:bCs/>
          <w:b/>
        </w:rPr>
        <w:t xml:space="preserve">Belangrijke opmerking:</w:t>
      </w:r>
      <w:r>
        <w:t xml:space="preserve"> </w:t>
      </w:r>
      <w:r>
        <w:t xml:space="preserve">dit hoofdstuk geeft de stand van 2026 naar beste weten weer en is geen juridisch advies. Wetten, verordeningen, de praktijk van autoriteiten en de verboden lijst van het Wereld Anti-Doping Agentschap veranderen regelmatig. Controleer in elk afzonderlijk geval de actuele juridische situatie en wend u bij concrete vragen tot een advocaat of de bevoegde autoriteit.</w:t>
      </w:r>
    </w:p>
    <w:bookmarkStart w:id="115" w:name="X821a2e5bdfcc7ac12a3cbf74faa8252f01dd378"/>
    <w:p>
      <w:pPr>
        <w:pStyle w:val="Heading3"/>
      </w:pPr>
      <w:r>
        <w:t xml:space="preserve">Drie laden: geneesmiddel, levensmiddel, cosmetica</w:t>
      </w:r>
    </w:p>
    <w:p>
      <w:pPr>
        <w:pStyle w:val="FirstParagraph"/>
      </w:pPr>
      <w:r>
        <w:t xml:space="preserve">Het Europese recht onderscheidt in wezen drie productcategorieën waaronder peptiden kunnen vallen. Elke categorie heeft eigen regels: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Categorie</w:t>
            </w:r>
          </w:p>
        </w:tc>
        <w:tc>
          <w:tcPr/>
          <w:p>
            <w:pPr>
              <w:pStyle w:val="Compact"/>
              <w:jc w:val="left"/>
            </w:pPr>
            <w:r>
              <w:t xml:space="preserve">Controle door autoriteiten vóór verkoop</w:t>
            </w:r>
          </w:p>
        </w:tc>
        <w:tc>
          <w:tcPr/>
          <w:p>
            <w:pPr>
              <w:pStyle w:val="Compact"/>
              <w:jc w:val="left"/>
            </w:pPr>
            <w:r>
              <w:t xml:space="preserve">Typische peptiden</w:t>
            </w:r>
          </w:p>
        </w:tc>
      </w:tr>
      <w:tr>
        <w:tc>
          <w:tcPr/>
          <w:p>
            <w:pPr>
              <w:pStyle w:val="Compact"/>
              <w:jc w:val="left"/>
            </w:pPr>
            <w:r>
              <w:t xml:space="preserve">Geneesmiddel</w:t>
            </w:r>
          </w:p>
        </w:tc>
        <w:tc>
          <w:tcPr/>
          <w:p>
            <w:pPr>
              <w:pStyle w:val="Compact"/>
              <w:jc w:val="left"/>
            </w:pPr>
            <w:r>
              <w:t xml:space="preserve">registratie met bewijs van werkzaamheid en veiligheid</w:t>
            </w:r>
          </w:p>
        </w:tc>
        <w:tc>
          <w:tcPr/>
          <w:p>
            <w:pPr>
              <w:pStyle w:val="Compact"/>
              <w:jc w:val="left"/>
            </w:pPr>
            <w:r>
              <w:t xml:space="preserve">insuline, semaglutide, oxytocine</w:t>
            </w:r>
          </w:p>
        </w:tc>
      </w:tr>
      <w:tr>
        <w:tc>
          <w:tcPr/>
          <w:p>
            <w:pPr>
              <w:pStyle w:val="Compact"/>
              <w:jc w:val="left"/>
            </w:pPr>
            <w:r>
              <w:t xml:space="preserve">Levensmiddel en voedingssupplement</w:t>
            </w:r>
          </w:p>
        </w:tc>
        <w:tc>
          <w:tcPr/>
          <w:p>
            <w:pPr>
              <w:pStyle w:val="Compact"/>
              <w:jc w:val="left"/>
            </w:pPr>
            <w:r>
              <w:t xml:space="preserve">geen registratie, fabrikant verantwoordelijk</w:t>
            </w:r>
          </w:p>
        </w:tc>
        <w:tc>
          <w:tcPr/>
          <w:p>
            <w:pPr>
              <w:pStyle w:val="Compact"/>
              <w:jc w:val="left"/>
            </w:pPr>
            <w:r>
              <w:t xml:space="preserve">collageenpeptiden, melkpeptiden</w:t>
            </w:r>
          </w:p>
        </w:tc>
      </w:tr>
      <w:tr>
        <w:tc>
          <w:tcPr/>
          <w:p>
            <w:pPr>
              <w:pStyle w:val="Compact"/>
              <w:jc w:val="left"/>
            </w:pPr>
            <w:r>
              <w:t xml:space="preserve">Cosmetica</w:t>
            </w:r>
          </w:p>
        </w:tc>
        <w:tc>
          <w:tcPr/>
          <w:p>
            <w:pPr>
              <w:pStyle w:val="Compact"/>
              <w:jc w:val="left"/>
            </w:pPr>
            <w:r>
              <w:t xml:space="preserve">geen registratie, veiligheidsbeoordeling door fabrikant</w:t>
            </w:r>
          </w:p>
        </w:tc>
        <w:tc>
          <w:tcPr/>
          <w:p>
            <w:pPr>
              <w:pStyle w:val="Compact"/>
              <w:jc w:val="left"/>
            </w:pPr>
            <w:r>
              <w:t xml:space="preserve">palmitoyl-pentapeptide-4, argireline</w:t>
            </w:r>
          </w:p>
        </w:tc>
      </w:tr>
    </w:tbl>
    <w:p>
      <w:pPr>
        <w:pStyle w:val="BodyText"/>
      </w:pPr>
      <w:r>
        <w:t xml:space="preserve">Daarnaast zijn er stoffen die rechtmatig in geen van deze categorieën passen – bijvoorbeeld niet-geregistreerde werkzame stoffen met farmacologische werking die als „onderzoekschemicaliën” worden verkocht. Voor deze stoffen bestaat geen legale weg naar de handel als product voor gebruik bij de mens.</w:t>
      </w:r>
    </w:p>
    <w:bookmarkEnd w:id="115"/>
    <w:bookmarkStart w:id="116" w:name="wat-een-geneesmiddel-is"/>
    <w:p>
      <w:pPr>
        <w:pStyle w:val="Heading3"/>
      </w:pPr>
      <w:r>
        <w:t xml:space="preserve">Wat een geneesmiddel is</w:t>
      </w:r>
    </w:p>
    <w:p>
      <w:pPr>
        <w:pStyle w:val="FirstParagraph"/>
      </w:pPr>
      <w:r>
        <w:t xml:space="preserve">De definitie van een geneesmiddel is in de EU vastgelegd in een richtlijn (Richtlijn 2001/83/EG) en omgezet in de nationale geneesmiddelenwetten. Ze heeft twee kanten:</w:t>
      </w:r>
    </w:p>
    <w:p>
      <w:pPr>
        <w:numPr>
          <w:ilvl w:val="0"/>
          <w:numId w:val="1028"/>
        </w:numPr>
        <w:pStyle w:val="Compact"/>
      </w:pPr>
      <w:r>
        <w:rPr>
          <w:bCs/>
          <w:b/>
        </w:rPr>
        <w:t xml:space="preserve">Geneesmiddel naar presentatie</w:t>
      </w:r>
      <w:r>
        <w:t xml:space="preserve">: een product is een geneesmiddel wanneer het wordt</w:t>
      </w:r>
      <w:r>
        <w:t xml:space="preserve"> </w:t>
      </w:r>
      <w:r>
        <w:rPr>
          <w:bCs/>
          <w:b/>
        </w:rPr>
        <w:t xml:space="preserve">voorgesteld</w:t>
      </w:r>
      <w:r>
        <w:t xml:space="preserve"> </w:t>
      </w:r>
      <w:r>
        <w:t xml:space="preserve">als middel om ziekten te genezen of te voorkomen. Alleen al reclame met uitspraken als „versnelt het herstel van peesblessures” kan van een product een geneesmiddel maken.</w:t>
      </w:r>
    </w:p>
    <w:p>
      <w:pPr>
        <w:numPr>
          <w:ilvl w:val="0"/>
          <w:numId w:val="1028"/>
        </w:numPr>
        <w:pStyle w:val="Compact"/>
      </w:pPr>
      <w:r>
        <w:rPr>
          <w:bCs/>
          <w:b/>
        </w:rPr>
        <w:t xml:space="preserve">Geneesmiddel naar functie</w:t>
      </w:r>
      <w:r>
        <w:t xml:space="preserve">: een product is een geneesmiddel wanneer het de menselijke lichaamsfuncties door een</w:t>
      </w:r>
      <w:r>
        <w:t xml:space="preserve"> </w:t>
      </w:r>
      <w:r>
        <w:rPr>
          <w:bCs/>
          <w:b/>
        </w:rPr>
        <w:t xml:space="preserve">farmacologische, immunologische of metabole werking</w:t>
      </w:r>
      <w:r>
        <w:t xml:space="preserve"> </w:t>
      </w:r>
      <w:r>
        <w:t xml:space="preserve">kan herstellen, corrigeren of beïnvloeden – ongeacht hoe het wordt aangeprezen.</w:t>
      </w:r>
    </w:p>
    <w:p>
      <w:pPr>
        <w:pStyle w:val="FirstParagraph"/>
      </w:pPr>
      <w:r>
        <w:t xml:space="preserve">Valt een product zowel onder de definitie van een geneesmiddel als onder die van een ander product, dan heeft volgens deze richtlijn in geval van twijfel het geneesmiddelenrecht voorrang. Voor peptiden met hormoonachtige werking – zoals groeihormoonvrijmakers, GLP-1-analogen of melanotan – betekent dit: ze zijn in de regel geneesmiddelen, ook als ze als voedingssupplement, cosmetica of „onderzoekschemicalie” worden aangeduid.</w:t>
      </w:r>
    </w:p>
    <w:bookmarkEnd w:id="116"/>
    <w:bookmarkStart w:id="117" w:name="registratie-in-de-eu"/>
    <w:p>
      <w:pPr>
        <w:pStyle w:val="Heading3"/>
      </w:pPr>
      <w:r>
        <w:t xml:space="preserve">Registratie in de EU</w:t>
      </w:r>
    </w:p>
    <w:p>
      <w:pPr>
        <w:pStyle w:val="FirstParagraph"/>
      </w:pPr>
      <w:r>
        <w:t xml:space="preserve">Een geneesmiddel mag in de EU alleen in de handel worden gebracht als het geregistreerd is. Voor de registratie moet de fabrikant gegevens over kwaliteit, werkzaamheid en veiligheid overleggen – meestal uit de fase 3-studies die in het hoofdstuk „Studies goed lezen” zijn beschreven.</w:t>
      </w:r>
    </w:p>
    <w:p>
      <w:pPr>
        <w:pStyle w:val="BodyText"/>
      </w:pPr>
      <w:r>
        <w:t xml:space="preserve">Er zijn twee hoofdwegen:</w:t>
      </w:r>
    </w:p>
    <w:p>
      <w:pPr>
        <w:numPr>
          <w:ilvl w:val="0"/>
          <w:numId w:val="1029"/>
        </w:numPr>
        <w:pStyle w:val="Compact"/>
      </w:pPr>
      <w:r>
        <w:rPr>
          <w:bCs/>
          <w:b/>
        </w:rPr>
        <w:t xml:space="preserve">Centrale procedure</w:t>
      </w:r>
      <w:r>
        <w:t xml:space="preserve"> </w:t>
      </w:r>
      <w:r>
        <w:t xml:space="preserve">via het Europees Geneesmiddelenbureau (EMA). De registratie geldt dan in alle lidstaten. Voor biotechnologisch geproduceerde geneesmiddelen en nieuwe werkzame stoffen tegen bepaalde ziekten – waaronder diabetes – is deze weg verplicht. De meeste moderne peptidegeneesmiddelen zijn centraal geregistreerd.</w:t>
      </w:r>
    </w:p>
    <w:p>
      <w:pPr>
        <w:numPr>
          <w:ilvl w:val="0"/>
          <w:numId w:val="1029"/>
        </w:numPr>
        <w:pStyle w:val="Compact"/>
      </w:pPr>
      <w:r>
        <w:rPr>
          <w:bCs/>
          <w:b/>
        </w:rPr>
        <w:t xml:space="preserve">Nationale en gedecentraliseerde procedures</w:t>
      </w:r>
      <w:r>
        <w:t xml:space="preserve"> </w:t>
      </w:r>
      <w:r>
        <w:t xml:space="preserve">via de autoriteiten van de lidstaten, in Oostenrijk het Bundesamt für Sicherheit im Gesundheitswesen (BASG), in Duitsland het Bundesinstitut für Arzneimittel und Medizinprodukte (BfArM) respectievelijk voor bepaalde biologische geneesmiddelen het Paul-Ehrlich-Institut.</w:t>
      </w:r>
    </w:p>
    <w:p>
      <w:pPr>
        <w:pStyle w:val="FirstParagraph"/>
      </w:pPr>
      <w:r>
        <w:t xml:space="preserve">Samen met de registratie wordt vastgelegd of een geneesmiddel</w:t>
      </w:r>
      <w:r>
        <w:t xml:space="preserve"> </w:t>
      </w:r>
      <w:r>
        <w:rPr>
          <w:bCs/>
          <w:b/>
        </w:rPr>
        <w:t xml:space="preserve">receptplichtig</w:t>
      </w:r>
      <w:r>
        <w:t xml:space="preserve"> </w:t>
      </w:r>
      <w:r>
        <w:t xml:space="preserve">is. Bijna alle peptidegeneesmiddelen zijn dat. De precieze toepassingsgebieden, doseringen, contra-indicaties en bijwerkingen staan in de</w:t>
      </w:r>
      <w:r>
        <w:t xml:space="preserve"> </w:t>
      </w:r>
      <w:r>
        <w:rPr>
          <w:bCs/>
          <w:b/>
        </w:rPr>
        <w:t xml:space="preserve">productinformatie</w:t>
      </w:r>
      <w:r>
        <w:t xml:space="preserve"> </w:t>
      </w:r>
      <w:r>
        <w:t xml:space="preserve">(SmPC, voor professionals) en in de</w:t>
      </w:r>
      <w:r>
        <w:t xml:space="preserve"> </w:t>
      </w:r>
      <w:r>
        <w:rPr>
          <w:bCs/>
          <w:b/>
        </w:rPr>
        <w:t xml:space="preserve">bijsluiter</w:t>
      </w:r>
      <w:r>
        <w:t xml:space="preserve">. De registratie geldt voor bepaalde toepassingsgebieden. Artsen mogen een geregistreerd geneesmiddel onder bepaalde voorwaarden ook buiten deze toepassingsgebieden voorschrijven („off-label use”), maar dragen dan een grotere verantwoordelijkheid voor voorlichting en afweging; de kosten worden in de regel niet door de zorgverzekering vergoed.</w:t>
      </w:r>
    </w:p>
    <w:p>
      <w:pPr>
        <w:pStyle w:val="BodyText"/>
      </w:pPr>
      <w:r>
        <w:t xml:space="preserve">Enkele peptiden die in dit boek voorkomen, zijn in andere landen geregistreerd, maar niet in de EU – bijvoorbeeld enkele in Rusland gebruikte preparaten. Een buitenlandse registratie maakt een product in de EU niet verhandelbaar.</w:t>
      </w:r>
    </w:p>
    <w:bookmarkEnd w:id="117"/>
    <w:bookmarkStart w:id="118" w:name="voedingssupplementen"/>
    <w:p>
      <w:pPr>
        <w:pStyle w:val="Heading3"/>
      </w:pPr>
      <w:r>
        <w:t xml:space="preserve">Voedingssupplementen</w:t>
      </w:r>
    </w:p>
    <w:p>
      <w:pPr>
        <w:pStyle w:val="FirstParagraph"/>
      </w:pPr>
      <w:r>
        <w:t xml:space="preserve">Voedingssupplementen zijn juridisch levensmiddelen. Ze moeten de normale voeding aanvullen en bevatten voedingsstoffen of andere stoffen met een nutritioneel of fysiologisch effect (Richtlijn 2002/46/EG). Ze hebben</w:t>
      </w:r>
      <w:r>
        <w:t xml:space="preserve"> </w:t>
      </w:r>
      <w:r>
        <w:rPr>
          <w:bCs/>
          <w:b/>
        </w:rPr>
        <w:t xml:space="preserve">geen registratie</w:t>
      </w:r>
      <w:r>
        <w:t xml:space="preserve"> </w:t>
      </w:r>
      <w:r>
        <w:t xml:space="preserve">nodig. Afhankelijk van het land moeten ze vóór de eerste verkoop bij een autoriteit worden aangemeld; in Duitsland bijvoorbeeld bij het Bundesamt für Verbraucherschutz und Lebensmittelsicherheit. Voor de veiligheid is de fabrikant verantwoordelijk; de voedselautoriteiten controleren steekproefsgewijs.</w:t>
      </w:r>
    </w:p>
    <w:p>
      <w:pPr>
        <w:pStyle w:val="BodyText"/>
      </w:pPr>
      <w:r>
        <w:t xml:space="preserve">Belangrijke grenzen:</w:t>
      </w:r>
    </w:p>
    <w:p>
      <w:pPr>
        <w:numPr>
          <w:ilvl w:val="0"/>
          <w:numId w:val="1030"/>
        </w:numPr>
        <w:pStyle w:val="Compact"/>
      </w:pPr>
      <w:r>
        <w:t xml:space="preserve">Een stof die farmacologisch werkt, kan geen voedingssupplement zijn. Wordt ze toch zo verkocht, dan gaat het om een niet-geregistreerd geneesmiddel.</w:t>
      </w:r>
    </w:p>
    <w:p>
      <w:pPr>
        <w:numPr>
          <w:ilvl w:val="0"/>
          <w:numId w:val="1030"/>
        </w:numPr>
        <w:pStyle w:val="Compact"/>
      </w:pPr>
      <w:r>
        <w:rPr>
          <w:bCs/>
          <w:b/>
        </w:rPr>
        <w:t xml:space="preserve">Gezondheidsclaims</w:t>
      </w:r>
      <w:r>
        <w:t xml:space="preserve"> </w:t>
      </w:r>
      <w:r>
        <w:t xml:space="preserve">zoals „ondersteunt de gewrichten” of „verlaagt de bloeddruk” zijn alleen toegestaan als ze door de EU na beoordeling door de Europese Autoriteit voor voedselveiligheid (EFSA) zijn toegelaten en in een lijst zijn opgenomen (Verordening (EG) nr. 1924/2006). Voor veel aangeprezen werkingen van peptidelevensmiddelen bestaat voor zover ons bekend geen toegelaten claim. Reclame die toch zo’n werking belooft, is ontoelaatbaar.</w:t>
      </w:r>
    </w:p>
    <w:p>
      <w:pPr>
        <w:numPr>
          <w:ilvl w:val="0"/>
          <w:numId w:val="1030"/>
        </w:numPr>
        <w:pStyle w:val="Compact"/>
      </w:pPr>
      <w:r>
        <w:rPr>
          <w:bCs/>
          <w:b/>
        </w:rPr>
        <w:t xml:space="preserve">Ziekteclaims</w:t>
      </w:r>
      <w:r>
        <w:t xml:space="preserve"> </w:t>
      </w:r>
      <w:r>
        <w:t xml:space="preserve">(bijvoorbeeld „werkt tegen artrose”) zijn voor levensmiddelen in het algemeen verboden.</w:t>
      </w:r>
    </w:p>
    <w:p>
      <w:pPr>
        <w:pStyle w:val="FirstParagraph"/>
      </w:pPr>
      <w:r>
        <w:t xml:space="preserve">Dat ook voedingssupplementen niet vrij zijn van verboden werkzame stoffen, laat een geval uit een antidopinglaboratorium zien: in tabletten die als vrij verkrijgbaar voedingssupplement werden aangeboden, werd het groeihormoonvrijmakende peptide GHRP-2 aangetoond (Thomas 2010, PMID 20878896).</w:t>
      </w:r>
    </w:p>
    <w:bookmarkEnd w:id="118"/>
    <w:bookmarkStart w:id="119" w:name="novel-food"/>
    <w:p>
      <w:pPr>
        <w:pStyle w:val="Heading3"/>
      </w:pPr>
      <w:r>
        <w:t xml:space="preserve">Novel food</w:t>
      </w:r>
    </w:p>
    <w:p>
      <w:pPr>
        <w:pStyle w:val="FirstParagraph"/>
      </w:pPr>
      <w:r>
        <w:t xml:space="preserve">Een eigen hindernis voor levensmiddelen is de</w:t>
      </w:r>
      <w:r>
        <w:t xml:space="preserve"> </w:t>
      </w:r>
      <w:r>
        <w:rPr>
          <w:bCs/>
          <w:b/>
        </w:rPr>
        <w:t xml:space="preserve">novelfoodverordening</w:t>
      </w:r>
      <w:r>
        <w:t xml:space="preserve"> </w:t>
      </w:r>
      <w:r>
        <w:t xml:space="preserve">(Verordening (EU) 2015/2283). Als „nieuw” gelden levensmiddelen en ingrediënten die vóór 15 mei 1997 in de EU niet in noemenswaardige mate voor menselijke consumptie werden gebruikt. Ze mogen pas na een veiligheidsbeoordeling en een toelating door de EU worden verkocht.</w:t>
      </w:r>
    </w:p>
    <w:p>
      <w:pPr>
        <w:pStyle w:val="BodyText"/>
      </w:pPr>
      <w:r>
        <w:t xml:space="preserve">Voor peptiden betekent dit: collageenhydrolysaten uit gelatine hebben een lange consumptiegeschiedenis en zijn geen novel food. Een nieuw gesynthetiseerd peptide zonder consumptiegeschiedenis dat als levensmiddel verkocht zou worden, zou daarentegen in principe een novel food zijn en een toelating nodig hebben – tenzij het vanwege zijn farmacologische werking toch al als geneesmiddel moet worden ingedeeld. Of een stof als novel food geldt, moet per geval worden beoordeeld; de Europese Commissie houdt daarvoor een catalogus bij.</w:t>
      </w:r>
    </w:p>
    <w:bookmarkEnd w:id="119"/>
    <w:bookmarkStart w:id="120" w:name="cosmetica"/>
    <w:p>
      <w:pPr>
        <w:pStyle w:val="Heading3"/>
      </w:pPr>
      <w:r>
        <w:t xml:space="preserve">Cosmetica</w:t>
      </w:r>
    </w:p>
    <w:p>
      <w:pPr>
        <w:pStyle w:val="FirstParagraph"/>
      </w:pPr>
      <w:r>
        <w:t xml:space="preserve">Cosmetische producten zijn in de EU geregeld door de cosmeticaverordening (Verordening (EG) nr. 1223/2009). Ze zijn bestemd voor uitwendig gebruik op huid, haar, nagels, lippen, tanden of het slijmvlies van de mondholte – om te reinigen, te verzorgen, te beschermen of het uiterlijk te veranderen.</w:t>
      </w:r>
    </w:p>
    <w:p>
      <w:pPr>
        <w:numPr>
          <w:ilvl w:val="0"/>
          <w:numId w:val="1031"/>
        </w:numPr>
        <w:pStyle w:val="Compact"/>
      </w:pPr>
      <w:r>
        <w:t xml:space="preserve">Cosmetica hebben</w:t>
      </w:r>
      <w:r>
        <w:t xml:space="preserve"> </w:t>
      </w:r>
      <w:r>
        <w:rPr>
          <w:bCs/>
          <w:b/>
        </w:rPr>
        <w:t xml:space="preserve">geen registratie</w:t>
      </w:r>
      <w:r>
        <w:t xml:space="preserve"> </w:t>
      </w:r>
      <w:r>
        <w:t xml:space="preserve">nodig. Een verantwoordelijke persoon in de EU moet echter een veiligheidsbeoordeling opstellen en het product vóór de verkoop in een EU-portaal melden.</w:t>
      </w:r>
    </w:p>
    <w:p>
      <w:pPr>
        <w:numPr>
          <w:ilvl w:val="0"/>
          <w:numId w:val="1031"/>
        </w:numPr>
        <w:pStyle w:val="Compact"/>
      </w:pPr>
      <w:r>
        <w:t xml:space="preserve">Bepaalde stoffen zijn verboden of slechts beperkt toegestaan.</w:t>
      </w:r>
    </w:p>
    <w:p>
      <w:pPr>
        <w:numPr>
          <w:ilvl w:val="0"/>
          <w:numId w:val="1031"/>
        </w:numPr>
        <w:pStyle w:val="Compact"/>
      </w:pPr>
      <w:r>
        <w:t xml:space="preserve">Reclameclaims moeten onderbouwd kunnen worden en mogen niet misleiden. Uitspraken over de behandeling van ziekten zijn ontoelaatbaar.</w:t>
      </w:r>
    </w:p>
    <w:p>
      <w:pPr>
        <w:numPr>
          <w:ilvl w:val="0"/>
          <w:numId w:val="1031"/>
        </w:numPr>
        <w:pStyle w:val="Compact"/>
      </w:pPr>
      <w:r>
        <w:rPr>
          <w:bCs/>
          <w:b/>
        </w:rPr>
        <w:t xml:space="preserve">Wat geïnjecteerd wordt, is nooit cosmetica.</w:t>
      </w:r>
      <w:r>
        <w:t xml:space="preserve"> </w:t>
      </w:r>
      <w:r>
        <w:t xml:space="preserve">Injecties vallen niet onder de definitie van cosmetische producten.</w:t>
      </w:r>
    </w:p>
    <w:p>
      <w:pPr>
        <w:pStyle w:val="FirstParagraph"/>
      </w:pPr>
      <w:r>
        <w:t xml:space="preserve">Cosmetische peptiden zoals palmitoyl-pentapeptide-4 of acetyl-hexapeptide-8 zijn daarom legaal in crèmes en serums. Een peptide zoals melanotan II, dat onder de huid wordt geïnjecteerd en in het hele lichaam werkt, is daarentegen geen cosmetica, ook al wordt het als „bruiningsmiddel” aangeprezen.</w:t>
      </w:r>
    </w:p>
    <w:bookmarkEnd w:id="120"/>
    <w:bookmarkStart w:id="121" w:name="oostenrijk"/>
    <w:p>
      <w:pPr>
        <w:pStyle w:val="Heading3"/>
      </w:pPr>
      <w:r>
        <w:t xml:space="preserve">Oostenrijk</w:t>
      </w:r>
    </w:p>
    <w:p>
      <w:pPr>
        <w:pStyle w:val="FirstParagraph"/>
      </w:pPr>
      <w:r>
        <w:t xml:space="preserve">In Oostenrijk regelt de</w:t>
      </w:r>
      <w:r>
        <w:t xml:space="preserve"> </w:t>
      </w:r>
      <w:r>
        <w:rPr>
          <w:bCs/>
          <w:b/>
        </w:rPr>
        <w:t xml:space="preserve">Arzneimittelgesetz (AMG)</w:t>
      </w:r>
      <w:r>
        <w:t xml:space="preserve"> </w:t>
      </w:r>
      <w:r>
        <w:t xml:space="preserve">registratie, productie en afgifte van geneesmiddelen. Bevoegd voor registratie en toezicht is het Bundesamt für Sicherheit im Gesundheitswesen (BASG) met de AGES Medizinmarktaufsicht. Receptplichtige geneesmiddelen worden alleen in apotheken op recept afgegeven; de postorderverkoop door apotheken is beperkt tot niet-receptplichtige geneesmiddelen.</w:t>
      </w:r>
    </w:p>
    <w:p>
      <w:pPr>
        <w:pStyle w:val="BodyText"/>
      </w:pPr>
      <w:r>
        <w:t xml:space="preserve">De invoer van geneesmiddelen regelt de</w:t>
      </w:r>
      <w:r>
        <w:t xml:space="preserve"> </w:t>
      </w:r>
      <w:r>
        <w:rPr>
          <w:bCs/>
          <w:b/>
        </w:rPr>
        <w:t xml:space="preserve">Arzneiwareneinfuhrgesetz</w:t>
      </w:r>
      <w:r>
        <w:t xml:space="preserve">. Particulieren mogen geneesmiddelen alleen onder bepaalde voorwaarden en in hoeveelheden voor persoonlijk gebruik invoeren; voor bestellingen uit landen buiten de Europese Economische Ruimte gelden strengere regels. Niet-geregistreerde werkzame stoffen uit webwinkels voor „onderzoekschemicaliën” voldoen in de regel niet aan deze voorwaarden. De douane kan zulke zendingen in beslag nemen.</w:t>
      </w:r>
    </w:p>
    <w:p>
      <w:pPr>
        <w:pStyle w:val="BodyText"/>
      </w:pPr>
      <w:r>
        <w:t xml:space="preserve">Voor de sport geldt de</w:t>
      </w:r>
      <w:r>
        <w:t xml:space="preserve"> </w:t>
      </w:r>
      <w:r>
        <w:rPr>
          <w:bCs/>
          <w:b/>
        </w:rPr>
        <w:t xml:space="preserve">Anti-Doping-Bundesgesetz 2021</w:t>
      </w:r>
      <w:r>
        <w:t xml:space="preserve">. Die verwijst naar de verboden lijst van het Wereld Anti-Doping Agentschap en bevat verboden en strafbepalingen, met name voor het in de handel brengen en doorgeven van verboden werkzame stoffen. Bevoegd voor controles is de Nationale Anti-Doping Agentur Austria (NADA Austria).</w:t>
      </w:r>
    </w:p>
    <w:p>
      <w:pPr>
        <w:pStyle w:val="BodyText"/>
      </w:pPr>
      <w:r>
        <w:t xml:space="preserve">Stand 2026, actuele situatie controleren.</w:t>
      </w:r>
    </w:p>
    <w:bookmarkEnd w:id="121"/>
    <w:bookmarkStart w:id="122" w:name="duitsland"/>
    <w:p>
      <w:pPr>
        <w:pStyle w:val="Heading3"/>
      </w:pPr>
      <w:r>
        <w:t xml:space="preserve">Duitsland</w:t>
      </w:r>
    </w:p>
    <w:p>
      <w:pPr>
        <w:pStyle w:val="FirstParagraph"/>
      </w:pPr>
      <w:r>
        <w:t xml:space="preserve">In Duitsland geldt de</w:t>
      </w:r>
      <w:r>
        <w:t xml:space="preserve"> </w:t>
      </w:r>
      <w:r>
        <w:rPr>
          <w:bCs/>
          <w:b/>
        </w:rPr>
        <w:t xml:space="preserve">Arzneimittelgesetz (AMG)</w:t>
      </w:r>
      <w:r>
        <w:t xml:space="preserve">. Registratieautoriteiten zijn het BfArM en het Paul-Ehrlich-Institut. Receptplichtige geneesmiddelen mogen alleen op recept worden afgegeven, ook bij postorderverkoop door erkende postorderapotheken.</w:t>
      </w:r>
    </w:p>
    <w:p>
      <w:pPr>
        <w:pStyle w:val="BodyText"/>
      </w:pPr>
      <w:r>
        <w:t xml:space="preserve">Voor de invoer geldt in principe een verbod om niet-geregistreerde geneesmiddelen naar Duitsland te brengen. Een uitzondering bestaat voor persoonlijk gebruik, wanneer het geneesmiddel in het land van herkomst rechtmatig in de handel is en uit een lidstaat van de EU of de Europese Economische Ruimte zonder commerciële bemiddeling wordt betrokken; daarnaast zijn er nauw begrensde bijzondere regels. Voor peptiden van de grijze markt die nergens als geneesmiddel geregistreerd zijn, geldt deze uitzondering naar ons begrip niet.</w:t>
      </w:r>
    </w:p>
    <w:p>
      <w:pPr>
        <w:pStyle w:val="BodyText"/>
      </w:pPr>
      <w:r>
        <w:t xml:space="preserve">Wie zonder vergunning geneesmiddelen maakt, in de handel brengt of aan anderen afgeeft, kan zich volgens de AMG strafbaar maken. Dat geldt in het bijzonder voor zogeheten bedenkelijke geneesmiddelen, waarbij het gegronde vermoeden van schadelijke effecten bestaat.</w:t>
      </w:r>
    </w:p>
    <w:p>
      <w:pPr>
        <w:pStyle w:val="BodyText"/>
      </w:pPr>
      <w:r>
        <w:t xml:space="preserve">Voor de sport geldt daarnaast de</w:t>
      </w:r>
      <w:r>
        <w:t xml:space="preserve"> </w:t>
      </w:r>
      <w:r>
        <w:rPr>
          <w:bCs/>
          <w:b/>
        </w:rPr>
        <w:t xml:space="preserve">Anti-Doping-Gesetz (AntiDopG)</w:t>
      </w:r>
      <w:r>
        <w:t xml:space="preserve">. Die verbiedt onder meer productie, handel en het in de handel brengen van dopingmiddelen en het toedienen ervan aan anderen. Verwerving en bezit van bepaalde, in een bijlage bij de wet opgenomen stoffen – waaronder peptidehormonen – zijn in een niet geringe hoeveelheid voor dopingdoeleinden strafbaar. Voor topsporters is ook zelfdoping strafbaar. Bevoegd voor controles is de Nationale Anti Doping Agentur Deutschland (NADA).</w:t>
      </w:r>
    </w:p>
    <w:p>
      <w:pPr>
        <w:pStyle w:val="BodyText"/>
      </w:pPr>
      <w:r>
        <w:t xml:space="preserve">Stand 2026, actuele situatie controleren.</w:t>
      </w:r>
    </w:p>
    <w:bookmarkEnd w:id="122"/>
    <w:bookmarkStart w:id="123" w:name="vs"/>
    <w:p>
      <w:pPr>
        <w:pStyle w:val="Heading3"/>
      </w:pPr>
      <w:r>
        <w:t xml:space="preserve">VS</w:t>
      </w:r>
    </w:p>
    <w:p>
      <w:pPr>
        <w:pStyle w:val="FirstParagraph"/>
      </w:pPr>
      <w:r>
        <w:t xml:space="preserve">In de VS is de</w:t>
      </w:r>
      <w:r>
        <w:t xml:space="preserve"> </w:t>
      </w:r>
      <w:r>
        <w:rPr>
          <w:bCs/>
          <w:b/>
        </w:rPr>
        <w:t xml:space="preserve">Food and Drug Administration (FDA)</w:t>
      </w:r>
      <w:r>
        <w:t xml:space="preserve"> </w:t>
      </w:r>
      <w:r>
        <w:t xml:space="preserve">bevoegd. Nieuwe geneesmiddelen hebben een registratie nodig (bij chemisch geproduceerde werkzame stoffen via een „New Drug Application”, bij biologische werkzame stoffen via een „Biologics License Application”).</w:t>
      </w:r>
    </w:p>
    <w:p>
      <w:pPr>
        <w:pStyle w:val="BodyText"/>
      </w:pPr>
      <w:r>
        <w:rPr>
          <w:bCs/>
          <w:b/>
        </w:rPr>
        <w:t xml:space="preserve">Voedingssupplementen</w:t>
      </w:r>
      <w:r>
        <w:t xml:space="preserve"> </w:t>
      </w:r>
      <w:r>
        <w:t xml:space="preserve">(dietary supplements) zijn sinds een wet uit 1994 grotendeels zonder voorafgaande controle verhandelbaar. Een stof die eerst als geneesmiddel is geregistreerd of als geneesmiddel op grotere schaal klinisch is onderzocht, mag echter in principe niet achteraf als voedingssupplement worden verkocht. Daarom kunnen veel peptiden in de VS niet legaal als supplement op de markt worden gebracht.</w:t>
      </w:r>
    </w:p>
    <w:p>
      <w:pPr>
        <w:pStyle w:val="BodyText"/>
      </w:pPr>
      <w:r>
        <w:rPr>
          <w:bCs/>
          <w:b/>
        </w:rPr>
        <w:t xml:space="preserve">Compounding</w:t>
      </w:r>
      <w:r>
        <w:t xml:space="preserve">: Amerikaanse apotheken mogen onder bepaalde voorwaarden zelf geneesmiddelen bereiden – afzonderlijk voor bepaalde patiënten of op grotere schaal in bedrijven onder bijzonder toezicht. Bij leveringstekorten van geregistreerde geneesmiddelen mogen ze ook kopieën maken. Na het einde van de tekorten van semaglutide en tirzepatide mogen ze volgens het Amerikaanse recht alleen nog afwijkende preparaten maken (Belcourt 2026, PMID 41689811). Welke werkzame stoffen als grondstof voor compounding mogen worden gebruikt, legt de FDA in lijsten vast. Voor zover ons bekend heeft de FDA meerdere populaire peptiden van de grijze markt, waaronder BPC-157, vanwege veiligheidszorgen als ongeschikt voor compounding ingedeeld. Deze lijsten en het politieke debat erover veranderen; controleer de actuele stand van zaken.</w:t>
      </w:r>
    </w:p>
    <w:p>
      <w:pPr>
        <w:pStyle w:val="BodyText"/>
      </w:pPr>
      <w:r>
        <w:rPr>
          <w:bCs/>
          <w:b/>
        </w:rPr>
        <w:t xml:space="preserve">„Research Use Only”</w:t>
      </w:r>
      <w:r>
        <w:t xml:space="preserve">: de verkoop van peptiden met de vermelding „alleen voor onderzoeksdoeleinden” aan consumenten bevindt zich ook in de VS in een juridisch grijs gebied, dat door deskundigen wordt beschreven als omzeiling van de receptplicht (Belcourt 2025, PMID 39285774). De FDA heeft aan afzonderlijke aanbieders waarschuwingsbrieven gestuurd.</w:t>
      </w:r>
    </w:p>
    <w:p>
      <w:pPr>
        <w:pStyle w:val="BodyText"/>
      </w:pPr>
      <w:r>
        <w:rPr>
          <w:bCs/>
          <w:b/>
        </w:rPr>
        <w:t xml:space="preserve">Invoer</w:t>
      </w:r>
      <w:r>
        <w:t xml:space="preserve">: de FDA gedoogt onder strikte voorwaarden de invoer van kleine hoeveelheden geneesmiddelen voor persoonlijk gebruik. Er bestaat geen recht op, en niet-geregistreerde werkzame stoffen zonder medische begeleiding vallen er in de regel niet onder.</w:t>
      </w:r>
    </w:p>
    <w:p>
      <w:pPr>
        <w:pStyle w:val="BodyText"/>
      </w:pPr>
      <w:r>
        <w:t xml:space="preserve">Stand 2026, actuele situatie controleren.</w:t>
      </w:r>
    </w:p>
    <w:bookmarkEnd w:id="123"/>
    <w:bookmarkStart w:id="124" w:name="doping-de-verboden-lijst-van-het-wada"/>
    <w:p>
      <w:pPr>
        <w:pStyle w:val="Heading3"/>
      </w:pPr>
      <w:r>
        <w:t xml:space="preserve">Doping: de verboden lijst van het WADA</w:t>
      </w:r>
    </w:p>
    <w:p>
      <w:pPr>
        <w:pStyle w:val="FirstParagraph"/>
      </w:pPr>
      <w:r>
        <w:t xml:space="preserve">Voor sporters die aan dopingcontroles onderworpen zijn, is de</w:t>
      </w:r>
      <w:r>
        <w:t xml:space="preserve"> </w:t>
      </w:r>
      <w:r>
        <w:rPr>
          <w:bCs/>
          <w:b/>
        </w:rPr>
        <w:t xml:space="preserve">verboden lijst van het Wereld Anti-Doping Agentschap (WADA)</w:t>
      </w:r>
      <w:r>
        <w:t xml:space="preserve"> </w:t>
      </w:r>
      <w:r>
        <w:t xml:space="preserve">bepalend. Ze wordt jaarlijks herzien en treedt telkens op 1 januari in werking. Voor peptiden zijn vooral twee rubrieken belangrijk, die zowel binnen als buiten wedstrijdverband gelden:</w:t>
      </w:r>
    </w:p>
    <w:p>
      <w:pPr>
        <w:pStyle w:val="BodyText"/>
      </w:pPr>
      <w:r>
        <w:rPr>
          <w:bCs/>
          <w:b/>
        </w:rPr>
        <w:t xml:space="preserve">S0 – Niet-goedgekeurde stoffen.</w:t>
      </w:r>
      <w:r>
        <w:t xml:space="preserve"> </w:t>
      </w:r>
      <w:r>
        <w:t xml:space="preserve">Verboden zijn farmacologisch werkzame stoffen die in geen andere rubriek van de lijst worden genoemd en door geen enkele gezondheidsautoriteit voor gebruik bij de mens zijn goedgekeurd – bijvoorbeeld werkzame stoffen in preklinische of klinische ontwikkeling, stopgezette ontwikkelingen, designerdrugs en alleen voor dieren geregistreerde stoffen. Veel peptiden van de grijze markt vallen in deze groep. BPC-157 wordt in de lijst voor zover ons bekend uitdrukkelijk als voorbeeld genoemd.</w:t>
      </w:r>
    </w:p>
    <w:p>
      <w:pPr>
        <w:pStyle w:val="BodyText"/>
      </w:pPr>
      <w:r>
        <w:rPr>
          <w:bCs/>
          <w:b/>
        </w:rPr>
        <w:t xml:space="preserve">S2 – Peptidehormonen, groeifactoren, verwante stoffen en mimetica.</w:t>
      </w:r>
      <w:r>
        <w:t xml:space="preserve"> </w:t>
      </w:r>
      <w:r>
        <w:t xml:space="preserve">Hiertoe behoren onder meer:</w:t>
      </w:r>
    </w:p>
    <w:p>
      <w:pPr>
        <w:numPr>
          <w:ilvl w:val="0"/>
          <w:numId w:val="1032"/>
        </w:numPr>
        <w:pStyle w:val="Compact"/>
      </w:pPr>
      <w:r>
        <w:t xml:space="preserve">groeihormoon en zijn fragmenten (bijvoorbeeld AOD-9604),</w:t>
      </w:r>
    </w:p>
    <w:p>
      <w:pPr>
        <w:numPr>
          <w:ilvl w:val="0"/>
          <w:numId w:val="1032"/>
        </w:numPr>
        <w:pStyle w:val="Compact"/>
      </w:pPr>
      <w:r>
        <w:t xml:space="preserve">groeihormoon-releasing hormoon en zijn analogen (bijvoorbeeld CJC-1295, sermoreline, tesamoreline),</w:t>
      </w:r>
    </w:p>
    <w:p>
      <w:pPr>
        <w:numPr>
          <w:ilvl w:val="0"/>
          <w:numId w:val="1032"/>
        </w:numPr>
        <w:pStyle w:val="Compact"/>
      </w:pPr>
      <w:r>
        <w:t xml:space="preserve">groeihormoon-secretagogen en groeihormoonvrijmakende peptiden (bijvoorbeeld ipamorelin, GHRP-2, GHRP-6, hexareline, macimoreline en voor zover ons bekend ook het niet-peptidische ibutamoren),</w:t>
      </w:r>
    </w:p>
    <w:p>
      <w:pPr>
        <w:numPr>
          <w:ilvl w:val="0"/>
          <w:numId w:val="1032"/>
        </w:numPr>
        <w:pStyle w:val="Compact"/>
      </w:pPr>
      <w:r>
        <w:t xml:space="preserve">groeifactoren zoals IGF-1 en zijn analogen en thymosine bèta-4 en zijn derivaten (bijvoorbeeld TB-500),</w:t>
      </w:r>
    </w:p>
    <w:p>
      <w:pPr>
        <w:numPr>
          <w:ilvl w:val="0"/>
          <w:numId w:val="1032"/>
        </w:numPr>
        <w:pStyle w:val="Compact"/>
      </w:pPr>
      <w:r>
        <w:t xml:space="preserve">bij mannen hormonen en releasingfactoren van de geslachtshormoonas (bijvoorbeeld gonadoreline en kisspeptine).</w:t>
      </w:r>
    </w:p>
    <w:p>
      <w:pPr>
        <w:pStyle w:val="FirstParagraph"/>
      </w:pPr>
      <w:r>
        <w:t xml:space="preserve">Daarnaast zijn in rubriek S4 onder meer insulines als stofwisselingsmodulatoren verboden. GLP-1-geneesmiddelen zoals semaglutide of tirzepatide staan voor zover ons bekend momenteel niet op de verboden lijst. De lijst noemt voorbeelden, maar is niet uitputtend: ook niet-genoemde stoffen met een vergelijkbare chemische structuur of een vergelijkbare biologische werking kunnen verboden zijn.</w:t>
      </w:r>
    </w:p>
    <w:p>
      <w:pPr>
        <w:pStyle w:val="BodyText"/>
      </w:pPr>
      <w:r>
        <w:t xml:space="preserve">In het antidopingrecht geldt de</w:t>
      </w:r>
      <w:r>
        <w:t xml:space="preserve"> </w:t>
      </w:r>
      <w:r>
        <w:rPr>
          <w:bCs/>
          <w:b/>
        </w:rPr>
        <w:t xml:space="preserve">schuldonafhankelijke aansprakelijkheid</w:t>
      </w:r>
      <w:r>
        <w:t xml:space="preserve"> </w:t>
      </w:r>
      <w:r>
        <w:t xml:space="preserve">(strict liability): wordt een verboden stof in een monster gevonden, dan is dat een overtreding – ongeacht of ze opzettelijk werd ingenomen of bijvoorbeeld uit een verontreinigd voedingssupplement afkomstig is. Wie een geregistreerd, verboden geneesmiddel om medische redenen nodig heeft, kan een</w:t>
      </w:r>
      <w:r>
        <w:t xml:space="preserve"> </w:t>
      </w:r>
      <w:r>
        <w:rPr>
          <w:bCs/>
          <w:b/>
        </w:rPr>
        <w:t xml:space="preserve">dispensatie voor therapeutisch gebruik</w:t>
      </w:r>
      <w:r>
        <w:t xml:space="preserve"> </w:t>
      </w:r>
      <w:r>
        <w:t xml:space="preserve">(Therapeutic Use Exemption, TUE) aanvragen. Voor niet-goedgekeurde stoffen uit rubriek S0 is dat praktisch uitgesloten.</w:t>
      </w:r>
    </w:p>
    <w:p>
      <w:pPr>
        <w:pStyle w:val="BodyText"/>
      </w:pPr>
      <w:r>
        <w:t xml:space="preserve">De dopingcontrolelaboratoria ontwikkelen voortdurend detectiemethoden voor nieuwe peptiden, vaak op basis van in beslag genomen producten (Cox 2017, PMID 28035768). Dat een stof gisteren niet aantoonbaar was, betekent niet dat dat morgen ook zo is – en ingevroren monsters kunnen jaren later opnieuw worden onderzocht.</w:t>
      </w:r>
    </w:p>
    <w:p>
      <w:pPr>
        <w:pStyle w:val="BodyText"/>
      </w:pPr>
      <w:r>
        <w:t xml:space="preserve">Stand 2026, de actuele verboden lijst van het WADA controleren.</w:t>
      </w:r>
    </w:p>
    <w:bookmarkEnd w:id="124"/>
    <w:bookmarkStart w:id="125" w:name="aansprakelijkheid-wie-draagt-het-risico"/>
    <w:p>
      <w:pPr>
        <w:pStyle w:val="Heading3"/>
      </w:pPr>
      <w:r>
        <w:t xml:space="preserve">Aansprakelijkheid: wie draagt het risico?</w:t>
      </w:r>
    </w:p>
    <w:p>
      <w:pPr>
        <w:pStyle w:val="FirstParagraph"/>
      </w:pPr>
      <w:r>
        <w:t xml:space="preserve">Bij</w:t>
      </w:r>
      <w:r>
        <w:t xml:space="preserve"> </w:t>
      </w:r>
      <w:r>
        <w:rPr>
          <w:bCs/>
          <w:b/>
        </w:rPr>
        <w:t xml:space="preserve">geregistreerde geneesmiddelen</w:t>
      </w:r>
      <w:r>
        <w:t xml:space="preserve"> </w:t>
      </w:r>
      <w:r>
        <w:t xml:space="preserve">zijn fabrikanten, apotheken en voorschrijvende artsen opgenomen in een systeem van verantwoordelijkheid en aansprakelijkheid. In Duitsland voorziet de Arzneimittelgesetz in een bijzondere, schuldonafhankelijke aansprakelijkheid van de fabrikant voor schade door geregistreerde geneesmiddelen; in Oostenrijk zijn het algemene schadevergoedingsrecht en de wet op de productaansprakelijkheid van toepassing. Bijwerkingen worden gemeld en geanalyseerd en kunnen leiden tot waarschuwingen of het uit de handel nemen van producten.</w:t>
      </w:r>
    </w:p>
    <w:p>
      <w:pPr>
        <w:pStyle w:val="BodyText"/>
      </w:pPr>
      <w:r>
        <w:t xml:space="preserve">Bij</w:t>
      </w:r>
      <w:r>
        <w:t xml:space="preserve"> </w:t>
      </w:r>
      <w:r>
        <w:rPr>
          <w:bCs/>
          <w:b/>
        </w:rPr>
        <w:t xml:space="preserve">producten van de grijze markt</w:t>
      </w:r>
      <w:r>
        <w:t xml:space="preserve"> </w:t>
      </w:r>
      <w:r>
        <w:t xml:space="preserve">ontbreekt dit systeem grotendeels:</w:t>
      </w:r>
    </w:p>
    <w:p>
      <w:pPr>
        <w:numPr>
          <w:ilvl w:val="0"/>
          <w:numId w:val="1033"/>
        </w:numPr>
        <w:pStyle w:val="Compact"/>
      </w:pPr>
      <w:r>
        <w:t xml:space="preserve">De aanbieders zitten vaak in het buitenland, veranderen regelmatig hun namen en websites en zijn praktisch onvindbaar.</w:t>
      </w:r>
    </w:p>
    <w:p>
      <w:pPr>
        <w:numPr>
          <w:ilvl w:val="0"/>
          <w:numId w:val="1033"/>
        </w:numPr>
        <w:pStyle w:val="Compact"/>
      </w:pPr>
      <w:r>
        <w:t xml:space="preserve">Met de vermelding „niet voor gebruik bij de mens” proberen ze elke verantwoordelijkheid van zich af te schuiven.</w:t>
      </w:r>
    </w:p>
    <w:p>
      <w:pPr>
        <w:numPr>
          <w:ilvl w:val="0"/>
          <w:numId w:val="1033"/>
        </w:numPr>
        <w:pStyle w:val="Compact"/>
      </w:pPr>
      <w:r>
        <w:t xml:space="preserve">Wie zo’n product zelf gebruikt, draagt het gezondheids- en financiële risico grotendeels alleen.</w:t>
      </w:r>
    </w:p>
    <w:p>
      <w:pPr>
        <w:numPr>
          <w:ilvl w:val="0"/>
          <w:numId w:val="1033"/>
        </w:numPr>
        <w:pStyle w:val="Compact"/>
      </w:pPr>
      <w:r>
        <w:t xml:space="preserve">Wie zo’n product aan anderen doorgeeft of bij anderen toepast – bijvoorbeeld in een sportschool, schoonheidssalon of wellnessbedrijf –, kan zich strafbaar maken en is onder omstandigheden aansprakelijk voor schade.</w:t>
      </w:r>
    </w:p>
    <w:p>
      <w:pPr>
        <w:pStyle w:val="FirstParagraph"/>
      </w:pPr>
      <w:r>
        <w:t xml:space="preserve">Ook bij</w:t>
      </w:r>
      <w:r>
        <w:t xml:space="preserve"> </w:t>
      </w:r>
      <w:r>
        <w:rPr>
          <w:bCs/>
          <w:b/>
        </w:rPr>
        <w:t xml:space="preserve">toepassing door artsen</w:t>
      </w:r>
      <w:r>
        <w:t xml:space="preserve"> </w:t>
      </w:r>
      <w:r>
        <w:t xml:space="preserve">gelden strenge maatstaven. Wie niet-geregistreerde werkzame stoffen toedient, moet uitgebreid voorlichten over de onzekere gegevens en is aansprakelijk bij behandelfouten. Tuchtrechtelijke gevolgen zijn mogelijk.</w:t>
      </w:r>
    </w:p>
    <w:bookmarkEnd w:id="125"/>
    <w:bookmarkStart w:id="126" w:name="de-juridische-situatie-in-één-oogopslag"/>
    <w:p>
      <w:pPr>
        <w:pStyle w:val="Heading3"/>
      </w:pPr>
      <w:r>
        <w:t xml:space="preserve">De juridische situatie in één oogopslag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Situatie</w:t>
            </w:r>
          </w:p>
        </w:tc>
        <w:tc>
          <w:tcPr/>
          <w:p>
            <w:pPr>
              <w:pStyle w:val="Compact"/>
              <w:jc w:val="left"/>
            </w:pPr>
            <w:r>
              <w:t xml:space="preserve">Indeling (vereenvoudigd)</w:t>
            </w:r>
          </w:p>
        </w:tc>
      </w:tr>
      <w:tr>
        <w:tc>
          <w:tcPr/>
          <w:p>
            <w:pPr>
              <w:pStyle w:val="Compact"/>
              <w:jc w:val="left"/>
            </w:pPr>
            <w:r>
              <w:t xml:space="preserve">Geregistreerd peptide op recept uit de apotheek</w:t>
            </w:r>
          </w:p>
        </w:tc>
        <w:tc>
          <w:tcPr/>
          <w:p>
            <w:pPr>
              <w:pStyle w:val="Compact"/>
              <w:jc w:val="left"/>
            </w:pPr>
            <w:r>
              <w:t xml:space="preserve">legaal, medisch begeleid</w:t>
            </w:r>
          </w:p>
        </w:tc>
      </w:tr>
      <w:tr>
        <w:tc>
          <w:tcPr/>
          <w:p>
            <w:pPr>
              <w:pStyle w:val="Compact"/>
              <w:jc w:val="left"/>
            </w:pPr>
            <w:r>
              <w:t xml:space="preserve">Geregistreerd peptide zonder recept van internet</w:t>
            </w:r>
          </w:p>
        </w:tc>
        <w:tc>
          <w:tcPr/>
          <w:p>
            <w:pPr>
              <w:pStyle w:val="Compact"/>
              <w:jc w:val="left"/>
            </w:pPr>
            <w:r>
              <w:t xml:space="preserve">in de regel illegaal, risico op vervalsing</w:t>
            </w:r>
          </w:p>
        </w:tc>
      </w:tr>
      <w:tr>
        <w:tc>
          <w:tcPr/>
          <w:p>
            <w:pPr>
              <w:pStyle w:val="Compact"/>
              <w:jc w:val="left"/>
            </w:pPr>
            <w:r>
              <w:t xml:space="preserve">Niet-geregistreerd peptide als „onderzoekschemicalie”</w:t>
            </w:r>
          </w:p>
        </w:tc>
        <w:tc>
          <w:tcPr/>
          <w:p>
            <w:pPr>
              <w:pStyle w:val="Compact"/>
              <w:jc w:val="left"/>
            </w:pPr>
            <w:r>
              <w:t xml:space="preserve">in de regel niet verhandelbaar geneesmiddel</w:t>
            </w:r>
          </w:p>
        </w:tc>
      </w:tr>
      <w:tr>
        <w:tc>
          <w:tcPr/>
          <w:p>
            <w:pPr>
              <w:pStyle w:val="Compact"/>
              <w:jc w:val="left"/>
            </w:pPr>
            <w:r>
              <w:t xml:space="preserve">Collageenpeptiden als levensmiddel</w:t>
            </w:r>
          </w:p>
        </w:tc>
        <w:tc>
          <w:tcPr/>
          <w:p>
            <w:pPr>
              <w:pStyle w:val="Compact"/>
              <w:jc w:val="left"/>
            </w:pPr>
            <w:r>
              <w:t xml:space="preserve">legaal, reclameclaims beperkt</w:t>
            </w:r>
          </w:p>
        </w:tc>
      </w:tr>
      <w:tr>
        <w:tc>
          <w:tcPr/>
          <w:p>
            <w:pPr>
              <w:pStyle w:val="Compact"/>
              <w:jc w:val="left"/>
            </w:pPr>
            <w:r>
              <w:t xml:space="preserve">Peptidecrème als cosmetica</w:t>
            </w:r>
          </w:p>
        </w:tc>
        <w:tc>
          <w:tcPr/>
          <w:p>
            <w:pPr>
              <w:pStyle w:val="Compact"/>
              <w:jc w:val="left"/>
            </w:pPr>
            <w:r>
              <w:t xml:space="preserve">legaal, mits veilig en niet als geneesmiddel aangeprezen</w:t>
            </w:r>
          </w:p>
        </w:tc>
      </w:tr>
      <w:tr>
        <w:tc>
          <w:tcPr/>
          <w:p>
            <w:pPr>
              <w:pStyle w:val="Compact"/>
              <w:jc w:val="left"/>
            </w:pPr>
            <w:r>
              <w:t xml:space="preserve">Verboden peptide in gecontroleerde sport</w:t>
            </w:r>
          </w:p>
        </w:tc>
        <w:tc>
          <w:tcPr/>
          <w:p>
            <w:pPr>
              <w:pStyle w:val="Compact"/>
              <w:jc w:val="left"/>
            </w:pPr>
            <w:r>
              <w:t xml:space="preserve">dopingovertreding, deels strafbaar</w:t>
            </w:r>
          </w:p>
        </w:tc>
      </w:tr>
    </w:tbl>
    <w:bookmarkEnd w:id="126"/>
    <w:bookmarkStart w:id="127" w:name="het-belangrijkste-in-het-kort-4"/>
    <w:p>
      <w:pPr>
        <w:pStyle w:val="Heading3"/>
      </w:pPr>
      <w:r>
        <w:t xml:space="preserve">Het belangrijkste in het kort</w:t>
      </w:r>
    </w:p>
    <w:p>
      <w:pPr>
        <w:numPr>
          <w:ilvl w:val="0"/>
          <w:numId w:val="1034"/>
        </w:numPr>
        <w:pStyle w:val="Compact"/>
      </w:pPr>
      <w:r>
        <w:t xml:space="preserve">Of een peptide een geneesmiddel, levensmiddel of cosmetica is, hangt af van werking, bestemming en presentatie. Bij farmacologische werking heeft het geneesmiddelenrecht voorrang.</w:t>
      </w:r>
    </w:p>
    <w:p>
      <w:pPr>
        <w:numPr>
          <w:ilvl w:val="0"/>
          <w:numId w:val="1034"/>
        </w:numPr>
        <w:pStyle w:val="Compact"/>
      </w:pPr>
      <w:r>
        <w:t xml:space="preserve">Geneesmiddelen hebben een registratie nodig. De meeste peptidegeneesmiddelen zijn receptplichtig.</w:t>
      </w:r>
    </w:p>
    <w:p>
      <w:pPr>
        <w:numPr>
          <w:ilvl w:val="0"/>
          <w:numId w:val="1034"/>
        </w:numPr>
        <w:pStyle w:val="Compact"/>
      </w:pPr>
      <w:r>
        <w:t xml:space="preserve">De opdruk „alleen voor onderzoeksdoeleinden” maakt de verkoop aan particulieren niet legaal en beschermt hen niet.</w:t>
      </w:r>
    </w:p>
    <w:p>
      <w:pPr>
        <w:numPr>
          <w:ilvl w:val="0"/>
          <w:numId w:val="1034"/>
        </w:numPr>
        <w:pStyle w:val="Compact"/>
      </w:pPr>
      <w:r>
        <w:t xml:space="preserve">Veel peptiden van de grijze markt zijn in de sport verboden, vaak via de rubrieken S0 en S2 van de WADA-lijst.</w:t>
      </w:r>
    </w:p>
    <w:p>
      <w:pPr>
        <w:numPr>
          <w:ilvl w:val="0"/>
          <w:numId w:val="1034"/>
        </w:numPr>
        <w:pStyle w:val="Compact"/>
      </w:pPr>
      <w:r>
        <w:t xml:space="preserve">Bij producten van de grijze markt dragen de gebruikers het risico grotendeels alleen.</w:t>
      </w:r>
    </w:p>
    <w:p>
      <w:pPr>
        <w:pStyle w:val="FirstParagraph"/>
      </w:pPr>
      <w:r>
        <w:t xml:space="preserve">Alle gegevens in dit hoofdstuk: stand 2026, geen juridisch advies, actuele situatie controleren.</w:t>
      </w:r>
    </w:p>
    <w:bookmarkEnd w:id="127"/>
    <w:bookmarkEnd w:id="128"/>
    <w:bookmarkEnd w:id="129"/>
    <w:bookmarkStart w:id="338" w:name="deel-ii-a-stofwisseling-en-gewicht"/>
    <w:p>
      <w:pPr>
        <w:pStyle w:val="Heading1"/>
      </w:pPr>
      <w:r>
        <w:t xml:space="preserve">Deel II · A – Stofwisseling en gewicht</w:t>
      </w:r>
    </w:p>
    <w:p>
      <w:pPr>
        <w:pStyle w:val="FirstParagraph"/>
      </w:pPr>
      <w:r>
        <w:t xml:space="preserve">Geen enkele groep peptiden heeft de geneeskunde van de afgelopen jaren zo veranderd als de werkzame stoffen in dit deel. Ze zijn oorspronkelijk ontwikkeld voor diabetes type 2, werden daarna de werkzaamste afslankmiddelen die er ooit zijn geweest, en worden inmiddels onderzocht bij hartfalen, slaapapneu, leververvetting en nierziekten. Tegelijk wordt nauwelijks een terrein zo sterk door de grijze markt getroffen: werkzame stoffen die nog in studies zitten, worden op internet als „research peptides” verkocht.</w:t>
      </w:r>
    </w:p>
    <w:bookmarkStart w:id="130" w:name="X0d46abd91b4e643d3f43c739e81d5c7b785e092"/>
    <w:p>
      <w:pPr>
        <w:pStyle w:val="Heading3"/>
      </w:pPr>
      <w:r>
        <w:t xml:space="preserve">Wat deze werkzame stoffen verbindt: hormonen uit darm en alvleesklier</w:t>
      </w:r>
    </w:p>
    <w:p>
      <w:pPr>
        <w:pStyle w:val="FirstParagraph"/>
      </w:pPr>
      <w:r>
        <w:t xml:space="preserve">Bijna alle werkzame stoffen in deze groep bootsen hormonen na die het lichaam rond een maaltijd afgeeft. Vier daarvan moet u kennen:</w:t>
      </w:r>
    </w:p>
    <w:p>
      <w:pPr>
        <w:numPr>
          <w:ilvl w:val="0"/>
          <w:numId w:val="1035"/>
        </w:numPr>
        <w:pStyle w:val="Compact"/>
      </w:pPr>
      <w:r>
        <w:rPr>
          <w:bCs/>
          <w:b/>
        </w:rPr>
        <w:t xml:space="preserve">GLP-1 (glucagon-like peptide-1)</w:t>
      </w:r>
      <w:r>
        <w:t xml:space="preserve"> </w:t>
      </w:r>
      <w:r>
        <w:t xml:space="preserve">wordt door cellen in de dunne en dikke darm vrijgegeven zodra er voedsel aankomt. Het versterkt de insulineafgifte – maar alleen als de bloedsuiker verhoogd is –, remt de maaglediging en meldt verzadiging aan de hersenen. Lichaamseigen GLP-1 wordt binnen enkele minuten afgebroken; de geneesmiddelen zijn zo veranderd dat ze een dag tot een week werken.</w:t>
      </w:r>
    </w:p>
    <w:p>
      <w:pPr>
        <w:numPr>
          <w:ilvl w:val="0"/>
          <w:numId w:val="1035"/>
        </w:numPr>
        <w:pStyle w:val="Compact"/>
      </w:pPr>
      <w:r>
        <w:rPr>
          <w:bCs/>
          <w:b/>
        </w:rPr>
        <w:t xml:space="preserve">GIP (glucoseafhankelijk insulinotroop polypeptide)</w:t>
      </w:r>
      <w:r>
        <w:t xml:space="preserve"> </w:t>
      </w:r>
      <w:r>
        <w:t xml:space="preserve">komt uit het bovenste deel van de dunne darm en versterkt eveneens de insulineafgifte. Zijn rol voor eetlust en lichaamsgewicht is tegenstrijdig: tirzepatide activeert de GIP-receptor, maridebart cafraglutide blokkeert hem – en beide leiden tot gewichtsverlies.</w:t>
      </w:r>
    </w:p>
    <w:p>
      <w:pPr>
        <w:numPr>
          <w:ilvl w:val="0"/>
          <w:numId w:val="1035"/>
        </w:numPr>
        <w:pStyle w:val="Compact"/>
      </w:pPr>
      <w:r>
        <w:rPr>
          <w:bCs/>
          <w:b/>
        </w:rPr>
        <w:t xml:space="preserve">Glucagon</w:t>
      </w:r>
      <w:r>
        <w:t xml:space="preserve"> </w:t>
      </w:r>
      <w:r>
        <w:t xml:space="preserve">is het tegenhormoon van insuline uit de alvleesklier. Het verhoogt de bloedsuiker, maar verhoogt ook het energieverbruik en de vetafbraak in de lever. Nieuwere werkzame stoffen benutten gericht deze tweede kant.</w:t>
      </w:r>
    </w:p>
    <w:p>
      <w:pPr>
        <w:numPr>
          <w:ilvl w:val="0"/>
          <w:numId w:val="1035"/>
        </w:numPr>
        <w:pStyle w:val="Compact"/>
      </w:pPr>
      <w:r>
        <w:rPr>
          <w:bCs/>
          <w:b/>
        </w:rPr>
        <w:t xml:space="preserve">Amyline</w:t>
      </w:r>
      <w:r>
        <w:t xml:space="preserve"> </w:t>
      </w:r>
      <w:r>
        <w:t xml:space="preserve">wordt samen met insuline door de bètacellen van de alvleesklier afgegeven. Het werkt in de hersenstam verzadigend en vertraagt de maaglediging.</w:t>
      </w:r>
    </w:p>
    <w:p>
      <w:pPr>
        <w:pStyle w:val="FirstParagraph"/>
      </w:pPr>
      <w:r>
        <w:t xml:space="preserve">GLP-1 en GIP noemt men</w:t>
      </w:r>
      <w:r>
        <w:t xml:space="preserve"> </w:t>
      </w:r>
      <w:r>
        <w:rPr>
          <w:bCs/>
          <w:b/>
        </w:rPr>
        <w:t xml:space="preserve">incretines</w:t>
      </w:r>
      <w:r>
        <w:t xml:space="preserve"> </w:t>
      </w:r>
      <w:r>
        <w:t xml:space="preserve">(afgeleid van het Engelse „INtestinal seCRETion of INsulin”, dus door de darm opgewekte insulineafgifte): ze verklaren waarom suiker die wordt gegeten meer insuline vrijmaakt dan dezelfde hoeveelheid suiker rechtstreeks in de ader. De ontwikkeling laat zich lezen als een reeks stappen: eerst zuivere GLP-1-agonisten, dan combinaties met GIP, glucagon of amyline in één molecuul, ten slotte tabletten die helemaal geen peptiden meer zijn.</w:t>
      </w:r>
    </w:p>
    <w:p>
      <w:pPr>
        <w:pStyle w:val="BodyText"/>
      </w:pPr>
      <w:r>
        <w:t xml:space="preserve">Twee werkzame stoffen uit deze groep passen niet in dit schema:</w:t>
      </w:r>
      <w:r>
        <w:t xml:space="preserve"> </w:t>
      </w:r>
      <w:r>
        <w:rPr>
          <w:bCs/>
          <w:b/>
        </w:rPr>
        <w:t xml:space="preserve">setmelanotide</w:t>
      </w:r>
      <w:r>
        <w:t xml:space="preserve"> </w:t>
      </w:r>
      <w:r>
        <w:t xml:space="preserve">grijpt dieper in de hersenen aan, op de melanocortine-4-receptor, en is alleen bedoeld voor zeldzame genetische vormen van obesitas.</w:t>
      </w:r>
      <w:r>
        <w:t xml:space="preserve"> </w:t>
      </w:r>
      <w:r>
        <w:rPr>
          <w:bCs/>
          <w:b/>
        </w:rPr>
        <w:t xml:space="preserve">AOD-9604</w:t>
      </w:r>
      <w:r>
        <w:t xml:space="preserve"> </w:t>
      </w:r>
      <w:r>
        <w:t xml:space="preserve">is een fragment van groeihormoon dat als „vetverbrander” op de markt wordt gebracht, zonder dat er gepubliceerde studies bij mensen bestaan.</w:t>
      </w:r>
    </w:p>
    <w:bookmarkEnd w:id="130"/>
    <w:bookmarkStart w:id="131" w:name="overzicht"/>
    <w:p>
      <w:pPr>
        <w:pStyle w:val="Heading3"/>
      </w:pPr>
      <w:r>
        <w:t xml:space="preserve">Overzicht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Peptide</w:t>
            </w:r>
          </w:p>
        </w:tc>
        <w:tc>
          <w:tcPr/>
          <w:p>
            <w:pPr>
              <w:pStyle w:val="Compact"/>
              <w:jc w:val="left"/>
            </w:pPr>
            <w:r>
              <w:t xml:space="preserve">Bewijs</w:t>
            </w:r>
          </w:p>
        </w:tc>
        <w:tc>
          <w:tcPr/>
          <w:p>
            <w:pPr>
              <w:pStyle w:val="Compact"/>
              <w:jc w:val="left"/>
            </w:pPr>
            <w:r>
              <w:t xml:space="preserve">Registratie</w:t>
            </w:r>
          </w:p>
        </w:tc>
        <w:tc>
          <w:tcPr/>
          <w:p>
            <w:pPr>
              <w:pStyle w:val="Compact"/>
              <w:jc w:val="left"/>
            </w:pPr>
            <w:r>
              <w:t xml:space="preserve">Kort</w:t>
            </w:r>
          </w:p>
        </w:tc>
      </w:tr>
      <w:tr>
        <w:tc>
          <w:tcPr/>
          <w:p>
            <w:pPr>
              <w:pStyle w:val="Compact"/>
              <w:jc w:val="left"/>
            </w:pPr>
            <w:r>
              <w:t xml:space="preserve">Exenatide</w:t>
            </w:r>
          </w:p>
        </w:tc>
        <w:tc>
          <w:tcPr/>
          <w:p>
            <w:pPr>
              <w:pStyle w:val="Compact"/>
              <w:jc w:val="left"/>
            </w:pPr>
            <w:r>
              <w:t xml:space="preserve">A</w:t>
            </w:r>
          </w:p>
        </w:tc>
        <w:tc>
          <w:tcPr/>
          <w:p>
            <w:pPr>
              <w:pStyle w:val="Compact"/>
              <w:jc w:val="left"/>
            </w:pPr>
            <w:r>
              <w:t xml:space="preserve">EU, VS</w:t>
            </w:r>
          </w:p>
        </w:tc>
        <w:tc>
          <w:tcPr/>
          <w:p>
            <w:pPr>
              <w:pStyle w:val="Compact"/>
              <w:jc w:val="left"/>
            </w:pPr>
            <w:r>
              <w:t xml:space="preserve">eerste GLP-1-agonist, uit hagedissengif</w:t>
            </w:r>
          </w:p>
        </w:tc>
      </w:tr>
      <w:tr>
        <w:tc>
          <w:tcPr/>
          <w:p>
            <w:pPr>
              <w:pStyle w:val="Compact"/>
              <w:jc w:val="left"/>
            </w:pPr>
            <w:r>
              <w:t xml:space="preserve">Liraglutide</w:t>
            </w:r>
          </w:p>
        </w:tc>
        <w:tc>
          <w:tcPr/>
          <w:p>
            <w:pPr>
              <w:pStyle w:val="Compact"/>
              <w:jc w:val="left"/>
            </w:pPr>
            <w:r>
              <w:t xml:space="preserve">A</w:t>
            </w:r>
          </w:p>
        </w:tc>
        <w:tc>
          <w:tcPr/>
          <w:p>
            <w:pPr>
              <w:pStyle w:val="Compact"/>
              <w:jc w:val="left"/>
            </w:pPr>
            <w:r>
              <w:t xml:space="preserve">EU, VS</w:t>
            </w:r>
          </w:p>
        </w:tc>
        <w:tc>
          <w:tcPr/>
          <w:p>
            <w:pPr>
              <w:pStyle w:val="Compact"/>
              <w:jc w:val="left"/>
            </w:pPr>
            <w:r>
              <w:t xml:space="preserve">dagelijkse injectie, generieke middelen</w:t>
            </w:r>
          </w:p>
        </w:tc>
      </w:tr>
      <w:tr>
        <w:tc>
          <w:tcPr/>
          <w:p>
            <w:pPr>
              <w:pStyle w:val="Compact"/>
              <w:jc w:val="left"/>
            </w:pPr>
            <w:r>
              <w:t xml:space="preserve">Dulaglutide</w:t>
            </w:r>
          </w:p>
        </w:tc>
        <w:tc>
          <w:tcPr/>
          <w:p>
            <w:pPr>
              <w:pStyle w:val="Compact"/>
              <w:jc w:val="left"/>
            </w:pPr>
            <w:r>
              <w:t xml:space="preserve">A</w:t>
            </w:r>
          </w:p>
        </w:tc>
        <w:tc>
          <w:tcPr/>
          <w:p>
            <w:pPr>
              <w:pStyle w:val="Compact"/>
              <w:jc w:val="left"/>
            </w:pPr>
            <w:r>
              <w:t xml:space="preserve">EU, VS</w:t>
            </w:r>
          </w:p>
        </w:tc>
        <w:tc>
          <w:tcPr/>
          <w:p>
            <w:pPr>
              <w:pStyle w:val="Compact"/>
              <w:jc w:val="left"/>
            </w:pPr>
            <w:r>
              <w:t xml:space="preserve">wekelijks, antilichaamfusie</w:t>
            </w:r>
          </w:p>
        </w:tc>
      </w:tr>
      <w:tr>
        <w:tc>
          <w:tcPr/>
          <w:p>
            <w:pPr>
              <w:pStyle w:val="Compact"/>
              <w:jc w:val="left"/>
            </w:pPr>
            <w:r>
              <w:t xml:space="preserve">Semaglutide</w:t>
            </w:r>
          </w:p>
        </w:tc>
        <w:tc>
          <w:tcPr/>
          <w:p>
            <w:pPr>
              <w:pStyle w:val="Compact"/>
              <w:jc w:val="left"/>
            </w:pPr>
            <w:r>
              <w:t xml:space="preserve">A</w:t>
            </w:r>
          </w:p>
        </w:tc>
        <w:tc>
          <w:tcPr/>
          <w:p>
            <w:pPr>
              <w:pStyle w:val="Compact"/>
              <w:jc w:val="left"/>
            </w:pPr>
            <w:r>
              <w:t xml:space="preserve">EU, VS</w:t>
            </w:r>
          </w:p>
        </w:tc>
        <w:tc>
          <w:tcPr/>
          <w:p>
            <w:pPr>
              <w:pStyle w:val="Compact"/>
              <w:jc w:val="left"/>
            </w:pPr>
            <w:r>
              <w:t xml:space="preserve">injectie en tablet, hartbescherming aangetoond</w:t>
            </w:r>
          </w:p>
        </w:tc>
      </w:tr>
      <w:tr>
        <w:tc>
          <w:tcPr/>
          <w:p>
            <w:pPr>
              <w:pStyle w:val="Compact"/>
              <w:jc w:val="left"/>
            </w:pPr>
            <w:r>
              <w:t xml:space="preserve">Tirzepatide</w:t>
            </w:r>
          </w:p>
        </w:tc>
        <w:tc>
          <w:tcPr/>
          <w:p>
            <w:pPr>
              <w:pStyle w:val="Compact"/>
              <w:jc w:val="left"/>
            </w:pPr>
            <w:r>
              <w:t xml:space="preserve">A</w:t>
            </w:r>
          </w:p>
        </w:tc>
        <w:tc>
          <w:tcPr/>
          <w:p>
            <w:pPr>
              <w:pStyle w:val="Compact"/>
              <w:jc w:val="left"/>
            </w:pPr>
            <w:r>
              <w:t xml:space="preserve">EU, VS</w:t>
            </w:r>
          </w:p>
        </w:tc>
        <w:tc>
          <w:tcPr/>
          <w:p>
            <w:pPr>
              <w:pStyle w:val="Compact"/>
              <w:jc w:val="left"/>
            </w:pPr>
            <w:r>
              <w:t xml:space="preserve">GIP plus GLP-1, maatstaf in 2026</w:t>
            </w:r>
          </w:p>
        </w:tc>
      </w:tr>
      <w:tr>
        <w:tc>
          <w:tcPr/>
          <w:p>
            <w:pPr>
              <w:pStyle w:val="Compact"/>
              <w:jc w:val="left"/>
            </w:pPr>
            <w:r>
              <w:t xml:space="preserve">Retatrutide</w:t>
            </w:r>
          </w:p>
        </w:tc>
        <w:tc>
          <w:tcPr/>
          <w:p>
            <w:pPr>
              <w:pStyle w:val="Compact"/>
              <w:jc w:val="left"/>
            </w:pPr>
            <w:r>
              <w:t xml:space="preserve">B</w:t>
            </w:r>
          </w:p>
        </w:tc>
        <w:tc>
          <w:tcPr/>
          <w:p>
            <w:pPr>
              <w:pStyle w:val="Compact"/>
              <w:jc w:val="left"/>
            </w:pPr>
            <w:r>
              <w:t xml:space="preserve">nee</w:t>
            </w:r>
          </w:p>
        </w:tc>
        <w:tc>
          <w:tcPr/>
          <w:p>
            <w:pPr>
              <w:pStyle w:val="Compact"/>
              <w:jc w:val="left"/>
            </w:pPr>
            <w:r>
              <w:t xml:space="preserve">GIP, GLP-1 en glucagon</w:t>
            </w:r>
          </w:p>
        </w:tc>
      </w:tr>
      <w:tr>
        <w:tc>
          <w:tcPr/>
          <w:p>
            <w:pPr>
              <w:pStyle w:val="Compact"/>
              <w:jc w:val="left"/>
            </w:pPr>
            <w:r>
              <w:t xml:space="preserve">Survodutide</w:t>
            </w:r>
          </w:p>
        </w:tc>
        <w:tc>
          <w:tcPr/>
          <w:p>
            <w:pPr>
              <w:pStyle w:val="Compact"/>
              <w:jc w:val="left"/>
            </w:pPr>
            <w:r>
              <w:t xml:space="preserve">B</w:t>
            </w:r>
          </w:p>
        </w:tc>
        <w:tc>
          <w:tcPr/>
          <w:p>
            <w:pPr>
              <w:pStyle w:val="Compact"/>
              <w:jc w:val="left"/>
            </w:pPr>
            <w:r>
              <w:t xml:space="preserve">nee</w:t>
            </w:r>
          </w:p>
        </w:tc>
        <w:tc>
          <w:tcPr/>
          <w:p>
            <w:pPr>
              <w:pStyle w:val="Compact"/>
              <w:jc w:val="left"/>
            </w:pPr>
            <w:r>
              <w:t xml:space="preserve">glucagon plus GLP-1, focus op de lever</w:t>
            </w:r>
          </w:p>
        </w:tc>
      </w:tr>
      <w:tr>
        <w:tc>
          <w:tcPr/>
          <w:p>
            <w:pPr>
              <w:pStyle w:val="Compact"/>
              <w:jc w:val="left"/>
            </w:pPr>
            <w:r>
              <w:t xml:space="preserve">Mazdutide</w:t>
            </w:r>
          </w:p>
        </w:tc>
        <w:tc>
          <w:tcPr/>
          <w:p>
            <w:pPr>
              <w:pStyle w:val="Compact"/>
              <w:jc w:val="left"/>
            </w:pPr>
            <w:r>
              <w:t xml:space="preserve">A</w:t>
            </w:r>
          </w:p>
        </w:tc>
        <w:tc>
          <w:tcPr/>
          <w:p>
            <w:pPr>
              <w:pStyle w:val="Compact"/>
              <w:jc w:val="left"/>
            </w:pPr>
            <w:r>
              <w:t xml:space="preserve">alleen China</w:t>
            </w:r>
          </w:p>
        </w:tc>
        <w:tc>
          <w:tcPr/>
          <w:p>
            <w:pPr>
              <w:pStyle w:val="Compact"/>
              <w:jc w:val="left"/>
            </w:pPr>
            <w:r>
              <w:t xml:space="preserve">glucagon plus GLP-1</w:t>
            </w:r>
          </w:p>
        </w:tc>
      </w:tr>
      <w:tr>
        <w:tc>
          <w:tcPr/>
          <w:p>
            <w:pPr>
              <w:pStyle w:val="Compact"/>
              <w:jc w:val="left"/>
            </w:pPr>
            <w:r>
              <w:t xml:space="preserve">Cagrilintide / CagriSema</w:t>
            </w:r>
          </w:p>
        </w:tc>
        <w:tc>
          <w:tcPr/>
          <w:p>
            <w:pPr>
              <w:pStyle w:val="Compact"/>
              <w:jc w:val="left"/>
            </w:pPr>
            <w:r>
              <w:t xml:space="preserve">B</w:t>
            </w:r>
          </w:p>
        </w:tc>
        <w:tc>
          <w:tcPr/>
          <w:p>
            <w:pPr>
              <w:pStyle w:val="Compact"/>
              <w:jc w:val="left"/>
            </w:pPr>
            <w:r>
              <w:t xml:space="preserve">nee</w:t>
            </w:r>
          </w:p>
        </w:tc>
        <w:tc>
          <w:tcPr/>
          <w:p>
            <w:pPr>
              <w:pStyle w:val="Compact"/>
              <w:jc w:val="left"/>
            </w:pPr>
            <w:r>
              <w:t xml:space="preserve">amyline, gecombineerd met semaglutide</w:t>
            </w:r>
          </w:p>
        </w:tc>
      </w:tr>
      <w:tr>
        <w:tc>
          <w:tcPr/>
          <w:p>
            <w:pPr>
              <w:pStyle w:val="Compact"/>
              <w:jc w:val="left"/>
            </w:pPr>
            <w:r>
              <w:t xml:space="preserve">Amycretine (zenagamtide)</w:t>
            </w:r>
          </w:p>
        </w:tc>
        <w:tc>
          <w:tcPr/>
          <w:p>
            <w:pPr>
              <w:pStyle w:val="Compact"/>
              <w:jc w:val="left"/>
            </w:pPr>
            <w:r>
              <w:t xml:space="preserve">B</w:t>
            </w:r>
          </w:p>
        </w:tc>
        <w:tc>
          <w:tcPr/>
          <w:p>
            <w:pPr>
              <w:pStyle w:val="Compact"/>
              <w:jc w:val="left"/>
            </w:pPr>
            <w:r>
              <w:t xml:space="preserve">nee</w:t>
            </w:r>
          </w:p>
        </w:tc>
        <w:tc>
          <w:tcPr/>
          <w:p>
            <w:pPr>
              <w:pStyle w:val="Compact"/>
              <w:jc w:val="left"/>
            </w:pPr>
            <w:r>
              <w:t xml:space="preserve">amyline en GLP-1 in één molecuul</w:t>
            </w:r>
          </w:p>
        </w:tc>
      </w:tr>
      <w:tr>
        <w:tc>
          <w:tcPr/>
          <w:p>
            <w:pPr>
              <w:pStyle w:val="Compact"/>
              <w:jc w:val="left"/>
            </w:pPr>
            <w:r>
              <w:t xml:space="preserve">Maridebart cafraglutide</w:t>
            </w:r>
          </w:p>
        </w:tc>
        <w:tc>
          <w:tcPr/>
          <w:p>
            <w:pPr>
              <w:pStyle w:val="Compact"/>
              <w:jc w:val="left"/>
            </w:pPr>
            <w:r>
              <w:t xml:space="preserve">B</w:t>
            </w:r>
          </w:p>
        </w:tc>
        <w:tc>
          <w:tcPr/>
          <w:p>
            <w:pPr>
              <w:pStyle w:val="Compact"/>
              <w:jc w:val="left"/>
            </w:pPr>
            <w:r>
              <w:t xml:space="preserve">nee</w:t>
            </w:r>
          </w:p>
        </w:tc>
        <w:tc>
          <w:tcPr/>
          <w:p>
            <w:pPr>
              <w:pStyle w:val="Compact"/>
              <w:jc w:val="left"/>
            </w:pPr>
            <w:r>
              <w:t xml:space="preserve">GIP-blokker, maandelijkse toediening</w:t>
            </w:r>
          </w:p>
        </w:tc>
      </w:tr>
      <w:tr>
        <w:tc>
          <w:tcPr/>
          <w:p>
            <w:pPr>
              <w:pStyle w:val="Compact"/>
              <w:jc w:val="left"/>
            </w:pPr>
            <w:r>
              <w:t xml:space="preserve">Pramlintide</w:t>
            </w:r>
          </w:p>
        </w:tc>
        <w:tc>
          <w:tcPr/>
          <w:p>
            <w:pPr>
              <w:pStyle w:val="Compact"/>
              <w:jc w:val="left"/>
            </w:pPr>
            <w:r>
              <w:t xml:space="preserve">A</w:t>
            </w:r>
          </w:p>
        </w:tc>
        <w:tc>
          <w:tcPr/>
          <w:p>
            <w:pPr>
              <w:pStyle w:val="Compact"/>
              <w:jc w:val="left"/>
            </w:pPr>
            <w:r>
              <w:t xml:space="preserve">alleen VS</w:t>
            </w:r>
          </w:p>
        </w:tc>
        <w:tc>
          <w:tcPr/>
          <w:p>
            <w:pPr>
              <w:pStyle w:val="Compact"/>
              <w:jc w:val="left"/>
            </w:pPr>
            <w:r>
              <w:t xml:space="preserve">eerste amylinegeneesmiddel</w:t>
            </w:r>
          </w:p>
        </w:tc>
      </w:tr>
      <w:tr>
        <w:tc>
          <w:tcPr/>
          <w:p>
            <w:pPr>
              <w:pStyle w:val="Compact"/>
              <w:jc w:val="left"/>
            </w:pPr>
            <w:r>
              <w:t xml:space="preserve">Setmelanotide</w:t>
            </w:r>
          </w:p>
        </w:tc>
        <w:tc>
          <w:tcPr/>
          <w:p>
            <w:pPr>
              <w:pStyle w:val="Compact"/>
              <w:jc w:val="left"/>
            </w:pPr>
            <w:r>
              <w:t xml:space="preserve">A</w:t>
            </w:r>
          </w:p>
        </w:tc>
        <w:tc>
          <w:tcPr/>
          <w:p>
            <w:pPr>
              <w:pStyle w:val="Compact"/>
              <w:jc w:val="left"/>
            </w:pPr>
            <w:r>
              <w:t xml:space="preserve">EU, VS</w:t>
            </w:r>
          </w:p>
        </w:tc>
        <w:tc>
          <w:tcPr/>
          <w:p>
            <w:pPr>
              <w:pStyle w:val="Compact"/>
              <w:jc w:val="left"/>
            </w:pPr>
            <w:r>
              <w:t xml:space="preserve">zeldzame genetische obesitas</w:t>
            </w:r>
          </w:p>
        </w:tc>
      </w:tr>
      <w:tr>
        <w:tc>
          <w:tcPr/>
          <w:p>
            <w:pPr>
              <w:pStyle w:val="Compact"/>
              <w:jc w:val="left"/>
            </w:pPr>
            <w:r>
              <w:t xml:space="preserve">AOD-9604</w:t>
            </w:r>
          </w:p>
        </w:tc>
        <w:tc>
          <w:tcPr/>
          <w:p>
            <w:pPr>
              <w:pStyle w:val="Compact"/>
              <w:jc w:val="left"/>
            </w:pPr>
            <w:r>
              <w:t xml:space="preserve">D</w:t>
            </w:r>
          </w:p>
        </w:tc>
        <w:tc>
          <w:tcPr/>
          <w:p>
            <w:pPr>
              <w:pStyle w:val="Compact"/>
              <w:jc w:val="left"/>
            </w:pPr>
            <w:r>
              <w:t xml:space="preserve">nee</w:t>
            </w:r>
          </w:p>
        </w:tc>
        <w:tc>
          <w:tcPr/>
          <w:p>
            <w:pPr>
              <w:pStyle w:val="Compact"/>
              <w:jc w:val="left"/>
            </w:pPr>
            <w:r>
              <w:t xml:space="preserve">groeihormoonfragment, grijze markt</w:t>
            </w:r>
          </w:p>
        </w:tc>
      </w:tr>
      <w:tr>
        <w:tc>
          <w:tcPr/>
          <w:p>
            <w:pPr>
              <w:pStyle w:val="Compact"/>
              <w:jc w:val="left"/>
            </w:pPr>
            <w:r>
              <w:t xml:space="preserve">Orforglipron</w:t>
            </w:r>
          </w:p>
        </w:tc>
        <w:tc>
          <w:tcPr/>
          <w:p>
            <w:pPr>
              <w:pStyle w:val="Compact"/>
              <w:jc w:val="left"/>
            </w:pPr>
            <w:r>
              <w:t xml:space="preserve">A</w:t>
            </w:r>
          </w:p>
        </w:tc>
        <w:tc>
          <w:tcPr/>
          <w:p>
            <w:pPr>
              <w:pStyle w:val="Compact"/>
              <w:jc w:val="left"/>
            </w:pPr>
            <w:r>
              <w:t xml:space="preserve">open</w:t>
            </w:r>
          </w:p>
        </w:tc>
        <w:tc>
          <w:tcPr/>
          <w:p>
            <w:pPr>
              <w:pStyle w:val="Compact"/>
              <w:jc w:val="left"/>
            </w:pPr>
            <w:r>
              <w:t xml:space="preserve">geen peptide, tablet (vergelijking)</w:t>
            </w:r>
          </w:p>
        </w:tc>
      </w:tr>
    </w:tbl>
    <w:p>
      <w:pPr>
        <w:pStyle w:val="BodyText"/>
      </w:pPr>
      <w:r>
        <w:t xml:space="preserve">De bewijsniveaus worden in deel I uitgelegd. Registratiegegevens hebben betrekking op de stand van oktober 2026 en op ten minste één toepassingsgebied; details staan in het betreffende hoofdstuk. Controleer de actuele stand van zaken, want juist in deze groep veranderen registraties snel.</w:t>
      </w:r>
    </w:p>
    <w:bookmarkEnd w:id="131"/>
    <w:bookmarkStart w:id="132" w:name="leeswijzer"/>
    <w:p>
      <w:pPr>
        <w:pStyle w:val="Heading3"/>
      </w:pPr>
      <w:r>
        <w:t xml:space="preserve">Leeswijzer</w:t>
      </w:r>
    </w:p>
    <w:p>
      <w:pPr>
        <w:pStyle w:val="FirstParagraph"/>
      </w:pPr>
      <w:r>
        <w:t xml:space="preserve">De hoofdstukken volgen grofweg de historische ontwikkeling: van de gevestigde GLP-1-agonisten (exenatide tot semaglutide) via de combinatiemiddelen (tirzepatide tot maridebart cafraglutide) naar de bijzondere gevallen (pramlintide, setmelanotide, AOD-9604) en ten slotte naar orforglipron, dat als niet-peptide ter vergelijking is opgenomen.</w:t>
      </w:r>
    </w:p>
    <w:p>
      <w:pPr>
        <w:pStyle w:val="BodyText"/>
      </w:pPr>
      <w:r>
        <w:t xml:space="preserve">Wie snel een overzicht wil, begint met semaglutide en tirzepatide – daaraan worden alle andere gemeten. De directe vergelijkingen van gewichtsverlies, bloedsuikerverlaging, cardiovasculaire uitkomsten en bijwerkingen over alle werkzame stoffen heen vindt u in deel III. Klasserisico’s zoals problemen met galblaas en alvleesklier, spierverlies en vragen over de schildklier behandelt deel IV uitgebreid.</w:t>
      </w:r>
    </w:p>
    <w:p>
      <w:pPr>
        <w:pStyle w:val="BodyText"/>
      </w:pPr>
      <w:r>
        <w:t xml:space="preserve">Twee principes gelden voor de hele groep: ten eerste beschrijven de hoofdstukken studieresultaten, geen behandelinstructies – voor geregistreerde geneesmiddelen zijn de productinformatie en de begeleiding door een arts bepalend. Ten tweede komt bij bijna alle werkzame stoffen een groot deel van het verloren gewicht terug wanneer de behandeling stopt. Deze geneesmiddelen werken zolang ze worden gebruikt; ze zijn geen kuur.</w:t>
      </w:r>
    </w:p>
    <w:bookmarkEnd w:id="132"/>
    <w:bookmarkStart w:id="148" w:name="exenatide"/>
    <w:p>
      <w:pPr>
        <w:pStyle w:val="Heading2"/>
      </w:pPr>
      <w:r>
        <w:t xml:space="preserve">Exenatide</w:t>
      </w:r>
    </w:p>
    <w:bookmarkStart w:id="133" w:name="profiel"/>
    <w:p>
      <w:pPr>
        <w:pStyle w:val="Heading3"/>
      </w:pPr>
      <w:r>
        <w:t xml:space="preserve">Profiel</w:t>
      </w:r>
    </w:p>
    <w:p>
      <w:pPr>
        <w:numPr>
          <w:ilvl w:val="0"/>
          <w:numId w:val="1036"/>
        </w:numPr>
        <w:pStyle w:val="Compact"/>
      </w:pPr>
      <w:r>
        <w:rPr>
          <w:bCs/>
          <w:b/>
        </w:rPr>
        <w:t xml:space="preserve">Soort/structuur:</w:t>
      </w:r>
      <w:r>
        <w:t xml:space="preserve"> </w:t>
      </w:r>
      <w:r>
        <w:t xml:space="preserve">peptide van 39 aminozuren, synthetisch geproduceerde vorm van exendine-4. Ongeveer de helft van de sequentie komt overeen met het menselijke darmhormoon GLP-1.</w:t>
      </w:r>
    </w:p>
    <w:p>
      <w:pPr>
        <w:numPr>
          <w:ilvl w:val="0"/>
          <w:numId w:val="1036"/>
        </w:numPr>
        <w:pStyle w:val="Compact"/>
      </w:pPr>
      <w:r>
        <w:rPr>
          <w:bCs/>
          <w:b/>
        </w:rPr>
        <w:t xml:space="preserve">Herkomst:</w:t>
      </w:r>
      <w:r>
        <w:t xml:space="preserve"> </w:t>
      </w:r>
      <w:r>
        <w:t xml:space="preserve">exendine-4 werd in 1992 geïsoleerd uit het gif van het gilamonster (</w:t>
      </w:r>
      <w:r>
        <w:rPr>
          <w:iCs/>
          <w:i/>
        </w:rPr>
        <w:t xml:space="preserve">Heloderma suspectum</w:t>
      </w:r>
      <w:r>
        <w:t xml:space="preserve">) (Eng 1992, PMID 1313797).</w:t>
      </w:r>
    </w:p>
    <w:p>
      <w:pPr>
        <w:numPr>
          <w:ilvl w:val="0"/>
          <w:numId w:val="1036"/>
        </w:numPr>
        <w:pStyle w:val="Compact"/>
      </w:pPr>
      <w:r>
        <w:rPr>
          <w:bCs/>
          <w:b/>
        </w:rPr>
        <w:t xml:space="preserve">Werkingsprincipe:</w:t>
      </w:r>
      <w:r>
        <w:t xml:space="preserve"> </w:t>
      </w:r>
      <w:r>
        <w:t xml:space="preserve">GLP-1-receptoragonist. Exenatide bootst het verzadigings- en incretinehormoon GLP-1 na, maar wordt duidelijk langzamer afgebroken.</w:t>
      </w:r>
    </w:p>
    <w:p>
      <w:pPr>
        <w:numPr>
          <w:ilvl w:val="0"/>
          <w:numId w:val="1036"/>
        </w:numPr>
        <w:pStyle w:val="Compact"/>
      </w:pPr>
      <w:r>
        <w:rPr>
          <w:bCs/>
          <w:b/>
        </w:rPr>
        <w:t xml:space="preserve">Toedieningsvormen:</w:t>
      </w:r>
      <w:r>
        <w:t xml:space="preserve"> </w:t>
      </w:r>
      <w:r>
        <w:t xml:space="preserve">twee keer per dag (Byetta) en eenmaal per week als depot met microbolletjes (Bydureon, later als voorgevulde pen of auto-injector). In studies daarnaast: pompimplantaat (ITCA 650) en gepegyleerde varianten (PB-119, NLY01).</w:t>
      </w:r>
    </w:p>
    <w:p>
      <w:pPr>
        <w:numPr>
          <w:ilvl w:val="0"/>
          <w:numId w:val="1036"/>
        </w:numPr>
        <w:pStyle w:val="Compact"/>
      </w:pPr>
      <w:r>
        <w:rPr>
          <w:bCs/>
          <w:b/>
        </w:rPr>
        <w:t xml:space="preserve">Registratie EU:</w:t>
      </w:r>
      <w:r>
        <w:t xml:space="preserve"> </w:t>
      </w:r>
      <w:r>
        <w:t xml:space="preserve">ja, voor de behandeling van diabetes type 2 (Byetta, Bydureon). Geen registratie voor gewichtsvermindering.</w:t>
      </w:r>
    </w:p>
    <w:p>
      <w:pPr>
        <w:numPr>
          <w:ilvl w:val="0"/>
          <w:numId w:val="1036"/>
        </w:numPr>
        <w:pStyle w:val="Compact"/>
      </w:pPr>
      <w:r>
        <w:rPr>
          <w:bCs/>
          <w:b/>
        </w:rPr>
        <w:t xml:space="preserve">Registratie VS:</w:t>
      </w:r>
      <w:r>
        <w:t xml:space="preserve"> </w:t>
      </w:r>
      <w:r>
        <w:t xml:space="preserve">ja, diabetes type 2 (Byetta in 2005 als allereerste GLP-1-receptoragonist, Bydureon/Bydureon BCise), de weekvorm ook voor jongeren vanaf 10 jaar. Inmiddels zijn daar ook generieke versies van de tweemaal-daagse vorm. De beschikbaarheid van afzonderlijke preparaten wisselt – actuele situatie controleren.</w:t>
      </w:r>
    </w:p>
    <w:p>
      <w:pPr>
        <w:numPr>
          <w:ilvl w:val="0"/>
          <w:numId w:val="1036"/>
        </w:numPr>
        <w:pStyle w:val="Compact"/>
      </w:pPr>
      <w:r>
        <w:rPr>
          <w:bCs/>
          <w:b/>
        </w:rPr>
        <w:t xml:space="preserve">WADA:</w:t>
      </w:r>
      <w:r>
        <w:t xml:space="preserve"> </w:t>
      </w:r>
      <w:r>
        <w:t xml:space="preserve">niet vermeld (stand 2026, actuele situatie controleren).</w:t>
      </w:r>
    </w:p>
    <w:p>
      <w:pPr>
        <w:numPr>
          <w:ilvl w:val="0"/>
          <w:numId w:val="1036"/>
        </w:numPr>
        <w:pStyle w:val="Compact"/>
      </w:pPr>
      <w:r>
        <w:rPr>
          <w:bCs/>
          <w:b/>
        </w:rPr>
        <w:t xml:space="preserve">Bewijsniveau:</w:t>
      </w:r>
      <w:r>
        <w:t xml:space="preserve"> </w:t>
      </w:r>
      <w:r>
        <w:rPr>
          <w:bCs/>
          <w:b/>
        </w:rPr>
        <w:t xml:space="preserve">A</w:t>
      </w:r>
      <w:r>
        <w:t xml:space="preserve"> </w:t>
      </w:r>
      <w:r>
        <w:t xml:space="preserve">– talrijke grote gerandomiseerde studies, een grote cardiovasculaire uitkomststudie, geregistreerd sinds 2005.</w:t>
      </w:r>
    </w:p>
    <w:bookmarkEnd w:id="133"/>
    <w:bookmarkStart w:id="134" w:name="hoe-het-zou-moeten-werken"/>
    <w:p>
      <w:pPr>
        <w:pStyle w:val="Heading3"/>
      </w:pPr>
      <w:r>
        <w:t xml:space="preserve">Hoe het zou moeten werken</w:t>
      </w:r>
    </w:p>
    <w:p>
      <w:pPr>
        <w:pStyle w:val="FirstParagraph"/>
      </w:pPr>
      <w:r>
        <w:t xml:space="preserve">Na een maaltijd geeft de darm het hormoon GLP-1 (glucagon-like peptide-1) af. Het geeft de alvleesklier het signaal meer insuline vrij te maken – maar alleen zolang de bloedsuiker verhoogd is. Tegelijk remt het het hormoon glucagon, dat de bloedsuiker verhoogt, vertraagt het de maaglediging en werkt het in de hersenen op centra die honger en verzadiging sturen. Omdat de insulineafgifte suikerafhankelijk is, veroorzaken GLP-1-receptoragonisten op zichzelf zelden hypoglykemieën.</w:t>
      </w:r>
    </w:p>
    <w:p>
      <w:pPr>
        <w:pStyle w:val="BodyText"/>
      </w:pPr>
      <w:r>
        <w:t xml:space="preserve">Lichaamseigen GLP-1 heeft echter een beslissend nadeel: het enzym DPP-4 breekt het binnen ongeveer twee minuten af. Als geneesmiddel is het daarom onbruikbaar. Exendine-4 uit het hagedissengif bindt eveneens aan de GLP-1-receptor, maar is grotendeels ongevoelig voor DPP-4. Deze toevallige ontdekking maakte exenatide tot de eerste vertegenwoordiger van een klasse werkzame stoffen die twee decennia later met semaglutide en tirzepatide de geneeskunde zou veranderen.</w:t>
      </w:r>
    </w:p>
    <w:p>
      <w:pPr>
        <w:pStyle w:val="BodyText"/>
      </w:pPr>
      <w:r>
        <w:t xml:space="preserve">De oorspronkelijke vorm werkt maar enkele uren en moet daarom twee keer per dag vóór de hoofdmaaltijden worden geïnjecteerd. Ze verlaagt vooral de stijging van de bloedsuiker na het eten, onder meer omdat ze de maaglediging duidelijk vertraagt. De weekvorm verpakt dezelfde werkzame stof in afbreekbare kunststof microbolletjes (PLGA), waaruit ze langzaam vrijkomt. Daardoor blijft de spiegel constanter; het effect op de nuchtere glucose wordt sterker, dat op de maaglediging neemt na verloop van tijd wat af.</w:t>
      </w:r>
    </w:p>
    <w:p>
      <w:pPr>
        <w:pStyle w:val="BodyText"/>
      </w:pPr>
      <w:r>
        <w:t xml:space="preserve">Een belangrijk verschil met de latere werkzame stoffen: exenatide lijkt maar voor ongeveer de helft op het menselijke GLP-1. Het immuunsysteem herkent het daarom vaker als lichaamsvreemd en vormt antilichamen. Bij de meeste behandelden heeft dat geen gevolgen; bij een klein deel met hoge antilichaamspiegels kan de werking afnemen.</w:t>
      </w:r>
    </w:p>
    <w:bookmarkEnd w:id="134"/>
    <w:bookmarkStart w:id="142" w:name="studies-bij-mensen"/>
    <w:p>
      <w:pPr>
        <w:pStyle w:val="Heading3"/>
      </w:pPr>
      <w:r>
        <w:t xml:space="preserve">Studies bij mensen</w:t>
      </w:r>
    </w:p>
    <w:p>
      <w:pPr>
        <w:pStyle w:val="FirstParagraph"/>
      </w:pPr>
      <w:r>
        <w:t xml:space="preserve">Het onderzoek naar exenatide is omvangrijk. De voor dit boek geanalyseerde PubMed-zoekopdracht (zoekterm „exenatide” in titel of abstract, zoekdatum oktober 2026) leverde 437 studies bij mensen op; op ClinicalTrials.gov staan 379 registraties met exenatide. Veel daarvan zijn kleine mechanisme- of combinatiestudies. Voor de beoordeling zijn vooral drie groepen van belang: de registratieprogramma’s AMIGO (tweemaal-daagse vorm) en DURATION (weekvorm), de cardiovasculaire uitkomststudie EXSCEL en een reeks studies buiten diabetes, in het bijzonder bij de ziekte van Parkinson.</w:t>
      </w:r>
    </w:p>
    <w:bookmarkStart w:id="135" w:name="de-amigo-studies-de-start-van-de-klasse"/>
    <w:p>
      <w:pPr>
        <w:pStyle w:val="Heading4"/>
      </w:pPr>
      <w:r>
        <w:t xml:space="preserve">De AMIGO-studies: de start van de klasse</w:t>
      </w:r>
    </w:p>
    <w:p>
      <w:pPr>
        <w:pStyle w:val="FirstParagraph"/>
      </w:pPr>
      <w:r>
        <w:t xml:space="preserve">Drie placebogecontroleerde studies van elk 30 weken vormden de basis van de eerste registratie. Ze testten exenatide twee keer per dag (5 of 10 microgram per toediening) als aanvulling op bestaande tabletten.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Deelnemers en opzet</w:t>
            </w:r>
          </w:p>
        </w:tc>
        <w:tc>
          <w:tcPr/>
          <w:p>
            <w:pPr>
              <w:pStyle w:val="Compact"/>
              <w:jc w:val="left"/>
            </w:pPr>
            <w:r>
              <w:t xml:space="preserve">Duur</w:t>
            </w:r>
          </w:p>
        </w:tc>
        <w:tc>
          <w:tcPr/>
          <w:p>
            <w:pPr>
              <w:pStyle w:val="Compact"/>
              <w:jc w:val="left"/>
            </w:pPr>
            <w:r>
              <w:t xml:space="preserve">Resultaat (10-µg-arm vs. placebo)</w:t>
            </w:r>
          </w:p>
        </w:tc>
      </w:tr>
      <w:tr>
        <w:tc>
          <w:tcPr/>
          <w:p>
            <w:pPr>
              <w:pStyle w:val="Compact"/>
              <w:jc w:val="left"/>
            </w:pPr>
            <w:r>
              <w:t xml:space="preserve">Buse 2004, PMID 15504997</w:t>
            </w:r>
          </w:p>
        </w:tc>
        <w:tc>
          <w:tcPr/>
          <w:p>
            <w:pPr>
              <w:pStyle w:val="Compact"/>
              <w:jc w:val="left"/>
            </w:pPr>
            <w:r>
              <w:t xml:space="preserve">diabetes type 2 met sulfonylureumderivaat, RCT tegen placebo</w:t>
            </w:r>
          </w:p>
        </w:tc>
        <w:tc>
          <w:tcPr/>
          <w:p>
            <w:pPr>
              <w:pStyle w:val="Compact"/>
              <w:jc w:val="left"/>
            </w:pPr>
            <w:r>
              <w:t xml:space="preserve">30 weken</w:t>
            </w:r>
          </w:p>
        </w:tc>
        <w:tc>
          <w:tcPr/>
          <w:p>
            <w:pPr>
              <w:pStyle w:val="Compact"/>
              <w:jc w:val="left"/>
            </w:pPr>
            <w:r>
              <w:t xml:space="preserve">HbA1c −0,86 vs. +0,12 procentpunt; gewicht −1,6 kg</w:t>
            </w:r>
          </w:p>
        </w:tc>
      </w:tr>
      <w:tr>
        <w:tc>
          <w:tcPr/>
          <w:p>
            <w:pPr>
              <w:pStyle w:val="Compact"/>
              <w:jc w:val="left"/>
            </w:pPr>
            <w:r>
              <w:t xml:space="preserve">DeFronzo 2005, PMID 15855572</w:t>
            </w:r>
          </w:p>
        </w:tc>
        <w:tc>
          <w:tcPr/>
          <w:p>
            <w:pPr>
              <w:pStyle w:val="Compact"/>
              <w:jc w:val="left"/>
            </w:pPr>
            <w:r>
              <w:t xml:space="preserve">diabetes type 2 met metformine, RCT tegen placebo</w:t>
            </w:r>
          </w:p>
        </w:tc>
        <w:tc>
          <w:tcPr/>
          <w:p>
            <w:pPr>
              <w:pStyle w:val="Compact"/>
              <w:jc w:val="left"/>
            </w:pPr>
            <w:r>
              <w:t xml:space="preserve">30 weken</w:t>
            </w:r>
          </w:p>
        </w:tc>
        <w:tc>
          <w:tcPr/>
          <w:p>
            <w:pPr>
              <w:pStyle w:val="Compact"/>
              <w:jc w:val="left"/>
            </w:pPr>
            <w:r>
              <w:t xml:space="preserve">HbA1c −0,78 vs. +0,08; gewicht −2,8 kg; 46% vs. 13% bereikte HbA1c ≤ 7%</w:t>
            </w:r>
          </w:p>
        </w:tc>
      </w:tr>
      <w:tr>
        <w:tc>
          <w:tcPr/>
          <w:p>
            <w:pPr>
              <w:pStyle w:val="Compact"/>
              <w:jc w:val="left"/>
            </w:pPr>
            <w:r>
              <w:t xml:space="preserve">Kendall 2005, PMID 15855571</w:t>
            </w:r>
          </w:p>
        </w:tc>
        <w:tc>
          <w:tcPr/>
          <w:p>
            <w:pPr>
              <w:pStyle w:val="Compact"/>
              <w:jc w:val="left"/>
            </w:pPr>
            <w:r>
              <w:t xml:space="preserve">diabetes type 2 met metformine plus sulfonylureumderivaat, RCT</w:t>
            </w:r>
          </w:p>
        </w:tc>
        <w:tc>
          <w:tcPr/>
          <w:p>
            <w:pPr>
              <w:pStyle w:val="Compact"/>
              <w:jc w:val="left"/>
            </w:pPr>
            <w:r>
              <w:t xml:space="preserve">30 weken</w:t>
            </w:r>
          </w:p>
        </w:tc>
        <w:tc>
          <w:tcPr/>
          <w:p>
            <w:pPr>
              <w:pStyle w:val="Compact"/>
              <w:jc w:val="left"/>
            </w:pPr>
            <w:r>
              <w:t xml:space="preserve">HbA1c −0,8 vs. +0,2; lichte hypoglykemieën 28% vs. 13%</w:t>
            </w:r>
          </w:p>
        </w:tc>
      </w:tr>
      <w:tr>
        <w:tc>
          <w:tcPr/>
          <w:p>
            <w:pPr>
              <w:pStyle w:val="Compact"/>
              <w:jc w:val="left"/>
            </w:pPr>
            <w:r>
              <w:t xml:space="preserve">Heine 2005, PMID 16230722</w:t>
            </w:r>
          </w:p>
        </w:tc>
        <w:tc>
          <w:tcPr/>
          <w:p>
            <w:pPr>
              <w:pStyle w:val="Compact"/>
              <w:jc w:val="left"/>
            </w:pPr>
            <w:r>
              <w:t xml:space="preserve">551 personen, open vergelijking met insuline glargine</w:t>
            </w:r>
          </w:p>
        </w:tc>
        <w:tc>
          <w:tcPr/>
          <w:p>
            <w:pPr>
              <w:pStyle w:val="Compact"/>
              <w:jc w:val="left"/>
            </w:pPr>
            <w:r>
              <w:t xml:space="preserve">26 weken</w:t>
            </w:r>
          </w:p>
        </w:tc>
        <w:tc>
          <w:tcPr/>
          <w:p>
            <w:pPr>
              <w:pStyle w:val="Compact"/>
              <w:jc w:val="left"/>
            </w:pPr>
            <w:r>
              <w:t xml:space="preserve">HbA1c telkens −1,11; gewicht −2,3 kg vs. +1,8 kg</w:t>
            </w:r>
          </w:p>
        </w:tc>
      </w:tr>
    </w:tbl>
    <w:p>
      <w:pPr>
        <w:pStyle w:val="BodyText"/>
      </w:pPr>
      <w:r>
        <w:t xml:space="preserve">De HbA1c-waarde (langetermijnsuiker) beschrijft het aandeel „versuikerde” rode bloedkleurstof en weerspiegelt de bloedsuiker van de afgelopen twee tot drie maanden. Een daling met 0,8 tot 1 procentpunt gold destijds als klinisch betekenisvol. Nieuw was dat het gewicht niet steeg, zoals bij insuline of sulfonylureumderivaten gebruikelijk, maar daalde. De studie van Kendall laat echter ook zien: in combinatie met een sulfonylureumderivaat, dat onafhankelijk van de bloedsuiker insuline vrijmaakt, namen lichte hypoglykemieën toe.</w:t>
      </w:r>
    </w:p>
    <w:p>
      <w:pPr>
        <w:pStyle w:val="BodyText"/>
      </w:pPr>
      <w:r>
        <w:t xml:space="preserve">In de directe vergelijking met insuline glargine (Heine 2005, PMID 16230722) verlaagden beide behandelingen de HbA1c even sterk. Het gewichtsverschil bedroeg 4,1 kg in het voordeel van exenatide, nachtelijke hypoglykemieën waren zeldzamer (0,9 vs. 2,4 voorvallen per patiëntjaar). De prijs: misselijkheid trad op bij 57,1% tegenover 8,6%, braken bij 17,4% tegenover 3,7%. 19,4% van de exenatidegroep stopte met de studie, tegenover 9,7% met insuline.</w:t>
      </w:r>
    </w:p>
    <w:bookmarkEnd w:id="135"/>
    <w:bookmarkStart w:id="136" w:name="het-duration-programma-eenmaal-per-week"/>
    <w:p>
      <w:pPr>
        <w:pStyle w:val="Heading4"/>
      </w:pPr>
      <w:r>
        <w:t xml:space="preserve">Het DURATION-programma: eenmaal per week</w:t>
      </w:r>
    </w:p>
    <w:p>
      <w:pPr>
        <w:pStyle w:val="FirstParagraph"/>
      </w:pPr>
      <w:r>
        <w:t xml:space="preserve">De weekvorm werd getest in een reeks studies met de naam DURATION – tegen de tweemaal-daagse vorm, tegen tabletten, tegen insuline en tegen liraglutide.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Deelnemers en opzet</w:t>
            </w:r>
          </w:p>
        </w:tc>
        <w:tc>
          <w:tcPr/>
          <w:p>
            <w:pPr>
              <w:pStyle w:val="Compact"/>
              <w:jc w:val="left"/>
            </w:pPr>
            <w:r>
              <w:t xml:space="preserve">Duur</w:t>
            </w:r>
          </w:p>
        </w:tc>
        <w:tc>
          <w:tcPr/>
          <w:p>
            <w:pPr>
              <w:pStyle w:val="Compact"/>
              <w:jc w:val="left"/>
            </w:pPr>
            <w:r>
              <w:t xml:space="preserve">Resultaat</w:t>
            </w:r>
          </w:p>
        </w:tc>
      </w:tr>
      <w:tr>
        <w:tc>
          <w:tcPr/>
          <w:p>
            <w:pPr>
              <w:pStyle w:val="Compact"/>
              <w:jc w:val="left"/>
            </w:pPr>
            <w:r>
              <w:t xml:space="preserve">DURATION-1 (Drucker 2008), PMID 18782641</w:t>
            </w:r>
          </w:p>
        </w:tc>
        <w:tc>
          <w:tcPr/>
          <w:p>
            <w:pPr>
              <w:pStyle w:val="Compact"/>
              <w:jc w:val="left"/>
            </w:pPr>
            <w:r>
              <w:t xml:space="preserve">295 personen, open: exenatide wekelijks vs. twee keer per dag</w:t>
            </w:r>
          </w:p>
        </w:tc>
        <w:tc>
          <w:tcPr/>
          <w:p>
            <w:pPr>
              <w:pStyle w:val="Compact"/>
              <w:jc w:val="left"/>
            </w:pPr>
            <w:r>
              <w:t xml:space="preserve">30 weken</w:t>
            </w:r>
          </w:p>
        </w:tc>
        <w:tc>
          <w:tcPr/>
          <w:p>
            <w:pPr>
              <w:pStyle w:val="Compact"/>
              <w:jc w:val="left"/>
            </w:pPr>
            <w:r>
              <w:t xml:space="preserve">HbA1c −1,9 vs. −1,5; streefwaarde ≤ 7% bij 77% vs. 61%</w:t>
            </w:r>
          </w:p>
        </w:tc>
      </w:tr>
      <w:tr>
        <w:tc>
          <w:tcPr/>
          <w:p>
            <w:pPr>
              <w:pStyle w:val="Compact"/>
              <w:jc w:val="left"/>
            </w:pPr>
            <w:r>
              <w:t xml:space="preserve">DURATION-1, 5-jaarsgegevens (Wysham 2015), PMID 25744115</w:t>
            </w:r>
          </w:p>
        </w:tc>
        <w:tc>
          <w:tcPr/>
          <w:p>
            <w:pPr>
              <w:pStyle w:val="Compact"/>
              <w:jc w:val="left"/>
            </w:pPr>
            <w:r>
              <w:t xml:space="preserve">258 personen in de verlenging, 153 bleven 5 jaar</w:t>
            </w:r>
          </w:p>
        </w:tc>
        <w:tc>
          <w:tcPr/>
          <w:p>
            <w:pPr>
              <w:pStyle w:val="Compact"/>
              <w:jc w:val="left"/>
            </w:pPr>
            <w:r>
              <w:t xml:space="preserve">5 jaar</w:t>
            </w:r>
          </w:p>
        </w:tc>
        <w:tc>
          <w:tcPr/>
          <w:p>
            <w:pPr>
              <w:pStyle w:val="Compact"/>
              <w:jc w:val="left"/>
            </w:pPr>
            <w:r>
              <w:t xml:space="preserve">HbA1c nog steeds −1,6; gewicht −3,0 kg</w:t>
            </w:r>
          </w:p>
        </w:tc>
      </w:tr>
      <w:tr>
        <w:tc>
          <w:tcPr/>
          <w:p>
            <w:pPr>
              <w:pStyle w:val="Compact"/>
              <w:jc w:val="left"/>
            </w:pPr>
            <w:r>
              <w:t xml:space="preserve">DURATION-2 (Bergenstal 2010), PMID 20580422</w:t>
            </w:r>
          </w:p>
        </w:tc>
        <w:tc>
          <w:tcPr/>
          <w:p>
            <w:pPr>
              <w:pStyle w:val="Compact"/>
              <w:jc w:val="left"/>
            </w:pPr>
            <w:r>
              <w:t xml:space="preserve">514 personen met metformine, vs. sitagliptine of pioglitazon</w:t>
            </w:r>
          </w:p>
        </w:tc>
        <w:tc>
          <w:tcPr/>
          <w:p>
            <w:pPr>
              <w:pStyle w:val="Compact"/>
              <w:jc w:val="left"/>
            </w:pPr>
            <w:r>
              <w:t xml:space="preserve">26 weken</w:t>
            </w:r>
          </w:p>
        </w:tc>
        <w:tc>
          <w:tcPr/>
          <w:p>
            <w:pPr>
              <w:pStyle w:val="Compact"/>
              <w:jc w:val="left"/>
            </w:pPr>
            <w:r>
              <w:t xml:space="preserve">HbA1c −1,5 vs. −0,9 resp. −1,2; gewicht −2,3 kg</w:t>
            </w:r>
          </w:p>
        </w:tc>
      </w:tr>
      <w:tr>
        <w:tc>
          <w:tcPr/>
          <w:p>
            <w:pPr>
              <w:pStyle w:val="Compact"/>
              <w:jc w:val="left"/>
            </w:pPr>
            <w:r>
              <w:t xml:space="preserve">DURATION-3 (Diamant 2010), PMID 20609969</w:t>
            </w:r>
          </w:p>
        </w:tc>
        <w:tc>
          <w:tcPr/>
          <w:p>
            <w:pPr>
              <w:pStyle w:val="Compact"/>
              <w:jc w:val="left"/>
            </w:pPr>
            <w:r>
              <w:t xml:space="preserve">456 personen, open vs. insuline glargine</w:t>
            </w:r>
          </w:p>
        </w:tc>
        <w:tc>
          <w:tcPr/>
          <w:p>
            <w:pPr>
              <w:pStyle w:val="Compact"/>
              <w:jc w:val="left"/>
            </w:pPr>
            <w:r>
              <w:t xml:space="preserve">26 weken</w:t>
            </w:r>
          </w:p>
        </w:tc>
        <w:tc>
          <w:tcPr/>
          <w:p>
            <w:pPr>
              <w:pStyle w:val="Compact"/>
              <w:jc w:val="left"/>
            </w:pPr>
            <w:r>
              <w:t xml:space="preserve">HbA1c −1,5 vs. −1,3; stoppen wegens bijwerkingen 5% vs. 1%</w:t>
            </w:r>
          </w:p>
        </w:tc>
      </w:tr>
      <w:tr>
        <w:tc>
          <w:tcPr/>
          <w:p>
            <w:pPr>
              <w:pStyle w:val="Compact"/>
              <w:jc w:val="left"/>
            </w:pPr>
            <w:r>
              <w:t xml:space="preserve">DURATION-6 (Buse 2013), PMID 23141817</w:t>
            </w:r>
          </w:p>
        </w:tc>
        <w:tc>
          <w:tcPr/>
          <w:p>
            <w:pPr>
              <w:pStyle w:val="Compact"/>
              <w:jc w:val="left"/>
            </w:pPr>
            <w:r>
              <w:t xml:space="preserve">911 personen, open vs. liraglutide dagelijks</w:t>
            </w:r>
          </w:p>
        </w:tc>
        <w:tc>
          <w:tcPr/>
          <w:p>
            <w:pPr>
              <w:pStyle w:val="Compact"/>
              <w:jc w:val="left"/>
            </w:pPr>
            <w:r>
              <w:t xml:space="preserve">26 weken</w:t>
            </w:r>
          </w:p>
        </w:tc>
        <w:tc>
          <w:tcPr/>
          <w:p>
            <w:pPr>
              <w:pStyle w:val="Compact"/>
              <w:jc w:val="left"/>
            </w:pPr>
            <w:r>
              <w:t xml:space="preserve">HbA1c −1,28 vs. −1,48; non-inferioriteit niet bereikt</w:t>
            </w:r>
          </w:p>
        </w:tc>
      </w:tr>
    </w:tbl>
    <w:p>
      <w:pPr>
        <w:pStyle w:val="BodyText"/>
      </w:pPr>
      <w:r>
        <w:t xml:space="preserve">De weekvorm verlaagde de langetermijnsuiker in DURATION-1 sterker dan de dagelijkse vorm, bij vergelijkbaar gewichtsverlies en zonder meer hypoglykemieën. Opmerkelijk is de vijfjaarsanalyse (Wysham 2015, PMID 25744115): van de 258 personen in de verlengingsfase bleven er 153 (59,3%) vijf jaar in behandeling. Bij hen lag de HbA1c nog steeds 1,6 procentpunt onder de uitgangswaarde, 43,9% bereikte een waarde onder 7%. Zulke verlengingen hebben echter een ingebouwde vertekening: wie slecht reageerde of bijwerkingen had, doet vaak niet meer mee.</w:t>
      </w:r>
    </w:p>
    <w:p>
      <w:pPr>
        <w:pStyle w:val="BodyText"/>
      </w:pPr>
      <w:r>
        <w:t xml:space="preserve">In DURATION-2 (Bergenstal 2010, PMID 20580422) was de weekvorm superieur aan twee destijds gangbare tabletten: het verschil met sitagliptine bedroeg 0,6 procentpunt, met pioglitazon 0,3 procentpunt. Bij het gewicht bedroeg het verschil met pioglitazon, dat eerder tot gewichtstoename leidt, 5,1 kg. In DURATION-3 (Diamant 2010, PMID 20609969) was exenatide wekelijks licht superieur aan de basale insuline glargine (verschil −0,16 procentpunt), maar meer personen stopten met de behandeling vanwege bijwerkingen.</w:t>
      </w:r>
    </w:p>
    <w:bookmarkEnd w:id="136"/>
    <w:bookmarkStart w:id="137" w:name="Xa1575badceb68dda17e74afc1f5f3aceed67ec3"/>
    <w:p>
      <w:pPr>
        <w:pStyle w:val="Heading4"/>
      </w:pPr>
      <w:r>
        <w:t xml:space="preserve">Directe vergelijkingen binnen de GLP-1-klasse</w:t>
      </w:r>
    </w:p>
    <w:p>
      <w:pPr>
        <w:pStyle w:val="FirstParagraph"/>
      </w:pPr>
      <w:r>
        <w:t xml:space="preserve">Voor de plaatsbepaling van exenatide zijn de head-to-headstudies met latere werkzame stoffen bijzonder verhelderend. Ze laten zien dat exenatide weliswaar werkzaam is, maar door de opvolgers wordt overtroffen.</w:t>
      </w:r>
    </w:p>
    <w:p>
      <w:pPr>
        <w:pStyle w:val="BodyText"/>
      </w:pPr>
      <w:r>
        <w:t xml:space="preserve">In</w:t>
      </w:r>
      <w:r>
        <w:t xml:space="preserve"> </w:t>
      </w:r>
      <w:r>
        <w:rPr>
          <w:bCs/>
          <w:b/>
        </w:rPr>
        <w:t xml:space="preserve">DURATION-6</w:t>
      </w:r>
      <w:r>
        <w:t xml:space="preserve"> </w:t>
      </w:r>
      <w:r>
        <w:t xml:space="preserve">(Buse 2013, PMID 23141817) nam de weekvorm het op tegen liraglutide eenmaal per dag. Liraglutide verlaagde de HbA1c met 1,48 procentpunt, exenatide met 1,28. Het verschil van 0,21 procentpunt haalde de vooraf vastgelegde grens voor „niet slechter” niet. Daar stond tegenover dat exenatide beter werd verdragen: misselijkheid trad op bij 9% tegenover 21%, diarree bij 6% tegenover 13%, braken bij 4% tegenover 11%.</w:t>
      </w:r>
    </w:p>
    <w:p>
      <w:pPr>
        <w:pStyle w:val="BodyText"/>
      </w:pPr>
      <w:r>
        <w:t xml:space="preserve">In</w:t>
      </w:r>
      <w:r>
        <w:t xml:space="preserve"> </w:t>
      </w:r>
      <w:r>
        <w:rPr>
          <w:bCs/>
          <w:b/>
        </w:rPr>
        <w:t xml:space="preserve">SUSTAIN 3</w:t>
      </w:r>
      <w:r>
        <w:t xml:space="preserve"> </w:t>
      </w:r>
      <w:r>
        <w:t xml:space="preserve">(Ahmann 2018, PMID 29246950) verloor exenatide wekelijks over 56 weken duidelijk van semaglutide wekelijks. De HbA1c daalde met 0,9 tegenover 1,5 procentpunt, het gewicht met 1,9 tegenover 5,6 kg. Een HbA1c onder 7% bereikte 40% tegenover 67%. Maag-darmklachten waren onder exenatide iets zeldzamer (33,3% vs. 41,8%), reacties op de injectieplaats daarentegen veel vaker (22,0% vs. 1,2%).</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Vergelijking</w:t>
            </w:r>
          </w:p>
        </w:tc>
        <w:tc>
          <w:tcPr/>
          <w:p>
            <w:pPr>
              <w:pStyle w:val="Compact"/>
              <w:jc w:val="left"/>
            </w:pPr>
            <w:r>
              <w:t xml:space="preserve">Opzet</w:t>
            </w:r>
          </w:p>
        </w:tc>
        <w:tc>
          <w:tcPr/>
          <w:p>
            <w:pPr>
              <w:pStyle w:val="Compact"/>
              <w:jc w:val="left"/>
            </w:pPr>
            <w:r>
              <w:t xml:space="preserve">Duur</w:t>
            </w:r>
          </w:p>
        </w:tc>
        <w:tc>
          <w:tcPr/>
          <w:p>
            <w:pPr>
              <w:pStyle w:val="Compact"/>
              <w:jc w:val="left"/>
            </w:pPr>
            <w:r>
              <w:t xml:space="preserve">Resultaat (exenatide wekelijks vs. vergelijking)</w:t>
            </w:r>
          </w:p>
        </w:tc>
      </w:tr>
      <w:tr>
        <w:tc>
          <w:tcPr/>
          <w:p>
            <w:pPr>
              <w:pStyle w:val="Compact"/>
              <w:jc w:val="left"/>
            </w:pPr>
            <w:r>
              <w:t xml:space="preserve">DURATION-6 (Buse 2013), PMID 23141817</w:t>
            </w:r>
          </w:p>
        </w:tc>
        <w:tc>
          <w:tcPr/>
          <w:p>
            <w:pPr>
              <w:pStyle w:val="Compact"/>
              <w:jc w:val="left"/>
            </w:pPr>
            <w:r>
              <w:t xml:space="preserve">911 personen, open vs. liraglutide</w:t>
            </w:r>
          </w:p>
        </w:tc>
        <w:tc>
          <w:tcPr/>
          <w:p>
            <w:pPr>
              <w:pStyle w:val="Compact"/>
              <w:jc w:val="left"/>
            </w:pPr>
            <w:r>
              <w:t xml:space="preserve">26 weken</w:t>
            </w:r>
          </w:p>
        </w:tc>
        <w:tc>
          <w:tcPr/>
          <w:p>
            <w:pPr>
              <w:pStyle w:val="Compact"/>
              <w:jc w:val="left"/>
            </w:pPr>
            <w:r>
              <w:t xml:space="preserve">HbA1c −1,28 vs. −1,48; misselijkheid 9% vs. 21%</w:t>
            </w:r>
          </w:p>
        </w:tc>
      </w:tr>
      <w:tr>
        <w:tc>
          <w:tcPr/>
          <w:p>
            <w:pPr>
              <w:pStyle w:val="Compact"/>
              <w:jc w:val="left"/>
            </w:pPr>
            <w:r>
              <w:t xml:space="preserve">SUSTAIN 3 (Ahmann 2018), PMID 29246950</w:t>
            </w:r>
          </w:p>
        </w:tc>
        <w:tc>
          <w:tcPr/>
          <w:p>
            <w:pPr>
              <w:pStyle w:val="Compact"/>
              <w:jc w:val="left"/>
            </w:pPr>
            <w:r>
              <w:t xml:space="preserve">open vs. semaglutide wekelijks</w:t>
            </w:r>
          </w:p>
        </w:tc>
        <w:tc>
          <w:tcPr/>
          <w:p>
            <w:pPr>
              <w:pStyle w:val="Compact"/>
              <w:jc w:val="left"/>
            </w:pPr>
            <w:r>
              <w:t xml:space="preserve">56 weken</w:t>
            </w:r>
          </w:p>
        </w:tc>
        <w:tc>
          <w:tcPr/>
          <w:p>
            <w:pPr>
              <w:pStyle w:val="Compact"/>
              <w:jc w:val="left"/>
            </w:pPr>
            <w:r>
              <w:t xml:space="preserve">HbA1c −0,9 vs. −1,5; gewicht −1,9 vs. −5,6 kg</w:t>
            </w:r>
          </w:p>
        </w:tc>
      </w:tr>
    </w:tbl>
    <w:p>
      <w:pPr>
        <w:pStyle w:val="BodyText"/>
      </w:pPr>
      <w:r>
        <w:t xml:space="preserve">De vergelijking met dulaglutide en liraglutide twee keer per dag (de studies AWARD-1 en LEAD-6) wordt in de betreffende hoofdstukken besproken.</w:t>
      </w:r>
    </w:p>
    <w:p>
      <w:pPr>
        <w:pStyle w:val="BodyText"/>
      </w:pPr>
      <w:r>
        <w:t xml:space="preserve">Samengevat bevindt exenatide zich binnen de klasse in de lagere middenmoot: sterker dan de DPP-4-remmers (gliptines), zwakker dan liraglutide, dulaglutide en vooral semaglutide.</w:t>
      </w:r>
    </w:p>
    <w:bookmarkEnd w:id="137"/>
    <w:bookmarkStart w:id="138" w:name="exscel-de-cardiovasculaire-studie"/>
    <w:p>
      <w:pPr>
        <w:pStyle w:val="Heading4"/>
      </w:pPr>
      <w:r>
        <w:t xml:space="preserve">EXSCEL: de cardiovasculaire studie</w:t>
      </w:r>
    </w:p>
    <w:p>
      <w:pPr>
        <w:pStyle w:val="FirstParagraph"/>
      </w:pPr>
      <w:r>
        <w:t xml:space="preserve">Sinds 2008 eist de Amerikaanse geneesmiddelenautoriteit FDA van nieuwe diabetesgeneesmiddelen het bewijs dat ze het cardiovasculaire risico niet verhogen. Voor exenatide wekelijks werd daarvoor EXSCEL uitgevoerd – een van de grootste studies van dit type.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Deelnemers en opzet</w:t>
            </w:r>
          </w:p>
        </w:tc>
        <w:tc>
          <w:tcPr/>
          <w:p>
            <w:pPr>
              <w:pStyle w:val="Compact"/>
              <w:jc w:val="left"/>
            </w:pPr>
            <w:r>
              <w:t xml:space="preserve">Duur</w:t>
            </w:r>
          </w:p>
        </w:tc>
        <w:tc>
          <w:tcPr/>
          <w:p>
            <w:pPr>
              <w:pStyle w:val="Compact"/>
              <w:jc w:val="left"/>
            </w:pPr>
            <w:r>
              <w:t xml:space="preserve">Resultaat</w:t>
            </w:r>
          </w:p>
        </w:tc>
      </w:tr>
      <w:tr>
        <w:tc>
          <w:tcPr/>
          <w:p>
            <w:pPr>
              <w:pStyle w:val="Compact"/>
              <w:jc w:val="left"/>
            </w:pPr>
            <w:r>
              <w:t xml:space="preserve">EXSCEL (Holman 2017), PMID 28910237</w:t>
            </w:r>
          </w:p>
        </w:tc>
        <w:tc>
          <w:tcPr/>
          <w:p>
            <w:pPr>
              <w:pStyle w:val="Compact"/>
              <w:jc w:val="left"/>
            </w:pPr>
            <w:r>
              <w:t xml:space="preserve">14.752 personen met diabetes type 2, 73,1% met eerdere hart- en vaatziekte, RCT tegen placebo</w:t>
            </w:r>
          </w:p>
        </w:tc>
        <w:tc>
          <w:tcPr/>
          <w:p>
            <w:pPr>
              <w:pStyle w:val="Compact"/>
              <w:jc w:val="left"/>
            </w:pPr>
            <w:r>
              <w:t xml:space="preserve">mediaan 3,2 jaar</w:t>
            </w:r>
          </w:p>
        </w:tc>
        <w:tc>
          <w:tcPr/>
          <w:p>
            <w:pPr>
              <w:pStyle w:val="Compact"/>
              <w:jc w:val="left"/>
            </w:pPr>
            <w:r>
              <w:t xml:space="preserve">ernstige cardiovasculaire gebeurtenissen 11,4% vs. 12,2%; HR 0,91 (0,83–1,00), superioriteit nipt niet bereikt (p = 0,06)</w:t>
            </w:r>
          </w:p>
        </w:tc>
      </w:tr>
      <w:tr>
        <w:tc>
          <w:tcPr/>
          <w:p>
            <w:pPr>
              <w:pStyle w:val="Compact"/>
              <w:jc w:val="left"/>
            </w:pPr>
            <w:r>
              <w:t xml:space="preserve">FREEDOM-CVO (Ruff 2022), PMID 34873344</w:t>
            </w:r>
          </w:p>
        </w:tc>
        <w:tc>
          <w:tcPr/>
          <w:p>
            <w:pPr>
              <w:pStyle w:val="Compact"/>
              <w:jc w:val="left"/>
            </w:pPr>
            <w:r>
              <w:t xml:space="preserve">4.156 personen, exenatide-pompimplantaat ITCA 650 vs. placebo</w:t>
            </w:r>
          </w:p>
        </w:tc>
        <w:tc>
          <w:tcPr/>
          <w:p>
            <w:pPr>
              <w:pStyle w:val="Compact"/>
              <w:jc w:val="left"/>
            </w:pPr>
            <w:r>
              <w:t xml:space="preserve">mediaan 16 maanden</w:t>
            </w:r>
          </w:p>
        </w:tc>
        <w:tc>
          <w:tcPr/>
          <w:p>
            <w:pPr>
              <w:pStyle w:val="Compact"/>
              <w:jc w:val="left"/>
            </w:pPr>
            <w:r>
              <w:t xml:space="preserve">gebeurtenissen 4,6% vs. 3,8%; HR 1,21 (0,90–1,63), veiligheidscriterium gehaald</w:t>
            </w:r>
          </w:p>
        </w:tc>
      </w:tr>
    </w:tbl>
    <w:p>
      <w:pPr>
        <w:pStyle w:val="BodyText"/>
      </w:pPr>
      <w:r>
        <w:t xml:space="preserve">Het gecombineerde primaire eindpunt van EXSCEL (Holman 2017, PMID 28910237) – overlijden door een cardiovasculaire oorzaak, niet-fataal hartinfarct of beroerte – trad onder exenatide op bij 839 van 7.356 personen (11,4%), onder placebo bij 905 van 7.396 (12,2%). Dat komt overeen met een hazard ratio (relatief risico in de tijd) van 0,91. Exenatide was daarmee veilig, maar niet aantoonbaar beschermend. Acute alvleesklierontsteking, alvleesklierkanker en medullair schildkliercarcinoom kwamen niet vaker voor dan onder placebo.</w:t>
      </w:r>
    </w:p>
    <w:p>
      <w:pPr>
        <w:pStyle w:val="BodyText"/>
      </w:pPr>
      <w:r>
        <w:t xml:space="preserve">Waarom exenatide in EXSCEL zwakker presteerde dan liraglutide in LEADER of dulaglutide in REWIND, is niet definitief opgehelderd. Besproken worden een zwakkere werking van het molecuul zelf, het hoge uitvalpercentage in de studie en een pragmatische opzet met weinig controle. In een gezamenlijke meta-analyse van de zeven grote GLP-1-uitkomststudies met samen 56.004 deelnemers (Kristensen 2019, PMID 31422062) verlaagde de klasse ernstige cardiovasculaire gebeurtenissen met 12% (HR 0,88) – zonder betekenisvolle verschillen tussen de subgroepen. EXSCEL past dus in het totaalbeeld, maar ligt aan de zwakkere kant.</w:t>
      </w:r>
    </w:p>
    <w:p>
      <w:pPr>
        <w:pStyle w:val="BodyText"/>
      </w:pPr>
      <w:r>
        <w:t xml:space="preserve">Het pompimplantaat ITCA 650, een apparaatje ter grootte van een lucifer dat exenatide maandenlang gelijkmatig moest afgeven, voldeed in FREEDOM-CVO (Ruff 2022, PMID 34873344) alleen aan de ruime veiligheidsgrens uit 2008. De puntschatting lag ongunstig boven 1, bijwerkingen kwamen vaker voor dan onder placebo (72% vs. 63,9%). Het systeem kreeg geen registratie.</w:t>
      </w:r>
    </w:p>
    <w:bookmarkEnd w:id="138"/>
    <w:bookmarkStart w:id="139" w:name="gewicht-zonder-diabetes-en-bij-jongeren"/>
    <w:p>
      <w:pPr>
        <w:pStyle w:val="Heading4"/>
      </w:pPr>
      <w:r>
        <w:t xml:space="preserve">Gewicht zonder diabetes en bij jongeren</w:t>
      </w:r>
    </w:p>
    <w:p>
      <w:pPr>
        <w:pStyle w:val="FirstParagraph"/>
      </w:pPr>
      <w:r>
        <w:t xml:space="preserve">Exenatide is niet geregistreerd voor gewichtsvermindering, maar werd daarvoor in kleinere studies onderzocht. Bij 152 volwassenen met obesitas zonder diabetes verloren de deelnemers met exenatide twee keer per dag plus een leefstijlprogramma in 24 weken 5,1 kg, met placebo 1,6 kg (Rosenstock 2010, PMID 20332357). Een meta-analyse van zes kleine studies met 362 deelnemers vond een gemiddeld extra verlies van 4,47 kg ten opzichte van controles (Su 2016, PMID 27343423). Dat is een fractie van wat later met semaglutide of tirzepatide werd bereikt.</w:t>
      </w:r>
    </w:p>
    <w:p>
      <w:pPr>
        <w:pStyle w:val="BodyText"/>
      </w:pPr>
      <w:r>
        <w:t xml:space="preserve">Bij jongeren met diabetes type 2 verlaagde de weekvorm in een studie met 83 deelnemers de HbA1c na 24 weken 0,85 procentpunt sterker dan placebo (Tamborlane 2022, PMID 35679098). Een gewichtsverschil van −1,22 kg was statistisch niet significant. Deze studie vormde de basis voor de uitbreiding van de registratie naar jongeren.</w:t>
      </w:r>
    </w:p>
    <w:bookmarkEnd w:id="139"/>
    <w:bookmarkStart w:id="140" w:name="Xb457d13f04d52127f08d22178c9498c09b217c4"/>
    <w:p>
      <w:pPr>
        <w:pStyle w:val="Heading4"/>
      </w:pPr>
      <w:r>
        <w:t xml:space="preserve">Parkinson: hoop, ontnuchtering en een expression of concern</w:t>
      </w:r>
    </w:p>
    <w:p>
      <w:pPr>
        <w:pStyle w:val="FirstParagraph"/>
      </w:pPr>
      <w:r>
        <w:t xml:space="preserve">Geen ander toepassingsgebied heeft exenatide buiten diabetes zoveel aandacht opgeleverd als de ziekte van Parkinson. Uitgangspunt waren dier- en celproeven waarin GLP-1-receptoragonisten zenuwcellen beschermden.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Deelnemers en opzet</w:t>
            </w:r>
          </w:p>
        </w:tc>
        <w:tc>
          <w:tcPr/>
          <w:p>
            <w:pPr>
              <w:pStyle w:val="Compact"/>
              <w:jc w:val="left"/>
            </w:pPr>
            <w:r>
              <w:t xml:space="preserve">Duur</w:t>
            </w:r>
          </w:p>
        </w:tc>
        <w:tc>
          <w:tcPr/>
          <w:p>
            <w:pPr>
              <w:pStyle w:val="Compact"/>
              <w:jc w:val="left"/>
            </w:pPr>
            <w:r>
              <w:t xml:space="preserve">Resultaat</w:t>
            </w:r>
          </w:p>
        </w:tc>
      </w:tr>
      <w:tr>
        <w:tc>
          <w:tcPr/>
          <w:p>
            <w:pPr>
              <w:pStyle w:val="Compact"/>
              <w:jc w:val="left"/>
            </w:pPr>
            <w:r>
              <w:t xml:space="preserve">Exenatide-PD (Athauda 2017), PMID 28781108</w:t>
            </w:r>
          </w:p>
        </w:tc>
        <w:tc>
          <w:tcPr/>
          <w:p>
            <w:pPr>
              <w:pStyle w:val="Compact"/>
              <w:jc w:val="left"/>
            </w:pPr>
            <w:r>
              <w:t xml:space="preserve">62 personen met matig ernstige Parkinson, RCT tegen placebo</w:t>
            </w:r>
          </w:p>
        </w:tc>
        <w:tc>
          <w:tcPr/>
          <w:p>
            <w:pPr>
              <w:pStyle w:val="Compact"/>
              <w:jc w:val="left"/>
            </w:pPr>
            <w:r>
              <w:t xml:space="preserve">48 weken + 12 weken uitwasfase</w:t>
            </w:r>
          </w:p>
        </w:tc>
        <w:tc>
          <w:tcPr/>
          <w:p>
            <w:pPr>
              <w:pStyle w:val="Compact"/>
              <w:jc w:val="left"/>
            </w:pPr>
            <w:r>
              <w:t xml:space="preserve">motoriekscore 3,5 punten beter dan placebo (p = 0,0318)</w:t>
            </w:r>
          </w:p>
        </w:tc>
      </w:tr>
      <w:tr>
        <w:tc>
          <w:tcPr/>
          <w:p>
            <w:pPr>
              <w:pStyle w:val="Compact"/>
              <w:jc w:val="left"/>
            </w:pPr>
            <w:r>
              <w:t xml:space="preserve">Exenatide-PD3 (Vijiaratnam 2025), PMID 39919773</w:t>
            </w:r>
          </w:p>
        </w:tc>
        <w:tc>
          <w:tcPr/>
          <w:p>
            <w:pPr>
              <w:pStyle w:val="Compact"/>
              <w:jc w:val="left"/>
            </w:pPr>
            <w:r>
              <w:t xml:space="preserve">194 personen, RCT tegen placebo, zes centra</w:t>
            </w:r>
          </w:p>
        </w:tc>
        <w:tc>
          <w:tcPr/>
          <w:p>
            <w:pPr>
              <w:pStyle w:val="Compact"/>
              <w:jc w:val="left"/>
            </w:pPr>
            <w:r>
              <w:t xml:space="preserve">96 weken</w:t>
            </w:r>
          </w:p>
        </w:tc>
        <w:tc>
          <w:tcPr/>
          <w:p>
            <w:pPr>
              <w:pStyle w:val="Compact"/>
              <w:jc w:val="left"/>
            </w:pPr>
            <w:r>
              <w:t xml:space="preserve">geen verschil: +5,7 vs. +4,5 punten verslechtering (p = 0,47)</w:t>
            </w:r>
          </w:p>
        </w:tc>
      </w:tr>
      <w:tr>
        <w:tc>
          <w:tcPr/>
          <w:p>
            <w:pPr>
              <w:pStyle w:val="Compact"/>
              <w:jc w:val="left"/>
            </w:pPr>
            <w:r>
              <w:t xml:space="preserve">NLY01 (McGarry 2024), PMID 38101901</w:t>
            </w:r>
          </w:p>
        </w:tc>
        <w:tc>
          <w:tcPr/>
          <w:p>
            <w:pPr>
              <w:pStyle w:val="Compact"/>
              <w:jc w:val="left"/>
            </w:pPr>
            <w:r>
              <w:t xml:space="preserve">255 personen met vroege onbehandelde Parkinson, gepegyleerd exenatide vs. placebo</w:t>
            </w:r>
          </w:p>
        </w:tc>
        <w:tc>
          <w:tcPr/>
          <w:p>
            <w:pPr>
              <w:pStyle w:val="Compact"/>
              <w:jc w:val="left"/>
            </w:pPr>
            <w:r>
              <w:t xml:space="preserve">36 weken</w:t>
            </w:r>
          </w:p>
        </w:tc>
        <w:tc>
          <w:tcPr/>
          <w:p>
            <w:pPr>
              <w:pStyle w:val="Compact"/>
              <w:jc w:val="left"/>
            </w:pPr>
            <w:r>
              <w:t xml:space="preserve">geen verschil in beide dosisgroepen</w:t>
            </w:r>
          </w:p>
        </w:tc>
      </w:tr>
    </w:tbl>
    <w:p>
      <w:pPr>
        <w:pStyle w:val="BodyText"/>
      </w:pPr>
      <w:r>
        <w:t xml:space="preserve">De kleine studie van Athauda 2017 (PMID 28781108) vond na 60 weken een verschil van 3,5 punten op de motorische beoordelingsschaal MDS-UPDRS deel III, dat ook na het stoppen aanhield. Dat werd vaak geïnterpreteerd als mogelijk eerste aanwijzing voor een ziektevertragende werking. De auteurs bleven voorzichtig: of exenatide het ziekteverloop beïnvloedt of alleen langdurige effecten op de symptomen heeft, was volgens hen onduidelijk.</w:t>
      </w:r>
    </w:p>
    <w:p>
      <w:pPr>
        <w:pStyle w:val="BodyText"/>
      </w:pPr>
      <w:r>
        <w:t xml:space="preserve">De grotere fase 3-studie Exenatide-PD3 (Vijiaratnam 2025, PMID 39919773) kon dat niet bevestigen. Na 96 weken was de motoriekscore in beide groepen vergelijkbaar verslechterd. De onderzoekers concludeerden dat er geen bewijs is voor exenatide als ziektemodificerende behandeling. Over deze publicatie bracht het vaktijdschrift in 2026 een zogeheten expression of concern uit (Expression of Concern, The Lancet 2026, PMID 42330995) – een redactionele mededeling dat vragen over een publicatie worden onderzocht. De PubMed-vermelding bevat geen samenvatting van de redenen; de beoordeling van de studie moet daarom tot de opheldering met voorbehoud gebeuren. Ook een gepegyleerde, langer werkzame exenatidevariant (NLY01) liet bij vroege Parkinson geen nut zien (McGarry 2024, PMID 38101901).</w:t>
      </w:r>
    </w:p>
    <w:p>
      <w:pPr>
        <w:pStyle w:val="BodyText"/>
      </w:pPr>
      <w:r>
        <w:t xml:space="preserve">Bij multisysteematrofie, een zeldzame verwante aandoening, vond een open studie met 50 deelnemers een voordeel op het primaire eindpunt, maar geen verschil in objectieve meetwaarden zoals biomarkers of beeldvorming (Vijiaratnam 2025, PMID 40727970). De auteurs achten zelf een placebo- of waarnemerseffect mogelijk.</w:t>
      </w:r>
    </w:p>
    <w:bookmarkEnd w:id="140"/>
    <w:bookmarkStart w:id="141" w:name="andere-toepassingsgebieden-in-studies"/>
    <w:p>
      <w:pPr>
        <w:pStyle w:val="Heading4"/>
      </w:pPr>
      <w:r>
        <w:t xml:space="preserve">Andere toepassingsgebieden in studies</w:t>
      </w:r>
    </w:p>
    <w:p>
      <w:pPr>
        <w:numPr>
          <w:ilvl w:val="0"/>
          <w:numId w:val="1037"/>
        </w:numPr>
        <w:pStyle w:val="Compact"/>
      </w:pPr>
      <w:r>
        <w:rPr>
          <w:bCs/>
          <w:b/>
        </w:rPr>
        <w:t xml:space="preserve">Alzheimer en lichte cognitieve stoornis:</w:t>
      </w:r>
      <w:r>
        <w:t xml:space="preserve"> </w:t>
      </w:r>
      <w:r>
        <w:t xml:space="preserve">een voortijdig beëindigde pilotstudie vond geen verschillen in geheugen- of beeldvormingsmaten (Mullins 2019, PMID 31518224). Een studie van 32 weken bij lichte cognitieve stoornis liet evenmin nut zien (Dei Cas 2024, PMID 38565814).</w:t>
      </w:r>
    </w:p>
    <w:p>
      <w:pPr>
        <w:numPr>
          <w:ilvl w:val="0"/>
          <w:numId w:val="1037"/>
        </w:numPr>
        <w:pStyle w:val="Compact"/>
      </w:pPr>
      <w:r>
        <w:rPr>
          <w:bCs/>
          <w:b/>
        </w:rPr>
        <w:t xml:space="preserve">Alcoholafhankelijkheid:</w:t>
      </w:r>
      <w:r>
        <w:t xml:space="preserve"> </w:t>
      </w:r>
      <w:r>
        <w:t xml:space="preserve">in een studie met 127 deelnemers verminderde exenatide wekelijks het aantal dagen met zwaar drinken niet significant. In een achteraf uitgevoerde subgroepanalyse bij mensen met obesitas was een effect te zien; op de hersen-MRI was de reactie op alcoholprikkels afgezwakt (Klausen 2022, PMID 36066977). Zulke subgroepbevindingen zijn hypothesen, geen bewijs.</w:t>
      </w:r>
    </w:p>
    <w:p>
      <w:pPr>
        <w:numPr>
          <w:ilvl w:val="0"/>
          <w:numId w:val="1037"/>
        </w:numPr>
        <w:pStyle w:val="Compact"/>
      </w:pPr>
      <w:r>
        <w:rPr>
          <w:bCs/>
          <w:b/>
        </w:rPr>
        <w:t xml:space="preserve">Idiopathische intracraniële hypertensie</w:t>
      </w:r>
      <w:r>
        <w:t xml:space="preserve"> </w:t>
      </w:r>
      <w:r>
        <w:t xml:space="preserve">(verhoogde hersendruk zonder herkenbare oorzaak, meestal bij jonge vrouwen met overgewicht): bij 16 vrouwen verlaagde exenatide de gemeten hersendruk na 24 uur met gemiddeld 6,4 cm waterkolom ten opzichte van placebo (Mitchell 2023, PMID 36907221). De studie is zeer klein; een grotere studie moet nog volgen.</w:t>
      </w:r>
    </w:p>
    <w:bookmarkEnd w:id="141"/>
    <w:bookmarkEnd w:id="142"/>
    <w:bookmarkStart w:id="143" w:name="dier--en-laboratoriumstudies"/>
    <w:p>
      <w:pPr>
        <w:pStyle w:val="Heading3"/>
      </w:pPr>
      <w:r>
        <w:t xml:space="preserve">Dier- en laboratoriumstudies</w:t>
      </w:r>
    </w:p>
    <w:p>
      <w:pPr>
        <w:pStyle w:val="FirstParagraph"/>
      </w:pPr>
      <w:r>
        <w:t xml:space="preserve">Exendine-4 werd oorspronkelijk helemaal niet als diabetesmiddel gezocht. In de eerste beschrijving uit 1992 onderzochten de onderzoekers de werking op cellen uit de alvleesklier van cavia’s (Eng 1992, PMID 1313797). Pas later bleek dat het op de GLP-1-receptor aangrijpt.</w:t>
      </w:r>
    </w:p>
    <w:p>
      <w:pPr>
        <w:pStyle w:val="BodyText"/>
      </w:pPr>
      <w:r>
        <w:t xml:space="preserve">Daarna volgde een groot aantal dierstudies. Bij ratten bij wie een deel van de alvleesklier was verwijderd, bevorderde exendine-4 de nieuwvorming en deling van insulineproducerende bètacellen en remde het de ontwikkeling van diabetes (Xu 1999, PMID 10580413). Of een dergelijke regeneratie van bètacellen ook bij de mens in noemenswaardige mate kan worden bereikt, is tot op heden niet aangetoond.</w:t>
      </w:r>
    </w:p>
    <w:p>
      <w:pPr>
        <w:pStyle w:val="BodyText"/>
      </w:pPr>
      <w:r>
        <w:t xml:space="preserve">Daarnaast waren er proeven bij knaagdieren over zenuwbescherming (Parkinson, Alzheimer, beroerte), alcohol- en verslavingsgedrag en hersendruk. Deze dierdata waren de aanleiding voor de hierboven beschreven studies bij mensen – waarvan de resultaten tot nu toe duidelijk bescheidener uitvallen. Dat is een leerzaam voorbeeld van hoe moeilijk resultaten bij ratten en muizen naar de mens te vertalen zijn.</w:t>
      </w:r>
    </w:p>
    <w:p>
      <w:pPr>
        <w:pStyle w:val="BodyText"/>
      </w:pPr>
      <w:r>
        <w:t xml:space="preserve">Over de schildklier: bij ratten en muizen veroorzaken GLP-1-receptoragonisten een toename van de C-cellen van de schildklier, bij primaten en mensen hebben deze cellen daarentegen nauwelijks de receptor (Bjerre Knudsen 2010, PMID 20203154). Meer daarover in het hoofdstuk Liraglutide en in deel IV.</w:t>
      </w:r>
    </w:p>
    <w:bookmarkEnd w:id="143"/>
    <w:bookmarkStart w:id="144" w:name="risicos-en-bijwerkingen"/>
    <w:p>
      <w:pPr>
        <w:pStyle w:val="Heading3"/>
      </w:pPr>
      <w:r>
        <w:t xml:space="preserve">Risico’s en bijwerkingen</w:t>
      </w:r>
    </w:p>
    <w:p>
      <w:pPr>
        <w:pStyle w:val="FirstParagraph"/>
      </w:pPr>
      <w:r>
        <w:rPr>
          <w:bCs/>
          <w:b/>
        </w:rPr>
        <w:t xml:space="preserve">Aangetoond in gerandomiseerde studies:</w:t>
      </w:r>
    </w:p>
    <w:p>
      <w:pPr>
        <w:numPr>
          <w:ilvl w:val="0"/>
          <w:numId w:val="1038"/>
        </w:numPr>
        <w:pStyle w:val="Compact"/>
      </w:pPr>
      <w:r>
        <w:rPr>
          <w:bCs/>
          <w:b/>
        </w:rPr>
        <w:t xml:space="preserve">Maag-darmklachten</w:t>
      </w:r>
      <w:r>
        <w:t xml:space="preserve"> </w:t>
      </w:r>
      <w:r>
        <w:t xml:space="preserve">zijn de meest voorkomende bijwerking. Bij de tweemaal-daagse vorm trad misselijkheid in de vergelijking met insuline glargine op bij 57,1% van de behandelden, braken bij 17,4% (Heine 2005, PMID 16230722). De weekvorm veroorzaakt minder misselijkheid; in DURATION-6 was dat 9% (Buse 2013, PMID 23141817). De klachten nemen na verloop van tijd meestal af.</w:t>
      </w:r>
    </w:p>
    <w:p>
      <w:pPr>
        <w:numPr>
          <w:ilvl w:val="0"/>
          <w:numId w:val="1038"/>
        </w:numPr>
        <w:pStyle w:val="Compact"/>
      </w:pPr>
      <w:r>
        <w:rPr>
          <w:bCs/>
          <w:b/>
        </w:rPr>
        <w:t xml:space="preserve">Hypoglykemie</w:t>
      </w:r>
      <w:r>
        <w:t xml:space="preserve"> </w:t>
      </w:r>
      <w:r>
        <w:t xml:space="preserve">is op zichzelf zeldzaam, maar komt in combinatie met sulfonylureumderivaten of insuline vaker voor (Kendall 2005, PMID 15855571).</w:t>
      </w:r>
    </w:p>
    <w:p>
      <w:pPr>
        <w:numPr>
          <w:ilvl w:val="0"/>
          <w:numId w:val="1038"/>
        </w:numPr>
        <w:pStyle w:val="Compact"/>
      </w:pPr>
      <w:r>
        <w:rPr>
          <w:bCs/>
          <w:b/>
        </w:rPr>
        <w:t xml:space="preserve">Reacties op de injectieplaats:</w:t>
      </w:r>
      <w:r>
        <w:t xml:space="preserve"> </w:t>
      </w:r>
      <w:r>
        <w:t xml:space="preserve">bij de weekvorm ontstaan vaak voelbare knobbeltjes onder de huid, omdat de microbolletjes daar langzaam worden afgebroken. In de vijfjaarsanalyse van DURATION-1 werden zulke reacties na verloop van tijd zeldzamer (Wysham 2015, PMID 25744115).</w:t>
      </w:r>
    </w:p>
    <w:p>
      <w:pPr>
        <w:numPr>
          <w:ilvl w:val="0"/>
          <w:numId w:val="1038"/>
        </w:numPr>
        <w:pStyle w:val="Compact"/>
      </w:pPr>
      <w:r>
        <w:rPr>
          <w:bCs/>
          <w:b/>
        </w:rPr>
        <w:t xml:space="preserve">Vorming van antilichamen:</w:t>
      </w:r>
      <w:r>
        <w:t xml:space="preserve"> </w:t>
      </w:r>
      <w:r>
        <w:t xml:space="preserve">vanwege de herkomst uit hagedissengif vormt een deel van de behandelden antilichamen. Dit wordt uitgebreider beschreven in deel IV.</w:t>
      </w:r>
    </w:p>
    <w:p>
      <w:pPr>
        <w:pStyle w:val="FirstParagraph"/>
      </w:pPr>
      <w:r>
        <w:rPr>
          <w:bCs/>
          <w:b/>
        </w:rPr>
        <w:t xml:space="preserve">Onderzocht, maar niet bevestigd of onzeker:</w:t>
      </w:r>
    </w:p>
    <w:p>
      <w:pPr>
        <w:numPr>
          <w:ilvl w:val="0"/>
          <w:numId w:val="1039"/>
        </w:numPr>
        <w:pStyle w:val="Compact"/>
      </w:pPr>
      <w:r>
        <w:rPr>
          <w:bCs/>
          <w:b/>
        </w:rPr>
        <w:t xml:space="preserve">Acute alvleesklierontsteking (pancreatitis):</w:t>
      </w:r>
      <w:r>
        <w:t xml:space="preserve"> </w:t>
      </w:r>
      <w:r>
        <w:t xml:space="preserve">kort na de marktintroductie waren er spontane meldingen, die tot waarschuwingen leidden. In een gepoolde analyse van twee verzekeringsdatabases met 49.956 personen met exenatide twee keer per dag was het risico zonder correctie niet verhoogd (relatief risico 1,0), na correctie voor misclassificatie licht verhoogd (1,3; betrouwbaarheidsinterval 1,0–1,7) (Dore 2013, PMID 23981106). In EXSCEL kwam pancreatitis niet vaker voor dan onder placebo (Holman 2017, PMID 28910237). Pancreatitis blijft als zeldzame bijwerking in de productinformatie vermeld.</w:t>
      </w:r>
    </w:p>
    <w:p>
      <w:pPr>
        <w:numPr>
          <w:ilvl w:val="0"/>
          <w:numId w:val="1039"/>
        </w:numPr>
        <w:pStyle w:val="Compact"/>
      </w:pPr>
      <w:r>
        <w:rPr>
          <w:bCs/>
          <w:b/>
        </w:rPr>
        <w:t xml:space="preserve">Kanker van alvleesklier en schildklier:</w:t>
      </w:r>
      <w:r>
        <w:t xml:space="preserve"> </w:t>
      </w:r>
      <w:r>
        <w:t xml:space="preserve">in een Amerikaanse cohortstudie met 33.629 personen met exenatide was het risico op alvleesklierkanker niet verhoogd (HR 0,76); voor schildklierkanker lag de schatting op 1,46, met een betrouwbaarheidsinterval van 0,98 tot 2,19, dus statistisch niet significant (Liang 2019, PMID 30474347). Een meta-analyse van 50 gerandomiseerde studies over de hele GLP-1-klasse vond in totaal geen verhoogd kankerrisico, maar wel een signaal voor schildklierkanker (oddsratio 1,55), dat verder onderzocht moet worden (Silverii 2025, PMID 40437949). Een Europese veiligheidsstudie naar alvleesklierkanker onder exenatide loopt (NCT05663515).</w:t>
      </w:r>
    </w:p>
    <w:p>
      <w:pPr>
        <w:numPr>
          <w:ilvl w:val="0"/>
          <w:numId w:val="1039"/>
        </w:numPr>
        <w:pStyle w:val="Compact"/>
      </w:pPr>
      <w:r>
        <w:rPr>
          <w:bCs/>
          <w:b/>
        </w:rPr>
        <w:t xml:space="preserve">Cardiovasculair risico:</w:t>
      </w:r>
      <w:r>
        <w:t xml:space="preserve"> </w:t>
      </w:r>
      <w:r>
        <w:t xml:space="preserve">in EXSCEL niet verhoogd.</w:t>
      </w:r>
    </w:p>
    <w:p>
      <w:pPr>
        <w:pStyle w:val="FirstParagraph"/>
      </w:pPr>
      <w:r>
        <w:rPr>
          <w:bCs/>
          <w:b/>
        </w:rPr>
        <w:t xml:space="preserve">Aanwijzingen voor de praktijk:</w:t>
      </w:r>
      <w:r>
        <w:t xml:space="preserve"> </w:t>
      </w:r>
      <w:r>
        <w:t xml:space="preserve">exenatide wordt via de nieren uitgescheiden; bij sterk verminderde nierfunctie wordt het niet aanbevolen. Zoals alle GLP-1-receptoragonisten vertraagt het de maaglediging en kan het zo de opname van andere geneesmiddelen beïnvloeden. Voor gebruik, contra-indicaties en wisselwerkingen is de actuele productinformatie bepalend; de behandeling hoort in handen van een arts.</w:t>
      </w:r>
    </w:p>
    <w:bookmarkEnd w:id="144"/>
    <w:bookmarkStart w:id="145" w:name="juridische-status"/>
    <w:p>
      <w:pPr>
        <w:pStyle w:val="Heading3"/>
      </w:pPr>
      <w:r>
        <w:t xml:space="preserve">Juridische status</w:t>
      </w:r>
    </w:p>
    <w:p>
      <w:pPr>
        <w:numPr>
          <w:ilvl w:val="0"/>
          <w:numId w:val="1040"/>
        </w:numPr>
        <w:pStyle w:val="Compact"/>
      </w:pPr>
      <w:r>
        <w:rPr>
          <w:bCs/>
          <w:b/>
        </w:rPr>
        <w:t xml:space="preserve">EU:</w:t>
      </w:r>
      <w:r>
        <w:t xml:space="preserve"> </w:t>
      </w:r>
      <w:r>
        <w:t xml:space="preserve">exenatide is als receptplichtig geneesmiddel voor de behandeling van diabetes type 2 centraal geregistreerd (Byetta sinds 2006, Bydureon sinds 2011). Het is niet geregistreerd voor gewichtsvermindering.</w:t>
      </w:r>
    </w:p>
    <w:p>
      <w:pPr>
        <w:numPr>
          <w:ilvl w:val="0"/>
          <w:numId w:val="1040"/>
        </w:numPr>
        <w:pStyle w:val="Compact"/>
      </w:pPr>
      <w:r>
        <w:rPr>
          <w:bCs/>
          <w:b/>
        </w:rPr>
        <w:t xml:space="preserve">Duitsland en Oostenrijk:</w:t>
      </w:r>
      <w:r>
        <w:t xml:space="preserve"> </w:t>
      </w:r>
      <w:r>
        <w:t xml:space="preserve">receptplichtig. Voorschrijven uitsluitend om af te vallen zou off-label gebruik zijn en wordt door de zorgverzekeraars in de regel niet vergoed. Afzonderlijke toedieningsvormen zijn niet in alle landen blijvend in de handel – actuele situatie controleren.</w:t>
      </w:r>
    </w:p>
    <w:p>
      <w:pPr>
        <w:numPr>
          <w:ilvl w:val="0"/>
          <w:numId w:val="1040"/>
        </w:numPr>
        <w:pStyle w:val="Compact"/>
      </w:pPr>
      <w:r>
        <w:rPr>
          <w:bCs/>
          <w:b/>
        </w:rPr>
        <w:t xml:space="preserve">VS:</w:t>
      </w:r>
      <w:r>
        <w:t xml:space="preserve"> </w:t>
      </w:r>
      <w:r>
        <w:t xml:space="preserve">geregistreerd voor diabetes type 2; de weekvorm ook voor jongeren vanaf 10 jaar. Voor de tweemaal-daagse vorm zijn generieke middelen geregistreerd.</w:t>
      </w:r>
    </w:p>
    <w:p>
      <w:pPr>
        <w:numPr>
          <w:ilvl w:val="0"/>
          <w:numId w:val="1040"/>
        </w:numPr>
        <w:pStyle w:val="Compact"/>
      </w:pPr>
      <w:r>
        <w:rPr>
          <w:bCs/>
          <w:b/>
        </w:rPr>
        <w:t xml:space="preserve">Sport (WADA):</w:t>
      </w:r>
      <w:r>
        <w:t xml:space="preserve"> </w:t>
      </w:r>
      <w:r>
        <w:t xml:space="preserve">GLP-1-receptoragonisten staan niet op de verboden lijst (stand 2026, actuele situatie controleren).</w:t>
      </w:r>
    </w:p>
    <w:p>
      <w:pPr>
        <w:numPr>
          <w:ilvl w:val="0"/>
          <w:numId w:val="1040"/>
        </w:numPr>
        <w:pStyle w:val="Compact"/>
      </w:pPr>
      <w:r>
        <w:rPr>
          <w:bCs/>
          <w:b/>
        </w:rPr>
        <w:t xml:space="preserve">Grijze markt:</w:t>
      </w:r>
      <w:r>
        <w:t xml:space="preserve"> </w:t>
      </w:r>
      <w:r>
        <w:t xml:space="preserve">exenatide speelt op de grijze markt naast semaglutide en tirzepatide nauwelijks een rol. Algemene risico’s van niet-geregistreerde aankoopkanalen beschrijft deel I.</w:t>
      </w:r>
    </w:p>
    <w:bookmarkEnd w:id="145"/>
    <w:bookmarkStart w:id="146" w:name="lopende-studies-en-vooruitzichten"/>
    <w:p>
      <w:pPr>
        <w:pStyle w:val="Heading3"/>
      </w:pPr>
      <w:r>
        <w:t xml:space="preserve">Lopende studies en vooruitzichten</w:t>
      </w:r>
    </w:p>
    <w:p>
      <w:pPr>
        <w:pStyle w:val="FirstParagraph"/>
      </w:pPr>
      <w:r>
        <w:rPr>
          <w:bCs/>
          <w:b/>
        </w:rPr>
        <w:t xml:space="preserve">Vaststaand (geregistreerde studies):</w:t>
      </w:r>
      <w:r>
        <w:t xml:space="preserve"> </w:t>
      </w:r>
      <w:r>
        <w:t xml:space="preserve">exenatide is als diabetesmiddel grotendeels „uitonderzocht”; nieuwe registratiestudies voor deze indicatie zijn er nauwelijks nog. Actuele registraties betreffen vooral:</w:t>
      </w:r>
    </w:p>
    <w:p>
      <w:pPr>
        <w:numPr>
          <w:ilvl w:val="0"/>
          <w:numId w:val="1041"/>
        </w:numPr>
        <w:pStyle w:val="Compact"/>
      </w:pPr>
      <w:r>
        <w:t xml:space="preserve">Afgeleiden van het molecuul: in China worden gepegyleerde varianten ontwikkeld. Voor PB-119 verlaagde een fase 2-studie met 251 deelnemers de HbA1c na 12 weken tot 1,18 procentpunt sterker dan placebo (Ji 2021, PMID 33687487). Een andere kandidaat, JY09 – exendine-4 gekoppeld aan een antilichaambouwsteen (Fc-fusie-eiwit), dat in de studies om de twee weken wordt geïnjecteerd –, wordt in fase 3-studies getest tegen placebo en tegen dulaglutide (NCT06254014, NCT06257966).</w:t>
      </w:r>
    </w:p>
    <w:p>
      <w:pPr>
        <w:numPr>
          <w:ilvl w:val="0"/>
          <w:numId w:val="1041"/>
        </w:numPr>
        <w:pStyle w:val="Compact"/>
      </w:pPr>
      <w:r>
        <w:t xml:space="preserve">Neurologie: de gepegyleerde variant NLY01 wordt bij multiple sclerose onderzocht in een fase 2-studie met 120 deelnemers (NCT07497399).</w:t>
      </w:r>
    </w:p>
    <w:p>
      <w:pPr>
        <w:numPr>
          <w:ilvl w:val="0"/>
          <w:numId w:val="1041"/>
        </w:numPr>
        <w:pStyle w:val="Compact"/>
      </w:pPr>
      <w:r>
        <w:t xml:space="preserve">Veiligheid: naast de Europese studie naar alvleesklierkanker (NCT05663515) loopt een langetermijnbewakingsprogramma voor medullaire schildkliercarcinomen onder GLP-1-receptoragonisten (NCT01511393).</w:t>
      </w:r>
    </w:p>
    <w:p>
      <w:pPr>
        <w:numPr>
          <w:ilvl w:val="0"/>
          <w:numId w:val="1041"/>
        </w:numPr>
        <w:pStyle w:val="Compact"/>
      </w:pPr>
      <w:r>
        <w:t xml:space="preserve">Diagnostiek: radioactief gemerkt exendine-4 wordt als tracer gebruikt in de PET-beeldvorming van insulinomen (zeldzame insulineproducerende tumoren) (NCT07808879).</w:t>
      </w:r>
    </w:p>
    <w:p>
      <w:pPr>
        <w:pStyle w:val="FirstParagraph"/>
      </w:pPr>
      <w:r>
        <w:rPr>
          <w:bCs/>
          <w:b/>
        </w:rPr>
        <w:t xml:space="preserve">Inschatting:</w:t>
      </w:r>
      <w:r>
        <w:t xml:space="preserve"> </w:t>
      </w:r>
      <w:r>
        <w:t xml:space="preserve">exenatide zal in de diabetesbehandeling verder aan belang inboeten, omdat sterkere en gebruiksvriendelijkere opvolgers beschikbaar zijn. Zijn blijvende rol is die van pionier en van hulpmiddel voor het onderzoek. Of de Parkinsonhypothese nog eens opleeft, hangt af van werkzame stoffen die de hersenen beter bereiken en van de opheldering rond Exenatide-PD3.</w:t>
      </w:r>
    </w:p>
    <w:bookmarkEnd w:id="146"/>
    <w:bookmarkStart w:id="147" w:name="conclusie"/>
    <w:p>
      <w:pPr>
        <w:pStyle w:val="Heading3"/>
      </w:pPr>
      <w:r>
        <w:t xml:space="preserve">Conclusie</w:t>
      </w:r>
    </w:p>
    <w:p>
      <w:pPr>
        <w:pStyle w:val="FirstParagraph"/>
      </w:pPr>
      <w:r>
        <w:t xml:space="preserve">Exenatide was in 2005 de eerste GLP-1-receptoragonist op de markt en behoort tot de best onderzochte peptidegeneesmiddelen. In grote studies verlaagde het de langetermijnsuiker met ongeveer 1 tot 1,5 procentpunt en het gewicht met enkele kilo’s, in EXSCEL met 14.752 deelnemers zonder verhoogd cardiovasculair risico, maar ook zonder aangetoonde bescherming. In de directe vergelijking moet het het afleggen tegen liraglutide en semaglutide. De aanvankelijk veelbelovende gegevens over de ziekte van Parkinson werden in de grotere fase 3-studie niet bevestigd. Voor mensen met diabetes type 2 blijft exenatide een getoetste, maar niet langer eerste keuze – de beslissing hoort in handen van een arts.</w:t>
      </w:r>
    </w:p>
    <w:bookmarkEnd w:id="147"/>
    <w:bookmarkEnd w:id="148"/>
    <w:bookmarkStart w:id="163" w:name="liraglutide"/>
    <w:p>
      <w:pPr>
        <w:pStyle w:val="Heading2"/>
      </w:pPr>
      <w:r>
        <w:t xml:space="preserve">Liraglutide</w:t>
      </w:r>
    </w:p>
    <w:bookmarkStart w:id="149" w:name="profiel-1"/>
    <w:p>
      <w:pPr>
        <w:pStyle w:val="Heading3"/>
      </w:pPr>
      <w:r>
        <w:t xml:space="preserve">Profiel</w:t>
      </w:r>
    </w:p>
    <w:p>
      <w:pPr>
        <w:numPr>
          <w:ilvl w:val="0"/>
          <w:numId w:val="1042"/>
        </w:numPr>
        <w:pStyle w:val="Compact"/>
      </w:pPr>
      <w:r>
        <w:rPr>
          <w:bCs/>
          <w:b/>
        </w:rPr>
        <w:t xml:space="preserve">Soort/structuur:</w:t>
      </w:r>
      <w:r>
        <w:t xml:space="preserve"> </w:t>
      </w:r>
      <w:r>
        <w:t xml:space="preserve">gemodificeerd menselijk GLP-1 van 31 aminozuren. Het komt voor 97% overeen met het lichaamseigen hormoon; op één plaats is een aminozuur vervangen, op een andere hangt via een kort verbindingsstuk een vetzuur met 16 koolstofatomen.</w:t>
      </w:r>
    </w:p>
    <w:p>
      <w:pPr>
        <w:numPr>
          <w:ilvl w:val="0"/>
          <w:numId w:val="1042"/>
        </w:numPr>
        <w:pStyle w:val="Compact"/>
      </w:pPr>
      <w:r>
        <w:rPr>
          <w:bCs/>
          <w:b/>
        </w:rPr>
        <w:t xml:space="preserve">Herkomst:</w:t>
      </w:r>
      <w:r>
        <w:t xml:space="preserve"> </w:t>
      </w:r>
      <w:r>
        <w:t xml:space="preserve">ontwikkeld door Novo Nordisk (Knudsen 2019, PMID 31031702), recombinant geproduceerd in gist.</w:t>
      </w:r>
    </w:p>
    <w:p>
      <w:pPr>
        <w:numPr>
          <w:ilvl w:val="0"/>
          <w:numId w:val="1042"/>
        </w:numPr>
        <w:pStyle w:val="Compact"/>
      </w:pPr>
      <w:r>
        <w:rPr>
          <w:bCs/>
          <w:b/>
        </w:rPr>
        <w:t xml:space="preserve">Werkingsprincipe:</w:t>
      </w:r>
      <w:r>
        <w:t xml:space="preserve"> </w:t>
      </w:r>
      <w:r>
        <w:t xml:space="preserve">GLP-1-receptoragonist. Het vetzuur laat het molecuul aan het bloedeiwit albumine binden; daardoor volstaat één injectie per dag.</w:t>
      </w:r>
    </w:p>
    <w:p>
      <w:pPr>
        <w:numPr>
          <w:ilvl w:val="0"/>
          <w:numId w:val="1042"/>
        </w:numPr>
        <w:pStyle w:val="Compact"/>
      </w:pPr>
      <w:r>
        <w:rPr>
          <w:bCs/>
          <w:b/>
        </w:rPr>
        <w:t xml:space="preserve">Preparaten:</w:t>
      </w:r>
      <w:r>
        <w:t xml:space="preserve"> </w:t>
      </w:r>
      <w:r>
        <w:t xml:space="preserve">Victoza (diabetes type 2, tot 1,8 mg per dag), Saxenda (gewichtsbeheersing, tot 3,0 mg per dag), Xultophy (vaste combinatie met insuline degludec). Sinds 2024 zijn er generieke preparaten.</w:t>
      </w:r>
    </w:p>
    <w:p>
      <w:pPr>
        <w:numPr>
          <w:ilvl w:val="0"/>
          <w:numId w:val="1042"/>
        </w:numPr>
        <w:pStyle w:val="Compact"/>
      </w:pPr>
      <w:r>
        <w:rPr>
          <w:bCs/>
          <w:b/>
        </w:rPr>
        <w:t xml:space="preserve">Registratie EU:</w:t>
      </w:r>
      <w:r>
        <w:t xml:space="preserve"> </w:t>
      </w:r>
      <w:r>
        <w:t xml:space="preserve">ja – diabetes type 2 (sinds 2009) en gewichtsbeheersing (sinds 2015), telkens ook voor jongeren.</w:t>
      </w:r>
    </w:p>
    <w:p>
      <w:pPr>
        <w:numPr>
          <w:ilvl w:val="0"/>
          <w:numId w:val="1042"/>
        </w:numPr>
        <w:pStyle w:val="Compact"/>
      </w:pPr>
      <w:r>
        <w:rPr>
          <w:bCs/>
          <w:b/>
        </w:rPr>
        <w:t xml:space="preserve">Registratie VS:</w:t>
      </w:r>
      <w:r>
        <w:t xml:space="preserve"> </w:t>
      </w:r>
      <w:r>
        <w:t xml:space="preserve">ja – diabetes type 2 (sinds 2010, vanaf 10 jaar), verlaging van het cardiovasculaire risico bij diabetes type 2 en gewichtsbeheersing (sinds 2014, vanaf 12 jaar). Generieke middelen voor beide toepassingsgebieden zijn geregistreerd.</w:t>
      </w:r>
    </w:p>
    <w:p>
      <w:pPr>
        <w:numPr>
          <w:ilvl w:val="0"/>
          <w:numId w:val="1042"/>
        </w:numPr>
        <w:pStyle w:val="Compact"/>
      </w:pPr>
      <w:r>
        <w:rPr>
          <w:bCs/>
          <w:b/>
        </w:rPr>
        <w:t xml:space="preserve">WADA:</w:t>
      </w:r>
      <w:r>
        <w:t xml:space="preserve"> </w:t>
      </w:r>
      <w:r>
        <w:t xml:space="preserve">niet vermeld (stand 2026, actuele situatie controleren).</w:t>
      </w:r>
    </w:p>
    <w:p>
      <w:pPr>
        <w:numPr>
          <w:ilvl w:val="0"/>
          <w:numId w:val="1042"/>
        </w:numPr>
        <w:pStyle w:val="Compact"/>
      </w:pPr>
      <w:r>
        <w:rPr>
          <w:bCs/>
          <w:b/>
        </w:rPr>
        <w:t xml:space="preserve">Bewijsniveau:</w:t>
      </w:r>
      <w:r>
        <w:t xml:space="preserve"> </w:t>
      </w:r>
      <w:r>
        <w:rPr>
          <w:bCs/>
          <w:b/>
        </w:rPr>
        <w:t xml:space="preserve">A</w:t>
      </w:r>
      <w:r>
        <w:t xml:space="preserve"> </w:t>
      </w:r>
      <w:r>
        <w:t xml:space="preserve">– twee grote registratieprogramma’s (LEAD, SCALE), een grote uitkomststudie (LEADER), studies bij kinderen en jongeren.</w:t>
      </w:r>
    </w:p>
    <w:bookmarkEnd w:id="149"/>
    <w:bookmarkStart w:id="150" w:name="hoe-het-zou-moeten-werken-1"/>
    <w:p>
      <w:pPr>
        <w:pStyle w:val="Heading3"/>
      </w:pPr>
      <w:r>
        <w:t xml:space="preserve">Hoe het zou moeten werken</w:t>
      </w:r>
    </w:p>
    <w:p>
      <w:pPr>
        <w:pStyle w:val="FirstParagraph"/>
      </w:pPr>
      <w:r>
        <w:t xml:space="preserve">Liraglutide werkt zoals het lichaamseigen darmhormoon GLP-1: het versterkt de suikerafhankelijke insulineafgifte, remt het bloedsuikerverhogende glucagon, vertraagt de maaglediging en dempt in de hersenen de eetlust. Het basismechanisme van de klasse wordt beschreven in het hoofdstuk Exenatide.</w:t>
      </w:r>
    </w:p>
    <w:p>
      <w:pPr>
        <w:pStyle w:val="BodyText"/>
      </w:pPr>
      <w:r>
        <w:t xml:space="preserve">Het verschil zit in de bouw. Terwijl exenatide uit het gif van een hagedis komt en maar voor de helft op het menselijke hormoon lijkt, is liraglutide bijna identiek aan het lichaamseigen GLP-1. De truc die het houdbaar maakt, is het aangehangen vetzuur. Dat zorgt ervoor dat het molecuul zich in het bloed aan albumine hecht, zich tot kleine clusters samenvoegt en zo beschermd is tegen afbraak door het enzym DPP-4 en tegen uitscheiding via de nieren. De halfwaardetijd stijgt daardoor van enkele minuten tot ongeveer een halve dag.</w:t>
      </w:r>
    </w:p>
    <w:p>
      <w:pPr>
        <w:pStyle w:val="BodyText"/>
      </w:pPr>
      <w:r>
        <w:t xml:space="preserve">Voor het gewichtsverlies zijn vooral effecten in de hersenen verantwoordelijk. Bij muizen en ratten komt gemerkt liraglutide in bepaalde gebieden van de hypothalamus, het regelcentrum voor honger en verzadiging, en activeert het daar zenuwcellen die het verzadigingsgevoel bevorderen (Secher 2014, PMID 25202980). Bij de mens uit zich dat in een geringere voedselinname; een noemenswaardige stijging van het energieverbruik is niet aangetoond.</w:t>
      </w:r>
    </w:p>
    <w:p>
      <w:pPr>
        <w:pStyle w:val="BodyText"/>
      </w:pPr>
      <w:r>
        <w:t xml:space="preserve">Uit liraglutide ontstond later semaglutide: hetzelfde basisidee, maar met een sterkere albuminebinding die één injectie per week mogelijk maakt (Knudsen 2019, PMID 31031702).</w:t>
      </w:r>
    </w:p>
    <w:bookmarkEnd w:id="150"/>
    <w:bookmarkStart w:id="157" w:name="studies-bij-mensen-1"/>
    <w:p>
      <w:pPr>
        <w:pStyle w:val="Heading3"/>
      </w:pPr>
      <w:r>
        <w:t xml:space="preserve">Studies bij mensen</w:t>
      </w:r>
    </w:p>
    <w:p>
      <w:pPr>
        <w:pStyle w:val="FirstParagraph"/>
      </w:pPr>
      <w:r>
        <w:t xml:space="preserve">Liraglutide behoort tot de best onderzochte peptidegeneesmiddelen. De voor dit boek geanalyseerde PubMed-zoekopdracht (zoekterm „liraglutide” in titel of abstract, zoekdatum oktober 2026) leverde 613 studies bij mensen op – meer dan voor enig ander peptide in dit boek. ClinicalTrials.gov vermeldt 517 registraties. Hieronder staan de registratie- en uitkomststudies centraal; daarnaast zijn er honderden kleinere studies over lever, hart, hersenen, vruchtbaarheid en eetstoornissen.</w:t>
      </w:r>
    </w:p>
    <w:bookmarkStart w:id="151" w:name="diabetes-type-2-het-lead-programma"/>
    <w:p>
      <w:pPr>
        <w:pStyle w:val="Heading4"/>
      </w:pPr>
      <w:r>
        <w:t xml:space="preserve">Diabetes type 2: het LEAD-programma</w:t>
      </w:r>
    </w:p>
    <w:p>
      <w:pPr>
        <w:pStyle w:val="FirstParagraph"/>
      </w:pPr>
      <w:r>
        <w:t xml:space="preserve">Voor de diabetesregistratie werd liraglutide getest in zes studies onder de naam LEAD (Liraglutide Effect and Action in Diabetes), telkens met 1,2 of 1,8 mg per dag. Twee daarvan zijn bijzonder verhelderend, omdat ze het opnamen tegen destijds gevestigde therapieën. Daarbij komt de vergelijking met de DPP-4-remmer sitagliptine.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Deelnemers en opzet</w:t>
            </w:r>
          </w:p>
        </w:tc>
        <w:tc>
          <w:tcPr/>
          <w:p>
            <w:pPr>
              <w:pStyle w:val="Compact"/>
              <w:jc w:val="left"/>
            </w:pPr>
            <w:r>
              <w:t xml:space="preserve">Duur</w:t>
            </w:r>
          </w:p>
        </w:tc>
        <w:tc>
          <w:tcPr/>
          <w:p>
            <w:pPr>
              <w:pStyle w:val="Compact"/>
              <w:jc w:val="left"/>
            </w:pPr>
            <w:r>
              <w:t xml:space="preserve">Resultaat</w:t>
            </w:r>
          </w:p>
        </w:tc>
      </w:tr>
      <w:tr>
        <w:tc>
          <w:tcPr/>
          <w:p>
            <w:pPr>
              <w:pStyle w:val="Compact"/>
              <w:jc w:val="left"/>
            </w:pPr>
            <w:r>
              <w:t xml:space="preserve">LEAD-3 Mono (Garber 2009), PMID 18819705</w:t>
            </w:r>
          </w:p>
        </w:tc>
        <w:tc>
          <w:tcPr/>
          <w:p>
            <w:pPr>
              <w:pStyle w:val="Compact"/>
              <w:jc w:val="left"/>
            </w:pPr>
            <w:r>
              <w:t xml:space="preserve">746 personen met vroege diabetes type 2, dubbelblind vs. glimepiride</w:t>
            </w:r>
          </w:p>
        </w:tc>
        <w:tc>
          <w:tcPr/>
          <w:p>
            <w:pPr>
              <w:pStyle w:val="Compact"/>
              <w:jc w:val="left"/>
            </w:pPr>
            <w:r>
              <w:t xml:space="preserve">52 weken</w:t>
            </w:r>
          </w:p>
        </w:tc>
        <w:tc>
          <w:tcPr/>
          <w:p>
            <w:pPr>
              <w:pStyle w:val="Compact"/>
              <w:jc w:val="left"/>
            </w:pPr>
            <w:r>
              <w:t xml:space="preserve">HbA1c −1,14 (1,8 mg) vs. −0,51 procentpunt</w:t>
            </w:r>
          </w:p>
        </w:tc>
      </w:tr>
      <w:tr>
        <w:tc>
          <w:tcPr/>
          <w:p>
            <w:pPr>
              <w:pStyle w:val="Compact"/>
              <w:jc w:val="left"/>
            </w:pPr>
            <w:r>
              <w:t xml:space="preserve">LEAD-6 (Buse 2009), PMID 19515413</w:t>
            </w:r>
          </w:p>
        </w:tc>
        <w:tc>
          <w:tcPr/>
          <w:p>
            <w:pPr>
              <w:pStyle w:val="Compact"/>
              <w:jc w:val="left"/>
            </w:pPr>
            <w:r>
              <w:t xml:space="preserve">open vs. exenatide twee keer per dag</w:t>
            </w:r>
          </w:p>
        </w:tc>
        <w:tc>
          <w:tcPr/>
          <w:p>
            <w:pPr>
              <w:pStyle w:val="Compact"/>
              <w:jc w:val="left"/>
            </w:pPr>
            <w:r>
              <w:t xml:space="preserve">26 weken</w:t>
            </w:r>
          </w:p>
        </w:tc>
        <w:tc>
          <w:tcPr/>
          <w:p>
            <w:pPr>
              <w:pStyle w:val="Compact"/>
              <w:jc w:val="left"/>
            </w:pPr>
            <w:r>
              <w:t xml:space="preserve">HbA1c −1,12 vs. −0,79; gewicht −3,24 vs. −2,87 kg</w:t>
            </w:r>
          </w:p>
        </w:tc>
      </w:tr>
      <w:tr>
        <w:tc>
          <w:tcPr/>
          <w:p>
            <w:pPr>
              <w:pStyle w:val="Compact"/>
              <w:jc w:val="left"/>
            </w:pPr>
            <w:r>
              <w:t xml:space="preserve">Pratley 2010, PMID 20417856</w:t>
            </w:r>
          </w:p>
        </w:tc>
        <w:tc>
          <w:tcPr/>
          <w:p>
            <w:pPr>
              <w:pStyle w:val="Compact"/>
              <w:jc w:val="left"/>
            </w:pPr>
            <w:r>
              <w:t xml:space="preserve">658 personen met metformine, open vs. sitagliptine</w:t>
            </w:r>
          </w:p>
        </w:tc>
        <w:tc>
          <w:tcPr/>
          <w:p>
            <w:pPr>
              <w:pStyle w:val="Compact"/>
              <w:jc w:val="left"/>
            </w:pPr>
            <w:r>
              <w:t xml:space="preserve">26 weken</w:t>
            </w:r>
          </w:p>
        </w:tc>
        <w:tc>
          <w:tcPr/>
          <w:p>
            <w:pPr>
              <w:pStyle w:val="Compact"/>
              <w:jc w:val="left"/>
            </w:pPr>
            <w:r>
              <w:t xml:space="preserve">HbA1c −1,50 (1,8 mg) vs. −0,90; misselijkheid 27% vs. 5%</w:t>
            </w:r>
          </w:p>
        </w:tc>
      </w:tr>
    </w:tbl>
    <w:p>
      <w:pPr>
        <w:pStyle w:val="BodyText"/>
      </w:pPr>
      <w:r>
        <w:t xml:space="preserve">De langetermijnsuikerwaarde HbA1c daalde onder liraglutide in deze studies met 1,1 tot 1,5 procentpunt. In LEAD-3 (Garber 2009, PMID 18819705) was liraglutide als eerste diabetesmiddel superieur aan het sulfonylureumderivaat glimepiride, dat de bloedsuiker onafhankelijk van maaltijden verlaagt en vaker tot hypoglykemieën leidt. Tegen sitagliptine (Pratley 2010, PMID 20417856) bedroeg het voordeel 0,6 procentpunt, maar met duidelijk meer misselijkheid.</w:t>
      </w:r>
    </w:p>
    <w:bookmarkEnd w:id="151"/>
    <w:bookmarkStart w:id="152" w:name="Xa473563f846ae00e58ff5b08a11e152833a5bed"/>
    <w:p>
      <w:pPr>
        <w:pStyle w:val="Heading4"/>
      </w:pPr>
      <w:r>
        <w:t xml:space="preserve">Directe vergelijkingen binnen de GLP-1-klasse</w:t>
      </w:r>
    </w:p>
    <w:p>
      <w:pPr>
        <w:pStyle w:val="FirstParagraph"/>
      </w:pPr>
      <w:r>
        <w:t xml:space="preserve">Liraglutide is de meest gebruikte vergelijkingspartner van de klasse. De resultaten geven een duidelijke rangorde: liraglutide is sterker dan exenatide, ongeveer even sterk als dulaglutide en zwakker dan semaglutide.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Opzet</w:t>
            </w:r>
          </w:p>
        </w:tc>
        <w:tc>
          <w:tcPr/>
          <w:p>
            <w:pPr>
              <w:pStyle w:val="Compact"/>
              <w:jc w:val="left"/>
            </w:pPr>
            <w:r>
              <w:t xml:space="preserve">Duur</w:t>
            </w:r>
          </w:p>
        </w:tc>
        <w:tc>
          <w:tcPr/>
          <w:p>
            <w:pPr>
              <w:pStyle w:val="Compact"/>
              <w:jc w:val="left"/>
            </w:pPr>
            <w:r>
              <w:t xml:space="preserve">Resultaat (liraglutide vs. vergelijking)</w:t>
            </w:r>
          </w:p>
        </w:tc>
      </w:tr>
      <w:tr>
        <w:tc>
          <w:tcPr/>
          <w:p>
            <w:pPr>
              <w:pStyle w:val="Compact"/>
              <w:jc w:val="left"/>
            </w:pPr>
            <w:r>
              <w:t xml:space="preserve">LEAD-6 (Buse 2009), PMID 19515413</w:t>
            </w:r>
          </w:p>
        </w:tc>
        <w:tc>
          <w:tcPr/>
          <w:p>
            <w:pPr>
              <w:pStyle w:val="Compact"/>
              <w:jc w:val="left"/>
            </w:pPr>
            <w:r>
              <w:t xml:space="preserve">vs. exenatide twee keer per dag</w:t>
            </w:r>
          </w:p>
        </w:tc>
        <w:tc>
          <w:tcPr/>
          <w:p>
            <w:pPr>
              <w:pStyle w:val="Compact"/>
              <w:jc w:val="left"/>
            </w:pPr>
            <w:r>
              <w:t xml:space="preserve">26 weken</w:t>
            </w:r>
          </w:p>
        </w:tc>
        <w:tc>
          <w:tcPr/>
          <w:p>
            <w:pPr>
              <w:pStyle w:val="Compact"/>
              <w:jc w:val="left"/>
            </w:pPr>
            <w:r>
              <w:t xml:space="preserve">HbA1c −1,12 vs. −0,79; streefwaarde &lt; 7% bij 54% vs. 43%</w:t>
            </w:r>
          </w:p>
        </w:tc>
      </w:tr>
      <w:tr>
        <w:tc>
          <w:tcPr/>
          <w:p>
            <w:pPr>
              <w:pStyle w:val="Compact"/>
              <w:jc w:val="left"/>
            </w:pPr>
            <w:r>
              <w:t xml:space="preserve">DURATION-6 (Buse 2013), PMID 23141817</w:t>
            </w:r>
          </w:p>
        </w:tc>
        <w:tc>
          <w:tcPr/>
          <w:p>
            <w:pPr>
              <w:pStyle w:val="Compact"/>
              <w:jc w:val="left"/>
            </w:pPr>
            <w:r>
              <w:t xml:space="preserve">911 personen, vs. exenatide wekelijks</w:t>
            </w:r>
          </w:p>
        </w:tc>
        <w:tc>
          <w:tcPr/>
          <w:p>
            <w:pPr>
              <w:pStyle w:val="Compact"/>
              <w:jc w:val="left"/>
            </w:pPr>
            <w:r>
              <w:t xml:space="preserve">26 weken</w:t>
            </w:r>
          </w:p>
        </w:tc>
        <w:tc>
          <w:tcPr/>
          <w:p>
            <w:pPr>
              <w:pStyle w:val="Compact"/>
              <w:jc w:val="left"/>
            </w:pPr>
            <w:r>
              <w:t xml:space="preserve">HbA1c −1,48 vs. −1,28; misselijkheid 21% vs. 9%</w:t>
            </w:r>
          </w:p>
        </w:tc>
      </w:tr>
      <w:tr>
        <w:tc>
          <w:tcPr/>
          <w:p>
            <w:pPr>
              <w:pStyle w:val="Compact"/>
              <w:jc w:val="left"/>
            </w:pPr>
            <w:r>
              <w:t xml:space="preserve">AWARD-6 (Dungan 2014), PMID 25018121</w:t>
            </w:r>
          </w:p>
        </w:tc>
        <w:tc>
          <w:tcPr/>
          <w:p>
            <w:pPr>
              <w:pStyle w:val="Compact"/>
              <w:jc w:val="left"/>
            </w:pPr>
            <w:r>
              <w:t xml:space="preserve">599 personen, vs. dulaglutide wekelijks</w:t>
            </w:r>
          </w:p>
        </w:tc>
        <w:tc>
          <w:tcPr/>
          <w:p>
            <w:pPr>
              <w:pStyle w:val="Compact"/>
              <w:jc w:val="left"/>
            </w:pPr>
            <w:r>
              <w:t xml:space="preserve">26 weken</w:t>
            </w:r>
          </w:p>
        </w:tc>
        <w:tc>
          <w:tcPr/>
          <w:p>
            <w:pPr>
              <w:pStyle w:val="Compact"/>
              <w:jc w:val="left"/>
            </w:pPr>
            <w:r>
              <w:t xml:space="preserve">HbA1c −1,36 vs. −1,42; gelijkwaardig</w:t>
            </w:r>
          </w:p>
        </w:tc>
      </w:tr>
      <w:tr>
        <w:tc>
          <w:tcPr/>
          <w:p>
            <w:pPr>
              <w:pStyle w:val="Compact"/>
              <w:jc w:val="left"/>
            </w:pPr>
            <w:r>
              <w:t xml:space="preserve">PIONEER 4 (Pratley 2019), PMID 31186120</w:t>
            </w:r>
          </w:p>
        </w:tc>
        <w:tc>
          <w:tcPr/>
          <w:p>
            <w:pPr>
              <w:pStyle w:val="Compact"/>
              <w:jc w:val="left"/>
            </w:pPr>
            <w:r>
              <w:t xml:space="preserve">711 personen, vs. semaglutidetablet en placebo</w:t>
            </w:r>
          </w:p>
        </w:tc>
        <w:tc>
          <w:tcPr/>
          <w:p>
            <w:pPr>
              <w:pStyle w:val="Compact"/>
              <w:jc w:val="left"/>
            </w:pPr>
            <w:r>
              <w:t xml:space="preserve">52 weken</w:t>
            </w:r>
          </w:p>
        </w:tc>
        <w:tc>
          <w:tcPr/>
          <w:p>
            <w:pPr>
              <w:pStyle w:val="Compact"/>
              <w:jc w:val="left"/>
            </w:pPr>
            <w:r>
              <w:t xml:space="preserve">HbA1c −1,1 vs. −1,2 na 26 weken; gewicht −3,1 vs. −4,4 kg</w:t>
            </w:r>
          </w:p>
        </w:tc>
      </w:tr>
      <w:tr>
        <w:tc>
          <w:tcPr/>
          <w:p>
            <w:pPr>
              <w:pStyle w:val="Compact"/>
              <w:jc w:val="left"/>
            </w:pPr>
            <w:r>
              <w:t xml:space="preserve">SUSTAIN 10 (Capehorn 2020), PMID 31539622</w:t>
            </w:r>
          </w:p>
        </w:tc>
        <w:tc>
          <w:tcPr/>
          <w:p>
            <w:pPr>
              <w:pStyle w:val="Compact"/>
              <w:jc w:val="left"/>
            </w:pPr>
            <w:r>
              <w:t xml:space="preserve">liraglutide 1,2 mg vs. semaglutide 1,0 mg wekelijks</w:t>
            </w:r>
          </w:p>
        </w:tc>
        <w:tc>
          <w:tcPr/>
          <w:p>
            <w:pPr>
              <w:pStyle w:val="Compact"/>
              <w:jc w:val="left"/>
            </w:pPr>
            <w:r>
              <w:t xml:space="preserve">30 weken</w:t>
            </w:r>
          </w:p>
        </w:tc>
        <w:tc>
          <w:tcPr/>
          <w:p>
            <w:pPr>
              <w:pStyle w:val="Compact"/>
              <w:jc w:val="left"/>
            </w:pPr>
            <w:r>
              <w:t xml:space="preserve">HbA1c −1,0 vs. −1,7; gewicht −1,9 vs. −5,8 kg</w:t>
            </w:r>
          </w:p>
        </w:tc>
      </w:tr>
      <w:tr>
        <w:tc>
          <w:tcPr/>
          <w:p>
            <w:pPr>
              <w:pStyle w:val="Compact"/>
              <w:jc w:val="left"/>
            </w:pPr>
            <w:r>
              <w:t xml:space="preserve">STEP 8 (Rubino 2022), PMID 35015037</w:t>
            </w:r>
          </w:p>
        </w:tc>
        <w:tc>
          <w:tcPr/>
          <w:p>
            <w:pPr>
              <w:pStyle w:val="Compact"/>
              <w:jc w:val="left"/>
            </w:pPr>
            <w:r>
              <w:t xml:space="preserve">338 personen met obesitas zonder diabetes, liraglutide 3,0 mg vs. semaglutide 2,4 mg</w:t>
            </w:r>
          </w:p>
        </w:tc>
        <w:tc>
          <w:tcPr/>
          <w:p>
            <w:pPr>
              <w:pStyle w:val="Compact"/>
              <w:jc w:val="left"/>
            </w:pPr>
            <w:r>
              <w:t xml:space="preserve">68 weken</w:t>
            </w:r>
          </w:p>
        </w:tc>
        <w:tc>
          <w:tcPr/>
          <w:p>
            <w:pPr>
              <w:pStyle w:val="Compact"/>
              <w:jc w:val="left"/>
            </w:pPr>
            <w:r>
              <w:t xml:space="preserve">gewicht −6,4% vs. −15,8%</w:t>
            </w:r>
          </w:p>
        </w:tc>
      </w:tr>
    </w:tbl>
    <w:p>
      <w:pPr>
        <w:pStyle w:val="BodyText"/>
      </w:pPr>
      <w:r>
        <w:t xml:space="preserve">In LEAD-6 (Buse 2009, PMID 19515413) verlaagde liraglutide de nuchtere glucose duidelijk sterker dan exenatide twee keer per dag, de suikerstijging na ontbijt en avondeten daarentegen minder – een aanwijzing dat kortwerkende vormen sterker via de maaglediging werken. Misselijkheid hield onder liraglutide korter aan, lichte hypoglykemieën waren zeldzamer (25,5% vs. 33,6% van de deelnemers).</w:t>
      </w:r>
    </w:p>
    <w:p>
      <w:pPr>
        <w:pStyle w:val="BodyText"/>
      </w:pPr>
      <w:r>
        <w:t xml:space="preserve">Tegen dulaglutide was liraglutide in AWARD-6 (Dungan 2014, PMID 25018121) gelijkwaardig, bij vergelijkbare verdraagbaarheid; misselijkheid trad op bij 18% tegenover 20%.</w:t>
      </w:r>
    </w:p>
    <w:p>
      <w:pPr>
        <w:pStyle w:val="BodyText"/>
      </w:pPr>
      <w:r>
        <w:t xml:space="preserve">Tegen semaglutide verloor liraglutide in alle vergelijkingen. Het duidelijkst was dat in STEP 8 (Rubino 2022, PMID 35015037) bij het gewicht: met de telkens voor obesitas geregistreerde dosis verloren deelnemers met semaglutide gemiddeld 15,8%, met liraglutide 6,4% (placebo: 1,9%). Een afname van ten minste 15% bereikte 55,6% tegenover 12,0%. Voortijdig gestopt met de behandeling waren 27,6% met liraglutide en 13,5% met semaglutide. Bij de semaglutidetablet viel het verschil in PIONEER 4 (Pratley 2019, PMID 31186120) kleiner uit: bij de HbA1c was de tablet volgens de primaire analysemethode niet slechter, bij het gewicht 1,2 kg beter. Details over deze studies staan in het hoofdstuk Semaglutide.</w:t>
      </w:r>
    </w:p>
    <w:bookmarkEnd w:id="152"/>
    <w:bookmarkStart w:id="153" w:name="leader-hart-bloedvaten-en-nieren"/>
    <w:p>
      <w:pPr>
        <w:pStyle w:val="Heading4"/>
      </w:pPr>
      <w:r>
        <w:t xml:space="preserve">LEADER: hart, bloedvaten en nieren</w:t>
      </w:r>
    </w:p>
    <w:p>
      <w:pPr>
        <w:pStyle w:val="FirstParagraph"/>
      </w:pPr>
      <w:r>
        <w:t xml:space="preserve">LEADER was de eerste grote studie die voor een GLP-1-receptoragonist bescherming tegen cardiovasculaire gebeurtenissen liet zien. Ze heeft de rol van de hele klasse in de diabetesrichtlijnen veranderd.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Deelnemers en opzet</w:t>
            </w:r>
          </w:p>
        </w:tc>
        <w:tc>
          <w:tcPr/>
          <w:p>
            <w:pPr>
              <w:pStyle w:val="Compact"/>
              <w:jc w:val="left"/>
            </w:pPr>
            <w:r>
              <w:t xml:space="preserve">Duur</w:t>
            </w:r>
          </w:p>
        </w:tc>
        <w:tc>
          <w:tcPr/>
          <w:p>
            <w:pPr>
              <w:pStyle w:val="Compact"/>
              <w:jc w:val="left"/>
            </w:pPr>
            <w:r>
              <w:t xml:space="preserve">Resultaat</w:t>
            </w:r>
          </w:p>
        </w:tc>
      </w:tr>
      <w:tr>
        <w:tc>
          <w:tcPr/>
          <w:p>
            <w:pPr>
              <w:pStyle w:val="Compact"/>
              <w:jc w:val="left"/>
            </w:pPr>
            <w:r>
              <w:t xml:space="preserve">LEADER (Marso 2016), PMID 27295427</w:t>
            </w:r>
          </w:p>
        </w:tc>
        <w:tc>
          <w:tcPr/>
          <w:p>
            <w:pPr>
              <w:pStyle w:val="Compact"/>
              <w:jc w:val="left"/>
            </w:pPr>
            <w:r>
              <w:t xml:space="preserve">9.340 personen met diabetes type 2 en hoog cardiovasculair risico, RCT tegen placebo</w:t>
            </w:r>
          </w:p>
        </w:tc>
        <w:tc>
          <w:tcPr/>
          <w:p>
            <w:pPr>
              <w:pStyle w:val="Compact"/>
              <w:jc w:val="left"/>
            </w:pPr>
            <w:r>
              <w:t xml:space="preserve">mediaan 3,8 jaar</w:t>
            </w:r>
          </w:p>
        </w:tc>
        <w:tc>
          <w:tcPr/>
          <w:p>
            <w:pPr>
              <w:pStyle w:val="Compact"/>
              <w:jc w:val="left"/>
            </w:pPr>
            <w:r>
              <w:t xml:space="preserve">ernstige cardiovasculaire gebeurtenissen 13,0% vs. 14,9%; HR 0,87 (0,78–0,97)</w:t>
            </w:r>
          </w:p>
        </w:tc>
      </w:tr>
      <w:tr>
        <w:tc>
          <w:tcPr/>
          <w:p>
            <w:pPr>
              <w:pStyle w:val="Compact"/>
              <w:jc w:val="left"/>
            </w:pPr>
            <w:r>
              <w:t xml:space="preserve">LEADER, nieranalyse (Mann 2017), PMID 28854085</w:t>
            </w:r>
          </w:p>
        </w:tc>
        <w:tc>
          <w:tcPr/>
          <w:p>
            <w:pPr>
              <w:pStyle w:val="Compact"/>
              <w:jc w:val="left"/>
            </w:pPr>
            <w:r>
              <w:t xml:space="preserve">dezelfde 9.340 personen, vooraf geplande analyse</w:t>
            </w:r>
          </w:p>
        </w:tc>
        <w:tc>
          <w:tcPr/>
          <w:p>
            <w:pPr>
              <w:pStyle w:val="Compact"/>
              <w:jc w:val="left"/>
            </w:pPr>
            <w:r>
              <w:t xml:space="preserve">mediaan 3,84 jaar</w:t>
            </w:r>
          </w:p>
        </w:tc>
        <w:tc>
          <w:tcPr/>
          <w:p>
            <w:pPr>
              <w:pStyle w:val="Compact"/>
              <w:jc w:val="left"/>
            </w:pPr>
            <w:r>
              <w:t xml:space="preserve">niereindpunt 268 vs. 337 gevallen; HR 0,78, vooral minder nieuwe macroalbuminurie</w:t>
            </w:r>
          </w:p>
        </w:tc>
      </w:tr>
    </w:tbl>
    <w:p>
      <w:pPr>
        <w:pStyle w:val="BodyText"/>
      </w:pPr>
      <w:r>
        <w:t xml:space="preserve">Het primaire eindpunt – overlijden door een cardiovasculaire oorzaak, niet-fataal hartinfarct of beroerte – trad onder liraglutide op bij 608 van 4.668 personen (13,0%), onder placebo bij 694 van 4.672 (14,9%) (Marso 2016, PMID 27295427). Dat komt overeen met een relatieve risicoverlaging van 13%. Het effect werd vooral gedragen door minder cardiovasculaire sterfgevallen (4,7% vs. 6,0%; HR 0,78). Ook de totale sterfte was lager (8,2% vs. 9,6%; HR 0,85). De afzonderlijke componenten hartinfarct, beroerte en ziekenhuisopname wegens hartfalen waren op zichzelf niet significant verminderd.</w:t>
      </w:r>
    </w:p>
    <w:p>
      <w:pPr>
        <w:pStyle w:val="BodyText"/>
      </w:pPr>
      <w:r>
        <w:t xml:space="preserve">In absolute getallen betekent dit: over bijna vier jaar hadden ongeveer twee op de honderd behandelden een ernstige cardiovasculaire gebeurtenis minder. Voor een hoogrisicogroep is dat een relevant effect.</w:t>
      </w:r>
    </w:p>
    <w:p>
      <w:pPr>
        <w:pStyle w:val="BodyText"/>
      </w:pPr>
      <w:r>
        <w:t xml:space="preserve">De nieranalyse (Mann 2017, PMID 28854085) liet minder gevallen zien van een nieuw optredende sterke eiwituitscheiding in de urine (macroalbuminurie). Harde niereindpunten zoals dialyse waren zeldzaam en verschilden niet duidelijk. Acuut nierfalen kwam ongeveer even vaak voor als onder placebo.</w:t>
      </w:r>
    </w:p>
    <w:p>
      <w:pPr>
        <w:pStyle w:val="BodyText"/>
      </w:pPr>
      <w:r>
        <w:t xml:space="preserve">Niet elke hartpatiëntengroep heeft er baat bij. In de FIGHT-studie met 300 personen die kort tevoren wegens ernstig hartfalen met sterk verminderde pompfunctie in het ziekenhuis hadden gelegen, verbeterde liraglutide het verloop niet (Margulies 2016, PMID 27483064). Er waren zelfs iets meer heropnames wegens hartfalen (41% vs. 34%), zonder dat het verschil statistisch significant was. De auteurs zagen geen basis voor gebruik in deze situatie.</w:t>
      </w:r>
    </w:p>
    <w:bookmarkEnd w:id="153"/>
    <w:bookmarkStart w:id="154" w:name="obesitas-het-scale-programma"/>
    <w:p>
      <w:pPr>
        <w:pStyle w:val="Heading4"/>
      </w:pPr>
      <w:r>
        <w:t xml:space="preserve">Obesitas: het SCALE-programma</w:t>
      </w:r>
    </w:p>
    <w:p>
      <w:pPr>
        <w:pStyle w:val="FirstParagraph"/>
      </w:pPr>
      <w:r>
        <w:t xml:space="preserve">Met 3,0 mg per dag – bijna twee keer zoveel als de hoogste diabetesdosis – werd liraglutide in 2014/2015 als eerste GLP-1-geneesmiddel voor gewichtsvermindering geregistreerd. Basis was het studieprogramma SCALE.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Deelnemers en opzet</w:t>
            </w:r>
          </w:p>
        </w:tc>
        <w:tc>
          <w:tcPr/>
          <w:p>
            <w:pPr>
              <w:pStyle w:val="Compact"/>
              <w:jc w:val="left"/>
            </w:pPr>
            <w:r>
              <w:t xml:space="preserve">Duur</w:t>
            </w:r>
          </w:p>
        </w:tc>
        <w:tc>
          <w:tcPr/>
          <w:p>
            <w:pPr>
              <w:pStyle w:val="Compact"/>
              <w:jc w:val="left"/>
            </w:pPr>
            <w:r>
              <w:t xml:space="preserve">Resultaat</w:t>
            </w:r>
          </w:p>
        </w:tc>
      </w:tr>
      <w:tr>
        <w:tc>
          <w:tcPr/>
          <w:p>
            <w:pPr>
              <w:pStyle w:val="Compact"/>
              <w:jc w:val="left"/>
            </w:pPr>
            <w:r>
              <w:t xml:space="preserve">SCALE Obesity and Prediabetes (Pi-Sunyer 2015), PMID 26132939</w:t>
            </w:r>
          </w:p>
        </w:tc>
        <w:tc>
          <w:tcPr/>
          <w:p>
            <w:pPr>
              <w:pStyle w:val="Compact"/>
              <w:jc w:val="left"/>
            </w:pPr>
            <w:r>
              <w:t xml:space="preserve">3.731 volwassenen met obesitas zonder diabetes, RCT tegen placebo</w:t>
            </w:r>
          </w:p>
        </w:tc>
        <w:tc>
          <w:tcPr/>
          <w:p>
            <w:pPr>
              <w:pStyle w:val="Compact"/>
              <w:jc w:val="left"/>
            </w:pPr>
            <w:r>
              <w:t xml:space="preserve">56 weken</w:t>
            </w:r>
          </w:p>
        </w:tc>
        <w:tc>
          <w:tcPr/>
          <w:p>
            <w:pPr>
              <w:pStyle w:val="Compact"/>
              <w:jc w:val="left"/>
            </w:pPr>
            <w:r>
              <w:t xml:space="preserve">−8,4 kg vs. −2,8 kg; ≥ 5% afname bij 63,2% vs. 27,1%</w:t>
            </w:r>
          </w:p>
        </w:tc>
      </w:tr>
      <w:tr>
        <w:tc>
          <w:tcPr/>
          <w:p>
            <w:pPr>
              <w:pStyle w:val="Compact"/>
              <w:jc w:val="left"/>
            </w:pPr>
            <w:r>
              <w:t xml:space="preserve">SCALE, 3-jaarsdeel (le Roux 2017), PMID 28237263</w:t>
            </w:r>
          </w:p>
        </w:tc>
        <w:tc>
          <w:tcPr/>
          <w:p>
            <w:pPr>
              <w:pStyle w:val="Compact"/>
              <w:jc w:val="left"/>
            </w:pPr>
            <w:r>
              <w:t xml:space="preserve">2.254 personen met prediabetes</w:t>
            </w:r>
          </w:p>
        </w:tc>
        <w:tc>
          <w:tcPr/>
          <w:p>
            <w:pPr>
              <w:pStyle w:val="Compact"/>
              <w:jc w:val="left"/>
            </w:pPr>
            <w:r>
              <w:t xml:space="preserve">160 weken</w:t>
            </w:r>
          </w:p>
        </w:tc>
        <w:tc>
          <w:tcPr/>
          <w:p>
            <w:pPr>
              <w:pStyle w:val="Compact"/>
              <w:jc w:val="left"/>
            </w:pPr>
            <w:r>
              <w:t xml:space="preserve">nieuwe diabetes bij 2% vs. 6%; gewicht −6,1% vs. −1,9%</w:t>
            </w:r>
          </w:p>
        </w:tc>
      </w:tr>
      <w:tr>
        <w:tc>
          <w:tcPr/>
          <w:p>
            <w:pPr>
              <w:pStyle w:val="Compact"/>
              <w:jc w:val="left"/>
            </w:pPr>
            <w:r>
              <w:t xml:space="preserve">SCALE Diabetes (Davies 2015), PMID 26284720</w:t>
            </w:r>
          </w:p>
        </w:tc>
        <w:tc>
          <w:tcPr/>
          <w:p>
            <w:pPr>
              <w:pStyle w:val="Compact"/>
              <w:jc w:val="left"/>
            </w:pPr>
            <w:r>
              <w:t xml:space="preserve">846 personen met diabetes type 2 en overgewicht</w:t>
            </w:r>
          </w:p>
        </w:tc>
        <w:tc>
          <w:tcPr/>
          <w:p>
            <w:pPr>
              <w:pStyle w:val="Compact"/>
              <w:jc w:val="left"/>
            </w:pPr>
            <w:r>
              <w:t xml:space="preserve">56 weken</w:t>
            </w:r>
          </w:p>
        </w:tc>
        <w:tc>
          <w:tcPr/>
          <w:p>
            <w:pPr>
              <w:pStyle w:val="Compact"/>
              <w:jc w:val="left"/>
            </w:pPr>
            <w:r>
              <w:t xml:space="preserve">−6,0% (3,0 mg) vs. −2,0%</w:t>
            </w:r>
          </w:p>
        </w:tc>
      </w:tr>
      <w:tr>
        <w:tc>
          <w:tcPr/>
          <w:p>
            <w:pPr>
              <w:pStyle w:val="Compact"/>
              <w:jc w:val="left"/>
            </w:pPr>
            <w:r>
              <w:t xml:space="preserve">SCALE Maintenance (Wadden 2013), PMID 23812094</w:t>
            </w:r>
          </w:p>
        </w:tc>
        <w:tc>
          <w:tcPr/>
          <w:p>
            <w:pPr>
              <w:pStyle w:val="Compact"/>
              <w:jc w:val="left"/>
            </w:pPr>
            <w:r>
              <w:t xml:space="preserve">422 personen na dieet met ≥ 5% afname</w:t>
            </w:r>
          </w:p>
        </w:tc>
        <w:tc>
          <w:tcPr/>
          <w:p>
            <w:pPr>
              <w:pStyle w:val="Compact"/>
              <w:jc w:val="left"/>
            </w:pPr>
            <w:r>
              <w:t xml:space="preserve">56 weken</w:t>
            </w:r>
          </w:p>
        </w:tc>
        <w:tc>
          <w:tcPr/>
          <w:p>
            <w:pPr>
              <w:pStyle w:val="Compact"/>
              <w:jc w:val="left"/>
            </w:pPr>
            <w:r>
              <w:t xml:space="preserve">extra −6,2% vs. −0,2%</w:t>
            </w:r>
          </w:p>
        </w:tc>
      </w:tr>
      <w:tr>
        <w:tc>
          <w:tcPr/>
          <w:p>
            <w:pPr>
              <w:pStyle w:val="Compact"/>
              <w:jc w:val="left"/>
            </w:pPr>
            <w:r>
              <w:t xml:space="preserve">SCALE Sleep Apnea (Blackman 2016), PMID 27005405</w:t>
            </w:r>
          </w:p>
        </w:tc>
        <w:tc>
          <w:tcPr/>
          <w:p>
            <w:pPr>
              <w:pStyle w:val="Compact"/>
              <w:jc w:val="left"/>
            </w:pPr>
            <w:r>
              <w:t xml:space="preserve">volwassenen met obesitas en matige tot ernstige slaapapneu</w:t>
            </w:r>
          </w:p>
        </w:tc>
        <w:tc>
          <w:tcPr/>
          <w:p>
            <w:pPr>
              <w:pStyle w:val="Compact"/>
              <w:jc w:val="left"/>
            </w:pPr>
            <w:r>
              <w:t xml:space="preserve">32 weken</w:t>
            </w:r>
          </w:p>
        </w:tc>
        <w:tc>
          <w:tcPr/>
          <w:p>
            <w:pPr>
              <w:pStyle w:val="Compact"/>
              <w:jc w:val="left"/>
            </w:pPr>
            <w:r>
              <w:t xml:space="preserve">ademstilstanden −12,2 vs. −6,1 per uur; gewicht −5,7% vs. −1,6%</w:t>
            </w:r>
          </w:p>
        </w:tc>
      </w:tr>
    </w:tbl>
    <w:p>
      <w:pPr>
        <w:pStyle w:val="BodyText"/>
      </w:pPr>
      <w:r>
        <w:t xml:space="preserve">In de grootste studie (Pi-Sunyer 2015, PMID 26132939) verloren de deelnemers met liraglutide gemiddeld 8,4 kg, met placebo 2,8 kg – telkens met voedings- en bewegingsadvies. Een derde (33,1%) verloor meer dan 10% van het lichaamsgewicht, tegenover 10,6% met placebo. Ernstige ongewenste voorvallen traden op bij 6,2% tegenover 5,0%.</w:t>
      </w:r>
    </w:p>
    <w:p>
      <w:pPr>
        <w:pStyle w:val="BodyText"/>
      </w:pPr>
      <w:r>
        <w:t xml:space="preserve">De deelnemers met prediabetes (voorstadium van diabetes) werden drie jaar lang verder behandeld (le Roux 2017, PMID 28237263). Met liraglutide ontwikkelde 2% diabetes type 2, met placebo 6%. De studie heeft echter een belangrijke zwakte: slechts de helft van de deelnemers (50%) bleef tot het einde, en wie uitviel, werd niet verder gevolgd. De resultaten moeten daarom met voorzichtigheid worden gelezen.</w:t>
      </w:r>
    </w:p>
    <w:p>
      <w:pPr>
        <w:pStyle w:val="BodyText"/>
      </w:pPr>
      <w:r>
        <w:t xml:space="preserve">Bij mensen met diabetes type 2 viel het gewichtsverlies lager uit (Davies 2015, PMID 26284720) – een patroon dat zich bij alle GLP-1-geneesmiddelen herhaalt. In SCALE Maintenance (Wadden 2013, PMID 23812094) hielp liraglutide om na een dieetfase het gewicht te behouden: 81,4% behield het eerder bereikte gewichtsverlies, tegenover 48,9% met placebo.</w:t>
      </w:r>
    </w:p>
    <w:p>
      <w:pPr>
        <w:pStyle w:val="BodyText"/>
      </w:pPr>
      <w:r>
        <w:t xml:space="preserve">Achteraf gezien lijkt het gewichtseffect van liraglutide bescheiden, nu semaglutide en tirzepatide gemiddeld 15 tot meer dan 20% bereiken. Voor zijn tijd was het een doorbraak: geen eerder geregistreerd middel had in studies van deze omvang vergelijkbare waarden laten zien.</w:t>
      </w:r>
    </w:p>
    <w:bookmarkEnd w:id="154"/>
    <w:bookmarkStart w:id="155" w:name="kinderen-en-jongeren"/>
    <w:p>
      <w:pPr>
        <w:pStyle w:val="Heading4"/>
      </w:pPr>
      <w:r>
        <w:t xml:space="preserve">Kinderen en jongeren</w:t>
      </w:r>
    </w:p>
    <w:p>
      <w:pPr>
        <w:pStyle w:val="FirstParagraph"/>
      </w:pPr>
      <w:r>
        <w:t xml:space="preserve">Liraglutide is een van de weinige werkzame stoffen van deze klasse die gericht bij kinderen en jongeren zijn onderzocht.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Deelnemers en opzet</w:t>
            </w:r>
          </w:p>
        </w:tc>
        <w:tc>
          <w:tcPr/>
          <w:p>
            <w:pPr>
              <w:pStyle w:val="Compact"/>
              <w:jc w:val="left"/>
            </w:pPr>
            <w:r>
              <w:t xml:space="preserve">Duur</w:t>
            </w:r>
          </w:p>
        </w:tc>
        <w:tc>
          <w:tcPr/>
          <w:p>
            <w:pPr>
              <w:pStyle w:val="Compact"/>
              <w:jc w:val="left"/>
            </w:pPr>
            <w:r>
              <w:t xml:space="preserve">Resultaat</w:t>
            </w:r>
          </w:p>
        </w:tc>
      </w:tr>
      <w:tr>
        <w:tc>
          <w:tcPr/>
          <w:p>
            <w:pPr>
              <w:pStyle w:val="Compact"/>
              <w:jc w:val="left"/>
            </w:pPr>
            <w:r>
              <w:t xml:space="preserve">ELLIPSE (Tamborlane 2019), PMID 31034184</w:t>
            </w:r>
          </w:p>
        </w:tc>
        <w:tc>
          <w:tcPr/>
          <w:p>
            <w:pPr>
              <w:pStyle w:val="Compact"/>
              <w:jc w:val="left"/>
            </w:pPr>
            <w:r>
              <w:t xml:space="preserve">134 kinderen en jongeren (10 tot jonger dan 17 jaar) met diabetes type 2, RCT tegen placebo</w:t>
            </w:r>
          </w:p>
        </w:tc>
        <w:tc>
          <w:tcPr/>
          <w:p>
            <w:pPr>
              <w:pStyle w:val="Compact"/>
              <w:jc w:val="left"/>
            </w:pPr>
            <w:r>
              <w:t xml:space="preserve">52 weken</w:t>
            </w:r>
          </w:p>
        </w:tc>
        <w:tc>
          <w:tcPr/>
          <w:p>
            <w:pPr>
              <w:pStyle w:val="Compact"/>
              <w:jc w:val="left"/>
            </w:pPr>
            <w:r>
              <w:t xml:space="preserve">HbA1c −1,06 procentpunt ten opzichte van placebo na 26 weken, −1,30 na 52 weken</w:t>
            </w:r>
          </w:p>
        </w:tc>
      </w:tr>
      <w:tr>
        <w:tc>
          <w:tcPr/>
          <w:p>
            <w:pPr>
              <w:pStyle w:val="Compact"/>
              <w:jc w:val="left"/>
            </w:pPr>
            <w:r>
              <w:t xml:space="preserve">SCALE Teens (Kelly 2020), PMID 32233338</w:t>
            </w:r>
          </w:p>
        </w:tc>
        <w:tc>
          <w:tcPr/>
          <w:p>
            <w:pPr>
              <w:pStyle w:val="Compact"/>
              <w:jc w:val="left"/>
            </w:pPr>
            <w:r>
              <w:t xml:space="preserve">251 jongeren (12 tot jonger dan 18 jaar) met obesitas, RCT tegen placebo</w:t>
            </w:r>
          </w:p>
        </w:tc>
        <w:tc>
          <w:tcPr/>
          <w:p>
            <w:pPr>
              <w:pStyle w:val="Compact"/>
              <w:jc w:val="left"/>
            </w:pPr>
            <w:r>
              <w:t xml:space="preserve">56 weken</w:t>
            </w:r>
          </w:p>
        </w:tc>
        <w:tc>
          <w:tcPr/>
          <w:p>
            <w:pPr>
              <w:pStyle w:val="Compact"/>
              <w:jc w:val="left"/>
            </w:pPr>
            <w:r>
              <w:t xml:space="preserve">BMI-afname ≥ 5% bij 43,3% vs. 18,7%; gewicht −4,50 kg ten opzichte van placebo</w:t>
            </w:r>
          </w:p>
        </w:tc>
      </w:tr>
      <w:tr>
        <w:tc>
          <w:tcPr/>
          <w:p>
            <w:pPr>
              <w:pStyle w:val="Compact"/>
              <w:jc w:val="left"/>
            </w:pPr>
            <w:r>
              <w:t xml:space="preserve">SCALE Kids (Fox 2025), PMID 39258838</w:t>
            </w:r>
          </w:p>
        </w:tc>
        <w:tc>
          <w:tcPr/>
          <w:p>
            <w:pPr>
              <w:pStyle w:val="Compact"/>
              <w:jc w:val="left"/>
            </w:pPr>
            <w:r>
              <w:t xml:space="preserve">82 kinderen (6 tot jonger dan 12 jaar) met obesitas, RCT tegen placebo</w:t>
            </w:r>
          </w:p>
        </w:tc>
        <w:tc>
          <w:tcPr/>
          <w:p>
            <w:pPr>
              <w:pStyle w:val="Compact"/>
              <w:jc w:val="left"/>
            </w:pPr>
            <w:r>
              <w:t xml:space="preserve">56 weken</w:t>
            </w:r>
          </w:p>
        </w:tc>
        <w:tc>
          <w:tcPr/>
          <w:p>
            <w:pPr>
              <w:pStyle w:val="Compact"/>
              <w:jc w:val="left"/>
            </w:pPr>
            <w:r>
              <w:t xml:space="preserve">BMI −5,8% vs. +1,6%</w:t>
            </w:r>
          </w:p>
        </w:tc>
      </w:tr>
    </w:tbl>
    <w:p>
      <w:pPr>
        <w:pStyle w:val="BodyText"/>
      </w:pPr>
      <w:r>
        <w:t xml:space="preserve">In SCALE Teens (Kelly 2020, PMID 32233338) bleek na het stoppen een herstijging van de BMI die sterker was dan onder placebo. Maag-darmklachten troffen 64,8% tegenover 36,5%; 10,4% stopte met de behandeling vanwege bijwerkingen. In de liraglutidegroep was er een suïcide, die de onderzoeksartsen als waarschijnlijk niet gerelateerd aan de behandeling beoordeelden.</w:t>
      </w:r>
    </w:p>
    <w:p>
      <w:pPr>
        <w:pStyle w:val="BodyText"/>
      </w:pPr>
      <w:r>
        <w:t xml:space="preserve">In SCALE Kids (Fox 2025, PMID 39258838) nam het lichaamsgewicht van de groeiende kinderen met liraglutide gemiddeld met 1,6% toe, met placebo met 10,0%. Maag-darmklachten traden op bij 80% tegenover 54%, ernstige ongewenste voorvallen bij 12% tegenover 8%. Bij kinderen speelt vooral de vraag hoe lang zo’n behandeling moet duren en welke langetermijneffecten er zijn op groei en botten. Daarover loopt onder meer een studie naar het botmetabolisme bij 12- tot 21-jarigen onder GLP-1-therapie (NCT06903923).</w:t>
      </w:r>
    </w:p>
    <w:bookmarkEnd w:id="155"/>
    <w:bookmarkStart w:id="156" w:name="andere-toepassingsgebieden-in-studies-1"/>
    <w:p>
      <w:pPr>
        <w:pStyle w:val="Heading4"/>
      </w:pPr>
      <w:r>
        <w:t xml:space="preserve">Andere toepassingsgebieden in studies</w:t>
      </w:r>
    </w:p>
    <w:p>
      <w:pPr>
        <w:numPr>
          <w:ilvl w:val="0"/>
          <w:numId w:val="1043"/>
        </w:numPr>
        <w:pStyle w:val="Compact"/>
      </w:pPr>
      <w:r>
        <w:rPr>
          <w:bCs/>
          <w:b/>
        </w:rPr>
        <w:t xml:space="preserve">Leverontsteking door vervetting (NASH/MASH):</w:t>
      </w:r>
      <w:r>
        <w:t xml:space="preserve"> </w:t>
      </w:r>
      <w:r>
        <w:t xml:space="preserve">in de kleine fase 2-studie LEAN met 52 deelnemers verdween de ontsteking in de leverbiopsie bij 39% met liraglutide en bij 9% met placebo; toename van littekenvorming (fibrose) was zeldzamer (9% vs. 36%) (Armstrong 2016, PMID 26608256). Grotere studies werden later met semaglutide uitgevoerd.</w:t>
      </w:r>
    </w:p>
    <w:p>
      <w:pPr>
        <w:numPr>
          <w:ilvl w:val="0"/>
          <w:numId w:val="1043"/>
        </w:numPr>
        <w:pStyle w:val="Compact"/>
      </w:pPr>
      <w:r>
        <w:rPr>
          <w:bCs/>
          <w:b/>
        </w:rPr>
        <w:t xml:space="preserve">Ziekte van Alzheimer:</w:t>
      </w:r>
      <w:r>
        <w:t xml:space="preserve"> </w:t>
      </w:r>
      <w:r>
        <w:t xml:space="preserve">in de fase 2b-studie ELAD met 204 personen zonder diabetes veranderde het primaire eindpunt, het suikermetabolisme in de hersenen, niet (Edison 2026, PMID 41326666). Op een secundair eindpunt over executieve functies scoorde liraglutide beter, op dagelijkse vaardigheden en ernst van de dementie niet. Secundaire eindpunten zonder correctie voor meervoudig testen zijn alleen aanwijzingen.</w:t>
      </w:r>
    </w:p>
    <w:p>
      <w:pPr>
        <w:numPr>
          <w:ilvl w:val="0"/>
          <w:numId w:val="1043"/>
        </w:numPr>
        <w:pStyle w:val="Compact"/>
      </w:pPr>
      <w:r>
        <w:rPr>
          <w:bCs/>
          <w:b/>
        </w:rPr>
        <w:t xml:space="preserve">Alcohol en andere verslavingen:</w:t>
      </w:r>
      <w:r>
        <w:t xml:space="preserve"> </w:t>
      </w:r>
      <w:r>
        <w:t xml:space="preserve">in een Zweedse registerstudie met 227.866 mensen met alcoholafhankelijkheid ging het gebruik van liraglutide gepaard met een 28% lager risico op alcoholgerelateerde ziekenhuisopnames (Lähteenvuo 2025, PMID 39535805). Observationele gegevens van dit type tonen verbanden, geen oorzaak-gevolgrelatie.</w:t>
      </w:r>
    </w:p>
    <w:bookmarkEnd w:id="156"/>
    <w:bookmarkEnd w:id="157"/>
    <w:bookmarkStart w:id="158" w:name="dier--en-laboratoriumstudies-1"/>
    <w:p>
      <w:pPr>
        <w:pStyle w:val="Heading3"/>
      </w:pPr>
      <w:r>
        <w:t xml:space="preserve">Dier- en laboratoriumstudies</w:t>
      </w:r>
    </w:p>
    <w:p>
      <w:pPr>
        <w:pStyle w:val="FirstParagraph"/>
      </w:pPr>
      <w:r>
        <w:t xml:space="preserve">Een groot deel van het huidige begrip van de GLP-1-werking in de hersenen komt uit dierproeven met liraglutide. Bij ratten en muizen werd aangetoond dat het molecuul ondanks zijn grootte bepaalde hersengebieden zonder dichte bloed-hersenbarrière bereikt en daar eetlustremmende zenuwcellen stimuleert (Secher 2014, PMID 25202980).</w:t>
      </w:r>
    </w:p>
    <w:p>
      <w:pPr>
        <w:pStyle w:val="BodyText"/>
      </w:pPr>
      <w:r>
        <w:t xml:space="preserve">Bijzonder ingrijpend waren de bevindingen over de schildklier. In langetermijnproeven met ratten en muizen leidde liraglutide tot een toename van de C-cellen (die het hormoon calcitonine aanmaken) en tot C-celtumoren. Onderzoek naar het mechanisme toonde aan dat C-cellen van knaagdieren rijkelijk GLP-1-receptoren dragen, die van mensen en apen daarentegen nauwelijks (Bjerre Knudsen 2010, PMID 20203154). Bij Java-apen leidden 20 maanden liraglutide bij een blootstelling die meer dan 60 keer hoger lag dan bij de mens niet tot een toename van C-cellen. Toch staat sindsdien voor de hele klasse een waarschuwing over medullair schildkliercarcinoom in de productinformatie, vooral in de VS.</w:t>
      </w:r>
    </w:p>
    <w:p>
      <w:pPr>
        <w:pStyle w:val="BodyText"/>
      </w:pPr>
      <w:r>
        <w:t xml:space="preserve">Andere dierstudies gingen over hartbescherming, zenuwbescherming (alzheimer- en parkinsonmodellen), leververvetting en nierschade. De vertaalbaarheid naar de mens is net als bij exenatide beperkt: de alzheimerstudie ELAD bijvoorbeeld haalde haar primaire eindpunt niet, hoewel de dierdata positief waren.</w:t>
      </w:r>
    </w:p>
    <w:bookmarkEnd w:id="158"/>
    <w:bookmarkStart w:id="159" w:name="risicos-en-bijwerkingen-1"/>
    <w:p>
      <w:pPr>
        <w:pStyle w:val="Heading3"/>
      </w:pPr>
      <w:r>
        <w:t xml:space="preserve">Risico’s en bijwerkingen</w:t>
      </w:r>
    </w:p>
    <w:p>
      <w:pPr>
        <w:pStyle w:val="FirstParagraph"/>
      </w:pPr>
      <w:r>
        <w:rPr>
          <w:bCs/>
          <w:b/>
        </w:rPr>
        <w:t xml:space="preserve">Aangetoond in gerandomiseerde studies:</w:t>
      </w:r>
    </w:p>
    <w:p>
      <w:pPr>
        <w:numPr>
          <w:ilvl w:val="0"/>
          <w:numId w:val="1044"/>
        </w:numPr>
        <w:pStyle w:val="Compact"/>
      </w:pPr>
      <w:r>
        <w:rPr>
          <w:bCs/>
          <w:b/>
        </w:rPr>
        <w:t xml:space="preserve">Maag-darmklachten:</w:t>
      </w:r>
      <w:r>
        <w:t xml:space="preserve"> </w:t>
      </w:r>
      <w:r>
        <w:t xml:space="preserve">misselijkheid, diarree, braken en obstipatie zijn de meest voorkomende bijwerkingen en meestal de reden om met de therapie te stoppen (Marso 2016, PMID 27295427). Ze treden vooral op in het begin en na dosisverhogingen. Bij de hogere obesitasdosis komen ze vaker voor dan bij de diabetesdosis (Davies 2015, PMID 26284720).</w:t>
      </w:r>
    </w:p>
    <w:p>
      <w:pPr>
        <w:numPr>
          <w:ilvl w:val="0"/>
          <w:numId w:val="1044"/>
        </w:numPr>
        <w:pStyle w:val="Compact"/>
      </w:pPr>
      <w:r>
        <w:rPr>
          <w:bCs/>
          <w:b/>
        </w:rPr>
        <w:t xml:space="preserve">Galblaas:</w:t>
      </w:r>
      <w:r>
        <w:t xml:space="preserve"> </w:t>
      </w:r>
      <w:r>
        <w:t xml:space="preserve">een meta-analyse van 76 gerandomiseerde studies met 103.371 deelnemers vond voor de GLP-1-klasse een 37% verhoogd relatief risico op aandoeningen van galblaas en galwegen zoals galstenen en galblaasontsteking (He 2022, PMID 35344001). Het risico was groter bij hogere doses, langer gebruik en in studies naar gewichtsverlies (relatief risico 2,29). Een deel daarvan hangt waarschijnlijk samen met het snelle gewichtsverlies zelf.</w:t>
      </w:r>
    </w:p>
    <w:p>
      <w:pPr>
        <w:numPr>
          <w:ilvl w:val="0"/>
          <w:numId w:val="1044"/>
        </w:numPr>
        <w:pStyle w:val="Compact"/>
      </w:pPr>
      <w:r>
        <w:rPr>
          <w:bCs/>
          <w:b/>
        </w:rPr>
        <w:t xml:space="preserve">Hypoglykemie:</w:t>
      </w:r>
      <w:r>
        <w:t xml:space="preserve"> </w:t>
      </w:r>
      <w:r>
        <w:t xml:space="preserve">op zichzelf zeldzaam, in combinatie met sulfonylureumderivaten of insuline vaker.</w:t>
      </w:r>
    </w:p>
    <w:p>
      <w:pPr>
        <w:numPr>
          <w:ilvl w:val="0"/>
          <w:numId w:val="1044"/>
        </w:numPr>
        <w:pStyle w:val="Compact"/>
      </w:pPr>
      <w:r>
        <w:rPr>
          <w:bCs/>
          <w:b/>
        </w:rPr>
        <w:t xml:space="preserve">Hartslag:</w:t>
      </w:r>
      <w:r>
        <w:t xml:space="preserve"> </w:t>
      </w:r>
      <w:r>
        <w:t xml:space="preserve">liraglutide verhoogt de rustpols licht met enkele slagen per minuut; de klinische betekenis wordt gezien de LEADER-resultaten als gering beschouwd.</w:t>
      </w:r>
    </w:p>
    <w:p>
      <w:pPr>
        <w:pStyle w:val="FirstParagraph"/>
      </w:pPr>
      <w:r>
        <w:rPr>
          <w:bCs/>
          <w:b/>
        </w:rPr>
        <w:t xml:space="preserve">Onderzocht, maar onzeker of niet bevestigd:</w:t>
      </w:r>
    </w:p>
    <w:p>
      <w:pPr>
        <w:numPr>
          <w:ilvl w:val="0"/>
          <w:numId w:val="1045"/>
        </w:numPr>
        <w:pStyle w:val="Compact"/>
      </w:pPr>
      <w:r>
        <w:rPr>
          <w:bCs/>
          <w:b/>
        </w:rPr>
        <w:t xml:space="preserve">Alvleesklierontsteking:</w:t>
      </w:r>
      <w:r>
        <w:t xml:space="preserve"> </w:t>
      </w:r>
      <w:r>
        <w:t xml:space="preserve">in LEADER kwam ze onder liraglutide niet vaker voor dan onder placebo (Marso 2016, PMID 27295427). Een oudere meta-analyse vond evenmin een verhoogd risico (Alves 2012, PMID 23010561). De productinformatie vermeldt ze toch als zeldzame bijwerking; bij hevige aanhoudende buikpijn is medisch onderzoek nodig.</w:t>
      </w:r>
    </w:p>
    <w:p>
      <w:pPr>
        <w:numPr>
          <w:ilvl w:val="0"/>
          <w:numId w:val="1045"/>
        </w:numPr>
        <w:pStyle w:val="Compact"/>
      </w:pPr>
      <w:r>
        <w:rPr>
          <w:bCs/>
          <w:b/>
        </w:rPr>
        <w:t xml:space="preserve">Schildklierkanker:</w:t>
      </w:r>
      <w:r>
        <w:t xml:space="preserve"> </w:t>
      </w:r>
      <w:r>
        <w:t xml:space="preserve">de dierbevindingen zijn hierboven beschreven. Bij de mens zijn de gegevens tegenstrijdig. Een Franse patiënt-controlestudie met 2.562 gevallen vond na één tot drie jaar GLP-1-therapie een verhoogd risico op schildklierkanker in het algemeen (HR 1,58) en op het zeldzame medullaire carcinoom (HR 1,78) (Bezin 2023, PMID 36356111). Een meta-analyse van 50 gerandomiseerde studies liet eveneens een signaal zien (oddsratio 1,55) (Silverii 2025, PMID 40437949). Besproken wordt of een deel daarvan te wijten is aan vaker onderzoek bij behandelden. Mensen met medullair schildkliercarcinoom in de eigen of familiaire voorgeschiedenis mogen GLP-1-receptoragonisten volgens de productinformatie niet gebruiken.</w:t>
      </w:r>
    </w:p>
    <w:p>
      <w:pPr>
        <w:numPr>
          <w:ilvl w:val="0"/>
          <w:numId w:val="1045"/>
        </w:numPr>
        <w:pStyle w:val="Compact"/>
      </w:pPr>
      <w:r>
        <w:rPr>
          <w:bCs/>
          <w:b/>
        </w:rPr>
        <w:t xml:space="preserve">Psychische bijwerkingen en suïcidale gedachten:</w:t>
      </w:r>
      <w:r>
        <w:t xml:space="preserve"> </w:t>
      </w:r>
      <w:r>
        <w:t xml:space="preserve">na afzonderlijke meldingen onderzochten de Europese en de Amerikaanse autoriteit in 2023/2024 een mogelijk verband en vonden geen bewijs voor een oorzakelijk verband (stand 2026, actuele situatie controleren). In een Scandinavische cohortstudie met 124.517 personen met GLP-1-receptoragonisten was het suïciderisico ten opzichte van SGLT2-remmers niet verhoogd (HR 1,25; betrouwbaarheidsinterval 0,83–1,88) (Ueda 2024, PMID 39226030). Een meta-analyse uit 2026 vond in gerandomiseerde studies evenmin een verband (Choudhury 2026, PMID 41862354). De waarneming blijft onderwerp van verdere bewaking.</w:t>
      </w:r>
    </w:p>
    <w:p>
      <w:pPr>
        <w:pStyle w:val="FirstParagraph"/>
      </w:pPr>
      <w:r>
        <w:rPr>
          <w:bCs/>
          <w:b/>
        </w:rPr>
        <w:t xml:space="preserve">Aanwijzingen voor de praktijk:</w:t>
      </w:r>
      <w:r>
        <w:t xml:space="preserve"> </w:t>
      </w:r>
      <w:r>
        <w:t xml:space="preserve">liraglutide is tijdens de zwangerschap niet geïndiceerd. Zoals alle GLP-1-receptoragonisten vertraagt het de maaglediging, wat bij narcoses en bij de opname van andere geneesmiddelen een rol kan spelen. De productinformatie en de begeleiding door een arts zijn bepalend, ook voor de stapsgewijze dosisverhoging.</w:t>
      </w:r>
    </w:p>
    <w:bookmarkEnd w:id="159"/>
    <w:bookmarkStart w:id="160" w:name="juridische-status-1"/>
    <w:p>
      <w:pPr>
        <w:pStyle w:val="Heading3"/>
      </w:pPr>
      <w:r>
        <w:t xml:space="preserve">Juridische status</w:t>
      </w:r>
    </w:p>
    <w:p>
      <w:pPr>
        <w:numPr>
          <w:ilvl w:val="0"/>
          <w:numId w:val="1046"/>
        </w:numPr>
        <w:pStyle w:val="Compact"/>
      </w:pPr>
      <w:r>
        <w:rPr>
          <w:bCs/>
          <w:b/>
        </w:rPr>
        <w:t xml:space="preserve">EU:</w:t>
      </w:r>
      <w:r>
        <w:t xml:space="preserve"> </w:t>
      </w:r>
      <w:r>
        <w:t xml:space="preserve">Victoza is sinds 2009 geregistreerd voor de behandeling van diabetes type 2, Saxenda sinds 2015 voor gewichtsbeheersing bij volwassenen en jongeren. Beide zijn receptplichtig.</w:t>
      </w:r>
    </w:p>
    <w:p>
      <w:pPr>
        <w:numPr>
          <w:ilvl w:val="0"/>
          <w:numId w:val="1046"/>
        </w:numPr>
        <w:pStyle w:val="Compact"/>
      </w:pPr>
      <w:r>
        <w:rPr>
          <w:bCs/>
          <w:b/>
        </w:rPr>
        <w:t xml:space="preserve">Duitsland:</w:t>
      </w:r>
      <w:r>
        <w:t xml:space="preserve"> </w:t>
      </w:r>
      <w:r>
        <w:t xml:space="preserve">bij diabetes vergoeden de wettelijke zorgverzekeraars liraglutide. Middelen voor gewichtsvermindering zijn daarentegen volgens § 34 SGB V in principe van vergoeding uitgesloten; Saxenda moeten verzekerden in de regel zelf betalen (stand 2026, actuele situatie controleren).</w:t>
      </w:r>
    </w:p>
    <w:p>
      <w:pPr>
        <w:numPr>
          <w:ilvl w:val="0"/>
          <w:numId w:val="1046"/>
        </w:numPr>
        <w:pStyle w:val="Compact"/>
      </w:pPr>
      <w:r>
        <w:rPr>
          <w:bCs/>
          <w:b/>
        </w:rPr>
        <w:t xml:space="preserve">Oostenrijk:</w:t>
      </w:r>
      <w:r>
        <w:t xml:space="preserve"> </w:t>
      </w:r>
      <w:r>
        <w:t xml:space="preserve">receptplichtig; de vergoeding voor gewichtsbeheersing is beperkt en aan voorwaarden gebonden (actuele situatie controleren).</w:t>
      </w:r>
    </w:p>
    <w:p>
      <w:pPr>
        <w:numPr>
          <w:ilvl w:val="0"/>
          <w:numId w:val="1046"/>
        </w:numPr>
        <w:pStyle w:val="Compact"/>
      </w:pPr>
      <w:r>
        <w:rPr>
          <w:bCs/>
          <w:b/>
        </w:rPr>
        <w:t xml:space="preserve">VS:</w:t>
      </w:r>
      <w:r>
        <w:t xml:space="preserve"> </w:t>
      </w:r>
      <w:r>
        <w:t xml:space="preserve">Victoza en Saxenda geregistreerd, Victoza daarnaast voor verlaging van het cardiovasculaire risico. Sinds 2024 zijn generieke versies van de diabetesvorm, sinds 2025 ook van de obesitasvorm op de markt.</w:t>
      </w:r>
    </w:p>
    <w:p>
      <w:pPr>
        <w:numPr>
          <w:ilvl w:val="0"/>
          <w:numId w:val="1046"/>
        </w:numPr>
        <w:pStyle w:val="Compact"/>
      </w:pPr>
      <w:r>
        <w:rPr>
          <w:bCs/>
          <w:b/>
        </w:rPr>
        <w:t xml:space="preserve">Generieke middelen in Europa:</w:t>
      </w:r>
      <w:r>
        <w:t xml:space="preserve"> </w:t>
      </w:r>
      <w:r>
        <w:t xml:space="preserve">omdat liraglutide een synthetisch of recombinant te produceren peptide is waarvan de octrooibescherming is verlopen, komen ook in Europa generieke preparaten op de markt. De stand van zaken verschilt per land; actuele situatie controleren.</w:t>
      </w:r>
    </w:p>
    <w:p>
      <w:pPr>
        <w:numPr>
          <w:ilvl w:val="0"/>
          <w:numId w:val="1046"/>
        </w:numPr>
        <w:pStyle w:val="Compact"/>
      </w:pPr>
      <w:r>
        <w:rPr>
          <w:bCs/>
          <w:b/>
        </w:rPr>
        <w:t xml:space="preserve">Sport (WADA):</w:t>
      </w:r>
      <w:r>
        <w:t xml:space="preserve"> </w:t>
      </w:r>
      <w:r>
        <w:t xml:space="preserve">niet vermeld (stand 2026, actuele situatie controleren).</w:t>
      </w:r>
    </w:p>
    <w:p>
      <w:pPr>
        <w:pStyle w:val="FirstParagraph"/>
      </w:pPr>
      <w:r>
        <w:t xml:space="preserve">De generieke middelen maken liraglutide tot een bijzonder geval binnen de klasse: het is de eerste GLP-1-werkzame stof met bewezen cardiovasculair nut die duidelijk goedkoper kan worden. Dat is vooral van belang in landen met beperkte zorgbudgetten, ook al blijven de dagelijkse injectie en het kleinere effect in vergelijking met semaglutide nadelen. Meer over aflopende octrooien en prijzen in deel V.</w:t>
      </w:r>
    </w:p>
    <w:bookmarkEnd w:id="160"/>
    <w:bookmarkStart w:id="161" w:name="lopende-studies-en-vooruitzichten-1"/>
    <w:p>
      <w:pPr>
        <w:pStyle w:val="Heading3"/>
      </w:pPr>
      <w:r>
        <w:t xml:space="preserve">Lopende studies en vooruitzichten</w:t>
      </w:r>
    </w:p>
    <w:p>
      <w:pPr>
        <w:pStyle w:val="FirstParagraph"/>
      </w:pPr>
      <w:r>
        <w:rPr>
          <w:bCs/>
          <w:b/>
        </w:rPr>
        <w:t xml:space="preserve">Vaststaand (geregistreerde studies):</w:t>
      </w:r>
      <w:r>
        <w:t xml:space="preserve"> </w:t>
      </w:r>
      <w:r>
        <w:t xml:space="preserve">nieuwe registratiestudies van Novo Nordisk zijn er nauwelijks nog; het onderzoek wordt overwegend gedragen door klinieken en universiteiten. Voorbeelden:</w:t>
      </w:r>
    </w:p>
    <w:p>
      <w:pPr>
        <w:numPr>
          <w:ilvl w:val="0"/>
          <w:numId w:val="1047"/>
        </w:numPr>
        <w:pStyle w:val="Compact"/>
      </w:pPr>
      <w:r>
        <w:t xml:space="preserve">Een studie met 890 vrouwen met obesitas, een onvervulde kinderwens en polycysteus ovariumsyndroom (PCOS) test liraglutide vóór een vruchtbaarheidsbehandeling (NCT06742710).</w:t>
      </w:r>
    </w:p>
    <w:p>
      <w:pPr>
        <w:numPr>
          <w:ilvl w:val="0"/>
          <w:numId w:val="1047"/>
        </w:numPr>
        <w:pStyle w:val="Compact"/>
      </w:pPr>
      <w:r>
        <w:t xml:space="preserve">Een fase 3-studie met 260 oudere mensen met diabetes onderzoekt of liraglutide een delier na hartoperaties kan voorkomen (NCT06361238).</w:t>
      </w:r>
    </w:p>
    <w:p>
      <w:pPr>
        <w:numPr>
          <w:ilvl w:val="0"/>
          <w:numId w:val="1047"/>
        </w:numPr>
        <w:pStyle w:val="Compact"/>
      </w:pPr>
      <w:r>
        <w:t xml:space="preserve">Bij een erfelijke vorm van diabetes (MODY) wordt liraglutide onderzocht in een fase 2-studie (NCT07029009).</w:t>
      </w:r>
    </w:p>
    <w:p>
      <w:pPr>
        <w:numPr>
          <w:ilvl w:val="0"/>
          <w:numId w:val="1047"/>
        </w:numPr>
        <w:pStyle w:val="Compact"/>
      </w:pPr>
      <w:r>
        <w:t xml:space="preserve">Een grote pragmatische studie met 6.000 deelnemers vergelijkt behandelstrategieën ter voorkoming van hart- en nierziekten bij diabetes type 2 (NCT05390892).</w:t>
      </w:r>
    </w:p>
    <w:p>
      <w:pPr>
        <w:numPr>
          <w:ilvl w:val="0"/>
          <w:numId w:val="1047"/>
        </w:numPr>
        <w:pStyle w:val="Compact"/>
      </w:pPr>
      <w:r>
        <w:t xml:space="preserve">De langetermijnobservatie van de deelnemers aan SCALE Kids loopt door (NCT04775082).</w:t>
      </w:r>
    </w:p>
    <w:p>
      <w:pPr>
        <w:pStyle w:val="FirstParagraph"/>
      </w:pPr>
      <w:r>
        <w:rPr>
          <w:bCs/>
          <w:b/>
        </w:rPr>
        <w:t xml:space="preserve">Inschatting:</w:t>
      </w:r>
      <w:r>
        <w:t xml:space="preserve"> </w:t>
      </w:r>
      <w:r>
        <w:t xml:space="preserve">liraglutide wordt in rijke landen steeds meer verdrongen door wekelijkse werkzame stoffen zoals semaglutide en tirzepatide. Door de generieke middelen zal het echter waarschijnlijk een tweede carrière beleven als goedkoop alternatief – vooral waar de nieuwere middelen niet betaalbaar of niet leverbaar zijn. Wetenschappelijk blijft het een belangrijke vergelijkingsstandaard.</w:t>
      </w:r>
    </w:p>
    <w:bookmarkEnd w:id="161"/>
    <w:bookmarkStart w:id="162" w:name="conclusie-1"/>
    <w:p>
      <w:pPr>
        <w:pStyle w:val="Heading3"/>
      </w:pPr>
      <w:r>
        <w:t xml:space="preserve">Conclusie</w:t>
      </w:r>
    </w:p>
    <w:p>
      <w:pPr>
        <w:pStyle w:val="FirstParagraph"/>
      </w:pPr>
      <w:r>
        <w:t xml:space="preserve">Liraglutide was de eerste bijna mensidentieke GLP-1-werkzame stof en de eerste waarvoor een grote studie bescherming tegen cardiovasculaire gebeurtenissen liet zien (LEADER, 9.340 deelnemers, relatieve risicoverlaging 13%). Als Saxenda was het het eerste GLP-1-geneesmiddel voor gewichtsvermindering; gemiddeld verloren deelnemers zonder diabetes ongeveer 8 kg in een jaar. In de directe vergelijking is het superieur aan exenatide, gelijkwaardig aan dulaglutide en duidelijk inferieur aan semaglutide. De meest voorkomende bijwerkingen zijn maag-darmklachten, daarnaast een verhoogd galblaasrisico; de vraag naar schildklierkanker is niet definitief beantwoord. Met het aflopen van de octrooibescherming wordt het de eerste goedkope optie binnen de klasse – de behandeling hoort desondanks in handen van een arts.</w:t>
      </w:r>
    </w:p>
    <w:bookmarkEnd w:id="162"/>
    <w:bookmarkEnd w:id="163"/>
    <w:bookmarkStart w:id="180" w:name="dulaglutide"/>
    <w:p>
      <w:pPr>
        <w:pStyle w:val="Heading2"/>
      </w:pPr>
      <w:r>
        <w:t xml:space="preserve">Dulaglutide</w:t>
      </w:r>
    </w:p>
    <w:bookmarkStart w:id="164" w:name="profiel-2"/>
    <w:p>
      <w:pPr>
        <w:pStyle w:val="Heading3"/>
      </w:pPr>
      <w:r>
        <w:t xml:space="preserve">Profiel</w:t>
      </w:r>
    </w:p>
    <w:p>
      <w:pPr>
        <w:numPr>
          <w:ilvl w:val="0"/>
          <w:numId w:val="1048"/>
        </w:numPr>
        <w:pStyle w:val="Compact"/>
      </w:pPr>
      <w:r>
        <w:rPr>
          <w:bCs/>
          <w:b/>
        </w:rPr>
        <w:t xml:space="preserve">Soort/structuur:</w:t>
      </w:r>
      <w:r>
        <w:t xml:space="preserve"> </w:t>
      </w:r>
      <w:r>
        <w:t xml:space="preserve">fusie-eiwit. Twee licht gemodificeerde GLP-1-ketens zijn via een kort verbindingsstuk gekoppeld aan het constante deel (Fc-deel) van een menselijk antilichaam van het type IgG4. Dulaglutide is daarmee vele malen groter dan liraglutide – strikt genomen eerder een eiwit dan een klein peptide.</w:t>
      </w:r>
    </w:p>
    <w:p>
      <w:pPr>
        <w:numPr>
          <w:ilvl w:val="0"/>
          <w:numId w:val="1048"/>
        </w:numPr>
        <w:pStyle w:val="Compact"/>
      </w:pPr>
      <w:r>
        <w:rPr>
          <w:bCs/>
          <w:b/>
        </w:rPr>
        <w:t xml:space="preserve">Herkomst:</w:t>
      </w:r>
      <w:r>
        <w:t xml:space="preserve"> </w:t>
      </w:r>
      <w:r>
        <w:t xml:space="preserve">ontwikkeld door Eli Lilly, recombinant geproduceerd in zoogdiercellen (Glaesner 2010, PMID 20503261).</w:t>
      </w:r>
    </w:p>
    <w:p>
      <w:pPr>
        <w:numPr>
          <w:ilvl w:val="0"/>
          <w:numId w:val="1048"/>
        </w:numPr>
        <w:pStyle w:val="Compact"/>
      </w:pPr>
      <w:r>
        <w:rPr>
          <w:bCs/>
          <w:b/>
        </w:rPr>
        <w:t xml:space="preserve">Werkingsprincipe:</w:t>
      </w:r>
      <w:r>
        <w:t xml:space="preserve"> </w:t>
      </w:r>
      <w:r>
        <w:t xml:space="preserve">GLP-1-receptoragonist. Het antilichaamdeel beschermt tegen afbraak en uitscheiding via de nieren; één injectie per week volstaat.</w:t>
      </w:r>
    </w:p>
    <w:p>
      <w:pPr>
        <w:numPr>
          <w:ilvl w:val="0"/>
          <w:numId w:val="1048"/>
        </w:numPr>
        <w:pStyle w:val="Compact"/>
      </w:pPr>
      <w:r>
        <w:rPr>
          <w:bCs/>
          <w:b/>
        </w:rPr>
        <w:t xml:space="preserve">Preparaat:</w:t>
      </w:r>
      <w:r>
        <w:t xml:space="preserve"> </w:t>
      </w:r>
      <w:r>
        <w:t xml:space="preserve">Trulicity (voorgevulde pen, wekelijks; geregistreerde sterktes tot 4,5 mg).</w:t>
      </w:r>
    </w:p>
    <w:p>
      <w:pPr>
        <w:numPr>
          <w:ilvl w:val="0"/>
          <w:numId w:val="1048"/>
        </w:numPr>
        <w:pStyle w:val="Compact"/>
      </w:pPr>
      <w:r>
        <w:rPr>
          <w:bCs/>
          <w:b/>
        </w:rPr>
        <w:t xml:space="preserve">Registratie EU:</w:t>
      </w:r>
      <w:r>
        <w:t xml:space="preserve"> </w:t>
      </w:r>
      <w:r>
        <w:t xml:space="preserve">ja, diabetes type 2 bij volwassenen en jongeren vanaf 10 jaar. Geen registratie voor gewichtsvermindering.</w:t>
      </w:r>
    </w:p>
    <w:p>
      <w:pPr>
        <w:numPr>
          <w:ilvl w:val="0"/>
          <w:numId w:val="1048"/>
        </w:numPr>
        <w:pStyle w:val="Compact"/>
      </w:pPr>
      <w:r>
        <w:rPr>
          <w:bCs/>
          <w:b/>
        </w:rPr>
        <w:t xml:space="preserve">Registratie VS:</w:t>
      </w:r>
      <w:r>
        <w:t xml:space="preserve"> </w:t>
      </w:r>
      <w:r>
        <w:t xml:space="preserve">ja, diabetes type 2 vanaf 10 jaar en voor verlaging van het cardiovasculaire risico bij volwassenen met diabetes type 2.</w:t>
      </w:r>
    </w:p>
    <w:p>
      <w:pPr>
        <w:numPr>
          <w:ilvl w:val="0"/>
          <w:numId w:val="1048"/>
        </w:numPr>
        <w:pStyle w:val="Compact"/>
      </w:pPr>
      <w:r>
        <w:rPr>
          <w:bCs/>
          <w:b/>
        </w:rPr>
        <w:t xml:space="preserve">WADA:</w:t>
      </w:r>
      <w:r>
        <w:t xml:space="preserve"> </w:t>
      </w:r>
      <w:r>
        <w:t xml:space="preserve">niet vermeld (stand 2026, actuele situatie controleren).</w:t>
      </w:r>
    </w:p>
    <w:p>
      <w:pPr>
        <w:numPr>
          <w:ilvl w:val="0"/>
          <w:numId w:val="1048"/>
        </w:numPr>
        <w:pStyle w:val="Compact"/>
      </w:pPr>
      <w:r>
        <w:rPr>
          <w:bCs/>
          <w:b/>
        </w:rPr>
        <w:t xml:space="preserve">Bewijsniveau:</w:t>
      </w:r>
      <w:r>
        <w:t xml:space="preserve"> </w:t>
      </w:r>
      <w:r>
        <w:rPr>
          <w:bCs/>
          <w:b/>
        </w:rPr>
        <w:t xml:space="preserve">A</w:t>
      </w:r>
      <w:r>
        <w:t xml:space="preserve"> </w:t>
      </w:r>
      <w:r>
        <w:t xml:space="preserve">– studieprogramma AWARD met meer dan tien gerandomiseerde fase 3-studies, uitkomststudie REWIND, studie bij jongeren.</w:t>
      </w:r>
    </w:p>
    <w:bookmarkEnd w:id="164"/>
    <w:bookmarkStart w:id="165" w:name="hoe-het-zou-moeten-werken-2"/>
    <w:p>
      <w:pPr>
        <w:pStyle w:val="Heading3"/>
      </w:pPr>
      <w:r>
        <w:t xml:space="preserve">Hoe het zou moeten werken</w:t>
      </w:r>
    </w:p>
    <w:p>
      <w:pPr>
        <w:pStyle w:val="FirstParagraph"/>
      </w:pPr>
      <w:r>
        <w:t xml:space="preserve">Dulaglutide werkt op de GLP-1-receptor zoals exenatide, liraglutide en semaglutide: het versterkt de suikerafhankelijke insulineafgifte, remt het hormoon glucagon, vertraagt de maaglediging en dempt de eetlust. Het basismechanisme wordt uitgelegd in het hoofdstuk Exenatide.</w:t>
      </w:r>
    </w:p>
    <w:p>
      <w:pPr>
        <w:pStyle w:val="BodyText"/>
      </w:pPr>
      <w:r>
        <w:t xml:space="preserve">Het verschil zit in de verpakking. Liraglutide en semaglutide worden via een aangehangen vetzuur aan bloedeiwit gebonden. Lilly koos een andere weg en koppelde het hormoon aan het Fc-deel van een antilichaam. Deze bouwsteen is bekend uit de biotechnologie: hij maakt moleculen zo groot dat de nieren ze niet meer uitfilteren, en benut een lichaamseigen recyclingroute waarlangs antilichamen tegen afbraak worden beschermd. Bij ratten en Java-apen lag de halfwaardetijd van de werkzame stof op 1,5 tot 2 dagen, bij de mens is die langer en maakt ze wekelijkse toediening mogelijk (Glaesner 2010, PMID 20503261).</w:t>
      </w:r>
    </w:p>
    <w:p>
      <w:pPr>
        <w:pStyle w:val="BodyText"/>
      </w:pPr>
      <w:r>
        <w:t xml:space="preserve">In de GLP-1-ketens zelf werden afzonderlijke aminozuren vervangen – deels om afbraak door het enzym DPP-4 te voorkomen, deels om de vorming van antilichamen tegen de werkzame stof te verminderen. Inderdaad vormde in negen studies slechts 1,6% van de met dulaglutide behandelden antilichamen tegen het geneesmiddel (Milicevic 2016, PMID 26847401) – duidelijk minder dan bij exenatide.</w:t>
      </w:r>
    </w:p>
    <w:p>
      <w:pPr>
        <w:pStyle w:val="BodyText"/>
      </w:pPr>
      <w:r>
        <w:t xml:space="preserve">Een nadeel van de grootte: het molecuul komt vermoedelijk slechter in de hersengebieden die de eetlust sturen. Dat zou kunnen verklaren waarom dulaglutide bij vergelijkbare bloedsuikerverlaging minder gewichtsverlies geeft dan semaglutide. Deze verklaring is aannemelijk, maar niet bewezen.</w:t>
      </w:r>
    </w:p>
    <w:bookmarkEnd w:id="165"/>
    <w:bookmarkStart w:id="174" w:name="studies-bij-mensen-2"/>
    <w:p>
      <w:pPr>
        <w:pStyle w:val="Heading3"/>
      </w:pPr>
      <w:r>
        <w:t xml:space="preserve">Studies bij mensen</w:t>
      </w:r>
    </w:p>
    <w:p>
      <w:pPr>
        <w:pStyle w:val="FirstParagraph"/>
      </w:pPr>
      <w:r>
        <w:t xml:space="preserve">De voor dit boek geanalyseerde PubMed-zoekopdracht (zoekterm „dulaglutide” in titel of abstract, zoekdatum oktober 2026) leverde 158 studies bij mensen op, ClinicalTrials.gov vermeldt 143 registraties. Het aantal is kleiner dan bij liraglutide of semaglutide, maar de studies zijn bijzonder systematisch opgezet: het AWARD-programma (Assessment of Weekly AdministRation of LY2189265 in Diabetes) testte dulaglutide tegen bijna elke gangbare diabetestherapie. Opvallend is bovendien hoe vaak dulaglutide zelf als vergelijkingsmiddel dient voor nieuwere werkzame stoffen – van semaglutide via tirzepatide tot Chinese nieuwe ontwikkelingen.</w:t>
      </w:r>
    </w:p>
    <w:bookmarkStart w:id="166" w:name="het-award-programma"/>
    <w:p>
      <w:pPr>
        <w:pStyle w:val="Heading4"/>
      </w:pPr>
      <w:r>
        <w:t xml:space="preserve">Het AWARD-programma</w:t>
      </w:r>
    </w:p>
    <w:p>
      <w:pPr>
        <w:pStyle w:val="FirstParagraph"/>
      </w:pPr>
      <w:r>
        <w:t xml:space="preserve">In de meeste AWARD-studies werden de doses 0,75 en 1,5 mg per week getest. De tabel toont telkens het resultaat van de hogere dosis.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Deelnemers en opzet</w:t>
            </w:r>
          </w:p>
        </w:tc>
        <w:tc>
          <w:tcPr/>
          <w:p>
            <w:pPr>
              <w:pStyle w:val="Compact"/>
              <w:jc w:val="left"/>
            </w:pPr>
            <w:r>
              <w:t xml:space="preserve">Duur</w:t>
            </w:r>
          </w:p>
        </w:tc>
        <w:tc>
          <w:tcPr/>
          <w:p>
            <w:pPr>
              <w:pStyle w:val="Compact"/>
              <w:jc w:val="left"/>
            </w:pPr>
            <w:r>
              <w:t xml:space="preserve">Resultaat (dulaglutide 1,5 mg vs. vergelijking)</w:t>
            </w:r>
          </w:p>
        </w:tc>
      </w:tr>
      <w:tr>
        <w:tc>
          <w:tcPr/>
          <w:p>
            <w:pPr>
              <w:pStyle w:val="Compact"/>
              <w:jc w:val="left"/>
            </w:pPr>
            <w:r>
              <w:t xml:space="preserve">AWARD-1 (Wysham 2014), PMID 24879836</w:t>
            </w:r>
          </w:p>
        </w:tc>
        <w:tc>
          <w:tcPr/>
          <w:p>
            <w:pPr>
              <w:pStyle w:val="Compact"/>
              <w:jc w:val="left"/>
            </w:pPr>
            <w:r>
              <w:t xml:space="preserve">diabetes type 2 met metformine en pioglitazon; vs. exenatide twee keer per dag en placebo</w:t>
            </w:r>
          </w:p>
        </w:tc>
        <w:tc>
          <w:tcPr/>
          <w:p>
            <w:pPr>
              <w:pStyle w:val="Compact"/>
              <w:jc w:val="left"/>
            </w:pPr>
            <w:r>
              <w:t xml:space="preserve">52 weken (primair eindpunt 26)</w:t>
            </w:r>
          </w:p>
        </w:tc>
        <w:tc>
          <w:tcPr/>
          <w:p>
            <w:pPr>
              <w:pStyle w:val="Compact"/>
              <w:jc w:val="left"/>
            </w:pPr>
            <w:r>
              <w:t xml:space="preserve">HbA1c −1,51 vs. −0,99 (exenatide) vs. −0,46 (placebo)</w:t>
            </w:r>
          </w:p>
        </w:tc>
      </w:tr>
      <w:tr>
        <w:tc>
          <w:tcPr/>
          <w:p>
            <w:pPr>
              <w:pStyle w:val="Compact"/>
              <w:jc w:val="left"/>
            </w:pPr>
            <w:r>
              <w:t xml:space="preserve">AWARD-2 (Giorgino 2015), PMID 26089386</w:t>
            </w:r>
          </w:p>
        </w:tc>
        <w:tc>
          <w:tcPr/>
          <w:p>
            <w:pPr>
              <w:pStyle w:val="Compact"/>
              <w:jc w:val="left"/>
            </w:pPr>
            <w:r>
              <w:t xml:space="preserve">810 personen met metformine en glimepiride; open vs. insuline glargine</w:t>
            </w:r>
          </w:p>
        </w:tc>
        <w:tc>
          <w:tcPr/>
          <w:p>
            <w:pPr>
              <w:pStyle w:val="Compact"/>
              <w:jc w:val="left"/>
            </w:pPr>
            <w:r>
              <w:t xml:space="preserve">78 weken</w:t>
            </w:r>
          </w:p>
        </w:tc>
        <w:tc>
          <w:tcPr/>
          <w:p>
            <w:pPr>
              <w:pStyle w:val="Compact"/>
              <w:jc w:val="left"/>
            </w:pPr>
            <w:r>
              <w:t xml:space="preserve">HbA1c −1,08 vs. −0,63; gewicht daalde vs. steeg</w:t>
            </w:r>
          </w:p>
        </w:tc>
      </w:tr>
      <w:tr>
        <w:tc>
          <w:tcPr/>
          <w:p>
            <w:pPr>
              <w:pStyle w:val="Compact"/>
              <w:jc w:val="left"/>
            </w:pPr>
            <w:r>
              <w:t xml:space="preserve">AWARD-3 (Umpierrez 2014), PMID 24842985</w:t>
            </w:r>
          </w:p>
        </w:tc>
        <w:tc>
          <w:tcPr/>
          <w:p>
            <w:pPr>
              <w:pStyle w:val="Compact"/>
              <w:jc w:val="left"/>
            </w:pPr>
            <w:r>
              <w:t xml:space="preserve">vroege diabetes type 2, monotherapie; dubbelblind vs. metformine</w:t>
            </w:r>
          </w:p>
        </w:tc>
        <w:tc>
          <w:tcPr/>
          <w:p>
            <w:pPr>
              <w:pStyle w:val="Compact"/>
              <w:jc w:val="left"/>
            </w:pPr>
            <w:r>
              <w:t xml:space="preserve">52 weken (primair eindpunt 26)</w:t>
            </w:r>
          </w:p>
        </w:tc>
        <w:tc>
          <w:tcPr/>
          <w:p>
            <w:pPr>
              <w:pStyle w:val="Compact"/>
              <w:jc w:val="left"/>
            </w:pPr>
            <w:r>
              <w:t xml:space="preserve">HbA1c −0,78 vs. −0,56</w:t>
            </w:r>
          </w:p>
        </w:tc>
      </w:tr>
      <w:tr>
        <w:tc>
          <w:tcPr/>
          <w:p>
            <w:pPr>
              <w:pStyle w:val="Compact"/>
              <w:jc w:val="left"/>
            </w:pPr>
            <w:r>
              <w:t xml:space="preserve">AWARD-4 (Blonde 2015), PMID 26009229</w:t>
            </w:r>
          </w:p>
        </w:tc>
        <w:tc>
          <w:tcPr/>
          <w:p>
            <w:pPr>
              <w:pStyle w:val="Compact"/>
              <w:jc w:val="left"/>
            </w:pPr>
            <w:r>
              <w:t xml:space="preserve">884 personen met maaltijdinsuline; open vs. insuline glargine</w:t>
            </w:r>
          </w:p>
        </w:tc>
        <w:tc>
          <w:tcPr/>
          <w:p>
            <w:pPr>
              <w:pStyle w:val="Compact"/>
              <w:jc w:val="left"/>
            </w:pPr>
            <w:r>
              <w:t xml:space="preserve">52 weken (primair eindpunt 26)</w:t>
            </w:r>
          </w:p>
        </w:tc>
        <w:tc>
          <w:tcPr/>
          <w:p>
            <w:pPr>
              <w:pStyle w:val="Compact"/>
              <w:jc w:val="left"/>
            </w:pPr>
            <w:r>
              <w:t xml:space="preserve">HbA1c −1,64 vs. −1,41</w:t>
            </w:r>
          </w:p>
        </w:tc>
      </w:tr>
      <w:tr>
        <w:tc>
          <w:tcPr/>
          <w:p>
            <w:pPr>
              <w:pStyle w:val="Compact"/>
              <w:jc w:val="left"/>
            </w:pPr>
            <w:r>
              <w:t xml:space="preserve">AWARD-5 (Nauck 2014), PMID 24742660</w:t>
            </w:r>
          </w:p>
        </w:tc>
        <w:tc>
          <w:tcPr/>
          <w:p>
            <w:pPr>
              <w:pStyle w:val="Compact"/>
              <w:jc w:val="left"/>
            </w:pPr>
            <w:r>
              <w:t xml:space="preserve">1.098 personen met metformine; vs. sitagliptine</w:t>
            </w:r>
          </w:p>
        </w:tc>
        <w:tc>
          <w:tcPr/>
          <w:p>
            <w:pPr>
              <w:pStyle w:val="Compact"/>
              <w:jc w:val="left"/>
            </w:pPr>
            <w:r>
              <w:t xml:space="preserve">52 weken</w:t>
            </w:r>
          </w:p>
        </w:tc>
        <w:tc>
          <w:tcPr/>
          <w:p>
            <w:pPr>
              <w:pStyle w:val="Compact"/>
              <w:jc w:val="left"/>
            </w:pPr>
            <w:r>
              <w:t xml:space="preserve">HbA1c −1,10 vs. −0,39; gewicht −3,03 vs. −1,53 kg</w:t>
            </w:r>
          </w:p>
        </w:tc>
      </w:tr>
      <w:tr>
        <w:tc>
          <w:tcPr/>
          <w:p>
            <w:pPr>
              <w:pStyle w:val="Compact"/>
              <w:jc w:val="left"/>
            </w:pPr>
            <w:r>
              <w:t xml:space="preserve">AWARD-6 (Dungan 2014), PMID 25018121</w:t>
            </w:r>
          </w:p>
        </w:tc>
        <w:tc>
          <w:tcPr/>
          <w:p>
            <w:pPr>
              <w:pStyle w:val="Compact"/>
              <w:jc w:val="left"/>
            </w:pPr>
            <w:r>
              <w:t xml:space="preserve">599 personen met metformine; open vs. liraglutide</w:t>
            </w:r>
          </w:p>
        </w:tc>
        <w:tc>
          <w:tcPr/>
          <w:p>
            <w:pPr>
              <w:pStyle w:val="Compact"/>
              <w:jc w:val="left"/>
            </w:pPr>
            <w:r>
              <w:t xml:space="preserve">26 weken</w:t>
            </w:r>
          </w:p>
        </w:tc>
        <w:tc>
          <w:tcPr/>
          <w:p>
            <w:pPr>
              <w:pStyle w:val="Compact"/>
              <w:jc w:val="left"/>
            </w:pPr>
            <w:r>
              <w:t xml:space="preserve">HbA1c −1,42 vs. −1,36; gelijkwaardig</w:t>
            </w:r>
          </w:p>
        </w:tc>
      </w:tr>
      <w:tr>
        <w:tc>
          <w:tcPr/>
          <w:p>
            <w:pPr>
              <w:pStyle w:val="Compact"/>
              <w:jc w:val="left"/>
            </w:pPr>
            <w:r>
              <w:t xml:space="preserve">AWARD-7 (Tuttle 2018), PMID 29910024</w:t>
            </w:r>
          </w:p>
        </w:tc>
        <w:tc>
          <w:tcPr/>
          <w:p>
            <w:pPr>
              <w:pStyle w:val="Compact"/>
              <w:jc w:val="left"/>
            </w:pPr>
            <w:r>
              <w:t xml:space="preserve">577 personen met matige tot ernstige chronische nierziekte; vs. insuline glargine</w:t>
            </w:r>
          </w:p>
        </w:tc>
        <w:tc>
          <w:tcPr/>
          <w:p>
            <w:pPr>
              <w:pStyle w:val="Compact"/>
              <w:jc w:val="left"/>
            </w:pPr>
            <w:r>
              <w:t xml:space="preserve">52 weken</w:t>
            </w:r>
          </w:p>
        </w:tc>
        <w:tc>
          <w:tcPr/>
          <w:p>
            <w:pPr>
              <w:pStyle w:val="Compact"/>
              <w:jc w:val="left"/>
            </w:pPr>
            <w:r>
              <w:t xml:space="preserve">HbA1c −1,2 vs. −1,1; nierfunctie na 52 weken beter behouden</w:t>
            </w:r>
          </w:p>
        </w:tc>
      </w:tr>
      <w:tr>
        <w:tc>
          <w:tcPr/>
          <w:p>
            <w:pPr>
              <w:pStyle w:val="Compact"/>
              <w:jc w:val="left"/>
            </w:pPr>
            <w:r>
              <w:t xml:space="preserve">AWARD-8 (Dungan 2016), PMID 26799540</w:t>
            </w:r>
          </w:p>
        </w:tc>
        <w:tc>
          <w:tcPr/>
          <w:p>
            <w:pPr>
              <w:pStyle w:val="Compact"/>
              <w:jc w:val="left"/>
            </w:pPr>
            <w:r>
              <w:t xml:space="preserve">diabetes type 2 met glimepiride; vs. placebo</w:t>
            </w:r>
          </w:p>
        </w:tc>
        <w:tc>
          <w:tcPr/>
          <w:p>
            <w:pPr>
              <w:pStyle w:val="Compact"/>
              <w:jc w:val="left"/>
            </w:pPr>
            <w:r>
              <w:t xml:space="preserve">24 weken</w:t>
            </w:r>
          </w:p>
        </w:tc>
        <w:tc>
          <w:tcPr/>
          <w:p>
            <w:pPr>
              <w:pStyle w:val="Compact"/>
              <w:jc w:val="left"/>
            </w:pPr>
            <w:r>
              <w:t xml:space="preserve">HbA1c-verschil −1,3 procentpunt; meer hypoglykemieën</w:t>
            </w:r>
          </w:p>
        </w:tc>
      </w:tr>
      <w:tr>
        <w:tc>
          <w:tcPr/>
          <w:p>
            <w:pPr>
              <w:pStyle w:val="Compact"/>
              <w:jc w:val="left"/>
            </w:pPr>
            <w:r>
              <w:t xml:space="preserve">AWARD-10 (Ludvik 2018), PMID 29483060</w:t>
            </w:r>
          </w:p>
        </w:tc>
        <w:tc>
          <w:tcPr/>
          <w:p>
            <w:pPr>
              <w:pStyle w:val="Compact"/>
              <w:jc w:val="left"/>
            </w:pPr>
            <w:r>
              <w:t xml:space="preserve">424 personen met SGLT2-remmer; vs. placebo</w:t>
            </w:r>
          </w:p>
        </w:tc>
        <w:tc>
          <w:tcPr/>
          <w:p>
            <w:pPr>
              <w:pStyle w:val="Compact"/>
              <w:jc w:val="left"/>
            </w:pPr>
            <w:r>
              <w:t xml:space="preserve">24 weken</w:t>
            </w:r>
          </w:p>
        </w:tc>
        <w:tc>
          <w:tcPr/>
          <w:p>
            <w:pPr>
              <w:pStyle w:val="Compact"/>
              <w:jc w:val="left"/>
            </w:pPr>
            <w:r>
              <w:t xml:space="preserve">HbA1c −1,34 vs. −0,54</w:t>
            </w:r>
          </w:p>
        </w:tc>
      </w:tr>
      <w:tr>
        <w:tc>
          <w:tcPr/>
          <w:p>
            <w:pPr>
              <w:pStyle w:val="Compact"/>
              <w:jc w:val="left"/>
            </w:pPr>
            <w:r>
              <w:t xml:space="preserve">AWARD-11 (Frias 2021), PMID 33397768</w:t>
            </w:r>
          </w:p>
        </w:tc>
        <w:tc>
          <w:tcPr/>
          <w:p>
            <w:pPr>
              <w:pStyle w:val="Compact"/>
              <w:jc w:val="left"/>
            </w:pPr>
            <w:r>
              <w:t xml:space="preserve">1.842 personen met metformine; 4,5 en 3,0 mg vs. 1,5 mg</w:t>
            </w:r>
          </w:p>
        </w:tc>
        <w:tc>
          <w:tcPr/>
          <w:p>
            <w:pPr>
              <w:pStyle w:val="Compact"/>
              <w:jc w:val="left"/>
            </w:pPr>
            <w:r>
              <w:t xml:space="preserve">36 weken</w:t>
            </w:r>
          </w:p>
        </w:tc>
        <w:tc>
          <w:tcPr/>
          <w:p>
            <w:pPr>
              <w:pStyle w:val="Compact"/>
              <w:jc w:val="left"/>
            </w:pPr>
            <w:r>
              <w:t xml:space="preserve">HbA1c −1,77 (4,5 mg) vs. −1,54; gewicht −4,6 vs. −3,0 kg</w:t>
            </w:r>
          </w:p>
        </w:tc>
      </w:tr>
    </w:tbl>
    <w:p>
      <w:pPr>
        <w:pStyle w:val="BodyText"/>
      </w:pPr>
      <w:r>
        <w:t xml:space="preserve">Enkele resultaten verdienen toelichting:</w:t>
      </w:r>
    </w:p>
    <w:p>
      <w:pPr>
        <w:pStyle w:val="BodyText"/>
      </w:pPr>
      <w:r>
        <w:rPr>
          <w:bCs/>
          <w:b/>
        </w:rPr>
        <w:t xml:space="preserve">Tegen insuline</w:t>
      </w:r>
      <w:r>
        <w:t xml:space="preserve"> </w:t>
      </w:r>
      <w:r>
        <w:t xml:space="preserve">(AWARD-2 en AWARD-4) verlaagde dulaglutide de langetermijnsuiker iets sterker, met minder hypoglykemieën en zonder gewichtstoename (Giorgino 2015, PMID 26089386; Blonde 2015, PMID 26009229). In AWARD-2 werd de insulinedosis echter niet consequent verhoogd; de gemiddelde einddosis bedroeg 29 eenheden. Een vastberadener opgetitreerde insuline had mogelijk beter gepresteerd. Misselijkheid trad onder dulaglutide 1,5 mg op bij 15,4%, onder insuline bij 1,5%.</w:t>
      </w:r>
    </w:p>
    <w:p>
      <w:pPr>
        <w:pStyle w:val="BodyText"/>
      </w:pPr>
      <w:r>
        <w:rPr>
          <w:bCs/>
          <w:b/>
        </w:rPr>
        <w:t xml:space="preserve">Bij nierziekte</w:t>
      </w:r>
      <w:r>
        <w:t xml:space="preserve"> </w:t>
      </w:r>
      <w:r>
        <w:t xml:space="preserve">(AWARD-7) is het resultaat bijzonder interessant: de bloedsuiker daalde even sterk als onder insuline, maar de geschatte nierfunctie (eGFR) was na 52 weken onder dulaglutide hoger – 34,0 tegenover 31,3 ml/min per 1,73 m² (Tuttle 2018, PMID 29910024). De eiwituitscheiding in de urine verschilde niet significant. Dat is een aanwijzing, maar geen bewijs voor nierbescherming.</w:t>
      </w:r>
    </w:p>
    <w:p>
      <w:pPr>
        <w:pStyle w:val="BodyText"/>
      </w:pPr>
      <w:r>
        <w:rPr>
          <w:bCs/>
          <w:b/>
        </w:rPr>
        <w:t xml:space="preserve">Met een sulfonylureumderivaat</w:t>
      </w:r>
      <w:r>
        <w:t xml:space="preserve"> </w:t>
      </w:r>
      <w:r>
        <w:t xml:space="preserve">(AWARD-8) blijkt de keerzijde: dulaglutide verlaagde de HbA1c 1,3 procentpunt sterker dan placebo, en 55,3% tegenover 18,9% bereikte een waarde onder 7%. Hypoglykemieën waren echter duidelijk vaker (2,37 tegenover 0,07 voorvallen per persoon per jaar), omdat het sulfonylureumderivaat onafhankelijk van de bloedsuiker insuline vrijmaakt (Dungan 2016, PMID 26799540). Ernstige hypoglykemieën traden niet op.</w:t>
      </w:r>
    </w:p>
    <w:p>
      <w:pPr>
        <w:pStyle w:val="BodyText"/>
      </w:pPr>
      <w:r>
        <w:rPr>
          <w:bCs/>
          <w:b/>
        </w:rPr>
        <w:t xml:space="preserve">Hogere doses</w:t>
      </w:r>
      <w:r>
        <w:t xml:space="preserve"> </w:t>
      </w:r>
      <w:r>
        <w:t xml:space="preserve">(AWARD-11): om met semaglutide mee te kunnen, testte Lilly 3,0 en 4,5 mg. De hoogste dosis verlaagde de HbA1c met nog eens 0,24 procentpunt en het gewicht met nog eens 1,6 kg ten opzichte van 1,5 mg (Frias 2021, PMID 33397768). Misselijkheid nam licht toe (16,4% vs. 13,4%), braken eveneens (9,3% vs. 5,6%). De winst is meetbaar, maar beperkt.</w:t>
      </w:r>
    </w:p>
    <w:bookmarkEnd w:id="166"/>
    <w:bookmarkStart w:id="167" w:name="Xfafb9510ec3d61c68209a22164725e02ab85502"/>
    <w:p>
      <w:pPr>
        <w:pStyle w:val="Heading4"/>
      </w:pPr>
      <w:r>
        <w:t xml:space="preserve">Directe vergelijkingen binnen de GLP-1-klasse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Opzet</w:t>
            </w:r>
          </w:p>
        </w:tc>
        <w:tc>
          <w:tcPr/>
          <w:p>
            <w:pPr>
              <w:pStyle w:val="Compact"/>
              <w:jc w:val="left"/>
            </w:pPr>
            <w:r>
              <w:t xml:space="preserve">Duur</w:t>
            </w:r>
          </w:p>
        </w:tc>
        <w:tc>
          <w:tcPr/>
          <w:p>
            <w:pPr>
              <w:pStyle w:val="Compact"/>
              <w:jc w:val="left"/>
            </w:pPr>
            <w:r>
              <w:t xml:space="preserve">Resultaat (dulaglutide vs. vergelijking)</w:t>
            </w:r>
          </w:p>
        </w:tc>
      </w:tr>
      <w:tr>
        <w:tc>
          <w:tcPr/>
          <w:p>
            <w:pPr>
              <w:pStyle w:val="Compact"/>
              <w:jc w:val="left"/>
            </w:pPr>
            <w:r>
              <w:t xml:space="preserve">AWARD-1 (Wysham 2014), PMID 24879836</w:t>
            </w:r>
          </w:p>
        </w:tc>
        <w:tc>
          <w:tcPr/>
          <w:p>
            <w:pPr>
              <w:pStyle w:val="Compact"/>
              <w:jc w:val="left"/>
            </w:pPr>
            <w:r>
              <w:t xml:space="preserve">vs. exenatide twee keer per dag</w:t>
            </w:r>
          </w:p>
        </w:tc>
        <w:tc>
          <w:tcPr/>
          <w:p>
            <w:pPr>
              <w:pStyle w:val="Compact"/>
              <w:jc w:val="left"/>
            </w:pPr>
            <w:r>
              <w:t xml:space="preserve">26 weken</w:t>
            </w:r>
          </w:p>
        </w:tc>
        <w:tc>
          <w:tcPr/>
          <w:p>
            <w:pPr>
              <w:pStyle w:val="Compact"/>
              <w:jc w:val="left"/>
            </w:pPr>
            <w:r>
              <w:t xml:space="preserve">HbA1c −1,51 vs. −0,99; minder hypoglykemieën</w:t>
            </w:r>
          </w:p>
        </w:tc>
      </w:tr>
      <w:tr>
        <w:tc>
          <w:tcPr/>
          <w:p>
            <w:pPr>
              <w:pStyle w:val="Compact"/>
              <w:jc w:val="left"/>
            </w:pPr>
            <w:r>
              <w:t xml:space="preserve">AWARD-6 (Dungan 2014), PMID 25018121</w:t>
            </w:r>
          </w:p>
        </w:tc>
        <w:tc>
          <w:tcPr/>
          <w:p>
            <w:pPr>
              <w:pStyle w:val="Compact"/>
              <w:jc w:val="left"/>
            </w:pPr>
            <w:r>
              <w:t xml:space="preserve">599 personen, vs. liraglutide 1,8 mg per dag</w:t>
            </w:r>
          </w:p>
        </w:tc>
        <w:tc>
          <w:tcPr/>
          <w:p>
            <w:pPr>
              <w:pStyle w:val="Compact"/>
              <w:jc w:val="left"/>
            </w:pPr>
            <w:r>
              <w:t xml:space="preserve">26 weken</w:t>
            </w:r>
          </w:p>
        </w:tc>
        <w:tc>
          <w:tcPr/>
          <w:p>
            <w:pPr>
              <w:pStyle w:val="Compact"/>
              <w:jc w:val="left"/>
            </w:pPr>
            <w:r>
              <w:t xml:space="preserve">HbA1c −1,42 vs. −1,36; misselijkheid 20% vs. 18%</w:t>
            </w:r>
          </w:p>
        </w:tc>
      </w:tr>
      <w:tr>
        <w:tc>
          <w:tcPr/>
          <w:p>
            <w:pPr>
              <w:pStyle w:val="Compact"/>
              <w:jc w:val="left"/>
            </w:pPr>
            <w:r>
              <w:t xml:space="preserve">SUSTAIN 7 (Pratley 2018), PMID 29397376</w:t>
            </w:r>
          </w:p>
        </w:tc>
        <w:tc>
          <w:tcPr/>
          <w:p>
            <w:pPr>
              <w:pStyle w:val="Compact"/>
              <w:jc w:val="left"/>
            </w:pPr>
            <w:r>
              <w:t xml:space="preserve">1.201 personen, dulaglutide 0,75/1,5 mg vs. semaglutide 0,5/1,0 mg</w:t>
            </w:r>
          </w:p>
        </w:tc>
        <w:tc>
          <w:tcPr/>
          <w:p>
            <w:pPr>
              <w:pStyle w:val="Compact"/>
              <w:jc w:val="left"/>
            </w:pPr>
            <w:r>
              <w:t xml:space="preserve">40 weken</w:t>
            </w:r>
          </w:p>
        </w:tc>
        <w:tc>
          <w:tcPr/>
          <w:p>
            <w:pPr>
              <w:pStyle w:val="Compact"/>
              <w:jc w:val="left"/>
            </w:pPr>
            <w:r>
              <w:t xml:space="preserve">HbA1c −1,4 vs. −1,8 (hoge doses); gewicht −3,0 vs. −6,5 kg</w:t>
            </w:r>
          </w:p>
        </w:tc>
      </w:tr>
    </w:tbl>
    <w:p>
      <w:pPr>
        <w:pStyle w:val="BodyText"/>
      </w:pPr>
      <w:r>
        <w:t xml:space="preserve">De rangorde is eenduidig. Dulaglutide was duidelijk superieur aan exenatide twee keer per dag (Wysham 2014, PMID 24879836) en gelijkwaardig aan liraglutide (Dungan 2014, PMID 25018121). In AWARD-6 was het daarmee de eerste wekelijkse GLP-1-receptoragonist die in de directe vergelijking met de toenmalige standaard liraglutide kon meekomen – met duidelijk minder injecties.</w:t>
      </w:r>
    </w:p>
    <w:p>
      <w:pPr>
        <w:pStyle w:val="BodyText"/>
      </w:pPr>
      <w:r>
        <w:t xml:space="preserve">Tegen semaglutide verloor dulaglutide in SUSTAIN 7 (Pratley 2018, PMID 29397376) op beide dosisniveaus. Bij de hoge doses daalde de HbA1c met 1,4 tegenover 1,8 procentpunt, het gewicht met 3,0 tegenover 6,5 kg. Maag-darmklachten kwamen vergelijkbaar vaak voor (48% onder dulaglutide 1,5 mg, 44% onder semaglutide 1,0 mg). Later werd kritisch opgemerkt dat dulaglutide in SUSTAIN 7 slechts tot 1,5 mg werd gedoseerd; de hogere doses uit AWARD-11 waren destijds nog niet beschikbaar. Ook met 4,5 mg zou het gewichtsverschil echter waarschijnlijk blijven bestaan.</w:t>
      </w:r>
    </w:p>
    <w:bookmarkEnd w:id="167"/>
    <w:bookmarkStart w:id="168" w:name="rewind-de-cardiovasculaire-studie"/>
    <w:p>
      <w:pPr>
        <w:pStyle w:val="Heading4"/>
      </w:pPr>
      <w:r>
        <w:t xml:space="preserve">REWIND: de cardiovasculaire studie</w:t>
      </w:r>
    </w:p>
    <w:p>
      <w:pPr>
        <w:pStyle w:val="FirstParagraph"/>
      </w:pPr>
      <w:r>
        <w:t xml:space="preserve">REWIND verschilde van andere GLP-1-uitkomststudies: ze liep langer, includeerde oudere mensen met een relatief goed ingestelde bloedsuiker (mediane HbA1c 7,2%) en nam ook veel personen op zonder eerdere hart- en vaatziekte die alleen risicofactoren hadden. Daarmee lijkt de studiepopulatie meer op de dagelijkse praktijk bij de huisarts dan in andere uitkomststudies.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Deelnemers en opzet</w:t>
            </w:r>
          </w:p>
        </w:tc>
        <w:tc>
          <w:tcPr/>
          <w:p>
            <w:pPr>
              <w:pStyle w:val="Compact"/>
              <w:jc w:val="left"/>
            </w:pPr>
            <w:r>
              <w:t xml:space="preserve">Duur</w:t>
            </w:r>
          </w:p>
        </w:tc>
        <w:tc>
          <w:tcPr/>
          <w:p>
            <w:pPr>
              <w:pStyle w:val="Compact"/>
              <w:jc w:val="left"/>
            </w:pPr>
            <w:r>
              <w:t xml:space="preserve">Resultaat</w:t>
            </w:r>
          </w:p>
        </w:tc>
      </w:tr>
      <w:tr>
        <w:tc>
          <w:tcPr/>
          <w:p>
            <w:pPr>
              <w:pStyle w:val="Compact"/>
              <w:jc w:val="left"/>
            </w:pPr>
            <w:r>
              <w:t xml:space="preserve">REWIND (Gerstein 2019), PMID 31189511</w:t>
            </w:r>
          </w:p>
        </w:tc>
        <w:tc>
          <w:tcPr/>
          <w:p>
            <w:pPr>
              <w:pStyle w:val="Compact"/>
              <w:jc w:val="left"/>
            </w:pPr>
            <w:r>
              <w:t xml:space="preserve">9.901 personen met diabetes type 2, gemiddelde leeftijd 66,2 jaar, 46,3% vrouwen; RCT tegen placebo</w:t>
            </w:r>
          </w:p>
        </w:tc>
        <w:tc>
          <w:tcPr/>
          <w:p>
            <w:pPr>
              <w:pStyle w:val="Compact"/>
              <w:jc w:val="left"/>
            </w:pPr>
            <w:r>
              <w:t xml:space="preserve">mediaan 5,4 jaar</w:t>
            </w:r>
          </w:p>
        </w:tc>
        <w:tc>
          <w:tcPr/>
          <w:p>
            <w:pPr>
              <w:pStyle w:val="Compact"/>
              <w:jc w:val="left"/>
            </w:pPr>
            <w:r>
              <w:t xml:space="preserve">ernstige cardiovasculaire gebeurtenissen 12,0% vs. 13,4%; HR 0,88 (0,79–0,99)</w:t>
            </w:r>
          </w:p>
        </w:tc>
      </w:tr>
      <w:tr>
        <w:tc>
          <w:tcPr/>
          <w:p>
            <w:pPr>
              <w:pStyle w:val="Compact"/>
              <w:jc w:val="left"/>
            </w:pPr>
            <w:r>
              <w:t xml:space="preserve">REWIND, nieren (Gerstein 2019), PMID 31189509</w:t>
            </w:r>
          </w:p>
        </w:tc>
        <w:tc>
          <w:tcPr/>
          <w:p>
            <w:pPr>
              <w:pStyle w:val="Compact"/>
              <w:jc w:val="left"/>
            </w:pPr>
            <w:r>
              <w:t xml:space="preserve">dezelfde studie, exploratieve analyse</w:t>
            </w:r>
          </w:p>
        </w:tc>
        <w:tc>
          <w:tcPr/>
          <w:p>
            <w:pPr>
              <w:pStyle w:val="Compact"/>
              <w:jc w:val="left"/>
            </w:pPr>
            <w:r>
              <w:t xml:space="preserve">mediaan 5,4 jaar</w:t>
            </w:r>
          </w:p>
        </w:tc>
        <w:tc>
          <w:tcPr/>
          <w:p>
            <w:pPr>
              <w:pStyle w:val="Compact"/>
              <w:jc w:val="left"/>
            </w:pPr>
            <w:r>
              <w:t xml:space="preserve">niereindpunt 17,1% vs. 19,6%; HR 0,85, vooral minder nieuwe macroalbuminurie</w:t>
            </w:r>
          </w:p>
        </w:tc>
      </w:tr>
      <w:tr>
        <w:tc>
          <w:tcPr/>
          <w:p>
            <w:pPr>
              <w:pStyle w:val="Compact"/>
              <w:jc w:val="left"/>
            </w:pPr>
            <w:r>
              <w:t xml:space="preserve">REWIND, cognitie (Cukierman-Yaffe 2020), PMID 32562683</w:t>
            </w:r>
          </w:p>
        </w:tc>
        <w:tc>
          <w:tcPr/>
          <w:p>
            <w:pPr>
              <w:pStyle w:val="Compact"/>
              <w:jc w:val="left"/>
            </w:pPr>
            <w:r>
              <w:t xml:space="preserve">8.828 personen met geheugentests</w:t>
            </w:r>
          </w:p>
        </w:tc>
        <w:tc>
          <w:tcPr/>
          <w:p>
            <w:pPr>
              <w:pStyle w:val="Compact"/>
              <w:jc w:val="left"/>
            </w:pPr>
            <w:r>
              <w:t xml:space="preserve">mediaan 5,4 jaar</w:t>
            </w:r>
          </w:p>
        </w:tc>
        <w:tc>
          <w:tcPr/>
          <w:p>
            <w:pPr>
              <w:pStyle w:val="Compact"/>
              <w:jc w:val="left"/>
            </w:pPr>
            <w:r>
              <w:t xml:space="preserve">HR 0,93 (niet significant); na achteraf uitgevoerde aanpassing HR 0,86</w:t>
            </w:r>
          </w:p>
        </w:tc>
      </w:tr>
    </w:tbl>
    <w:p>
      <w:pPr>
        <w:pStyle w:val="BodyText"/>
      </w:pPr>
      <w:r>
        <w:t xml:space="preserve">Het primaire eindpunt – overlijden door een cardiovasculaire oorzaak, niet-fataal hartinfarct of beroerte – trad onder dulaglutide op bij 594 van 4.949 personen (12,0%), onder placebo bij 663 van 4.952 (13,4%) (Gerstein 2019, PMID 31189511). Dat komt overeen met een relatieve verlaging van 12%. De totale sterfte verschilde niet significant (10,8% vs. 12,0%; HR 0,90). Maag-darmbijwerkingen meldde 47,4% tegenover 34,1%.</w:t>
      </w:r>
    </w:p>
    <w:p>
      <w:pPr>
        <w:pStyle w:val="BodyText"/>
      </w:pPr>
      <w:r>
        <w:t xml:space="preserve">In de nieranalyse (Gerstein 2019, PMID 31189509) was het effect vooral toe te schrijven aan nieuw optredende macroalbuminurie (HR 0,77). Voor een aanhoudende daling van de nierfunctie met ten minste 30% lag de schatting op 0,89, voor dialyse of niertransplantatie op 0,75 – beide statistisch niet significant.</w:t>
      </w:r>
    </w:p>
    <w:p>
      <w:pPr>
        <w:pStyle w:val="BodyText"/>
      </w:pPr>
      <w:r>
        <w:t xml:space="preserve">De analyse van de cognitieve prestaties (Cukierman-Yaffe 2020, PMID 32562683) wordt af en toe aangehaald als bewijs voor bescherming tegen dementie. Dat gaat te ver: de vooraf vastgelegde vergelijking was niet significant. Pas na een achteraf uitgevoerde statistische aanpassing ontstond een 14% lager relatief risico op een duidelijke achteruitgang van de cognitieve prestaties (hazard ratio 0,86). De auteurs spreken zelf van een exploratieve analyse die verdere studies rechtvaardigt.</w:t>
      </w:r>
    </w:p>
    <w:p>
      <w:pPr>
        <w:pStyle w:val="BodyText"/>
      </w:pPr>
      <w:r>
        <w:t xml:space="preserve">In een meta-analyse van alle grote GLP-1-uitkomststudies paste REWIND goed in het totaalbeeld, volgens hetwelk de klasse ernstige cardiovasculaire gebeurtenissen met ongeveer 12% verlaagt (Kristensen 2019, PMID 31422062).</w:t>
      </w:r>
    </w:p>
    <w:bookmarkEnd w:id="168"/>
    <w:bookmarkStart w:id="169" w:name="wat-verklaart-het-nut-en-wat-niet"/>
    <w:p>
      <w:pPr>
        <w:pStyle w:val="Heading4"/>
      </w:pPr>
      <w:r>
        <w:t xml:space="preserve">Wat verklaart het nut – en wat niet?</w:t>
      </w:r>
    </w:p>
    <w:p>
      <w:pPr>
        <w:pStyle w:val="FirstParagraph"/>
      </w:pPr>
      <w:r>
        <w:t xml:space="preserve">Meerdere achteraf uitgevoerde analyses van REWIND probeerden het cardiovasculaire effect beter te begrijpen. In een deelanalyse met 9.543 personen zonder boezemfibrilleren bij aanvang van de studie had 31% al een hart- en vaatziekte, de overigen „alleen” risicofactoren (Raubenheimer 2022, PMID 34984808). Dat onderstreept dat REWIND veel meer dan andere uitkomststudies mensen in de preventie onderzocht.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Analyse</w:t>
            </w:r>
          </w:p>
        </w:tc>
        <w:tc>
          <w:tcPr/>
          <w:p>
            <w:pPr>
              <w:pStyle w:val="Compact"/>
              <w:jc w:val="left"/>
            </w:pPr>
            <w:r>
              <w:t xml:space="preserve">Vraag</w:t>
            </w:r>
          </w:p>
        </w:tc>
        <w:tc>
          <w:tcPr/>
          <w:p>
            <w:pPr>
              <w:pStyle w:val="Compact"/>
              <w:jc w:val="left"/>
            </w:pPr>
            <w:r>
              <w:t xml:space="preserve">Resultaat</w:t>
            </w:r>
          </w:p>
        </w:tc>
      </w:tr>
      <w:tr>
        <w:tc>
          <w:tcPr/>
          <w:p>
            <w:pPr>
              <w:pStyle w:val="Compact"/>
              <w:jc w:val="left"/>
            </w:pPr>
            <w:r>
              <w:t xml:space="preserve">Konig 2021, PMID 34563178</w:t>
            </w:r>
          </w:p>
        </w:tc>
        <w:tc>
          <w:tcPr/>
          <w:p>
            <w:pPr>
              <w:pStyle w:val="Compact"/>
              <w:jc w:val="left"/>
            </w:pPr>
            <w:r>
              <w:t xml:space="preserve">Welke veranderingen verklaren het nut?</w:t>
            </w:r>
          </w:p>
        </w:tc>
        <w:tc>
          <w:tcPr/>
          <w:p>
            <w:pPr>
              <w:pStyle w:val="Compact"/>
              <w:jc w:val="left"/>
            </w:pPr>
            <w:r>
              <w:t xml:space="preserve">deels de verlaging van HbA1c en eiwituitscheiding in de urine, niet gewicht, bloeddruk of LDL-cholesterol</w:t>
            </w:r>
          </w:p>
        </w:tc>
      </w:tr>
      <w:tr>
        <w:tc>
          <w:tcPr/>
          <w:p>
            <w:pPr>
              <w:pStyle w:val="Compact"/>
              <w:jc w:val="left"/>
            </w:pPr>
            <w:r>
              <w:t xml:space="preserve">Branch 2022, PMID 36073143</w:t>
            </w:r>
          </w:p>
        </w:tc>
        <w:tc>
          <w:tcPr/>
          <w:p>
            <w:pPr>
              <w:pStyle w:val="Compact"/>
              <w:jc w:val="left"/>
            </w:pPr>
            <w:r>
              <w:t xml:space="preserve">Gebeurtenissen door hartfalen</w:t>
            </w:r>
          </w:p>
        </w:tc>
        <w:tc>
          <w:tcPr/>
          <w:p>
            <w:pPr>
              <w:pStyle w:val="Compact"/>
              <w:jc w:val="left"/>
            </w:pPr>
            <w:r>
              <w:t xml:space="preserve">4,3% vs. 4,6%; HR 0,93, geen significant verschil</w:t>
            </w:r>
          </w:p>
        </w:tc>
      </w:tr>
      <w:tr>
        <w:tc>
          <w:tcPr/>
          <w:p>
            <w:pPr>
              <w:pStyle w:val="Compact"/>
              <w:jc w:val="left"/>
            </w:pPr>
            <w:r>
              <w:t xml:space="preserve">Raubenheimer 2022, PMID 34984808</w:t>
            </w:r>
          </w:p>
        </w:tc>
        <w:tc>
          <w:tcPr/>
          <w:p>
            <w:pPr>
              <w:pStyle w:val="Compact"/>
              <w:jc w:val="left"/>
            </w:pPr>
            <w:r>
              <w:t xml:space="preserve">Nieuw boezemfibrilleren of boezemfladderen</w:t>
            </w:r>
          </w:p>
        </w:tc>
        <w:tc>
          <w:tcPr/>
          <w:p>
            <w:pPr>
              <w:pStyle w:val="Compact"/>
              <w:jc w:val="left"/>
            </w:pPr>
            <w:r>
              <w:t xml:space="preserve">5,6% vs. 5,3%; geen verschil</w:t>
            </w:r>
          </w:p>
        </w:tc>
      </w:tr>
    </w:tbl>
    <w:p>
      <w:pPr>
        <w:pStyle w:val="BodyText"/>
      </w:pPr>
      <w:r>
        <w:t xml:space="preserve">Volgens de analyse van Konig 2021 (PMID 34563178) kon een deel van het effect statistisch worden verklaard door de betere bloedsuikerregulatie en de geringere eiwituitscheiding in de urine; een ander deel bleef onverklaard. Het gewichtsverlies speelde in deze analyse geen meetbare rol. Dat past bij de wijdverbreide veronderstelling dat GLP-1-receptoragonisten ook directe effecten hebben op bloedvaten en ontstekingsprocessen – bij de mens is dat echter niet aangetoond.</w:t>
      </w:r>
    </w:p>
    <w:p>
      <w:pPr>
        <w:pStyle w:val="BodyText"/>
      </w:pPr>
      <w:r>
        <w:t xml:space="preserve">Geen bescherming liet dulaglutide zien tegen gebeurtenissen door hartfalen (Branch 2022, PMID 36073143) en tegen nieuw optredend boezemfibrilleren (Raubenheimer 2022, PMID 34984808). Ook bij de 853 deelnemers die al bij aanvang van de studie hartfalen hadden, ontstond geen afwijkend beeld. Voor hartfalen met behouden pompfunctie bij obesitas zijn er inmiddels gegevens over semaglutide en tirzepatide; voor dulaglutide ontbreken ze.</w:t>
      </w:r>
    </w:p>
    <w:bookmarkEnd w:id="169"/>
    <w:bookmarkStart w:id="170" w:name="Xf56c49b969d27d7ae919a65aed06ad43ae8ade9"/>
    <w:p>
      <w:pPr>
        <w:pStyle w:val="Heading4"/>
      </w:pPr>
      <w:r>
        <w:t xml:space="preserve">Dulaglutide als vergelijkingsstandaard voor nieuwe werkzame stoffen</w:t>
      </w:r>
    </w:p>
    <w:p>
      <w:pPr>
        <w:pStyle w:val="FirstParagraph"/>
      </w:pPr>
      <w:r>
        <w:t xml:space="preserve">Omdat dulaglutide wereldwijd breed wordt gebruikt, goed wordt verdragen en een aangetoond cardiovasculair nut heeft, kiezen fabrikanten het vaak als actieve vergelijking. De resultaten van deze studies horen inhoudelijk in de hoofdstukken over de betreffende nieuwe werkzame stoffen; hier alleen het overzicht: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Opzet</w:t>
            </w:r>
          </w:p>
        </w:tc>
        <w:tc>
          <w:tcPr/>
          <w:p>
            <w:pPr>
              <w:pStyle w:val="Compact"/>
              <w:jc w:val="left"/>
            </w:pPr>
            <w:r>
              <w:t xml:space="preserve">Duur</w:t>
            </w:r>
          </w:p>
        </w:tc>
        <w:tc>
          <w:tcPr/>
          <w:p>
            <w:pPr>
              <w:pStyle w:val="Compact"/>
              <w:jc w:val="left"/>
            </w:pPr>
            <w:r>
              <w:t xml:space="preserve">Resultaat</w:t>
            </w:r>
          </w:p>
        </w:tc>
      </w:tr>
      <w:tr>
        <w:tc>
          <w:tcPr/>
          <w:p>
            <w:pPr>
              <w:pStyle w:val="Compact"/>
              <w:jc w:val="left"/>
            </w:pPr>
            <w:r>
              <w:t xml:space="preserve">SURPASS-CVOT (Nicholls 2025), PMID 41406444</w:t>
            </w:r>
          </w:p>
        </w:tc>
        <w:tc>
          <w:tcPr/>
          <w:p>
            <w:pPr>
              <w:pStyle w:val="Compact"/>
              <w:jc w:val="left"/>
            </w:pPr>
            <w:r>
              <w:t xml:space="preserve">13.165 personen met diabetes type 2 en vaatziekte; tirzepatide vs. dulaglutide</w:t>
            </w:r>
          </w:p>
        </w:tc>
        <w:tc>
          <w:tcPr/>
          <w:p>
            <w:pPr>
              <w:pStyle w:val="Compact"/>
              <w:jc w:val="left"/>
            </w:pPr>
            <w:r>
              <w:t xml:space="preserve">meerdere jaren</w:t>
            </w:r>
          </w:p>
        </w:tc>
        <w:tc>
          <w:tcPr/>
          <w:p>
            <w:pPr>
              <w:pStyle w:val="Compact"/>
              <w:jc w:val="left"/>
            </w:pPr>
            <w:r>
              <w:t xml:space="preserve">ernstige cardiovasculaire gebeurtenissen 12,2% vs. 13,1%; HR 0,92, niet inferieur, superioriteit niet aangetoond</w:t>
            </w:r>
          </w:p>
        </w:tc>
      </w:tr>
      <w:tr>
        <w:tc>
          <w:tcPr/>
          <w:p>
            <w:pPr>
              <w:pStyle w:val="Compact"/>
              <w:jc w:val="left"/>
            </w:pPr>
            <w:r>
              <w:t xml:space="preserve">SURPASS J-mono (Inagaki 2022), PMID 35914543</w:t>
            </w:r>
          </w:p>
        </w:tc>
        <w:tc>
          <w:tcPr/>
          <w:p>
            <w:pPr>
              <w:pStyle w:val="Compact"/>
              <w:jc w:val="left"/>
            </w:pPr>
            <w:r>
              <w:t xml:space="preserve">636 personen in Japan; tirzepatide vs. dulaglutide 0,75 mg</w:t>
            </w:r>
          </w:p>
        </w:tc>
        <w:tc>
          <w:tcPr/>
          <w:p>
            <w:pPr>
              <w:pStyle w:val="Compact"/>
              <w:jc w:val="left"/>
            </w:pPr>
            <w:r>
              <w:t xml:space="preserve">52 weken</w:t>
            </w:r>
          </w:p>
        </w:tc>
        <w:tc>
          <w:tcPr/>
          <w:p>
            <w:pPr>
              <w:pStyle w:val="Compact"/>
              <w:jc w:val="left"/>
            </w:pPr>
            <w:r>
              <w:t xml:space="preserve">HbA1c −2,4 tot −2,8 vs. −1,3</w:t>
            </w:r>
          </w:p>
        </w:tc>
      </w:tr>
      <w:tr>
        <w:tc>
          <w:tcPr/>
          <w:p>
            <w:pPr>
              <w:pStyle w:val="Compact"/>
              <w:jc w:val="left"/>
            </w:pPr>
            <w:r>
              <w:t xml:space="preserve">Guo 2026, PMID 41407860</w:t>
            </w:r>
          </w:p>
        </w:tc>
        <w:tc>
          <w:tcPr/>
          <w:p>
            <w:pPr>
              <w:pStyle w:val="Compact"/>
              <w:jc w:val="left"/>
            </w:pPr>
            <w:r>
              <w:t xml:space="preserve">731 personen in China; mazdutide vs. dulaglutide 1,5 mg</w:t>
            </w:r>
          </w:p>
        </w:tc>
        <w:tc>
          <w:tcPr/>
          <w:p>
            <w:pPr>
              <w:pStyle w:val="Compact"/>
              <w:jc w:val="left"/>
            </w:pPr>
            <w:r>
              <w:t xml:space="preserve">28 weken</w:t>
            </w:r>
          </w:p>
        </w:tc>
        <w:tc>
          <w:tcPr/>
          <w:p>
            <w:pPr>
              <w:pStyle w:val="Compact"/>
              <w:jc w:val="left"/>
            </w:pPr>
            <w:r>
              <w:t xml:space="preserve">HbA1c-verschil −0,24 resp. −0,30 procentpunt in het voordeel van mazdutide</w:t>
            </w:r>
          </w:p>
        </w:tc>
      </w:tr>
      <w:tr>
        <w:tc>
          <w:tcPr/>
          <w:p>
            <w:pPr>
              <w:pStyle w:val="Compact"/>
              <w:jc w:val="left"/>
            </w:pPr>
            <w:r>
              <w:t xml:space="preserve">EECOH-2 (He 2025), PMID 40854315</w:t>
            </w:r>
          </w:p>
        </w:tc>
        <w:tc>
          <w:tcPr/>
          <w:p>
            <w:pPr>
              <w:pStyle w:val="Compact"/>
              <w:jc w:val="left"/>
            </w:pPr>
            <w:r>
              <w:t xml:space="preserve">621 personen in China; ecnoglutide vs. dulaglutide 1,5 mg</w:t>
            </w:r>
          </w:p>
        </w:tc>
        <w:tc>
          <w:tcPr/>
          <w:p>
            <w:pPr>
              <w:pStyle w:val="Compact"/>
              <w:jc w:val="left"/>
            </w:pPr>
            <w:r>
              <w:t xml:space="preserve">52 weken (primair eindpunt 32)</w:t>
            </w:r>
          </w:p>
        </w:tc>
        <w:tc>
          <w:tcPr/>
          <w:p>
            <w:pPr>
              <w:pStyle w:val="Compact"/>
              <w:jc w:val="left"/>
            </w:pPr>
            <w:r>
              <w:t xml:space="preserve">HbA1c −1,89 tot −1,91 vs. −1,65</w:t>
            </w:r>
          </w:p>
        </w:tc>
      </w:tr>
    </w:tbl>
    <w:p>
      <w:pPr>
        <w:pStyle w:val="BodyText"/>
      </w:pPr>
      <w:r>
        <w:t xml:space="preserve">Bijzonder verhelderend is SURPASS-CVOT (Nicholls 2025, PMID 41406444), de eerste grote uitkomststudie waarin twee incretinegeneesmiddelen het rechtstreeks tegen elkaar opnamen. Tirzepatide was niet slechter, maar ook niet aantoonbaar beter dan dulaglutide. Omdat dulaglutide zelf in REWIND het risico had verlaagd, is een „gelijkspel” tegen dulaglutide een sterk resultaat voor beide werkzame stoffen. Een achteraf uitgevoerde analyse met een breder hart-niereindpunt vond een voordeel voor tirzepatide (23,7% vs. 27,4%; HR 0,84) (Nissen 2026, PMID 41903177). Achteraf uitgevoerde analyses zijn echter minder solide dan het vooraf vastgelegde primaire eindpunt.</w:t>
      </w:r>
    </w:p>
    <w:bookmarkEnd w:id="170"/>
    <w:bookmarkStart w:id="171" w:name="gebruik-de-voorgevulde-pen"/>
    <w:p>
      <w:pPr>
        <w:pStyle w:val="Heading4"/>
      </w:pPr>
      <w:r>
        <w:t xml:space="preserve">Gebruik: de voorgevulde pen</w:t>
      </w:r>
    </w:p>
    <w:p>
      <w:pPr>
        <w:pStyle w:val="FirstParagraph"/>
      </w:pPr>
      <w:r>
        <w:t xml:space="preserve">Een praktisch punt dat in studies zelden aandacht krijgt, is het gebruik. Dulaglutide wordt geleverd in een voorgevulde wegwerppen waarop geen naald hoeft te worden gezet en geen dosis hoeft te worden ingesteld. In een studie met 211 mensen met diabetes type 2 die zichzelf nog nooit hadden geïnjecteerd, lukte de injectie aan het eind in 99,1% van de gevallen; de angst voor injecteren nam af (Matfin 2015, PMID 25901022). In een door de fabrikant gefinancierde vergelijkende studie met 310 deelnemers gaf 84,2% de voorkeur aan de dulaglutidepen boven de toenmalige semaglutidepen (Matza 2020, PMID 31646727). Zulke voorkeursstudies zeggen niets over de werkzaamheid, maar kunnen verklaren waarom dulaglutide juist bij ouderen veel wordt gebruikt.</w:t>
      </w:r>
    </w:p>
    <w:bookmarkEnd w:id="171"/>
    <w:bookmarkStart w:id="172" w:name="kinderen-en-jongeren-1"/>
    <w:p>
      <w:pPr>
        <w:pStyle w:val="Heading4"/>
      </w:pPr>
      <w:r>
        <w:t xml:space="preserve">Kinderen en jongeren</w:t>
      </w:r>
    </w:p>
    <w:p>
      <w:pPr>
        <w:pStyle w:val="FirstParagraph"/>
      </w:pPr>
      <w:r>
        <w:t xml:space="preserve">In AWARD-PEDS met 154 jongeren met diabetes type 2 steeg de HbA1c onder placebo na 26 weken met 0,6 procentpunt en daalde hij onder dulaglutide met 0,6 (0,75 mg) respectievelijk 0,9 procentpunt (1,5 mg) (Arslanian 2022, PMID 35658022). Een HbA1c onder 7% bereikte 51% tegenover 14%. Op de body-mass-index had dulaglutide in deze leeftijdsgroep geen invloed. Deze studie vormde de basis voor de registratie vanaf 10 jaar.</w:t>
      </w:r>
    </w:p>
    <w:bookmarkEnd w:id="172"/>
    <w:bookmarkStart w:id="173" w:name="andere-toepassingsgebieden-in-studies-2"/>
    <w:p>
      <w:pPr>
        <w:pStyle w:val="Heading4"/>
      </w:pPr>
      <w:r>
        <w:t xml:space="preserve">Andere toepassingsgebieden in studies</w:t>
      </w:r>
    </w:p>
    <w:p>
      <w:pPr>
        <w:numPr>
          <w:ilvl w:val="0"/>
          <w:numId w:val="1049"/>
        </w:numPr>
        <w:pStyle w:val="Compact"/>
      </w:pPr>
      <w:r>
        <w:rPr>
          <w:bCs/>
          <w:b/>
        </w:rPr>
        <w:t xml:space="preserve">Stoppen met roken:</w:t>
      </w:r>
      <w:r>
        <w:t xml:space="preserve"> </w:t>
      </w:r>
      <w:r>
        <w:t xml:space="preserve">in een studie met 255 personen verbeterde dulaglutide het percentage stoppers niet; na 52 weken was in beide groepen 32% rookvrij (Lüthi 2024, PMID 38371479). De gebruikelijke gewichtstoename na het stoppen met roken werd in de eerste 12 weken voorkomen, na een jaar was het verschil verdwenen.</w:t>
      </w:r>
    </w:p>
    <w:p>
      <w:pPr>
        <w:numPr>
          <w:ilvl w:val="0"/>
          <w:numId w:val="1049"/>
        </w:numPr>
        <w:pStyle w:val="Compact"/>
      </w:pPr>
      <w:r>
        <w:rPr>
          <w:bCs/>
          <w:b/>
        </w:rPr>
        <w:t xml:space="preserve">Alcohol:</w:t>
      </w:r>
      <w:r>
        <w:t xml:space="preserve"> </w:t>
      </w:r>
      <w:r>
        <w:t xml:space="preserve">in een vooraf geplande aanvullende analyse van dezelfde studie dronken deelnemers met dulaglutide na 12 weken 29% minder alcohol dan met placebo (Probst 2023, PMID 37991022). De studie was niet voor deze vraag opgezet.</w:t>
      </w:r>
    </w:p>
    <w:p>
      <w:pPr>
        <w:numPr>
          <w:ilvl w:val="0"/>
          <w:numId w:val="1049"/>
        </w:numPr>
        <w:pStyle w:val="Compact"/>
      </w:pPr>
      <w:r>
        <w:rPr>
          <w:bCs/>
          <w:b/>
        </w:rPr>
        <w:t xml:space="preserve">Primaire polydipsie</w:t>
      </w:r>
      <w:r>
        <w:t xml:space="preserve"> </w:t>
      </w:r>
      <w:r>
        <w:t xml:space="preserve">(ziekelijk verhoogd drinken): in een cross-overstudie met 34 personen verminderde dulaglutide de drinkhoeveelheid tijdens een test van acht uur met 490 ml, overeenkomend met 17% (Winzeler 2021, PMID 34473645). Een aanwijzing dat GLP-1 ook het dorstgevoel beïnvloedt.</w:t>
      </w:r>
    </w:p>
    <w:bookmarkEnd w:id="173"/>
    <w:bookmarkEnd w:id="174"/>
    <w:bookmarkStart w:id="175" w:name="dier--en-laboratoriumstudies-2"/>
    <w:p>
      <w:pPr>
        <w:pStyle w:val="Heading3"/>
      </w:pPr>
      <w:r>
        <w:t xml:space="preserve">Dier- en laboratoriumstudies</w:t>
      </w:r>
    </w:p>
    <w:p>
      <w:pPr>
        <w:pStyle w:val="FirstParagraph"/>
      </w:pPr>
      <w:r>
        <w:t xml:space="preserve">De preklinische karakterisering van dulaglutide (destijds LY2189265) gebeurde bij cellen, ratten, muizen en Java-apen (Glaesner 2010, PMID 20503261). In laboratoriumproeven behield het fusie-eiwit de volledige werking op de GLP-1-receptor. Bij diabetische muizen verbeterde één enkele toediening de glucosetolerantie; tweemaal-wekelijkse toediening gedurende vier weken verlaagde het gewicht en vertraagde de stijging van de bloedsuiker. Bij apen hield het effect op de insulineafgifte na één dosis tot een week aan.</w:t>
      </w:r>
    </w:p>
    <w:p>
      <w:pPr>
        <w:pStyle w:val="BodyText"/>
      </w:pPr>
      <w:r>
        <w:t xml:space="preserve">Zoals bij alle GLP-1-receptoragonisten traden in langetermijnstudies bij knaagdieren veranderingen van de C-cellen van de schildklier op; het mechanisme en de beperkte vertaalbaarheid ervan naar de mens worden beschreven in het hoofdstuk Liraglutide (Bjerre Knudsen 2010, PMID 20203154).</w:t>
      </w:r>
    </w:p>
    <w:bookmarkEnd w:id="175"/>
    <w:bookmarkStart w:id="176" w:name="risicos-en-bijwerkingen-2"/>
    <w:p>
      <w:pPr>
        <w:pStyle w:val="Heading3"/>
      </w:pPr>
      <w:r>
        <w:t xml:space="preserve">Risico’s en bijwerkingen</w:t>
      </w:r>
    </w:p>
    <w:p>
      <w:pPr>
        <w:pStyle w:val="FirstParagraph"/>
      </w:pPr>
      <w:r>
        <w:rPr>
          <w:bCs/>
          <w:b/>
        </w:rPr>
        <w:t xml:space="preserve">Aangetoond in gerandomiseerde studies:</w:t>
      </w:r>
    </w:p>
    <w:p>
      <w:pPr>
        <w:numPr>
          <w:ilvl w:val="0"/>
          <w:numId w:val="1050"/>
        </w:numPr>
        <w:pStyle w:val="Compact"/>
      </w:pPr>
      <w:r>
        <w:rPr>
          <w:bCs/>
          <w:b/>
        </w:rPr>
        <w:t xml:space="preserve">Maag-darmklachten:</w:t>
      </w:r>
      <w:r>
        <w:t xml:space="preserve"> </w:t>
      </w:r>
      <w:r>
        <w:t xml:space="preserve">misselijkheid, diarree en braken zijn de meest voorkomende bijwerkingen. In REWIND meldde 47,4% van de behandelden maag-darmklachten tegenover 34,1% onder placebo (Gerstein 2019, PMID 31189511). Bij hogere doses nemen ze toe (Frias 2021, PMID 33397768).</w:t>
      </w:r>
    </w:p>
    <w:p>
      <w:pPr>
        <w:numPr>
          <w:ilvl w:val="0"/>
          <w:numId w:val="1050"/>
        </w:numPr>
        <w:pStyle w:val="Compact"/>
      </w:pPr>
      <w:r>
        <w:rPr>
          <w:bCs/>
          <w:b/>
        </w:rPr>
        <w:t xml:space="preserve">Hypoglykemie:</w:t>
      </w:r>
      <w:r>
        <w:t xml:space="preserve"> </w:t>
      </w:r>
      <w:r>
        <w:t xml:space="preserve">op zichzelf zeldzaam; in combinatie met insuline of sulfonylureumderivaten vaker, maar minder vaak dan onder insuline alleen (Giorgino 2015, PMID 26089386).</w:t>
      </w:r>
    </w:p>
    <w:p>
      <w:pPr>
        <w:numPr>
          <w:ilvl w:val="0"/>
          <w:numId w:val="1050"/>
        </w:numPr>
        <w:pStyle w:val="Compact"/>
      </w:pPr>
      <w:r>
        <w:rPr>
          <w:bCs/>
          <w:b/>
        </w:rPr>
        <w:t xml:space="preserve">Alvleesklierenzymen:</w:t>
      </w:r>
      <w:r>
        <w:t xml:space="preserve"> </w:t>
      </w:r>
      <w:r>
        <w:t xml:space="preserve">in AWARD-2 stegen de alvleesklierenzymen onder dulaglutide (Giorgino 2015, PMID 26089386). De klinische betekenis van zulke stijgingen zonder klachten is onduidelijk.</w:t>
      </w:r>
    </w:p>
    <w:p>
      <w:pPr>
        <w:numPr>
          <w:ilvl w:val="0"/>
          <w:numId w:val="1050"/>
        </w:numPr>
        <w:pStyle w:val="Compact"/>
      </w:pPr>
      <w:r>
        <w:rPr>
          <w:bCs/>
          <w:b/>
        </w:rPr>
        <w:t xml:space="preserve">Antilichamen:</w:t>
      </w:r>
      <w:r>
        <w:t xml:space="preserve"> </w:t>
      </w:r>
      <w:r>
        <w:t xml:space="preserve">zeldzaam (1,6% van de behandelden), zonder ophoping van overgevoeligheidsreacties (Milicevic 2016, PMID 26847401).</w:t>
      </w:r>
    </w:p>
    <w:p>
      <w:pPr>
        <w:numPr>
          <w:ilvl w:val="0"/>
          <w:numId w:val="1050"/>
        </w:numPr>
        <w:pStyle w:val="Compact"/>
      </w:pPr>
      <w:r>
        <w:rPr>
          <w:bCs/>
          <w:b/>
        </w:rPr>
        <w:t xml:space="preserve">Galblaas:</w:t>
      </w:r>
      <w:r>
        <w:t xml:space="preserve"> </w:t>
      </w:r>
      <w:r>
        <w:t xml:space="preserve">voor de hele klasse is een verhoogd risico op galstenen en galblaasontsteking aangetoond (He 2022, PMID 35344001); details in het hoofdstuk Liraglutide.</w:t>
      </w:r>
    </w:p>
    <w:p>
      <w:pPr>
        <w:pStyle w:val="FirstParagraph"/>
      </w:pPr>
      <w:r>
        <w:rPr>
          <w:bCs/>
          <w:b/>
        </w:rPr>
        <w:t xml:space="preserve">Onderzocht, maar onzeker:</w:t>
      </w:r>
    </w:p>
    <w:p>
      <w:pPr>
        <w:numPr>
          <w:ilvl w:val="0"/>
          <w:numId w:val="1051"/>
        </w:numPr>
        <w:pStyle w:val="Compact"/>
      </w:pPr>
      <w:r>
        <w:rPr>
          <w:bCs/>
          <w:b/>
        </w:rPr>
        <w:t xml:space="preserve">Alvleesklierontsteking en -kanker:</w:t>
      </w:r>
      <w:r>
        <w:t xml:space="preserve"> </w:t>
      </w:r>
      <w:r>
        <w:t xml:space="preserve">in de meta-analyse van de uitkomststudies geen verhoogd risico voor de klasse (Kristensen 2019, PMID 31422062). Pancreatitis staat toch als zeldzame bijwerking in de productinformatie.</w:t>
      </w:r>
    </w:p>
    <w:p>
      <w:pPr>
        <w:numPr>
          <w:ilvl w:val="0"/>
          <w:numId w:val="1051"/>
        </w:numPr>
        <w:pStyle w:val="Compact"/>
      </w:pPr>
      <w:r>
        <w:rPr>
          <w:bCs/>
          <w:b/>
        </w:rPr>
        <w:t xml:space="preserve">Schildklierkanker:</w:t>
      </w:r>
      <w:r>
        <w:t xml:space="preserve"> </w:t>
      </w:r>
      <w:r>
        <w:t xml:space="preserve">signaal in observationele studies en meta-analyses voor de hele klasse (Silverii 2025, PMID 40437949), niet specifiek voor dulaglutide; zie hoofdstuk Liraglutide en deel IV.</w:t>
      </w:r>
    </w:p>
    <w:p>
      <w:pPr>
        <w:pStyle w:val="FirstParagraph"/>
      </w:pPr>
      <w:r>
        <w:rPr>
          <w:bCs/>
          <w:b/>
        </w:rPr>
        <w:t xml:space="preserve">Aanwijzingen voor de praktijk:</w:t>
      </w:r>
      <w:r>
        <w:t xml:space="preserve"> </w:t>
      </w:r>
      <w:r>
        <w:t xml:space="preserve">dulaglutide vertraagt de maaglediging, wat bij narcoses en maagonderzoeken (gastroscopieën) een rol speelt; daarover loopt een grote studie naar de vraag of GLP-1-receptoragonisten vóór een gastroscopie moeten worden onderbroken (NCT07276763). Bepalend zijn de productinformatie en de begeleiding door een arts.</w:t>
      </w:r>
    </w:p>
    <w:bookmarkEnd w:id="176"/>
    <w:bookmarkStart w:id="177" w:name="juridische-status-2"/>
    <w:p>
      <w:pPr>
        <w:pStyle w:val="Heading3"/>
      </w:pPr>
      <w:r>
        <w:t xml:space="preserve">Juridische status</w:t>
      </w:r>
    </w:p>
    <w:p>
      <w:pPr>
        <w:numPr>
          <w:ilvl w:val="0"/>
          <w:numId w:val="1052"/>
        </w:numPr>
        <w:pStyle w:val="Compact"/>
      </w:pPr>
      <w:r>
        <w:rPr>
          <w:bCs/>
          <w:b/>
        </w:rPr>
        <w:t xml:space="preserve">EU:</w:t>
      </w:r>
      <w:r>
        <w:t xml:space="preserve"> </w:t>
      </w:r>
      <w:r>
        <w:t xml:space="preserve">Trulicity is sinds 2014 centraal geregistreerd voor de behandeling van diabetes type 2, inmiddels ook voor jongeren vanaf 10 jaar. Receptplichtig. Geen registratie voor gewichtsvermindering.</w:t>
      </w:r>
    </w:p>
    <w:p>
      <w:pPr>
        <w:numPr>
          <w:ilvl w:val="0"/>
          <w:numId w:val="1052"/>
        </w:numPr>
        <w:pStyle w:val="Compact"/>
      </w:pPr>
      <w:r>
        <w:rPr>
          <w:bCs/>
          <w:b/>
        </w:rPr>
        <w:t xml:space="preserve">Duitsland en Oostenrijk:</w:t>
      </w:r>
      <w:r>
        <w:t xml:space="preserve"> </w:t>
      </w:r>
      <w:r>
        <w:t xml:space="preserve">receptplichtig; bij diabetes type 2 vergoedbaar. In de jaren vanaf 2022 kwam het, zoals bij andere GLP-1-preparaten, tijdelijk tot leveringstekorten (actuele situatie controleren).</w:t>
      </w:r>
    </w:p>
    <w:p>
      <w:pPr>
        <w:numPr>
          <w:ilvl w:val="0"/>
          <w:numId w:val="1052"/>
        </w:numPr>
        <w:pStyle w:val="Compact"/>
      </w:pPr>
      <w:r>
        <w:rPr>
          <w:bCs/>
          <w:b/>
        </w:rPr>
        <w:t xml:space="preserve">VS:</w:t>
      </w:r>
      <w:r>
        <w:t xml:space="preserve"> </w:t>
      </w:r>
      <w:r>
        <w:t xml:space="preserve">geregistreerd voor diabetes type 2 vanaf 10 jaar en voor verlaging van het cardiovasculaire risico.</w:t>
      </w:r>
    </w:p>
    <w:p>
      <w:pPr>
        <w:numPr>
          <w:ilvl w:val="0"/>
          <w:numId w:val="1052"/>
        </w:numPr>
        <w:pStyle w:val="Compact"/>
      </w:pPr>
      <w:r>
        <w:rPr>
          <w:bCs/>
          <w:b/>
        </w:rPr>
        <w:t xml:space="preserve">Generieke middelen:</w:t>
      </w:r>
      <w:r>
        <w:t xml:space="preserve"> </w:t>
      </w:r>
      <w:r>
        <w:t xml:space="preserve">omdat dulaglutide een recombinant geproduceerd fusie-eiwit is, zouden namaakpreparaten biosimilars zijn met een ingewikkelder registratieprocedure dan bij liraglutide of semaglutide. Op het moment van publicatie is in de EU naar beste weten geen biosimilar in de handel (actuele situatie controleren).</w:t>
      </w:r>
    </w:p>
    <w:p>
      <w:pPr>
        <w:numPr>
          <w:ilvl w:val="0"/>
          <w:numId w:val="1052"/>
        </w:numPr>
        <w:pStyle w:val="Compact"/>
      </w:pPr>
      <w:r>
        <w:rPr>
          <w:bCs/>
          <w:b/>
        </w:rPr>
        <w:t xml:space="preserve">Sport (WADA):</w:t>
      </w:r>
      <w:r>
        <w:t xml:space="preserve"> </w:t>
      </w:r>
      <w:r>
        <w:t xml:space="preserve">niet vermeld (stand 2026, actuele situatie controleren).</w:t>
      </w:r>
    </w:p>
    <w:p>
      <w:pPr>
        <w:numPr>
          <w:ilvl w:val="0"/>
          <w:numId w:val="1052"/>
        </w:numPr>
        <w:pStyle w:val="Compact"/>
      </w:pPr>
      <w:r>
        <w:rPr>
          <w:bCs/>
          <w:b/>
        </w:rPr>
        <w:t xml:space="preserve">Grijze markt:</w:t>
      </w:r>
      <w:r>
        <w:t xml:space="preserve"> </w:t>
      </w:r>
      <w:r>
        <w:t xml:space="preserve">dulaglutide speelt op de grijze markt praktisch geen rol, omdat een groot fusie-eiwit niet zoals kleine peptiden synthetisch kan worden gemaakt.</w:t>
      </w:r>
    </w:p>
    <w:bookmarkEnd w:id="177"/>
    <w:bookmarkStart w:id="178" w:name="lopende-studies-en-vooruitzichten-2"/>
    <w:p>
      <w:pPr>
        <w:pStyle w:val="Heading3"/>
      </w:pPr>
      <w:r>
        <w:t xml:space="preserve">Lopende studies en vooruitzichten</w:t>
      </w:r>
    </w:p>
    <w:p>
      <w:pPr>
        <w:pStyle w:val="FirstParagraph"/>
      </w:pPr>
      <w:r>
        <w:rPr>
          <w:bCs/>
          <w:b/>
        </w:rPr>
        <w:t xml:space="preserve">Vaststaand (geregistreerde studies):</w:t>
      </w:r>
    </w:p>
    <w:p>
      <w:pPr>
        <w:numPr>
          <w:ilvl w:val="0"/>
          <w:numId w:val="1053"/>
        </w:numPr>
        <w:pStyle w:val="Compact"/>
      </w:pPr>
      <w:r>
        <w:rPr>
          <w:bCs/>
          <w:b/>
        </w:rPr>
        <w:t xml:space="preserve">Kinderen en jongeren:</w:t>
      </w:r>
      <w:r>
        <w:t xml:space="preserve"> </w:t>
      </w:r>
      <w:r>
        <w:t xml:space="preserve">Lilly test de hogere doses 3,0 en 4,5 mg bij jongeren met diabetes type 2 (NCT06739122) en vergelijkt de tablet orforglipron met dulaglutide in deze leeftijdsgroep (NCT07668336).</w:t>
      </w:r>
    </w:p>
    <w:p>
      <w:pPr>
        <w:numPr>
          <w:ilvl w:val="0"/>
          <w:numId w:val="1053"/>
        </w:numPr>
        <w:pStyle w:val="Compact"/>
      </w:pPr>
      <w:r>
        <w:rPr>
          <w:bCs/>
          <w:b/>
        </w:rPr>
        <w:t xml:space="preserve">Bloedvaten en operaties:</w:t>
      </w:r>
      <w:r>
        <w:t xml:space="preserve"> </w:t>
      </w:r>
      <w:r>
        <w:t xml:space="preserve">een studie onderzoekt dulaglutide bij ernstige vernauwing van de hersenvaten (NCT07282041), een andere of het hartspierschade na niet-cardiale operaties vermindert (NCT06324461).</w:t>
      </w:r>
    </w:p>
    <w:p>
      <w:pPr>
        <w:numPr>
          <w:ilvl w:val="0"/>
          <w:numId w:val="1053"/>
        </w:numPr>
        <w:pStyle w:val="Compact"/>
      </w:pPr>
      <w:r>
        <w:rPr>
          <w:bCs/>
          <w:b/>
        </w:rPr>
        <w:t xml:space="preserve">Cystische fibrose:</w:t>
      </w:r>
      <w:r>
        <w:t xml:space="preserve"> </w:t>
      </w:r>
      <w:r>
        <w:t xml:space="preserve">een kleine fase 2-studie onderzoekt dulaglutide bij een gestoorde suikerverwerking als gevolg van de ziekte (NCT04731272).</w:t>
      </w:r>
    </w:p>
    <w:p>
      <w:pPr>
        <w:numPr>
          <w:ilvl w:val="0"/>
          <w:numId w:val="1053"/>
        </w:numPr>
        <w:pStyle w:val="Compact"/>
      </w:pPr>
      <w:r>
        <w:rPr>
          <w:bCs/>
          <w:b/>
        </w:rPr>
        <w:t xml:space="preserve">Als vergelijking:</w:t>
      </w:r>
      <w:r>
        <w:t xml:space="preserve"> </w:t>
      </w:r>
      <w:r>
        <w:t xml:space="preserve">talrijke nieuwe werkzame stoffen worden in fase 3-studies tegen dulaglutide getest, waaronder het exendine-4-fusie-eiwit JY09 (NCT06257966).</w:t>
      </w:r>
    </w:p>
    <w:p>
      <w:pPr>
        <w:pStyle w:val="FirstParagraph"/>
      </w:pPr>
      <w:r>
        <w:rPr>
          <w:bCs/>
          <w:b/>
        </w:rPr>
        <w:t xml:space="preserve">Inschatting:</w:t>
      </w:r>
      <w:r>
        <w:t xml:space="preserve"> </w:t>
      </w:r>
      <w:r>
        <w:t xml:space="preserve">dulaglutide is een degelijke, goed onderzochte werkzame stof met aangetoond cardiovasculair nut, die echter bij bloedsuiker en gewicht door semaglutide en tirzepatide wordt overtroffen. Zijn rol zal waarschijnlijk steeds meer verschuiven naar die van vergelijkingsstandaard in studies. Omdat Lilly met tirzepatide en orforglipron eigen opvolgers aanbiedt, is een verdere ontwikkeling van dulaglutide voor nieuwe toepassingsgebieden weinig waarschijnlijk.</w:t>
      </w:r>
    </w:p>
    <w:bookmarkEnd w:id="178"/>
    <w:bookmarkStart w:id="179" w:name="conclusie-2"/>
    <w:p>
      <w:pPr>
        <w:pStyle w:val="Heading3"/>
      </w:pPr>
      <w:r>
        <w:t xml:space="preserve">Conclusie</w:t>
      </w:r>
    </w:p>
    <w:p>
      <w:pPr>
        <w:pStyle w:val="FirstParagraph"/>
      </w:pPr>
      <w:r>
        <w:t xml:space="preserve">Dulaglutide is een wekelijks geïnjecteerd GLP-1-fusie-eiwit dat in het AWARD-programma tegen bijna alle gangbare diabetesmiddelen is getest. Het verlaagde de langetermijnsuiker ongeveer even sterk als liraglutide en sterker dan exenatide, sitagliptine of metformine, maar moest in SUSTAIN 7 het afleggen tegen semaglutide, vooral bij het gewicht. In REWIND met 9.901 deelnemers, onder wie velen zonder bekende hart- en vaatziekte, verminderde het ernstige cardiovasculaire gebeurtenissen met 12%. De bijwerkingen komen overeen met die van de klasse; antilichamen zijn zeldzaam. Voor gewichtsvermindering is het niet geregistreerd, en de behandeling hoort in handen van een arts.</w:t>
      </w:r>
    </w:p>
    <w:bookmarkEnd w:id="179"/>
    <w:bookmarkEnd w:id="180"/>
    <w:bookmarkStart w:id="200" w:name="semaglutide"/>
    <w:p>
      <w:pPr>
        <w:pStyle w:val="Heading2"/>
      </w:pPr>
      <w:r>
        <w:t xml:space="preserve">Semaglutide</w:t>
      </w:r>
    </w:p>
    <w:bookmarkStart w:id="181" w:name="profiel-3"/>
    <w:p>
      <w:pPr>
        <w:pStyle w:val="Heading3"/>
      </w:pPr>
      <w:r>
        <w:t xml:space="preserve">Profiel</w:t>
      </w:r>
    </w:p>
    <w:p>
      <w:pPr>
        <w:numPr>
          <w:ilvl w:val="0"/>
          <w:numId w:val="1054"/>
        </w:numPr>
        <w:pStyle w:val="Compact"/>
      </w:pPr>
      <w:r>
        <w:rPr>
          <w:bCs/>
          <w:b/>
        </w:rPr>
        <w:t xml:space="preserve">Soort/structuur:</w:t>
      </w:r>
      <w:r>
        <w:t xml:space="preserve"> </w:t>
      </w:r>
      <w:r>
        <w:t xml:space="preserve">gemodificeerd menselijk GLP-1 van 31 aminozuren. Ten opzichte van het lichaamseigen hormoon zijn twee aminozuren vervangen; op een derde plaats hangt via een verbindingsstuk een vetzuurketen die het molecuul sterk aan het bloedeiwit albumine bindt (Lau 2015, PMID 26308095).</w:t>
      </w:r>
    </w:p>
    <w:p>
      <w:pPr>
        <w:numPr>
          <w:ilvl w:val="0"/>
          <w:numId w:val="1054"/>
        </w:numPr>
        <w:pStyle w:val="Compact"/>
      </w:pPr>
      <w:r>
        <w:rPr>
          <w:bCs/>
          <w:b/>
        </w:rPr>
        <w:t xml:space="preserve">Herkomst:</w:t>
      </w:r>
      <w:r>
        <w:t xml:space="preserve"> </w:t>
      </w:r>
      <w:r>
        <w:t xml:space="preserve">ontwikkeld door Novo Nordisk als verdere ontwikkeling van liraglutide.</w:t>
      </w:r>
    </w:p>
    <w:p>
      <w:pPr>
        <w:numPr>
          <w:ilvl w:val="0"/>
          <w:numId w:val="1054"/>
        </w:numPr>
        <w:pStyle w:val="Compact"/>
      </w:pPr>
      <w:r>
        <w:rPr>
          <w:bCs/>
          <w:b/>
        </w:rPr>
        <w:t xml:space="preserve">Werkingsprincipe:</w:t>
      </w:r>
      <w:r>
        <w:t xml:space="preserve"> </w:t>
      </w:r>
      <w:r>
        <w:t xml:space="preserve">GLP-1-receptoragonist met een zeer lange werkingsduur – één injectie per week of één tablet per dag.</w:t>
      </w:r>
    </w:p>
    <w:p>
      <w:pPr>
        <w:numPr>
          <w:ilvl w:val="0"/>
          <w:numId w:val="1054"/>
        </w:numPr>
        <w:pStyle w:val="Compact"/>
      </w:pPr>
      <w:r>
        <w:rPr>
          <w:bCs/>
          <w:b/>
        </w:rPr>
        <w:t xml:space="preserve">Preparaten:</w:t>
      </w:r>
      <w:r>
        <w:t xml:space="preserve"> </w:t>
      </w:r>
      <w:r>
        <w:t xml:space="preserve">Ozempic (injectie, diabetes type 2), Wegovy (injectie, gewichtsbeheersing en verlaging van het cardiovasculaire risico), Rybelsus (tablet, diabetes type 2). In de VS is sinds eind 2025 ook een Wegovy-tablet voor gewichtsbeheersing geregistreerd (actuele situatie controleren).</w:t>
      </w:r>
    </w:p>
    <w:p>
      <w:pPr>
        <w:numPr>
          <w:ilvl w:val="0"/>
          <w:numId w:val="1054"/>
        </w:numPr>
        <w:pStyle w:val="Compact"/>
      </w:pPr>
      <w:r>
        <w:rPr>
          <w:bCs/>
          <w:b/>
        </w:rPr>
        <w:t xml:space="preserve">Registratie EU:</w:t>
      </w:r>
      <w:r>
        <w:t xml:space="preserve"> </w:t>
      </w:r>
      <w:r>
        <w:t xml:space="preserve">ja – diabetes type 2 (injectie sinds 2018, tablet sinds 2020), gewichtsbeheersing (sinds 2022, ook voor jongeren vanaf 12 jaar).</w:t>
      </w:r>
    </w:p>
    <w:p>
      <w:pPr>
        <w:numPr>
          <w:ilvl w:val="0"/>
          <w:numId w:val="1054"/>
        </w:numPr>
        <w:pStyle w:val="Compact"/>
      </w:pPr>
      <w:r>
        <w:rPr>
          <w:bCs/>
          <w:b/>
        </w:rPr>
        <w:t xml:space="preserve">Registratie VS:</w:t>
      </w:r>
      <w:r>
        <w:t xml:space="preserve"> </w:t>
      </w:r>
      <w:r>
        <w:t xml:space="preserve">ja – diabetes type 2, gewichtsbeheersing, verlaging van het cardiovasculaire risico bij overgewicht met hart- en vaatziekte, nierbescherming bij diabetes type 2 en chronische nierziekte, en leverontsteking door vervetting (MASH) met fibrose (stand 2026, actuele situatie controleren).</w:t>
      </w:r>
    </w:p>
    <w:p>
      <w:pPr>
        <w:numPr>
          <w:ilvl w:val="0"/>
          <w:numId w:val="1054"/>
        </w:numPr>
        <w:pStyle w:val="Compact"/>
      </w:pPr>
      <w:r>
        <w:rPr>
          <w:bCs/>
          <w:b/>
        </w:rPr>
        <w:t xml:space="preserve">WADA:</w:t>
      </w:r>
      <w:r>
        <w:t xml:space="preserve"> </w:t>
      </w:r>
      <w:r>
        <w:t xml:space="preserve">niet vermeld (stand 2026, actuele situatie controleren).</w:t>
      </w:r>
    </w:p>
    <w:p>
      <w:pPr>
        <w:numPr>
          <w:ilvl w:val="0"/>
          <w:numId w:val="1054"/>
        </w:numPr>
        <w:pStyle w:val="Compact"/>
      </w:pPr>
      <w:r>
        <w:rPr>
          <w:bCs/>
          <w:b/>
        </w:rPr>
        <w:t xml:space="preserve">Bewijsniveau:</w:t>
      </w:r>
      <w:r>
        <w:t xml:space="preserve"> </w:t>
      </w:r>
      <w:r>
        <w:rPr>
          <w:bCs/>
          <w:b/>
        </w:rPr>
        <w:t xml:space="preserve">A</w:t>
      </w:r>
      <w:r>
        <w:t xml:space="preserve"> </w:t>
      </w:r>
      <w:r>
        <w:t xml:space="preserve">– vier grote registratieprogramma’s (SUSTAIN, PIONEER, STEP, OASIS), meerdere uitkomststudies met samen meer dan 40.000 deelnemers.</w:t>
      </w:r>
    </w:p>
    <w:bookmarkEnd w:id="181"/>
    <w:bookmarkStart w:id="182" w:name="hoe-het-zou-moeten-werken-3"/>
    <w:p>
      <w:pPr>
        <w:pStyle w:val="Heading3"/>
      </w:pPr>
      <w:r>
        <w:t xml:space="preserve">Hoe het zou moeten werken</w:t>
      </w:r>
    </w:p>
    <w:p>
      <w:pPr>
        <w:pStyle w:val="FirstParagraph"/>
      </w:pPr>
      <w:r>
        <w:t xml:space="preserve">Semaglutide werkt zoals het darmhormoon GLP-1: het versterkt de suikerafhankelijke insulineafgifte, remt het bloedsuikerverhogende glucagon, vertraagt de maaglediging en dempt in de hersenen honger en het verlangen naar eten. Het basismechanisme van de klasse wordt uitgelegd in het hoofdstuk Exenatide.</w:t>
      </w:r>
    </w:p>
    <w:p>
      <w:pPr>
        <w:pStyle w:val="BodyText"/>
      </w:pPr>
      <w:r>
        <w:t xml:space="preserve">Het nieuwe aan semaglutide is de houdbaarheid. De ontwikkelaars gingen uit van liraglutide en veranderden twee dingen (Lau 2015, PMID 26308095): een vervanging van het aminozuur op positie 8 maakt het molecuul volledig ongevoelig voor het afbraakenzym DPP-4. En een langere vetzuurketen met een ander verbindingsstuk bindt duidelijk sterker aan albumine. Daardoor wordt semaglutide maar langzaam vrijgegeven en uitgescheiden. Bij minivarkens lag de halfwaardetijd na toediening in de ader op 46,1 uur; bij de mens is ze nog langer en maakt ze één injectie per week mogelijk.</w:t>
      </w:r>
    </w:p>
    <w:p>
      <w:pPr>
        <w:pStyle w:val="BodyText"/>
      </w:pPr>
      <w:r>
        <w:t xml:space="preserve">Voor het gewichtsverlies zijn vooral effecten in de hersenen beslissend. Semaglutide vermindert de voedselinname, het hongergevoel en de trek in bijzonder vet- en suikerrijke gerechten. Een noemenswaardig hoger energieverbruik is niet aangetoond.</w:t>
      </w:r>
    </w:p>
    <w:p>
      <w:pPr>
        <w:pStyle w:val="BodyText"/>
      </w:pPr>
      <w:r>
        <w:rPr>
          <w:bCs/>
          <w:b/>
        </w:rPr>
        <w:t xml:space="preserve">De tablet:</w:t>
      </w:r>
      <w:r>
        <w:t xml:space="preserve"> </w:t>
      </w:r>
      <w:r>
        <w:t xml:space="preserve">peptiden worden in de maag normaal gesproken verteerd en nauwelijks opgenomen. Voor Rybelsus wordt semaglutide gecombineerd met de hulpstof SNAC. Die buffert het maagzuur direct aan het oppervlak van de tablet, beschermt zo tegen afbraak en vergemakkelijkt kortstondig de opname door het maagslijmvlies – in onderzoek bij mensen en honden uitsluitend in de maag, niet in de darm (Buckley 2018, PMID 30429357). Toch komt maar een zeer kleine fractie van de werkzame stof in het bloed. De tablet bevat daarom een veelvoud van de injectiedosis en moet nuchter met weinig water worden ingenomen; de productinformatie regelt de details.</w:t>
      </w:r>
    </w:p>
    <w:bookmarkEnd w:id="182"/>
    <w:bookmarkStart w:id="193" w:name="studies-bij-mensen-3"/>
    <w:p>
      <w:pPr>
        <w:pStyle w:val="Heading3"/>
      </w:pPr>
      <w:r>
        <w:t xml:space="preserve">Studies bij mensen</w:t>
      </w:r>
    </w:p>
    <w:p>
      <w:pPr>
        <w:pStyle w:val="FirstParagraph"/>
      </w:pPr>
      <w:r>
        <w:t xml:space="preserve">Semaglutide is momenteel de meest onderzochte werkzame stof van zijn klasse. De voor dit boek geanalyseerde PubMed-zoekopdracht (zoekterm „semaglutide” in titel of abstract, zoekdatum oktober 2026) leverde 342 studies bij mensen op. Dit aantal onderschat de werkelijke hoeveelheid onderzoek, omdat veel analyses van grote studies onder hun naam zijn gepubliceerd. Op ClinicalTrials.gov staan 793 registraties – meer dan voor enig ander peptide in dit boek.</w:t>
      </w:r>
    </w:p>
    <w:p>
      <w:pPr>
        <w:pStyle w:val="BodyText"/>
      </w:pPr>
      <w:r>
        <w:t xml:space="preserve">De studies laten zich indelen in vier programma’s: SUSTAIN (injectie bij diabetes type 2), PIONEER (tablet bij diabetes type 2), STEP (injectie bij obesitas) en OASIS (tablet bij obesitas). Daarbij komen grote uitkomststudies over hart (SUSTAIN 6, PIONEER 6, SOUL, SELECT), nieren (FLOW), lever (ESSENCE), hartfalen, gewrichten en hersenen (evoke).</w:t>
      </w:r>
    </w:p>
    <w:bookmarkStart w:id="183" w:name="diabetes-type-2-met-de-injectie-sustain"/>
    <w:p>
      <w:pPr>
        <w:pStyle w:val="Heading4"/>
      </w:pPr>
      <w:r>
        <w:t xml:space="preserve">Diabetes type 2 met de injectie: SUSTAIN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Deelnemers en opzet</w:t>
            </w:r>
          </w:p>
        </w:tc>
        <w:tc>
          <w:tcPr/>
          <w:p>
            <w:pPr>
              <w:pStyle w:val="Compact"/>
              <w:jc w:val="left"/>
            </w:pPr>
            <w:r>
              <w:t xml:space="preserve">Duur</w:t>
            </w:r>
          </w:p>
        </w:tc>
        <w:tc>
          <w:tcPr/>
          <w:p>
            <w:pPr>
              <w:pStyle w:val="Compact"/>
              <w:jc w:val="left"/>
            </w:pPr>
            <w:r>
              <w:t xml:space="preserve">Resultaat</w:t>
            </w:r>
          </w:p>
        </w:tc>
      </w:tr>
      <w:tr>
        <w:tc>
          <w:tcPr/>
          <w:p>
            <w:pPr>
              <w:pStyle w:val="Compact"/>
              <w:jc w:val="left"/>
            </w:pPr>
            <w:r>
              <w:t xml:space="preserve">SUSTAIN 1 (Sorli 2017), PMID 28110911</w:t>
            </w:r>
          </w:p>
        </w:tc>
        <w:tc>
          <w:tcPr/>
          <w:p>
            <w:pPr>
              <w:pStyle w:val="Compact"/>
              <w:jc w:val="left"/>
            </w:pPr>
            <w:r>
              <w:t xml:space="preserve">388 personen, monotherapie vs. placebo</w:t>
            </w:r>
          </w:p>
        </w:tc>
        <w:tc>
          <w:tcPr/>
          <w:p>
            <w:pPr>
              <w:pStyle w:val="Compact"/>
              <w:jc w:val="left"/>
            </w:pPr>
            <w:r>
              <w:t xml:space="preserve">30 weken</w:t>
            </w:r>
          </w:p>
        </w:tc>
        <w:tc>
          <w:tcPr/>
          <w:p>
            <w:pPr>
              <w:pStyle w:val="Compact"/>
              <w:jc w:val="left"/>
            </w:pPr>
            <w:r>
              <w:t xml:space="preserve">HbA1c −1,55 (1,0 mg) vs. −0,02 procentpunt; gewicht −4,53 vs. −0,98 kg</w:t>
            </w:r>
          </w:p>
        </w:tc>
      </w:tr>
      <w:tr>
        <w:tc>
          <w:tcPr/>
          <w:p>
            <w:pPr>
              <w:pStyle w:val="Compact"/>
              <w:jc w:val="left"/>
            </w:pPr>
            <w:r>
              <w:t xml:space="preserve">SUSTAIN FORTE (Frías 2021), PMID 34293304</w:t>
            </w:r>
          </w:p>
        </w:tc>
        <w:tc>
          <w:tcPr/>
          <w:p>
            <w:pPr>
              <w:pStyle w:val="Compact"/>
              <w:jc w:val="left"/>
            </w:pPr>
            <w:r>
              <w:t xml:space="preserve">961 personen; 2,0 mg vs. 1,0 mg</w:t>
            </w:r>
          </w:p>
        </w:tc>
        <w:tc>
          <w:tcPr/>
          <w:p>
            <w:pPr>
              <w:pStyle w:val="Compact"/>
              <w:jc w:val="left"/>
            </w:pPr>
            <w:r>
              <w:t xml:space="preserve">40 weken</w:t>
            </w:r>
          </w:p>
        </w:tc>
        <w:tc>
          <w:tcPr/>
          <w:p>
            <w:pPr>
              <w:pStyle w:val="Compact"/>
              <w:jc w:val="left"/>
            </w:pPr>
            <w:r>
              <w:t xml:space="preserve">HbA1c −2,2 vs. −1,9; gewicht −6,9 vs. −6,0 kg</w:t>
            </w:r>
          </w:p>
        </w:tc>
      </w:tr>
      <w:tr>
        <w:tc>
          <w:tcPr/>
          <w:p>
            <w:pPr>
              <w:pStyle w:val="Compact"/>
              <w:jc w:val="left"/>
            </w:pPr>
            <w:r>
              <w:t xml:space="preserve">SUSTAIN 6 (Marso 2016), PMID 27633186</w:t>
            </w:r>
          </w:p>
        </w:tc>
        <w:tc>
          <w:tcPr/>
          <w:p>
            <w:pPr>
              <w:pStyle w:val="Compact"/>
              <w:jc w:val="left"/>
            </w:pPr>
            <w:r>
              <w:t xml:space="preserve">3.297 personen met hoog cardiovasculair risico, vs. placebo</w:t>
            </w:r>
          </w:p>
        </w:tc>
        <w:tc>
          <w:tcPr/>
          <w:p>
            <w:pPr>
              <w:pStyle w:val="Compact"/>
              <w:jc w:val="left"/>
            </w:pPr>
            <w:r>
              <w:t xml:space="preserve">104 weken</w:t>
            </w:r>
          </w:p>
        </w:tc>
        <w:tc>
          <w:tcPr/>
          <w:p>
            <w:pPr>
              <w:pStyle w:val="Compact"/>
              <w:jc w:val="left"/>
            </w:pPr>
            <w:r>
              <w:t xml:space="preserve">ernstige cardiovasculaire gebeurtenissen 6,6% vs. 8,9%; HR 0,74</w:t>
            </w:r>
          </w:p>
        </w:tc>
      </w:tr>
    </w:tbl>
    <w:p>
      <w:pPr>
        <w:pStyle w:val="BodyText"/>
      </w:pPr>
      <w:r>
        <w:t xml:space="preserve">Al de monotherapiestudie SUSTAIN 1 (Sorli 2017, PMID 28110911) liet zien dat semaglutide de langetermijnsuiker HbA1c met ongeveer 1,5 procentpunt verlaagt. In latere studies met deelnemers die hogere uitgangswaarden hadden, viel de daling groter uit; met de dosis van 2,0 mg bereikte ze in SUSTAIN FORTE 2,2 procentpunten (Frías 2021, PMID 34293304).</w:t>
      </w:r>
    </w:p>
    <w:p>
      <w:pPr>
        <w:pStyle w:val="BodyText"/>
      </w:pPr>
      <w:r>
        <w:rPr>
          <w:bCs/>
          <w:b/>
        </w:rPr>
        <w:t xml:space="preserve">SUSTAIN 6</w:t>
      </w:r>
      <w:r>
        <w:t xml:space="preserve"> </w:t>
      </w:r>
      <w:r>
        <w:t xml:space="preserve">(Marso 2016, PMID 27633186) was opgezet als veiligheidsstudie, maar liet een duidelijk voordeel zien: overlijden door een cardiovasculaire oorzaak, niet-fataal hartinfarct of beroerte trad op bij 108 van 1.648 personen met semaglutide (6,6%) tegenover 146 van 1.649 met placebo (8,9%). Beroertes waren significant zeldzamer (1,6% vs. 2,7%). Tegelijk viel een waarschuwingssignaal op: complicaties van de diabetische netvliesaandoening (retinopathie) – zoals glasvochtbloedingen of bevindingen die behandeling vereisten – kwamen onder semaglutide vaker voor (HR 1,76). Dit signaal wordt besproken in de paragraaf over risico’s.</w:t>
      </w:r>
    </w:p>
    <w:bookmarkEnd w:id="183"/>
    <w:bookmarkStart w:id="184" w:name="X496a8dfc7569ecbd598bcd58877ef83adbd37be"/>
    <w:p>
      <w:pPr>
        <w:pStyle w:val="Heading4"/>
      </w:pPr>
      <w:r>
        <w:t xml:space="preserve">Directe vergelijkingen binnen de GLP-1-klasse</w:t>
      </w:r>
    </w:p>
    <w:p>
      <w:pPr>
        <w:pStyle w:val="FirstParagraph"/>
      </w:pPr>
      <w:r>
        <w:t xml:space="preserve">Semaglutide is in directe vergelijkende studies tegen alle oudere GLP-1-receptoragonisten aangetreden en heeft ze allemaal overtroffen.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Opzet</w:t>
            </w:r>
          </w:p>
        </w:tc>
        <w:tc>
          <w:tcPr/>
          <w:p>
            <w:pPr>
              <w:pStyle w:val="Compact"/>
              <w:jc w:val="left"/>
            </w:pPr>
            <w:r>
              <w:t xml:space="preserve">Duur</w:t>
            </w:r>
          </w:p>
        </w:tc>
        <w:tc>
          <w:tcPr/>
          <w:p>
            <w:pPr>
              <w:pStyle w:val="Compact"/>
              <w:jc w:val="left"/>
            </w:pPr>
            <w:r>
              <w:t xml:space="preserve">Resultaat (semaglutide vs. vergelijking)</w:t>
            </w:r>
          </w:p>
        </w:tc>
      </w:tr>
      <w:tr>
        <w:tc>
          <w:tcPr/>
          <w:p>
            <w:pPr>
              <w:pStyle w:val="Compact"/>
              <w:jc w:val="left"/>
            </w:pPr>
            <w:r>
              <w:t xml:space="preserve">SUSTAIN 3 (Ahmann 2018), PMID 29246950</w:t>
            </w:r>
          </w:p>
        </w:tc>
        <w:tc>
          <w:tcPr/>
          <w:p>
            <w:pPr>
              <w:pStyle w:val="Compact"/>
              <w:jc w:val="left"/>
            </w:pPr>
            <w:r>
              <w:t xml:space="preserve">vs. exenatide wekelijks, open</w:t>
            </w:r>
          </w:p>
        </w:tc>
        <w:tc>
          <w:tcPr/>
          <w:p>
            <w:pPr>
              <w:pStyle w:val="Compact"/>
              <w:jc w:val="left"/>
            </w:pPr>
            <w:r>
              <w:t xml:space="preserve">56 weken</w:t>
            </w:r>
          </w:p>
        </w:tc>
        <w:tc>
          <w:tcPr/>
          <w:p>
            <w:pPr>
              <w:pStyle w:val="Compact"/>
              <w:jc w:val="left"/>
            </w:pPr>
            <w:r>
              <w:t xml:space="preserve">HbA1c −1,5 vs. −0,9; gewicht −5,6 vs. −1,9 kg</w:t>
            </w:r>
          </w:p>
        </w:tc>
      </w:tr>
      <w:tr>
        <w:tc>
          <w:tcPr/>
          <w:p>
            <w:pPr>
              <w:pStyle w:val="Compact"/>
              <w:jc w:val="left"/>
            </w:pPr>
            <w:r>
              <w:t xml:space="preserve">SUSTAIN 7 (Pratley 2018), PMID 29397376</w:t>
            </w:r>
          </w:p>
        </w:tc>
        <w:tc>
          <w:tcPr/>
          <w:p>
            <w:pPr>
              <w:pStyle w:val="Compact"/>
              <w:jc w:val="left"/>
            </w:pPr>
            <w:r>
              <w:t xml:space="preserve">1.201 personen; 0,5/1,0 mg vs. dulaglutide 0,75/1,5 mg</w:t>
            </w:r>
          </w:p>
        </w:tc>
        <w:tc>
          <w:tcPr/>
          <w:p>
            <w:pPr>
              <w:pStyle w:val="Compact"/>
              <w:jc w:val="left"/>
            </w:pPr>
            <w:r>
              <w:t xml:space="preserve">40 weken</w:t>
            </w:r>
          </w:p>
        </w:tc>
        <w:tc>
          <w:tcPr/>
          <w:p>
            <w:pPr>
              <w:pStyle w:val="Compact"/>
              <w:jc w:val="left"/>
            </w:pPr>
            <w:r>
              <w:t xml:space="preserve">HbA1c −1,8 vs. −1,4; gewicht −6,5 vs. −3,0 kg (hoge doses)</w:t>
            </w:r>
          </w:p>
        </w:tc>
      </w:tr>
      <w:tr>
        <w:tc>
          <w:tcPr/>
          <w:p>
            <w:pPr>
              <w:pStyle w:val="Compact"/>
              <w:jc w:val="left"/>
            </w:pPr>
            <w:r>
              <w:t xml:space="preserve">SUSTAIN 10 (Capehorn 2020), PMID 31539622</w:t>
            </w:r>
          </w:p>
        </w:tc>
        <w:tc>
          <w:tcPr/>
          <w:p>
            <w:pPr>
              <w:pStyle w:val="Compact"/>
              <w:jc w:val="left"/>
            </w:pPr>
            <w:r>
              <w:t xml:space="preserve">1,0 mg vs. liraglutide 1,2 mg</w:t>
            </w:r>
          </w:p>
        </w:tc>
        <w:tc>
          <w:tcPr/>
          <w:p>
            <w:pPr>
              <w:pStyle w:val="Compact"/>
              <w:jc w:val="left"/>
            </w:pPr>
            <w:r>
              <w:t xml:space="preserve">30 weken</w:t>
            </w:r>
          </w:p>
        </w:tc>
        <w:tc>
          <w:tcPr/>
          <w:p>
            <w:pPr>
              <w:pStyle w:val="Compact"/>
              <w:jc w:val="left"/>
            </w:pPr>
            <w:r>
              <w:t xml:space="preserve">HbA1c −1,7 vs. −1,0; gewicht −5,8 vs. −1,9 kg</w:t>
            </w:r>
          </w:p>
        </w:tc>
      </w:tr>
      <w:tr>
        <w:tc>
          <w:tcPr/>
          <w:p>
            <w:pPr>
              <w:pStyle w:val="Compact"/>
              <w:jc w:val="left"/>
            </w:pPr>
            <w:r>
              <w:t xml:space="preserve">PIONEER 4 (Pratley 2019), PMID 31186120</w:t>
            </w:r>
          </w:p>
        </w:tc>
        <w:tc>
          <w:tcPr/>
          <w:p>
            <w:pPr>
              <w:pStyle w:val="Compact"/>
              <w:jc w:val="left"/>
            </w:pPr>
            <w:r>
              <w:t xml:space="preserve">711 personen; tablet 14 mg vs. liraglutide-injectie 1,8 mg vs. placebo</w:t>
            </w:r>
          </w:p>
        </w:tc>
        <w:tc>
          <w:tcPr/>
          <w:p>
            <w:pPr>
              <w:pStyle w:val="Compact"/>
              <w:jc w:val="left"/>
            </w:pPr>
            <w:r>
              <w:t xml:space="preserve">52 weken (primaire analyse na 26 weken)</w:t>
            </w:r>
          </w:p>
        </w:tc>
        <w:tc>
          <w:tcPr/>
          <w:p>
            <w:pPr>
              <w:pStyle w:val="Compact"/>
              <w:jc w:val="left"/>
            </w:pPr>
            <w:r>
              <w:t xml:space="preserve">HbA1c −1,2 vs. −1,1 (niet inferieur); gewicht −4,4 vs. −3,1 kg</w:t>
            </w:r>
          </w:p>
        </w:tc>
      </w:tr>
      <w:tr>
        <w:tc>
          <w:tcPr/>
          <w:p>
            <w:pPr>
              <w:pStyle w:val="Compact"/>
              <w:jc w:val="left"/>
            </w:pPr>
            <w:r>
              <w:t xml:space="preserve">STEP 8 (Rubino 2022), PMID 35015037</w:t>
            </w:r>
          </w:p>
        </w:tc>
        <w:tc>
          <w:tcPr/>
          <w:p>
            <w:pPr>
              <w:pStyle w:val="Compact"/>
              <w:jc w:val="left"/>
            </w:pPr>
            <w:r>
              <w:t xml:space="preserve">338 personen met obesitas zonder diabetes; 2,4 mg vs. liraglutide 3,0 mg</w:t>
            </w:r>
          </w:p>
        </w:tc>
        <w:tc>
          <w:tcPr/>
          <w:p>
            <w:pPr>
              <w:pStyle w:val="Compact"/>
              <w:jc w:val="left"/>
            </w:pPr>
            <w:r>
              <w:t xml:space="preserve">68 weken</w:t>
            </w:r>
          </w:p>
        </w:tc>
        <w:tc>
          <w:tcPr/>
          <w:p>
            <w:pPr>
              <w:pStyle w:val="Compact"/>
              <w:jc w:val="left"/>
            </w:pPr>
            <w:r>
              <w:t xml:space="preserve">gewicht −15,8% vs. −6,4%</w:t>
            </w:r>
          </w:p>
        </w:tc>
      </w:tr>
    </w:tbl>
    <w:p>
      <w:pPr>
        <w:pStyle w:val="BodyText"/>
      </w:pPr>
      <w:r>
        <w:t xml:space="preserve">De verschillen in langetermijnsuiker liggen tussen 0,1 en 0,7 procentpunt in het voordeel van semaglutide, bij het gewicht tussen 1,2 en ongeveer 4 kg bij diabetes. Het duidelijkst was de afstand bij obesitas: in STEP 8 (Rubino 2022, PMID 35015037) verloor 38,5% met semaglutide ten minste 20% van het gewicht, met liraglutide 6,0%. De prijs is bij sommige vergelijkingen een iets hoger percentage maag-darmklachten: in SUSTAIN 10 stopte 11,4% tegenover 6,6% met de behandeling vanwege bijwerkingen (Capehorn 2020, PMID 31539622). In SUSTAIN 3 daarentegen kwamen reacties op de injectieplaats onder exenatide veel vaker voor (22,0% vs. 1,2%) (Ahmann 2018, PMID 29246950).</w:t>
      </w:r>
    </w:p>
    <w:p>
      <w:pPr>
        <w:pStyle w:val="BodyText"/>
      </w:pPr>
      <w:r>
        <w:t xml:space="preserve">PIONEER 4 (Pratley 2019, PMID 31186120) is opmerkelijk, omdat hier een tablet het opnam tegen een injectie: bij de HbA1c was de semaglutidetablet niet slechter dan de liraglutide-injectie, bij het gewicht 1,2 kg beter.</w:t>
      </w:r>
    </w:p>
    <w:p>
      <w:pPr>
        <w:pStyle w:val="BodyText"/>
      </w:pPr>
      <w:r>
        <w:t xml:space="preserve">Buiten de GLP-1-klasse werd semaglutide op zijn beurt overtroffen: in de directe vergelijking met de dubbele GIP/GLP-1-agonist tirzepatide bij 751 personen met obesitas bedroeg het gewichtsverlies na 72 weken −13,7% tegenover −20,2% (Aronne 2025, PMID 40353578). Details staan in het hoofdstuk Tirzepatide.</w:t>
      </w:r>
    </w:p>
    <w:bookmarkEnd w:id="184"/>
    <w:bookmarkStart w:id="185" w:name="Xad58a43d6c7cb39ac125a09cfb357540178aec7"/>
    <w:p>
      <w:pPr>
        <w:pStyle w:val="Heading4"/>
      </w:pPr>
      <w:r>
        <w:t xml:space="preserve">Diabetes type 2 met de tablet: PIONEER en SOUL</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Deelnemers en opzet</w:t>
            </w:r>
          </w:p>
        </w:tc>
        <w:tc>
          <w:tcPr/>
          <w:p>
            <w:pPr>
              <w:pStyle w:val="Compact"/>
              <w:jc w:val="left"/>
            </w:pPr>
            <w:r>
              <w:t xml:space="preserve">Duur</w:t>
            </w:r>
          </w:p>
        </w:tc>
        <w:tc>
          <w:tcPr/>
          <w:p>
            <w:pPr>
              <w:pStyle w:val="Compact"/>
              <w:jc w:val="left"/>
            </w:pPr>
            <w:r>
              <w:t xml:space="preserve">Resultaat</w:t>
            </w:r>
          </w:p>
        </w:tc>
      </w:tr>
      <w:tr>
        <w:tc>
          <w:tcPr/>
          <w:p>
            <w:pPr>
              <w:pStyle w:val="Compact"/>
              <w:jc w:val="left"/>
            </w:pPr>
            <w:r>
              <w:t xml:space="preserve">PIONEER 1 (Aroda 2019), PMID 31186300</w:t>
            </w:r>
          </w:p>
        </w:tc>
        <w:tc>
          <w:tcPr/>
          <w:p>
            <w:pPr>
              <w:pStyle w:val="Compact"/>
              <w:jc w:val="left"/>
            </w:pPr>
            <w:r>
              <w:t xml:space="preserve">703 personen, monotherapie; 3/7/14 mg vs. placebo</w:t>
            </w:r>
          </w:p>
        </w:tc>
        <w:tc>
          <w:tcPr/>
          <w:p>
            <w:pPr>
              <w:pStyle w:val="Compact"/>
              <w:jc w:val="left"/>
            </w:pPr>
            <w:r>
              <w:t xml:space="preserve">26 weken</w:t>
            </w:r>
          </w:p>
        </w:tc>
        <w:tc>
          <w:tcPr/>
          <w:p>
            <w:pPr>
              <w:pStyle w:val="Compact"/>
              <w:jc w:val="left"/>
            </w:pPr>
            <w:r>
              <w:t xml:space="preserve">HbA1c −1,1 procentpunt (14 mg) ten opzichte van placebo; gewicht −2,3 kg ten opzichte van placebo</w:t>
            </w:r>
          </w:p>
        </w:tc>
      </w:tr>
      <w:tr>
        <w:tc>
          <w:tcPr/>
          <w:p>
            <w:pPr>
              <w:pStyle w:val="Compact"/>
              <w:jc w:val="left"/>
            </w:pPr>
            <w:r>
              <w:t xml:space="preserve">PIONEER 6 (Husain 2019), PMID 31185157</w:t>
            </w:r>
          </w:p>
        </w:tc>
        <w:tc>
          <w:tcPr/>
          <w:p>
            <w:pPr>
              <w:pStyle w:val="Compact"/>
              <w:jc w:val="left"/>
            </w:pPr>
            <w:r>
              <w:t xml:space="preserve">3.183 personen met hoog risico; vs. placebo</w:t>
            </w:r>
          </w:p>
        </w:tc>
        <w:tc>
          <w:tcPr/>
          <w:p>
            <w:pPr>
              <w:pStyle w:val="Compact"/>
              <w:jc w:val="left"/>
            </w:pPr>
            <w:r>
              <w:t xml:space="preserve">mediaan 15,9 maanden</w:t>
            </w:r>
          </w:p>
        </w:tc>
        <w:tc>
          <w:tcPr/>
          <w:p>
            <w:pPr>
              <w:pStyle w:val="Compact"/>
              <w:jc w:val="left"/>
            </w:pPr>
            <w:r>
              <w:t xml:space="preserve">gebeurtenissen 3,8% vs. 4,8%; HR 0,79, niet inferieur</w:t>
            </w:r>
          </w:p>
        </w:tc>
      </w:tr>
      <w:tr>
        <w:tc>
          <w:tcPr/>
          <w:p>
            <w:pPr>
              <w:pStyle w:val="Compact"/>
              <w:jc w:val="left"/>
            </w:pPr>
            <w:r>
              <w:t xml:space="preserve">PIONEER PLUS (Aroda 2023), PMID 37385279</w:t>
            </w:r>
          </w:p>
        </w:tc>
        <w:tc>
          <w:tcPr/>
          <w:p>
            <w:pPr>
              <w:pStyle w:val="Compact"/>
              <w:jc w:val="left"/>
            </w:pPr>
            <w:r>
              <w:t xml:space="preserve">1.606 personen; 25 en 50 mg vs. 14 mg</w:t>
            </w:r>
          </w:p>
        </w:tc>
        <w:tc>
          <w:tcPr/>
          <w:p>
            <w:pPr>
              <w:pStyle w:val="Compact"/>
              <w:jc w:val="left"/>
            </w:pPr>
            <w:r>
              <w:t xml:space="preserve">52 weken</w:t>
            </w:r>
          </w:p>
        </w:tc>
        <w:tc>
          <w:tcPr/>
          <w:p>
            <w:pPr>
              <w:pStyle w:val="Compact"/>
              <w:jc w:val="left"/>
            </w:pPr>
            <w:r>
              <w:t xml:space="preserve">HbA1c −2,0 (50 mg) vs. −1,5 (14 mg)</w:t>
            </w:r>
          </w:p>
        </w:tc>
      </w:tr>
      <w:tr>
        <w:tc>
          <w:tcPr/>
          <w:p>
            <w:pPr>
              <w:pStyle w:val="Compact"/>
              <w:jc w:val="left"/>
            </w:pPr>
            <w:r>
              <w:t xml:space="preserve">SOUL (McGuire 2025), PMID 40162642</w:t>
            </w:r>
          </w:p>
        </w:tc>
        <w:tc>
          <w:tcPr/>
          <w:p>
            <w:pPr>
              <w:pStyle w:val="Compact"/>
              <w:jc w:val="left"/>
            </w:pPr>
            <w:r>
              <w:t xml:space="preserve">9.650 personen met vaat- en/of nierziekte; vs. placebo</w:t>
            </w:r>
          </w:p>
        </w:tc>
        <w:tc>
          <w:tcPr/>
          <w:p>
            <w:pPr>
              <w:pStyle w:val="Compact"/>
              <w:jc w:val="left"/>
            </w:pPr>
            <w:r>
              <w:t xml:space="preserve">mediaan 49,5 maanden</w:t>
            </w:r>
          </w:p>
        </w:tc>
        <w:tc>
          <w:tcPr/>
          <w:p>
            <w:pPr>
              <w:pStyle w:val="Compact"/>
              <w:jc w:val="left"/>
            </w:pPr>
            <w:r>
              <w:t xml:space="preserve">gebeurtenissen 12,0% vs. 13,8%; HR 0,86 (0,77–0,96)</w:t>
            </w:r>
          </w:p>
        </w:tc>
      </w:tr>
    </w:tbl>
    <w:p>
      <w:pPr>
        <w:pStyle w:val="BodyText"/>
      </w:pPr>
      <w:r>
        <w:t xml:space="preserve">De tablet werkt in de standaarddosis van 14 mg iets zwakker dan de injectie. PIONEER PLUS (Aroda 2023, PMID 37385279) liet zien dat hogere tabletdoses de afstand verkleinen. PIONEER 6 (Husain 2019, PMID 31185157) was een korte veiligheidsstudie; ze bewees dat de tablet het cardiovasculaire risico niet verhoogt, maar was te klein om een nut aan te tonen.</w:t>
      </w:r>
    </w:p>
    <w:p>
      <w:pPr>
        <w:pStyle w:val="BodyText"/>
      </w:pPr>
      <w:r>
        <w:t xml:space="preserve">Dat leverde</w:t>
      </w:r>
      <w:r>
        <w:t xml:space="preserve"> </w:t>
      </w:r>
      <w:r>
        <w:rPr>
          <w:bCs/>
          <w:b/>
        </w:rPr>
        <w:t xml:space="preserve">SOUL</w:t>
      </w:r>
      <w:r>
        <w:t xml:space="preserve"> </w:t>
      </w:r>
      <w:r>
        <w:t xml:space="preserve">(McGuire 2025, PMID 40162642): bij 9.650 mensen met diabetes type 2 en vaat- of nierziekte verlaagde de semaglutidetablet over ongeveer vier jaar ernstige cardiovasculaire gebeurtenissen met 14%. De bevestigende secundaire eindpunten, waaronder nieruitkomsten, verschilden niet significant. Ernstige ongewenste voorvallen waren onder semaglutide niet vaker (47,9% vs. 50,3%).</w:t>
      </w:r>
    </w:p>
    <w:bookmarkEnd w:id="185"/>
    <w:bookmarkStart w:id="186" w:name="obesitas-met-de-injectie-step"/>
    <w:p>
      <w:pPr>
        <w:pStyle w:val="Heading4"/>
      </w:pPr>
      <w:r>
        <w:t xml:space="preserve">Obesitas met de injectie: STEP</w:t>
      </w:r>
    </w:p>
    <w:p>
      <w:pPr>
        <w:pStyle w:val="FirstParagraph"/>
      </w:pPr>
      <w:r>
        <w:t xml:space="preserve">Met de dosis van 2,4 mg per week werd semaglutide als Wegovy het eerste geneesmiddel waarmee mensen met obesitas in grote studies gemiddeld ongeveer 15% van hun lichaamsgewicht verloren.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Deelnemers en opzet</w:t>
            </w:r>
          </w:p>
        </w:tc>
        <w:tc>
          <w:tcPr/>
          <w:p>
            <w:pPr>
              <w:pStyle w:val="Compact"/>
              <w:jc w:val="left"/>
            </w:pPr>
            <w:r>
              <w:t xml:space="preserve">Duur</w:t>
            </w:r>
          </w:p>
        </w:tc>
        <w:tc>
          <w:tcPr/>
          <w:p>
            <w:pPr>
              <w:pStyle w:val="Compact"/>
              <w:jc w:val="left"/>
            </w:pPr>
            <w:r>
              <w:t xml:space="preserve">Resultaat</w:t>
            </w:r>
          </w:p>
        </w:tc>
      </w:tr>
      <w:tr>
        <w:tc>
          <w:tcPr/>
          <w:p>
            <w:pPr>
              <w:pStyle w:val="Compact"/>
              <w:jc w:val="left"/>
            </w:pPr>
            <w:r>
              <w:t xml:space="preserve">STEP 1 (Wilding 2021), PMID 33567185</w:t>
            </w:r>
          </w:p>
        </w:tc>
        <w:tc>
          <w:tcPr/>
          <w:p>
            <w:pPr>
              <w:pStyle w:val="Compact"/>
              <w:jc w:val="left"/>
            </w:pPr>
            <w:r>
              <w:t xml:space="preserve">1.961 volwassenen met obesitas zonder diabetes, RCT tegen placebo</w:t>
            </w:r>
          </w:p>
        </w:tc>
        <w:tc>
          <w:tcPr/>
          <w:p>
            <w:pPr>
              <w:pStyle w:val="Compact"/>
              <w:jc w:val="left"/>
            </w:pPr>
            <w:r>
              <w:t xml:space="preserve">68 weken</w:t>
            </w:r>
          </w:p>
        </w:tc>
        <w:tc>
          <w:tcPr/>
          <w:p>
            <w:pPr>
              <w:pStyle w:val="Compact"/>
              <w:jc w:val="left"/>
            </w:pPr>
            <w:r>
              <w:t xml:space="preserve">−14,9% lichaamsgewicht vs. −2,4%</w:t>
            </w:r>
          </w:p>
        </w:tc>
      </w:tr>
      <w:tr>
        <w:tc>
          <w:tcPr/>
          <w:p>
            <w:pPr>
              <w:pStyle w:val="Compact"/>
              <w:jc w:val="left"/>
            </w:pPr>
            <w:r>
              <w:t xml:space="preserve">STEP 2 (Davies 2021), PMID 33667417</w:t>
            </w:r>
          </w:p>
        </w:tc>
        <w:tc>
          <w:tcPr/>
          <w:p>
            <w:pPr>
              <w:pStyle w:val="Compact"/>
              <w:jc w:val="left"/>
            </w:pPr>
            <w:r>
              <w:t xml:space="preserve">1.210 personen met overgewicht en diabetes type 2</w:t>
            </w:r>
          </w:p>
        </w:tc>
        <w:tc>
          <w:tcPr/>
          <w:p>
            <w:pPr>
              <w:pStyle w:val="Compact"/>
              <w:jc w:val="left"/>
            </w:pPr>
            <w:r>
              <w:t xml:space="preserve">68 weken</w:t>
            </w:r>
          </w:p>
        </w:tc>
        <w:tc>
          <w:tcPr/>
          <w:p>
            <w:pPr>
              <w:pStyle w:val="Compact"/>
              <w:jc w:val="left"/>
            </w:pPr>
            <w:r>
              <w:t xml:space="preserve">−9,6% vs. −3,4%</w:t>
            </w:r>
          </w:p>
        </w:tc>
      </w:tr>
      <w:tr>
        <w:tc>
          <w:tcPr/>
          <w:p>
            <w:pPr>
              <w:pStyle w:val="Compact"/>
              <w:jc w:val="left"/>
            </w:pPr>
            <w:r>
              <w:t xml:space="preserve">STEP 3 (Wadden 2021), PMID 33625476</w:t>
            </w:r>
          </w:p>
        </w:tc>
        <w:tc>
          <w:tcPr/>
          <w:p>
            <w:pPr>
              <w:pStyle w:val="Compact"/>
              <w:jc w:val="left"/>
            </w:pPr>
            <w:r>
              <w:t xml:space="preserve">611 personen, daarnaast intensieve gedragstherapie</w:t>
            </w:r>
          </w:p>
        </w:tc>
        <w:tc>
          <w:tcPr/>
          <w:p>
            <w:pPr>
              <w:pStyle w:val="Compact"/>
              <w:jc w:val="left"/>
            </w:pPr>
            <w:r>
              <w:t xml:space="preserve">68 weken</w:t>
            </w:r>
          </w:p>
        </w:tc>
        <w:tc>
          <w:tcPr/>
          <w:p>
            <w:pPr>
              <w:pStyle w:val="Compact"/>
              <w:jc w:val="left"/>
            </w:pPr>
            <w:r>
              <w:t xml:space="preserve">−16,0% vs. −5,7%</w:t>
            </w:r>
          </w:p>
        </w:tc>
      </w:tr>
      <w:tr>
        <w:tc>
          <w:tcPr/>
          <w:p>
            <w:pPr>
              <w:pStyle w:val="Compact"/>
              <w:jc w:val="left"/>
            </w:pPr>
            <w:r>
              <w:t xml:space="preserve">STEP 4 (Rubino 2021), PMID 33755728</w:t>
            </w:r>
          </w:p>
        </w:tc>
        <w:tc>
          <w:tcPr/>
          <w:p>
            <w:pPr>
              <w:pStyle w:val="Compact"/>
              <w:jc w:val="left"/>
            </w:pPr>
            <w:r>
              <w:t xml:space="preserve">803 personen na 20 weken semaglutide: doorgaan of overstap op placebo</w:t>
            </w:r>
          </w:p>
        </w:tc>
        <w:tc>
          <w:tcPr/>
          <w:p>
            <w:pPr>
              <w:pStyle w:val="Compact"/>
              <w:jc w:val="left"/>
            </w:pPr>
            <w:r>
              <w:t xml:space="preserve">48 weken</w:t>
            </w:r>
          </w:p>
        </w:tc>
        <w:tc>
          <w:tcPr/>
          <w:p>
            <w:pPr>
              <w:pStyle w:val="Compact"/>
              <w:jc w:val="left"/>
            </w:pPr>
            <w:r>
              <w:t xml:space="preserve">−7,9% (doorgaan) vs. +6,9% (gestopt)</w:t>
            </w:r>
          </w:p>
        </w:tc>
      </w:tr>
      <w:tr>
        <w:tc>
          <w:tcPr/>
          <w:p>
            <w:pPr>
              <w:pStyle w:val="Compact"/>
              <w:jc w:val="left"/>
            </w:pPr>
            <w:r>
              <w:t xml:space="preserve">STEP 5 (Garvey 2022), PMID 36216945</w:t>
            </w:r>
          </w:p>
        </w:tc>
        <w:tc>
          <w:tcPr/>
          <w:p>
            <w:pPr>
              <w:pStyle w:val="Compact"/>
              <w:jc w:val="left"/>
            </w:pPr>
            <w:r>
              <w:t xml:space="preserve">304 personen</w:t>
            </w:r>
          </w:p>
        </w:tc>
        <w:tc>
          <w:tcPr/>
          <w:p>
            <w:pPr>
              <w:pStyle w:val="Compact"/>
              <w:jc w:val="left"/>
            </w:pPr>
            <w:r>
              <w:t xml:space="preserve">104 weken</w:t>
            </w:r>
          </w:p>
        </w:tc>
        <w:tc>
          <w:tcPr/>
          <w:p>
            <w:pPr>
              <w:pStyle w:val="Compact"/>
              <w:jc w:val="left"/>
            </w:pPr>
            <w:r>
              <w:t xml:space="preserve">−15,2% vs. −2,6%</w:t>
            </w:r>
          </w:p>
        </w:tc>
      </w:tr>
      <w:tr>
        <w:tc>
          <w:tcPr/>
          <w:p>
            <w:pPr>
              <w:pStyle w:val="Compact"/>
              <w:jc w:val="left"/>
            </w:pPr>
            <w:r>
              <w:t xml:space="preserve">STEP 6 (Kadowaki 2022), PMID 35131037</w:t>
            </w:r>
          </w:p>
        </w:tc>
        <w:tc>
          <w:tcPr/>
          <w:p>
            <w:pPr>
              <w:pStyle w:val="Compact"/>
              <w:jc w:val="left"/>
            </w:pPr>
            <w:r>
              <w:t xml:space="preserve">401 personen in Oost-Azië</w:t>
            </w:r>
          </w:p>
        </w:tc>
        <w:tc>
          <w:tcPr/>
          <w:p>
            <w:pPr>
              <w:pStyle w:val="Compact"/>
              <w:jc w:val="left"/>
            </w:pPr>
            <w:r>
              <w:t xml:space="preserve">68 weken</w:t>
            </w:r>
          </w:p>
        </w:tc>
        <w:tc>
          <w:tcPr/>
          <w:p>
            <w:pPr>
              <w:pStyle w:val="Compact"/>
              <w:jc w:val="left"/>
            </w:pPr>
            <w:r>
              <w:t xml:space="preserve">−13,2% vs. −2,1%</w:t>
            </w:r>
          </w:p>
        </w:tc>
      </w:tr>
      <w:tr>
        <w:tc>
          <w:tcPr/>
          <w:p>
            <w:pPr>
              <w:pStyle w:val="Compact"/>
              <w:jc w:val="left"/>
            </w:pPr>
            <w:r>
              <w:t xml:space="preserve">STEP UP (Wharton 2025), PMID 40961952</w:t>
            </w:r>
          </w:p>
        </w:tc>
        <w:tc>
          <w:tcPr/>
          <w:p>
            <w:pPr>
              <w:pStyle w:val="Compact"/>
              <w:jc w:val="left"/>
            </w:pPr>
            <w:r>
              <w:t xml:space="preserve">1.407 personen; 7,2 mg vs. 2,4 mg vs. placebo</w:t>
            </w:r>
          </w:p>
        </w:tc>
        <w:tc>
          <w:tcPr/>
          <w:p>
            <w:pPr>
              <w:pStyle w:val="Compact"/>
              <w:jc w:val="left"/>
            </w:pPr>
            <w:r>
              <w:t xml:space="preserve">72 weken</w:t>
            </w:r>
          </w:p>
        </w:tc>
        <w:tc>
          <w:tcPr/>
          <w:p>
            <w:pPr>
              <w:pStyle w:val="Compact"/>
              <w:jc w:val="left"/>
            </w:pPr>
            <w:r>
              <w:t xml:space="preserve">−18,7% vs. −15,6% vs. −3,9%</w:t>
            </w:r>
          </w:p>
        </w:tc>
      </w:tr>
    </w:tbl>
    <w:p>
      <w:pPr>
        <w:pStyle w:val="BodyText"/>
      </w:pPr>
      <w:r>
        <w:t xml:space="preserve">In</w:t>
      </w:r>
      <w:r>
        <w:t xml:space="preserve"> </w:t>
      </w:r>
      <w:r>
        <w:rPr>
          <w:bCs/>
          <w:b/>
        </w:rPr>
        <w:t xml:space="preserve">STEP 1</w:t>
      </w:r>
      <w:r>
        <w:t xml:space="preserve"> </w:t>
      </w:r>
      <w:r>
        <w:t xml:space="preserve">(Wilding 2021, PMID 33567185) verloren de deelnemers gemiddeld 15,3 kg, tegenover 2,6 kg met placebo. De helft (50,5%) verloor ten minste 15% van het gewicht. Vanwege maag-darmklachten stopte 4,5% met de behandeling, tegenover 0,8% met placebo.</w:t>
      </w:r>
    </w:p>
    <w:p>
      <w:pPr>
        <w:pStyle w:val="BodyText"/>
      </w:pPr>
      <w:r>
        <w:t xml:space="preserve">Bij mensen met diabetes type 2 viel het gewichtsverlies lager uit (STEP 2, Davies 2021, PMID 33667417) – een patroon dat bij alle werkzame stoffen van deze klasse optreedt. In</w:t>
      </w:r>
      <w:r>
        <w:t xml:space="preserve"> </w:t>
      </w:r>
      <w:r>
        <w:rPr>
          <w:bCs/>
          <w:b/>
        </w:rPr>
        <w:t xml:space="preserve">STEP 5</w:t>
      </w:r>
      <w:r>
        <w:t xml:space="preserve"> </w:t>
      </w:r>
      <w:r>
        <w:t xml:space="preserve">(Garvey 2022, PMID 36216945) bleef het effect over twee jaar stabiel.</w:t>
      </w:r>
    </w:p>
    <w:p>
      <w:pPr>
        <w:pStyle w:val="BodyText"/>
      </w:pPr>
      <w:r>
        <w:rPr>
          <w:bCs/>
          <w:b/>
        </w:rPr>
        <w:t xml:space="preserve">Wat gebeurt er na het stoppen?</w:t>
      </w:r>
      <w:r>
        <w:t xml:space="preserve"> </w:t>
      </w:r>
      <w:r>
        <w:t xml:space="preserve">Deze vraag is voor de praktijk centraal. In STEP 4 (Rubino 2021, PMID 33755728) kregen alle deelnemers eerst 20 weken semaglutide en waren ze daarbij gemiddeld 10,6% afgevallen. Wie daarna overstapte op placebo, kwam in de volgende 48 weken weer 6,9% aan; wie verder werd behandeld, verloor nog eens 7,9%. In de verlenging van STEP 1 (Wilding 2022, PMID 35441470) hadden de deelnemers een jaar na het stoppen ongeveer twee derde van het verloren gewicht weer teruggekregen; ook bloeddruk, bloedvetten en bloedsuiker kwamen weer dicht bij de uitgangswaarden. De auteurs concluderen dat obesitas een chronische ziekte is en dat de behandeling waarschijnlijk blijvend nodig is.</w:t>
      </w:r>
    </w:p>
    <w:p>
      <w:pPr>
        <w:pStyle w:val="BodyText"/>
      </w:pPr>
      <w:r>
        <w:rPr>
          <w:bCs/>
          <w:b/>
        </w:rPr>
        <w:t xml:space="preserve">Hogere dosis:</w:t>
      </w:r>
      <w:r>
        <w:t xml:space="preserve"> </w:t>
      </w:r>
      <w:r>
        <w:t xml:space="preserve">in STEP UP (Wharton 2025, PMID 40961952) leidde de drievoudige dosis van 7,2 mg tot 18,7% gewichtsverlies. Maag-darmklachten kwamen vaker voor (70,8% vs. 61,2% onder 2,4 mg), en 22,9% meldde abnormale gewaarwordingen van de huid (dysesthesie), tegenover 6,0% onder 2,4 mg.</w:t>
      </w:r>
    </w:p>
    <w:bookmarkEnd w:id="186"/>
    <w:bookmarkStart w:id="187" w:name="obesitas-met-de-tablet-oasis"/>
    <w:p>
      <w:pPr>
        <w:pStyle w:val="Heading4"/>
      </w:pPr>
      <w:r>
        <w:t xml:space="preserve">Obesitas met de tablet: OASIS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Deelnemers en opzet</w:t>
            </w:r>
          </w:p>
        </w:tc>
        <w:tc>
          <w:tcPr/>
          <w:p>
            <w:pPr>
              <w:pStyle w:val="Compact"/>
              <w:jc w:val="left"/>
            </w:pPr>
            <w:r>
              <w:t xml:space="preserve">Duur</w:t>
            </w:r>
          </w:p>
        </w:tc>
        <w:tc>
          <w:tcPr/>
          <w:p>
            <w:pPr>
              <w:pStyle w:val="Compact"/>
              <w:jc w:val="left"/>
            </w:pPr>
            <w:r>
              <w:t xml:space="preserve">Resultaat</w:t>
            </w:r>
          </w:p>
        </w:tc>
      </w:tr>
      <w:tr>
        <w:tc>
          <w:tcPr/>
          <w:p>
            <w:pPr>
              <w:pStyle w:val="Compact"/>
              <w:jc w:val="left"/>
            </w:pPr>
            <w:r>
              <w:t xml:space="preserve">OASIS 1 (Knop 2023), PMID 37385278</w:t>
            </w:r>
          </w:p>
        </w:tc>
        <w:tc>
          <w:tcPr/>
          <w:p>
            <w:pPr>
              <w:pStyle w:val="Compact"/>
              <w:jc w:val="left"/>
            </w:pPr>
            <w:r>
              <w:t xml:space="preserve">667 personen met obesitas zonder diabetes; 50 mg per dag vs. placebo</w:t>
            </w:r>
          </w:p>
        </w:tc>
        <w:tc>
          <w:tcPr/>
          <w:p>
            <w:pPr>
              <w:pStyle w:val="Compact"/>
              <w:jc w:val="left"/>
            </w:pPr>
            <w:r>
              <w:t xml:space="preserve">68 weken</w:t>
            </w:r>
          </w:p>
        </w:tc>
        <w:tc>
          <w:tcPr/>
          <w:p>
            <w:pPr>
              <w:pStyle w:val="Compact"/>
              <w:jc w:val="left"/>
            </w:pPr>
            <w:r>
              <w:t xml:space="preserve">−15,1% vs. −2,4%</w:t>
            </w:r>
          </w:p>
        </w:tc>
      </w:tr>
      <w:tr>
        <w:tc>
          <w:tcPr/>
          <w:p>
            <w:pPr>
              <w:pStyle w:val="Compact"/>
              <w:jc w:val="left"/>
            </w:pPr>
            <w:r>
              <w:t xml:space="preserve">OASIS 4 (Wharton 2025), PMID 40934115</w:t>
            </w:r>
          </w:p>
        </w:tc>
        <w:tc>
          <w:tcPr/>
          <w:p>
            <w:pPr>
              <w:pStyle w:val="Compact"/>
              <w:jc w:val="left"/>
            </w:pPr>
            <w:r>
              <w:t xml:space="preserve">307 personen; 25 mg per dag vs. placebo</w:t>
            </w:r>
          </w:p>
        </w:tc>
        <w:tc>
          <w:tcPr/>
          <w:p>
            <w:pPr>
              <w:pStyle w:val="Compact"/>
              <w:jc w:val="left"/>
            </w:pPr>
            <w:r>
              <w:t xml:space="preserve">64 weken</w:t>
            </w:r>
          </w:p>
        </w:tc>
        <w:tc>
          <w:tcPr/>
          <w:p>
            <w:pPr>
              <w:pStyle w:val="Compact"/>
              <w:jc w:val="left"/>
            </w:pPr>
            <w:r>
              <w:t xml:space="preserve">−13,6% vs. −2,2%</w:t>
            </w:r>
          </w:p>
        </w:tc>
      </w:tr>
    </w:tbl>
    <w:p>
      <w:pPr>
        <w:pStyle w:val="BodyText"/>
      </w:pPr>
      <w:r>
        <w:t xml:space="preserve">De tabletten bereikten in deze studies vergelijkbare waarden als de injectie in STEP 1 (Knop 2023, PMID 37385278; Wharton 2025, PMID 40934115). Maag-darmklachten traden op bij 74% tot 80%. De tablet van 25 mg uit OASIS 4 is de basis van de in de VS geregistreerde Wegovy-tablet. Een directe vergelijking met de injectie in een grote studie ontbreekt tot nu toe.</w:t>
      </w:r>
    </w:p>
    <w:bookmarkEnd w:id="187"/>
    <w:bookmarkStart w:id="188" w:name="kinderen-en-jongeren-2"/>
    <w:p>
      <w:pPr>
        <w:pStyle w:val="Heading4"/>
      </w:pPr>
      <w:r>
        <w:t xml:space="preserve">Kinderen en jongeren</w:t>
      </w:r>
    </w:p>
    <w:p>
      <w:pPr>
        <w:pStyle w:val="FirstParagraph"/>
      </w:pPr>
      <w:r>
        <w:t xml:space="preserve">In</w:t>
      </w:r>
      <w:r>
        <w:t xml:space="preserve"> </w:t>
      </w:r>
      <w:r>
        <w:rPr>
          <w:bCs/>
          <w:b/>
        </w:rPr>
        <w:t xml:space="preserve">STEP TEENS</w:t>
      </w:r>
      <w:r>
        <w:t xml:space="preserve"> </w:t>
      </w:r>
      <w:r>
        <w:t xml:space="preserve">met 201 jongeren met obesitas daalde de body-mass-index (BMI) na 68 weken met 16,1%, met placebo steeg hij met 0,6% (Weghuber 2022, PMID 36322838). 73% verloor ten minste 5% van het gewicht, tegenover 18% met placebo. Vijf jongeren (4%) met semaglutide kregen galstenen, niemand met placebo. Een studie met kinderen vanaf 6 jaar loopt (NCT05726227).</w:t>
      </w:r>
    </w:p>
    <w:bookmarkEnd w:id="188"/>
    <w:bookmarkStart w:id="189" w:name="X8289594122d1aa2830fb644c582ed9cbfed7328"/>
    <w:p>
      <w:pPr>
        <w:pStyle w:val="Heading4"/>
      </w:pPr>
      <w:r>
        <w:t xml:space="preserve">SELECT: hartbescherming ook zonder diabetes</w:t>
      </w:r>
    </w:p>
    <w:p>
      <w:pPr>
        <w:pStyle w:val="FirstParagraph"/>
      </w:pPr>
      <w:r>
        <w:t xml:space="preserve">SELECT was een mijlpaal, omdat ze voor het eerst liet zien dat een geneesmiddel voor gewichtsvermindering hartinfarcten, beroertes en cardiovasculaire sterfgevallen bij mensen zonder diabetes vermindert.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Deelnemers en opzet</w:t>
            </w:r>
          </w:p>
        </w:tc>
        <w:tc>
          <w:tcPr/>
          <w:p>
            <w:pPr>
              <w:pStyle w:val="Compact"/>
              <w:jc w:val="left"/>
            </w:pPr>
            <w:r>
              <w:t xml:space="preserve">Duur</w:t>
            </w:r>
          </w:p>
        </w:tc>
        <w:tc>
          <w:tcPr/>
          <w:p>
            <w:pPr>
              <w:pStyle w:val="Compact"/>
              <w:jc w:val="left"/>
            </w:pPr>
            <w:r>
              <w:t xml:space="preserve">Resultaat</w:t>
            </w:r>
          </w:p>
        </w:tc>
      </w:tr>
      <w:tr>
        <w:tc>
          <w:tcPr/>
          <w:p>
            <w:pPr>
              <w:pStyle w:val="Compact"/>
              <w:jc w:val="left"/>
            </w:pPr>
            <w:r>
              <w:t xml:space="preserve">SELECT (Lincoff 2023), PMID 37952131</w:t>
            </w:r>
          </w:p>
        </w:tc>
        <w:tc>
          <w:tcPr/>
          <w:p>
            <w:pPr>
              <w:pStyle w:val="Compact"/>
              <w:jc w:val="left"/>
            </w:pPr>
            <w:r>
              <w:t xml:space="preserve">17.604 personen met overgewicht of obesitas en hart- en vaatziekte, zonder diabetes; 2,4 mg vs. placebo</w:t>
            </w:r>
          </w:p>
        </w:tc>
        <w:tc>
          <w:tcPr/>
          <w:p>
            <w:pPr>
              <w:pStyle w:val="Compact"/>
              <w:jc w:val="left"/>
            </w:pPr>
            <w:r>
              <w:t xml:space="preserve">gemiddelde follow-up 39,8 maanden</w:t>
            </w:r>
          </w:p>
        </w:tc>
        <w:tc>
          <w:tcPr/>
          <w:p>
            <w:pPr>
              <w:pStyle w:val="Compact"/>
              <w:jc w:val="left"/>
            </w:pPr>
            <w:r>
              <w:t xml:space="preserve">ernstige cardiovasculaire gebeurtenissen 6,5% vs. 8,0%; HR 0,80 (0,72–0,90)</w:t>
            </w:r>
          </w:p>
        </w:tc>
      </w:tr>
    </w:tbl>
    <w:p>
      <w:pPr>
        <w:pStyle w:val="BodyText"/>
      </w:pPr>
      <w:r>
        <w:t xml:space="preserve">De relatieve risicoverlaging bedroeg 20% (Lincoff 2023, PMID 37952131). In absolute getallen hadden over ruim drie jaar ongeveer 1,5 op de honderd behandelden zo’n gebeurtenis minder. Opvallend was het hoge uitvalpercentage: 16,6% stopte definitief met de behandeling vanwege bijwerkingen, tegenover 8,2% met placebo. Of het nut uitsluitend berust op het gewichtsverlies of ook op directe effecten op bloedvaten en ontsteking, is niet definitief opgehelderd.</w:t>
      </w:r>
    </w:p>
    <w:bookmarkEnd w:id="189"/>
    <w:bookmarkStart w:id="190" w:name="flow-bescherming-van-de-nieren"/>
    <w:p>
      <w:pPr>
        <w:pStyle w:val="Heading4"/>
      </w:pPr>
      <w:r>
        <w:t xml:space="preserve">FLOW: bescherming van de nieren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Deelnemers en opzet</w:t>
            </w:r>
          </w:p>
        </w:tc>
        <w:tc>
          <w:tcPr/>
          <w:p>
            <w:pPr>
              <w:pStyle w:val="Compact"/>
              <w:jc w:val="left"/>
            </w:pPr>
            <w:r>
              <w:t xml:space="preserve">Duur</w:t>
            </w:r>
          </w:p>
        </w:tc>
        <w:tc>
          <w:tcPr/>
          <w:p>
            <w:pPr>
              <w:pStyle w:val="Compact"/>
              <w:jc w:val="left"/>
            </w:pPr>
            <w:r>
              <w:t xml:space="preserve">Resultaat</w:t>
            </w:r>
          </w:p>
        </w:tc>
      </w:tr>
      <w:tr>
        <w:tc>
          <w:tcPr/>
          <w:p>
            <w:pPr>
              <w:pStyle w:val="Compact"/>
              <w:jc w:val="left"/>
            </w:pPr>
            <w:r>
              <w:t xml:space="preserve">FLOW (Perkovic 2024), PMID 38785209</w:t>
            </w:r>
          </w:p>
        </w:tc>
        <w:tc>
          <w:tcPr/>
          <w:p>
            <w:pPr>
              <w:pStyle w:val="Compact"/>
              <w:jc w:val="left"/>
            </w:pPr>
            <w:r>
              <w:t xml:space="preserve">3.533 personen met diabetes type 2 en chronische nierziekte; 1,0 mg vs. placebo</w:t>
            </w:r>
          </w:p>
        </w:tc>
        <w:tc>
          <w:tcPr/>
          <w:p>
            <w:pPr>
              <w:pStyle w:val="Compact"/>
              <w:jc w:val="left"/>
            </w:pPr>
            <w:r>
              <w:t xml:space="preserve">mediaan 3,4 jaar (voortijdig beëindigd wegens werkzaamheid)</w:t>
            </w:r>
          </w:p>
        </w:tc>
        <w:tc>
          <w:tcPr/>
          <w:p>
            <w:pPr>
              <w:pStyle w:val="Compact"/>
              <w:jc w:val="left"/>
            </w:pPr>
            <w:r>
              <w:t xml:space="preserve">niereindpunt 331 vs. 410 gebeurtenissen; HR 0,76; totale sterfte HR 0,80</w:t>
            </w:r>
          </w:p>
        </w:tc>
      </w:tr>
    </w:tbl>
    <w:p>
      <w:pPr>
        <w:pStyle w:val="BodyText"/>
      </w:pPr>
      <w:r>
        <w:t xml:space="preserve">FLOW (Perkovic 2024, PMID 38785209) was de eerste grote studie met een GLP-1-receptoragonist waarin een hard niereindpunt – nierfalen, sterk functieverlies of overlijden door een nier- of cardiovasculaire oorzaak – het hoofddoel was. Ze werd na een tussentijdse analyse wegens duidelijke werkzaamheid voortijdig beëindigd. Het jaarlijkse verlies aan nierfunctie (eGFR) was onder semaglutide 1,16 ml/min per 1,73 m² kleiner. Ook cardiovasculaire gebeurtenissen (HR 0,82) en de totale sterfte (HR 0,80) waren verminderd.</w:t>
      </w:r>
    </w:p>
    <w:bookmarkEnd w:id="190"/>
    <w:bookmarkStart w:id="191" w:name="Xe9b53208c4bb15950048a04ccd4fe56619a1a19"/>
    <w:p>
      <w:pPr>
        <w:pStyle w:val="Heading4"/>
      </w:pPr>
      <w:r>
        <w:t xml:space="preserve">Andere organen: lever, hartfalen, bloedvaten, gewrichten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Deelnemers en opzet</w:t>
            </w:r>
          </w:p>
        </w:tc>
        <w:tc>
          <w:tcPr/>
          <w:p>
            <w:pPr>
              <w:pStyle w:val="Compact"/>
              <w:jc w:val="left"/>
            </w:pPr>
            <w:r>
              <w:t xml:space="preserve">Duur</w:t>
            </w:r>
          </w:p>
        </w:tc>
        <w:tc>
          <w:tcPr/>
          <w:p>
            <w:pPr>
              <w:pStyle w:val="Compact"/>
              <w:jc w:val="left"/>
            </w:pPr>
            <w:r>
              <w:t xml:space="preserve">Resultaat</w:t>
            </w:r>
          </w:p>
        </w:tc>
      </w:tr>
      <w:tr>
        <w:tc>
          <w:tcPr/>
          <w:p>
            <w:pPr>
              <w:pStyle w:val="Compact"/>
              <w:jc w:val="left"/>
            </w:pPr>
            <w:r>
              <w:t xml:space="preserve">ESSENCE (Sanyal 2025), PMID 40305708</w:t>
            </w:r>
          </w:p>
        </w:tc>
        <w:tc>
          <w:tcPr/>
          <w:p>
            <w:pPr>
              <w:pStyle w:val="Compact"/>
              <w:jc w:val="left"/>
            </w:pPr>
            <w:r>
              <w:t xml:space="preserve">1.197 personen met leverontsteking door vervetting (MASH) en fibrose stadium 2–3; tussentijdse analyse van de eerste 800</w:t>
            </w:r>
          </w:p>
        </w:tc>
        <w:tc>
          <w:tcPr/>
          <w:p>
            <w:pPr>
              <w:pStyle w:val="Compact"/>
              <w:jc w:val="left"/>
            </w:pPr>
            <w:r>
              <w:t xml:space="preserve">72 weken (eerste deel)</w:t>
            </w:r>
          </w:p>
        </w:tc>
        <w:tc>
          <w:tcPr/>
          <w:p>
            <w:pPr>
              <w:pStyle w:val="Compact"/>
              <w:jc w:val="left"/>
            </w:pPr>
            <w:r>
              <w:t xml:space="preserve">verdwijnen van de ontsteking 62,9% vs. 34,3%; minder fibrose 36,8% vs. 22,4%</w:t>
            </w:r>
          </w:p>
        </w:tc>
      </w:tr>
      <w:tr>
        <w:tc>
          <w:tcPr/>
          <w:p>
            <w:pPr>
              <w:pStyle w:val="Compact"/>
              <w:jc w:val="left"/>
            </w:pPr>
            <w:r>
              <w:t xml:space="preserve">STEP-HFpEF (Kosiborod 2023), PMID 37622681</w:t>
            </w:r>
          </w:p>
        </w:tc>
        <w:tc>
          <w:tcPr/>
          <w:p>
            <w:pPr>
              <w:pStyle w:val="Compact"/>
              <w:jc w:val="left"/>
            </w:pPr>
            <w:r>
              <w:t xml:space="preserve">529 personen met hartfalen met behouden pompfunctie en obesitas; 2,4 mg vs. placebo</w:t>
            </w:r>
          </w:p>
        </w:tc>
        <w:tc>
          <w:tcPr/>
          <w:p>
            <w:pPr>
              <w:pStyle w:val="Compact"/>
              <w:jc w:val="left"/>
            </w:pPr>
            <w:r>
              <w:t xml:space="preserve">52 weken</w:t>
            </w:r>
          </w:p>
        </w:tc>
        <w:tc>
          <w:tcPr/>
          <w:p>
            <w:pPr>
              <w:pStyle w:val="Compact"/>
              <w:jc w:val="left"/>
            </w:pPr>
            <w:r>
              <w:t xml:space="preserve">symptoomscore +16,6 vs. +8,7 punten; loopafstand +21,5 vs. +1,2 m</w:t>
            </w:r>
          </w:p>
        </w:tc>
      </w:tr>
      <w:tr>
        <w:tc>
          <w:tcPr/>
          <w:p>
            <w:pPr>
              <w:pStyle w:val="Compact"/>
              <w:jc w:val="left"/>
            </w:pPr>
            <w:r>
              <w:t xml:space="preserve">STRIDE (Bonaca 2025), PMID 40169145</w:t>
            </w:r>
          </w:p>
        </w:tc>
        <w:tc>
          <w:tcPr/>
          <w:p>
            <w:pPr>
              <w:pStyle w:val="Compact"/>
              <w:jc w:val="left"/>
            </w:pPr>
            <w:r>
              <w:t xml:space="preserve">792 personen met etalagebenen en diabetes type 2; 1,0 mg vs. placebo</w:t>
            </w:r>
          </w:p>
        </w:tc>
        <w:tc>
          <w:tcPr/>
          <w:p>
            <w:pPr>
              <w:pStyle w:val="Compact"/>
              <w:jc w:val="left"/>
            </w:pPr>
            <w:r>
              <w:t xml:space="preserve">52 weken</w:t>
            </w:r>
          </w:p>
        </w:tc>
        <w:tc>
          <w:tcPr/>
          <w:p>
            <w:pPr>
              <w:pStyle w:val="Compact"/>
              <w:jc w:val="left"/>
            </w:pPr>
            <w:r>
              <w:t xml:space="preserve">maximale loopafstand 13% sterker verbeterd</w:t>
            </w:r>
          </w:p>
        </w:tc>
      </w:tr>
      <w:tr>
        <w:tc>
          <w:tcPr/>
          <w:p>
            <w:pPr>
              <w:pStyle w:val="Compact"/>
              <w:jc w:val="left"/>
            </w:pPr>
            <w:r>
              <w:t xml:space="preserve">STEP 9 (Bliddal 2024), PMID 39476339</w:t>
            </w:r>
          </w:p>
        </w:tc>
        <w:tc>
          <w:tcPr/>
          <w:p>
            <w:pPr>
              <w:pStyle w:val="Compact"/>
              <w:jc w:val="left"/>
            </w:pPr>
            <w:r>
              <w:t xml:space="preserve">407 personen met obesitas en knieartrose</w:t>
            </w:r>
          </w:p>
        </w:tc>
        <w:tc>
          <w:tcPr/>
          <w:p>
            <w:pPr>
              <w:pStyle w:val="Compact"/>
              <w:jc w:val="left"/>
            </w:pPr>
            <w:r>
              <w:t xml:space="preserve">68 weken</w:t>
            </w:r>
          </w:p>
        </w:tc>
        <w:tc>
          <w:tcPr/>
          <w:p>
            <w:pPr>
              <w:pStyle w:val="Compact"/>
              <w:jc w:val="left"/>
            </w:pPr>
            <w:r>
              <w:t xml:space="preserve">pijnscore −41,7 vs. −27,5 punten; gewicht −13,7% vs. −3,2%</w:t>
            </w:r>
          </w:p>
        </w:tc>
      </w:tr>
    </w:tbl>
    <w:p>
      <w:pPr>
        <w:pStyle w:val="BodyText"/>
      </w:pPr>
      <w:r>
        <w:rPr>
          <w:bCs/>
          <w:b/>
        </w:rPr>
        <w:t xml:space="preserve">Lever:</w:t>
      </w:r>
      <w:r>
        <w:t xml:space="preserve"> </w:t>
      </w:r>
      <w:r>
        <w:t xml:space="preserve">in ESSENCE (Sanyal 2025, PMID 40305708) verdween de leverontsteking door vervetting in het weefselmonster bij bijna twee derde van de behandelden, zonder dat de littekenvorming toenam. Een vermindering van de fibrose – het klinisch belangrijkere doel – bereikte 36,8% tegenover 22,4%. Het tweede deel van de studie met harde levereindpunten zoals cirrose loopt tot 2029 (NCT04822181).</w:t>
      </w:r>
    </w:p>
    <w:p>
      <w:pPr>
        <w:pStyle w:val="BodyText"/>
      </w:pPr>
      <w:r>
        <w:rPr>
          <w:bCs/>
          <w:b/>
        </w:rPr>
        <w:t xml:space="preserve">Hartfalen:</w:t>
      </w:r>
      <w:r>
        <w:t xml:space="preserve"> </w:t>
      </w:r>
      <w:r>
        <w:t xml:space="preserve">bij hartfalen met behouden pompfunctie en obesitas verbeterden klachten en belastbaarheid duidelijk (Kosiborod 2023, PMID 37622681). Ernstige ongewenste voorvallen waren onder semaglutide zeldzamer (13,3% vs. 26,7%). Of semaglutide ook ziekenhuisopnames of sterfgevallen door hartfalen vermindert, was niet het hoofddoel van deze studie.</w:t>
      </w:r>
    </w:p>
    <w:p>
      <w:pPr>
        <w:pStyle w:val="BodyText"/>
      </w:pPr>
      <w:r>
        <w:rPr>
          <w:bCs/>
          <w:b/>
        </w:rPr>
        <w:t xml:space="preserve">Etalagebenen:</w:t>
      </w:r>
      <w:r>
        <w:t xml:space="preserve"> </w:t>
      </w:r>
      <w:r>
        <w:t xml:space="preserve">bij perifeer arterieel vaatlijden verlengde semaglutide de maximale loopafstand (Bonaca 2025, PMID 40169145).</w:t>
      </w:r>
    </w:p>
    <w:p>
      <w:pPr>
        <w:pStyle w:val="BodyText"/>
      </w:pPr>
      <w:r>
        <w:rPr>
          <w:bCs/>
          <w:b/>
        </w:rPr>
        <w:t xml:space="preserve">Knieartrose:</w:t>
      </w:r>
      <w:r>
        <w:t xml:space="preserve"> </w:t>
      </w:r>
      <w:r>
        <w:t xml:space="preserve">in STEP 9 (Bliddal 2024, PMID 39476339) nam de kniepijn sterker af dan onder placebo. Of dat uitsluitend aan het gewichtsverlies ligt, laat de studie open.</w:t>
      </w:r>
    </w:p>
    <w:bookmarkEnd w:id="191"/>
    <w:bookmarkStart w:id="192" w:name="hersenen-en-verslaving"/>
    <w:p>
      <w:pPr>
        <w:pStyle w:val="Heading4"/>
      </w:pPr>
      <w:r>
        <w:t xml:space="preserve">Hersenen en verslaving</w:t>
      </w:r>
    </w:p>
    <w:p>
      <w:pPr>
        <w:pStyle w:val="FirstParagraph"/>
      </w:pPr>
      <w:r>
        <w:rPr>
          <w:bCs/>
          <w:b/>
        </w:rPr>
        <w:t xml:space="preserve">Ziekte van Alzheimer:</w:t>
      </w:r>
      <w:r>
        <w:t xml:space="preserve"> </w:t>
      </w:r>
      <w:r>
        <w:t xml:space="preserve">de hoop dat GLP-1-receptoragonisten de cognitieve achteruitgang zouden kunnen remmen, steunde op dierproeven en observationele gegevens. Novo Nordisk toetste dat in twee grote fase 3-studies, evoke en evoke+, met samen 3.808 personen met vroege ziekte van Alzheimer, die gedurende 104 weken dagelijks semaglutidetabletten of placebo kregen (Cummings 2026, PMID 41865758). Het resultaat was eenduidig negatief: de ziekte schreed in beide groepen even snel voort (verschil op de dementieschaal CDR-SB −0,08 respectievelijk +0,10 punten, niet significant). Daarmee is semaglutide als alzheimergeneesmiddel naar de huidige stand van zaken mislukt; een commentaar in hetzelfde tijdschrift bespreekt de gevolgen voor het onderzoeksveld (Schneider 2026, PMID 41865757).</w:t>
      </w:r>
    </w:p>
    <w:p>
      <w:pPr>
        <w:pStyle w:val="BodyText"/>
      </w:pPr>
      <w:r>
        <w:rPr>
          <w:bCs/>
          <w:b/>
        </w:rPr>
        <w:t xml:space="preserve">Alcohol:</w:t>
      </w:r>
      <w:r>
        <w:t xml:space="preserve"> </w:t>
      </w:r>
      <w:r>
        <w:t xml:space="preserve">in een kleine gerandomiseerde studie met 48 personen met een alcoholgebruiksstoornis verminderde laag gedoseerd semaglutide de gedronken hoeveelheid alcohol in een laboratoriumtest, het verlangen naar alcohol en het aantal drankjes op drinkdagen; het aantal drinkdagen veranderde niet (Hendershot 2025, PMID 39937469). In een Zweedse registerstudie ging semaglutide gepaard met een 36% lager risico op alcoholgerelateerde ziekenhuisopnames (Lähteenvuo 2025, PMID 39535805). Grotere gerandomiseerde studies lopen.</w:t>
      </w:r>
    </w:p>
    <w:bookmarkEnd w:id="192"/>
    <w:bookmarkEnd w:id="193"/>
    <w:bookmarkStart w:id="194" w:name="dier--en-laboratoriumstudies-3"/>
    <w:p>
      <w:pPr>
        <w:pStyle w:val="Heading3"/>
      </w:pPr>
      <w:r>
        <w:t xml:space="preserve">Dier- en laboratoriumstudies</w:t>
      </w:r>
    </w:p>
    <w:p>
      <w:pPr>
        <w:pStyle w:val="FirstParagraph"/>
      </w:pPr>
      <w:r>
        <w:t xml:space="preserve">Semaglutide werd gericht op de tekentafel ontworpen: uit talrijke varianten kozen de ontwikkelaars die met de beste combinatie van albuminebinding, receptorwerking en stabiliteit (Lau 2015, PMID 26308095). De halfwaardetijd werd eerst bij minivarkens bepaald. De opname van de tablet via het maagslijmvlies werd bij honden en bij de mens onderzocht (Buckley 2018, PMID 30429357).</w:t>
      </w:r>
    </w:p>
    <w:p>
      <w:pPr>
        <w:pStyle w:val="BodyText"/>
      </w:pPr>
      <w:r>
        <w:t xml:space="preserve">Net als bij liraglutide leidden langetermijnproeven bij knaagdieren tot C-celtumoren van de schildklier; de vertaalbaarheid naar de mens wordt vanwege de geringe receptordichtheid in menselijke C-cellen als twijfelachtig beschouwd (Bjerre Knudsen 2010, PMID 20203154). Dierproeven naar zenuwbescherming, verslaving en ontsteking vormden de basis voor de hierboven beschreven studies bij mensen – met wisselend resultaat, zoals het mislukken van evoke laat zien.</w:t>
      </w:r>
    </w:p>
    <w:bookmarkEnd w:id="194"/>
    <w:bookmarkStart w:id="195" w:name="risicos-en-bijwerkingen-3"/>
    <w:p>
      <w:pPr>
        <w:pStyle w:val="Heading3"/>
      </w:pPr>
      <w:r>
        <w:t xml:space="preserve">Risico’s en bijwerkingen</w:t>
      </w:r>
    </w:p>
    <w:p>
      <w:pPr>
        <w:pStyle w:val="FirstParagraph"/>
      </w:pPr>
      <w:r>
        <w:rPr>
          <w:bCs/>
          <w:b/>
        </w:rPr>
        <w:t xml:space="preserve">Aangetoond in gerandomiseerde studies:</w:t>
      </w:r>
    </w:p>
    <w:p>
      <w:pPr>
        <w:numPr>
          <w:ilvl w:val="0"/>
          <w:numId w:val="1055"/>
        </w:numPr>
        <w:pStyle w:val="Compact"/>
      </w:pPr>
      <w:r>
        <w:rPr>
          <w:bCs/>
          <w:b/>
        </w:rPr>
        <w:t xml:space="preserve">Maag-darmklachten:</w:t>
      </w:r>
      <w:r>
        <w:t xml:space="preserve"> </w:t>
      </w:r>
      <w:r>
        <w:t xml:space="preserve">misselijkheid, diarree, braken en obstipatie treffen in de obesitasstudies de meerderheid van de behandelden, meestal licht tot matig en tijdelijk, vooral tijdens de dosisverhoging (Wilding 2021, PMID 33567185). Ze zijn de meest voorkomende reden om met de therapie te stoppen.</w:t>
      </w:r>
    </w:p>
    <w:p>
      <w:pPr>
        <w:numPr>
          <w:ilvl w:val="0"/>
          <w:numId w:val="1055"/>
        </w:numPr>
        <w:pStyle w:val="Compact"/>
      </w:pPr>
      <w:r>
        <w:rPr>
          <w:bCs/>
          <w:b/>
        </w:rPr>
        <w:t xml:space="preserve">Galstenen en galblaasontsteking:</w:t>
      </w:r>
      <w:r>
        <w:t xml:space="preserve"> </w:t>
      </w:r>
      <w:r>
        <w:t xml:space="preserve">in de klasse als geheel verhoogd, vooral bij hoge doses en bij gebruik voor gewichtsvermindering (He 2022, PMID 35344001); in STEP TEENS bij 4% van de jongeren (Weghuber 2022, PMID 36322838).</w:t>
      </w:r>
    </w:p>
    <w:p>
      <w:pPr>
        <w:numPr>
          <w:ilvl w:val="0"/>
          <w:numId w:val="1055"/>
        </w:numPr>
        <w:pStyle w:val="Compact"/>
      </w:pPr>
      <w:r>
        <w:rPr>
          <w:bCs/>
          <w:b/>
        </w:rPr>
        <w:t xml:space="preserve">Verslechtering van een diabetische netvliesaandoening:</w:t>
      </w:r>
      <w:r>
        <w:t xml:space="preserve"> </w:t>
      </w:r>
      <w:r>
        <w:t xml:space="preserve">in SUSTAIN 6 vaker (HR 1,76) (Marso 2016, PMID 27633186). Vermoed wordt dat een zeer snelle bloedsuikerdaling bij reeds bestaande retinopathie tijdelijk schaadt – een effect dat ook van insuline bekend is. Een eigen studie met 1.500 deelnemers naar deze vraag loopt (NCT03811561). Mensen met retinopathie moeten door een oogarts worden begeleid.</w:t>
      </w:r>
    </w:p>
    <w:p>
      <w:pPr>
        <w:numPr>
          <w:ilvl w:val="0"/>
          <w:numId w:val="1055"/>
        </w:numPr>
        <w:pStyle w:val="Compact"/>
      </w:pPr>
      <w:r>
        <w:rPr>
          <w:bCs/>
          <w:b/>
        </w:rPr>
        <w:t xml:space="preserve">Verlies van spiermassa:</w:t>
      </w:r>
      <w:r>
        <w:t xml:space="preserve"> </w:t>
      </w:r>
      <w:r>
        <w:t xml:space="preserve">bij elk sterk gewichtsverlies gaat ook vetvrije massa verloren. Hoe belangrijk dat onder semaglutide is, vooral bij ouderen, wordt nog onderzocht; deel IV gaat daarop in.</w:t>
      </w:r>
    </w:p>
    <w:p>
      <w:pPr>
        <w:pStyle w:val="FirstParagraph"/>
      </w:pPr>
      <w:r>
        <w:rPr>
          <w:bCs/>
          <w:b/>
        </w:rPr>
        <w:t xml:space="preserve">Observationele gegevens en signalen:</w:t>
      </w:r>
    </w:p>
    <w:p>
      <w:pPr>
        <w:numPr>
          <w:ilvl w:val="0"/>
          <w:numId w:val="1056"/>
        </w:numPr>
        <w:pStyle w:val="Compact"/>
      </w:pPr>
      <w:r>
        <w:rPr>
          <w:bCs/>
          <w:b/>
        </w:rPr>
        <w:t xml:space="preserve">NAION (doorbloedingsstoornis van de oogzenuw):</w:t>
      </w:r>
      <w:r>
        <w:t xml:space="preserve"> </w:t>
      </w:r>
      <w:r>
        <w:t xml:space="preserve">in 2024 rapporteerde een Amerikaanse studie uit een oogkliniek een duidelijk verhoogd risico op een niet-arteritische anterieure ischemische opticusneuropathie, een plotseling, meestal pijnloos verlies van gezichtsvermogen in één oog (Hathaway 2024, PMID 38958939). In deze studie lag de hazard ratio op 4,28 (diabetes) respectievelijk 7,64 (obesitas), maar bij zeer kleine aantallen gevallen. Een Deens-Noorse registerstudie met meer dan 60.000 mensen met diabetes type 2 bevestigde een verhoogd relatief risico (HR 2,81), bij een laag absoluut risico: ongeveer 1,4 extra gevallen per 10.000 persoonsjaren (Simonsen 2025, PMID 40098249). Een meta-analyse uit 2026 vond het signaal alleen in observationele studies bij diabetes (HR 1,85), niet in gerandomiseerde studies en niet bij obesitas (Liu 2026, PMID 41475544). Het Europees Geneesmiddelenbureau heeft NAION in 2025 als zeer zeldzame bijwerking in de productinformatie opgenomen (stand 2026, actuele situatie controleren). Wie onder semaglutide plotseling slechter ziet, moet onmiddellijk medische hulp zoeken.</w:t>
      </w:r>
    </w:p>
    <w:p>
      <w:pPr>
        <w:numPr>
          <w:ilvl w:val="0"/>
          <w:numId w:val="1056"/>
        </w:numPr>
        <w:pStyle w:val="Compact"/>
      </w:pPr>
      <w:r>
        <w:rPr>
          <w:bCs/>
          <w:b/>
        </w:rPr>
        <w:t xml:space="preserve">Alvleesklierontsteking en darmobstructie:</w:t>
      </w:r>
      <w:r>
        <w:t xml:space="preserve"> </w:t>
      </w:r>
      <w:r>
        <w:t xml:space="preserve">een analyse van verzekeringsgegevens vond bij GLP-1-receptoragonisten voor gewichtsverlies een verhoogd risico op alvleesklierontsteking, darmobstructie en maagverlamming (Sodhi 2023, PMID 37796527). In de grote gerandomiseerde studies was pancreatitis zeldzaam. De productinformatie noemt haar als mogelijke bijwerking.</w:t>
      </w:r>
    </w:p>
    <w:p>
      <w:pPr>
        <w:numPr>
          <w:ilvl w:val="0"/>
          <w:numId w:val="1056"/>
        </w:numPr>
        <w:pStyle w:val="Compact"/>
      </w:pPr>
      <w:r>
        <w:rPr>
          <w:bCs/>
          <w:b/>
        </w:rPr>
        <w:t xml:space="preserve">Schildklierkanker:</w:t>
      </w:r>
      <w:r>
        <w:t xml:space="preserve"> </w:t>
      </w:r>
      <w:r>
        <w:t xml:space="preserve">signaal in observationele studies en meta-analyses voor de klasse (Bezin 2023, PMID 36356111; Silverii 2025, PMID 40437949); zie hoofdstuk Liraglutide.</w:t>
      </w:r>
    </w:p>
    <w:p>
      <w:pPr>
        <w:numPr>
          <w:ilvl w:val="0"/>
          <w:numId w:val="1056"/>
        </w:numPr>
        <w:pStyle w:val="Compact"/>
      </w:pPr>
      <w:r>
        <w:rPr>
          <w:bCs/>
          <w:b/>
        </w:rPr>
        <w:t xml:space="preserve">Psychische bijwerkingen:</w:t>
      </w:r>
      <w:r>
        <w:t xml:space="preserve"> </w:t>
      </w:r>
      <w:r>
        <w:t xml:space="preserve">na meldingen over suïcidale gedachten deden de autoriteiten in 2023/2024 onderzoek en vonden geen bewijs voor een oorzakelijk verband. In een groot Amerikaans cohort met 240.618 mensen met overgewicht ging semaglutide zelfs gepaard met minder nieuw optredende suïcidale gedachten dan andere middelen voor gewichtsvermindering (Wang 2024, PMID 38182782). Observationele gegevens kunnen vertekeningen niet zeker uitsluiten.</w:t>
      </w:r>
    </w:p>
    <w:p>
      <w:pPr>
        <w:pStyle w:val="FirstParagraph"/>
      </w:pPr>
      <w:r>
        <w:rPr>
          <w:bCs/>
          <w:b/>
        </w:rPr>
        <w:t xml:space="preserve">Aanwijzingen voor de praktijk:</w:t>
      </w:r>
      <w:r>
        <w:t xml:space="preserve"> </w:t>
      </w:r>
      <w:r>
        <w:t xml:space="preserve">semaglutide is tijdens de zwangerschap niet geïndiceerd; de productinformatie adviseert tijdig te stoppen vóór een geplande zwangerschap. Door de vertraagde maaglediging kan bij narcoses een verhoogd risico bestaan dat maaginhoud in de longen komt; behandelden moeten dat vóór operaties en gastroscopieën melden. Voor gebruik, dosisverhoging en contra-indicaties zijn de productinformatie en de begeleiding door een arts bepalend.</w:t>
      </w:r>
    </w:p>
    <w:bookmarkEnd w:id="195"/>
    <w:bookmarkStart w:id="196" w:name="grijze-markt-compounding-en-vervalsingen"/>
    <w:p>
      <w:pPr>
        <w:pStyle w:val="Heading3"/>
      </w:pPr>
      <w:r>
        <w:t xml:space="preserve">Grijze markt, compounding en vervalsingen</w:t>
      </w:r>
    </w:p>
    <w:p>
      <w:pPr>
        <w:pStyle w:val="FirstParagraph"/>
      </w:pPr>
      <w:r>
        <w:t xml:space="preserve">Geen ander peptide in dit boek wordt zo vaak buiten de reguliere kanalen verkregen als semaglutide. De vraag overtrof vanaf 2022 jarenlang het aanbod. Er zijn drie problemen te onderscheiden.</w:t>
      </w:r>
    </w:p>
    <w:p>
      <w:pPr>
        <w:pStyle w:val="BodyText"/>
      </w:pPr>
      <w:r>
        <w:rPr>
          <w:bCs/>
          <w:b/>
        </w:rPr>
        <w:t xml:space="preserve">Compounding (VS):</w:t>
      </w:r>
      <w:r>
        <w:t xml:space="preserve"> </w:t>
      </w:r>
      <w:r>
        <w:t xml:space="preserve">tijdens de officiële leveringstekorten mochten Amerikaanse apotheken semaglutide zelf bereiden („compounding”), vaak als poeder of oplossing in flesjes, deels met andere zoutvormen van de werkzame stof. Na het einde van het tekort heeft de FDA deze praktijk sterk ingeperkt (stand 2026, actuele situatie controleren). Een casusreeks van een vergiftigingeninformatiecentrum beschreef tienvoudige overdoseringen, doordat patiënten met spuiten en flesjes in plaats van voorgevulde pennen werkten en milliliters, eenheden en milligrammen door elkaar haalden (Lambson 2023, PMID 37392810). In een analyse van de Amerikaanse bijwerkingendatabase waren bij bereide producten meldingen over productiefouten, verontreiniging en ziekenhuisopnames onevenredig vaak (McCall 2026, PMID 40285721).</w:t>
      </w:r>
    </w:p>
    <w:p>
      <w:pPr>
        <w:pStyle w:val="BodyText"/>
      </w:pPr>
      <w:r>
        <w:rPr>
          <w:bCs/>
          <w:b/>
        </w:rPr>
        <w:t xml:space="preserve">Illegale webwinkels:</w:t>
      </w:r>
      <w:r>
        <w:t xml:space="preserve"> </w:t>
      </w:r>
      <w:r>
        <w:t xml:space="preserve">in een marktonderzoek leidde 42,3% van de gevonden links naar online apotheken naar illegale aanbieders die semaglutide zonder recept verkochten (Ashraf 2024, PMID 39509151). Bij proefaankopen kwamen bestelde Ozempic-pennen helemaal niet aan. De geleverde flesjes bevatten weliswaar semaglutide, maar de zuiverheid lag slechts op 7,7% tot 14,37% in plaats van de opgegeven 99%, en in alle monsters werden endotoxinen (bestanddelen van bacteriën die koorts en ontstekingen kunnen veroorzaken) aangetoond.</w:t>
      </w:r>
    </w:p>
    <w:p>
      <w:pPr>
        <w:pStyle w:val="BodyText"/>
      </w:pPr>
      <w:r>
        <w:rPr>
          <w:bCs/>
          <w:b/>
        </w:rPr>
        <w:t xml:space="preserve">Vervalsingen:</w:t>
      </w:r>
      <w:r>
        <w:t xml:space="preserve"> </w:t>
      </w:r>
      <w:r>
        <w:t xml:space="preserve">vervalste Ozempic-pennen zijn in Europa en de VS opgedoken, deels gevuld met insuline of zonder werkzame stof; de geneesmiddelenautoriteiten en de Wereldgezondheidsorganisatie hebben meermaals gewaarschuwd. Algemene informatie over producten van de grijze markt vindt u in deel I en deel IV. Veilig is alleen de reguliere weg: voorschrift door een arts en afgifte door de apotheek.</w:t>
      </w:r>
    </w:p>
    <w:bookmarkEnd w:id="196"/>
    <w:bookmarkStart w:id="197" w:name="juridische-status-3"/>
    <w:p>
      <w:pPr>
        <w:pStyle w:val="Heading3"/>
      </w:pPr>
      <w:r>
        <w:t xml:space="preserve">Juridische status</w:t>
      </w:r>
    </w:p>
    <w:p>
      <w:pPr>
        <w:numPr>
          <w:ilvl w:val="0"/>
          <w:numId w:val="1057"/>
        </w:numPr>
        <w:pStyle w:val="Compact"/>
      </w:pPr>
      <w:r>
        <w:rPr>
          <w:bCs/>
          <w:b/>
        </w:rPr>
        <w:t xml:space="preserve">EU:</w:t>
      </w:r>
      <w:r>
        <w:t xml:space="preserve"> </w:t>
      </w:r>
      <w:r>
        <w:t xml:space="preserve">Ozempic (2018), Rybelsus (2020) en Wegovy (2022) zijn centraal geregistreerd en receptplichtig. Wegovy is geregistreerd voor gewichtsbeheersing bij volwassenen en jongeren vanaf 12 jaar; de productinformatie bevat inmiddels ook gegevens over de verlaging van het cardiovasculaire risico uit SELECT.</w:t>
      </w:r>
    </w:p>
    <w:p>
      <w:pPr>
        <w:numPr>
          <w:ilvl w:val="0"/>
          <w:numId w:val="1057"/>
        </w:numPr>
        <w:pStyle w:val="Compact"/>
      </w:pPr>
      <w:r>
        <w:rPr>
          <w:bCs/>
          <w:b/>
        </w:rPr>
        <w:t xml:space="preserve">Duitsland:</w:t>
      </w:r>
      <w:r>
        <w:t xml:space="preserve"> </w:t>
      </w:r>
      <w:r>
        <w:t xml:space="preserve">Ozempic en Rybelsus worden bij diabetes type 2 vergoed. Wegovy geldt als middel voor gewichtsvermindering en is volgens § 34 SGB V in principe uitgesloten van vergoeding door de wettelijke zorgverzekering; een wijziging wordt politiek besproken (stand 2026, actuele situatie controleren). Het voorschrijven van Ozempic uitsluitend om af te vallen is off-label en werd tijdens de leveringstekorten door de autoriteiten uitdrukkelijk bekritiseerd.</w:t>
      </w:r>
    </w:p>
    <w:p>
      <w:pPr>
        <w:numPr>
          <w:ilvl w:val="0"/>
          <w:numId w:val="1057"/>
        </w:numPr>
        <w:pStyle w:val="Compact"/>
      </w:pPr>
      <w:r>
        <w:rPr>
          <w:bCs/>
          <w:b/>
        </w:rPr>
        <w:t xml:space="preserve">Oostenrijk:</w:t>
      </w:r>
      <w:r>
        <w:t xml:space="preserve"> </w:t>
      </w:r>
      <w:r>
        <w:t xml:space="preserve">receptplichtig; vergoeding voor gewichtsbeheersing slechts beperkt (actuele situatie controleren).</w:t>
      </w:r>
    </w:p>
    <w:p>
      <w:pPr>
        <w:numPr>
          <w:ilvl w:val="0"/>
          <w:numId w:val="1057"/>
        </w:numPr>
        <w:pStyle w:val="Compact"/>
      </w:pPr>
      <w:r>
        <w:rPr>
          <w:bCs/>
          <w:b/>
        </w:rPr>
        <w:t xml:space="preserve">VS:</w:t>
      </w:r>
      <w:r>
        <w:t xml:space="preserve"> </w:t>
      </w:r>
      <w:r>
        <w:t xml:space="preserve">Ozempic, Rybelsus en Wegovy (injectie en tablet) geregistreerd, met uitgebreide toepassingsgebieden voor hart, nieren en MASH.</w:t>
      </w:r>
    </w:p>
    <w:p>
      <w:pPr>
        <w:numPr>
          <w:ilvl w:val="0"/>
          <w:numId w:val="1057"/>
        </w:numPr>
        <w:pStyle w:val="Compact"/>
      </w:pPr>
      <w:r>
        <w:rPr>
          <w:bCs/>
          <w:b/>
        </w:rPr>
        <w:t xml:space="preserve">Octrooien en generieke middelen:</w:t>
      </w:r>
      <w:r>
        <w:t xml:space="preserve"> </w:t>
      </w:r>
      <w:r>
        <w:t xml:space="preserve">in meerdere grote markten buiten de EU en de VS – waaronder Canada, China, India en Brazilië – loopt de octrooibescherming van semaglutide in 2026 af; eerste generieke preparaten zijn daar aangekondigd of op de markt. In de EU en de VS wordt pas rond 2031/2032 met generieke middelen gerekend (stand 2026, actuele situatie controleren). Meer daarover in deel V.</w:t>
      </w:r>
    </w:p>
    <w:p>
      <w:pPr>
        <w:numPr>
          <w:ilvl w:val="0"/>
          <w:numId w:val="1057"/>
        </w:numPr>
        <w:pStyle w:val="Compact"/>
      </w:pPr>
      <w:r>
        <w:rPr>
          <w:bCs/>
          <w:b/>
        </w:rPr>
        <w:t xml:space="preserve">Sport (WADA):</w:t>
      </w:r>
      <w:r>
        <w:t xml:space="preserve"> </w:t>
      </w:r>
      <w:r>
        <w:t xml:space="preserve">niet vermeld (stand 2026, actuele situatie controleren).</w:t>
      </w:r>
    </w:p>
    <w:bookmarkEnd w:id="197"/>
    <w:bookmarkStart w:id="198" w:name="lopende-studies-en-vooruitzichten-3"/>
    <w:p>
      <w:pPr>
        <w:pStyle w:val="Heading3"/>
      </w:pPr>
      <w:r>
        <w:t xml:space="preserve">Lopende studies en vooruitzichten</w:t>
      </w:r>
    </w:p>
    <w:p>
      <w:pPr>
        <w:pStyle w:val="FirstParagraph"/>
      </w:pPr>
      <w:r>
        <w:rPr>
          <w:bCs/>
          <w:b/>
        </w:rPr>
        <w:t xml:space="preserve">Vaststaand (geregistreerde studies):</w:t>
      </w:r>
      <w:r>
        <w:t xml:space="preserve"> </w:t>
      </w:r>
      <w:r>
        <w:t xml:space="preserve">van de 793 registraties betreft een groot deel combinaties en opvolgers. Voorbeelden:</w:t>
      </w:r>
    </w:p>
    <w:p>
      <w:pPr>
        <w:numPr>
          <w:ilvl w:val="0"/>
          <w:numId w:val="1058"/>
        </w:numPr>
        <w:pStyle w:val="Compact"/>
      </w:pPr>
      <w:r>
        <w:rPr>
          <w:bCs/>
          <w:b/>
        </w:rPr>
        <w:t xml:space="preserve">Ogen:</w:t>
      </w:r>
      <w:r>
        <w:t xml:space="preserve"> </w:t>
      </w:r>
      <w:r>
        <w:t xml:space="preserve">een studie met 1.500 deelnemers onderzoekt gericht het effect op de diabetische retinopathie (NCT03811561).</w:t>
      </w:r>
    </w:p>
    <w:p>
      <w:pPr>
        <w:numPr>
          <w:ilvl w:val="0"/>
          <w:numId w:val="1058"/>
        </w:numPr>
        <w:pStyle w:val="Compact"/>
      </w:pPr>
      <w:r>
        <w:rPr>
          <w:bCs/>
          <w:b/>
        </w:rPr>
        <w:t xml:space="preserve">Lever:</w:t>
      </w:r>
      <w:r>
        <w:t xml:space="preserve"> </w:t>
      </w:r>
      <w:r>
        <w:t xml:space="preserve">het tweede deel van ESSENCE met 1.205 deelnemers moet ophelderen of semaglutide levercirrose en levercomplicaties voorkomt (NCT04822181).</w:t>
      </w:r>
    </w:p>
    <w:p>
      <w:pPr>
        <w:numPr>
          <w:ilvl w:val="0"/>
          <w:numId w:val="1058"/>
        </w:numPr>
        <w:pStyle w:val="Compact"/>
      </w:pPr>
      <w:r>
        <w:rPr>
          <w:bCs/>
          <w:b/>
        </w:rPr>
        <w:t xml:space="preserve">Kinderen:</w:t>
      </w:r>
      <w:r>
        <w:t xml:space="preserve"> </w:t>
      </w:r>
      <w:r>
        <w:t xml:space="preserve">een studie met 212 kinderen en jongeren loopt (NCT05726227).</w:t>
      </w:r>
    </w:p>
    <w:p>
      <w:pPr>
        <w:numPr>
          <w:ilvl w:val="0"/>
          <w:numId w:val="1058"/>
        </w:numPr>
        <w:pStyle w:val="Compact"/>
      </w:pPr>
      <w:r>
        <w:rPr>
          <w:bCs/>
          <w:b/>
        </w:rPr>
        <w:t xml:space="preserve">Tablet:</w:t>
      </w:r>
      <w:r>
        <w:t xml:space="preserve"> </w:t>
      </w:r>
      <w:r>
        <w:t xml:space="preserve">verdere fase 3-studies naar de tablet bij obesitas zijn gestart (NCT07770841).</w:t>
      </w:r>
    </w:p>
    <w:p>
      <w:pPr>
        <w:numPr>
          <w:ilvl w:val="0"/>
          <w:numId w:val="1058"/>
        </w:numPr>
        <w:pStyle w:val="Compact"/>
      </w:pPr>
      <w:r>
        <w:rPr>
          <w:bCs/>
          <w:b/>
        </w:rPr>
        <w:t xml:space="preserve">Combinatie CagriSema:</w:t>
      </w:r>
      <w:r>
        <w:t xml:space="preserve"> </w:t>
      </w:r>
      <w:r>
        <w:t xml:space="preserve">semaglutide in vaste combinatie met het amyline-analoog cagrilintide wordt getest in een cardiovasculaire studie met 7.101 deelnemers (NCT05669755); details in het hoofdstuk Cagrilintide/CagriSema.</w:t>
      </w:r>
    </w:p>
    <w:p>
      <w:pPr>
        <w:pStyle w:val="FirstParagraph"/>
      </w:pPr>
      <w:r>
        <w:rPr>
          <w:bCs/>
          <w:b/>
        </w:rPr>
        <w:t xml:space="preserve">Inschatting:</w:t>
      </w:r>
      <w:r>
        <w:t xml:space="preserve"> </w:t>
      </w:r>
      <w:r>
        <w:t xml:space="preserve">semaglutide zal de komende jaren van twee kanten onder druk komen te staan – door werkzamere opvolgers zoals tirzepatide, CagriSema of retatrutide en door generieke middelen in grote markten. Tegelijk is het de werkzame stof met de breedste bewijsbasis voor harde eindpunten (hart, nieren, lever). De tabletvorm zou de toegang aanzienlijk kunnen vergroten. De mislukte alzheimerstudies laten zien dat niet elke hoop uit dierproeven en observationele gegevens standhoudt.</w:t>
      </w:r>
    </w:p>
    <w:bookmarkEnd w:id="198"/>
    <w:bookmarkStart w:id="199" w:name="conclusie-3"/>
    <w:p>
      <w:pPr>
        <w:pStyle w:val="Heading3"/>
      </w:pPr>
      <w:r>
        <w:t xml:space="preserve">Conclusie</w:t>
      </w:r>
    </w:p>
    <w:p>
      <w:pPr>
        <w:pStyle w:val="FirstParagraph"/>
      </w:pPr>
      <w:r>
        <w:t xml:space="preserve">Semaglutide is de meest uitgebreid onderzochte GLP-1-receptoragonist en heeft in directe vergelijkingen exenatide, liraglutide en dulaglutide overtroffen. Bij de dosis van 2,4 mg per week verloren mensen met obesitas in STEP 1 gemiddeld 14,9% van hun gewicht; na het stoppen komt het grootste deel van het gewicht terug. Grote uitkomststudies lieten een verlaging van ernstige cardiovasculaire gebeurtenissen zien – ook zonder diabetes (SELECT, 20%) – en daarnaast bescherming van de nieren (FLOW) en verbeteringen bij leverontsteking door vervetting. Vaak voorkomende bijwerkingen betreffen het maag-darmkanaal en de galblaas; zeldzame signalen zoals NAION worden verder gevolgd, terwijl de alzheimerstudies geen nut lieten zien. Producten van de grijze markt brengen aanzienlijke risico’s met zich mee – de behandeling hoort in handen van een arts en bij de apotheek.</w:t>
      </w:r>
    </w:p>
    <w:bookmarkEnd w:id="199"/>
    <w:bookmarkEnd w:id="200"/>
    <w:bookmarkStart w:id="218" w:name="tirzepatide"/>
    <w:p>
      <w:pPr>
        <w:pStyle w:val="Heading2"/>
      </w:pPr>
      <w:r>
        <w:t xml:space="preserve">Tirzepatide</w:t>
      </w:r>
    </w:p>
    <w:bookmarkStart w:id="201" w:name="profiel-4"/>
    <w:p>
      <w:pPr>
        <w:pStyle w:val="Heading3"/>
      </w:pPr>
      <w:r>
        <w:t xml:space="preserve">Profiel</w:t>
      </w:r>
    </w:p>
    <w:p>
      <w:pPr>
        <w:numPr>
          <w:ilvl w:val="0"/>
          <w:numId w:val="1059"/>
        </w:numPr>
        <w:pStyle w:val="Compact"/>
      </w:pPr>
      <w:r>
        <w:rPr>
          <w:bCs/>
          <w:b/>
        </w:rPr>
        <w:t xml:space="preserve">Soort/structuur:</w:t>
      </w:r>
      <w:r>
        <w:t xml:space="preserve"> </w:t>
      </w:r>
      <w:r>
        <w:t xml:space="preserve">synthetisch peptide waarvan het basisskelet is gemodelleerd naar het lichaamseigen darmhormoon GIP; een aangehangen vetzuurketen bindt het in het bloed aan albumine en verlengt de werkingsduur zo ver dat één injectie per week volstaat.</w:t>
      </w:r>
    </w:p>
    <w:p>
      <w:pPr>
        <w:numPr>
          <w:ilvl w:val="0"/>
          <w:numId w:val="1059"/>
        </w:numPr>
        <w:pStyle w:val="Compact"/>
      </w:pPr>
      <w:r>
        <w:rPr>
          <w:bCs/>
          <w:b/>
        </w:rPr>
        <w:t xml:space="preserve">Herkomst:</w:t>
      </w:r>
      <w:r>
        <w:t xml:space="preserve"> </w:t>
      </w:r>
      <w:r>
        <w:t xml:space="preserve">ontwikkeld door Eli Lilly, in vroege studies aangeduid met de code LY3298176.</w:t>
      </w:r>
    </w:p>
    <w:p>
      <w:pPr>
        <w:numPr>
          <w:ilvl w:val="0"/>
          <w:numId w:val="1059"/>
        </w:numPr>
        <w:pStyle w:val="Compact"/>
      </w:pPr>
      <w:r>
        <w:rPr>
          <w:bCs/>
          <w:b/>
        </w:rPr>
        <w:t xml:space="preserve">Werkingsprincipe:</w:t>
      </w:r>
      <w:r>
        <w:t xml:space="preserve"> </w:t>
      </w:r>
      <w:r>
        <w:t xml:space="preserve">dubbele agonist (activator) van twee receptoren: de GIP-receptor en de GLP-1-receptor. Daarom ook „twincretine” of „duale incretineagonist” genoemd.</w:t>
      </w:r>
    </w:p>
    <w:p>
      <w:pPr>
        <w:numPr>
          <w:ilvl w:val="0"/>
          <w:numId w:val="1059"/>
        </w:numPr>
        <w:pStyle w:val="Compact"/>
      </w:pPr>
      <w:r>
        <w:rPr>
          <w:bCs/>
          <w:b/>
        </w:rPr>
        <w:t xml:space="preserve">Registratie EU:</w:t>
      </w:r>
      <w:r>
        <w:t xml:space="preserve"> </w:t>
      </w:r>
      <w:r>
        <w:t xml:space="preserve">ja (Mounjaro) voor diabetes type 2 en voor gewichtsbeheersing bij obesitas en overgewicht met bijkomende aandoeningen.</w:t>
      </w:r>
    </w:p>
    <w:p>
      <w:pPr>
        <w:numPr>
          <w:ilvl w:val="0"/>
          <w:numId w:val="1059"/>
        </w:numPr>
        <w:pStyle w:val="Compact"/>
      </w:pPr>
      <w:r>
        <w:rPr>
          <w:bCs/>
          <w:b/>
        </w:rPr>
        <w:t xml:space="preserve">Registratie VS:</w:t>
      </w:r>
      <w:r>
        <w:t xml:space="preserve"> </w:t>
      </w:r>
      <w:r>
        <w:t xml:space="preserve">ja (Mounjaro voor diabetes type 2; Zepbound voor obesitas en voor matige tot ernstige obstructieve slaapapneu bij obesitas).</w:t>
      </w:r>
    </w:p>
    <w:p>
      <w:pPr>
        <w:numPr>
          <w:ilvl w:val="0"/>
          <w:numId w:val="1059"/>
        </w:numPr>
        <w:pStyle w:val="Compact"/>
      </w:pPr>
      <w:r>
        <w:rPr>
          <w:bCs/>
          <w:b/>
        </w:rPr>
        <w:t xml:space="preserve">WADA:</w:t>
      </w:r>
      <w:r>
        <w:t xml:space="preserve"> </w:t>
      </w:r>
      <w:r>
        <w:t xml:space="preserve">niet op de verboden lijst (stand 2026, actuele situatie controleren).</w:t>
      </w:r>
    </w:p>
    <w:p>
      <w:pPr>
        <w:numPr>
          <w:ilvl w:val="0"/>
          <w:numId w:val="1059"/>
        </w:numPr>
        <w:pStyle w:val="Compact"/>
      </w:pPr>
      <w:r>
        <w:rPr>
          <w:bCs/>
          <w:b/>
        </w:rPr>
        <w:t xml:space="preserve">Bewijsniveau:</w:t>
      </w:r>
      <w:r>
        <w:t xml:space="preserve"> </w:t>
      </w:r>
      <w:r>
        <w:rPr>
          <w:bCs/>
          <w:b/>
        </w:rPr>
        <w:t xml:space="preserve">A</w:t>
      </w:r>
      <w:r>
        <w:t xml:space="preserve"> </w:t>
      </w:r>
      <w:r>
        <w:t xml:space="preserve">– talrijke grote gerandomiseerde studies, uitkomststudies over hart en hartfalen, registratie in veel landen.</w:t>
      </w:r>
    </w:p>
    <w:bookmarkEnd w:id="201"/>
    <w:bookmarkStart w:id="202" w:name="hoe-het-zou-moeten-werken-4"/>
    <w:p>
      <w:pPr>
        <w:pStyle w:val="Heading3"/>
      </w:pPr>
      <w:r>
        <w:t xml:space="preserve">Hoe het zou moeten werken</w:t>
      </w:r>
    </w:p>
    <w:p>
      <w:pPr>
        <w:pStyle w:val="FirstParagraph"/>
      </w:pPr>
      <w:r>
        <w:t xml:space="preserve">Na een maaltijd geeft de darm twee hormonen af die men incretines noemt: GLP-1 (glucagon-like peptide-1) en GIP (glucoseafhankelijk insulinotroop polypeptide). Beide melden de alvleesklier „er komt voedsel” en versterken de insulineafgifte – maar alleen zolang de bloedsuiker verhoogd is. Dat is de reden waarom incretinegeneesmiddelen op zichzelf zelden hypoglykemieën veroorzaken. GLP-1 remt daarnaast de maaglediging en werkt in de hersenen op verzadigingscentra. Welke rol GIP bij de eetlust speelt, is minder duidelijk en was lang omstreden; in sommige oudere publicaties gold GIP zelfs eerder als „dikmakend hormoon”.</w:t>
      </w:r>
    </w:p>
    <w:p>
      <w:pPr>
        <w:pStyle w:val="BodyText"/>
      </w:pPr>
      <w:r>
        <w:t xml:space="preserve">Tirzepatide combineert beide signalen in één enkel molecuul. Laboratoriumonderzoek met cellijnen liet twee bijzonderheden zien (Willard 2020, PMID 32730231): ten eerste is tirzepatide „onevenwichtig” – bij de concentraties die met behandeldoses worden bereikt, bezet het de GIP-receptor sterker dan de GLP-1-receptor. Ten tweede activeert het op de GLP-1-receptor bij voorkeur een bepaalde signaalroute (cAMP) en veroorzaakt het minder receptorinternalisatie, waarbij de receptor naar het celinnerste wordt getrokken en daarmee tijdelijk uitgeschakeld. Of deze „scheve” signaaloverdracht bij de mens een rol speelt, is een hypothese op basis van laboratoriumgegevens.</w:t>
      </w:r>
    </w:p>
    <w:p>
      <w:pPr>
        <w:pStyle w:val="BodyText"/>
      </w:pPr>
      <w:r>
        <w:t xml:space="preserve">Bij muizen met overgewicht verbeterde tirzepatide de insulinegevoeligheid sterker dan een zuivere GLP-1-agonist, en wel deels onafhankelijk van het gewichtsverlies – via de GIP-receptor en een betere glucoseopname in het vetweefsel (Samms 2021, PMID 34003802). Bij de mens daalt onder tirzepatide vooral de voedselinname; in een studie met 117 mensen met diabetes type 2 namen onder tirzepatide eetlust, energie-inname en vetmassa af ten opzichte van placebo. Wat de eetlust betreft verschilde het echter niet meetbaar van semaglutide, hoewel het gewichtsverlies groter was – de auteurs achten daarom andere mechanismen mogelijk (Heise 2023, PMID 36857477).</w:t>
      </w:r>
    </w:p>
    <w:p>
      <w:pPr>
        <w:pStyle w:val="BodyText"/>
      </w:pPr>
      <w:r>
        <w:t xml:space="preserve">Eenvoudig gezegd: tirzepatide werkt als een GLP-1-geneesmiddel met een extra GIP-„versterker”. De studies laten zien dat dit pakket bij gewicht en bloedsuiker meer bereikt dan de tot nu toe beschikbare zuivere GLP-1-agonisten – waarom precies, is nog niet volledig begrepen.</w:t>
      </w:r>
    </w:p>
    <w:bookmarkEnd w:id="202"/>
    <w:bookmarkStart w:id="212" w:name="studies-bij-mensen-4"/>
    <w:p>
      <w:pPr>
        <w:pStyle w:val="Heading3"/>
      </w:pPr>
      <w:r>
        <w:t xml:space="preserve">Studies bij mensen</w:t>
      </w:r>
    </w:p>
    <w:p>
      <w:pPr>
        <w:pStyle w:val="FirstParagraph"/>
      </w:pPr>
      <w:r>
        <w:rPr>
          <w:bCs/>
          <w:b/>
        </w:rPr>
        <w:t xml:space="preserve">Omvang van het onderzoek:</w:t>
      </w:r>
      <w:r>
        <w:t xml:space="preserve"> </w:t>
      </w:r>
      <w:r>
        <w:t xml:space="preserve">de geautomatiseerde PubMed-zoekopdracht (oktober 2026) leverde 144 als studies bij mensen geclassificeerde publicaties op met „tirzepatide” in titel of abstract, daarnaast zeer veel overzichtsartikelen en meta-analyses. Op ClinicalTrials.gov waren 307 studies geregistreerd, waarvan meer dan 100 nog in de werving (een overduidelijk fictieve voorbeeldregistratie van een onbekende sponsor is niet meegeteld). Tirzepatide behoort daarmee tot de best onderzochte werkzame stoffen in dit boek. Het zwaartepunt ligt bij twee registratieprogramma’s:</w:t>
      </w:r>
      <w:r>
        <w:t xml:space="preserve"> </w:t>
      </w:r>
      <w:r>
        <w:rPr>
          <w:bCs/>
          <w:b/>
        </w:rPr>
        <w:t xml:space="preserve">SURPASS</w:t>
      </w:r>
      <w:r>
        <w:t xml:space="preserve"> </w:t>
      </w:r>
      <w:r>
        <w:t xml:space="preserve">(diabetes type 2) en</w:t>
      </w:r>
      <w:r>
        <w:t xml:space="preserve"> </w:t>
      </w:r>
      <w:r>
        <w:rPr>
          <w:bCs/>
          <w:b/>
        </w:rPr>
        <w:t xml:space="preserve">SURMOUNT</w:t>
      </w:r>
      <w:r>
        <w:t xml:space="preserve"> </w:t>
      </w:r>
      <w:r>
        <w:t xml:space="preserve">(obesitas), aangevuld met studies naar hartfalen, slaapapneu en leververvetting.</w:t>
      </w:r>
    </w:p>
    <w:bookmarkStart w:id="203" w:name="Xe735968c1eab8d1268761dd72e8f554908c836e"/>
    <w:p>
      <w:pPr>
        <w:pStyle w:val="Heading4"/>
      </w:pPr>
      <w:r>
        <w:t xml:space="preserve">Van het laboratorium naar de kliniek: fase 1 en 2</w:t>
      </w:r>
    </w:p>
    <w:p>
      <w:pPr>
        <w:pStyle w:val="FirstParagraph"/>
      </w:pPr>
      <w:r>
        <w:t xml:space="preserve">De eerste gegevens bij de mens komen uit een gecombineerde fase 1-studie met 142 personen die tirzepatide, dulaglutide of placebo kregen. Bij mensen met diabetes type 2 verlaagden hogere doses na vier weken de nuchtere bloedsuiker duidelijk; de meest voorkomende bijwerkingen betroffen het maag-darmkanaal (Coskun 2018, PMID 30473097).</w:t>
      </w:r>
    </w:p>
    <w:p>
      <w:pPr>
        <w:pStyle w:val="BodyText"/>
      </w:pPr>
      <w:r>
        <w:t xml:space="preserve">In de fase 2-studie kregen 318 mensen met diabetes type 2 gedurende 26 weken een van vier tirzepatidedoses, dulaglutide of placebo. De langetermijnsuikerwaarde HbA1c daalde dosisafhankelijk met maximaal 1,94 procentpunt (dulaglutide: −1,21; placebo: −0,06). Het lichaamsgewicht veranderde onder tirzepatide met −0,9 tot −11,3 kg, onder dulaglutide met −2,7 kg (Frias 2018, PMID 30293770). Deze orde van grootte van het gewichtsverlies – in een diabetesstudie – was de aanleiding voor het grote obesitasprogramma.</w:t>
      </w:r>
    </w:p>
    <w:bookmarkEnd w:id="203"/>
    <w:bookmarkStart w:id="204" w:name="surpass-diabetes-type-2"/>
    <w:p>
      <w:pPr>
        <w:pStyle w:val="Heading4"/>
      </w:pPr>
      <w:r>
        <w:t xml:space="preserve">SURPASS: diabetes type 2</w:t>
      </w:r>
    </w:p>
    <w:p>
      <w:pPr>
        <w:pStyle w:val="FirstParagraph"/>
      </w:pPr>
      <w:r>
        <w:t xml:space="preserve">Het SURPASS-programma testte tirzepatide in drie doses (5, 10 en 15 mg per week) tegen placebo, tegen semaglutide en tegen insulines. De HbA1c-waarde weerspiegelt de gemiddelde bloedsuiker van de afgelopen twee tot drie maanden; een waarde onder 7% geldt voor veel mensen met diabetes als behandeldoel.</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Deelnemers en opzet</w:t>
            </w:r>
          </w:p>
        </w:tc>
        <w:tc>
          <w:tcPr/>
          <w:p>
            <w:pPr>
              <w:pStyle w:val="Compact"/>
              <w:jc w:val="left"/>
            </w:pPr>
            <w:r>
              <w:t xml:space="preserve">Duur</w:t>
            </w:r>
          </w:p>
        </w:tc>
        <w:tc>
          <w:tcPr/>
          <w:p>
            <w:pPr>
              <w:pStyle w:val="Compact"/>
              <w:jc w:val="left"/>
            </w:pPr>
            <w:r>
              <w:t xml:space="preserve">Resultaat</w:t>
            </w:r>
          </w:p>
        </w:tc>
      </w:tr>
      <w:tr>
        <w:tc>
          <w:tcPr/>
          <w:p>
            <w:pPr>
              <w:pStyle w:val="Compact"/>
              <w:jc w:val="left"/>
            </w:pPr>
            <w:r>
              <w:t xml:space="preserve">SURPASS-1 (Rosenstock 2021), PMID 34186022</w:t>
            </w:r>
          </w:p>
        </w:tc>
        <w:tc>
          <w:tcPr/>
          <w:p>
            <w:pPr>
              <w:pStyle w:val="Compact"/>
              <w:jc w:val="left"/>
            </w:pPr>
            <w:r>
              <w:t xml:space="preserve">478 volwassenen, alleen dieet/beweging, tegen placebo</w:t>
            </w:r>
          </w:p>
        </w:tc>
        <w:tc>
          <w:tcPr/>
          <w:p>
            <w:pPr>
              <w:pStyle w:val="Compact"/>
              <w:jc w:val="left"/>
            </w:pPr>
            <w:r>
              <w:t xml:space="preserve">40 weken</w:t>
            </w:r>
          </w:p>
        </w:tc>
        <w:tc>
          <w:tcPr/>
          <w:p>
            <w:pPr>
              <w:pStyle w:val="Compact"/>
              <w:jc w:val="left"/>
            </w:pPr>
            <w:r>
              <w:t xml:space="preserve">HbA1c −1,87 tot −2,07 punten vs. +0,04; gewicht −7,0 tot −9,5 kg</w:t>
            </w:r>
          </w:p>
        </w:tc>
      </w:tr>
      <w:tr>
        <w:tc>
          <w:tcPr/>
          <w:p>
            <w:pPr>
              <w:pStyle w:val="Compact"/>
              <w:jc w:val="left"/>
            </w:pPr>
            <w:r>
              <w:t xml:space="preserve">SURPASS-2 (Frías 2021), PMID 34170647</w:t>
            </w:r>
          </w:p>
        </w:tc>
        <w:tc>
          <w:tcPr/>
          <w:p>
            <w:pPr>
              <w:pStyle w:val="Compact"/>
              <w:jc w:val="left"/>
            </w:pPr>
            <w:r>
              <w:t xml:space="preserve">1.879 volwassenen met metformine, open tegen semaglutide 1 mg</w:t>
            </w:r>
          </w:p>
        </w:tc>
        <w:tc>
          <w:tcPr/>
          <w:p>
            <w:pPr>
              <w:pStyle w:val="Compact"/>
              <w:jc w:val="left"/>
            </w:pPr>
            <w:r>
              <w:t xml:space="preserve">40 weken</w:t>
            </w:r>
          </w:p>
        </w:tc>
        <w:tc>
          <w:tcPr/>
          <w:p>
            <w:pPr>
              <w:pStyle w:val="Compact"/>
              <w:jc w:val="left"/>
            </w:pPr>
            <w:r>
              <w:t xml:space="preserve">HbA1c −2,01 tot −2,30 vs. −1,86; gewicht extra −1,9 tot −5,5 kg</w:t>
            </w:r>
          </w:p>
        </w:tc>
      </w:tr>
      <w:tr>
        <w:tc>
          <w:tcPr/>
          <w:p>
            <w:pPr>
              <w:pStyle w:val="Compact"/>
              <w:jc w:val="left"/>
            </w:pPr>
            <w:r>
              <w:t xml:space="preserve">SURPASS-3 (Ludvik 2021), PMID 34370970</w:t>
            </w:r>
          </w:p>
        </w:tc>
        <w:tc>
          <w:tcPr/>
          <w:p>
            <w:pPr>
              <w:pStyle w:val="Compact"/>
              <w:jc w:val="left"/>
            </w:pPr>
            <w:r>
              <w:t xml:space="preserve">1.444 volwassenen, open tegen insuline degludec</w:t>
            </w:r>
          </w:p>
        </w:tc>
        <w:tc>
          <w:tcPr/>
          <w:p>
            <w:pPr>
              <w:pStyle w:val="Compact"/>
              <w:jc w:val="left"/>
            </w:pPr>
            <w:r>
              <w:t xml:space="preserve">52 weken</w:t>
            </w:r>
          </w:p>
        </w:tc>
        <w:tc>
          <w:tcPr/>
          <w:p>
            <w:pPr>
              <w:pStyle w:val="Compact"/>
              <w:jc w:val="left"/>
            </w:pPr>
            <w:r>
              <w:t xml:space="preserve">HbA1c −1,93 tot −2,37 vs. −1,34; gewicht −7,5 tot −12,9 kg vs. +2,3 kg</w:t>
            </w:r>
          </w:p>
        </w:tc>
      </w:tr>
      <w:tr>
        <w:tc>
          <w:tcPr/>
          <w:p>
            <w:pPr>
              <w:pStyle w:val="Compact"/>
              <w:jc w:val="left"/>
            </w:pPr>
            <w:r>
              <w:t xml:space="preserve">SURPASS-4 (Del Prato 2021), PMID 34672967</w:t>
            </w:r>
          </w:p>
        </w:tc>
        <w:tc>
          <w:tcPr/>
          <w:p>
            <w:pPr>
              <w:pStyle w:val="Compact"/>
              <w:jc w:val="left"/>
            </w:pPr>
            <w:r>
              <w:t xml:space="preserve">2.002 volwassenen met hoog cardiovasculair risico, open tegen insuline glargine</w:t>
            </w:r>
          </w:p>
        </w:tc>
        <w:tc>
          <w:tcPr/>
          <w:p>
            <w:pPr>
              <w:pStyle w:val="Compact"/>
              <w:jc w:val="left"/>
            </w:pPr>
            <w:r>
              <w:t xml:space="preserve">52 tot 104 weken</w:t>
            </w:r>
          </w:p>
        </w:tc>
        <w:tc>
          <w:tcPr/>
          <w:p>
            <w:pPr>
              <w:pStyle w:val="Compact"/>
              <w:jc w:val="left"/>
            </w:pPr>
            <w:r>
              <w:t xml:space="preserve">HbA1c −2,43/−2,58 vs. −1,44; MACE-4 niet verhoogd (HR 0,74)</w:t>
            </w:r>
          </w:p>
        </w:tc>
      </w:tr>
      <w:tr>
        <w:tc>
          <w:tcPr/>
          <w:p>
            <w:pPr>
              <w:pStyle w:val="Compact"/>
              <w:jc w:val="left"/>
            </w:pPr>
            <w:r>
              <w:t xml:space="preserve">SURPASS-5 (Dahl 2022), PMID 35133415</w:t>
            </w:r>
          </w:p>
        </w:tc>
        <w:tc>
          <w:tcPr/>
          <w:p>
            <w:pPr>
              <w:pStyle w:val="Compact"/>
              <w:jc w:val="left"/>
            </w:pPr>
            <w:r>
              <w:t xml:space="preserve">475 volwassenen met insuline glargine, tegen placebo</w:t>
            </w:r>
          </w:p>
        </w:tc>
        <w:tc>
          <w:tcPr/>
          <w:p>
            <w:pPr>
              <w:pStyle w:val="Compact"/>
              <w:jc w:val="left"/>
            </w:pPr>
            <w:r>
              <w:t xml:space="preserve">40 weken</w:t>
            </w:r>
          </w:p>
        </w:tc>
        <w:tc>
          <w:tcPr/>
          <w:p>
            <w:pPr>
              <w:pStyle w:val="Compact"/>
              <w:jc w:val="left"/>
            </w:pPr>
            <w:r>
              <w:t xml:space="preserve">HbA1c −2,11 tot −2,40 vs. −0,86; gewicht −5,4 tot −8,8 kg vs. +1,6 kg</w:t>
            </w:r>
          </w:p>
        </w:tc>
      </w:tr>
      <w:tr>
        <w:tc>
          <w:tcPr/>
          <w:p>
            <w:pPr>
              <w:pStyle w:val="Compact"/>
              <w:jc w:val="left"/>
            </w:pPr>
            <w:r>
              <w:t xml:space="preserve">SURPASS-PEDS (Hannon 2025), PMID 40975112</w:t>
            </w:r>
          </w:p>
        </w:tc>
        <w:tc>
          <w:tcPr/>
          <w:p>
            <w:pPr>
              <w:pStyle w:val="Compact"/>
              <w:jc w:val="left"/>
            </w:pPr>
            <w:r>
              <w:t xml:space="preserve">99 jongeren (10–17 jaar) met diabetes type 2, tegen placebo</w:t>
            </w:r>
          </w:p>
        </w:tc>
        <w:tc>
          <w:tcPr/>
          <w:p>
            <w:pPr>
              <w:pStyle w:val="Compact"/>
              <w:jc w:val="left"/>
            </w:pPr>
            <w:r>
              <w:t xml:space="preserve">30 weken (+22 open)</w:t>
            </w:r>
          </w:p>
        </w:tc>
        <w:tc>
          <w:tcPr/>
          <w:p>
            <w:pPr>
              <w:pStyle w:val="Compact"/>
              <w:jc w:val="left"/>
            </w:pPr>
            <w:r>
              <w:t xml:space="preserve">HbA1c −2,23 vs. +0,05; BMI −7,4 tot −11,2%</w:t>
            </w:r>
          </w:p>
        </w:tc>
      </w:tr>
    </w:tbl>
    <w:p>
      <w:pPr>
        <w:pStyle w:val="BodyText"/>
      </w:pPr>
      <w:r>
        <w:t xml:space="preserve">Enkele punten verdienen nadruk:</w:t>
      </w:r>
    </w:p>
    <w:p>
      <w:pPr>
        <w:numPr>
          <w:ilvl w:val="0"/>
          <w:numId w:val="1060"/>
        </w:numPr>
        <w:pStyle w:val="Compact"/>
      </w:pPr>
      <w:r>
        <w:rPr>
          <w:bCs/>
          <w:b/>
        </w:rPr>
        <w:t xml:space="preserve">In de directe vergelijking met semaglutide</w:t>
      </w:r>
      <w:r>
        <w:t xml:space="preserve"> </w:t>
      </w:r>
      <w:r>
        <w:t xml:space="preserve">(SURPASS-2) was tirzepatide in alle drie doses bij de HbA1c niet inferieur en superieur. De studie gebruikte semaglutide echter in de dosis van 1 mg; de later geregistreerde hogere diabetesdosis was niet de vergelijking. De frequentie van misselijkheid (17–22% vs. 18%) en braken (6–10% vs. 8%) was vergelijkbaar; ernstige ongewenste voorvallen traden onder tirzepatide op bij 5–7% tegenover 3% onder semaglutide (Frías 2021, PMID 34170647).</w:t>
      </w:r>
    </w:p>
    <w:p>
      <w:pPr>
        <w:numPr>
          <w:ilvl w:val="0"/>
          <w:numId w:val="1060"/>
        </w:numPr>
        <w:pStyle w:val="Compact"/>
      </w:pPr>
      <w:r>
        <w:rPr>
          <w:bCs/>
          <w:b/>
        </w:rPr>
        <w:t xml:space="preserve">Tegenover insuline</w:t>
      </w:r>
      <w:r>
        <w:t xml:space="preserve"> </w:t>
      </w:r>
      <w:r>
        <w:t xml:space="preserve">leidde tirzepatide tot meer bloedsuikerverlaging en tegelijk tot gewichtsverlies in plaats van gewichtstoename. Hypoglykemieën (onder 54 mg/dl of ernstig) waren in SURPASS-3 duidelijk zeldzamer: 1–2% tegenover 7% onder insuline degludec (Ludvik 2021, PMID 34370970).</w:t>
      </w:r>
    </w:p>
    <w:p>
      <w:pPr>
        <w:numPr>
          <w:ilvl w:val="0"/>
          <w:numId w:val="1060"/>
        </w:numPr>
        <w:pStyle w:val="Compact"/>
      </w:pPr>
      <w:r>
        <w:rPr>
          <w:bCs/>
          <w:b/>
        </w:rPr>
        <w:t xml:space="preserve">Kinderen en jongeren:</w:t>
      </w:r>
      <w:r>
        <w:t xml:space="preserve"> </w:t>
      </w:r>
      <w:r>
        <w:t xml:space="preserve">SURPASS-PEDS is een van de weinige incretinestudies bij diabetes type 2 op jonge leeftijd. Het effect bleef in de open verlenging tot week 52 behouden; het bijwerkingenprofiel kwam overeen met dat bij volwassenen (Hannon 2025, PMID 40975112).</w:t>
      </w:r>
    </w:p>
    <w:p>
      <w:pPr>
        <w:numPr>
          <w:ilvl w:val="0"/>
          <w:numId w:val="1060"/>
        </w:numPr>
        <w:pStyle w:val="Compact"/>
      </w:pPr>
      <w:r>
        <w:rPr>
          <w:bCs/>
          <w:b/>
        </w:rPr>
        <w:t xml:space="preserve">Diabetes type 1:</w:t>
      </w:r>
      <w:r>
        <w:t xml:space="preserve"> </w:t>
      </w:r>
      <w:r>
        <w:t xml:space="preserve">een kleine fase 2-studie met 24 volwassenen met diabetes type 1 en obesitas liet na twaalf weken een gewichtsverlies zien van 10,3 kg tegenover 0,7 kg onder placebo en een 35% lagere insulinebehoefte (Snaith 2026, PMID 41264593). Tirzepatide is niet geregistreerd voor diabetes type 1; grotere studies lopen (zie vooruitzichten).</w:t>
      </w:r>
    </w:p>
    <w:p>
      <w:pPr>
        <w:pStyle w:val="FirstParagraph"/>
      </w:pPr>
      <w:r>
        <w:t xml:space="preserve">Een vooraf geplande meta-analyse van alle zeven SURPASS-studies van ten minste 26 weken (4.887 personen met tirzepatide, 2.328 in controlegroepen) vond geen verhoogd risico op ernstige cardiovasculaire gebeurtenissen (MACE-4, hazard ratio 0,80; 95%-betrouwbaarheidsinterval 0,57–1,11) (Sattar 2022, PMID 35210595). Dat is een uitspraak over veiligheid, niet over nut – daarvoor was de uitkomststudie SURPASS-CVOT nodig.</w:t>
      </w:r>
    </w:p>
    <w:bookmarkEnd w:id="204"/>
    <w:bookmarkStart w:id="205" w:name="surpass-cvot-cardiovasculaire-eindpunten"/>
    <w:p>
      <w:pPr>
        <w:pStyle w:val="Heading4"/>
      </w:pPr>
      <w:r>
        <w:t xml:space="preserve">SURPASS-CVOT: cardiovasculaire eindpunten</w:t>
      </w:r>
    </w:p>
    <w:p>
      <w:pPr>
        <w:pStyle w:val="FirstParagraph"/>
      </w:pPr>
      <w:r>
        <w:t xml:space="preserve">Bij diabetesgeneesmiddelen eisen autoriteiten het bewijs dat ze het hart niet in gevaar brengen. SURPASS-CVOT ging een stap verder: in plaats van tegen placebo nam tirzepatide het op tegen dulaglutide, een GLP-1-geneesmiddel dat in de REWIND-studie zelf cardiovasculaire gebeurtenissen had verminderd. 13.299 mensen met diabetes type 2 en een bestaande atherosclerotische aandoening werden gerandomiseerd; 13.165 werden geanalyseerd (Nicholls 2025, PMID 41406444).</w:t>
      </w:r>
    </w:p>
    <w:p>
      <w:pPr>
        <w:pStyle w:val="BodyText"/>
      </w:pPr>
      <w:r>
        <w:t xml:space="preserve">Het primaire eindpunt – cardiovasculaire dood, hartinfarct of beroerte – trad op bij 801 personen (12,2%) met tirzepatide en bij 862 (13,1%) met dulaglutide (hazard ratio 0,92; 95,3%-BI 0,83–1,01). Daarmee was tirzepatide</w:t>
      </w:r>
      <w:r>
        <w:t xml:space="preserve"> </w:t>
      </w:r>
      <w:r>
        <w:rPr>
          <w:bCs/>
          <w:b/>
        </w:rPr>
        <w:t xml:space="preserve">niet inferieur</w:t>
      </w:r>
      <w:r>
        <w:t xml:space="preserve">; de formele superioriteit werd nipt niet gehaald (p = 0,09). Maag-darmbijwerkingen kwamen onder tirzepatide vaker voor.</w:t>
      </w:r>
    </w:p>
    <w:p>
      <w:pPr>
        <w:pStyle w:val="BodyText"/>
      </w:pPr>
      <w:r>
        <w:t xml:space="preserve">Een achteraf uitgevoerde (post hoc) analyse met een breder eindpunt uit zes componenten – overlijden door welke oorzaak ook, hartinfarct, beroerte, revascularisatie, ziekenhuisopname wegens hartfalen en niergebeurtenissen – vond na een mediane behandelduur van bijna vier jaar gebeurtenissen bij 23,7% tegenover 27,4% (hazard ratio 0,84; 95%-BI 0,79–0,90) (Nissen 2026, PMID 41903177). Post-hocanalyses zijn hypothesevormend; ze kunnen een vooraf vastgelegde primaire analyse niet vervangen.</w:t>
      </w:r>
    </w:p>
    <w:p>
      <w:pPr>
        <w:pStyle w:val="BodyText"/>
      </w:pPr>
      <w:r>
        <w:t xml:space="preserve">Hoe groot het nut ten opzichte van</w:t>
      </w:r>
      <w:r>
        <w:t xml:space="preserve"> </w:t>
      </w:r>
      <w:r>
        <w:rPr>
          <w:iCs/>
          <w:i/>
        </w:rPr>
        <w:t xml:space="preserve">geen</w:t>
      </w:r>
      <w:r>
        <w:t xml:space="preserve"> </w:t>
      </w:r>
      <w:r>
        <w:t xml:space="preserve">behandeling zou zijn, valt uit een vergelijking met een werkzaam geneesmiddel niet direct af te lezen. Een vooraf geplande, maar indirecte analyse berekende een „placebo-arm” uit de gegevens van de REWIND-studie en kwam voor tirzepatide ten opzichte van deze berekende placebo uit op een hazard ratio van 0,72 (95%-BI 0,55–0,94) voor cardiovasculaire dood, hartinfarct of beroerte (Sattar 2026, PMID 41940793). Zulke modelberekeningen berusten op aannames en vervangen geen echte placebovergelijking.</w:t>
      </w:r>
    </w:p>
    <w:bookmarkEnd w:id="205"/>
    <w:bookmarkStart w:id="206" w:name="surmount-obesitas"/>
    <w:p>
      <w:pPr>
        <w:pStyle w:val="Heading4"/>
      </w:pPr>
      <w:r>
        <w:t xml:space="preserve">SURMOUNT: obesitas</w:t>
      </w:r>
    </w:p>
    <w:p>
      <w:pPr>
        <w:pStyle w:val="FirstParagraph"/>
      </w:pPr>
      <w:r>
        <w:t xml:space="preserve">In het obesitasprogramma werd tirzepatide onderzocht bij mensen met een body-mass-index (BMI) vanaf 30 of vanaf 27 plus een bijkomende aandoening, steeds naast voedings- en bewegingsadvies.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Deelnemers en opzet</w:t>
            </w:r>
          </w:p>
        </w:tc>
        <w:tc>
          <w:tcPr/>
          <w:p>
            <w:pPr>
              <w:pStyle w:val="Compact"/>
              <w:jc w:val="left"/>
            </w:pPr>
            <w:r>
              <w:t xml:space="preserve">Duur</w:t>
            </w:r>
          </w:p>
        </w:tc>
        <w:tc>
          <w:tcPr/>
          <w:p>
            <w:pPr>
              <w:pStyle w:val="Compact"/>
              <w:jc w:val="left"/>
            </w:pPr>
            <w:r>
              <w:t xml:space="preserve">Resultaat</w:t>
            </w:r>
          </w:p>
        </w:tc>
      </w:tr>
      <w:tr>
        <w:tc>
          <w:tcPr/>
          <w:p>
            <w:pPr>
              <w:pStyle w:val="Compact"/>
              <w:jc w:val="left"/>
            </w:pPr>
            <w:r>
              <w:t xml:space="preserve">SURMOUNT-1 (Jastreboff 2022), PMID 35658024</w:t>
            </w:r>
          </w:p>
        </w:tc>
        <w:tc>
          <w:tcPr/>
          <w:p>
            <w:pPr>
              <w:pStyle w:val="Compact"/>
              <w:jc w:val="left"/>
            </w:pPr>
            <w:r>
              <w:t xml:space="preserve">2.539 volwassenen zonder diabetes, tegen placebo</w:t>
            </w:r>
          </w:p>
        </w:tc>
        <w:tc>
          <w:tcPr/>
          <w:p>
            <w:pPr>
              <w:pStyle w:val="Compact"/>
              <w:jc w:val="left"/>
            </w:pPr>
            <w:r>
              <w:t xml:space="preserve">72 weken</w:t>
            </w:r>
          </w:p>
        </w:tc>
        <w:tc>
          <w:tcPr/>
          <w:p>
            <w:pPr>
              <w:pStyle w:val="Compact"/>
              <w:jc w:val="left"/>
            </w:pPr>
            <w:r>
              <w:t xml:space="preserve">−15,0 / −19,5 / −20,9% gewicht (5/10/15 mg) vs. −3,1%</w:t>
            </w:r>
          </w:p>
        </w:tc>
      </w:tr>
      <w:tr>
        <w:tc>
          <w:tcPr/>
          <w:p>
            <w:pPr>
              <w:pStyle w:val="Compact"/>
              <w:jc w:val="left"/>
            </w:pPr>
            <w:r>
              <w:t xml:space="preserve">SURMOUNT-2 (Garvey 2023), PMID 37385275</w:t>
            </w:r>
          </w:p>
        </w:tc>
        <w:tc>
          <w:tcPr/>
          <w:p>
            <w:pPr>
              <w:pStyle w:val="Compact"/>
              <w:jc w:val="left"/>
            </w:pPr>
            <w:r>
              <w:t xml:space="preserve">938 volwassenen met diabetes type 2, tegen placebo</w:t>
            </w:r>
          </w:p>
        </w:tc>
        <w:tc>
          <w:tcPr/>
          <w:p>
            <w:pPr>
              <w:pStyle w:val="Compact"/>
              <w:jc w:val="left"/>
            </w:pPr>
            <w:r>
              <w:t xml:space="preserve">72 weken</w:t>
            </w:r>
          </w:p>
        </w:tc>
        <w:tc>
          <w:tcPr/>
          <w:p>
            <w:pPr>
              <w:pStyle w:val="Compact"/>
              <w:jc w:val="left"/>
            </w:pPr>
            <w:r>
              <w:t xml:space="preserve">−12,8 / −14,7% vs. −3,2%</w:t>
            </w:r>
          </w:p>
        </w:tc>
      </w:tr>
      <w:tr>
        <w:tc>
          <w:tcPr/>
          <w:p>
            <w:pPr>
              <w:pStyle w:val="Compact"/>
              <w:jc w:val="left"/>
            </w:pPr>
            <w:r>
              <w:t xml:space="preserve">SURMOUNT-3 (Wadden 2023), PMID 37840095</w:t>
            </w:r>
          </w:p>
        </w:tc>
        <w:tc>
          <w:tcPr/>
          <w:p>
            <w:pPr>
              <w:pStyle w:val="Compact"/>
              <w:jc w:val="left"/>
            </w:pPr>
            <w:r>
              <w:t xml:space="preserve">579 volwassenen na een geslaagde leefstijlinterventie van 12 weken</w:t>
            </w:r>
          </w:p>
        </w:tc>
        <w:tc>
          <w:tcPr/>
          <w:p>
            <w:pPr>
              <w:pStyle w:val="Compact"/>
              <w:jc w:val="left"/>
            </w:pPr>
            <w:r>
              <w:t xml:space="preserve">72 weken</w:t>
            </w:r>
          </w:p>
        </w:tc>
        <w:tc>
          <w:tcPr/>
          <w:p>
            <w:pPr>
              <w:pStyle w:val="Compact"/>
              <w:jc w:val="left"/>
            </w:pPr>
            <w:r>
              <w:t xml:space="preserve">extra −18,4% vs. +2,5%</w:t>
            </w:r>
          </w:p>
        </w:tc>
      </w:tr>
      <w:tr>
        <w:tc>
          <w:tcPr/>
          <w:p>
            <w:pPr>
              <w:pStyle w:val="Compact"/>
              <w:jc w:val="left"/>
            </w:pPr>
            <w:r>
              <w:t xml:space="preserve">SURMOUNT-4 (Aronne 2024), PMID 38078870</w:t>
            </w:r>
          </w:p>
        </w:tc>
        <w:tc>
          <w:tcPr/>
          <w:p>
            <w:pPr>
              <w:pStyle w:val="Compact"/>
              <w:jc w:val="left"/>
            </w:pPr>
            <w:r>
              <w:t xml:space="preserve">670 volwassenen na 36 weken tirzepatide, doorgaan vs. stoppen</w:t>
            </w:r>
          </w:p>
        </w:tc>
        <w:tc>
          <w:tcPr/>
          <w:p>
            <w:pPr>
              <w:pStyle w:val="Compact"/>
              <w:jc w:val="left"/>
            </w:pPr>
            <w:r>
              <w:t xml:space="preserve">52 weken (na inleiding)</w:t>
            </w:r>
          </w:p>
        </w:tc>
        <w:tc>
          <w:tcPr/>
          <w:p>
            <w:pPr>
              <w:pStyle w:val="Compact"/>
              <w:jc w:val="left"/>
            </w:pPr>
            <w:r>
              <w:t xml:space="preserve">−5,5% doorgaan vs. +14,0% hertoename</w:t>
            </w:r>
          </w:p>
        </w:tc>
      </w:tr>
      <w:tr>
        <w:tc>
          <w:tcPr/>
          <w:p>
            <w:pPr>
              <w:pStyle w:val="Compact"/>
              <w:jc w:val="left"/>
            </w:pPr>
            <w:r>
              <w:t xml:space="preserve">SURMOUNT-5 (Aronne 2025), PMID 40353578</w:t>
            </w:r>
          </w:p>
        </w:tc>
        <w:tc>
          <w:tcPr/>
          <w:p>
            <w:pPr>
              <w:pStyle w:val="Compact"/>
              <w:jc w:val="left"/>
            </w:pPr>
            <w:r>
              <w:t xml:space="preserve">751 volwassenen zonder diabetes, open tegen semaglutide 2,4 mg</w:t>
            </w:r>
          </w:p>
        </w:tc>
        <w:tc>
          <w:tcPr/>
          <w:p>
            <w:pPr>
              <w:pStyle w:val="Compact"/>
              <w:jc w:val="left"/>
            </w:pPr>
            <w:r>
              <w:t xml:space="preserve">72 weken</w:t>
            </w:r>
          </w:p>
        </w:tc>
        <w:tc>
          <w:tcPr/>
          <w:p>
            <w:pPr>
              <w:pStyle w:val="Compact"/>
              <w:jc w:val="left"/>
            </w:pPr>
            <w:r>
              <w:t xml:space="preserve">−20,2% vs. −13,7%</w:t>
            </w:r>
          </w:p>
        </w:tc>
      </w:tr>
      <w:tr>
        <w:tc>
          <w:tcPr/>
          <w:p>
            <w:pPr>
              <w:pStyle w:val="Compact"/>
              <w:jc w:val="left"/>
            </w:pPr>
            <w:r>
              <w:t xml:space="preserve">SURMOUNT-1, 3-jaarsgegevens (Jastreboff 2025), PMID 39536238</w:t>
            </w:r>
          </w:p>
        </w:tc>
        <w:tc>
          <w:tcPr/>
          <w:p>
            <w:pPr>
              <w:pStyle w:val="Compact"/>
              <w:jc w:val="left"/>
            </w:pPr>
            <w:r>
              <w:t xml:space="preserve">1.032 volwassenen met obesitas en prediabetes</w:t>
            </w:r>
          </w:p>
        </w:tc>
        <w:tc>
          <w:tcPr/>
          <w:p>
            <w:pPr>
              <w:pStyle w:val="Compact"/>
              <w:jc w:val="left"/>
            </w:pPr>
            <w:r>
              <w:t xml:space="preserve">176 weken</w:t>
            </w:r>
          </w:p>
        </w:tc>
        <w:tc>
          <w:tcPr/>
          <w:p>
            <w:pPr>
              <w:pStyle w:val="Compact"/>
              <w:jc w:val="left"/>
            </w:pPr>
            <w:r>
              <w:t xml:space="preserve">−12,3 tot −19,7% vs. −1,3%; diabetes type 2 1,3% vs. 13,3%</w:t>
            </w:r>
          </w:p>
        </w:tc>
      </w:tr>
    </w:tbl>
    <w:p>
      <w:pPr>
        <w:pStyle w:val="BodyText"/>
      </w:pPr>
      <w:r>
        <w:rPr>
          <w:bCs/>
          <w:b/>
        </w:rPr>
        <w:t xml:space="preserve">SURMOUNT-1</w:t>
      </w:r>
      <w:r>
        <w:t xml:space="preserve"> </w:t>
      </w:r>
      <w:r>
        <w:t xml:space="preserve">was de studie die tirzepatide als obesitasgeneesmiddel bekend maakte. Bij een uitgangsgewicht van gemiddeld 104,8 kg verloren de deelnemers in de hoogste dosis gemiddeld 20,9% van hun lichaamsgewicht. 57% in de 15-mg-groep bereikte ten minste 20% gewichtsverlies, onder placebo 3%. Vanwege bijwerkingen stopte 4,3–7,1% met tirzepatide en 2,6% met placebo met de behandeling (Jastreboff 2022, PMID 35658024).</w:t>
      </w:r>
    </w:p>
    <w:p>
      <w:pPr>
        <w:pStyle w:val="BodyText"/>
      </w:pPr>
      <w:r>
        <w:rPr>
          <w:bCs/>
          <w:b/>
        </w:rPr>
        <w:t xml:space="preserve">Mensen met diabetes type 2</w:t>
      </w:r>
      <w:r>
        <w:t xml:space="preserve"> </w:t>
      </w:r>
      <w:r>
        <w:t xml:space="preserve">verliezen met alle incretinegeneesmiddelen minder gewicht dan mensen zonder diabetes. Dat liet ook SURMOUNT-2 zien: het verschil met placebo bedroeg 9,6 respectievelijk 11,6 procentpunten (Garvey 2023, PMID 37385275).</w:t>
      </w:r>
    </w:p>
    <w:p>
      <w:pPr>
        <w:pStyle w:val="BodyText"/>
      </w:pPr>
      <w:r>
        <w:rPr>
          <w:bCs/>
          <w:b/>
        </w:rPr>
        <w:t xml:space="preserve">Wat gebeurt er na het stoppen?</w:t>
      </w:r>
      <w:r>
        <w:t xml:space="preserve"> </w:t>
      </w:r>
      <w:r>
        <w:t xml:space="preserve">SURMOUNT-4 beantwoordde deze vraag met een „randomized withdrawal”-opzet: iedereen kreeg eerst 36 weken tirzepatide en verloor gemiddeld 20,9%. Daarna werd geloot wie verder tirzepatide en wie ongemerkt placebo kreeg. In de volgende 52 weken kwam de placebogroep 14,0% weer aan, de tirzepatidegroep verloor nog eens 5,5%. Over de hele studieduur bedroeg het gewichtsverlies 25,3% tegenover 9,9% (Aronne 2024, PMID 38078870). De boodschap van de auteurs: obesitas gedraagt zich als een chronische ziekte waarvan de behandeling meestal blijvend moet zijn.</w:t>
      </w:r>
    </w:p>
    <w:p>
      <w:pPr>
        <w:pStyle w:val="BodyText"/>
      </w:pPr>
      <w:r>
        <w:rPr>
          <w:bCs/>
          <w:b/>
        </w:rPr>
        <w:t xml:space="preserve">Lagere onderhoudsdosis:</w:t>
      </w:r>
      <w:r>
        <w:t xml:space="preserve"> </w:t>
      </w:r>
      <w:r>
        <w:t xml:space="preserve">of men na het afvallen kan overstappen op een lagere dosis, onderzocht SURMOUNT-MAINTAIN met 378 gerandomiseerde personen in de VS. Na 60 weken op de hoogste dosis werden ze over drie groepen verdeeld. In week 112 lag het gewichtsverlies sinds het begin van de studie op −21,9% (hoogste dosis voortgezet), −16,6% (verlaging naar 5 mg) en −9,9% (placebo). Een noodbehandeling wegens hertoename van ten minste 50% hadden 8%, 25% respectievelijk 67% nodig (Horn 2026, PMID 42119587). Dosisverlaging is dus een tussenoplossing met individueel zeer wisselend succes.</w:t>
      </w:r>
    </w:p>
    <w:p>
      <w:pPr>
        <w:pStyle w:val="BodyText"/>
      </w:pPr>
      <w:r>
        <w:rPr>
          <w:bCs/>
          <w:b/>
        </w:rPr>
        <w:t xml:space="preserve">Diabetespreventie:</w:t>
      </w:r>
      <w:r>
        <w:t xml:space="preserve"> </w:t>
      </w:r>
      <w:r>
        <w:t xml:space="preserve">in de driejaarsanalyse van SURMOUNT-1 bij personen met prediabetes (voorstadium van diabetes) ontwikkelde 1,3% met tirzepatide en 13,3% met placebo diabetes type 2. Ook 17 weken na het stoppen bleef het verschil duidelijk (2,4% vs. 13,7%). Nieuwe veiligheidssignalen kwamen in deze drie jaar niet naar voren (Jastreboff 2025, PMID 39536238).</w:t>
      </w:r>
    </w:p>
    <w:bookmarkEnd w:id="206"/>
    <w:bookmarkStart w:id="207" w:name="surmount-5-tirzepatide-tegen-semaglutide"/>
    <w:p>
      <w:pPr>
        <w:pStyle w:val="Heading4"/>
      </w:pPr>
      <w:r>
        <w:t xml:space="preserve">SURMOUNT-5: tirzepatide tegen semaglutide</w:t>
      </w:r>
    </w:p>
    <w:p>
      <w:pPr>
        <w:pStyle w:val="FirstParagraph"/>
      </w:pPr>
      <w:r>
        <w:t xml:space="preserve">De door velen verwachte directe vergelijking bij obesitas zonder diabetes leverde SURMOUNT-5 (Aronne 2025, PMID 40353578). 751 volwassenen kregen open (dus zonder blindering) de telkens hoogst verdragen dosis tirzepatide (10 of 15 mg) of semaglutide (1,7 of 2,4 mg). Na 72 weken:</w:t>
      </w:r>
    </w:p>
    <w:p>
      <w:pPr>
        <w:numPr>
          <w:ilvl w:val="0"/>
          <w:numId w:val="1061"/>
        </w:numPr>
        <w:pStyle w:val="Compact"/>
      </w:pPr>
      <w:r>
        <w:t xml:space="preserve">Gewichtsverandering: −20,2% met tirzepatide tegenover −13,7% met semaglutide.</w:t>
      </w:r>
    </w:p>
    <w:p>
      <w:pPr>
        <w:numPr>
          <w:ilvl w:val="0"/>
          <w:numId w:val="1061"/>
        </w:numPr>
        <w:pStyle w:val="Compact"/>
      </w:pPr>
      <w:r>
        <w:t xml:space="preserve">Buikomvang: −18,4 cm tegenover −13,0 cm.</w:t>
      </w:r>
    </w:p>
    <w:p>
      <w:pPr>
        <w:numPr>
          <w:ilvl w:val="0"/>
          <w:numId w:val="1061"/>
        </w:numPr>
        <w:pStyle w:val="Compact"/>
      </w:pPr>
      <w:r>
        <w:t xml:space="preserve">Meer deelnemers met tirzepatide bereikten elk van de drempels 10, 15, 20 en 25%.</w:t>
      </w:r>
    </w:p>
    <w:p>
      <w:pPr>
        <w:numPr>
          <w:ilvl w:val="0"/>
          <w:numId w:val="1061"/>
        </w:numPr>
        <w:pStyle w:val="Compact"/>
      </w:pPr>
      <w:r>
        <w:t xml:space="preserve">De bijwerkingen waren in beide groepen overwegend maag-darmklachten, meestal licht tot matig en vooral in de opbouwfase.</w:t>
      </w:r>
    </w:p>
    <w:p>
      <w:pPr>
        <w:pStyle w:val="FirstParagraph"/>
      </w:pPr>
      <w:r>
        <w:t xml:space="preserve">Een nadere analyse liet zien dat 44% met tirzepatide en 21% met semaglutide tegen week 24 al ten minste 15% was afgevallen („snelle responders”). Zij hadden iets meer maag-darm- en galweggebeurtenissen, maar stopten niet vaker met de behandeling (Aronne 2026, PMID 41865857).</w:t>
      </w:r>
    </w:p>
    <w:p>
      <w:pPr>
        <w:pStyle w:val="BodyText"/>
      </w:pPr>
      <w:r>
        <w:t xml:space="preserve">Ter plaatsing: SURMOUNT-5 werd gefinancierd door de fabrikant van tirzepatide en open uitgevoerd. Het verschil is toch groot genoeg dat het nauwelijks alleen door deze beperkingen te verklaren is. Een vergelijking van alle GLP-1-geneesmiddelen vindt u in deel III.</w:t>
      </w:r>
    </w:p>
    <w:bookmarkEnd w:id="207"/>
    <w:bookmarkStart w:id="208" w:name="hartfalen-summit"/>
    <w:p>
      <w:pPr>
        <w:pStyle w:val="Heading4"/>
      </w:pPr>
      <w:r>
        <w:t xml:space="preserve">Hartfalen: SUMMIT</w:t>
      </w:r>
    </w:p>
    <w:p>
      <w:pPr>
        <w:pStyle w:val="FirstParagraph"/>
      </w:pPr>
      <w:r>
        <w:t xml:space="preserve">Hartfalen met behouden pompfunctie (HFpEF) is een veelvoorkomende vorm van hartfalen waarbij het hart weliswaar normaal uitpompt, maar zich slecht vult. Obesitas is een belangrijke aanjager. In SUMMIT werden 731 mensen met HFpEF en een BMI vanaf 30 gerandomiseerd naar tirzepatide of placebo en mediaan 104 weken gevolgd (Packer 2025, PMID 39555826).</w:t>
      </w:r>
    </w:p>
    <w:p>
      <w:pPr>
        <w:numPr>
          <w:ilvl w:val="0"/>
          <w:numId w:val="1062"/>
        </w:numPr>
        <w:pStyle w:val="Compact"/>
      </w:pPr>
      <w:r>
        <w:t xml:space="preserve">Cardiovasculaire dood of verslechtering van het hartfalen: 9,9% met tirzepatide vs. 15,3% met placebo (hazard ratio 0,62; 95%-BI 0,41–0,95).</w:t>
      </w:r>
    </w:p>
    <w:p>
      <w:pPr>
        <w:numPr>
          <w:ilvl w:val="0"/>
          <w:numId w:val="1062"/>
        </w:numPr>
        <w:pStyle w:val="Compact"/>
      </w:pPr>
      <w:r>
        <w:t xml:space="preserve">Dit verschil berustte op minder verslechteringsgebeurtenissen (8,0% vs. 14,2%). Cardiovasculaire sterfgevallen waren zeldzaam en kwamen in aantal onder tirzepatide zelfs iets vaker voor (2,2% vs. 1,4%), met een zeer brede onzekerheidsmarge.</w:t>
      </w:r>
    </w:p>
    <w:p>
      <w:pPr>
        <w:numPr>
          <w:ilvl w:val="0"/>
          <w:numId w:val="1062"/>
        </w:numPr>
        <w:pStyle w:val="Compact"/>
      </w:pPr>
      <w:r>
        <w:t xml:space="preserve">De kwaliteit van leven (KCCQ-vragenlijst) verbeterde sterker: +19,5 tegenover +12,7 punten.</w:t>
      </w:r>
    </w:p>
    <w:p>
      <w:pPr>
        <w:numPr>
          <w:ilvl w:val="0"/>
          <w:numId w:val="1062"/>
        </w:numPr>
        <w:pStyle w:val="Compact"/>
      </w:pPr>
      <w:r>
        <w:t xml:space="preserve">Stoppen wegens bijwerkingen: 6,3% vs. 1,4%.</w:t>
      </w:r>
    </w:p>
    <w:p>
      <w:pPr>
        <w:pStyle w:val="FirstParagraph"/>
      </w:pPr>
      <w:r>
        <w:t xml:space="preserve">Een hart-MRI-substudie liet een afname zien van de linkerventrikelspiermassa en van het vetweefsel rond het hart (Kramer 2025, PMID 39566869). Met 731 personen en 92 eindpuntgebeurtenissen is SUMMIT een relatief kleine uitkomststudie; de resultaten zijn bemoedigend, maar niet zo solide als gegevens uit studies met duizenden deelnemers.</w:t>
      </w:r>
    </w:p>
    <w:bookmarkEnd w:id="208"/>
    <w:bookmarkStart w:id="209" w:name="obstructieve-slaapapneu-surmount-osa"/>
    <w:p>
      <w:pPr>
        <w:pStyle w:val="Heading4"/>
      </w:pPr>
      <w:r>
        <w:t xml:space="preserve">Obstructieve slaapapneu: SURMOUNT-OSA</w:t>
      </w:r>
    </w:p>
    <w:p>
      <w:pPr>
        <w:pStyle w:val="FirstParagraph"/>
      </w:pPr>
      <w:r>
        <w:t xml:space="preserve">Bij obstructieve slaapapneu vallen de bovenste luchtwegen tijdens de slaap telkens dicht; de ademhaling stopt (apneu) of wordt oppervlakkig (hypopneu). De apneu-hypopneu-index (AHI) telt deze gebeurtenissen per uur; vanaf 30 geldt de slaapapneu als ernstig. Overgewicht is een belangrijke risicofactor.</w:t>
      </w:r>
    </w:p>
    <w:p>
      <w:pPr>
        <w:pStyle w:val="BodyText"/>
      </w:pPr>
      <w:r>
        <w:t xml:space="preserve">SURMOUNT-OSA bestond uit twee parallelle studies met mensen met obesitas en matige tot ernstige slaapapneu: zonder ademhalingsmaskertherapie (studie 1) en met ademhalingsmasker (CPAP, studie 2). Uitgangs-AHI ongeveer 50 gebeurtenissen per uur. Na 52 weken (Malhotra 2024, PMID 38912654):</w:t>
      </w:r>
    </w:p>
    <w:p>
      <w:pPr>
        <w:numPr>
          <w:ilvl w:val="0"/>
          <w:numId w:val="1063"/>
        </w:numPr>
        <w:pStyle w:val="Compact"/>
      </w:pPr>
      <w:r>
        <w:t xml:space="preserve">Studie 1: AHI −25,3 gebeurtenissen/uur met tirzepatide vs. −5,3 met placebo.</w:t>
      </w:r>
    </w:p>
    <w:p>
      <w:pPr>
        <w:numPr>
          <w:ilvl w:val="0"/>
          <w:numId w:val="1063"/>
        </w:numPr>
        <w:pStyle w:val="Compact"/>
      </w:pPr>
      <w:r>
        <w:t xml:space="preserve">Studie 2: AHI −29,3 vs. −5,5.</w:t>
      </w:r>
    </w:p>
    <w:p>
      <w:pPr>
        <w:numPr>
          <w:ilvl w:val="0"/>
          <w:numId w:val="1063"/>
        </w:numPr>
        <w:pStyle w:val="Compact"/>
      </w:pPr>
      <w:r>
        <w:t xml:space="preserve">Daarnaast verbeterden de belasting door zuurstoftekort, ontstekingsmarkers (hsCRP), bloeddruk en door de deelnemers gerapporteerde slaapklachten.</w:t>
      </w:r>
    </w:p>
    <w:p>
      <w:pPr>
        <w:pStyle w:val="FirstParagraph"/>
      </w:pPr>
      <w:r>
        <w:t xml:space="preserve">Op deze basis werd tirzepatide in de VS geregistreerd als eerste geneesmiddel voor de behandeling van slaapapneu bij obesitas. Een ademhalingsmasker vervangt het niet automatisch: ook na de daling lag de AHI bij veel deelnemers nog in het gebied waarin behandeling nodig is. De beslissing over de therapie hoort in handen van slaapgeneeskundigen.</w:t>
      </w:r>
    </w:p>
    <w:bookmarkEnd w:id="209"/>
    <w:bookmarkStart w:id="210" w:name="leververvetting-mash"/>
    <w:p>
      <w:pPr>
        <w:pStyle w:val="Heading4"/>
      </w:pPr>
      <w:r>
        <w:t xml:space="preserve">Leververvetting (MASH)</w:t>
      </w:r>
    </w:p>
    <w:p>
      <w:pPr>
        <w:pStyle w:val="FirstParagraph"/>
      </w:pPr>
      <w:r>
        <w:t xml:space="preserve">Metabool bepaalde steatohepatitis (MASH, vroeger NASH) is een ontstekingsvorm van leververvetting die kan voortschrijden tot littekenvorming (fibrose) en cirrose. In de fase 2-studie SYNERGY-NASH kregen 190 personen met door biopsie bevestigde MASH en matige tot ernstige fibrose tirzepatide of placebo. Na 52 weken verdween de MASH zonder verslechtering van de fibrose bij 44–62% met tirzepatide tegenover 10% met placebo; een verbetering van de fibrose met ten minste één stadium lieten 51–55% tegenover 30% zien (Loomba 2024, PMID 38856224). Een fase 3-studie loopt (zie vooruitzichten).</w:t>
      </w:r>
    </w:p>
    <w:bookmarkEnd w:id="210"/>
    <w:bookmarkStart w:id="211" w:name="X4d8051020440205ebb57a7c646617f409bc06cc"/>
    <w:p>
      <w:pPr>
        <w:pStyle w:val="Heading4"/>
      </w:pPr>
      <w:r>
        <w:t xml:space="preserve">Andere toepassingsgebieden en meta-analyses</w:t>
      </w:r>
    </w:p>
    <w:p>
      <w:pPr>
        <w:pStyle w:val="FirstParagraph"/>
      </w:pPr>
      <w:r>
        <w:t xml:space="preserve">De literatuur over tirzepatide groeit zeer snel. Naast de grote programma’s zijn er studies naar psoriasis en artritis psoriatica in combinatie met biologische geneesmiddelen: in een open fase 3b-studie met 274 personen bereikte onder ixekizumab plus tirzepatide 27,1% tegelijk een volledige genezing van de huidletsels (PASI 100) en ten minste 10% gewichtsverlies, onder ixekizumab alleen 5,8% (Lebwohl 2026, PMID 42139049). Andere publicaties gaan over polycysteus ovariumsyndroom, de nierfunctie en Azië-specifieke populaties (SURMOUNT-J, SURMOUNT-CN, SURPASS-AP-Combo). Een volledige weergave van alle afzonderlijke studies zou het kader te buiten gaan; ze zijn opgenomen in de studielijst in de bijlage.</w:t>
      </w:r>
    </w:p>
    <w:p>
      <w:pPr>
        <w:pStyle w:val="BodyText"/>
      </w:pPr>
      <w:r>
        <w:t xml:space="preserve">Over de lichaamssamenstelling: in een DXA-substudie van SURMOUNT-1 met 160 personen bestond ongeveer 75% van het verloren gewicht uit vet en ongeveer 25% uit vetvrije massa (waartoe de spieren behoren) – in dezelfde verhouding als in de placebogroep (Look 2025, PMID 39996356). De zorg over spierverlies is dus terecht, maar geen effect dat specifiek is voor tirzepatide; het is typisch voor elk duidelijk gewichtsverlies.</w:t>
      </w:r>
    </w:p>
    <w:bookmarkEnd w:id="211"/>
    <w:bookmarkEnd w:id="212"/>
    <w:bookmarkStart w:id="213" w:name="dier--en-laboratoriumstudies-4"/>
    <w:p>
      <w:pPr>
        <w:pStyle w:val="Heading3"/>
      </w:pPr>
      <w:r>
        <w:t xml:space="preserve">Dier- en laboratoriumstudies</w:t>
      </w:r>
    </w:p>
    <w:p>
      <w:pPr>
        <w:pStyle w:val="FirstParagraph"/>
      </w:pPr>
      <w:r>
        <w:t xml:space="preserve">De preklinische ontwikkeling is ongewoon goed gepubliceerd. In celkweken activeert tirzepatide beide receptoren; bij muizen verlaagde het gewicht en voedselinname sterker dan een zuivere GLP-1-agonist (Coskun 2018, PMID 30473097). Studies bij muizen zonder werkende GLP-1-receptor lieten zien dat het GIP-aandeel de insulinegevoeligheid in het vetweefsel verbetert (Samms 2021, PMID 34003802). Over de verdeling en afbraak in het lichaam zijn er onderzoeken bij mensen, ratten en apen: het molecuul wordt gemetaboliseerd via splitsing van het peptideskelet en afbraak van de vetzuurketen; bij de mens werd ongeveer 66% van de gemerkte stof teruggevonden in de urine en ongeveer 33% in de ontlasting, onveranderd tirzepatide daarentegen in geen van beide (Martin 2024, PMID 39243911).</w:t>
      </w:r>
    </w:p>
    <w:p>
      <w:pPr>
        <w:pStyle w:val="BodyText"/>
      </w:pPr>
      <w:r>
        <w:t xml:space="preserve">Zoals bij alle langwerkende GLP-1-agonisten traden in langetermijnstudies bij knaagdieren tumoren van de C-cellen van de schildklier op. Of deze bevinding naar de mens te vertalen is, is onduidelijk, omdat knaagdieren duidelijk meer GLP-1-receptoren op deze cellen dragen. Dit dierresultaat is de basis voor de waarschuwingen in de productinformatie (zie hieronder).</w:t>
      </w:r>
    </w:p>
    <w:bookmarkEnd w:id="213"/>
    <w:bookmarkStart w:id="214" w:name="risicos-en-bijwerkingen-4"/>
    <w:p>
      <w:pPr>
        <w:pStyle w:val="Heading3"/>
      </w:pPr>
      <w:r>
        <w:t xml:space="preserve">Risico’s en bijwerkingen</w:t>
      </w:r>
    </w:p>
    <w:p>
      <w:pPr>
        <w:pStyle w:val="FirstParagraph"/>
      </w:pPr>
      <w:r>
        <w:rPr>
          <w:bCs/>
          <w:b/>
        </w:rPr>
        <w:t xml:space="preserve">Aangetoond in studies:</w:t>
      </w:r>
    </w:p>
    <w:p>
      <w:pPr>
        <w:numPr>
          <w:ilvl w:val="0"/>
          <w:numId w:val="1064"/>
        </w:numPr>
        <w:pStyle w:val="Compact"/>
      </w:pPr>
      <w:r>
        <w:rPr>
          <w:bCs/>
          <w:b/>
        </w:rPr>
        <w:t xml:space="preserve">Maag-darmklachten</w:t>
      </w:r>
      <w:r>
        <w:t xml:space="preserve"> </w:t>
      </w:r>
      <w:r>
        <w:t xml:space="preserve">zijn verreweg het meest voorkomend: misselijkheid, diarree, braken, obstipatie, verminderde eetlust. In SURPASS-3 meldde 12–24% misselijkheid, 15–17% diarree en 6–10% braken (Ludvik 2021, PMID 34370970). De klachten treden vooral op in de opbouwfase en nemen meestal af. Ze zijn de meest voorkomende reden om met de therapie te stoppen.</w:t>
      </w:r>
    </w:p>
    <w:p>
      <w:pPr>
        <w:numPr>
          <w:ilvl w:val="0"/>
          <w:numId w:val="1064"/>
        </w:numPr>
        <w:pStyle w:val="Compact"/>
      </w:pPr>
      <w:r>
        <w:rPr>
          <w:bCs/>
          <w:b/>
        </w:rPr>
        <w:t xml:space="preserve">Galblaas en galwegen:</w:t>
      </w:r>
      <w:r>
        <w:t xml:space="preserve"> </w:t>
      </w:r>
      <w:r>
        <w:t xml:space="preserve">een meta-analyse van negen studies met 9.871 deelnemers vond een verhoogd risico voor de verzamelcategorie aandoeningen van galblaas of galwegen ten opzichte van placebo of insuline (relatief risico 1,97; 95%-BI 1,14–3,42), voor alvleesklierontsteking (pancreatitis) daarentegen geen statistisch significante stijging (Zeng 2023, PMID 37908750). Snel gewichtsverlies zelf bevordert galstenen.</w:t>
      </w:r>
    </w:p>
    <w:p>
      <w:pPr>
        <w:numPr>
          <w:ilvl w:val="0"/>
          <w:numId w:val="1064"/>
        </w:numPr>
        <w:pStyle w:val="Compact"/>
      </w:pPr>
      <w:r>
        <w:rPr>
          <w:bCs/>
          <w:b/>
        </w:rPr>
        <w:t xml:space="preserve">Hypoglykemie:</w:t>
      </w:r>
      <w:r>
        <w:t xml:space="preserve"> </w:t>
      </w:r>
      <w:r>
        <w:t xml:space="preserve">op zichzelf zeldzaam. Het risico stijgt wanneer tegelijk insuline of sulfonylureumderivaten worden gebruikt – in SURPASS-4 traden hypoglykemieën zonder sulfonylureumderivaat op bij 1–3% (Del Prato 2021, PMID 34672967).</w:t>
      </w:r>
    </w:p>
    <w:p>
      <w:pPr>
        <w:numPr>
          <w:ilvl w:val="0"/>
          <w:numId w:val="1064"/>
        </w:numPr>
        <w:pStyle w:val="Compact"/>
      </w:pPr>
      <w:r>
        <w:rPr>
          <w:bCs/>
          <w:b/>
        </w:rPr>
        <w:t xml:space="preserve">Psychische gezondheid:</w:t>
      </w:r>
      <w:r>
        <w:t xml:space="preserve"> </w:t>
      </w:r>
      <w:r>
        <w:t xml:space="preserve">een nadere analyse van SURMOUNT-1 tot en met -3 met 4.056 personen zonder bekende ernstige psychische aandoening vond geen aanwijzing voor meer depressies; suïcidale gedachten werden in beide groepen door 0,6% gemeld (Wadden 2026, PMID 41537305). Voor mensen met ernstige psychische aandoeningen ontbreken voldoende gegevens.</w:t>
      </w:r>
    </w:p>
    <w:p>
      <w:pPr>
        <w:numPr>
          <w:ilvl w:val="0"/>
          <w:numId w:val="1064"/>
        </w:numPr>
        <w:pStyle w:val="Compact"/>
      </w:pPr>
      <w:r>
        <w:rPr>
          <w:bCs/>
          <w:b/>
        </w:rPr>
        <w:t xml:space="preserve">Verlies van vetvrije massa:</w:t>
      </w:r>
      <w:r>
        <w:t xml:space="preserve"> </w:t>
      </w:r>
      <w:r>
        <w:t xml:space="preserve">ongeveer een kwart van het verloren gewicht (Look 2025, PMID 39996356). Krachttraining en voldoende eiwitinname worden in vakkringen aanbevolen om dit tegen te gaan; harde studiegegevens over het functionele nut zijn beperkt.</w:t>
      </w:r>
    </w:p>
    <w:p>
      <w:pPr>
        <w:pStyle w:val="FirstParagraph"/>
      </w:pPr>
      <w:r>
        <w:rPr>
          <w:bCs/>
          <w:b/>
        </w:rPr>
        <w:t xml:space="preserve">Uit gegevens na de marktintroductie:</w:t>
      </w:r>
      <w:r>
        <w:t xml:space="preserve"> </w:t>
      </w:r>
      <w:r>
        <w:t xml:space="preserve">een analyse van de Amerikaanse bijwerkingendatabase FAERS vond onevenredig veel meldingen van misselijkheid, pancreatitis, diabetische netvliesaandoening en medullaire schildklierkanker – vergeleken met andere GLP-1-agonisten echter geen verhoogd risico (Caruso 2024, PMID 39141075). Zulke meldgegevens tonen signalen, geen oorzaken: bekende risico’s worden vaker gemeld. In een grote cohortstudie met meer dan 46.000 paren in de routinezorg verschilde het risico op ernstige maag-darmgebeurtenissen (pancreatitis, galwegaandoeningen, darmobstructie, maagverlamming, ernstige obstipatie) tussen tirzepatide en semaglutide niet wezenlijk (hazard ratio 1,07; 95%-BI 0,90–1,26) (Crisafulli 2026, PMID 41183330).</w:t>
      </w:r>
    </w:p>
    <w:p>
      <w:pPr>
        <w:pStyle w:val="BodyText"/>
      </w:pPr>
      <w:r>
        <w:rPr>
          <w:bCs/>
          <w:b/>
        </w:rPr>
        <w:t xml:space="preserve">Theoretisch of afgeleid uit dierdata:</w:t>
      </w:r>
      <w:r>
        <w:t xml:space="preserve"> </w:t>
      </w:r>
      <w:r>
        <w:t xml:space="preserve">medullaire schildklierkanker (dierbevinding, zie hierboven). Daarom geldt in de productinformatie een waarschuwing respectievelijk een contra-indicatie bij medullair schildkliercarcinoom in de eigen of familiaire voorgeschiedenis en bij het MEN-2-syndroom.</w:t>
      </w:r>
    </w:p>
    <w:p>
      <w:pPr>
        <w:pStyle w:val="BodyText"/>
      </w:pPr>
      <w:r>
        <w:rPr>
          <w:bCs/>
          <w:b/>
        </w:rPr>
        <w:t xml:space="preserve">Belangrijk voor de praktijk (volgens de productinformatie, niet bedoeld als instructie):</w:t>
      </w:r>
      <w:r>
        <w:t xml:space="preserve"> </w:t>
      </w:r>
      <w:r>
        <w:t xml:space="preserve">de vertraagde maaglediging kan de opname van tabletten beïnvloeden, wat bijvoorbeeld relevant is voor de anticonceptiepil. Tijdens zwangerschap en borstvoeding wordt tirzepatide niet gebruikt. Vóór operaties onder narcose moet rekening worden gehouden met de vertraagde maaglediging. Over alle details informeren de productinformatie en de behandelend arts.</w:t>
      </w:r>
    </w:p>
    <w:p>
      <w:pPr>
        <w:pStyle w:val="BodyText"/>
      </w:pPr>
      <w:r>
        <w:rPr>
          <w:bCs/>
          <w:b/>
        </w:rPr>
        <w:t xml:space="preserve">Nagemaakte producten:</w:t>
      </w:r>
      <w:r>
        <w:t xml:space="preserve"> </w:t>
      </w:r>
      <w:r>
        <w:t xml:space="preserve">tijdens de leveringstekorten van 2022 tot 2024 werden in de VS tirzepatidebereidingen in apotheken gemaakt („compounding”), tegelijk ontstond een grote online grijze markt. Een onderzoek uit 2025 vond 33 bereidingen met semaglutide of tirzepatide in toedieningsvormen die niet geregistreerd zijn – zoals zuigtabletten of mengsels met vitaminen; gegevens over werkzaamheid en veiligheid ontbreken voor deze producten (Belcourt 2026, PMID 41689811). Voor „research”-waar zonder registratie als geneesmiddel geldt dat in nog sterkere mate (zie deel I en deel IV).</w:t>
      </w:r>
    </w:p>
    <w:bookmarkEnd w:id="214"/>
    <w:bookmarkStart w:id="215" w:name="juridische-status-4"/>
    <w:p>
      <w:pPr>
        <w:pStyle w:val="Heading3"/>
      </w:pPr>
      <w:r>
        <w:t xml:space="preserve">Juridische status</w:t>
      </w:r>
    </w:p>
    <w:p>
      <w:pPr>
        <w:numPr>
          <w:ilvl w:val="0"/>
          <w:numId w:val="1065"/>
        </w:numPr>
        <w:pStyle w:val="Compact"/>
      </w:pPr>
      <w:r>
        <w:rPr>
          <w:bCs/>
          <w:b/>
        </w:rPr>
        <w:t xml:space="preserve">EU / Oostenrijk / Duitsland:</w:t>
      </w:r>
      <w:r>
        <w:t xml:space="preserve"> </w:t>
      </w:r>
      <w:r>
        <w:t xml:space="preserve">tirzepatide is als Mounjaro centraal in de EU geregistreerd (2022 voor diabetes type 2, sinds eind 2023 ook voor gewichtsbeheersing). Het is receptplichtig. Of de zorgverzekeraar de kosten vergoedt, hangt af van het toepassingsgebied: voor diabetes type 2 is vergoeding in principe mogelijk; geneesmiddelen voor gewichtsvermindering zijn in Duitsland wettelijk grotendeels van vergoeding uitgesloten, in Oostenrijk gelden eigen, restrictieve regels. Details veranderen – actuele situatie controleren.</w:t>
      </w:r>
    </w:p>
    <w:p>
      <w:pPr>
        <w:numPr>
          <w:ilvl w:val="0"/>
          <w:numId w:val="1065"/>
        </w:numPr>
        <w:pStyle w:val="Compact"/>
      </w:pPr>
      <w:r>
        <w:rPr>
          <w:bCs/>
          <w:b/>
        </w:rPr>
        <w:t xml:space="preserve">VS:</w:t>
      </w:r>
      <w:r>
        <w:t xml:space="preserve"> </w:t>
      </w:r>
      <w:r>
        <w:t xml:space="preserve">geregistreerd als Mounjaro (2022, diabetes type 2) en als Zepbound (2023, chronische gewichtsbeheersing; 2024 daarnaast obstructieve slaapapneu bij obesitas). Na het einde van het officiële leveringstekort heeft de FDA het maken van kopieën in apotheken sterk ingeperkt.</w:t>
      </w:r>
    </w:p>
    <w:p>
      <w:pPr>
        <w:numPr>
          <w:ilvl w:val="0"/>
          <w:numId w:val="1065"/>
        </w:numPr>
        <w:pStyle w:val="Compact"/>
      </w:pPr>
      <w:r>
        <w:rPr>
          <w:bCs/>
          <w:b/>
        </w:rPr>
        <w:t xml:space="preserve">Sport:</w:t>
      </w:r>
      <w:r>
        <w:t xml:space="preserve"> </w:t>
      </w:r>
      <w:r>
        <w:t xml:space="preserve">tirzepatide staat niet op de verboden lijst van het WADA (stand 2026, actuele situatie controleren).</w:t>
      </w:r>
    </w:p>
    <w:p>
      <w:pPr>
        <w:numPr>
          <w:ilvl w:val="0"/>
          <w:numId w:val="1065"/>
        </w:numPr>
        <w:pStyle w:val="Compact"/>
      </w:pPr>
      <w:r>
        <w:rPr>
          <w:bCs/>
          <w:b/>
        </w:rPr>
        <w:t xml:space="preserve">Grijze markt:</w:t>
      </w:r>
      <w:r>
        <w:t xml:space="preserve"> </w:t>
      </w:r>
      <w:r>
        <w:t xml:space="preserve">de handel in niet-geregistreerde tirzepatideproducten („for research use only”) is in de EU geen legale weg naar een geneesmiddel; de producten zijn aan geen enkele kwaliteitscontrole onderworpen.</w:t>
      </w:r>
    </w:p>
    <w:bookmarkEnd w:id="215"/>
    <w:bookmarkStart w:id="216" w:name="lopende-studies-en-vooruitzichten-4"/>
    <w:p>
      <w:pPr>
        <w:pStyle w:val="Heading3"/>
      </w:pPr>
      <w:r>
        <w:t xml:space="preserve">Lopende studies en vooruitzichten</w:t>
      </w:r>
    </w:p>
    <w:p>
      <w:pPr>
        <w:pStyle w:val="FirstParagraph"/>
      </w:pPr>
      <w:r>
        <w:rPr>
          <w:bCs/>
          <w:b/>
        </w:rPr>
        <w:t xml:space="preserve">Vaststaand (geregistreerde studies, stand oktober 2026):</w:t>
      </w:r>
    </w:p>
    <w:p>
      <w:pPr>
        <w:numPr>
          <w:ilvl w:val="0"/>
          <w:numId w:val="1066"/>
        </w:numPr>
        <w:pStyle w:val="Compact"/>
      </w:pPr>
      <w:r>
        <w:rPr>
          <w:bCs/>
          <w:b/>
        </w:rPr>
        <w:t xml:space="preserve">SURMOUNT-MMO</w:t>
      </w:r>
      <w:r>
        <w:t xml:space="preserve"> </w:t>
      </w:r>
      <w:r>
        <w:t xml:space="preserve">(NCT05556512): uitkomststudie met ongeveer 15.000 mensen met obesitas zonder diabetes en hoog cardiovasculair risico, tirzepatide tegen placebo. Primair eindpunt zijn hartinfarct, beroerte, revascularisatie, gebeurtenissen door hartfalen en overlijden door welke oorzaak ook; gepland einde 2027. Volgens de publicatie van de opzet is het de eerste incretine-uitkomststudie die zowel de primaire als de secundaire preventie van hart- en vaatziekten onderzoekt (Lam 2025, PMID 40545827).</w:t>
      </w:r>
    </w:p>
    <w:p>
      <w:pPr>
        <w:numPr>
          <w:ilvl w:val="0"/>
          <w:numId w:val="1066"/>
        </w:numPr>
        <w:pStyle w:val="Compact"/>
      </w:pPr>
      <w:r>
        <w:rPr>
          <w:bCs/>
          <w:b/>
        </w:rPr>
        <w:t xml:space="preserve">SYNERGY-Outcomes</w:t>
      </w:r>
      <w:r>
        <w:t xml:space="preserve"> </w:t>
      </w:r>
      <w:r>
        <w:t xml:space="preserve">(NCT07165028): fase 3-masterprotocol over leververvetting met gepland 4.500 deelnemers.</w:t>
      </w:r>
    </w:p>
    <w:p>
      <w:pPr>
        <w:numPr>
          <w:ilvl w:val="0"/>
          <w:numId w:val="1066"/>
        </w:numPr>
        <w:pStyle w:val="Compact"/>
      </w:pPr>
      <w:r>
        <w:rPr>
          <w:bCs/>
          <w:b/>
        </w:rPr>
        <w:t xml:space="preserve">Diabetes type 1 met obesitas</w:t>
      </w:r>
      <w:r>
        <w:t xml:space="preserve"> </w:t>
      </w:r>
      <w:r>
        <w:t xml:space="preserve">(NCT06914895, NCT06962280): twee fase 3-studies.</w:t>
      </w:r>
    </w:p>
    <w:p>
      <w:pPr>
        <w:numPr>
          <w:ilvl w:val="0"/>
          <w:numId w:val="1066"/>
        </w:numPr>
        <w:pStyle w:val="Compact"/>
      </w:pPr>
      <w:r>
        <w:rPr>
          <w:bCs/>
          <w:b/>
        </w:rPr>
        <w:t xml:space="preserve">Jongeren met obesitas</w:t>
      </w:r>
      <w:r>
        <w:t xml:space="preserve"> </w:t>
      </w:r>
      <w:r>
        <w:t xml:space="preserve">(NCT06439277, SURMOUNT-ADOLESCENTS-2) en kinderen (NCT07817875).</w:t>
      </w:r>
    </w:p>
    <w:p>
      <w:pPr>
        <w:numPr>
          <w:ilvl w:val="0"/>
          <w:numId w:val="1066"/>
        </w:numPr>
        <w:pStyle w:val="Compact"/>
      </w:pPr>
      <w:r>
        <w:rPr>
          <w:bCs/>
          <w:b/>
        </w:rPr>
        <w:t xml:space="preserve">Directe vergelijking met de opvolger retatrutide</w:t>
      </w:r>
      <w:r>
        <w:t xml:space="preserve"> </w:t>
      </w:r>
      <w:r>
        <w:t xml:space="preserve">(NCT06662383, zie hoofdstuk Retatrutide).</w:t>
      </w:r>
    </w:p>
    <w:p>
      <w:pPr>
        <w:numPr>
          <w:ilvl w:val="0"/>
          <w:numId w:val="1066"/>
        </w:numPr>
        <w:pStyle w:val="Compact"/>
      </w:pPr>
      <w:r>
        <w:t xml:space="preserve">Talrijke studies over knieartrose, psoriasis, nierziekten en beroerte.</w:t>
      </w:r>
    </w:p>
    <w:p>
      <w:pPr>
        <w:pStyle w:val="FirstParagraph"/>
      </w:pPr>
      <w:r>
        <w:rPr>
          <w:bCs/>
          <w:b/>
        </w:rPr>
        <w:t xml:space="preserve">Inschatting:</w:t>
      </w:r>
      <w:r>
        <w:t xml:space="preserve"> </w:t>
      </w:r>
      <w:r>
        <w:t xml:space="preserve">tirzepatide is in 2026 de maatstaf waaraan nieuwe afslankmiddelen zich moeten meten. De volgende grote vraag is of SURMOUNT-MMO bij mensen zonder diabetes een vergelijkbaar cardiovasculair nut laat zien als de SELECT-studie voor semaglutide. Concurrentie komt van drievoudige agonisten (retatrutide), amylinecombinaties (CagriSema, amycretine) en tabletten (orforglipron). Wanneer de octrooien aflopen en goedkopere generieke preparaten mogelijk worden, behandelt deel V.</w:t>
      </w:r>
    </w:p>
    <w:bookmarkEnd w:id="216"/>
    <w:bookmarkStart w:id="217" w:name="conclusie-4"/>
    <w:p>
      <w:pPr>
        <w:pStyle w:val="Heading3"/>
      </w:pPr>
      <w:r>
        <w:t xml:space="preserve">Conclusie</w:t>
      </w:r>
    </w:p>
    <w:p>
      <w:pPr>
        <w:pStyle w:val="FirstParagraph"/>
      </w:pPr>
      <w:r>
        <w:t xml:space="preserve">Tirzepatide is een dubbele GIP/GLP-1-agonist die is onderzocht in een van de grootste studieprogramma’s van de diabetes- en obesitasgeneeskunde. In SURMOUNT-1 daalde het lichaamsgewicht bij de hoogste dosis gemiddeld met ongeveer 21%, in de directe vergelijking met semaglutide (SURMOUNT-5) met 20,2% tegenover 13,7%. Tegenover dulaglutide was het bij cardiovasculaire gebeurtenissen niet inferieur, bij hartfalen met behouden pompfunctie en bij slaapapneu bleken gunstige effecten. De bijwerkingen betreffen vooral het maag-darmkanaal en de galblaas; na het stoppen komt een groot deel van het gewicht terug. De behandeling hoort in handen van een arts – met het originele preparaat, niet met waar van de grijze markt.</w:t>
      </w:r>
    </w:p>
    <w:bookmarkEnd w:id="217"/>
    <w:bookmarkEnd w:id="218"/>
    <w:bookmarkStart w:id="230" w:name="retatrutide"/>
    <w:p>
      <w:pPr>
        <w:pStyle w:val="Heading2"/>
      </w:pPr>
      <w:r>
        <w:t xml:space="preserve">Retatrutide</w:t>
      </w:r>
    </w:p>
    <w:bookmarkStart w:id="219" w:name="profiel-5"/>
    <w:p>
      <w:pPr>
        <w:pStyle w:val="Heading3"/>
      </w:pPr>
      <w:r>
        <w:t xml:space="preserve">Profiel</w:t>
      </w:r>
    </w:p>
    <w:p>
      <w:pPr>
        <w:numPr>
          <w:ilvl w:val="0"/>
          <w:numId w:val="1067"/>
        </w:numPr>
        <w:pStyle w:val="Compact"/>
      </w:pPr>
      <w:r>
        <w:rPr>
          <w:bCs/>
          <w:b/>
        </w:rPr>
        <w:t xml:space="preserve">Soort/structuur:</w:t>
      </w:r>
      <w:r>
        <w:t xml:space="preserve"> </w:t>
      </w:r>
      <w:r>
        <w:t xml:space="preserve">synthetisch peptide met een aangehechte vetzuurketen voor toediening eenmaal per week onder de huid; ontwikkelingscode LY3437943.</w:t>
      </w:r>
    </w:p>
    <w:p>
      <w:pPr>
        <w:numPr>
          <w:ilvl w:val="0"/>
          <w:numId w:val="1067"/>
        </w:numPr>
        <w:pStyle w:val="Compact"/>
      </w:pPr>
      <w:r>
        <w:rPr>
          <w:bCs/>
          <w:b/>
        </w:rPr>
        <w:t xml:space="preserve">Herkomst:</w:t>
      </w:r>
      <w:r>
        <w:t xml:space="preserve"> </w:t>
      </w:r>
      <w:r>
        <w:t xml:space="preserve">ontwikkeld door Eli Lilly als opvolger van tirzepatide.</w:t>
      </w:r>
    </w:p>
    <w:p>
      <w:pPr>
        <w:numPr>
          <w:ilvl w:val="0"/>
          <w:numId w:val="1067"/>
        </w:numPr>
        <w:pStyle w:val="Compact"/>
      </w:pPr>
      <w:r>
        <w:rPr>
          <w:bCs/>
          <w:b/>
        </w:rPr>
        <w:t xml:space="preserve">Werkingsprincipe:</w:t>
      </w:r>
      <w:r>
        <w:t xml:space="preserve"> </w:t>
      </w:r>
      <w:r>
        <w:t xml:space="preserve">‘</w:t>
      </w:r>
      <w:r>
        <w:t xml:space="preserve">drievoudige agonist</w:t>
      </w:r>
      <w:r>
        <w:t xml:space="preserve">’</w:t>
      </w:r>
      <w:r>
        <w:t xml:space="preserve"> </w:t>
      </w:r>
      <w:r>
        <w:t xml:space="preserve">(triple-agonist) op drie receptoren: GIP, GLP-1 en glucagon. In de media vaak</w:t>
      </w:r>
      <w:r>
        <w:t xml:space="preserve"> </w:t>
      </w:r>
      <w:r>
        <w:t xml:space="preserve">‘</w:t>
      </w:r>
      <w:r>
        <w:t xml:space="preserve">Triple G</w:t>
      </w:r>
      <w:r>
        <w:t xml:space="preserve">’</w:t>
      </w:r>
      <w:r>
        <w:t xml:space="preserve"> </w:t>
      </w:r>
      <w:r>
        <w:t xml:space="preserve">genoemd.</w:t>
      </w:r>
    </w:p>
    <w:p>
      <w:pPr>
        <w:numPr>
          <w:ilvl w:val="0"/>
          <w:numId w:val="1067"/>
        </w:numPr>
        <w:pStyle w:val="Compact"/>
      </w:pPr>
      <w:r>
        <w:rPr>
          <w:bCs/>
          <w:b/>
        </w:rPr>
        <w:t xml:space="preserve">Registratie EU:</w:t>
      </w:r>
      <w:r>
        <w:t xml:space="preserve"> </w:t>
      </w:r>
      <w:r>
        <w:t xml:space="preserve">nee (stand oktober 2026; fase 3-programma TRIUMPH deels afgerond).</w:t>
      </w:r>
    </w:p>
    <w:p>
      <w:pPr>
        <w:numPr>
          <w:ilvl w:val="0"/>
          <w:numId w:val="1067"/>
        </w:numPr>
        <w:pStyle w:val="Compact"/>
      </w:pPr>
      <w:r>
        <w:rPr>
          <w:bCs/>
          <w:b/>
        </w:rPr>
        <w:t xml:space="preserve">Registratie VS:</w:t>
      </w:r>
      <w:r>
        <w:t xml:space="preserve"> </w:t>
      </w:r>
      <w:r>
        <w:t xml:space="preserve">nee (stand oktober 2026, actuele situatie controleren).</w:t>
      </w:r>
    </w:p>
    <w:p>
      <w:pPr>
        <w:numPr>
          <w:ilvl w:val="0"/>
          <w:numId w:val="1067"/>
        </w:numPr>
        <w:pStyle w:val="Compact"/>
      </w:pPr>
      <w:r>
        <w:rPr>
          <w:bCs/>
          <w:b/>
        </w:rPr>
        <w:t xml:space="preserve">WADA:</w:t>
      </w:r>
      <w:r>
        <w:t xml:space="preserve"> </w:t>
      </w:r>
      <w:r>
        <w:t xml:space="preserve">niet bij naam vermeld; als nergens geregistreerde werkzame stof valt retatrutide echter onder klasse S0</w:t>
      </w:r>
      <w:r>
        <w:t xml:space="preserve"> </w:t>
      </w:r>
      <w:r>
        <w:t xml:space="preserve">‘</w:t>
      </w:r>
      <w:r>
        <w:t xml:space="preserve">Niet-goedgekeurde stoffen</w:t>
      </w:r>
      <w:r>
        <w:t xml:space="preserve">’</w:t>
      </w:r>
      <w:r>
        <w:t xml:space="preserve"> </w:t>
      </w:r>
      <w:r>
        <w:t xml:space="preserve">en is daarmee in de sport te allen tijde verboden (stand 2026, actuele situatie controleren).</w:t>
      </w:r>
    </w:p>
    <w:p>
      <w:pPr>
        <w:numPr>
          <w:ilvl w:val="0"/>
          <w:numId w:val="1067"/>
        </w:numPr>
        <w:pStyle w:val="Compact"/>
      </w:pPr>
      <w:r>
        <w:rPr>
          <w:bCs/>
          <w:b/>
        </w:rPr>
        <w:t xml:space="preserve">Bewijsniveau:</w:t>
      </w:r>
      <w:r>
        <w:t xml:space="preserve"> </w:t>
      </w:r>
      <w:r>
        <w:rPr>
          <w:bCs/>
          <w:b/>
        </w:rPr>
        <w:t xml:space="preserve">B</w:t>
      </w:r>
      <w:r>
        <w:t xml:space="preserve"> </w:t>
      </w:r>
      <w:r>
        <w:t xml:space="preserve">– meerdere grote fase 3-studies gepubliceerd, maar nog geen registratie en geen eindpuntgegevens over hart en nieren. Met een registratie zou niveau A bereikt zijn.</w:t>
      </w:r>
    </w:p>
    <w:bookmarkEnd w:id="219"/>
    <w:bookmarkStart w:id="220" w:name="hoe-het-zou-moeten-werken-5"/>
    <w:p>
      <w:pPr>
        <w:pStyle w:val="Heading3"/>
      </w:pPr>
      <w:r>
        <w:t xml:space="preserve">Hoe het zou moeten werken</w:t>
      </w:r>
    </w:p>
    <w:p>
      <w:pPr>
        <w:pStyle w:val="FirstParagraph"/>
      </w:pPr>
      <w:r>
        <w:t xml:space="preserve">Retatrutide bouwt voort op het principe van tirzepatide (zie aldaar) en voegt een derde aangrijpingspunt toe: de glucagonreceptor. Dat klinkt in eerste instantie tegenstrijdig, want glucagon is het</w:t>
      </w:r>
      <w:r>
        <w:t xml:space="preserve"> </w:t>
      </w:r>
      <w:r>
        <w:t xml:space="preserve">‘</w:t>
      </w:r>
      <w:r>
        <w:t xml:space="preserve">tegenhormoon</w:t>
      </w:r>
      <w:r>
        <w:t xml:space="preserve">’</w:t>
      </w:r>
      <w:r>
        <w:t xml:space="preserve"> </w:t>
      </w:r>
      <w:r>
        <w:t xml:space="preserve">van insuline – het laat de lever suiker vrijgeven en verhoogt de bloedsuiker. Glucagon heeft echter nog andere effecten: het verhoogt het energieverbruik, bevordert de vetafbraak in de lever en draagt bij aan verzadiging. Het idee achter retatrutide is deze gunstige effecten te benutten, terwijl het GLP-1- en GIP-aandeel het bloedsuikerverhogende effect compenseert.</w:t>
      </w:r>
    </w:p>
    <w:p>
      <w:pPr>
        <w:pStyle w:val="BodyText"/>
      </w:pPr>
      <w:r>
        <w:t xml:space="preserve">In celexperimenten werkt retatrutide op de glucagon- en GLP-1-receptor ongeveer even sterk, op de GIP-receptor sterker. Bij muizen met overgewicht versterkte het glucagonaandeel het gewichtsverlies via een verhoogd energieverbruik, terwijl GIP en GLP-1 de calorie-inname verminderden (Coskun 2022, PMID 35985340). Of het energieverbruik ook bij de mens noemenswaardig stijgt, is nog onvoldoende onderzocht; een daarop gerichte fase 1-studie is geregistreerd (NCT06313528).</w:t>
      </w:r>
    </w:p>
    <w:p>
      <w:pPr>
        <w:pStyle w:val="BodyText"/>
      </w:pPr>
      <w:r>
        <w:t xml:space="preserve">Bij de mens meldden deelnemers aan een fase 2-studie bij hogere doses minder honger en minder neiging tot</w:t>
      </w:r>
      <w:r>
        <w:t xml:space="preserve"> </w:t>
      </w:r>
      <w:r>
        <w:t xml:space="preserve">‘</w:t>
      </w:r>
      <w:r>
        <w:t xml:space="preserve">controleverlies</w:t>
      </w:r>
      <w:r>
        <w:t xml:space="preserve">’</w:t>
      </w:r>
      <w:r>
        <w:t xml:space="preserve"> </w:t>
      </w:r>
      <w:r>
        <w:t xml:space="preserve">bij het eten; deze veranderingen hingen samen met het gewichtsverlies (Kanu 2025, PMID 40916752).</w:t>
      </w:r>
    </w:p>
    <w:bookmarkEnd w:id="220"/>
    <w:bookmarkStart w:id="224" w:name="studies-bij-mensen-5"/>
    <w:p>
      <w:pPr>
        <w:pStyle w:val="Heading3"/>
      </w:pPr>
      <w:r>
        <w:t xml:space="preserve">Studies bij mensen</w:t>
      </w:r>
    </w:p>
    <w:p>
      <w:pPr>
        <w:pStyle w:val="FirstParagraph"/>
      </w:pPr>
      <w:r>
        <w:rPr>
          <w:bCs/>
          <w:b/>
        </w:rPr>
        <w:t xml:space="preserve">Omvang van het onderzoek:</w:t>
      </w:r>
      <w:r>
        <w:t xml:space="preserve"> </w:t>
      </w:r>
      <w:r>
        <w:t xml:space="preserve">De geautomatiseerde PubMed-zoekopdracht (oktober 2026) leverde 10 studies bij mensen op, aangevuld met gericht zoeken naar de fase 1- en fase 3-publicaties. Op ClinicalTrials.gov waren 32 studies geregistreerd (een overduidelijk fictieve voorbeeldregistratie is niet meegeteld), waaronder het registratieprogramma TRIUMPH (obesitas) en TRANSCEND (diabetes type 2). Voor een werkzame stof zonder registratie is dat een ongewoon solide gegevensbasis – die echter vrijwel volledig afkomstig is uit door de fabrikant gefinancierde studies.</w:t>
      </w:r>
    </w:p>
    <w:bookmarkStart w:id="221" w:name="vroege-studies"/>
    <w:p>
      <w:pPr>
        <w:pStyle w:val="Heading4"/>
      </w:pPr>
      <w:r>
        <w:t xml:space="preserve">Vroege studies</w:t>
      </w:r>
    </w:p>
    <w:p>
      <w:pPr>
        <w:pStyle w:val="FirstParagraph"/>
      </w:pPr>
      <w:r>
        <w:t xml:space="preserve">Na een studie met een eenmalige dosis bij gezonde personen, waarin het lichaamsgewicht na één enkele injectie tot 43 dagen verlaagd bleef (Coskun 2022, PMID 35985340), volgde een fase 1b-studie van twaalf weken met 72 mensen met diabetes type 2. De halfwaardetijd bedroeg ongeveer zes dagen, wat toediening eenmaal per week mogelijk maakt. In de hoogste dosisgroep lag het gewichtsverlies ten opzichte van placebo op bijna 9 kg (Urva 2022, PMID 36354040).</w:t>
      </w:r>
    </w:p>
    <w:bookmarkEnd w:id="221"/>
    <w:bookmarkStart w:id="222" w:name="fase-2-obesitas-en-diabetes-type-2"/>
    <w:p>
      <w:pPr>
        <w:pStyle w:val="Heading4"/>
      </w:pPr>
      <w:r>
        <w:t xml:space="preserve">Fase 2: obesitas en diabetes type 2</w:t>
      </w:r>
    </w:p>
    <w:p>
      <w:pPr>
        <w:pStyle w:val="FirstParagraph"/>
      </w:pPr>
      <w:r>
        <w:t xml:space="preserve">De fase 2-studie bij obesitas haalde in 2023 de krantenkoppen (Jastreboff 2023, PMID 37366315). 338 volwassenen kregen 48 weken lang verschillende doses of placebo. In de hoogste dosisgroep daalde het lichaamsgewicht gemiddeld met 24,2% (placebo: −2,1%); 83% van deze groep verloor ten minste 15%. Dat waren de hoogste waarden die tot dan toe in een geneesmiddelenstudie naar obesitas waren gemeten. De maag-darmbijwerkingen namen toe met de dosis en vielen lager uit bij een langzamere opbouw van de dosis. De hartslag steeg dosisafhankelijk, bereikte na 24 weken het hoogste punt en daalde daarna weer.</w:t>
      </w:r>
    </w:p>
    <w:p>
      <w:pPr>
        <w:pStyle w:val="BodyText"/>
      </w:pPr>
      <w:r>
        <w:t xml:space="preserve">De parallelle fase 2-studie bij 281 mensen met diabetes type 2 liet na 24 weken HbA1c-dalingen zien van tot 2,02 procentpunt (dulaglutide: −1,41) en na 36 weken een gewichtsverlies van tot 16,94% (Rosenstock 2023, PMID 37385280). In een substudie met meting van de lichaamssamenstelling (DXA) daalde de vetmassa bij de hogere doses met 23–26% (Coskun 2025, PMID 40609566).</w:t>
      </w:r>
    </w:p>
    <w:p>
      <w:pPr>
        <w:pStyle w:val="BodyText"/>
      </w:pPr>
      <w:r>
        <w:t xml:space="preserve">Een substudie bij 98 deelnemers met leververvetting (ten minste 10% levervet) vond na 24 weken een relatieve afname van het levervet van tot 82,4%; bij de hoogste dosis had 86% daarna normale levervetwaarden, bij placebo niemand (Sanyal 2024, PMID 38858523). Het levervetgehalte is een surrogaatparameter – of daardoor leverontsteking, fibrose en cirrose afnemen, is nog niet aangetoond.</w:t>
      </w:r>
    </w:p>
    <w:p>
      <w:pPr>
        <w:pStyle w:val="BodyText"/>
      </w:pPr>
      <w:r>
        <w:t xml:space="preserve">Nadere analyses van de fase 2-studies lieten verbeteringen zien in bloedvetten en ontstekingsmarkers, zoals een tot 26,9% lager non-HDL-cholesterol en een 54,8% lagere CRP-waarde in de obesitasstudie (Ruotolo 2026, PMID 42608321). Ook dat zijn laboratoriumwaarden, geen harde eindpunten.</w:t>
      </w:r>
    </w:p>
    <w:bookmarkEnd w:id="222"/>
    <w:bookmarkStart w:id="223" w:name="X7780197d11e4e57ec48aa6ccaa1e6145c07a9ed"/>
    <w:p>
      <w:pPr>
        <w:pStyle w:val="Heading4"/>
      </w:pPr>
      <w:r>
        <w:t xml:space="preserve">Fase 3: het TRIUMPH- en TRANSCEND-programma</w:t>
      </w:r>
    </w:p>
    <w:p>
      <w:pPr>
        <w:pStyle w:val="FirstParagraph"/>
      </w:pPr>
      <w:r>
        <w:t xml:space="preserve">Het registratieprogramma voor obesitas, TRIUMPH, omvat vier studies met samen ruim 5.800 deelnemers. Een bijzonderheid is het</w:t>
      </w:r>
      <w:r>
        <w:t xml:space="preserve"> </w:t>
      </w:r>
      <w:r>
        <w:t xml:space="preserve">‘</w:t>
      </w:r>
      <w:r>
        <w:t xml:space="preserve">basket</w:t>
      </w:r>
      <w:r>
        <w:t xml:space="preserve">’</w:t>
      </w:r>
      <w:r>
        <w:t xml:space="preserve">-design: binnen de grote gewichtsstudies werden subgroepen met knieartrose of slaapapneu met eigen primaire eindpunten geanalyseerd (Giblin 2026, PMID 41090431).</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Deelnemers en design</w:t>
            </w:r>
          </w:p>
        </w:tc>
        <w:tc>
          <w:tcPr/>
          <w:p>
            <w:pPr>
              <w:pStyle w:val="Compact"/>
              <w:jc w:val="left"/>
            </w:pPr>
            <w:r>
              <w:t xml:space="preserve">Duur</w:t>
            </w:r>
          </w:p>
        </w:tc>
        <w:tc>
          <w:tcPr/>
          <w:p>
            <w:pPr>
              <w:pStyle w:val="Compact"/>
              <w:jc w:val="left"/>
            </w:pPr>
            <w:r>
              <w:t xml:space="preserve">Resultaat</w:t>
            </w:r>
          </w:p>
        </w:tc>
      </w:tr>
      <w:tr>
        <w:tc>
          <w:tcPr/>
          <w:p>
            <w:pPr>
              <w:pStyle w:val="Compact"/>
              <w:jc w:val="left"/>
            </w:pPr>
            <w:r>
              <w:t xml:space="preserve">Fase 2 obesitas (Jastreboff 2023), PMID 37366315</w:t>
            </w:r>
          </w:p>
        </w:tc>
        <w:tc>
          <w:tcPr/>
          <w:p>
            <w:pPr>
              <w:pStyle w:val="Compact"/>
              <w:jc w:val="left"/>
            </w:pPr>
            <w:r>
              <w:t xml:space="preserve">338 volwassenen zonder diabetes, tegen placebo</w:t>
            </w:r>
          </w:p>
        </w:tc>
        <w:tc>
          <w:tcPr/>
          <w:p>
            <w:pPr>
              <w:pStyle w:val="Compact"/>
              <w:jc w:val="left"/>
            </w:pPr>
            <w:r>
              <w:t xml:space="preserve">48 weken</w:t>
            </w:r>
          </w:p>
        </w:tc>
        <w:tc>
          <w:tcPr/>
          <w:p>
            <w:pPr>
              <w:pStyle w:val="Compact"/>
              <w:jc w:val="left"/>
            </w:pPr>
            <w:r>
              <w:t xml:space="preserve">tot −24,2% gewicht vs. −2,1%</w:t>
            </w:r>
          </w:p>
        </w:tc>
      </w:tr>
      <w:tr>
        <w:tc>
          <w:tcPr/>
          <w:p>
            <w:pPr>
              <w:pStyle w:val="Compact"/>
              <w:jc w:val="left"/>
            </w:pPr>
            <w:r>
              <w:t xml:space="preserve">Fase 2 diabetes type 2 (Rosenstock 2023), PMID 37385280</w:t>
            </w:r>
          </w:p>
        </w:tc>
        <w:tc>
          <w:tcPr/>
          <w:p>
            <w:pPr>
              <w:pStyle w:val="Compact"/>
              <w:jc w:val="left"/>
            </w:pPr>
            <w:r>
              <w:t xml:space="preserve">281 volwassenen, tegen placebo en dulaglutide</w:t>
            </w:r>
          </w:p>
        </w:tc>
        <w:tc>
          <w:tcPr/>
          <w:p>
            <w:pPr>
              <w:pStyle w:val="Compact"/>
              <w:jc w:val="left"/>
            </w:pPr>
            <w:r>
              <w:t xml:space="preserve">36 weken</w:t>
            </w:r>
          </w:p>
        </w:tc>
        <w:tc>
          <w:tcPr/>
          <w:p>
            <w:pPr>
              <w:pStyle w:val="Compact"/>
              <w:jc w:val="left"/>
            </w:pPr>
            <w:r>
              <w:t xml:space="preserve">HbA1c tot −2,02 punt; gewicht tot −16,94%</w:t>
            </w:r>
          </w:p>
        </w:tc>
      </w:tr>
      <w:tr>
        <w:tc>
          <w:tcPr/>
          <w:p>
            <w:pPr>
              <w:pStyle w:val="Compact"/>
              <w:jc w:val="left"/>
            </w:pPr>
            <w:r>
              <w:t xml:space="preserve">TRIUMPH-1 (Jastreboff 2026), PMID 42814954</w:t>
            </w:r>
          </w:p>
        </w:tc>
        <w:tc>
          <w:tcPr/>
          <w:p>
            <w:pPr>
              <w:pStyle w:val="Compact"/>
              <w:jc w:val="left"/>
            </w:pPr>
            <w:r>
              <w:t xml:space="preserve">2.339 volwassenen met obesitas zonder diabetes, tegen placebo</w:t>
            </w:r>
          </w:p>
        </w:tc>
        <w:tc>
          <w:tcPr/>
          <w:p>
            <w:pPr>
              <w:pStyle w:val="Compact"/>
              <w:jc w:val="left"/>
            </w:pPr>
            <w:r>
              <w:t xml:space="preserve">80 weken</w:t>
            </w:r>
          </w:p>
        </w:tc>
        <w:tc>
          <w:tcPr/>
          <w:p>
            <w:pPr>
              <w:pStyle w:val="Compact"/>
              <w:jc w:val="left"/>
            </w:pPr>
            <w:r>
              <w:t xml:space="preserve">−17,6 / −23,7 / −25,0% (4/9/12 mg) vs. −3,9%</w:t>
            </w:r>
          </w:p>
        </w:tc>
      </w:tr>
      <w:tr>
        <w:tc>
          <w:tcPr/>
          <w:p>
            <w:pPr>
              <w:pStyle w:val="Compact"/>
              <w:jc w:val="left"/>
            </w:pPr>
            <w:r>
              <w:t xml:space="preserve">TRIUMPH-2 (Bellido 2026), PMID 42810372</w:t>
            </w:r>
          </w:p>
        </w:tc>
        <w:tc>
          <w:tcPr/>
          <w:p>
            <w:pPr>
              <w:pStyle w:val="Compact"/>
              <w:jc w:val="left"/>
            </w:pPr>
            <w:r>
              <w:t xml:space="preserve">1.152 volwassenen met obesitas en diabetes type 2, tegen placebo</w:t>
            </w:r>
          </w:p>
        </w:tc>
        <w:tc>
          <w:tcPr/>
          <w:p>
            <w:pPr>
              <w:pStyle w:val="Compact"/>
              <w:jc w:val="left"/>
            </w:pPr>
            <w:r>
              <w:t xml:space="preserve">80 weken</w:t>
            </w:r>
          </w:p>
        </w:tc>
        <w:tc>
          <w:tcPr/>
          <w:p>
            <w:pPr>
              <w:pStyle w:val="Compact"/>
              <w:jc w:val="left"/>
            </w:pPr>
            <w:r>
              <w:t xml:space="preserve">−11,9 / −16,8 / −18,8% vs. −5,1%</w:t>
            </w:r>
          </w:p>
        </w:tc>
      </w:tr>
      <w:tr>
        <w:tc>
          <w:tcPr/>
          <w:p>
            <w:pPr>
              <w:pStyle w:val="Compact"/>
              <w:jc w:val="left"/>
            </w:pPr>
            <w:r>
              <w:t xml:space="preserve">TRANSCEND-T2D-1 (Bajaj 2026), PMID 42250575</w:t>
            </w:r>
          </w:p>
        </w:tc>
        <w:tc>
          <w:tcPr/>
          <w:p>
            <w:pPr>
              <w:pStyle w:val="Compact"/>
              <w:jc w:val="left"/>
            </w:pPr>
            <w:r>
              <w:t xml:space="preserve">537 volwassenen met diabetes type 2 zonder medicatie, tegen placebo</w:t>
            </w:r>
          </w:p>
        </w:tc>
        <w:tc>
          <w:tcPr/>
          <w:p>
            <w:pPr>
              <w:pStyle w:val="Compact"/>
              <w:jc w:val="left"/>
            </w:pPr>
            <w:r>
              <w:t xml:space="preserve">40 weken</w:t>
            </w:r>
          </w:p>
        </w:tc>
        <w:tc>
          <w:tcPr/>
          <w:p>
            <w:pPr>
              <w:pStyle w:val="Compact"/>
              <w:jc w:val="left"/>
            </w:pPr>
            <w:r>
              <w:t xml:space="preserve">HbA1c −1,69 tot −1,94 vs. −0,81; gewicht tot −15,3%</w:t>
            </w:r>
          </w:p>
        </w:tc>
      </w:tr>
    </w:tbl>
    <w:p>
      <w:pPr>
        <w:pStyle w:val="BodyText"/>
      </w:pPr>
      <w:r>
        <w:rPr>
          <w:bCs/>
          <w:b/>
        </w:rPr>
        <w:t xml:space="preserve">TRIUMPH-1</w:t>
      </w:r>
      <w:r>
        <w:t xml:space="preserve"> </w:t>
      </w:r>
      <w:r>
        <w:t xml:space="preserve">(Jastreboff 2026, PMID 42814954) is de hoofdstudie. Bij 2.339 volwassenen met obesitas zonder diabetes daalde het lichaamsgewicht na 80 weken bij de hoogste dosis gemiddeld met 25,0%. Ter vergelijking: in SURMOUNT-1 bereikte tirzepatide bij de hoogste dosis na 72 weken 20,9%. Zo’n vergelijking tussen studies met een verschillende duur en populatie geeft echter alleen een ruwe indicatie; de directe vergelijking moet uit een lopende studie komen (zie vooruitzichten).</w:t>
      </w:r>
    </w:p>
    <w:p>
      <w:pPr>
        <w:pStyle w:val="BodyText"/>
      </w:pPr>
      <w:r>
        <w:t xml:space="preserve">In de ingebedde deelstudies:</w:t>
      </w:r>
    </w:p>
    <w:p>
      <w:pPr>
        <w:numPr>
          <w:ilvl w:val="0"/>
          <w:numId w:val="1068"/>
        </w:numPr>
        <w:pStyle w:val="Compact"/>
      </w:pPr>
      <w:r>
        <w:rPr>
          <w:bCs/>
          <w:b/>
        </w:rPr>
        <w:t xml:space="preserve">Knieartrose</w:t>
      </w:r>
      <w:r>
        <w:t xml:space="preserve"> </w:t>
      </w:r>
      <w:r>
        <w:t xml:space="preserve">(574 deelnemers): de pijnscore (WOMAC, schaal 1 tot 10) daalde met 3,5 resp. 3,6 punten bij 9 resp. 12 mg, tegenover 1,9 punten bij placebo.</w:t>
      </w:r>
    </w:p>
    <w:p>
      <w:pPr>
        <w:numPr>
          <w:ilvl w:val="0"/>
          <w:numId w:val="1068"/>
        </w:numPr>
        <w:pStyle w:val="Compact"/>
      </w:pPr>
      <w:r>
        <w:rPr>
          <w:bCs/>
          <w:b/>
        </w:rPr>
        <w:t xml:space="preserve">Slaapapneu</w:t>
      </w:r>
      <w:r>
        <w:t xml:space="preserve"> </w:t>
      </w:r>
      <w:r>
        <w:t xml:space="preserve">(243 deelnemers): de apneu-hypopneu-index daalde met ongeveer 32 tot 34 voorvallen per uur, bij placebo met bijna 10.</w:t>
      </w:r>
    </w:p>
    <w:p>
      <w:pPr>
        <w:pStyle w:val="FirstParagraph"/>
      </w:pPr>
      <w:r>
        <w:rPr>
          <w:bCs/>
          <w:b/>
        </w:rPr>
        <w:t xml:space="preserve">TRIUMPH-2</w:t>
      </w:r>
      <w:r>
        <w:t xml:space="preserve"> </w:t>
      </w:r>
      <w:r>
        <w:t xml:space="preserve">(Bellido 2026, PMID 42810372) bevestigde het bekende patroon dat mensen met diabetes type 2 minder afvallen: −18,8% bij de hoogste dosis tegenover −5,1% bij placebo. Deze studie leverde ook de tot nu toe nauwkeurigste veiligheidsgegevens (zie hieronder).</w:t>
      </w:r>
    </w:p>
    <w:p>
      <w:pPr>
        <w:pStyle w:val="BodyText"/>
      </w:pPr>
      <w:r>
        <w:rPr>
          <w:bCs/>
          <w:b/>
        </w:rPr>
        <w:t xml:space="preserve">TRANSCEND-T2D-1</w:t>
      </w:r>
      <w:r>
        <w:t xml:space="preserve"> </w:t>
      </w:r>
      <w:r>
        <w:t xml:space="preserve">(Bajaj 2026, PMID 42250575) onderzocht retatrutide als enige diabetesbehandeling bij mensen die nog maar kort diabetes hadden. De HbA1c-waarde daalde met tot 1,94 procentpunt, het gewicht met tot 15,3%; ernstige hypoglykemieën kwamen niet voor.</w:t>
      </w:r>
    </w:p>
    <w:p>
      <w:pPr>
        <w:pStyle w:val="BodyText"/>
      </w:pPr>
      <w:r>
        <w:t xml:space="preserve">De studies TRIUMPH-3 (obesitas met hart- en vaatziekte, NCT05882045) en TRIUMPH-4 (knieartrose, NCT05931367) zijn volgens het register afgerond; een collegiaal getoetste publicatie lag bij het afsluiten van de redactie voor deze hoofdstukken nog niet voor.</w:t>
      </w:r>
    </w:p>
    <w:bookmarkEnd w:id="223"/>
    <w:bookmarkEnd w:id="224"/>
    <w:bookmarkStart w:id="225" w:name="dier--en-laboratoriumstudies-5"/>
    <w:p>
      <w:pPr>
        <w:pStyle w:val="Heading3"/>
      </w:pPr>
      <w:r>
        <w:t xml:space="preserve">Dier- en laboratoriumstudies</w:t>
      </w:r>
    </w:p>
    <w:p>
      <w:pPr>
        <w:pStyle w:val="FirstParagraph"/>
      </w:pPr>
      <w:r>
        <w:t xml:space="preserve">De preklinische basis is overwegend afkomstig van de fabrikant. In celkweken activeert retatrutide alle drie de receptoren; bij muizen met overgewicht verlaagde het gewicht en bloedsuiker, waarbij het glucagonaandeel het energieverbruik verhoogde (Coskun 2022, PMID 35985340). Een studie bij muizen met overgewicht beschrijft dat getransplanteerde alvleesklier- en longtumoren onder retatrutide minder vaak aansloegen en langzamer groeiden (Marathe 2025, PMID 40094000) – een dierbevinding waaruit voor mensen niets valt af te leiden.</w:t>
      </w:r>
    </w:p>
    <w:p>
      <w:pPr>
        <w:pStyle w:val="BodyText"/>
      </w:pPr>
      <w:r>
        <w:t xml:space="preserve">Voor de dopinganalyse werd in 2026 een detectiemethode ontwikkeld. Daarvoor werden bloed- en urinemonsters onderzocht van vier personen die retatrutide buiten studies om bij zichzelf hadden geïnjecteerd. In de urine werd geen intact retatrutide gevonden; in het bloed was het tot ongeveer 56 dagen na de eerste injectie aantoonbaar (Carneiro 2026, PMID 42745421). De auteurs verwijzen naar berichten over gebruik onder recreatieve sporters.</w:t>
      </w:r>
    </w:p>
    <w:bookmarkEnd w:id="225"/>
    <w:bookmarkStart w:id="226" w:name="risicos-en-bijwerkingen-5"/>
    <w:p>
      <w:pPr>
        <w:pStyle w:val="Heading3"/>
      </w:pPr>
      <w:r>
        <w:t xml:space="preserve">Risico’s en bijwerkingen</w:t>
      </w:r>
    </w:p>
    <w:p>
      <w:pPr>
        <w:pStyle w:val="FirstParagraph"/>
      </w:pPr>
      <w:r>
        <w:rPr>
          <w:bCs/>
          <w:b/>
        </w:rPr>
        <w:t xml:space="preserve">Aangetoond in studies:</w:t>
      </w:r>
    </w:p>
    <w:p>
      <w:pPr>
        <w:numPr>
          <w:ilvl w:val="0"/>
          <w:numId w:val="1069"/>
        </w:numPr>
        <w:pStyle w:val="Compact"/>
      </w:pPr>
      <w:r>
        <w:rPr>
          <w:bCs/>
          <w:b/>
        </w:rPr>
        <w:t xml:space="preserve">Maag-darmklachten</w:t>
      </w:r>
      <w:r>
        <w:t xml:space="preserve"> </w:t>
      </w:r>
      <w:r>
        <w:t xml:space="preserve">zijn de meest voorkomende bijwerkingen en duidelijk dosisafhankelijk. In TRIUMPH-2 kwam diarree voor bij 27–34% (placebo 13%) en misselijkheid bij 14–28% (placebo 8%) (Bellido 2026, PMID 42810372).</w:t>
      </w:r>
    </w:p>
    <w:p>
      <w:pPr>
        <w:numPr>
          <w:ilvl w:val="0"/>
          <w:numId w:val="1069"/>
        </w:numPr>
        <w:pStyle w:val="Compact"/>
      </w:pPr>
      <w:r>
        <w:rPr>
          <w:bCs/>
          <w:b/>
        </w:rPr>
        <w:t xml:space="preserve">Stoppen met de behandeling:</w:t>
      </w:r>
      <w:r>
        <w:t xml:space="preserve"> </w:t>
      </w:r>
      <w:r>
        <w:t xml:space="preserve">in TRIUMPH-2 stopte 12% (9 mg) resp. 8% (12 mg) met de behandeling vanwege bijwerkingen of overlijden, bij 4 mg 4% en bij placebo 5%.</w:t>
      </w:r>
    </w:p>
    <w:p>
      <w:pPr>
        <w:numPr>
          <w:ilvl w:val="0"/>
          <w:numId w:val="1069"/>
        </w:numPr>
        <w:pStyle w:val="Compact"/>
      </w:pPr>
      <w:r>
        <w:rPr>
          <w:bCs/>
          <w:b/>
        </w:rPr>
        <w:t xml:space="preserve">Dysesthesie</w:t>
      </w:r>
      <w:r>
        <w:t xml:space="preserve"> </w:t>
      </w:r>
      <w:r>
        <w:t xml:space="preserve">– onaangename gevoelsstoornissen van de huid zoals tintelingen, branderigheid of overgevoeligheid voor aanraking – kwam in TRIUMPH-2 dosisafhankelijk voor bij 4–7% tegenover 1% bij placebo. Dit signaal is voor retatrutide relatief nieuw; de oorzaak is onopgehelderd.</w:t>
      </w:r>
    </w:p>
    <w:p>
      <w:pPr>
        <w:numPr>
          <w:ilvl w:val="0"/>
          <w:numId w:val="1069"/>
        </w:numPr>
        <w:pStyle w:val="Compact"/>
      </w:pPr>
      <w:r>
        <w:rPr>
          <w:bCs/>
          <w:b/>
        </w:rPr>
        <w:t xml:space="preserve">Lage bloeddruk</w:t>
      </w:r>
      <w:r>
        <w:t xml:space="preserve"> </w:t>
      </w:r>
      <w:r>
        <w:t xml:space="preserve">(hypotensie): 1–6% tegenover minder dan 1% bij placebo (TRIUMPH-2).</w:t>
      </w:r>
    </w:p>
    <w:p>
      <w:pPr>
        <w:numPr>
          <w:ilvl w:val="0"/>
          <w:numId w:val="1069"/>
        </w:numPr>
        <w:pStyle w:val="Compact"/>
      </w:pPr>
      <w:r>
        <w:rPr>
          <w:bCs/>
          <w:b/>
        </w:rPr>
        <w:t xml:space="preserve">Hartslag:</w:t>
      </w:r>
      <w:r>
        <w:t xml:space="preserve"> </w:t>
      </w:r>
      <w:r>
        <w:t xml:space="preserve">in de fase 2-studie steeg de polsslag dosisafhankelijk en daalde na 24 weken weer (Jastreboff 2023, PMID 37366315). Een hogere rustpols is bij alle GLP-1-middelen bekend; of die bij de drievoudige agonist klinisch van belang is, moeten de eindpuntstudies uitwijzen.</w:t>
      </w:r>
    </w:p>
    <w:p>
      <w:pPr>
        <w:numPr>
          <w:ilvl w:val="0"/>
          <w:numId w:val="1069"/>
        </w:numPr>
        <w:pStyle w:val="Compact"/>
      </w:pPr>
      <w:r>
        <w:rPr>
          <w:bCs/>
          <w:b/>
        </w:rPr>
        <w:t xml:space="preserve">Verlies van vetvrije massa:</w:t>
      </w:r>
      <w:r>
        <w:t xml:space="preserve"> </w:t>
      </w:r>
      <w:r>
        <w:t xml:space="preserve">zoals bij elk sterk gewichtsverlies (zie tirzepatide).</w:t>
      </w:r>
    </w:p>
    <w:p>
      <w:pPr>
        <w:pStyle w:val="FirstParagraph"/>
      </w:pPr>
      <w:r>
        <w:rPr>
          <w:bCs/>
          <w:b/>
        </w:rPr>
        <w:t xml:space="preserve">Theoretisch of nog onvoldoende onderzocht:</w:t>
      </w:r>
      <w:r>
        <w:t xml:space="preserve"> </w:t>
      </w:r>
      <w:r>
        <w:t xml:space="preserve">het glucagonaandeel zou op lange termijn gevolgen kunnen hebben voor de aminozuurstofwisseling, het hartritme en de botten; betrouwbare langetermijngegevens daarover zijn er niet. Voor de klasserisico’s van de GLP-1-middelen (galblaas, alvleesklier, C-cellen van de schildklier in dierproeven) zijn voor retatrutide nog te weinig patiëntjaren beschikbaar om er eigen uitspraken over te doen.</w:t>
      </w:r>
    </w:p>
    <w:p>
      <w:pPr>
        <w:pStyle w:val="BodyText"/>
      </w:pPr>
      <w:r>
        <w:rPr>
          <w:bCs/>
          <w:b/>
        </w:rPr>
        <w:t xml:space="preserve">Grijze markt:</w:t>
      </w:r>
      <w:r>
        <w:t xml:space="preserve"> </w:t>
      </w:r>
      <w:r>
        <w:t xml:space="preserve">retatrutide wordt sinds de publicatie van fase 2 op internet aangeboden als</w:t>
      </w:r>
      <w:r>
        <w:t xml:space="preserve"> </w:t>
      </w:r>
      <w:r>
        <w:t xml:space="preserve">‘</w:t>
      </w:r>
      <w:r>
        <w:t xml:space="preserve">research peptide</w:t>
      </w:r>
      <w:r>
        <w:t xml:space="preserve">’</w:t>
      </w:r>
      <w:r>
        <w:t xml:space="preserve">; het vaktijdschrift JAMA berichtte in 2026 over een groeiende zwarte markt voor retatrutide en zenagamtide (Rubin 2026, PMID 42853576). Deze producten zijn geen geneesmiddelen, hun inhoud is niet gecontroleerd en de in studies gebruikte schema’s voor dosisopbouw zijn er niet betrouwbaar mee na te bootsen. De opeenstapeling van bijwerkingen bij snelle dosisverhoging in de studies laat zien dat juist dit punt doorslaggevend is voor de verdraagbaarheid. Zie daarover deel I en deel IV.</w:t>
      </w:r>
    </w:p>
    <w:bookmarkEnd w:id="226"/>
    <w:bookmarkStart w:id="227" w:name="juridische-status-5"/>
    <w:p>
      <w:pPr>
        <w:pStyle w:val="Heading3"/>
      </w:pPr>
      <w:r>
        <w:t xml:space="preserve">Juridische status</w:t>
      </w:r>
    </w:p>
    <w:p>
      <w:pPr>
        <w:numPr>
          <w:ilvl w:val="0"/>
          <w:numId w:val="1070"/>
        </w:numPr>
        <w:pStyle w:val="Compact"/>
      </w:pPr>
      <w:r>
        <w:rPr>
          <w:bCs/>
          <w:b/>
        </w:rPr>
        <w:t xml:space="preserve">EU / Oostenrijk / Duitsland:</w:t>
      </w:r>
      <w:r>
        <w:t xml:space="preserve"> </w:t>
      </w:r>
      <w:r>
        <w:t xml:space="preserve">niet geregistreerd. Retatrutide mag alleen in het kader van klinische studies worden toegepast. De verkoop als</w:t>
      </w:r>
      <w:r>
        <w:t xml:space="preserve"> </w:t>
      </w:r>
      <w:r>
        <w:t xml:space="preserve">‘</w:t>
      </w:r>
      <w:r>
        <w:t xml:space="preserve">onderzoekschemicalie</w:t>
      </w:r>
      <w:r>
        <w:t xml:space="preserve">’</w:t>
      </w:r>
      <w:r>
        <w:t xml:space="preserve"> </w:t>
      </w:r>
      <w:r>
        <w:t xml:space="preserve">voor gebruik bij mensen is volgens het geneesmiddelenrecht niet toegestaan.</w:t>
      </w:r>
    </w:p>
    <w:p>
      <w:pPr>
        <w:numPr>
          <w:ilvl w:val="0"/>
          <w:numId w:val="1070"/>
        </w:numPr>
        <w:pStyle w:val="Compact"/>
      </w:pPr>
      <w:r>
        <w:rPr>
          <w:bCs/>
          <w:b/>
        </w:rPr>
        <w:t xml:space="preserve">VS:</w:t>
      </w:r>
      <w:r>
        <w:t xml:space="preserve"> </w:t>
      </w:r>
      <w:r>
        <w:t xml:space="preserve">niet geregistreerd (stand oktober 2026). In het register staat een programma voor uitgebreide toegang vóór de registratie (</w:t>
      </w:r>
      <w:r>
        <w:t xml:space="preserve">‘</w:t>
      </w:r>
      <w:r>
        <w:t xml:space="preserve">Expanded Access</w:t>
      </w:r>
      <w:r>
        <w:t xml:space="preserve">’</w:t>
      </w:r>
      <w:r>
        <w:t xml:space="preserve">) ingeschreven (NCT07629401). Of en wanneer een registratieaanvraag wordt of werd ingediend: actuele situatie controleren.</w:t>
      </w:r>
    </w:p>
    <w:p>
      <w:pPr>
        <w:numPr>
          <w:ilvl w:val="0"/>
          <w:numId w:val="1070"/>
        </w:numPr>
        <w:pStyle w:val="Compact"/>
      </w:pPr>
      <w:r>
        <w:rPr>
          <w:bCs/>
          <w:b/>
        </w:rPr>
        <w:t xml:space="preserve">Sport:</w:t>
      </w:r>
      <w:r>
        <w:t xml:space="preserve"> </w:t>
      </w:r>
      <w:r>
        <w:t xml:space="preserve">als niet-geregistreerde werkzame stof valt retatrutide onder WADA-klasse S0 (stand 2026, actuele situatie controleren). Een specifieke detectiemethode in het bloed is beschreven.</w:t>
      </w:r>
    </w:p>
    <w:bookmarkEnd w:id="227"/>
    <w:bookmarkStart w:id="228" w:name="lopende-studies-en-vooruitzichten-5"/>
    <w:p>
      <w:pPr>
        <w:pStyle w:val="Heading3"/>
      </w:pPr>
      <w:r>
        <w:t xml:space="preserve">Lopende studies en vooruitzichten</w:t>
      </w:r>
    </w:p>
    <w:p>
      <w:pPr>
        <w:pStyle w:val="FirstParagraph"/>
      </w:pPr>
      <w:r>
        <w:rPr>
          <w:bCs/>
          <w:b/>
        </w:rPr>
        <w:t xml:space="preserve">Vaststaand (geregistreerde studies, stand oktober 2026):</w:t>
      </w:r>
    </w:p>
    <w:p>
      <w:pPr>
        <w:numPr>
          <w:ilvl w:val="0"/>
          <w:numId w:val="1071"/>
        </w:numPr>
        <w:pStyle w:val="Compact"/>
      </w:pPr>
      <w:r>
        <w:rPr>
          <w:bCs/>
          <w:b/>
        </w:rPr>
        <w:t xml:space="preserve">TRIUMPH-Outcomes</w:t>
      </w:r>
      <w:r>
        <w:t xml:space="preserve"> </w:t>
      </w:r>
      <w:r>
        <w:t xml:space="preserve">(NCT06383390): eindpuntstudie naar hart- en vaat- en nierincidenten met ongeveer 10.000 deelnemers met obesitas, gepland einde 2029.</w:t>
      </w:r>
    </w:p>
    <w:p>
      <w:pPr>
        <w:numPr>
          <w:ilvl w:val="0"/>
          <w:numId w:val="1071"/>
        </w:numPr>
        <w:pStyle w:val="Compact"/>
      </w:pPr>
      <w:r>
        <w:rPr>
          <w:bCs/>
          <w:b/>
        </w:rPr>
        <w:t xml:space="preserve">Retatrutide tegen tirzepatide</w:t>
      </w:r>
      <w:r>
        <w:t xml:space="preserve"> </w:t>
      </w:r>
      <w:r>
        <w:t xml:space="preserve">(NCT06662383): directe vergelijking bij 800 volwassenen met obesitas, gepland einde van de studie december 2026.</w:t>
      </w:r>
    </w:p>
    <w:p>
      <w:pPr>
        <w:numPr>
          <w:ilvl w:val="0"/>
          <w:numId w:val="1071"/>
        </w:numPr>
        <w:pStyle w:val="Compact"/>
      </w:pPr>
      <w:r>
        <w:rPr>
          <w:bCs/>
          <w:b/>
        </w:rPr>
        <w:t xml:space="preserve">Retatrutide tegen semaglutide</w:t>
      </w:r>
      <w:r>
        <w:t xml:space="preserve"> </w:t>
      </w:r>
      <w:r>
        <w:t xml:space="preserve">bij diabetes type 2 (NCT06260722).</w:t>
      </w:r>
    </w:p>
    <w:p>
      <w:pPr>
        <w:numPr>
          <w:ilvl w:val="0"/>
          <w:numId w:val="1071"/>
        </w:numPr>
        <w:pStyle w:val="Compact"/>
      </w:pPr>
      <w:r>
        <w:rPr>
          <w:bCs/>
          <w:b/>
        </w:rPr>
        <w:t xml:space="preserve">Gewichtsbehoud</w:t>
      </w:r>
      <w:r>
        <w:t xml:space="preserve"> </w:t>
      </w:r>
      <w:r>
        <w:t xml:space="preserve">na afvallen (NCT06859268),</w:t>
      </w:r>
      <w:r>
        <w:t xml:space="preserve"> </w:t>
      </w:r>
      <w:r>
        <w:rPr>
          <w:bCs/>
          <w:b/>
        </w:rPr>
        <w:t xml:space="preserve">nierfunctie</w:t>
      </w:r>
      <w:r>
        <w:t xml:space="preserve"> </w:t>
      </w:r>
      <w:r>
        <w:t xml:space="preserve">bij diabetes type 2 met nierinsufficiëntie (NCT06297603),</w:t>
      </w:r>
      <w:r>
        <w:t xml:space="preserve"> </w:t>
      </w:r>
      <w:r>
        <w:rPr>
          <w:bCs/>
          <w:b/>
        </w:rPr>
        <w:t xml:space="preserve">chronische rugpijn</w:t>
      </w:r>
      <w:r>
        <w:t xml:space="preserve"> </w:t>
      </w:r>
      <w:r>
        <w:t xml:space="preserve">bij obesitas (NCT07035093).</w:t>
      </w:r>
    </w:p>
    <w:p>
      <w:pPr>
        <w:numPr>
          <w:ilvl w:val="0"/>
          <w:numId w:val="1071"/>
        </w:numPr>
        <w:pStyle w:val="Compact"/>
      </w:pPr>
      <w:r>
        <w:t xml:space="preserve">Retatrutide maakt bovendien deel uit van een fase 3-masterprotocol voor leververvetting (NCT07165028).</w:t>
      </w:r>
    </w:p>
    <w:p>
      <w:pPr>
        <w:pStyle w:val="FirstParagraph"/>
      </w:pPr>
      <w:r>
        <w:rPr>
          <w:bCs/>
          <w:b/>
        </w:rPr>
        <w:t xml:space="preserve">Inschatting:</w:t>
      </w:r>
      <w:r>
        <w:t xml:space="preserve"> </w:t>
      </w:r>
      <w:r>
        <w:t xml:space="preserve">na de gegevens van TRIUMPH-1 en TRIUMPH-2 valt te verwachten dat registratieaanvragen in de VS en de EU volgen; een marktintroductie in 2027 of 2028 lijkt aannemelijk, maar staat niet vast. Of extra gewichtsverlies ten opzichte van tirzepatide opweegt tegen de iets hogere uitvalpercentages en het nieuwe signaal van dysesthesie, zal de directe vergelijking laten zien. Voor veel mensen is een gemiddeld, goed verdraagbaar gewichtsverlies belangrijker dan een recordwaarde.</w:t>
      </w:r>
    </w:p>
    <w:bookmarkEnd w:id="228"/>
    <w:bookmarkStart w:id="229" w:name="conclusie-5"/>
    <w:p>
      <w:pPr>
        <w:pStyle w:val="Heading3"/>
      </w:pPr>
      <w:r>
        <w:t xml:space="preserve">Conclusie</w:t>
      </w:r>
    </w:p>
    <w:p>
      <w:pPr>
        <w:pStyle w:val="FirstParagraph"/>
      </w:pPr>
      <w:r>
        <w:t xml:space="preserve">Retatrutide is een drievoudige agonist op de GIP-, GLP-1- en glucagonreceptor en heeft in de fase 3-studie TRIUMPH-1 een gemiddeld gewichtsverlies van 25,0% na 80 weken bereikt – de hoogste waarde die tot nu toe in een grote geneesmiddelenstudie is gemeten. Ook bij diabetes type 2, knieartrose en slaapapneu waren duidelijke effecten te zien. De bijwerkingen betreffen vooral het maag-darmkanaal; nieuw zijn gevoelsstoornissen van de huid, en de uitvalpercentages stijgen bij hoge doses. Gegevens over hart- en vaatincidenten en een registratie zijn er nog niet. Producten van de grijze markt met het opschrift</w:t>
      </w:r>
      <w:r>
        <w:t xml:space="preserve"> </w:t>
      </w:r>
      <w:r>
        <w:t xml:space="preserve">‘</w:t>
      </w:r>
      <w:r>
        <w:t xml:space="preserve">Retatrutide</w:t>
      </w:r>
      <w:r>
        <w:t xml:space="preserve">’</w:t>
      </w:r>
      <w:r>
        <w:t xml:space="preserve"> </w:t>
      </w:r>
      <w:r>
        <w:t xml:space="preserve">zijn geen veilige kortere weg naar dit geneesmiddel.</w:t>
      </w:r>
    </w:p>
    <w:bookmarkEnd w:id="229"/>
    <w:bookmarkEnd w:id="230"/>
    <w:bookmarkStart w:id="241" w:name="survodutide"/>
    <w:p>
      <w:pPr>
        <w:pStyle w:val="Heading2"/>
      </w:pPr>
      <w:r>
        <w:t xml:space="preserve">Survodutide</w:t>
      </w:r>
    </w:p>
    <w:bookmarkStart w:id="231" w:name="profiel-6"/>
    <w:p>
      <w:pPr>
        <w:pStyle w:val="Heading3"/>
      </w:pPr>
      <w:r>
        <w:t xml:space="preserve">Profiel</w:t>
      </w:r>
    </w:p>
    <w:p>
      <w:pPr>
        <w:numPr>
          <w:ilvl w:val="0"/>
          <w:numId w:val="1072"/>
        </w:numPr>
        <w:pStyle w:val="Compact"/>
      </w:pPr>
      <w:r>
        <w:rPr>
          <w:bCs/>
          <w:b/>
        </w:rPr>
        <w:t xml:space="preserve">Soort/structuur:</w:t>
      </w:r>
      <w:r>
        <w:t xml:space="preserve"> </w:t>
      </w:r>
      <w:r>
        <w:t xml:space="preserve">synthetisch, met een vetzuur gemodificeerd peptide voor toediening eenmaal per week onder de huid; ontwikkelingscode BI 456906.</w:t>
      </w:r>
    </w:p>
    <w:p>
      <w:pPr>
        <w:numPr>
          <w:ilvl w:val="0"/>
          <w:numId w:val="1072"/>
        </w:numPr>
        <w:pStyle w:val="Compact"/>
      </w:pPr>
      <w:r>
        <w:rPr>
          <w:bCs/>
          <w:b/>
        </w:rPr>
        <w:t xml:space="preserve">Herkomst:</w:t>
      </w:r>
      <w:r>
        <w:t xml:space="preserve"> </w:t>
      </w:r>
      <w:r>
        <w:t xml:space="preserve">ontwikkeld door Boehringer Ingelheim in samenwerking met het Deense bedrijf Zealand Pharma.</w:t>
      </w:r>
    </w:p>
    <w:p>
      <w:pPr>
        <w:numPr>
          <w:ilvl w:val="0"/>
          <w:numId w:val="1072"/>
        </w:numPr>
        <w:pStyle w:val="Compact"/>
      </w:pPr>
      <w:r>
        <w:rPr>
          <w:bCs/>
          <w:b/>
        </w:rPr>
        <w:t xml:space="preserve">Werkingsprincipe:</w:t>
      </w:r>
      <w:r>
        <w:t xml:space="preserve"> </w:t>
      </w:r>
      <w:r>
        <w:t xml:space="preserve">dubbele agonist op de glucagonreceptor en de GLP-1-receptor (zonder GIP-aandeel).</w:t>
      </w:r>
    </w:p>
    <w:p>
      <w:pPr>
        <w:numPr>
          <w:ilvl w:val="0"/>
          <w:numId w:val="1072"/>
        </w:numPr>
        <w:pStyle w:val="Compact"/>
      </w:pPr>
      <w:r>
        <w:rPr>
          <w:bCs/>
          <w:b/>
        </w:rPr>
        <w:t xml:space="preserve">Registratie EU:</w:t>
      </w:r>
      <w:r>
        <w:t xml:space="preserve"> </w:t>
      </w:r>
      <w:r>
        <w:t xml:space="preserve">nee (stand oktober 2026).</w:t>
      </w:r>
    </w:p>
    <w:p>
      <w:pPr>
        <w:numPr>
          <w:ilvl w:val="0"/>
          <w:numId w:val="1072"/>
        </w:numPr>
        <w:pStyle w:val="Compact"/>
      </w:pPr>
      <w:r>
        <w:rPr>
          <w:bCs/>
          <w:b/>
        </w:rPr>
        <w:t xml:space="preserve">Registratie VS:</w:t>
      </w:r>
      <w:r>
        <w:t xml:space="preserve"> </w:t>
      </w:r>
      <w:r>
        <w:t xml:space="preserve">nee (stand oktober 2026).</w:t>
      </w:r>
    </w:p>
    <w:p>
      <w:pPr>
        <w:numPr>
          <w:ilvl w:val="0"/>
          <w:numId w:val="1072"/>
        </w:numPr>
        <w:pStyle w:val="Compact"/>
      </w:pPr>
      <w:r>
        <w:rPr>
          <w:bCs/>
          <w:b/>
        </w:rPr>
        <w:t xml:space="preserve">WADA:</w:t>
      </w:r>
      <w:r>
        <w:t xml:space="preserve"> </w:t>
      </w:r>
      <w:r>
        <w:t xml:space="preserve">als nergens geregistreerde werkzame stof verboden onder S0</w:t>
      </w:r>
      <w:r>
        <w:t xml:space="preserve"> </w:t>
      </w:r>
      <w:r>
        <w:t xml:space="preserve">‘</w:t>
      </w:r>
      <w:r>
        <w:t xml:space="preserve">Niet-goedgekeurde stoffen</w:t>
      </w:r>
      <w:r>
        <w:t xml:space="preserve">’</w:t>
      </w:r>
      <w:r>
        <w:t xml:space="preserve"> </w:t>
      </w:r>
      <w:r>
        <w:t xml:space="preserve">(stand 2026, actuele situatie controleren).</w:t>
      </w:r>
    </w:p>
    <w:p>
      <w:pPr>
        <w:numPr>
          <w:ilvl w:val="0"/>
          <w:numId w:val="1072"/>
        </w:numPr>
        <w:pStyle w:val="Compact"/>
      </w:pPr>
      <w:r>
        <w:rPr>
          <w:bCs/>
          <w:b/>
        </w:rPr>
        <w:t xml:space="preserve">Bewijsniveau:</w:t>
      </w:r>
      <w:r>
        <w:t xml:space="preserve"> </w:t>
      </w:r>
      <w:r>
        <w:rPr>
          <w:bCs/>
          <w:b/>
        </w:rPr>
        <w:t xml:space="preserve">B</w:t>
      </w:r>
      <w:r>
        <w:t xml:space="preserve"> </w:t>
      </w:r>
      <w:r>
        <w:t xml:space="preserve">– gerandomiseerde fase 2- en eerste fase 3-studies gepubliceerd, geen registratie.</w:t>
      </w:r>
    </w:p>
    <w:bookmarkEnd w:id="231"/>
    <w:bookmarkStart w:id="232" w:name="hoe-het-zou-moeten-werken-6"/>
    <w:p>
      <w:pPr>
        <w:pStyle w:val="Heading3"/>
      </w:pPr>
      <w:r>
        <w:t xml:space="preserve">Hoe het zou moeten werken</w:t>
      </w:r>
    </w:p>
    <w:p>
      <w:pPr>
        <w:pStyle w:val="FirstParagraph"/>
      </w:pPr>
      <w:r>
        <w:t xml:space="preserve">Survodutide combineert twee darm- resp. alvleesklierhormonen: GLP-1, dat verzadiging bevordert en de insulineafgifte versterkt, en glucagon, dat het energieverbruik verhoogt en de lever aanzet tot vetafbraak. Terwijl tirzepatide inzet op GIP plus GLP-1 en retatrutide alle drie de signalen verenigt, ziet survodutide af van het GIP-aandeel en legt het in plaats daarvan de nadruk op de glucagonwerking. De fabrikant richt zich daarmee vooral op de lever: de leververvettingsziekte MASH is naast obesitas het tweede belangrijke ontwikkelingsgebied.</w:t>
      </w:r>
    </w:p>
    <w:p>
      <w:pPr>
        <w:pStyle w:val="BodyText"/>
      </w:pPr>
      <w:r>
        <w:t xml:space="preserve">Uit 19 vergelijkbare kandidaten werd survodutide gekozen omdat het in dierproeven beide receptoren evenwichtig aansprak. Bij muizen met overgewicht daalde het lichaamsgewicht met ongeveer een kwart (Thomas 2024, PMID 38560764). Onderzoek bij muizen wijst erop dat het eetlustremmende effect in de hersenen vooral via de GLP-1-receptor verloopt; het glucagonaandeel werkt eerder in het lichaam, bijvoorbeeld in de lever (Zimmermann 2026, PMID 41638399). Dit zijn dierbevindingen; bij de mens wordt het effect op het energieverbruik momenteel in een eigen studie gemeten (NCT06745284).</w:t>
      </w:r>
    </w:p>
    <w:bookmarkEnd w:id="232"/>
    <w:bookmarkStart w:id="235" w:name="studies-bij-mensen-6"/>
    <w:p>
      <w:pPr>
        <w:pStyle w:val="Heading3"/>
      </w:pPr>
      <w:r>
        <w:t xml:space="preserve">Studies bij mensen</w:t>
      </w:r>
    </w:p>
    <w:p>
      <w:pPr>
        <w:pStyle w:val="FirstParagraph"/>
      </w:pPr>
      <w:r>
        <w:rPr>
          <w:bCs/>
          <w:b/>
        </w:rPr>
        <w:t xml:space="preserve">Omvang van het onderzoek:</w:t>
      </w:r>
      <w:r>
        <w:t xml:space="preserve"> </w:t>
      </w:r>
      <w:r>
        <w:t xml:space="preserve">De geautomatiseerde PubMed-zoekopdracht (oktober 2026) leverde 10 studies bij mensen op; daarbij komt de gericht nagezochte publicatie van de fase 3-studie SYNCHRONIZE-2. Op ClinicalTrials.gov waren 29 studies geregistreerd, waaronder het fase 3-programma SYNCHRONIZE (obesitas) en LIVERAGE (MASH).</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Deelnemers en design</w:t>
            </w:r>
          </w:p>
        </w:tc>
        <w:tc>
          <w:tcPr/>
          <w:p>
            <w:pPr>
              <w:pStyle w:val="Compact"/>
              <w:jc w:val="left"/>
            </w:pPr>
            <w:r>
              <w:t xml:space="preserve">Duur</w:t>
            </w:r>
          </w:p>
        </w:tc>
        <w:tc>
          <w:tcPr/>
          <w:p>
            <w:pPr>
              <w:pStyle w:val="Compact"/>
              <w:jc w:val="left"/>
            </w:pPr>
            <w:r>
              <w:t xml:space="preserve">Resultaat</w:t>
            </w:r>
          </w:p>
        </w:tc>
      </w:tr>
      <w:tr>
        <w:tc>
          <w:tcPr/>
          <w:p>
            <w:pPr>
              <w:pStyle w:val="Compact"/>
              <w:jc w:val="left"/>
            </w:pPr>
            <w:r>
              <w:t xml:space="preserve">Fase 2 diabetes type 2 (Blüher 2024), PMID 38095657</w:t>
            </w:r>
          </w:p>
        </w:tc>
        <w:tc>
          <w:tcPr/>
          <w:p>
            <w:pPr>
              <w:pStyle w:val="Compact"/>
              <w:jc w:val="left"/>
            </w:pPr>
            <w:r>
              <w:t xml:space="preserve">413 volwassenen met metformine, tegen placebo en open-label semaglutide</w:t>
            </w:r>
          </w:p>
        </w:tc>
        <w:tc>
          <w:tcPr/>
          <w:p>
            <w:pPr>
              <w:pStyle w:val="Compact"/>
              <w:jc w:val="left"/>
            </w:pPr>
            <w:r>
              <w:t xml:space="preserve">16 weken</w:t>
            </w:r>
          </w:p>
        </w:tc>
        <w:tc>
          <w:tcPr/>
          <w:p>
            <w:pPr>
              <w:pStyle w:val="Compact"/>
              <w:jc w:val="left"/>
            </w:pPr>
            <w:r>
              <w:t xml:space="preserve">HbA1c tot −1,71 punt; gewicht tot −8,7% (semaglutide −5,3%)</w:t>
            </w:r>
          </w:p>
        </w:tc>
      </w:tr>
      <w:tr>
        <w:tc>
          <w:tcPr/>
          <w:p>
            <w:pPr>
              <w:pStyle w:val="Compact"/>
              <w:jc w:val="left"/>
            </w:pPr>
            <w:r>
              <w:t xml:space="preserve">Fase 2 obesitas (le Roux 2024), PMID 38330987</w:t>
            </w:r>
          </w:p>
        </w:tc>
        <w:tc>
          <w:tcPr/>
          <w:p>
            <w:pPr>
              <w:pStyle w:val="Compact"/>
              <w:jc w:val="left"/>
            </w:pPr>
            <w:r>
              <w:t xml:space="preserve">387 volwassenen zonder diabetes, tegen placebo</w:t>
            </w:r>
          </w:p>
        </w:tc>
        <w:tc>
          <w:tcPr/>
          <w:p>
            <w:pPr>
              <w:pStyle w:val="Compact"/>
              <w:jc w:val="left"/>
            </w:pPr>
            <w:r>
              <w:t xml:space="preserve">46 weken</w:t>
            </w:r>
          </w:p>
        </w:tc>
        <w:tc>
          <w:tcPr/>
          <w:p>
            <w:pPr>
              <w:pStyle w:val="Compact"/>
              <w:jc w:val="left"/>
            </w:pPr>
            <w:r>
              <w:t xml:space="preserve">−6,2 tot −14,9% gewicht vs. −2,8%</w:t>
            </w:r>
          </w:p>
        </w:tc>
      </w:tr>
      <w:tr>
        <w:tc>
          <w:tcPr/>
          <w:p>
            <w:pPr>
              <w:pStyle w:val="Compact"/>
              <w:jc w:val="left"/>
            </w:pPr>
            <w:r>
              <w:t xml:space="preserve">Fase 2 MASH (Sanyal 2024), PMID 38847460</w:t>
            </w:r>
          </w:p>
        </w:tc>
        <w:tc>
          <w:tcPr/>
          <w:p>
            <w:pPr>
              <w:pStyle w:val="Compact"/>
              <w:jc w:val="left"/>
            </w:pPr>
            <w:r>
              <w:t xml:space="preserve">293 volwassenen met met biopsie bevestigde MASH en fibrose F1–F3</w:t>
            </w:r>
          </w:p>
        </w:tc>
        <w:tc>
          <w:tcPr/>
          <w:p>
            <w:pPr>
              <w:pStyle w:val="Compact"/>
              <w:jc w:val="left"/>
            </w:pPr>
            <w:r>
              <w:t xml:space="preserve">48 weken</w:t>
            </w:r>
          </w:p>
        </w:tc>
        <w:tc>
          <w:tcPr/>
          <w:p>
            <w:pPr>
              <w:pStyle w:val="Compact"/>
              <w:jc w:val="left"/>
            </w:pPr>
            <w:r>
              <w:t xml:space="preserve">verbetering van MASH bij 43–62% vs. 14%</w:t>
            </w:r>
          </w:p>
        </w:tc>
      </w:tr>
      <w:tr>
        <w:tc>
          <w:tcPr/>
          <w:p>
            <w:pPr>
              <w:pStyle w:val="Compact"/>
              <w:jc w:val="left"/>
            </w:pPr>
            <w:r>
              <w:t xml:space="preserve">SYNCHRONIZE-1 (le Roux 2026), PMID 42253238</w:t>
            </w:r>
          </w:p>
        </w:tc>
        <w:tc>
          <w:tcPr/>
          <w:p>
            <w:pPr>
              <w:pStyle w:val="Compact"/>
              <w:jc w:val="left"/>
            </w:pPr>
            <w:r>
              <w:t xml:space="preserve">725 volwassenen met obesitas zonder diabetes, tegen placebo</w:t>
            </w:r>
          </w:p>
        </w:tc>
        <w:tc>
          <w:tcPr/>
          <w:p>
            <w:pPr>
              <w:pStyle w:val="Compact"/>
              <w:jc w:val="left"/>
            </w:pPr>
            <w:r>
              <w:t xml:space="preserve">76 weken</w:t>
            </w:r>
          </w:p>
        </w:tc>
        <w:tc>
          <w:tcPr/>
          <w:p>
            <w:pPr>
              <w:pStyle w:val="Compact"/>
              <w:jc w:val="left"/>
            </w:pPr>
            <w:r>
              <w:t xml:space="preserve">−12,2 / −13,0% (3,6/6,0 mg) vs. −5,4%</w:t>
            </w:r>
          </w:p>
        </w:tc>
      </w:tr>
      <w:tr>
        <w:tc>
          <w:tcPr/>
          <w:p>
            <w:pPr>
              <w:pStyle w:val="Compact"/>
              <w:jc w:val="left"/>
            </w:pPr>
            <w:r>
              <w:t xml:space="preserve">SYNCHRONIZE-2 (Wharton 2026), PMID 42820639</w:t>
            </w:r>
          </w:p>
        </w:tc>
        <w:tc>
          <w:tcPr/>
          <w:p>
            <w:pPr>
              <w:pStyle w:val="Compact"/>
              <w:jc w:val="left"/>
            </w:pPr>
            <w:r>
              <w:t xml:space="preserve">752 volwassenen met obesitas en diabetes type 2, tegen placebo</w:t>
            </w:r>
          </w:p>
        </w:tc>
        <w:tc>
          <w:tcPr/>
          <w:p>
            <w:pPr>
              <w:pStyle w:val="Compact"/>
              <w:jc w:val="left"/>
            </w:pPr>
            <w:r>
              <w:t xml:space="preserve">76 weken</w:t>
            </w:r>
          </w:p>
        </w:tc>
        <w:tc>
          <w:tcPr/>
          <w:p>
            <w:pPr>
              <w:pStyle w:val="Compact"/>
              <w:jc w:val="left"/>
            </w:pPr>
            <w:r>
              <w:t xml:space="preserve">−8,2 / −9,8% vs. −3,9%</w:t>
            </w:r>
          </w:p>
        </w:tc>
      </w:tr>
      <w:tr>
        <w:tc>
          <w:tcPr/>
          <w:p>
            <w:pPr>
              <w:pStyle w:val="Compact"/>
              <w:jc w:val="left"/>
            </w:pPr>
            <w:r>
              <w:t xml:space="preserve">SYNCHRONIZE-MASLD (Kaplan 2026), PMID 42252333</w:t>
            </w:r>
          </w:p>
        </w:tc>
        <w:tc>
          <w:tcPr/>
          <w:p>
            <w:pPr>
              <w:pStyle w:val="Compact"/>
              <w:jc w:val="left"/>
            </w:pPr>
            <w:r>
              <w:t xml:space="preserve">216 volwassenen met obesitas en leververvetting met risicotekenen</w:t>
            </w:r>
          </w:p>
        </w:tc>
        <w:tc>
          <w:tcPr/>
          <w:p>
            <w:pPr>
              <w:pStyle w:val="Compact"/>
              <w:jc w:val="left"/>
            </w:pPr>
            <w:r>
              <w:t xml:space="preserve">48 weken</w:t>
            </w:r>
          </w:p>
        </w:tc>
        <w:tc>
          <w:tcPr/>
          <w:p>
            <w:pPr>
              <w:pStyle w:val="Compact"/>
              <w:jc w:val="left"/>
            </w:pPr>
            <w:r>
              <w:t xml:space="preserve">levervet −30% of meer bij 84,2% vs. 24,3%</w:t>
            </w:r>
          </w:p>
        </w:tc>
      </w:tr>
    </w:tbl>
    <w:bookmarkStart w:id="233" w:name="obesitas-en-diabetes-type-2"/>
    <w:p>
      <w:pPr>
        <w:pStyle w:val="Heading4"/>
      </w:pPr>
      <w:r>
        <w:t xml:space="preserve">Obesitas en diabetes type 2</w:t>
      </w:r>
    </w:p>
    <w:p>
      <w:pPr>
        <w:pStyle w:val="FirstParagraph"/>
      </w:pPr>
      <w:r>
        <w:t xml:space="preserve">De fase 2-studie bij obesitas (le Roux 2024, PMID 38330987) liet na 46 weken een dosisafhankelijk gewichtsverlies zien van tot 14,9%. Opvallend was het hoge uitvalpercentage: slechts 61% van de deelnemers met survodutide voltooide de 46 behandelweken, maar ook slechts 60% met placebo. Maag-darmbijwerkingen kwamen voor bij 75% met survodutide en 42% met placebo. De dosisopbouw was in deze studie relatief snel.</w:t>
      </w:r>
    </w:p>
    <w:p>
      <w:pPr>
        <w:pStyle w:val="BodyText"/>
      </w:pPr>
      <w:r>
        <w:t xml:space="preserve">In de fase 3-studie</w:t>
      </w:r>
      <w:r>
        <w:t xml:space="preserve"> </w:t>
      </w:r>
      <w:r>
        <w:rPr>
          <w:bCs/>
          <w:b/>
        </w:rPr>
        <w:t xml:space="preserve">SYNCHRONIZE-1</w:t>
      </w:r>
      <w:r>
        <w:t xml:space="preserve"> </w:t>
      </w:r>
      <w:r>
        <w:t xml:space="preserve">(le Roux 2026, PMID 42253238) werd de dosis langzamer opgebouwd. Na 76 weken verloren de deelnemers bij de hogere dosis 13,0% van hun lichaamsgewicht, bij placebo 5,4%. Dat ligt onder de waarden die tirzepatide of retatrutide in vergelijkbaar opgezette studies bereikten. Daarbij moet worden bedacht dat de hoofdanalyse alle personen omvatte – ook degenen die met de behandeling stopten of bij wie de dosisopbouw werd verlengd. Maag-darmklachten troffen 80,9% resp. 89,7% tegenover 47,9% bij placebo; sterfgevallen kwamen niet voor.</w:t>
      </w:r>
    </w:p>
    <w:p>
      <w:pPr>
        <w:pStyle w:val="BodyText"/>
      </w:pPr>
      <w:r>
        <w:rPr>
          <w:bCs/>
          <w:b/>
        </w:rPr>
        <w:t xml:space="preserve">SYNCHRONIZE-2</w:t>
      </w:r>
      <w:r>
        <w:t xml:space="preserve"> </w:t>
      </w:r>
      <w:r>
        <w:t xml:space="preserve">(Wharton 2026, PMID 42820639) onderzocht 752 mensen met obesitas en diabetes type 2. Het gewichtsverlies bedroeg na 76 weken 8,2% resp. 9,8% tegenover 3,9% bij placebo; de HbA1c-waarde daalde vanaf 7,4% met 0,8 tot 0,9 procentpunt.</w:t>
      </w:r>
    </w:p>
    <w:p>
      <w:pPr>
        <w:pStyle w:val="BodyText"/>
      </w:pPr>
      <w:r>
        <w:t xml:space="preserve">In de fase 2-studie bij diabetes type 2 verlaagde survodutide de HbA1c-waarde na 16 weken in een lage dosis ongeveer even sterk als semaglutide 1 mg (respectievelijk ongeveer −1,46 en −1,47 punt); de hogere doses leidden tot meer gewichtsverlies dan semaglutide (Blüher 2024, PMID 38095657). De semaglutide-arm was echter open-label en de studie kort.</w:t>
      </w:r>
    </w:p>
    <w:bookmarkEnd w:id="233"/>
    <w:bookmarkStart w:id="234" w:name="leververvetting-masld-en-mash"/>
    <w:p>
      <w:pPr>
        <w:pStyle w:val="Heading4"/>
      </w:pPr>
      <w:r>
        <w:t xml:space="preserve">Leververvetting (MASLD en MASH)</w:t>
      </w:r>
    </w:p>
    <w:p>
      <w:pPr>
        <w:pStyle w:val="FirstParagraph"/>
      </w:pPr>
      <w:r>
        <w:t xml:space="preserve">Hier ligt de eigenlijke kracht van de gegevens tot nu toe. In de fase 2-studie bij met biopsie bevestigde MASH met fibrose (Sanyal 2024, PMID 38847460) verbeterde de leverontsteking zonder verslechtering van de fibrose bij 47%, 62% en 43% van de drie dosisgroepen tegenover 14% bij placebo. Een verbetering van de fibrose met ten minste één stadium was te zien bij 34–36% tegenover 22%. De dosis-responscurve verliep daarbij niet lineair: de middelste dosis presteerde het best.</w:t>
      </w:r>
    </w:p>
    <w:p>
      <w:pPr>
        <w:pStyle w:val="BodyText"/>
      </w:pPr>
      <w:r>
        <w:t xml:space="preserve">De fase 3-studie</w:t>
      </w:r>
      <w:r>
        <w:t xml:space="preserve"> </w:t>
      </w:r>
      <w:r>
        <w:rPr>
          <w:bCs/>
          <w:b/>
        </w:rPr>
        <w:t xml:space="preserve">SYNCHRONIZE-MASLD</w:t>
      </w:r>
      <w:r>
        <w:t xml:space="preserve"> </w:t>
      </w:r>
      <w:r>
        <w:t xml:space="preserve">(Kaplan 2026, PMID 42252333) met 216 volwassenen liet na 48 weken bij 84,2% met survodutide een afname van het levervet van ten minste 30% zien (placebo 24,3%), gemeten met MRI. Volgens de strengere analyse, die ook het stoppen met de behandeling meeneemt, waren het 68,5% tegenover 28,6%. De auteurs noemen zelf de korte duur en de werving alleen in de VS en Spanje als beperkingen.</w:t>
      </w:r>
    </w:p>
    <w:p>
      <w:pPr>
        <w:pStyle w:val="BodyText"/>
      </w:pPr>
      <w:r>
        <w:t xml:space="preserve">In een open-label fase 1-studie werd survodutide ook onderzocht bij mensen met levercirrose, inclusief gevorderde stadia. De bloedspiegels verschilden niet wezenlijk van die van mensen met een gezonde lever; levervet, leverstijfheid en lichaamsgewicht namen over 28 weken af (Lawitz 2024, PMID 38857788). Deze studie was klein en niet gecontroleerd.</w:t>
      </w:r>
    </w:p>
    <w:bookmarkEnd w:id="234"/>
    <w:bookmarkEnd w:id="235"/>
    <w:bookmarkStart w:id="236" w:name="dier--en-laboratoriumstudies-6"/>
    <w:p>
      <w:pPr>
        <w:pStyle w:val="Heading3"/>
      </w:pPr>
      <w:r>
        <w:t xml:space="preserve">Dier- en laboratoriumstudies</w:t>
      </w:r>
    </w:p>
    <w:p>
      <w:pPr>
        <w:pStyle w:val="FirstParagraph"/>
      </w:pPr>
      <w:r>
        <w:t xml:space="preserve">De preklinische gegevens zijn overwegend afkomstig uit de laboratoria van de fabrikant: receptorprofielen in cellijnen, gewichtsverlies bij muizen met door voeding veroorzaakte obesitas en bloedsuikerverlaging bij diabetische muizen (Thomas 2024, PMID 38560764). Over de plaats van werking in de hersenen is er onderzoek bij muizen en in menselijk weefsel (Zimmermann 2026, PMID 41638399). Onafhankelijke dierstudies zijn zeldzaam.</w:t>
      </w:r>
    </w:p>
    <w:bookmarkEnd w:id="236"/>
    <w:bookmarkStart w:id="237" w:name="risicos-en-bijwerkingen-6"/>
    <w:p>
      <w:pPr>
        <w:pStyle w:val="Heading3"/>
      </w:pPr>
      <w:r>
        <w:t xml:space="preserve">Risico’s en bijwerkingen</w:t>
      </w:r>
    </w:p>
    <w:p>
      <w:pPr>
        <w:pStyle w:val="FirstParagraph"/>
      </w:pPr>
      <w:r>
        <w:rPr>
          <w:bCs/>
          <w:b/>
        </w:rPr>
        <w:t xml:space="preserve">Aangetoond in studies:</w:t>
      </w:r>
    </w:p>
    <w:p>
      <w:pPr>
        <w:numPr>
          <w:ilvl w:val="0"/>
          <w:numId w:val="1073"/>
        </w:numPr>
        <w:pStyle w:val="Compact"/>
      </w:pPr>
      <w:r>
        <w:rPr>
          <w:bCs/>
          <w:b/>
        </w:rPr>
        <w:t xml:space="preserve">Maag-darmklachten</w:t>
      </w:r>
      <w:r>
        <w:t xml:space="preserve"> </w:t>
      </w:r>
      <w:r>
        <w:t xml:space="preserve">komen bij survodutide bijzonder vaak voor. In de MASH-studie kwamen misselijkheid bij 66% (placebo 23%), diarree bij 49% (23%) en braken bij 41% (4%) voor (Sanyal 2024, PMID 38847460). In SYNCHRONIZE-1 meldde tot 89,7% maag-darmklachten (le Roux 2026, PMID 42253238). De frequentie is in vergelijking met andere incretinemiddelen hoog, ook al waren de meeste klachten licht tot matig.</w:t>
      </w:r>
    </w:p>
    <w:p>
      <w:pPr>
        <w:numPr>
          <w:ilvl w:val="0"/>
          <w:numId w:val="1073"/>
        </w:numPr>
        <w:pStyle w:val="Compact"/>
      </w:pPr>
      <w:r>
        <w:rPr>
          <w:bCs/>
          <w:b/>
        </w:rPr>
        <w:t xml:space="preserve">Ernstige ongewenste voorvallen</w:t>
      </w:r>
      <w:r>
        <w:t xml:space="preserve"> </w:t>
      </w:r>
      <w:r>
        <w:t xml:space="preserve">kwamen in de MASH-studie met 8% bij survodutide en 7% bij placebo ongeveer even vaak voor.</w:t>
      </w:r>
    </w:p>
    <w:p>
      <w:pPr>
        <w:numPr>
          <w:ilvl w:val="0"/>
          <w:numId w:val="1073"/>
        </w:numPr>
        <w:pStyle w:val="Compact"/>
      </w:pPr>
      <w:r>
        <w:rPr>
          <w:bCs/>
          <w:b/>
        </w:rPr>
        <w:t xml:space="preserve">Uitval:</w:t>
      </w:r>
      <w:r>
        <w:t xml:space="preserve"> </w:t>
      </w:r>
      <w:r>
        <w:t xml:space="preserve">in de fase 2-obesitasstudie voltooide slechts ongeveer 60% de behandelfase – in beide groepen.</w:t>
      </w:r>
    </w:p>
    <w:p>
      <w:pPr>
        <w:pStyle w:val="FirstParagraph"/>
      </w:pPr>
      <w:r>
        <w:rPr>
          <w:bCs/>
          <w:b/>
        </w:rPr>
        <w:t xml:space="preserve">Nog open:</w:t>
      </w:r>
      <w:r>
        <w:t xml:space="preserve"> </w:t>
      </w:r>
      <w:r>
        <w:t xml:space="preserve">stijging van de hartslag is bekend bij glucagon- en GLP-1-agonisten; er is een aparte studie naar de cardiale veiligheid uitgevoerd (NCT06200467). De grote cardiovasculaire veiligheidsstudie SYNCHRONIZE-CVOT is volgens het register afgerond; de resultaten waren bij het afsluiten van de redactie nog niet gepubliceerd in een collegiaal getoetst vaktijdschrift. Langetermijneffecten van de glucagoncomponent op spieren, botten en aminozuurstofwisseling zijn niet onderzocht.</w:t>
      </w:r>
    </w:p>
    <w:bookmarkEnd w:id="237"/>
    <w:bookmarkStart w:id="238" w:name="juridische-status-6"/>
    <w:p>
      <w:pPr>
        <w:pStyle w:val="Heading3"/>
      </w:pPr>
      <w:r>
        <w:t xml:space="preserve">Juridische status</w:t>
      </w:r>
    </w:p>
    <w:p>
      <w:pPr>
        <w:numPr>
          <w:ilvl w:val="0"/>
          <w:numId w:val="1074"/>
        </w:numPr>
        <w:pStyle w:val="Compact"/>
      </w:pPr>
      <w:r>
        <w:rPr>
          <w:bCs/>
          <w:b/>
        </w:rPr>
        <w:t xml:space="preserve">EU / Oostenrijk / Duitsland:</w:t>
      </w:r>
      <w:r>
        <w:t xml:space="preserve"> </w:t>
      </w:r>
      <w:r>
        <w:t xml:space="preserve">niet geregistreerd; toepassing alleen in klinische studies. Aanbiedingen op de grijze markt zijn geen legale geneesmiddelen.</w:t>
      </w:r>
    </w:p>
    <w:p>
      <w:pPr>
        <w:numPr>
          <w:ilvl w:val="0"/>
          <w:numId w:val="1074"/>
        </w:numPr>
        <w:pStyle w:val="Compact"/>
      </w:pPr>
      <w:r>
        <w:rPr>
          <w:bCs/>
          <w:b/>
        </w:rPr>
        <w:t xml:space="preserve">VS:</w:t>
      </w:r>
      <w:r>
        <w:t xml:space="preserve"> </w:t>
      </w:r>
      <w:r>
        <w:t xml:space="preserve">niet geregistreerd. De FDA heeft survodutide voor de behandeling van MASH aangemerkt als</w:t>
      </w:r>
      <w:r>
        <w:t xml:space="preserve"> </w:t>
      </w:r>
      <w:r>
        <w:t xml:space="preserve">‘</w:t>
      </w:r>
      <w:r>
        <w:t xml:space="preserve">Breakthrough Therapy</w:t>
      </w:r>
      <w:r>
        <w:t xml:space="preserve">’</w:t>
      </w:r>
      <w:r>
        <w:t xml:space="preserve">, wat de beoordelingsprocedure kan versnellen (stand 2026, actuele situatie controleren).</w:t>
      </w:r>
    </w:p>
    <w:p>
      <w:pPr>
        <w:numPr>
          <w:ilvl w:val="0"/>
          <w:numId w:val="1074"/>
        </w:numPr>
        <w:pStyle w:val="Compact"/>
      </w:pPr>
      <w:r>
        <w:rPr>
          <w:bCs/>
          <w:b/>
        </w:rPr>
        <w:t xml:space="preserve">Sport:</w:t>
      </w:r>
      <w:r>
        <w:t xml:space="preserve"> </w:t>
      </w:r>
      <w:r>
        <w:t xml:space="preserve">WADA-klasse S0 (niet-goedgekeurde stof), stand 2026, actuele situatie controleren.</w:t>
      </w:r>
    </w:p>
    <w:bookmarkEnd w:id="238"/>
    <w:bookmarkStart w:id="239" w:name="lopende-studies-en-vooruitzichten-6"/>
    <w:p>
      <w:pPr>
        <w:pStyle w:val="Heading3"/>
      </w:pPr>
      <w:r>
        <w:t xml:space="preserve">Lopende studies en vooruitzichten</w:t>
      </w:r>
    </w:p>
    <w:p>
      <w:pPr>
        <w:pStyle w:val="FirstParagraph"/>
      </w:pPr>
      <w:r>
        <w:rPr>
          <w:bCs/>
          <w:b/>
        </w:rPr>
        <w:t xml:space="preserve">Vaststaand (geregistreerde studies, stand oktober 2026):</w:t>
      </w:r>
    </w:p>
    <w:p>
      <w:pPr>
        <w:numPr>
          <w:ilvl w:val="0"/>
          <w:numId w:val="1075"/>
        </w:numPr>
        <w:pStyle w:val="Compact"/>
      </w:pPr>
      <w:r>
        <w:rPr>
          <w:bCs/>
          <w:b/>
        </w:rPr>
        <w:t xml:space="preserve">SYNCHRONIZE-CVOT</w:t>
      </w:r>
      <w:r>
        <w:t xml:space="preserve"> </w:t>
      </w:r>
      <w:r>
        <w:t xml:space="preserve">(NCT06077864): cardiovasculaire veiligheidsstudie met 5.531 deelnemers, volgens het register afgerond; design beschreven bij Kosiborod 2024 (PMID 39453356).</w:t>
      </w:r>
    </w:p>
    <w:p>
      <w:pPr>
        <w:numPr>
          <w:ilvl w:val="0"/>
          <w:numId w:val="1075"/>
        </w:numPr>
        <w:pStyle w:val="Compact"/>
      </w:pPr>
      <w:r>
        <w:rPr>
          <w:bCs/>
          <w:b/>
        </w:rPr>
        <w:t xml:space="preserve">LIVERAGE</w:t>
      </w:r>
      <w:r>
        <w:t xml:space="preserve"> </w:t>
      </w:r>
      <w:r>
        <w:t xml:space="preserve">(NCT06632444) met 1.800 deelnemers met MASH en fibrose en</w:t>
      </w:r>
      <w:r>
        <w:t xml:space="preserve"> </w:t>
      </w:r>
      <w:r>
        <w:rPr>
          <w:bCs/>
          <w:b/>
        </w:rPr>
        <w:t xml:space="preserve">LIVERAGE-Cirrhosis</w:t>
      </w:r>
      <w:r>
        <w:t xml:space="preserve"> </w:t>
      </w:r>
      <w:r>
        <w:t xml:space="preserve">(NCT06632457) met 1.590 deelnemers met MASH-cirrose – de beslissende studies voor een registratie in de leverziektekunde, met geplande einddata tussen 2029 en 2031.</w:t>
      </w:r>
    </w:p>
    <w:p>
      <w:pPr>
        <w:numPr>
          <w:ilvl w:val="0"/>
          <w:numId w:val="1075"/>
        </w:numPr>
        <w:pStyle w:val="Compact"/>
      </w:pPr>
      <w:r>
        <w:t xml:space="preserve">Verdere fase 3-studies: diabetes type 2 (NCT07754461), vrouwen met obesitas (NCT07850050), hartstructuur bij obesitas (NCT07850063), personen zonder eerdere behandeling (NCT07855900).</w:t>
      </w:r>
    </w:p>
    <w:p>
      <w:pPr>
        <w:numPr>
          <w:ilvl w:val="0"/>
          <w:numId w:val="1075"/>
        </w:numPr>
        <w:pStyle w:val="Compact"/>
      </w:pPr>
      <w:r>
        <w:t xml:space="preserve">Fase 3-studies in China (NCT06214741) en Japan (NCT06176365) zijn afgerond.</w:t>
      </w:r>
    </w:p>
    <w:p>
      <w:pPr>
        <w:pStyle w:val="FirstParagraph"/>
      </w:pPr>
      <w:r>
        <w:rPr>
          <w:bCs/>
          <w:b/>
        </w:rPr>
        <w:t xml:space="preserve">Inschatting:</w:t>
      </w:r>
      <w:r>
        <w:t xml:space="preserve"> </w:t>
      </w:r>
      <w:r>
        <w:t xml:space="preserve">als zuiver afslankmiddel zal survodutide het moeilijk krijgen tegen tirzepatide, semaglutide en de komende drievoudige agonisten – het gewichtsverlies in SYNCHRONIZE-1 was kleiner, de maag-darmbijwerkingen kwamen vaak voor. Zijn niche zou leververvetting kunnen worden, vooral de gevorderde stadia tot en met cirrose, waarvoor nauwelijks behandelmogelijkheden bestaan. Of dat lukt, zullen de LIVERAGE-studies beslissen.</w:t>
      </w:r>
    </w:p>
    <w:bookmarkEnd w:id="239"/>
    <w:bookmarkStart w:id="240" w:name="conclusie-6"/>
    <w:p>
      <w:pPr>
        <w:pStyle w:val="Heading3"/>
      </w:pPr>
      <w:r>
        <w:t xml:space="preserve">Conclusie</w:t>
      </w:r>
    </w:p>
    <w:p>
      <w:pPr>
        <w:pStyle w:val="FirstParagraph"/>
      </w:pPr>
      <w:r>
        <w:t xml:space="preserve">Survodutide is een dubbele glucagon- en GLP-1-agonist die in fase 3-studies het lichaamsgewicht na 76 weken met tot 13,0% (zonder diabetes) resp. 9,8% (met diabetes type 2) verlaagde. Duidelijker waren de effecten op de lever: in de fase 2-studie verbeterde de leverontsteking bij tot 62% tegenover 14% bij placebo. Maag-darmklachten komen zeer vaak voor. Survodutide is niet geregistreerd; of het als levergeneesmiddel een toekomst heeft, zullen de lopende fase 3-studies laten zien.</w:t>
      </w:r>
    </w:p>
    <w:bookmarkEnd w:id="240"/>
    <w:bookmarkEnd w:id="241"/>
    <w:bookmarkStart w:id="254" w:name="mazdutide"/>
    <w:p>
      <w:pPr>
        <w:pStyle w:val="Heading2"/>
      </w:pPr>
      <w:r>
        <w:t xml:space="preserve">Mazdutide</w:t>
      </w:r>
    </w:p>
    <w:bookmarkStart w:id="242" w:name="profiel-7"/>
    <w:p>
      <w:pPr>
        <w:pStyle w:val="Heading3"/>
      </w:pPr>
      <w:r>
        <w:t xml:space="preserve">Profiel</w:t>
      </w:r>
    </w:p>
    <w:p>
      <w:pPr>
        <w:numPr>
          <w:ilvl w:val="0"/>
          <w:numId w:val="1076"/>
        </w:numPr>
        <w:pStyle w:val="Compact"/>
      </w:pPr>
      <w:r>
        <w:rPr>
          <w:bCs/>
          <w:b/>
        </w:rPr>
        <w:t xml:space="preserve">Soort/structuur:</w:t>
      </w:r>
      <w:r>
        <w:t xml:space="preserve"> </w:t>
      </w:r>
      <w:r>
        <w:t xml:space="preserve">synthetisch, met een vetzuur gemodificeerd peptide, afgeleid van het darmhormoon oxyntomoduline; toediening eenmaal per week onder de huid. Ontwikkelingscodes LY3305677 (Eli Lilly) en IBI362 (Innovent Biologics).</w:t>
      </w:r>
    </w:p>
    <w:p>
      <w:pPr>
        <w:numPr>
          <w:ilvl w:val="0"/>
          <w:numId w:val="1076"/>
        </w:numPr>
        <w:pStyle w:val="Compact"/>
      </w:pPr>
      <w:r>
        <w:rPr>
          <w:bCs/>
          <w:b/>
        </w:rPr>
        <w:t xml:space="preserve">Herkomst:</w:t>
      </w:r>
      <w:r>
        <w:t xml:space="preserve"> </w:t>
      </w:r>
      <w:r>
        <w:t xml:space="preserve">oorspronkelijk ontwikkeld door Eli Lilly; in China door Innovent Biologics tot registratie gebracht, buiten China verder onderzocht door Lilly.</w:t>
      </w:r>
    </w:p>
    <w:p>
      <w:pPr>
        <w:numPr>
          <w:ilvl w:val="0"/>
          <w:numId w:val="1076"/>
        </w:numPr>
        <w:pStyle w:val="Compact"/>
      </w:pPr>
      <w:r>
        <w:rPr>
          <w:bCs/>
          <w:b/>
        </w:rPr>
        <w:t xml:space="preserve">Werkingsprincipe:</w:t>
      </w:r>
      <w:r>
        <w:t xml:space="preserve"> </w:t>
      </w:r>
      <w:r>
        <w:t xml:space="preserve">dubbele agonist op de GLP-1- en glucagonreceptor – zoals survodutide, maar een zelfstandig molecuul.</w:t>
      </w:r>
    </w:p>
    <w:p>
      <w:pPr>
        <w:numPr>
          <w:ilvl w:val="0"/>
          <w:numId w:val="1076"/>
        </w:numPr>
        <w:pStyle w:val="Compact"/>
      </w:pPr>
      <w:r>
        <w:rPr>
          <w:bCs/>
          <w:b/>
        </w:rPr>
        <w:t xml:space="preserve">Registratie EU:</w:t>
      </w:r>
      <w:r>
        <w:t xml:space="preserve"> </w:t>
      </w:r>
      <w:r>
        <w:t xml:space="preserve">nee.</w:t>
      </w:r>
    </w:p>
    <w:p>
      <w:pPr>
        <w:numPr>
          <w:ilvl w:val="0"/>
          <w:numId w:val="1076"/>
        </w:numPr>
        <w:pStyle w:val="Compact"/>
      </w:pPr>
      <w:r>
        <w:rPr>
          <w:bCs/>
          <w:b/>
        </w:rPr>
        <w:t xml:space="preserve">Registratie VS:</w:t>
      </w:r>
      <w:r>
        <w:t xml:space="preserve"> </w:t>
      </w:r>
      <w:r>
        <w:t xml:space="preserve">nee.</w:t>
      </w:r>
    </w:p>
    <w:p>
      <w:pPr>
        <w:numPr>
          <w:ilvl w:val="0"/>
          <w:numId w:val="1076"/>
        </w:numPr>
        <w:pStyle w:val="Compact"/>
      </w:pPr>
      <w:r>
        <w:rPr>
          <w:bCs/>
          <w:b/>
        </w:rPr>
        <w:t xml:space="preserve">Registratie China:</w:t>
      </w:r>
      <w:r>
        <w:t xml:space="preserve"> </w:t>
      </w:r>
      <w:r>
        <w:t xml:space="preserve">ja, sinds juni 2025 voor gewichtsbeheersing, sinds september 2025 ook voor diabetes type 2 (handelsnaam Xinermei).</w:t>
      </w:r>
    </w:p>
    <w:p>
      <w:pPr>
        <w:numPr>
          <w:ilvl w:val="0"/>
          <w:numId w:val="1076"/>
        </w:numPr>
        <w:pStyle w:val="Compact"/>
      </w:pPr>
      <w:r>
        <w:rPr>
          <w:bCs/>
          <w:b/>
        </w:rPr>
        <w:t xml:space="preserve">WADA:</w:t>
      </w:r>
      <w:r>
        <w:t xml:space="preserve"> </w:t>
      </w:r>
      <w:r>
        <w:t xml:space="preserve">niet bij naam vermeld. Omdat mazdutide door een overheidsinstantie voor gezondheid (China) is geregistreerd, valt het naar de letter niet meer onder S0; gebruik in de sport zonder medische indicatie is desondanks problematisch (stand 2026, actuele situatie controleren).</w:t>
      </w:r>
    </w:p>
    <w:p>
      <w:pPr>
        <w:numPr>
          <w:ilvl w:val="0"/>
          <w:numId w:val="1076"/>
        </w:numPr>
        <w:pStyle w:val="Compact"/>
      </w:pPr>
      <w:r>
        <w:rPr>
          <w:bCs/>
          <w:b/>
        </w:rPr>
        <w:t xml:space="preserve">Bewijsniveau:</w:t>
      </w:r>
      <w:r>
        <w:t xml:space="preserve"> </w:t>
      </w:r>
      <w:r>
        <w:rPr>
          <w:bCs/>
          <w:b/>
        </w:rPr>
        <w:t xml:space="preserve">A</w:t>
      </w:r>
      <w:r>
        <w:t xml:space="preserve"> </w:t>
      </w:r>
      <w:r>
        <w:t xml:space="preserve">– meerdere grote fase 3-studies en een registratie, zij het vrijwel uitsluitend bij Chinese deelnemers.</w:t>
      </w:r>
    </w:p>
    <w:bookmarkEnd w:id="242"/>
    <w:bookmarkStart w:id="243" w:name="hoe-het-zou-moeten-werken-7"/>
    <w:p>
      <w:pPr>
        <w:pStyle w:val="Heading3"/>
      </w:pPr>
      <w:r>
        <w:t xml:space="preserve">Hoe het zou moeten werken</w:t>
      </w:r>
    </w:p>
    <w:p>
      <w:pPr>
        <w:pStyle w:val="FirstParagraph"/>
      </w:pPr>
      <w:r>
        <w:t xml:space="preserve">Oxyntomoduline is een natuurlijk hormoon uit de darm dat – net als GLP-1 – na het eten wordt afgegeven. Het activeert zowel de GLP-1- als de glucagonreceptor, maar slechts zwak en zeer kort. Mazdutide is een gestabiliseerde, langwerkende versie van dit principe.</w:t>
      </w:r>
    </w:p>
    <w:p>
      <w:pPr>
        <w:pStyle w:val="BodyText"/>
      </w:pPr>
      <w:r>
        <w:t xml:space="preserve">Het GLP-1-aandeel remt de eetlust, vertraagt de maaglediging en bevordert de bloedsuikerafhankelijke insulineafgifte. Het glucagonaandeel zou het energieverbruik moeten verhogen en de vetafbraak in de lever bevorderen (zie ook het hoofdstuk Survodutide). Bij de mens is de bijdrage van het glucagonaandeel aan het gewichtsverlies niet direct gemeten; de hypothese steunt vooral op dierexperimentele gegevens.</w:t>
      </w:r>
    </w:p>
    <w:bookmarkEnd w:id="243"/>
    <w:bookmarkStart w:id="248" w:name="studies-bij-mensen-7"/>
    <w:p>
      <w:pPr>
        <w:pStyle w:val="Heading3"/>
      </w:pPr>
      <w:r>
        <w:t xml:space="preserve">Studies bij mensen</w:t>
      </w:r>
    </w:p>
    <w:p>
      <w:pPr>
        <w:pStyle w:val="FirstParagraph"/>
      </w:pPr>
      <w:r>
        <w:rPr>
          <w:bCs/>
          <w:b/>
        </w:rPr>
        <w:t xml:space="preserve">Omvang van het onderzoek:</w:t>
      </w:r>
      <w:r>
        <w:t xml:space="preserve"> </w:t>
      </w:r>
      <w:r>
        <w:t xml:space="preserve">De geautomatiseerde PubMed-zoekopdracht (oktober 2026) leverde 9 studies bij mensen op, aangevuld met een fase 1-studie met hoge doses en een casusbeschrijving. Op ClinicalTrials.gov waren 44 studies geregistreerd, de meeste daarvan in China. De registratiestudies heten</w:t>
      </w:r>
      <w:r>
        <w:t xml:space="preserve"> </w:t>
      </w:r>
      <w:r>
        <w:rPr>
          <w:bCs/>
          <w:b/>
        </w:rPr>
        <w:t xml:space="preserve">GLORY</w:t>
      </w:r>
      <w:r>
        <w:t xml:space="preserve"> </w:t>
      </w:r>
      <w:r>
        <w:t xml:space="preserve">(obesitas) en</w:t>
      </w:r>
      <w:r>
        <w:t xml:space="preserve"> </w:t>
      </w:r>
      <w:r>
        <w:rPr>
          <w:bCs/>
          <w:b/>
        </w:rPr>
        <w:t xml:space="preserve">DREAMS</w:t>
      </w:r>
      <w:r>
        <w:t xml:space="preserve"> </w:t>
      </w:r>
      <w:r>
        <w:t xml:space="preserve">(diabetes type 2).</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Deelnemers en design</w:t>
            </w:r>
          </w:p>
        </w:tc>
        <w:tc>
          <w:tcPr/>
          <w:p>
            <w:pPr>
              <w:pStyle w:val="Compact"/>
              <w:jc w:val="left"/>
            </w:pPr>
            <w:r>
              <w:t xml:space="preserve">Duur</w:t>
            </w:r>
          </w:p>
        </w:tc>
        <w:tc>
          <w:tcPr/>
          <w:p>
            <w:pPr>
              <w:pStyle w:val="Compact"/>
              <w:jc w:val="left"/>
            </w:pPr>
            <w:r>
              <w:t xml:space="preserve">Resultaat</w:t>
            </w:r>
          </w:p>
        </w:tc>
      </w:tr>
      <w:tr>
        <w:tc>
          <w:tcPr/>
          <w:p>
            <w:pPr>
              <w:pStyle w:val="Compact"/>
              <w:jc w:val="left"/>
            </w:pPr>
            <w:r>
              <w:t xml:space="preserve">Fase 2 obesitas (Ji 2023), PMID 38092790</w:t>
            </w:r>
          </w:p>
        </w:tc>
        <w:tc>
          <w:tcPr/>
          <w:p>
            <w:pPr>
              <w:pStyle w:val="Compact"/>
              <w:jc w:val="left"/>
            </w:pPr>
            <w:r>
              <w:t xml:space="preserve">248 Chinese volwassenen met overgewicht/obesitas</w:t>
            </w:r>
          </w:p>
        </w:tc>
        <w:tc>
          <w:tcPr/>
          <w:p>
            <w:pPr>
              <w:pStyle w:val="Compact"/>
              <w:jc w:val="left"/>
            </w:pPr>
            <w:r>
              <w:t xml:space="preserve">24 weken</w:t>
            </w:r>
          </w:p>
        </w:tc>
        <w:tc>
          <w:tcPr/>
          <w:p>
            <w:pPr>
              <w:pStyle w:val="Compact"/>
              <w:jc w:val="left"/>
            </w:pPr>
            <w:r>
              <w:t xml:space="preserve">−6,7 tot −11,3% gewicht vs. +1,0%</w:t>
            </w:r>
          </w:p>
        </w:tc>
      </w:tr>
      <w:tr>
        <w:tc>
          <w:tcPr/>
          <w:p>
            <w:pPr>
              <w:pStyle w:val="Compact"/>
              <w:jc w:val="left"/>
            </w:pPr>
            <w:r>
              <w:t xml:space="preserve">Fase 2 diabetes type 2 (Zhang 2024), PMID 37943529</w:t>
            </w:r>
          </w:p>
        </w:tc>
        <w:tc>
          <w:tcPr/>
          <w:p>
            <w:pPr>
              <w:pStyle w:val="Compact"/>
              <w:jc w:val="left"/>
            </w:pPr>
            <w:r>
              <w:t xml:space="preserve">250 Chinese volwassenen, tegen placebo en open-label dulaglutide</w:t>
            </w:r>
          </w:p>
        </w:tc>
        <w:tc>
          <w:tcPr/>
          <w:p>
            <w:pPr>
              <w:pStyle w:val="Compact"/>
              <w:jc w:val="left"/>
            </w:pPr>
            <w:r>
              <w:t xml:space="preserve">20 weken</w:t>
            </w:r>
          </w:p>
        </w:tc>
        <w:tc>
          <w:tcPr/>
          <w:p>
            <w:pPr>
              <w:pStyle w:val="Compact"/>
              <w:jc w:val="left"/>
            </w:pPr>
            <w:r>
              <w:t xml:space="preserve">HbA1c −1,41 tot −1,67 (dulaglutide −1,35)</w:t>
            </w:r>
          </w:p>
        </w:tc>
      </w:tr>
      <w:tr>
        <w:tc>
          <w:tcPr/>
          <w:p>
            <w:pPr>
              <w:pStyle w:val="Compact"/>
              <w:jc w:val="left"/>
            </w:pPr>
            <w:r>
              <w:t xml:space="preserve">GLORY-1 (Ji 2025), PMID 40421736</w:t>
            </w:r>
          </w:p>
        </w:tc>
        <w:tc>
          <w:tcPr/>
          <w:p>
            <w:pPr>
              <w:pStyle w:val="Compact"/>
              <w:jc w:val="left"/>
            </w:pPr>
            <w:r>
              <w:t xml:space="preserve">610 Chinese volwassenen met overgewicht/obesitas, tegen placebo</w:t>
            </w:r>
          </w:p>
        </w:tc>
        <w:tc>
          <w:tcPr/>
          <w:p>
            <w:pPr>
              <w:pStyle w:val="Compact"/>
              <w:jc w:val="left"/>
            </w:pPr>
            <w:r>
              <w:t xml:space="preserve">48 weken</w:t>
            </w:r>
          </w:p>
        </w:tc>
        <w:tc>
          <w:tcPr/>
          <w:p>
            <w:pPr>
              <w:pStyle w:val="Compact"/>
              <w:jc w:val="left"/>
            </w:pPr>
            <w:r>
              <w:t xml:space="preserve">−11,00 / −14,01% (4/6 mg) vs. +0,30%</w:t>
            </w:r>
          </w:p>
        </w:tc>
      </w:tr>
      <w:tr>
        <w:tc>
          <w:tcPr/>
          <w:p>
            <w:pPr>
              <w:pStyle w:val="Compact"/>
              <w:jc w:val="left"/>
            </w:pPr>
            <w:r>
              <w:t xml:space="preserve">GLORY-2 (Gao 2026), PMID 42251595</w:t>
            </w:r>
          </w:p>
        </w:tc>
        <w:tc>
          <w:tcPr/>
          <w:p>
            <w:pPr>
              <w:pStyle w:val="Compact"/>
              <w:jc w:val="left"/>
            </w:pPr>
            <w:r>
              <w:t xml:space="preserve">461 Chinese volwassenen met obesitas, hogere dosis tegen placebo</w:t>
            </w:r>
          </w:p>
        </w:tc>
        <w:tc>
          <w:tcPr/>
          <w:p>
            <w:pPr>
              <w:pStyle w:val="Compact"/>
              <w:jc w:val="left"/>
            </w:pPr>
            <w:r>
              <w:t xml:space="preserve">60 weken</w:t>
            </w:r>
          </w:p>
        </w:tc>
        <w:tc>
          <w:tcPr/>
          <w:p>
            <w:pPr>
              <w:pStyle w:val="Compact"/>
              <w:jc w:val="left"/>
            </w:pPr>
            <w:r>
              <w:t xml:space="preserve">−16,65% vs. −1,50%</w:t>
            </w:r>
          </w:p>
        </w:tc>
      </w:tr>
      <w:tr>
        <w:tc>
          <w:tcPr/>
          <w:p>
            <w:pPr>
              <w:pStyle w:val="Compact"/>
              <w:jc w:val="left"/>
            </w:pPr>
            <w:r>
              <w:t xml:space="preserve">DREAMS-1 (Zhu 2026), PMID 41407859</w:t>
            </w:r>
          </w:p>
        </w:tc>
        <w:tc>
          <w:tcPr/>
          <w:p>
            <w:pPr>
              <w:pStyle w:val="Compact"/>
              <w:jc w:val="left"/>
            </w:pPr>
            <w:r>
              <w:t xml:space="preserve">320 Chinese volwassenen met diabetes type 2, tegen placebo</w:t>
            </w:r>
          </w:p>
        </w:tc>
        <w:tc>
          <w:tcPr/>
          <w:p>
            <w:pPr>
              <w:pStyle w:val="Compact"/>
              <w:jc w:val="left"/>
            </w:pPr>
            <w:r>
              <w:t xml:space="preserve">24 weken</w:t>
            </w:r>
          </w:p>
        </w:tc>
        <w:tc>
          <w:tcPr/>
          <w:p>
            <w:pPr>
              <w:pStyle w:val="Compact"/>
              <w:jc w:val="left"/>
            </w:pPr>
            <w:r>
              <w:t xml:space="preserve">HbA1c −1,57 / −2,15 vs. −0,14</w:t>
            </w:r>
          </w:p>
        </w:tc>
      </w:tr>
      <w:tr>
        <w:tc>
          <w:tcPr/>
          <w:p>
            <w:pPr>
              <w:pStyle w:val="Compact"/>
              <w:jc w:val="left"/>
            </w:pPr>
            <w:r>
              <w:t xml:space="preserve">DREAMS-2 (Guo 2026), PMID 41407860</w:t>
            </w:r>
          </w:p>
        </w:tc>
        <w:tc>
          <w:tcPr/>
          <w:p>
            <w:pPr>
              <w:pStyle w:val="Compact"/>
              <w:jc w:val="left"/>
            </w:pPr>
            <w:r>
              <w:t xml:space="preserve">731 Chinese volwassenen met diabetes type 2, tegen dulaglutide</w:t>
            </w:r>
          </w:p>
        </w:tc>
        <w:tc>
          <w:tcPr/>
          <w:p>
            <w:pPr>
              <w:pStyle w:val="Compact"/>
              <w:jc w:val="left"/>
            </w:pPr>
            <w:r>
              <w:t xml:space="preserve">28 weken</w:t>
            </w:r>
          </w:p>
        </w:tc>
        <w:tc>
          <w:tcPr/>
          <w:p>
            <w:pPr>
              <w:pStyle w:val="Compact"/>
              <w:jc w:val="left"/>
            </w:pPr>
            <w:r>
              <w:t xml:space="preserve">HbA1c extra −0,24 / −0,30; gewicht extra −3,78 / −5,76%</w:t>
            </w:r>
          </w:p>
        </w:tc>
      </w:tr>
      <w:tr>
        <w:tc>
          <w:tcPr/>
          <w:p>
            <w:pPr>
              <w:pStyle w:val="Compact"/>
              <w:jc w:val="left"/>
            </w:pPr>
            <w:r>
              <w:t xml:space="preserve">Fase 2 VS (Hsia 2026), PMID 42628555</w:t>
            </w:r>
          </w:p>
        </w:tc>
        <w:tc>
          <w:tcPr/>
          <w:p>
            <w:pPr>
              <w:pStyle w:val="Compact"/>
              <w:jc w:val="left"/>
            </w:pPr>
            <w:r>
              <w:t xml:space="preserve">179 volwassenen met overgewicht/obesitas, tegen placebo</w:t>
            </w:r>
          </w:p>
        </w:tc>
        <w:tc>
          <w:tcPr/>
          <w:p>
            <w:pPr>
              <w:pStyle w:val="Compact"/>
              <w:jc w:val="left"/>
            </w:pPr>
            <w:r>
              <w:t xml:space="preserve">48 weken (primair eindpunt 32)</w:t>
            </w:r>
          </w:p>
        </w:tc>
        <w:tc>
          <w:tcPr/>
          <w:p>
            <w:pPr>
              <w:pStyle w:val="Compact"/>
              <w:jc w:val="left"/>
            </w:pPr>
            <w:r>
              <w:t xml:space="preserve">−7,3 tot −18,1% na 32 weken vs. −0,9%</w:t>
            </w:r>
          </w:p>
        </w:tc>
      </w:tr>
    </w:tbl>
    <w:bookmarkStart w:id="244" w:name="obesitas-glory-1-en-glory-2"/>
    <w:p>
      <w:pPr>
        <w:pStyle w:val="Heading4"/>
      </w:pPr>
      <w:r>
        <w:t xml:space="preserve">Obesitas: GLORY-1 en GLORY-2</w:t>
      </w:r>
    </w:p>
    <w:p>
      <w:pPr>
        <w:pStyle w:val="FirstParagraph"/>
      </w:pPr>
      <w:r>
        <w:rPr>
          <w:bCs/>
          <w:b/>
        </w:rPr>
        <w:t xml:space="preserve">GLORY-1</w:t>
      </w:r>
      <w:r>
        <w:t xml:space="preserve"> </w:t>
      </w:r>
      <w:r>
        <w:t xml:space="preserve">(Ji 2025, PMID 40421736) was de registratiestudie voor China. De inclusiecriteria waren gebaseerd op Chinese grenswaarden: BMI vanaf 28 of vanaf 24 met bijkomende aandoening. Bij een uitgangsgewicht van 87,2 kg daalde het gewicht na 48 weken met 11,0% (4 mg) resp. 14,0% (6 mg); bij placebo bleef het vrijwel gelijk. Ten minste 15% verloren 35,7% resp. 49,5% van de deelnemers. Stoppen vanwege bijwerkingen was met 0,5–1,5% zeer zeldzaam.</w:t>
      </w:r>
    </w:p>
    <w:p>
      <w:pPr>
        <w:pStyle w:val="BodyText"/>
      </w:pPr>
      <w:r>
        <w:rPr>
          <w:bCs/>
          <w:b/>
        </w:rPr>
        <w:t xml:space="preserve">GLORY-2</w:t>
      </w:r>
      <w:r>
        <w:t xml:space="preserve"> </w:t>
      </w:r>
      <w:r>
        <w:t xml:space="preserve">(Gao 2026, PMID 42251595) onderzocht een hogere dosis bij mensen met een BMI vanaf 30. De deelnemers waren met gemiddeld 33,9 jaar opvallend jong. Na 60 weken bedroeg het gewichtsverlies 16,65% tegenover 1,50% bij placebo. De prijs was duidelijk meer maag-darmklachten: braken bij 53,1% (placebo 1,3%), misselijkheid bij 46,9% (3,2%) en diarree bij 39,4% (6,5%). Toch stopte slechts 2,9% vanwege bijwerkingen met de behandeling.</w:t>
      </w:r>
    </w:p>
    <w:bookmarkEnd w:id="244"/>
    <w:bookmarkStart w:id="245" w:name="diabetes-type-2-dreams-1-en-dreams-2"/>
    <w:p>
      <w:pPr>
        <w:pStyle w:val="Heading4"/>
      </w:pPr>
      <w:r>
        <w:t xml:space="preserve">Diabetes type 2: DREAMS-1 en DREAMS-2</w:t>
      </w:r>
    </w:p>
    <w:p>
      <w:pPr>
        <w:pStyle w:val="FirstParagraph"/>
      </w:pPr>
      <w:r>
        <w:t xml:space="preserve">In</w:t>
      </w:r>
      <w:r>
        <w:t xml:space="preserve"> </w:t>
      </w:r>
      <w:r>
        <w:rPr>
          <w:bCs/>
          <w:b/>
        </w:rPr>
        <w:t xml:space="preserve">DREAMS-1</w:t>
      </w:r>
      <w:r>
        <w:t xml:space="preserve"> </w:t>
      </w:r>
      <w:r>
        <w:t xml:space="preserve">(Zhu 2026, PMID 41407859) kregen mensen met diabetes type 2 die met voeding en beweging alleen niet voldoende was ingesteld (gemiddelde diabetesduur 1,9 jaar) mazdutide zonder andere diabetesmiddelen. De HbA1c-waarde daalde bij de hogere dosis na 24 weken met 2,15 procentpunt (placebo −0,14), het gewicht met 7,81%.</w:t>
      </w:r>
    </w:p>
    <w:p>
      <w:pPr>
        <w:pStyle w:val="BodyText"/>
      </w:pPr>
      <w:r>
        <w:rPr>
          <w:bCs/>
          <w:b/>
        </w:rPr>
        <w:t xml:space="preserve">DREAMS-2</w:t>
      </w:r>
      <w:r>
        <w:t xml:space="preserve"> </w:t>
      </w:r>
      <w:r>
        <w:t xml:space="preserve">(Guo 2026, PMID 41407860) is tot nu toe de belangrijkste vergelijkende studie: tegenover het gevestigde GLP-1-middel dulaglutide was mazdutide bij de HbA1c niet inferieur en superieur, zij het met een kleine marge (−0,24 resp. −0,30 procentpunt extra). Duidelijker was het verschil bij het gewicht (extra −3,78 resp. −5,76%). Maag-darmbijwerkingen kwamen bij mazdutide vaker voor dan bij dulaglutide.</w:t>
      </w:r>
    </w:p>
    <w:p>
      <w:pPr>
        <w:pStyle w:val="BodyText"/>
      </w:pPr>
      <w:r>
        <w:t xml:space="preserve">Een vergelijkende studie tegen semaglutide bij mensen met vroege diabetes type 2 en obesitas (DREAMS-3) is volgens het register afgerond (NCT06184568); het design en de uitgangsgegevens van de 349 deelnemers zijn gepubliceerd (Luo 2026, PMID 41260459), de resultaten nog niet.</w:t>
      </w:r>
    </w:p>
    <w:bookmarkEnd w:id="245"/>
    <w:bookmarkStart w:id="246" w:name="studies-buiten-china-en-hogere-doses"/>
    <w:p>
      <w:pPr>
        <w:pStyle w:val="Heading4"/>
      </w:pPr>
      <w:r>
        <w:t xml:space="preserve">Studies buiten China en hogere doses</w:t>
      </w:r>
    </w:p>
    <w:p>
      <w:pPr>
        <w:pStyle w:val="FirstParagraph"/>
      </w:pPr>
      <w:r>
        <w:t xml:space="preserve">Lilly onderzoekt mazdutide buiten China in hogere doses. In een kleine fase 1-studie met 32 volwassenen in de VS daalde het lichaamsgewicht bij de hoogste dosis na 20 weken met 20,0 resp. 21,0% (twee schema’s voor dosisopbouw) tegenover 0,1% bij placebo; ernstige bijwerkingen kwamen niet voor (Bhattachar 2025, PMID 40832785).</w:t>
      </w:r>
    </w:p>
    <w:p>
      <w:pPr>
        <w:pStyle w:val="BodyText"/>
      </w:pPr>
      <w:r>
        <w:t xml:space="preserve">In de Amerikaanse fase 2-studie met 179 deelnemers (Hsia 2026, PMID 42628555) bedroeg het gewichtsverlies na 32 weken tot 18,1% bij de hoogste dosis. Daar stopte bij de hoogste dosis echter 20% met de behandeling vanwege bijwerkingen, overwegend vanwege maag-darmklachten. De hoofdanalyse gebruikte bovendien de</w:t>
      </w:r>
      <w:r>
        <w:t xml:space="preserve"> </w:t>
      </w:r>
      <w:r>
        <w:t xml:space="preserve">‘</w:t>
      </w:r>
      <w:r>
        <w:t xml:space="preserve">werkzaamheidsschatter</w:t>
      </w:r>
      <w:r>
        <w:t xml:space="preserve">’</w:t>
      </w:r>
      <w:r>
        <w:t xml:space="preserve">, die personen na stoppen niet meer meeneemt en het effect daardoor eerder gunstiger voorstelt.</w:t>
      </w:r>
    </w:p>
    <w:bookmarkEnd w:id="246"/>
    <w:bookmarkStart w:id="247" w:name="casusbeschrijvingen"/>
    <w:p>
      <w:pPr>
        <w:pStyle w:val="Heading4"/>
      </w:pPr>
      <w:r>
        <w:t xml:space="preserve">Casusbeschrijvingen</w:t>
      </w:r>
    </w:p>
    <w:p>
      <w:pPr>
        <w:pStyle w:val="FirstParagraph"/>
      </w:pPr>
      <w:r>
        <w:t xml:space="preserve">Een casusbeschrijving beschrijft een 15-jarige patiënt met obesitas, diabetes type 2 en verhoogd urinezuur, die mazdutide kreeg naast metformine en insuline en na 36 weken 16,8 kg afviel (Cheng 2025, PMID 41030857). Eén enkel geval laat geen uitspraak toe over werkzaamheid of veiligheid bij jongeren; een studie daarnaar loopt (NCT07255209).</w:t>
      </w:r>
    </w:p>
    <w:bookmarkEnd w:id="247"/>
    <w:bookmarkEnd w:id="248"/>
    <w:bookmarkStart w:id="249" w:name="dier--en-laboratoriumstudies-7"/>
    <w:p>
      <w:pPr>
        <w:pStyle w:val="Heading3"/>
      </w:pPr>
      <w:r>
        <w:t xml:space="preserve">Dier- en laboratoriumstudies</w:t>
      </w:r>
    </w:p>
    <w:p>
      <w:pPr>
        <w:pStyle w:val="FirstParagraph"/>
      </w:pPr>
      <w:r>
        <w:t xml:space="preserve">Bij diabetische muizen (db/db-model) presteerde mazdutide in geheugen- en gedragstests beter dan dulaglutide; in het hersenweefsel was minder schade te zien (Dong 2025, PMID 40479843). Bij muizen met door voeding veroorzaakte leververvetting en in levercelkweken verminderde mazdutide vetopslag en ontstekingskenmerken (Gan 2026, PMID 41901218). Of daaruit voordelen voor mensen voortvloeien, is open; een studie naar diabetes type 2 met beginnende cognitieve achteruitgang is in China geregistreerd (NCT07083154).</w:t>
      </w:r>
    </w:p>
    <w:bookmarkEnd w:id="249"/>
    <w:bookmarkStart w:id="250" w:name="risicos-en-bijwerkingen-7"/>
    <w:p>
      <w:pPr>
        <w:pStyle w:val="Heading3"/>
      </w:pPr>
      <w:r>
        <w:t xml:space="preserve">Risico’s en bijwerkingen</w:t>
      </w:r>
    </w:p>
    <w:p>
      <w:pPr>
        <w:pStyle w:val="FirstParagraph"/>
      </w:pPr>
      <w:r>
        <w:rPr>
          <w:bCs/>
          <w:b/>
        </w:rPr>
        <w:t xml:space="preserve">Aangetoond in studies:</w:t>
      </w:r>
    </w:p>
    <w:p>
      <w:pPr>
        <w:numPr>
          <w:ilvl w:val="0"/>
          <w:numId w:val="1077"/>
        </w:numPr>
        <w:pStyle w:val="Compact"/>
      </w:pPr>
      <w:r>
        <w:rPr>
          <w:bCs/>
          <w:b/>
        </w:rPr>
        <w:t xml:space="preserve">Maag-darmklachten</w:t>
      </w:r>
      <w:r>
        <w:t xml:space="preserve"> </w:t>
      </w:r>
      <w:r>
        <w:t xml:space="preserve">zijn de meest voorkomende bijwerkingen; hun frequentie stijgt met de dosis. In de fase 2-diabetesstudie kwamen diarree bij 36%, verminderde eetlust bij 29%, misselijkheid bij 23% en braken bij 14% voor (Zhang 2024, PMID 37943529). In GLORY-2 braakte meer dan de helft van de deelnemers minstens één keer (Gao 2026, PMID 42251595).</w:t>
      </w:r>
    </w:p>
    <w:p>
      <w:pPr>
        <w:numPr>
          <w:ilvl w:val="0"/>
          <w:numId w:val="1077"/>
        </w:numPr>
        <w:pStyle w:val="Compact"/>
      </w:pPr>
      <w:r>
        <w:rPr>
          <w:bCs/>
          <w:b/>
        </w:rPr>
        <w:t xml:space="preserve">Hypoglykemie:</w:t>
      </w:r>
      <w:r>
        <w:t xml:space="preserve"> </w:t>
      </w:r>
      <w:r>
        <w:t xml:space="preserve">in de fase 2-diabetesstudie werden hypoglykemieën gemeld bij 10% met mazdutide en 8% met placebo (Zhang 2024, PMID 37943529).</w:t>
      </w:r>
    </w:p>
    <w:p>
      <w:pPr>
        <w:numPr>
          <w:ilvl w:val="0"/>
          <w:numId w:val="1077"/>
        </w:numPr>
        <w:pStyle w:val="Compact"/>
      </w:pPr>
      <w:r>
        <w:rPr>
          <w:bCs/>
          <w:b/>
        </w:rPr>
        <w:t xml:space="preserve">Stoppen bij hoge doses:</w:t>
      </w:r>
      <w:r>
        <w:t xml:space="preserve"> </w:t>
      </w:r>
      <w:r>
        <w:t xml:space="preserve">tot 20% in de Amerikaanse fase 2-studie (Hsia 2026, PMID 42628555).</w:t>
      </w:r>
    </w:p>
    <w:p>
      <w:pPr>
        <w:pStyle w:val="FirstParagraph"/>
      </w:pPr>
      <w:r>
        <w:rPr>
          <w:bCs/>
          <w:b/>
        </w:rPr>
        <w:t xml:space="preserve">Nog open:</w:t>
      </w:r>
      <w:r>
        <w:t xml:space="preserve"> </w:t>
      </w:r>
      <w:r>
        <w:t xml:space="preserve">er is geen cardiovasculaire eindpuntstudie. Langetermijngegevens over meer dan 60 weken ontbreken. De studies omvatten vrijwel uitsluitend mensen van Chinese afkomst, die bij hetzelfde gewichtsverlies andere uitgangswaarden (lager lichaamsgewicht) hadden dan Europese studiepopulaties. De voor GLP-1-middelen bekende klasserisico’s (galblaas, alvleesklier, C-cellen van de schildklier in dierproeven) zijn bij mazdutide bij gebrek aan patiëntjaren nog niet zelfstandig beoordeeld.</w:t>
      </w:r>
    </w:p>
    <w:bookmarkEnd w:id="250"/>
    <w:bookmarkStart w:id="251" w:name="juridische-status-7"/>
    <w:p>
      <w:pPr>
        <w:pStyle w:val="Heading3"/>
      </w:pPr>
      <w:r>
        <w:t xml:space="preserve">Juridische status</w:t>
      </w:r>
    </w:p>
    <w:p>
      <w:pPr>
        <w:numPr>
          <w:ilvl w:val="0"/>
          <w:numId w:val="1078"/>
        </w:numPr>
        <w:pStyle w:val="Compact"/>
      </w:pPr>
      <w:r>
        <w:rPr>
          <w:bCs/>
          <w:b/>
        </w:rPr>
        <w:t xml:space="preserve">China:</w:t>
      </w:r>
      <w:r>
        <w:t xml:space="preserve"> </w:t>
      </w:r>
      <w:r>
        <w:t xml:space="preserve">geregistreerd (juni 2025 voor gewichtsbeheersing, september 2025 voor diabetes type 2) (Shirley 2025, PMID 41028652).</w:t>
      </w:r>
    </w:p>
    <w:p>
      <w:pPr>
        <w:numPr>
          <w:ilvl w:val="0"/>
          <w:numId w:val="1078"/>
        </w:numPr>
        <w:pStyle w:val="Compact"/>
      </w:pPr>
      <w:r>
        <w:rPr>
          <w:bCs/>
          <w:b/>
        </w:rPr>
        <w:t xml:space="preserve">EU / Oostenrijk / Duitsland:</w:t>
      </w:r>
      <w:r>
        <w:t xml:space="preserve"> </w:t>
      </w:r>
      <w:r>
        <w:t xml:space="preserve">niet geregistreerd. Invoer voor gebruik is zonder registratie niet legaal; via de grijze markt aangeboden</w:t>
      </w:r>
      <w:r>
        <w:t xml:space="preserve"> </w:t>
      </w:r>
      <w:r>
        <w:t xml:space="preserve">‘</w:t>
      </w:r>
      <w:r>
        <w:t xml:space="preserve">Mazdutide</w:t>
      </w:r>
      <w:r>
        <w:t xml:space="preserve">’</w:t>
      </w:r>
      <w:r>
        <w:t xml:space="preserve">-producten zijn geen gecontroleerde geneesmiddelen.</w:t>
      </w:r>
    </w:p>
    <w:p>
      <w:pPr>
        <w:numPr>
          <w:ilvl w:val="0"/>
          <w:numId w:val="1078"/>
        </w:numPr>
        <w:pStyle w:val="Compact"/>
      </w:pPr>
      <w:r>
        <w:rPr>
          <w:bCs/>
          <w:b/>
        </w:rPr>
        <w:t xml:space="preserve">VS:</w:t>
      </w:r>
      <w:r>
        <w:t xml:space="preserve"> </w:t>
      </w:r>
      <w:r>
        <w:t xml:space="preserve">niet geregistreerd; Lilly voert eigen studies uit.</w:t>
      </w:r>
    </w:p>
    <w:p>
      <w:pPr>
        <w:numPr>
          <w:ilvl w:val="0"/>
          <w:numId w:val="1078"/>
        </w:numPr>
        <w:pStyle w:val="Compact"/>
      </w:pPr>
      <w:r>
        <w:rPr>
          <w:bCs/>
          <w:b/>
        </w:rPr>
        <w:t xml:space="preserve">Sport:</w:t>
      </w:r>
      <w:r>
        <w:t xml:space="preserve"> </w:t>
      </w:r>
      <w:r>
        <w:t xml:space="preserve">niet bij naam vermeld; status onder S0 vanwege de Chinese registratie onduidelijk – stand 2026, actuele situatie controleren.</w:t>
      </w:r>
    </w:p>
    <w:bookmarkEnd w:id="251"/>
    <w:bookmarkStart w:id="252" w:name="lopende-studies-en-vooruitzichten-7"/>
    <w:p>
      <w:pPr>
        <w:pStyle w:val="Heading3"/>
      </w:pPr>
      <w:r>
        <w:t xml:space="preserve">Lopende studies en vooruitzichten</w:t>
      </w:r>
    </w:p>
    <w:p>
      <w:pPr>
        <w:pStyle w:val="FirstParagraph"/>
      </w:pPr>
      <w:r>
        <w:rPr>
          <w:bCs/>
          <w:b/>
        </w:rPr>
        <w:t xml:space="preserve">Vaststaand (geregistreerde studies, stand oktober 2026):</w:t>
      </w:r>
    </w:p>
    <w:p>
      <w:pPr>
        <w:numPr>
          <w:ilvl w:val="0"/>
          <w:numId w:val="1079"/>
        </w:numPr>
        <w:pStyle w:val="Compact"/>
      </w:pPr>
      <w:r>
        <w:t xml:space="preserve">Vergelijking met semaglutide bij leververvetting (NCT06884293) en bij vroege diabetes type 2 (NCT06184568, afgerond).</w:t>
      </w:r>
    </w:p>
    <w:p>
      <w:pPr>
        <w:numPr>
          <w:ilvl w:val="0"/>
          <w:numId w:val="1079"/>
        </w:numPr>
        <w:pStyle w:val="Compact"/>
      </w:pPr>
      <w:r>
        <w:t xml:space="preserve">Slaapapneu (NCT06931028), hoge bloeddruk met obesitas (NCT07469800), jongeren (NCT07255209).</w:t>
      </w:r>
    </w:p>
    <w:p>
      <w:pPr>
        <w:numPr>
          <w:ilvl w:val="0"/>
          <w:numId w:val="1079"/>
        </w:numPr>
        <w:pStyle w:val="Compact"/>
      </w:pPr>
      <w:r>
        <w:t xml:space="preserve">Fase 2-studies naar MASH (NCT06937749), hartfalen met obesitas (NCT06862908) en alcoholgebruiksstoornis (NCT06817356, afgerond, sponsor Lilly).</w:t>
      </w:r>
    </w:p>
    <w:p>
      <w:pPr>
        <w:numPr>
          <w:ilvl w:val="0"/>
          <w:numId w:val="1079"/>
        </w:numPr>
        <w:pStyle w:val="Compact"/>
      </w:pPr>
      <w:r>
        <w:t xml:space="preserve">Lilly onderzoekt mazdutide bovendien in een fase 2-masterprotocol (NCT06143956).</w:t>
      </w:r>
    </w:p>
    <w:p>
      <w:pPr>
        <w:pStyle w:val="FirstParagraph"/>
      </w:pPr>
      <w:r>
        <w:rPr>
          <w:bCs/>
          <w:b/>
        </w:rPr>
        <w:t xml:space="preserve">Inschatting:</w:t>
      </w:r>
      <w:r>
        <w:t xml:space="preserve"> </w:t>
      </w:r>
      <w:r>
        <w:t xml:space="preserve">mazdutide is het eerste dubbele glucagon/GLP-1-middel met een registratie – zij het alleen in China. Of Lilly registratie in de VS en Europa nastreeft, hangt vermoedelijk af van de vraag of het molecuul zich naast tirzepatide en retatrutide uit hetzelfde huis kan onderscheiden, bijvoorbeeld bij leververvetting of alcoholgebruiksstoornis. Dat is een inschatting; concrete registratieaanvragen buiten China zijn niet bekend.</w:t>
      </w:r>
    </w:p>
    <w:bookmarkEnd w:id="252"/>
    <w:bookmarkStart w:id="253" w:name="conclusie-7"/>
    <w:p>
      <w:pPr>
        <w:pStyle w:val="Heading3"/>
      </w:pPr>
      <w:r>
        <w:t xml:space="preserve">Conclusie</w:t>
      </w:r>
    </w:p>
    <w:p>
      <w:pPr>
        <w:pStyle w:val="FirstParagraph"/>
      </w:pPr>
      <w:r>
        <w:t xml:space="preserve">Mazdutide is een langwerkende afgeleide van het darmhormoon oxyntomoduline die de GLP-1- en glucagonreceptor tegelijk activeert. In Chinese fase 3-studies daalde het lichaamsgewicht met 11–14% na 48 weken resp. met 16,65% na 60 weken bij een hogere dosis; bij diabetes type 2 was het licht superieur aan dulaglutide. De meest voorkomende bijwerkingen zijn maag-darmklachten, die bij hogere doses zeer vaak voorkomen. Mazdutide is alleen in China geregistreerd; gegevens over cardiovasculaire eindpunten en over niet-Aziatische bevolkingsgroepen ontbreken grotendeels.</w:t>
      </w:r>
    </w:p>
    <w:bookmarkEnd w:id="253"/>
    <w:bookmarkEnd w:id="254"/>
    <w:bookmarkStart w:id="266" w:name="cagrilintide-en-cagrisema"/>
    <w:p>
      <w:pPr>
        <w:pStyle w:val="Heading2"/>
      </w:pPr>
      <w:r>
        <w:t xml:space="preserve">Cagrilintide en CagriSema</w:t>
      </w:r>
    </w:p>
    <w:bookmarkStart w:id="255" w:name="profiel-8"/>
    <w:p>
      <w:pPr>
        <w:pStyle w:val="Heading3"/>
      </w:pPr>
      <w:r>
        <w:t xml:space="preserve">Profiel</w:t>
      </w:r>
    </w:p>
    <w:p>
      <w:pPr>
        <w:numPr>
          <w:ilvl w:val="0"/>
          <w:numId w:val="1080"/>
        </w:numPr>
        <w:pStyle w:val="Compact"/>
      </w:pPr>
      <w:r>
        <w:rPr>
          <w:bCs/>
          <w:b/>
        </w:rPr>
        <w:t xml:space="preserve">Soort/structuur:</w:t>
      </w:r>
      <w:r>
        <w:t xml:space="preserve"> </w:t>
      </w:r>
      <w:r>
        <w:t xml:space="preserve">cagrilintide is een synthetisch, met een vetzuur gemodificeerd analoog van het hormoon amyline voor toediening eenmaal per week onder de huid.</w:t>
      </w:r>
      <w:r>
        <w:t xml:space="preserve"> </w:t>
      </w:r>
      <w:r>
        <w:rPr>
          <w:bCs/>
          <w:b/>
        </w:rPr>
        <w:t xml:space="preserve">CagriSema</w:t>
      </w:r>
      <w:r>
        <w:t xml:space="preserve"> </w:t>
      </w:r>
      <w:r>
        <w:t xml:space="preserve">is de vaste combinatie van cagrilintide en semaglutide in één injectiepen.</w:t>
      </w:r>
    </w:p>
    <w:p>
      <w:pPr>
        <w:numPr>
          <w:ilvl w:val="0"/>
          <w:numId w:val="1080"/>
        </w:numPr>
        <w:pStyle w:val="Compact"/>
      </w:pPr>
      <w:r>
        <w:rPr>
          <w:bCs/>
          <w:b/>
        </w:rPr>
        <w:t xml:space="preserve">Herkomst:</w:t>
      </w:r>
      <w:r>
        <w:t xml:space="preserve"> </w:t>
      </w:r>
      <w:r>
        <w:t xml:space="preserve">ontwikkeld door Novo Nordisk, de fabrikant van semaglutide.</w:t>
      </w:r>
    </w:p>
    <w:p>
      <w:pPr>
        <w:numPr>
          <w:ilvl w:val="0"/>
          <w:numId w:val="1080"/>
        </w:numPr>
        <w:pStyle w:val="Compact"/>
      </w:pPr>
      <w:r>
        <w:rPr>
          <w:bCs/>
          <w:b/>
        </w:rPr>
        <w:t xml:space="preserve">Werkingsprincipe:</w:t>
      </w:r>
      <w:r>
        <w:t xml:space="preserve"> </w:t>
      </w:r>
      <w:r>
        <w:t xml:space="preserve">cagrilintide activeert amylinereceptoren en daarnaast de verwante calcitoninereceptor (een</w:t>
      </w:r>
      <w:r>
        <w:t xml:space="preserve"> </w:t>
      </w:r>
      <w:r>
        <w:t xml:space="preserve">‘</w:t>
      </w:r>
      <w:r>
        <w:t xml:space="preserve">duale amyline- en calcitoninereceptoragonist</w:t>
      </w:r>
      <w:r>
        <w:t xml:space="preserve">’</w:t>
      </w:r>
      <w:r>
        <w:t xml:space="preserve">). In CagriSema komt daar de GLP-1-werking van semaglutide bij.</w:t>
      </w:r>
    </w:p>
    <w:p>
      <w:pPr>
        <w:numPr>
          <w:ilvl w:val="0"/>
          <w:numId w:val="1080"/>
        </w:numPr>
        <w:pStyle w:val="Compact"/>
      </w:pPr>
      <w:r>
        <w:rPr>
          <w:bCs/>
          <w:b/>
        </w:rPr>
        <w:t xml:space="preserve">Registratie EU:</w:t>
      </w:r>
      <w:r>
        <w:t xml:space="preserve"> </w:t>
      </w:r>
      <w:r>
        <w:t xml:space="preserve">nee (stand oktober 2026).</w:t>
      </w:r>
    </w:p>
    <w:p>
      <w:pPr>
        <w:numPr>
          <w:ilvl w:val="0"/>
          <w:numId w:val="1080"/>
        </w:numPr>
        <w:pStyle w:val="Compact"/>
      </w:pPr>
      <w:r>
        <w:rPr>
          <w:bCs/>
          <w:b/>
        </w:rPr>
        <w:t xml:space="preserve">Registratie VS:</w:t>
      </w:r>
      <w:r>
        <w:t xml:space="preserve"> </w:t>
      </w:r>
      <w:r>
        <w:t xml:space="preserve">nee (stand oktober 2026; een registratieprocedure voor CagriSema is aangekondigd of zou al kunnen lopen – actuele situatie controleren).</w:t>
      </w:r>
    </w:p>
    <w:p>
      <w:pPr>
        <w:numPr>
          <w:ilvl w:val="0"/>
          <w:numId w:val="1080"/>
        </w:numPr>
        <w:pStyle w:val="Compact"/>
      </w:pPr>
      <w:r>
        <w:rPr>
          <w:bCs/>
          <w:b/>
        </w:rPr>
        <w:t xml:space="preserve">WADA:</w:t>
      </w:r>
      <w:r>
        <w:t xml:space="preserve"> </w:t>
      </w:r>
      <w:r>
        <w:t xml:space="preserve">als niet-geregistreerde stof verboden onder S0 (stand 2026, actuele situatie controleren).</w:t>
      </w:r>
    </w:p>
    <w:p>
      <w:pPr>
        <w:numPr>
          <w:ilvl w:val="0"/>
          <w:numId w:val="1080"/>
        </w:numPr>
        <w:pStyle w:val="Compact"/>
      </w:pPr>
      <w:r>
        <w:rPr>
          <w:bCs/>
          <w:b/>
        </w:rPr>
        <w:t xml:space="preserve">Bewijsniveau:</w:t>
      </w:r>
      <w:r>
        <w:t xml:space="preserve"> </w:t>
      </w:r>
      <w:r>
        <w:rPr>
          <w:bCs/>
          <w:b/>
        </w:rPr>
        <w:t xml:space="preserve">B</w:t>
      </w:r>
      <w:r>
        <w:t xml:space="preserve"> </w:t>
      </w:r>
      <w:r>
        <w:t xml:space="preserve">– meerdere grote fase 3-studies gepubliceerd, maar nog geen registratie. Met registratie zou CagriSema niveau A bereiken.</w:t>
      </w:r>
    </w:p>
    <w:bookmarkEnd w:id="255"/>
    <w:bookmarkStart w:id="256" w:name="hoe-het-zou-moeten-werken-8"/>
    <w:p>
      <w:pPr>
        <w:pStyle w:val="Heading3"/>
      </w:pPr>
      <w:r>
        <w:t xml:space="preserve">Hoe het zou moeten werken</w:t>
      </w:r>
    </w:p>
    <w:p>
      <w:pPr>
        <w:pStyle w:val="FirstParagraph"/>
      </w:pPr>
      <w:r>
        <w:t xml:space="preserve">Amyline is een hormoon dat de bètacellen van de alvleesklier samen met insuline afgeven. Het werkt vooral in de hersenstam: het bevordert het verzadigingsgevoel, vertraagt de maaglediging en remt de afgifte van glucagon na het eten. Mensen met diabetes type 1 missen naast insuline ook amyline.</w:t>
      </w:r>
    </w:p>
    <w:p>
      <w:pPr>
        <w:pStyle w:val="BodyText"/>
      </w:pPr>
      <w:r>
        <w:t xml:space="preserve">Natuurlijk amyline is ongeschikt als geneesmiddel, omdat het de neiging heeft samen te klonteren (het vormt zogeheten amyloïdfibrillen) en slechts minuten in het bloed overleeft. Het eerste amylinegeneesmiddel, pramlintide (zie het eigen hoofdstuk), moet daarom meerdere keren per dag worden geïnjecteerd. Cagrilintide werd doelgericht zo veranderd dat het stabiel blijft en dankzij een vetzuurketen een week lang werkt (Kruse 2021, PMID 34288673). In fase 1-gegevens lag de halfwaardetijd tussen 159 en 195 uur, dus ongeveer een week (Enebo 2021, PMID 33894838).</w:t>
      </w:r>
    </w:p>
    <w:p>
      <w:pPr>
        <w:pStyle w:val="BodyText"/>
      </w:pPr>
      <w:r>
        <w:t xml:space="preserve">De combinatie met semaglutide volgt een eenvoudig idee: amyline en GLP-1 werken via verschillende receptoren en deels via verschillende hersengebieden op de verzadiging – de effecten zouden elkaar kunnen versterken. Onderzoek bij genetisch gemodificeerde muizen laat zien dat cagrilintide voor zijn gewichtsverlagende werking de amylinereceptor-subtypen 1 en 3 in de hersenen nodig heeft (Carvas 2025, PMID 40609154). Bij ratten verlaagde CagriSema vooral de energie-inname, terwijl het energieverbruik grotendeels behouden bleef (Jacobsen 2025, PMID 40629149).</w:t>
      </w:r>
    </w:p>
    <w:bookmarkEnd w:id="256"/>
    <w:bookmarkStart w:id="260" w:name="studies-bij-mensen-8"/>
    <w:p>
      <w:pPr>
        <w:pStyle w:val="Heading3"/>
      </w:pPr>
      <w:r>
        <w:t xml:space="preserve">Studies bij mensen</w:t>
      </w:r>
    </w:p>
    <w:p>
      <w:pPr>
        <w:pStyle w:val="FirstParagraph"/>
      </w:pPr>
      <w:r>
        <w:rPr>
          <w:bCs/>
          <w:b/>
        </w:rPr>
        <w:t xml:space="preserve">Omvang van het onderzoek:</w:t>
      </w:r>
      <w:r>
        <w:t xml:space="preserve"> </w:t>
      </w:r>
      <w:r>
        <w:t xml:space="preserve">De geautomatiseerde PubMed-zoekopdracht (oktober 2026) leverde 15 studies bij mensen op naar cagrilintide resp. CagriSema. Op ClinicalTrials.gov waren 44 studies geregistreerd. Het registratieprogramma heet</w:t>
      </w:r>
      <w:r>
        <w:t xml:space="preserve"> </w:t>
      </w:r>
      <w:r>
        <w:rPr>
          <w:bCs/>
          <w:b/>
        </w:rPr>
        <w:t xml:space="preserve">REDEFINE</w:t>
      </w:r>
      <w:r>
        <w:t xml:space="preserve"> </w:t>
      </w:r>
      <w:r>
        <w:t xml:space="preserve">(gewichtsbeheersing) resp.</w:t>
      </w:r>
      <w:r>
        <w:t xml:space="preserve"> </w:t>
      </w:r>
      <w:r>
        <w:rPr>
          <w:bCs/>
          <w:b/>
        </w:rPr>
        <w:t xml:space="preserve">REIMAGINE</w:t>
      </w:r>
      <w:r>
        <w:t xml:space="preserve"> </w:t>
      </w:r>
      <w:r>
        <w:t xml:space="preserve">(diabetes type 2).</w:t>
      </w:r>
    </w:p>
    <w:bookmarkStart w:id="257" w:name="cagrilintide-alleen"/>
    <w:p>
      <w:pPr>
        <w:pStyle w:val="Heading4"/>
      </w:pPr>
      <w:r>
        <w:t xml:space="preserve">Cagrilintide alleen</w:t>
      </w:r>
    </w:p>
    <w:p>
      <w:pPr>
        <w:pStyle w:val="FirstParagraph"/>
      </w:pPr>
      <w:r>
        <w:t xml:space="preserve">In de fase 2-dosisbepalingsstudie (Lau 2021, PMID 34798060) kregen 706 volwassenen met overgewicht of obesitas 26 weken lang cagrilintide in vijf doses, 99 liraglutide en 101 placebo. Het gewicht daalde dosisafhankelijk met 6,0 tot 10,8% (placebo 3,0%). De hoogste dosis was licht superieur aan liraglutide 3,0 mg (10,8% vs. 9,0%). Misselijkheid kwam voor bij 20–47% (placebo 18%). Cagrilintide alleen bereikt daarmee ongeveer de orde van grootte van oudere GLP-1-middelen, niet die van semaglutide of tirzepatide. Inmiddels wordt het ook als afzonderlijke stof in fase 3 onderzocht (NCT07220642).</w:t>
      </w:r>
    </w:p>
    <w:bookmarkEnd w:id="257"/>
    <w:bookmarkStart w:id="258" w:name="cagrisema-vroege-studies"/>
    <w:p>
      <w:pPr>
        <w:pStyle w:val="Heading4"/>
      </w:pPr>
      <w:r>
        <w:t xml:space="preserve">CagriSema: vroege studies</w:t>
      </w:r>
    </w:p>
    <w:p>
      <w:pPr>
        <w:pStyle w:val="FirstParagraph"/>
      </w:pPr>
      <w:r>
        <w:t xml:space="preserve">In een fase 1b-studie bij 95 gezonde personen met overgewicht verloren de deelnemers met semaglutide plus cagrilintide na 20 weken tot 17,1% van hun gewicht, met semaglutide plus placebo 9,8% (Enebo 2021, PMID 33894838). Cagrilintide veranderde de bloedspiegels van semaglutide niet.</w:t>
      </w:r>
    </w:p>
    <w:p>
      <w:pPr>
        <w:pStyle w:val="BodyText"/>
      </w:pPr>
      <w:r>
        <w:t xml:space="preserve">Een kleine fase 2-studie bij 92 mensen met diabetes type 2 vergeleek CagriSema rechtstreeks met beide afzonderlijke stoffen (Frias 2023, PMID 37364590). Na 32 weken bedroeg het gewichtsverlies 15,6% met CagriSema, 5,1% met semaglutide en 8,1% met cagrilintide. Bij de HbA1c was CagriSema met −2,2 procentpunt statistisch niet superieur aan semaglutide (−1,8).</w:t>
      </w:r>
    </w:p>
    <w:bookmarkEnd w:id="258"/>
    <w:bookmarkStart w:id="259" w:name="cagrisema-fase-3-redefine-en-reimagine"/>
    <w:p>
      <w:pPr>
        <w:pStyle w:val="Heading4"/>
      </w:pPr>
      <w:r>
        <w:t xml:space="preserve">CagriSema: fase 3 (REDEFINE en REIMAGINE)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Deelnemers en design</w:t>
            </w:r>
          </w:p>
        </w:tc>
        <w:tc>
          <w:tcPr/>
          <w:p>
            <w:pPr>
              <w:pStyle w:val="Compact"/>
              <w:jc w:val="left"/>
            </w:pPr>
            <w:r>
              <w:t xml:space="preserve">Duur</w:t>
            </w:r>
          </w:p>
        </w:tc>
        <w:tc>
          <w:tcPr/>
          <w:p>
            <w:pPr>
              <w:pStyle w:val="Compact"/>
              <w:jc w:val="left"/>
            </w:pPr>
            <w:r>
              <w:t xml:space="preserve">Resultaat</w:t>
            </w:r>
          </w:p>
        </w:tc>
      </w:tr>
      <w:tr>
        <w:tc>
          <w:tcPr/>
          <w:p>
            <w:pPr>
              <w:pStyle w:val="Compact"/>
              <w:jc w:val="left"/>
            </w:pPr>
            <w:r>
              <w:t xml:space="preserve">REDEFINE 1 (Garvey 2025), PMID 40544433</w:t>
            </w:r>
          </w:p>
        </w:tc>
        <w:tc>
          <w:tcPr/>
          <w:p>
            <w:pPr>
              <w:pStyle w:val="Compact"/>
              <w:jc w:val="left"/>
            </w:pPr>
            <w:r>
              <w:t xml:space="preserve">3.417 volwassenen met overgewicht/obesitas zonder diabetes; tegen placebo en afzonderlijke stoffen</w:t>
            </w:r>
          </w:p>
        </w:tc>
        <w:tc>
          <w:tcPr/>
          <w:p>
            <w:pPr>
              <w:pStyle w:val="Compact"/>
              <w:jc w:val="left"/>
            </w:pPr>
            <w:r>
              <w:t xml:space="preserve">68 weken</w:t>
            </w:r>
          </w:p>
        </w:tc>
        <w:tc>
          <w:tcPr/>
          <w:p>
            <w:pPr>
              <w:pStyle w:val="Compact"/>
              <w:jc w:val="left"/>
            </w:pPr>
            <w:r>
              <w:t xml:space="preserve">−20,4% gewicht vs. −3,0%</w:t>
            </w:r>
          </w:p>
        </w:tc>
      </w:tr>
      <w:tr>
        <w:tc>
          <w:tcPr/>
          <w:p>
            <w:pPr>
              <w:pStyle w:val="Compact"/>
              <w:jc w:val="left"/>
            </w:pPr>
            <w:r>
              <w:t xml:space="preserve">REDEFINE 2 (Davies 2025), PMID 40544432</w:t>
            </w:r>
          </w:p>
        </w:tc>
        <w:tc>
          <w:tcPr/>
          <w:p>
            <w:pPr>
              <w:pStyle w:val="Compact"/>
              <w:jc w:val="left"/>
            </w:pPr>
            <w:r>
              <w:t xml:space="preserve">1.206 volwassenen met obesitas en diabetes type 2, tegen placebo</w:t>
            </w:r>
          </w:p>
        </w:tc>
        <w:tc>
          <w:tcPr/>
          <w:p>
            <w:pPr>
              <w:pStyle w:val="Compact"/>
              <w:jc w:val="left"/>
            </w:pPr>
            <w:r>
              <w:t xml:space="preserve">68 weken</w:t>
            </w:r>
          </w:p>
        </w:tc>
        <w:tc>
          <w:tcPr/>
          <w:p>
            <w:pPr>
              <w:pStyle w:val="Compact"/>
              <w:jc w:val="left"/>
            </w:pPr>
            <w:r>
              <w:t xml:space="preserve">−13,7% vs. −3,4%</w:t>
            </w:r>
          </w:p>
        </w:tc>
      </w:tr>
      <w:tr>
        <w:tc>
          <w:tcPr/>
          <w:p>
            <w:pPr>
              <w:pStyle w:val="Compact"/>
              <w:jc w:val="left"/>
            </w:pPr>
            <w:r>
              <w:t xml:space="preserve">REDEFINE 5 (Yamauchi 2026), PMID 42009015</w:t>
            </w:r>
          </w:p>
        </w:tc>
        <w:tc>
          <w:tcPr/>
          <w:p>
            <w:pPr>
              <w:pStyle w:val="Compact"/>
              <w:jc w:val="left"/>
            </w:pPr>
            <w:r>
              <w:t xml:space="preserve">331 volwassenen in Japan en Taiwan, tegen semaglutide</w:t>
            </w:r>
          </w:p>
        </w:tc>
        <w:tc>
          <w:tcPr/>
          <w:p>
            <w:pPr>
              <w:pStyle w:val="Compact"/>
              <w:jc w:val="left"/>
            </w:pPr>
            <w:r>
              <w:t xml:space="preserve">68 weken</w:t>
            </w:r>
          </w:p>
        </w:tc>
        <w:tc>
          <w:tcPr/>
          <w:p>
            <w:pPr>
              <w:pStyle w:val="Compact"/>
              <w:jc w:val="left"/>
            </w:pPr>
            <w:r>
              <w:t xml:space="preserve">−18,4% vs. −11,9% (semaglutide)</w:t>
            </w:r>
          </w:p>
        </w:tc>
      </w:tr>
      <w:tr>
        <w:tc>
          <w:tcPr/>
          <w:p>
            <w:pPr>
              <w:pStyle w:val="Compact"/>
              <w:jc w:val="left"/>
            </w:pPr>
            <w:r>
              <w:t xml:space="preserve">REIMAGINE 1 (Aroda 2026), PMID 42251860</w:t>
            </w:r>
          </w:p>
        </w:tc>
        <w:tc>
          <w:tcPr/>
          <w:p>
            <w:pPr>
              <w:pStyle w:val="Compact"/>
              <w:jc w:val="left"/>
            </w:pPr>
            <w:r>
              <w:t xml:space="preserve">189 volwassenen met diabetes type 2 zonder medicatie, tegen placebo</w:t>
            </w:r>
          </w:p>
        </w:tc>
        <w:tc>
          <w:tcPr/>
          <w:p>
            <w:pPr>
              <w:pStyle w:val="Compact"/>
              <w:jc w:val="left"/>
            </w:pPr>
            <w:r>
              <w:t xml:space="preserve">40 weken</w:t>
            </w:r>
          </w:p>
        </w:tc>
        <w:tc>
          <w:tcPr/>
          <w:p>
            <w:pPr>
              <w:pStyle w:val="Compact"/>
              <w:jc w:val="left"/>
            </w:pPr>
            <w:r>
              <w:t xml:space="preserve">HbA1c −1,8 vs. −0,1; gewicht −13,8% vs. −1,4%</w:t>
            </w:r>
          </w:p>
        </w:tc>
      </w:tr>
      <w:tr>
        <w:tc>
          <w:tcPr/>
          <w:p>
            <w:pPr>
              <w:pStyle w:val="Compact"/>
              <w:jc w:val="left"/>
            </w:pPr>
            <w:r>
              <w:t xml:space="preserve">REIMAGINE 2 (Buse 2026), PMID 42251859</w:t>
            </w:r>
          </w:p>
        </w:tc>
        <w:tc>
          <w:tcPr/>
          <w:p>
            <w:pPr>
              <w:pStyle w:val="Compact"/>
              <w:jc w:val="left"/>
            </w:pPr>
            <w:r>
              <w:t xml:space="preserve">2.713 volwassenen met diabetes type 2, tegen semaglutide, cagrilintide en placebo</w:t>
            </w:r>
          </w:p>
        </w:tc>
        <w:tc>
          <w:tcPr/>
          <w:p>
            <w:pPr>
              <w:pStyle w:val="Compact"/>
              <w:jc w:val="left"/>
            </w:pPr>
            <w:r>
              <w:t xml:space="preserve">68 weken</w:t>
            </w:r>
          </w:p>
        </w:tc>
        <w:tc>
          <w:tcPr/>
          <w:p>
            <w:pPr>
              <w:pStyle w:val="Compact"/>
              <w:jc w:val="left"/>
            </w:pPr>
            <w:r>
              <w:t xml:space="preserve">HbA1c −1,91 vs. −1,75 (semaglutide 2,4 mg)</w:t>
            </w:r>
          </w:p>
        </w:tc>
      </w:tr>
      <w:tr>
        <w:tc>
          <w:tcPr/>
          <w:p>
            <w:pPr>
              <w:pStyle w:val="Compact"/>
              <w:jc w:val="left"/>
            </w:pPr>
            <w:r>
              <w:t xml:space="preserve">REIMAGINE 3 (Rosenstock 2026), PMID 42251856</w:t>
            </w:r>
          </w:p>
        </w:tc>
        <w:tc>
          <w:tcPr/>
          <w:p>
            <w:pPr>
              <w:pStyle w:val="Compact"/>
              <w:jc w:val="left"/>
            </w:pPr>
            <w:r>
              <w:t xml:space="preserve">274 volwassenen met diabetes type 2 en basale insuline, tegen placebo</w:t>
            </w:r>
          </w:p>
        </w:tc>
        <w:tc>
          <w:tcPr/>
          <w:p>
            <w:pPr>
              <w:pStyle w:val="Compact"/>
              <w:jc w:val="left"/>
            </w:pPr>
            <w:r>
              <w:t xml:space="preserve">40 weken</w:t>
            </w:r>
          </w:p>
        </w:tc>
        <w:tc>
          <w:tcPr/>
          <w:p>
            <w:pPr>
              <w:pStyle w:val="Compact"/>
              <w:jc w:val="left"/>
            </w:pPr>
            <w:r>
              <w:t xml:space="preserve">HbA1c −2,33 vs. −0,66; gewicht −10 tot −12%</w:t>
            </w:r>
          </w:p>
        </w:tc>
      </w:tr>
    </w:tbl>
    <w:p>
      <w:pPr>
        <w:pStyle w:val="BodyText"/>
      </w:pPr>
      <w:r>
        <w:rPr>
          <w:bCs/>
          <w:b/>
        </w:rPr>
        <w:t xml:space="preserve">REDEFINE 1</w:t>
      </w:r>
      <w:r>
        <w:t xml:space="preserve"> </w:t>
      </w:r>
      <w:r>
        <w:t xml:space="preserve">(Garvey 2025, PMID 40544433) is de hoofdstudie. Bij 3.417 volwassenen zonder diabetes daalde het lichaamsgewicht na 68 weken gemiddeld met 20,4% tegenover 3,0% bij placebo. De studie omvatte ook kleinere groepen met alleen semaglutide en alleen cagrilintide. In een nadere analyse bereikten 30,3% met CagriSema, 19,1% met semaglutide, 9,0% met cagrilintide en 3,3% met placebo zowel een BMI onder 27 als een gunstige verhouding tussen taille en lichaamslengte (Busetto 2026, PMID 42503495). De systolische bloeddruk daalde met CagriSema met 10,9 mmHg (placebo −2,8) (Verma 2026, PMID 41328546).</w:t>
      </w:r>
    </w:p>
    <w:p>
      <w:pPr>
        <w:pStyle w:val="BodyText"/>
      </w:pPr>
      <w:r>
        <w:t xml:space="preserve">Ter duiding: de bereikte 20,4% liggen in de orde van grootte van tirzepatide in SURMOUNT-1 (20,9% na 72 weken bij de hoogste dosis). Zo’n vergelijking tussen verschillende studies geeft slechts een ruwe indicatie; de directe vergelijking ontbreekt nog (zie hieronder).</w:t>
      </w:r>
    </w:p>
    <w:p>
      <w:pPr>
        <w:pStyle w:val="BodyText"/>
      </w:pPr>
      <w:r>
        <w:rPr>
          <w:bCs/>
          <w:b/>
        </w:rPr>
        <w:t xml:space="preserve">REDEFINE 2</w:t>
      </w:r>
      <w:r>
        <w:t xml:space="preserve"> </w:t>
      </w:r>
      <w:r>
        <w:t xml:space="preserve">(Davies 2025, PMID 40544432) bevestigde het patroon bij mensen met diabetes type 2: −13,7% tegenover −3,4%. 73,5% bereikte een HbA1c-waarde van ten hoogste 6,5% (placebo 15,9%).</w:t>
      </w:r>
    </w:p>
    <w:p>
      <w:pPr>
        <w:pStyle w:val="BodyText"/>
      </w:pPr>
      <w:r>
        <w:rPr>
          <w:bCs/>
          <w:b/>
        </w:rPr>
        <w:t xml:space="preserve">REDEFINE 5</w:t>
      </w:r>
      <w:r>
        <w:t xml:space="preserve"> </w:t>
      </w:r>
      <w:r>
        <w:t xml:space="preserve">(Yamauchi 2026, PMID 42009015) is de eerste gepubliceerde geblindeerde fase 3-studie in directe vergelijking met semaglutide 2,4 mg: in Japan en Taiwan verloren de deelnemers 18,4% met CagriSema tegenover 11,9% met alleen semaglutide. Maag-darmklachten kwamen met 53% tegenover 51% ongeveer even vaak voor.</w:t>
      </w:r>
    </w:p>
    <w:p>
      <w:pPr>
        <w:pStyle w:val="BodyText"/>
      </w:pPr>
      <w:r>
        <w:rPr>
          <w:bCs/>
          <w:b/>
        </w:rPr>
        <w:t xml:space="preserve">REIMAGINE 2</w:t>
      </w:r>
      <w:r>
        <w:t xml:space="preserve"> </w:t>
      </w:r>
      <w:r>
        <w:t xml:space="preserve">(Buse 2026, PMID 42251859) liet bij diabetes type 2 zien dat CagriSema de HbA1c-waarde slechts iets sterker verlaagt dan semaglutide 2,4 mg alleen (−1,91 vs. −1,75 procentpunt). Het extra voordeel van cagrilintide ligt dus vooral bij het gewicht, nauwelijks bij de bloedsuiker.</w:t>
      </w:r>
    </w:p>
    <w:p>
      <w:pPr>
        <w:pStyle w:val="BodyText"/>
      </w:pPr>
      <w:r>
        <w:t xml:space="preserve">De directe vergelijkende studie tegen tirzepatide bij obesitas (REDEFINE 4, NCT06131437) en twee vergelijkende studies tegen tirzepatide bij diabetes type 2 (NCT06221969, NCT06534411) zijn volgens het register afgerond; collegiaal getoetste publicaties lagen bij het onderzoek nog niet voor.</w:t>
      </w:r>
    </w:p>
    <w:bookmarkEnd w:id="259"/>
    <w:bookmarkEnd w:id="260"/>
    <w:bookmarkStart w:id="261" w:name="dier--en-laboratoriumstudies-8"/>
    <w:p>
      <w:pPr>
        <w:pStyle w:val="Heading3"/>
      </w:pPr>
      <w:r>
        <w:t xml:space="preserve">Dier- en laboratoriumstudies</w:t>
      </w:r>
    </w:p>
    <w:p>
      <w:pPr>
        <w:pStyle w:val="FirstParagraph"/>
      </w:pPr>
      <w:r>
        <w:t xml:space="preserve">Structuurbiologisch onderzoek laat zien hoe cagrilintide aan amyline- en calcitoninereceptoren bindt (Cao 2025, PMID 40204768). Bij muizen zonder de amylinereceptor-subtypen 1 en 3 was de werking sterk verzwakt (Carvas 2025, PMID 40609154). Bij ratten verlaagde CagriSema de voedselinname met 39%; volgens berekening van de auteurs was ongeveer een derde van het gewichtsverlies terug te voeren op het feit dat het energieverbruik niet in de gebruikelijke mate daalde (Jacobsen 2025, PMID 40629149). In een andere rattenstudie versterkte de combinatie van cagrilintide met retatrutide het gewichtsverlies (Petersen 2026, PMID 42744908) – een aanwijzing dat amylinemiddelen in de toekomst ook met andere incretinemiddelen gecombineerd zouden kunnen worden. Al deze resultaten komen uit dierproeven.</w:t>
      </w:r>
    </w:p>
    <w:bookmarkEnd w:id="261"/>
    <w:bookmarkStart w:id="262" w:name="risicos-en-bijwerkingen-8"/>
    <w:p>
      <w:pPr>
        <w:pStyle w:val="Heading3"/>
      </w:pPr>
      <w:r>
        <w:t xml:space="preserve">Risico’s en bijwerkingen</w:t>
      </w:r>
    </w:p>
    <w:p>
      <w:pPr>
        <w:pStyle w:val="FirstParagraph"/>
      </w:pPr>
      <w:r>
        <w:rPr>
          <w:bCs/>
          <w:b/>
        </w:rPr>
        <w:t xml:space="preserve">Aangetoond in studies:</w:t>
      </w:r>
    </w:p>
    <w:p>
      <w:pPr>
        <w:numPr>
          <w:ilvl w:val="0"/>
          <w:numId w:val="1081"/>
        </w:numPr>
        <w:pStyle w:val="Compact"/>
      </w:pPr>
      <w:r>
        <w:rPr>
          <w:bCs/>
          <w:b/>
        </w:rPr>
        <w:t xml:space="preserve">Maag-darmklachten</w:t>
      </w:r>
      <w:r>
        <w:t xml:space="preserve"> </w:t>
      </w:r>
      <w:r>
        <w:t xml:space="preserve">– misselijkheid, braken, diarree, obstipatie, buikpijn – troffen in REDEFINE 1 79,6% met CagriSema tegenover 39,9% met placebo; ze waren meestal van voorbijgaande aard en licht tot matig (Garvey 2025, PMID 40544433). In REDEFINE 2 was dat 72,5% tegenover 34,4% (Davies 2025, PMID 40544432).</w:t>
      </w:r>
    </w:p>
    <w:p>
      <w:pPr>
        <w:numPr>
          <w:ilvl w:val="0"/>
          <w:numId w:val="1081"/>
        </w:numPr>
        <w:pStyle w:val="Compact"/>
      </w:pPr>
      <w:r>
        <w:rPr>
          <w:bCs/>
          <w:b/>
        </w:rPr>
        <w:t xml:space="preserve">Hypoglykemie:</w:t>
      </w:r>
      <w:r>
        <w:t xml:space="preserve"> </w:t>
      </w:r>
      <w:r>
        <w:t xml:space="preserve">in REIMAGINE 3 kwamen ondanks gelijktijdige insulinebehandeling geen ernstige hypoglykemieën voor (Rosenstock 2026, PMID 42251856). Bij combinatie met insuline of sulfonylureumderivaten blijft het risico echter in principe bestaan.</w:t>
      </w:r>
    </w:p>
    <w:p>
      <w:pPr>
        <w:numPr>
          <w:ilvl w:val="0"/>
          <w:numId w:val="1081"/>
        </w:numPr>
        <w:pStyle w:val="Compact"/>
      </w:pPr>
      <w:r>
        <w:rPr>
          <w:bCs/>
          <w:b/>
        </w:rPr>
        <w:t xml:space="preserve">Hartritme:</w:t>
      </w:r>
      <w:r>
        <w:t xml:space="preserve"> </w:t>
      </w:r>
      <w:r>
        <w:t xml:space="preserve">in een aparte studie met 105 gezonde personen verlengde cagrilintide de QT-tijd op het ecg niet in klinisch relevante mate (Gabe 2024, PMID 39279639).</w:t>
      </w:r>
    </w:p>
    <w:p>
      <w:pPr>
        <w:numPr>
          <w:ilvl w:val="0"/>
          <w:numId w:val="1081"/>
        </w:numPr>
        <w:pStyle w:val="Compact"/>
      </w:pPr>
      <w:r>
        <w:rPr>
          <w:bCs/>
          <w:b/>
        </w:rPr>
        <w:t xml:space="preserve">Nier- en leverfunctie:</w:t>
      </w:r>
      <w:r>
        <w:t xml:space="preserve"> </w:t>
      </w:r>
      <w:r>
        <w:t xml:space="preserve">de bloedspiegels van cagrilintide veranderden bij een verminderde nier- of leverfunctie niet wezenlijk (Nielsen 2026, PMID 42228334).</w:t>
      </w:r>
    </w:p>
    <w:p>
      <w:pPr>
        <w:pStyle w:val="FirstParagraph"/>
      </w:pPr>
      <w:r>
        <w:rPr>
          <w:bCs/>
          <w:b/>
        </w:rPr>
        <w:t xml:space="preserve">Theoretisch of nog onvoldoende onderzocht:</w:t>
      </w:r>
      <w:r>
        <w:t xml:space="preserve"> </w:t>
      </w:r>
      <w:r>
        <w:t xml:space="preserve">de calcitoninereceptor komt ook in botten voor; welk effect de voortdurende stimulatie heeft op de botstofwisseling, wordt momenteel onderzocht (NCT07010432). Evenmin opgehelderd is of de combinatie het verlies van spiermassa beïnvloedt (NCT07527195). Voor de klasserisico’s van semaglutide (galblaas, alvleesklier, C-cellen van de schildklier in dierproeven) zie het hoofdstuk Semaglutide.</w:t>
      </w:r>
    </w:p>
    <w:bookmarkEnd w:id="262"/>
    <w:bookmarkStart w:id="263" w:name="juridische-status-8"/>
    <w:p>
      <w:pPr>
        <w:pStyle w:val="Heading3"/>
      </w:pPr>
      <w:r>
        <w:t xml:space="preserve">Juridische status</w:t>
      </w:r>
    </w:p>
    <w:p>
      <w:pPr>
        <w:numPr>
          <w:ilvl w:val="0"/>
          <w:numId w:val="1082"/>
        </w:numPr>
        <w:pStyle w:val="Compact"/>
      </w:pPr>
      <w:r>
        <w:rPr>
          <w:bCs/>
          <w:b/>
        </w:rPr>
        <w:t xml:space="preserve">EU / Oostenrijk / Duitsland:</w:t>
      </w:r>
      <w:r>
        <w:t xml:space="preserve"> </w:t>
      </w:r>
      <w:r>
        <w:t xml:space="preserve">cagrilintide noch CagriSema is geregistreerd; toepassing alleen in studies. Aanbiedingen van</w:t>
      </w:r>
      <w:r>
        <w:t xml:space="preserve"> </w:t>
      </w:r>
      <w:r>
        <w:t xml:space="preserve">‘</w:t>
      </w:r>
      <w:r>
        <w:t xml:space="preserve">Cagrilintide</w:t>
      </w:r>
      <w:r>
        <w:t xml:space="preserve">’</w:t>
      </w:r>
      <w:r>
        <w:t xml:space="preserve"> </w:t>
      </w:r>
      <w:r>
        <w:t xml:space="preserve">op de grijze markt zijn geen geneesmiddelen en niet gecontroleerd.</w:t>
      </w:r>
    </w:p>
    <w:p>
      <w:pPr>
        <w:numPr>
          <w:ilvl w:val="0"/>
          <w:numId w:val="1082"/>
        </w:numPr>
        <w:pStyle w:val="Compact"/>
      </w:pPr>
      <w:r>
        <w:rPr>
          <w:bCs/>
          <w:b/>
        </w:rPr>
        <w:t xml:space="preserve">VS:</w:t>
      </w:r>
      <w:r>
        <w:t xml:space="preserve"> </w:t>
      </w:r>
      <w:r>
        <w:t xml:space="preserve">niet geregistreerd (stand oktober 2026, actuele situatie controleren).</w:t>
      </w:r>
    </w:p>
    <w:p>
      <w:pPr>
        <w:numPr>
          <w:ilvl w:val="0"/>
          <w:numId w:val="1082"/>
        </w:numPr>
        <w:pStyle w:val="Compact"/>
      </w:pPr>
      <w:r>
        <w:rPr>
          <w:bCs/>
          <w:b/>
        </w:rPr>
        <w:t xml:space="preserve">Sport:</w:t>
      </w:r>
      <w:r>
        <w:t xml:space="preserve"> </w:t>
      </w:r>
      <w:r>
        <w:t xml:space="preserve">WADA-klasse S0 (niet geregistreerd), stand 2026, actuele situatie controleren.</w:t>
      </w:r>
    </w:p>
    <w:bookmarkEnd w:id="263"/>
    <w:bookmarkStart w:id="264" w:name="lopende-studies-en-vooruitzichten-8"/>
    <w:p>
      <w:pPr>
        <w:pStyle w:val="Heading3"/>
      </w:pPr>
      <w:r>
        <w:t xml:space="preserve">Lopende studies en vooruitzichten</w:t>
      </w:r>
    </w:p>
    <w:p>
      <w:pPr>
        <w:pStyle w:val="FirstParagraph"/>
      </w:pPr>
      <w:r>
        <w:rPr>
          <w:bCs/>
          <w:b/>
        </w:rPr>
        <w:t xml:space="preserve">Vaststaand (geregistreerde studies, stand oktober 2026):</w:t>
      </w:r>
    </w:p>
    <w:p>
      <w:pPr>
        <w:numPr>
          <w:ilvl w:val="0"/>
          <w:numId w:val="1083"/>
        </w:numPr>
        <w:pStyle w:val="Compact"/>
      </w:pPr>
      <w:r>
        <w:rPr>
          <w:bCs/>
          <w:b/>
        </w:rPr>
        <w:t xml:space="preserve">REDEFINE 3</w:t>
      </w:r>
      <w:r>
        <w:t xml:space="preserve"> </w:t>
      </w:r>
      <w:r>
        <w:t xml:space="preserve">(NCT05669755): cardiovasculaire eindpuntstudie met 7.076 gerandomiseerde mensen met bestaande hart- en vaatziekte en overgewicht; gepland einde 2027. Design en uitgangsgegevens zijn gepubliceerd (Cavender 2026, PMID 42838477).</w:t>
      </w:r>
    </w:p>
    <w:p>
      <w:pPr>
        <w:numPr>
          <w:ilvl w:val="0"/>
          <w:numId w:val="1083"/>
        </w:numPr>
        <w:pStyle w:val="Compact"/>
      </w:pPr>
      <w:r>
        <w:rPr>
          <w:bCs/>
          <w:b/>
        </w:rPr>
        <w:t xml:space="preserve">Vergelijkingen met tirzepatide</w:t>
      </w:r>
      <w:r>
        <w:t xml:space="preserve"> </w:t>
      </w:r>
      <w:r>
        <w:t xml:space="preserve">(NCT06131437, NCT06221969, NCT06534411): afgerond, publicatie volgt nog.</w:t>
      </w:r>
    </w:p>
    <w:p>
      <w:pPr>
        <w:numPr>
          <w:ilvl w:val="0"/>
          <w:numId w:val="1083"/>
        </w:numPr>
        <w:pStyle w:val="Compact"/>
      </w:pPr>
      <w:r>
        <w:rPr>
          <w:bCs/>
          <w:b/>
        </w:rPr>
        <w:t xml:space="preserve">Hogere CagriSema-doses</w:t>
      </w:r>
      <w:r>
        <w:t xml:space="preserve"> </w:t>
      </w:r>
      <w:r>
        <w:t xml:space="preserve">tegen semaglutide (NCT07564414) en langetermijnstudie naar gewichtsbehoud (NCT06780449).</w:t>
      </w:r>
    </w:p>
    <w:p>
      <w:pPr>
        <w:numPr>
          <w:ilvl w:val="0"/>
          <w:numId w:val="1083"/>
        </w:numPr>
        <w:pStyle w:val="Compact"/>
      </w:pPr>
      <w:r>
        <w:rPr>
          <w:bCs/>
          <w:b/>
        </w:rPr>
        <w:t xml:space="preserve">Kinderen en jongeren</w:t>
      </w:r>
      <w:r>
        <w:t xml:space="preserve"> </w:t>
      </w:r>
      <w:r>
        <w:t xml:space="preserve">(NCT07253285) en cagrilintide alleen (NCT07220642).</w:t>
      </w:r>
    </w:p>
    <w:p>
      <w:pPr>
        <w:numPr>
          <w:ilvl w:val="0"/>
          <w:numId w:val="1083"/>
        </w:numPr>
        <w:pStyle w:val="Compact"/>
      </w:pPr>
      <w:r>
        <w:t xml:space="preserve">Kleinere studies naar botten (NCT07010432), spieren (NCT07527195) en naar mensen die GLP-1-middelen niet verdragen (NCT07607587).</w:t>
      </w:r>
    </w:p>
    <w:p>
      <w:pPr>
        <w:pStyle w:val="FirstParagraph"/>
      </w:pPr>
      <w:r>
        <w:rPr>
          <w:bCs/>
          <w:b/>
        </w:rPr>
        <w:t xml:space="preserve">Inschatting:</w:t>
      </w:r>
      <w:r>
        <w:t xml:space="preserve"> </w:t>
      </w:r>
      <w:r>
        <w:t xml:space="preserve">CagriSema zal waarschijnlijk als eerste amyline-GLP-1-combinatie op de markt komen. Of het zich tegen tirzepatide en de komende drievoudige agonisten staande houdt, hangt af van de vergelijkende studies en de verdraagbaarheid. Het wetenschappelijk interessantere aspect is de uitbreiding van de gereedschapskist: amyline is na GLP-1, GIP en glucagon de vierde hormoonroute die voor de behandeling van obesitas wordt ontsloten (zie ook Amycretin).</w:t>
      </w:r>
    </w:p>
    <w:bookmarkEnd w:id="264"/>
    <w:bookmarkStart w:id="265" w:name="conclusie-8"/>
    <w:p>
      <w:pPr>
        <w:pStyle w:val="Heading3"/>
      </w:pPr>
      <w:r>
        <w:t xml:space="preserve">Conclusie</w:t>
      </w:r>
    </w:p>
    <w:p>
      <w:pPr>
        <w:pStyle w:val="FirstParagraph"/>
      </w:pPr>
      <w:r>
        <w:t xml:space="preserve">Cagrilintide is een langwerkend amyline-analoog dat alleen het gewicht in fase 2 met tot 10,8% verlaagde. In combinatie met semaglutide (CagriSema) bereikte het in REDEFINE 1 na 68 weken een gewichtsverlies van 20,4% en was het in Oost-Azië duidelijk superieur aan semaglutide alleen (18,4% vs. 11,9%). Maag-darmklachten treffen ongeveer vier op de vijf behandelden. CagriSema is nog niet geregistreerd; gegevens over hart- en vaatincidenten en over de directe vergelijking met tirzepatide ontbreken nog.</w:t>
      </w:r>
    </w:p>
    <w:bookmarkEnd w:id="265"/>
    <w:bookmarkEnd w:id="266"/>
    <w:bookmarkStart w:id="278" w:name="amycretine-zenagamtide"/>
    <w:p>
      <w:pPr>
        <w:pStyle w:val="Heading2"/>
      </w:pPr>
      <w:r>
        <w:t xml:space="preserve">Amycretine (zenagamtide)</w:t>
      </w:r>
    </w:p>
    <w:bookmarkStart w:id="267" w:name="profiel-9"/>
    <w:p>
      <w:pPr>
        <w:pStyle w:val="Heading3"/>
      </w:pPr>
      <w:r>
        <w:t xml:space="preserve">Profiel</w:t>
      </w:r>
    </w:p>
    <w:p>
      <w:pPr>
        <w:numPr>
          <w:ilvl w:val="0"/>
          <w:numId w:val="1084"/>
        </w:numPr>
        <w:pStyle w:val="Compact"/>
      </w:pPr>
      <w:r>
        <w:rPr>
          <w:bCs/>
          <w:b/>
        </w:rPr>
        <w:t xml:space="preserve">Soort/structuur:</w:t>
      </w:r>
      <w:r>
        <w:t xml:space="preserve"> </w:t>
      </w:r>
      <w:r>
        <w:t xml:space="preserve">synthetisch peptide dat in één enkel molecuul de werking van GLP-1 en amyline verenigt (</w:t>
      </w:r>
      <w:r>
        <w:t xml:space="preserve">‘</w:t>
      </w:r>
      <w:r>
        <w:t xml:space="preserve">unimoleculair</w:t>
      </w:r>
      <w:r>
        <w:t xml:space="preserve">’</w:t>
      </w:r>
      <w:r>
        <w:t xml:space="preserve">). Sinds 2026 draagt het de internationale generieke naam</w:t>
      </w:r>
      <w:r>
        <w:t xml:space="preserve"> </w:t>
      </w:r>
      <w:r>
        <w:rPr>
          <w:bCs/>
          <w:b/>
        </w:rPr>
        <w:t xml:space="preserve">zenagamtide</w:t>
      </w:r>
      <w:r>
        <w:t xml:space="preserve"> </w:t>
      </w:r>
      <w:r>
        <w:t xml:space="preserve">(Engels zenagamtide); ontwikkelingscode NNC0487-0111. Het wordt in twee vormen ontwikkeld: als wekelijkse injectie en als dagelijkse tablet.</w:t>
      </w:r>
    </w:p>
    <w:p>
      <w:pPr>
        <w:numPr>
          <w:ilvl w:val="0"/>
          <w:numId w:val="1084"/>
        </w:numPr>
        <w:pStyle w:val="Compact"/>
      </w:pPr>
      <w:r>
        <w:rPr>
          <w:bCs/>
          <w:b/>
        </w:rPr>
        <w:t xml:space="preserve">Herkomst:</w:t>
      </w:r>
      <w:r>
        <w:t xml:space="preserve"> </w:t>
      </w:r>
      <w:r>
        <w:t xml:space="preserve">ontwikkeld door Novo Nordisk.</w:t>
      </w:r>
    </w:p>
    <w:p>
      <w:pPr>
        <w:numPr>
          <w:ilvl w:val="0"/>
          <w:numId w:val="1084"/>
        </w:numPr>
        <w:pStyle w:val="Compact"/>
      </w:pPr>
      <w:r>
        <w:rPr>
          <w:bCs/>
          <w:b/>
        </w:rPr>
        <w:t xml:space="preserve">Werkingsprincipe:</w:t>
      </w:r>
      <w:r>
        <w:t xml:space="preserve"> </w:t>
      </w:r>
      <w:r>
        <w:t xml:space="preserve">agonist op GLP-1-, amyline- en calcitoninereceptoren.</w:t>
      </w:r>
    </w:p>
    <w:p>
      <w:pPr>
        <w:numPr>
          <w:ilvl w:val="0"/>
          <w:numId w:val="1084"/>
        </w:numPr>
        <w:pStyle w:val="Compact"/>
      </w:pPr>
      <w:r>
        <w:rPr>
          <w:bCs/>
          <w:b/>
        </w:rPr>
        <w:t xml:space="preserve">Registratie EU:</w:t>
      </w:r>
      <w:r>
        <w:t xml:space="preserve"> </w:t>
      </w:r>
      <w:r>
        <w:t xml:space="preserve">nee.</w:t>
      </w:r>
    </w:p>
    <w:p>
      <w:pPr>
        <w:numPr>
          <w:ilvl w:val="0"/>
          <w:numId w:val="1084"/>
        </w:numPr>
        <w:pStyle w:val="Compact"/>
      </w:pPr>
      <w:r>
        <w:rPr>
          <w:bCs/>
          <w:b/>
        </w:rPr>
        <w:t xml:space="preserve">Registratie VS:</w:t>
      </w:r>
      <w:r>
        <w:t xml:space="preserve"> </w:t>
      </w:r>
      <w:r>
        <w:t xml:space="preserve">nee.</w:t>
      </w:r>
    </w:p>
    <w:p>
      <w:pPr>
        <w:numPr>
          <w:ilvl w:val="0"/>
          <w:numId w:val="1084"/>
        </w:numPr>
        <w:pStyle w:val="Compact"/>
      </w:pPr>
      <w:r>
        <w:rPr>
          <w:bCs/>
          <w:b/>
        </w:rPr>
        <w:t xml:space="preserve">WADA:</w:t>
      </w:r>
      <w:r>
        <w:t xml:space="preserve"> </w:t>
      </w:r>
      <w:r>
        <w:t xml:space="preserve">als niet-geregistreerde stof verboden onder S0 (stand 2026, actuele situatie controleren).</w:t>
      </w:r>
    </w:p>
    <w:p>
      <w:pPr>
        <w:numPr>
          <w:ilvl w:val="0"/>
          <w:numId w:val="1084"/>
        </w:numPr>
        <w:pStyle w:val="Compact"/>
      </w:pPr>
      <w:r>
        <w:rPr>
          <w:bCs/>
          <w:b/>
        </w:rPr>
        <w:t xml:space="preserve">Bewijsniveau:</w:t>
      </w:r>
      <w:r>
        <w:t xml:space="preserve"> </w:t>
      </w:r>
      <w:r>
        <w:rPr>
          <w:bCs/>
          <w:b/>
        </w:rPr>
        <w:t xml:space="preserve">B</w:t>
      </w:r>
      <w:r>
        <w:t xml:space="preserve"> </w:t>
      </w:r>
      <w:r>
        <w:t xml:space="preserve">– gerandomiseerde fase 1- en fase 2-studies gepubliceerd; fase 3 is in 2026 begonnen.</w:t>
      </w:r>
    </w:p>
    <w:bookmarkEnd w:id="267"/>
    <w:bookmarkStart w:id="268" w:name="hoe-het-zou-moeten-werken-9"/>
    <w:p>
      <w:pPr>
        <w:pStyle w:val="Heading3"/>
      </w:pPr>
      <w:r>
        <w:t xml:space="preserve">Hoe het zou moeten werken</w:t>
      </w:r>
    </w:p>
    <w:p>
      <w:pPr>
        <w:pStyle w:val="FirstParagraph"/>
      </w:pPr>
      <w:r>
        <w:t xml:space="preserve">CagriSema (zie het vorige hoofdstuk) combineert twee afzonderlijke werkzame stoffen – het amyline-analoog cagrilintide en de GLP-1-agonist semaglutide – in één injectie. Amycretine gaat een stap verder: één enkel peptide activeert beide receptorsystemen. Dat vereenvoudigt productie en dosering en maakt in principe een tabletvorm mogelijk, zoals die met oraal semaglutide al bestaat.</w:t>
      </w:r>
    </w:p>
    <w:p>
      <w:pPr>
        <w:pStyle w:val="BodyText"/>
      </w:pPr>
      <w:r>
        <w:t xml:space="preserve">GLP-1 en amyline bevorderen allebei het verzadigingsgevoel, vertragen de maaglediging en remmen de afgifte van glucagon, maar werken via verschillende receptoren en zenuwbanen in de hersenstam. In celexperimenten activeerde amycretine menselijke, muizen- en rattenreceptoren voor GLP-1, amyline en calcitonine. Bij ratten met door voeding veroorzaakte obesitas verlaagde het over 21 dagen de energie-inname met 47% en het lichaamsgewicht met 18%, terwijl het energieverbruik behouden bleef; de insulinegevoeligheid verbeterde en de leververvetting nam af (Kuhre 2025, PMID 40706446). Dit zijn dierexperimentele gegevens.</w:t>
      </w:r>
    </w:p>
    <w:bookmarkEnd w:id="268"/>
    <w:bookmarkStart w:id="272" w:name="studies-bij-mensen-9"/>
    <w:p>
      <w:pPr>
        <w:pStyle w:val="Heading3"/>
      </w:pPr>
      <w:r>
        <w:t xml:space="preserve">Studies bij mensen</w:t>
      </w:r>
    </w:p>
    <w:p>
      <w:pPr>
        <w:pStyle w:val="FirstParagraph"/>
      </w:pPr>
      <w:r>
        <w:rPr>
          <w:bCs/>
          <w:b/>
        </w:rPr>
        <w:t xml:space="preserve">Omvang van het onderzoek:</w:t>
      </w:r>
      <w:r>
        <w:t xml:space="preserve"> </w:t>
      </w:r>
      <w:r>
        <w:t xml:space="preserve">De geautomatiseerde PubMed-zoekopdracht (oktober 2026) leverde 4 studies bij mensen op. De automatische registerzoekopdracht onder de naam</w:t>
      </w:r>
      <w:r>
        <w:t xml:space="preserve"> </w:t>
      </w:r>
      <w:r>
        <w:t xml:space="preserve">‘</w:t>
      </w:r>
      <w:r>
        <w:t xml:space="preserve">amycretin</w:t>
      </w:r>
      <w:r>
        <w:t xml:space="preserve">’</w:t>
      </w:r>
      <w:r>
        <w:t xml:space="preserve"> </w:t>
      </w:r>
      <w:r>
        <w:t xml:space="preserve">vond slechts één registratie; onder de nieuwe naam zenagamtide en de ontwikkelingscode NNC0487-0111 zijn op ClinicalTrials.gov echter ongeveer 30 studies geregistreerd, waaronder het in 2026 gestarte fase 3-programma</w:t>
      </w:r>
      <w:r>
        <w:t xml:space="preserve"> </w:t>
      </w:r>
      <w:r>
        <w:rPr>
          <w:bCs/>
          <w:b/>
        </w:rPr>
        <w:t xml:space="preserve">AMAZE</w:t>
      </w:r>
      <w:r>
        <w:t xml:space="preserve"> </w:t>
      </w:r>
      <w:r>
        <w:t xml:space="preserve">(gewicht) en</w:t>
      </w:r>
      <w:r>
        <w:t xml:space="preserve"> </w:t>
      </w:r>
      <w:r>
        <w:rPr>
          <w:bCs/>
          <w:b/>
        </w:rPr>
        <w:t xml:space="preserve">AMBITION</w:t>
      </w:r>
      <w:r>
        <w:t xml:space="preserve"> </w:t>
      </w:r>
      <w:r>
        <w:t xml:space="preserve">(diabetes type 2).</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Deelnemers en design</w:t>
            </w:r>
          </w:p>
        </w:tc>
        <w:tc>
          <w:tcPr/>
          <w:p>
            <w:pPr>
              <w:pStyle w:val="Compact"/>
              <w:jc w:val="left"/>
            </w:pPr>
            <w:r>
              <w:t xml:space="preserve">Duur</w:t>
            </w:r>
          </w:p>
        </w:tc>
        <w:tc>
          <w:tcPr/>
          <w:p>
            <w:pPr>
              <w:pStyle w:val="Compact"/>
              <w:jc w:val="left"/>
            </w:pPr>
            <w:r>
              <w:t xml:space="preserve">Resultaat</w:t>
            </w:r>
          </w:p>
        </w:tc>
      </w:tr>
      <w:tr>
        <w:tc>
          <w:tcPr/>
          <w:p>
            <w:pPr>
              <w:pStyle w:val="Compact"/>
              <w:jc w:val="left"/>
            </w:pPr>
            <w:r>
              <w:t xml:space="preserve">Fase 1, tablet (Gasiorek 2025), PMID 40550229</w:t>
            </w:r>
          </w:p>
        </w:tc>
        <w:tc>
          <w:tcPr/>
          <w:p>
            <w:pPr>
              <w:pStyle w:val="Compact"/>
              <w:jc w:val="left"/>
            </w:pPr>
            <w:r>
              <w:t xml:space="preserve">144 volwassenen met overgewicht/obesitas, tegen placebo</w:t>
            </w:r>
          </w:p>
        </w:tc>
        <w:tc>
          <w:tcPr/>
          <w:p>
            <w:pPr>
              <w:pStyle w:val="Compact"/>
              <w:jc w:val="left"/>
            </w:pPr>
            <w:r>
              <w:t xml:space="preserve">tot 12 weken</w:t>
            </w:r>
          </w:p>
        </w:tc>
        <w:tc>
          <w:tcPr/>
          <w:p>
            <w:pPr>
              <w:pStyle w:val="Compact"/>
              <w:jc w:val="left"/>
            </w:pPr>
            <w:r>
              <w:t xml:space="preserve">veiligheid; bijwerkingen dosisafhankelijk, alle licht tot matig</w:t>
            </w:r>
          </w:p>
        </w:tc>
      </w:tr>
      <w:tr>
        <w:tc>
          <w:tcPr/>
          <w:p>
            <w:pPr>
              <w:pStyle w:val="Compact"/>
              <w:jc w:val="left"/>
            </w:pPr>
            <w:r>
              <w:t xml:space="preserve">Fase 1b/2a, injectie (Dahl 2025), PMID 40550231</w:t>
            </w:r>
          </w:p>
        </w:tc>
        <w:tc>
          <w:tcPr/>
          <w:p>
            <w:pPr>
              <w:pStyle w:val="Compact"/>
              <w:jc w:val="left"/>
            </w:pPr>
            <w:r>
              <w:t xml:space="preserve">125 volwassenen met overgewicht/obesitas, tegen placebo</w:t>
            </w:r>
          </w:p>
        </w:tc>
        <w:tc>
          <w:tcPr/>
          <w:p>
            <w:pPr>
              <w:pStyle w:val="Compact"/>
              <w:jc w:val="left"/>
            </w:pPr>
            <w:r>
              <w:t xml:space="preserve">tot 36 weken</w:t>
            </w:r>
          </w:p>
        </w:tc>
        <w:tc>
          <w:tcPr/>
          <w:p>
            <w:pPr>
              <w:pStyle w:val="Compact"/>
              <w:jc w:val="left"/>
            </w:pPr>
            <w:r>
              <w:t xml:space="preserve">tot −24,3% gewicht vs. −1,1%</w:t>
            </w:r>
          </w:p>
        </w:tc>
      </w:tr>
      <w:tr>
        <w:tc>
          <w:tcPr/>
          <w:p>
            <w:pPr>
              <w:pStyle w:val="Compact"/>
              <w:jc w:val="left"/>
            </w:pPr>
            <w:r>
              <w:t xml:space="preserve">Fase 2, tablet (Mora 2026), PMID 42532079</w:t>
            </w:r>
          </w:p>
        </w:tc>
        <w:tc>
          <w:tcPr/>
          <w:p>
            <w:pPr>
              <w:pStyle w:val="Compact"/>
              <w:jc w:val="left"/>
            </w:pPr>
            <w:r>
              <w:t xml:space="preserve">186 volwassenen met diabetes type 2, tegen placebo</w:t>
            </w:r>
          </w:p>
        </w:tc>
        <w:tc>
          <w:tcPr/>
          <w:p>
            <w:pPr>
              <w:pStyle w:val="Compact"/>
              <w:jc w:val="left"/>
            </w:pPr>
            <w:r>
              <w:t xml:space="preserve">36 weken</w:t>
            </w:r>
          </w:p>
        </w:tc>
        <w:tc>
          <w:tcPr/>
          <w:p>
            <w:pPr>
              <w:pStyle w:val="Compact"/>
              <w:jc w:val="left"/>
            </w:pPr>
            <w:r>
              <w:t xml:space="preserve">HbA1c −0,9 tot −1,4</w:t>
            </w:r>
          </w:p>
        </w:tc>
      </w:tr>
      <w:tr>
        <w:tc>
          <w:tcPr/>
          <w:p>
            <w:pPr>
              <w:pStyle w:val="Compact"/>
              <w:jc w:val="left"/>
            </w:pPr>
            <w:r>
              <w:t xml:space="preserve">Fase 2, injectie (Mora 2026), PMID 42532080</w:t>
            </w:r>
          </w:p>
        </w:tc>
        <w:tc>
          <w:tcPr/>
          <w:p>
            <w:pPr>
              <w:pStyle w:val="Compact"/>
              <w:jc w:val="left"/>
            </w:pPr>
            <w:r>
              <w:t xml:space="preserve">262 volwassenen met diabetes type 2, tegen placebo</w:t>
            </w:r>
          </w:p>
        </w:tc>
        <w:tc>
          <w:tcPr/>
          <w:p>
            <w:pPr>
              <w:pStyle w:val="Compact"/>
              <w:jc w:val="left"/>
            </w:pPr>
            <w:r>
              <w:t xml:space="preserve">36 weken</w:t>
            </w:r>
          </w:p>
        </w:tc>
        <w:tc>
          <w:tcPr/>
          <w:p>
            <w:pPr>
              <w:pStyle w:val="Compact"/>
              <w:jc w:val="left"/>
            </w:pPr>
            <w:r>
              <w:t xml:space="preserve">HbA1c −0,9 tot −1,7</w:t>
            </w:r>
          </w:p>
        </w:tc>
      </w:tr>
    </w:tbl>
    <w:bookmarkStart w:id="269" w:name="tabletvorm-eerste-studie-bij-mensen"/>
    <w:p>
      <w:pPr>
        <w:pStyle w:val="Heading4"/>
      </w:pPr>
      <w:r>
        <w:t xml:space="preserve">Tabletvorm: eerste studie bij mensen</w:t>
      </w:r>
    </w:p>
    <w:p>
      <w:pPr>
        <w:pStyle w:val="FirstParagraph"/>
      </w:pPr>
      <w:r>
        <w:t xml:space="preserve">De eerste studie bij mensen onderzocht amycretine als tablet (Gasiorek 2025, PMID 40550229). 144 volwassenen met overgewicht of obesitas kregen enkelvoudige of herhaalde doses gedurende maximaal twaalf weken. 62% meldde ten minste één ongewenst voorval; alle waren licht of matig en namen toe met de dosis. Ongeveer de helft van de voorvallen betrof het maag-darmkanaal. De bloedspiegels stegen evenredig met de dosis. De gewichtsgegevens waren slechts een ondergeschikt, verkennend eindpunt van deze veiligheidsstudie.</w:t>
      </w:r>
    </w:p>
    <w:bookmarkEnd w:id="269"/>
    <w:bookmarkStart w:id="270" w:name="injectievorm-fase-1b2a"/>
    <w:p>
      <w:pPr>
        <w:pStyle w:val="Heading4"/>
      </w:pPr>
      <w:r>
        <w:t xml:space="preserve">Injectievorm: fase 1b/2a</w:t>
      </w:r>
    </w:p>
    <w:p>
      <w:pPr>
        <w:pStyle w:val="FirstParagraph"/>
      </w:pPr>
      <w:r>
        <w:t xml:space="preserve">In de studie met de wekelijkse injectie (Dahl 2025, PMID 40550231) kregen 125 personen amycretine of placebo in meerdere studiedelen met verschillende doeldoses en behandelduren. Het gewichtsverlies was voor een vroege studie opmerkelijk:</w:t>
      </w:r>
    </w:p>
    <w:p>
      <w:pPr>
        <w:numPr>
          <w:ilvl w:val="0"/>
          <w:numId w:val="1085"/>
        </w:numPr>
        <w:pStyle w:val="Compact"/>
      </w:pPr>
      <w:r>
        <w:t xml:space="preserve">hoogste dosis, 36 weken: −24,3% tegenover −1,1% bij placebo</w:t>
      </w:r>
    </w:p>
    <w:p>
      <w:pPr>
        <w:numPr>
          <w:ilvl w:val="0"/>
          <w:numId w:val="1085"/>
        </w:numPr>
        <w:pStyle w:val="Compact"/>
      </w:pPr>
      <w:r>
        <w:t xml:space="preserve">op een na hoogste dosis, 36 weken: −22,0% tegenover +1,9%</w:t>
      </w:r>
    </w:p>
    <w:p>
      <w:pPr>
        <w:numPr>
          <w:ilvl w:val="0"/>
          <w:numId w:val="1085"/>
        </w:numPr>
        <w:pStyle w:val="Compact"/>
      </w:pPr>
      <w:r>
        <w:t xml:space="preserve">middelste dosis, 28 weken: −16,2% tegenover +2,3%</w:t>
      </w:r>
    </w:p>
    <w:p>
      <w:pPr>
        <w:numPr>
          <w:ilvl w:val="0"/>
          <w:numId w:val="1085"/>
        </w:numPr>
        <w:pStyle w:val="Compact"/>
      </w:pPr>
      <w:r>
        <w:t xml:space="preserve">lage dosis, 20 weken: −9,7% tegenover +2,0%</w:t>
      </w:r>
    </w:p>
    <w:p>
      <w:pPr>
        <w:pStyle w:val="FirstParagraph"/>
      </w:pPr>
      <w:r>
        <w:t xml:space="preserve">Deze cijfers moeten met voorzichtigheid worden gelezen: de groepen waren klein, de studie vond plaats in één enkel centrum, en de auteurs melden zelf dat veel deelnemers voortijdig uit de studie stapten – voor een groot deel om redenen die niet met bijwerkingen samenhingen. Een gewichtsverlies van meer dan 20% na 36 weken is een sterk signaal, maar nog geen betrouwbare schatting voor brede toepassing.</w:t>
      </w:r>
    </w:p>
    <w:bookmarkEnd w:id="270"/>
    <w:bookmarkStart w:id="271" w:name="diabetes-type-2-twee-fase-2-studies"/>
    <w:p>
      <w:pPr>
        <w:pStyle w:val="Heading4"/>
      </w:pPr>
      <w:r>
        <w:t xml:space="preserve">Diabetes type 2: twee fase 2-studies</w:t>
      </w:r>
    </w:p>
    <w:p>
      <w:pPr>
        <w:pStyle w:val="FirstParagraph"/>
      </w:pPr>
      <w:r>
        <w:t xml:space="preserve">In 2026 verschenen twee parallelle dosisbepalingsstudies bij mensen met diabetes type 2 die metformine (met of zonder SGLT2-remmer) gebruikten:</w:t>
      </w:r>
    </w:p>
    <w:p>
      <w:pPr>
        <w:numPr>
          <w:ilvl w:val="0"/>
          <w:numId w:val="1086"/>
        </w:numPr>
        <w:pStyle w:val="Compact"/>
      </w:pPr>
      <w:r>
        <w:rPr>
          <w:bCs/>
          <w:b/>
        </w:rPr>
        <w:t xml:space="preserve">Tablet</w:t>
      </w:r>
      <w:r>
        <w:t xml:space="preserve"> </w:t>
      </w:r>
      <w:r>
        <w:t xml:space="preserve">(Mora 2026, PMID 42532079): na 36 weken daalde de HbA1c-waarde met 0,9 tot 1,4 procentpunt (uitgangswaarde ongeveer 8%). Maag-darmklachten kwamen voor bij 26–47% (placebo 23%). Ernstige ongewenste voorvallen troffen 4% met zenagamtide en niemand met placebo.</w:t>
      </w:r>
    </w:p>
    <w:p>
      <w:pPr>
        <w:numPr>
          <w:ilvl w:val="0"/>
          <w:numId w:val="1086"/>
        </w:numPr>
        <w:pStyle w:val="Compact"/>
      </w:pPr>
      <w:r>
        <w:rPr>
          <w:bCs/>
          <w:b/>
        </w:rPr>
        <w:t xml:space="preserve">Injectie</w:t>
      </w:r>
      <w:r>
        <w:t xml:space="preserve"> </w:t>
      </w:r>
      <w:r>
        <w:t xml:space="preserve">(Mora 2026, PMID 42532080): de HbA1c-waarde daalde afhankelijk van de dosis met 0,9 tot 1,7 procentpunt. Ernstige ongewenste voorvallen kwamen voor bij 8% van de deelnemers, verdeeld over alle dosisgroepen en placebo.</w:t>
      </w:r>
    </w:p>
    <w:p>
      <w:pPr>
        <w:pStyle w:val="FirstParagraph"/>
      </w:pPr>
      <w:r>
        <w:t xml:space="preserve">De gewichtsresultaten van deze diabetesstudies worden in de samenvattingen niet in cijfers uitgedrukt en worden hier daarom niet genoemd.</w:t>
      </w:r>
    </w:p>
    <w:bookmarkEnd w:id="271"/>
    <w:bookmarkEnd w:id="272"/>
    <w:bookmarkStart w:id="273" w:name="dier--en-laboratoriumstudies-9"/>
    <w:p>
      <w:pPr>
        <w:pStyle w:val="Heading3"/>
      </w:pPr>
      <w:r>
        <w:t xml:space="preserve">Dier- en laboratoriumstudies</w:t>
      </w:r>
    </w:p>
    <w:p>
      <w:pPr>
        <w:pStyle w:val="FirstParagraph"/>
      </w:pPr>
      <w:r>
        <w:t xml:space="preserve">De preklinische gegevens zijn afkomstig van de fabrikant (Kuhre 2025, PMID 40706446): receptoractivering in celkweken, gewichtsverlies en verbeterde insulinegevoeligheid bij ratten met overgewicht, minder leververvetting en een ophoping in eetlustregulerende hersengebieden van muizen. Onafhankelijke dierstudies zijn er nauwelijks.</w:t>
      </w:r>
    </w:p>
    <w:bookmarkEnd w:id="273"/>
    <w:bookmarkStart w:id="274" w:name="risicos-en-bijwerkingen-9"/>
    <w:p>
      <w:pPr>
        <w:pStyle w:val="Heading3"/>
      </w:pPr>
      <w:r>
        <w:t xml:space="preserve">Risico’s en bijwerkingen</w:t>
      </w:r>
    </w:p>
    <w:p>
      <w:pPr>
        <w:pStyle w:val="FirstParagraph"/>
      </w:pPr>
      <w:r>
        <w:rPr>
          <w:bCs/>
          <w:b/>
        </w:rPr>
        <w:t xml:space="preserve">Aangetoond in studies:</w:t>
      </w:r>
    </w:p>
    <w:p>
      <w:pPr>
        <w:numPr>
          <w:ilvl w:val="0"/>
          <w:numId w:val="1087"/>
        </w:numPr>
        <w:pStyle w:val="Compact"/>
      </w:pPr>
      <w:r>
        <w:rPr>
          <w:bCs/>
          <w:b/>
        </w:rPr>
        <w:t xml:space="preserve">Maag-darmklachten</w:t>
      </w:r>
      <w:r>
        <w:t xml:space="preserve"> </w:t>
      </w:r>
      <w:r>
        <w:t xml:space="preserve">zijn de meest voorkomende bijwerkingen, in de vroege studies bij de meerderheid van de behandelden; ze waren meestal licht tot matig en dosisafhankelijk (Gasiorek 2025, PMID 40550229; Dahl 2025, PMID 40550231).</w:t>
      </w:r>
    </w:p>
    <w:p>
      <w:pPr>
        <w:numPr>
          <w:ilvl w:val="0"/>
          <w:numId w:val="1087"/>
        </w:numPr>
        <w:pStyle w:val="Compact"/>
      </w:pPr>
      <w:r>
        <w:rPr>
          <w:bCs/>
          <w:b/>
        </w:rPr>
        <w:t xml:space="preserve">Ernstige ongewenste voorvallen</w:t>
      </w:r>
      <w:r>
        <w:t xml:space="preserve"> </w:t>
      </w:r>
      <w:r>
        <w:t xml:space="preserve">waren in de fase 2-studies zeldzaam; in de tabletstudie kwamen ze alleen bij zenagamtide voor (4% vs. 0%), in de injectiestudie gelijkmatig verdeeld (Mora 2026, PMID 42532079; PMID 42532080).</w:t>
      </w:r>
    </w:p>
    <w:p>
      <w:pPr>
        <w:numPr>
          <w:ilvl w:val="0"/>
          <w:numId w:val="1087"/>
        </w:numPr>
        <w:pStyle w:val="Compact"/>
      </w:pPr>
      <w:r>
        <w:rPr>
          <w:bCs/>
          <w:b/>
        </w:rPr>
        <w:t xml:space="preserve">Nierfunctie:</w:t>
      </w:r>
      <w:r>
        <w:t xml:space="preserve"> </w:t>
      </w:r>
      <w:r>
        <w:t xml:space="preserve">bij verminderde nierfunctie tot en met terminaal nierfalen veranderden de bloedspiegels na een eenmalige dosis niet klinisch relevant (Oldenburg 2026, PMID 42443140).</w:t>
      </w:r>
    </w:p>
    <w:p>
      <w:pPr>
        <w:pStyle w:val="FirstParagraph"/>
      </w:pPr>
      <w:r>
        <w:rPr>
          <w:bCs/>
          <w:b/>
        </w:rPr>
        <w:t xml:space="preserve">Nog open:</w:t>
      </w:r>
      <w:r>
        <w:t xml:space="preserve"> </w:t>
      </w:r>
      <w:r>
        <w:t xml:space="preserve">veiligheid op lange termijn, effect op botten (calcitoninereceptor), spiermassa en hart- en vaatstelsel. Voor de klasserisico’s van de GLP-1-middelen (galblaas, alvleesklier) zijn er nog te weinig behandeljaren.</w:t>
      </w:r>
    </w:p>
    <w:p>
      <w:pPr>
        <w:pStyle w:val="BodyText"/>
      </w:pPr>
      <w:r>
        <w:rPr>
          <w:bCs/>
          <w:b/>
        </w:rPr>
        <w:t xml:space="preserve">Grijze markt:</w:t>
      </w:r>
      <w:r>
        <w:t xml:space="preserve"> </w:t>
      </w:r>
      <w:r>
        <w:t xml:space="preserve">al vóór het begin van fase 3 wordt zenagamtide op internet aangeboden als</w:t>
      </w:r>
      <w:r>
        <w:t xml:space="preserve"> </w:t>
      </w:r>
      <w:r>
        <w:t xml:space="preserve">‘</w:t>
      </w:r>
      <w:r>
        <w:t xml:space="preserve">research peptide</w:t>
      </w:r>
      <w:r>
        <w:t xml:space="preserve">’</w:t>
      </w:r>
      <w:r>
        <w:t xml:space="preserve">. Een artikel in het vaktijdschrift JAMA beschrijft een groeiende zwarte markt voor de twee niet-geregistreerde werkzame stoffen retatrutide en zenagamtide en de daarmee verbonden risico’s (Rubin 2026, PMID 42853576). Wie zulke producten gebruikt, kent inhoud noch zuiverheid noch een beproefde dosering (zie deel I en deel IV).</w:t>
      </w:r>
    </w:p>
    <w:bookmarkEnd w:id="274"/>
    <w:bookmarkStart w:id="275" w:name="juridische-status-9"/>
    <w:p>
      <w:pPr>
        <w:pStyle w:val="Heading3"/>
      </w:pPr>
      <w:r>
        <w:t xml:space="preserve">Juridische status</w:t>
      </w:r>
    </w:p>
    <w:p>
      <w:pPr>
        <w:numPr>
          <w:ilvl w:val="0"/>
          <w:numId w:val="1088"/>
        </w:numPr>
        <w:pStyle w:val="Compact"/>
      </w:pPr>
      <w:r>
        <w:rPr>
          <w:bCs/>
          <w:b/>
        </w:rPr>
        <w:t xml:space="preserve">EU / Oostenrijk / Duitsland:</w:t>
      </w:r>
      <w:r>
        <w:t xml:space="preserve"> </w:t>
      </w:r>
      <w:r>
        <w:t xml:space="preserve">niet geregistreerd; toepassing alleen in klinische studies.</w:t>
      </w:r>
    </w:p>
    <w:p>
      <w:pPr>
        <w:numPr>
          <w:ilvl w:val="0"/>
          <w:numId w:val="1088"/>
        </w:numPr>
        <w:pStyle w:val="Compact"/>
      </w:pPr>
      <w:r>
        <w:rPr>
          <w:bCs/>
          <w:b/>
        </w:rPr>
        <w:t xml:space="preserve">VS:</w:t>
      </w:r>
      <w:r>
        <w:t xml:space="preserve"> </w:t>
      </w:r>
      <w:r>
        <w:t xml:space="preserve">niet geregistreerd.</w:t>
      </w:r>
    </w:p>
    <w:p>
      <w:pPr>
        <w:numPr>
          <w:ilvl w:val="0"/>
          <w:numId w:val="1088"/>
        </w:numPr>
        <w:pStyle w:val="Compact"/>
      </w:pPr>
      <w:r>
        <w:rPr>
          <w:bCs/>
          <w:b/>
        </w:rPr>
        <w:t xml:space="preserve">Sport:</w:t>
      </w:r>
      <w:r>
        <w:t xml:space="preserve"> </w:t>
      </w:r>
      <w:r>
        <w:t xml:space="preserve">WADA-klasse S0 (niet-goedgekeurde stof), stand 2026, actuele situatie controleren.</w:t>
      </w:r>
    </w:p>
    <w:bookmarkEnd w:id="275"/>
    <w:bookmarkStart w:id="276" w:name="lopende-studies-en-vooruitzichten-9"/>
    <w:p>
      <w:pPr>
        <w:pStyle w:val="Heading3"/>
      </w:pPr>
      <w:r>
        <w:t xml:space="preserve">Lopende studies en vooruitzichten</w:t>
      </w:r>
    </w:p>
    <w:p>
      <w:pPr>
        <w:pStyle w:val="FirstParagraph"/>
      </w:pPr>
      <w:r>
        <w:rPr>
          <w:bCs/>
          <w:b/>
        </w:rPr>
        <w:t xml:space="preserve">Vaststaand (geregistreerde studies, stand oktober 2026):</w:t>
      </w:r>
    </w:p>
    <w:p>
      <w:pPr>
        <w:numPr>
          <w:ilvl w:val="0"/>
          <w:numId w:val="1089"/>
        </w:numPr>
        <w:pStyle w:val="Compact"/>
      </w:pPr>
      <w:r>
        <w:rPr>
          <w:bCs/>
          <w:b/>
        </w:rPr>
        <w:t xml:space="preserve">AMAZE 1</w:t>
      </w:r>
      <w:r>
        <w:t xml:space="preserve"> </w:t>
      </w:r>
      <w:r>
        <w:t xml:space="preserve">(NCT07339423): fase 3 met 1.150 volwassenen met overgewicht/obesitas, injectievorm.</w:t>
      </w:r>
    </w:p>
    <w:p>
      <w:pPr>
        <w:numPr>
          <w:ilvl w:val="0"/>
          <w:numId w:val="1089"/>
        </w:numPr>
        <w:pStyle w:val="Compact"/>
      </w:pPr>
      <w:r>
        <w:rPr>
          <w:bCs/>
          <w:b/>
        </w:rPr>
        <w:t xml:space="preserve">AMAZE 2</w:t>
      </w:r>
      <w:r>
        <w:t xml:space="preserve"> </w:t>
      </w:r>
      <w:r>
        <w:t xml:space="preserve">(NCT07533175): overgewicht met diabetes type 2.</w:t>
      </w:r>
    </w:p>
    <w:p>
      <w:pPr>
        <w:numPr>
          <w:ilvl w:val="0"/>
          <w:numId w:val="1089"/>
        </w:numPr>
        <w:pStyle w:val="Compact"/>
      </w:pPr>
      <w:r>
        <w:rPr>
          <w:bCs/>
          <w:b/>
        </w:rPr>
        <w:t xml:space="preserve">AMAZE 3 en 4</w:t>
      </w:r>
      <w:r>
        <w:t xml:space="preserve"> </w:t>
      </w:r>
      <w:r>
        <w:t xml:space="preserve">(NCT07571005, NCT07571109): slaapapneu zonder resp. met beademingsmaskertherapie.</w:t>
      </w:r>
    </w:p>
    <w:p>
      <w:pPr>
        <w:numPr>
          <w:ilvl w:val="0"/>
          <w:numId w:val="1089"/>
        </w:numPr>
        <w:pStyle w:val="Compact"/>
      </w:pPr>
      <w:r>
        <w:rPr>
          <w:bCs/>
          <w:b/>
        </w:rPr>
        <w:t xml:space="preserve">AMAZE 6</w:t>
      </w:r>
      <w:r>
        <w:t xml:space="preserve"> </w:t>
      </w:r>
      <w:r>
        <w:t xml:space="preserve">(NCT07509307) en een andere studie (NCT07481630): knieartrose.</w:t>
      </w:r>
    </w:p>
    <w:p>
      <w:pPr>
        <w:numPr>
          <w:ilvl w:val="0"/>
          <w:numId w:val="1089"/>
        </w:numPr>
        <w:pStyle w:val="Compact"/>
      </w:pPr>
      <w:r>
        <w:rPr>
          <w:bCs/>
          <w:b/>
        </w:rPr>
        <w:t xml:space="preserve">AMAZE 9</w:t>
      </w:r>
      <w:r>
        <w:t xml:space="preserve"> </w:t>
      </w:r>
      <w:r>
        <w:t xml:space="preserve">(NCT07720271): tabletvorm bij overgewicht.</w:t>
      </w:r>
    </w:p>
    <w:p>
      <w:pPr>
        <w:numPr>
          <w:ilvl w:val="0"/>
          <w:numId w:val="1089"/>
        </w:numPr>
        <w:pStyle w:val="Compact"/>
      </w:pPr>
      <w:r>
        <w:rPr>
          <w:bCs/>
          <w:b/>
        </w:rPr>
        <w:t xml:space="preserve">AMAZE 12</w:t>
      </w:r>
      <w:r>
        <w:t xml:space="preserve"> </w:t>
      </w:r>
      <w:r>
        <w:t xml:space="preserve">(NCT07503210): gewichtsbehoud na afvallen.</w:t>
      </w:r>
    </w:p>
    <w:p>
      <w:pPr>
        <w:numPr>
          <w:ilvl w:val="0"/>
          <w:numId w:val="1089"/>
        </w:numPr>
        <w:pStyle w:val="Compact"/>
      </w:pPr>
      <w:r>
        <w:t xml:space="preserve">Vergelijking met semaglutide (NCT07668414; bij diabetes type 2 NCT07400107) en met insuline glargine bij diabetes type 2 (NCT07797335, AMBITION 7).</w:t>
      </w:r>
    </w:p>
    <w:p>
      <w:pPr>
        <w:numPr>
          <w:ilvl w:val="0"/>
          <w:numId w:val="1089"/>
        </w:numPr>
        <w:pStyle w:val="Compact"/>
      </w:pPr>
      <w:r>
        <w:t xml:space="preserve">Eindpuntstudies: hartfalen met obesitas (NCT07567001, 5.610 deelnemers) en hart- en vaatincidenten bij atherosclerose (NCT07861100, 8.500 deelnemers gepland).</w:t>
      </w:r>
    </w:p>
    <w:p>
      <w:pPr>
        <w:pStyle w:val="FirstParagraph"/>
      </w:pPr>
      <w:r>
        <w:rPr>
          <w:bCs/>
          <w:b/>
        </w:rPr>
        <w:t xml:space="preserve">Inschatting:</w:t>
      </w:r>
      <w:r>
        <w:t xml:space="preserve"> </w:t>
      </w:r>
      <w:r>
        <w:t xml:space="preserve">Novo Nordisk zet met dit brede fase 3-programma zichtbaar in op amycretine/zenagamtide als opvolger van semaglutide. Resultaten van de eerste fase 3-studies zijn op zijn vroegst in 2027 te verwachten, een registratie nauwelijks vóór 2028. Of de indrukwekkende cijfers van de kleine fase 1b/2a-studie in grote studies standhouden, is open.</w:t>
      </w:r>
    </w:p>
    <w:bookmarkEnd w:id="276"/>
    <w:bookmarkStart w:id="277" w:name="conclusie-9"/>
    <w:p>
      <w:pPr>
        <w:pStyle w:val="Heading3"/>
      </w:pPr>
      <w:r>
        <w:t xml:space="preserve">Conclusie</w:t>
      </w:r>
    </w:p>
    <w:p>
      <w:pPr>
        <w:pStyle w:val="FirstParagraph"/>
      </w:pPr>
      <w:r>
        <w:t xml:space="preserve">Amycretine – sinds 2026 zenagamtide – is één enkel peptide dat GLP-1- en amylinereceptoren tegelijk activeert, en wordt als injectie en als tablet ontwikkeld. In een kleine fase 1b/2a-studie daalde het gewicht na 36 weken met tot 24,3%; in fase 2-studies bij diabetes type 2 daalde de HbA1c-waarde met tot 1,7 procentpunt. De meest voorkomende bijwerkingen betreffen het maag-darmkanaal. De fase 3-studies zijn in 2026 begonnen; tot een eventuele registratie is zenagamtide uitsluitend een onderzoeksmiddel, en waar van de grijze markt is geen vervanging.</w:t>
      </w:r>
    </w:p>
    <w:bookmarkEnd w:id="277"/>
    <w:bookmarkEnd w:id="278"/>
    <w:bookmarkStart w:id="289" w:name="maridebart-cafraglutide-maritide"/>
    <w:p>
      <w:pPr>
        <w:pStyle w:val="Heading2"/>
      </w:pPr>
      <w:r>
        <w:t xml:space="preserve">Maridebart cafraglutide (MariTide)</w:t>
      </w:r>
    </w:p>
    <w:bookmarkStart w:id="279" w:name="profiel-10"/>
    <w:p>
      <w:pPr>
        <w:pStyle w:val="Heading3"/>
      </w:pPr>
      <w:r>
        <w:t xml:space="preserve">Profiel</w:t>
      </w:r>
    </w:p>
    <w:p>
      <w:pPr>
        <w:numPr>
          <w:ilvl w:val="0"/>
          <w:numId w:val="1090"/>
        </w:numPr>
        <w:pStyle w:val="Compact"/>
      </w:pPr>
      <w:r>
        <w:rPr>
          <w:bCs/>
          <w:b/>
        </w:rPr>
        <w:t xml:space="preserve">Soort/structuur:</w:t>
      </w:r>
      <w:r>
        <w:t xml:space="preserve"> </w:t>
      </w:r>
      <w:r>
        <w:t xml:space="preserve">een zogeheten antilichaam-peptideconjugaat. Een volledig humaan monoklonaal antilichaam is via korte aminozuurverbindingsstukken gekoppeld aan twee GLP-1-achtige peptiden. Strikt genomen is MariTide dus geen zuiver peptide, maar een hybride van antilichaam en peptide. Ontwikkelingscode AMG 133, korte naam MariTide.</w:t>
      </w:r>
    </w:p>
    <w:p>
      <w:pPr>
        <w:numPr>
          <w:ilvl w:val="0"/>
          <w:numId w:val="1090"/>
        </w:numPr>
        <w:pStyle w:val="Compact"/>
      </w:pPr>
      <w:r>
        <w:rPr>
          <w:bCs/>
          <w:b/>
        </w:rPr>
        <w:t xml:space="preserve">Herkomst:</w:t>
      </w:r>
      <w:r>
        <w:t xml:space="preserve"> </w:t>
      </w:r>
      <w:r>
        <w:t xml:space="preserve">ontwikkeld door Amgen.</w:t>
      </w:r>
    </w:p>
    <w:p>
      <w:pPr>
        <w:numPr>
          <w:ilvl w:val="0"/>
          <w:numId w:val="1090"/>
        </w:numPr>
        <w:pStyle w:val="Compact"/>
      </w:pPr>
      <w:r>
        <w:rPr>
          <w:bCs/>
          <w:b/>
        </w:rPr>
        <w:t xml:space="preserve">Werkingsprincipe:</w:t>
      </w:r>
      <w:r>
        <w:t xml:space="preserve"> </w:t>
      </w:r>
      <w:r>
        <w:t xml:space="preserve">het GLP-1-aandeel</w:t>
      </w:r>
      <w:r>
        <w:t xml:space="preserve"> </w:t>
      </w:r>
      <w:r>
        <w:rPr>
          <w:bCs/>
          <w:b/>
        </w:rPr>
        <w:t xml:space="preserve">activeert</w:t>
      </w:r>
      <w:r>
        <w:t xml:space="preserve"> </w:t>
      </w:r>
      <w:r>
        <w:t xml:space="preserve">de GLP-1-receptor, het antilichaam</w:t>
      </w:r>
      <w:r>
        <w:t xml:space="preserve"> </w:t>
      </w:r>
      <w:r>
        <w:rPr>
          <w:bCs/>
          <w:b/>
        </w:rPr>
        <w:t xml:space="preserve">blokkeert</w:t>
      </w:r>
      <w:r>
        <w:t xml:space="preserve"> </w:t>
      </w:r>
      <w:r>
        <w:t xml:space="preserve">de GIP-receptor (GIPR-antagonist). Dat is het tegenovergestelde van tirzepatide, dat de GIP-receptor activeert.</w:t>
      </w:r>
    </w:p>
    <w:p>
      <w:pPr>
        <w:numPr>
          <w:ilvl w:val="0"/>
          <w:numId w:val="1090"/>
        </w:numPr>
        <w:pStyle w:val="Compact"/>
      </w:pPr>
      <w:r>
        <w:rPr>
          <w:bCs/>
          <w:b/>
        </w:rPr>
        <w:t xml:space="preserve">Bijzonderheid:</w:t>
      </w:r>
      <w:r>
        <w:t xml:space="preserve"> </w:t>
      </w:r>
      <w:r>
        <w:t xml:space="preserve">door het antilichaamaandeel werkt MariTide zeer lang; onderzocht wordt toediening eens per vier weken of minder vaak.</w:t>
      </w:r>
    </w:p>
    <w:p>
      <w:pPr>
        <w:numPr>
          <w:ilvl w:val="0"/>
          <w:numId w:val="1090"/>
        </w:numPr>
        <w:pStyle w:val="Compact"/>
      </w:pPr>
      <w:r>
        <w:rPr>
          <w:bCs/>
          <w:b/>
        </w:rPr>
        <w:t xml:space="preserve">Registratie EU / VS:</w:t>
      </w:r>
      <w:r>
        <w:t xml:space="preserve"> </w:t>
      </w:r>
      <w:r>
        <w:t xml:space="preserve">nee (stand oktober 2026).</w:t>
      </w:r>
    </w:p>
    <w:p>
      <w:pPr>
        <w:numPr>
          <w:ilvl w:val="0"/>
          <w:numId w:val="1090"/>
        </w:numPr>
        <w:pStyle w:val="Compact"/>
      </w:pPr>
      <w:r>
        <w:rPr>
          <w:bCs/>
          <w:b/>
        </w:rPr>
        <w:t xml:space="preserve">WADA:</w:t>
      </w:r>
      <w:r>
        <w:t xml:space="preserve"> </w:t>
      </w:r>
      <w:r>
        <w:t xml:space="preserve">als niet-geregistreerde stof verboden onder S0 (stand 2026, actuele situatie controleren).</w:t>
      </w:r>
    </w:p>
    <w:p>
      <w:pPr>
        <w:numPr>
          <w:ilvl w:val="0"/>
          <w:numId w:val="1090"/>
        </w:numPr>
        <w:pStyle w:val="Compact"/>
      </w:pPr>
      <w:r>
        <w:rPr>
          <w:bCs/>
          <w:b/>
        </w:rPr>
        <w:t xml:space="preserve">Bewijsniveau:</w:t>
      </w:r>
      <w:r>
        <w:t xml:space="preserve"> </w:t>
      </w:r>
      <w:r>
        <w:rPr>
          <w:bCs/>
          <w:b/>
        </w:rPr>
        <w:t xml:space="preserve">B</w:t>
      </w:r>
      <w:r>
        <w:t xml:space="preserve"> </w:t>
      </w:r>
      <w:r>
        <w:t xml:space="preserve">– één grote gerandomiseerde fase 2-studie, fase 3 loopt.</w:t>
      </w:r>
    </w:p>
    <w:bookmarkEnd w:id="279"/>
    <w:bookmarkStart w:id="280" w:name="hoe-het-zou-moeten-werken-10"/>
    <w:p>
      <w:pPr>
        <w:pStyle w:val="Heading3"/>
      </w:pPr>
      <w:r>
        <w:t xml:space="preserve">Hoe het zou moeten werken</w:t>
      </w:r>
    </w:p>
    <w:p>
      <w:pPr>
        <w:pStyle w:val="FirstParagraph"/>
      </w:pPr>
      <w:r>
        <w:t xml:space="preserve">Bij GIP bestaat een opmerkelijke paradox. Tirzepatide</w:t>
      </w:r>
      <w:r>
        <w:t xml:space="preserve"> </w:t>
      </w:r>
      <w:r>
        <w:rPr>
          <w:iCs/>
          <w:i/>
        </w:rPr>
        <w:t xml:space="preserve">activeert</w:t>
      </w:r>
      <w:r>
        <w:t xml:space="preserve"> </w:t>
      </w:r>
      <w:r>
        <w:t xml:space="preserve">de GIP-receptor en bereikt daarmee samen met GLP-1 een sterk gewichtsverlies. Tegelijk lieten genetische studies en muizenexperimenten zien dat ook het</w:t>
      </w:r>
      <w:r>
        <w:t xml:space="preserve"> </w:t>
      </w:r>
      <w:r>
        <w:rPr>
          <w:iCs/>
          <w:i/>
        </w:rPr>
        <w:t xml:space="preserve">blokkeren</w:t>
      </w:r>
      <w:r>
        <w:t xml:space="preserve"> </w:t>
      </w:r>
      <w:r>
        <w:t xml:space="preserve">van de GIP-receptor tegen overgewicht kan beschermen. Een mogelijke verklaring: een voortdurende activering van de receptor leidt ertoe dat de cel hem uitschakelt – uiteindelijk lijkt dat dan op een blokkade. Definitief opgehelderd is dat niet; een vergelijkende studie bij muizen vond dat beide benaderingen bij overgewicht voedselinname en gewicht verlaagden, maar verschilden in hun metabole effecten: de GIP-agonist verbeterde de glucosetolerantie, de antagonist verminderde eerder de insulinegevoeligheid (Davies 2026, PMID 41287212).</w:t>
      </w:r>
    </w:p>
    <w:p>
      <w:pPr>
        <w:pStyle w:val="BodyText"/>
      </w:pPr>
      <w:r>
        <w:t xml:space="preserve">Amgen zet in op de blokkade. Het antilichaam tegen de GIP-receptor zorgt er tegelijk voor dat het molecuul zeer lang in het bloed blijft – antilichamen worden langzaam afgebroken. Bij muizen en apen met overgewicht verlaagde AMG 133 het lichaamsgewicht en verbeterde het de stofwisselingswaarden (Véniant 2024, PMID 38316982). De chemische ontwikkeling tot het uiteindelijke molecuul is in 2026 beschreven (Wu 2026, PMID 41941715).</w:t>
      </w:r>
    </w:p>
    <w:bookmarkEnd w:id="280"/>
    <w:bookmarkStart w:id="283" w:name="studies-bij-mensen-10"/>
    <w:p>
      <w:pPr>
        <w:pStyle w:val="Heading3"/>
      </w:pPr>
      <w:r>
        <w:t xml:space="preserve">Studies bij mensen</w:t>
      </w:r>
    </w:p>
    <w:p>
      <w:pPr>
        <w:pStyle w:val="FirstParagraph"/>
      </w:pPr>
      <w:r>
        <w:rPr>
          <w:bCs/>
          <w:b/>
        </w:rPr>
        <w:t xml:space="preserve">Omvang van het onderzoek:</w:t>
      </w:r>
      <w:r>
        <w:t xml:space="preserve"> </w:t>
      </w:r>
      <w:r>
        <w:t xml:space="preserve">De geautomatiseerde PubMed-zoekopdracht (oktober 2026) leverde 2 studies bij mensen op: een fase 1- en een fase 2-studie. Op ClinicalTrials.gov waren 28 studies geregistreerd, waaronder het fase 3-programma</w:t>
      </w:r>
      <w:r>
        <w:t xml:space="preserve"> </w:t>
      </w:r>
      <w:r>
        <w:rPr>
          <w:bCs/>
          <w:b/>
        </w:rPr>
        <w:t xml:space="preserve">MARITIME</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Deelnemers en design</w:t>
            </w:r>
          </w:p>
        </w:tc>
        <w:tc>
          <w:tcPr/>
          <w:p>
            <w:pPr>
              <w:pStyle w:val="Compact"/>
              <w:jc w:val="left"/>
            </w:pPr>
            <w:r>
              <w:t xml:space="preserve">Duur</w:t>
            </w:r>
          </w:p>
        </w:tc>
        <w:tc>
          <w:tcPr/>
          <w:p>
            <w:pPr>
              <w:pStyle w:val="Compact"/>
              <w:jc w:val="left"/>
            </w:pPr>
            <w:r>
              <w:t xml:space="preserve">Resultaat</w:t>
            </w:r>
          </w:p>
        </w:tc>
      </w:tr>
      <w:tr>
        <w:tc>
          <w:tcPr/>
          <w:p>
            <w:pPr>
              <w:pStyle w:val="Compact"/>
              <w:jc w:val="left"/>
            </w:pPr>
            <w:r>
              <w:t xml:space="preserve">Fase 1 (Véniant 2024), PMID 38316982</w:t>
            </w:r>
          </w:p>
        </w:tc>
        <w:tc>
          <w:tcPr/>
          <w:p>
            <w:pPr>
              <w:pStyle w:val="Compact"/>
              <w:jc w:val="left"/>
            </w:pPr>
            <w:r>
              <w:t xml:space="preserve">volwassenen met obesitas, enkelvoudige en herhaalde doses tegen placebo</w:t>
            </w:r>
          </w:p>
        </w:tc>
        <w:tc>
          <w:tcPr/>
          <w:p>
            <w:pPr>
              <w:pStyle w:val="Compact"/>
              <w:jc w:val="left"/>
            </w:pPr>
            <w:r>
              <w:t xml:space="preserve">enkelvoudige en herhaalde toediening met follow-up</w:t>
            </w:r>
          </w:p>
        </w:tc>
        <w:tc>
          <w:tcPr/>
          <w:p>
            <w:pPr>
              <w:pStyle w:val="Compact"/>
              <w:jc w:val="left"/>
            </w:pPr>
            <w:r>
              <w:t xml:space="preserve">dosisafhankelijk gewichtsverlies, aanhoudend tot 150 dagen na de laatste dosis</w:t>
            </w:r>
          </w:p>
        </w:tc>
      </w:tr>
      <w:tr>
        <w:tc>
          <w:tcPr/>
          <w:p>
            <w:pPr>
              <w:pStyle w:val="Compact"/>
              <w:jc w:val="left"/>
            </w:pPr>
            <w:r>
              <w:t xml:space="preserve">Fase 2 (Jastreboff 2025), PMID 40549887</w:t>
            </w:r>
          </w:p>
        </w:tc>
        <w:tc>
          <w:tcPr/>
          <w:p>
            <w:pPr>
              <w:pStyle w:val="Compact"/>
              <w:jc w:val="left"/>
            </w:pPr>
            <w:r>
              <w:t xml:space="preserve">592 volwassenen met obesitas, met of zonder diabetes type 2; tegen placebo</w:t>
            </w:r>
          </w:p>
        </w:tc>
        <w:tc>
          <w:tcPr/>
          <w:p>
            <w:pPr>
              <w:pStyle w:val="Compact"/>
              <w:jc w:val="left"/>
            </w:pPr>
            <w:r>
              <w:t xml:space="preserve">52 weken</w:t>
            </w:r>
          </w:p>
        </w:tc>
        <w:tc>
          <w:tcPr/>
          <w:p>
            <w:pPr>
              <w:pStyle w:val="Compact"/>
              <w:jc w:val="left"/>
            </w:pPr>
            <w:r>
              <w:t xml:space="preserve">zonder diabetes −12,3 tot −16,2% vs. −2,5%; met diabetes −8,4 tot −12,3% vs. −1,7%</w:t>
            </w:r>
          </w:p>
        </w:tc>
      </w:tr>
    </w:tbl>
    <w:bookmarkStart w:id="281" w:name="fase-1"/>
    <w:p>
      <w:pPr>
        <w:pStyle w:val="Heading4"/>
      </w:pPr>
      <w:r>
        <w:t xml:space="preserve">Fase 1</w:t>
      </w:r>
    </w:p>
    <w:p>
      <w:pPr>
        <w:pStyle w:val="FirstParagraph"/>
      </w:pPr>
      <w:r>
        <w:t xml:space="preserve">In de eerste studie bij mensen (Véniant 2024, PMID 38316982; NCT04478708) liet AMG 133 een dosisafhankelijk gewichtsverlies zien bij een aanvaardbare verdraagbaarheid. Opvallend was de lange werkingsduur: in de groepen met herhaalde toediening hield het gewichtsverlies tot 150 dagen na de laatste dosis aan.</w:t>
      </w:r>
    </w:p>
    <w:bookmarkEnd w:id="281"/>
    <w:bookmarkStart w:id="282" w:name="fase-2"/>
    <w:p>
      <w:pPr>
        <w:pStyle w:val="Heading4"/>
      </w:pPr>
      <w:r>
        <w:t xml:space="preserve">Fase 2</w:t>
      </w:r>
    </w:p>
    <w:p>
      <w:pPr>
        <w:pStyle w:val="FirstParagraph"/>
      </w:pPr>
      <w:r>
        <w:t xml:space="preserve">De fase 2-studie (Jastreboff 2025, PMID 40549887) was breed opgezet: elf groepen in twee cohorten met verschillende doses, doseringsintervallen (eens per vier of acht weken) en met of zonder langzame dosisopbouw.</w:t>
      </w:r>
    </w:p>
    <w:p>
      <w:pPr>
        <w:numPr>
          <w:ilvl w:val="0"/>
          <w:numId w:val="1091"/>
        </w:numPr>
        <w:pStyle w:val="Compact"/>
      </w:pPr>
      <w:r>
        <w:rPr>
          <w:bCs/>
          <w:b/>
        </w:rPr>
        <w:t xml:space="preserve">Zonder diabetes</w:t>
      </w:r>
      <w:r>
        <w:t xml:space="preserve"> </w:t>
      </w:r>
      <w:r>
        <w:t xml:space="preserve">(465 deelnemers, gemiddelde BMI 37,9): na 52 weken bedroeg het gewichtsverlies afhankelijk van de groep 12,3 tot 16,2%, bij placebo 2,5%. Deze analyse omvat alle deelnemers, ongeacht het stoppen met de behandeling.</w:t>
      </w:r>
    </w:p>
    <w:p>
      <w:pPr>
        <w:numPr>
          <w:ilvl w:val="0"/>
          <w:numId w:val="1091"/>
        </w:numPr>
        <w:pStyle w:val="Compact"/>
      </w:pPr>
      <w:r>
        <w:rPr>
          <w:bCs/>
          <w:b/>
        </w:rPr>
        <w:t xml:space="preserve">Met diabetes type 2</w:t>
      </w:r>
      <w:r>
        <w:t xml:space="preserve"> </w:t>
      </w:r>
      <w:r>
        <w:t xml:space="preserve">(127 deelnemers): gewichtsverlies 8,4 tot 12,3% tegenover 1,7%; de HbA1c-waarde daalde met 1,2 tot 1,6 procentpunt (placebo +0,1).</w:t>
      </w:r>
    </w:p>
    <w:p>
      <w:pPr>
        <w:pStyle w:val="FirstParagraph"/>
      </w:pPr>
      <w:r>
        <w:t xml:space="preserve">Maag-darmbijwerkingen kwamen vaak voor, maar minder vaak wanneer met een lagere dosis werd begonnen en langzaam werd opgehoogd. Onverwachte veiligheidssignalen deden zich volgens de auteurs niet voor. Een gewichtsverlies van ongeveer 16% na een jaar ligt in het bereik van semaglutide, maar onder dat van tirzepatide. Het mogelijke voordeel van MariTide is daarom minder de omvang van het afvallen dan de zeldzame toediening.</w:t>
      </w:r>
    </w:p>
    <w:bookmarkEnd w:id="282"/>
    <w:bookmarkEnd w:id="283"/>
    <w:bookmarkStart w:id="284" w:name="dier--en-laboratoriumstudies-10"/>
    <w:p>
      <w:pPr>
        <w:pStyle w:val="Heading3"/>
      </w:pPr>
      <w:r>
        <w:t xml:space="preserve">Dier- en laboratoriumstudies</w:t>
      </w:r>
    </w:p>
    <w:p>
      <w:pPr>
        <w:pStyle w:val="FirstParagraph"/>
      </w:pPr>
      <w:r>
        <w:t xml:space="preserve">In celsystemen werd bevestigd dat AMG 133 de GIP-receptor blokkeert en de GLP-1-receptor activeert. Bij muizen en Javaanse apen met overgewicht verlaagde het het lichaamsgewicht en verbeterde het stofwisselingsmarkers (Véniant 2024, PMID 38316982; Wu 2026, PMID 41941715). Vergelijkende muizenstudies naar GIP-blokkade tegenover GIP-activering laten verschillende effecten zien op insulinegevoeligheid en vetweefsel (Davies 2026, PMID 41287212). Al deze bevindingen komen uit dierproeven.</w:t>
      </w:r>
    </w:p>
    <w:bookmarkEnd w:id="284"/>
    <w:bookmarkStart w:id="285" w:name="risicos-en-bijwerkingen-10"/>
    <w:p>
      <w:pPr>
        <w:pStyle w:val="Heading3"/>
      </w:pPr>
      <w:r>
        <w:t xml:space="preserve">Risico’s en bijwerkingen</w:t>
      </w:r>
    </w:p>
    <w:p>
      <w:pPr>
        <w:pStyle w:val="FirstParagraph"/>
      </w:pPr>
      <w:r>
        <w:rPr>
          <w:bCs/>
          <w:b/>
        </w:rPr>
        <w:t xml:space="preserve">Aangetoond in studies:</w:t>
      </w:r>
    </w:p>
    <w:p>
      <w:pPr>
        <w:numPr>
          <w:ilvl w:val="0"/>
          <w:numId w:val="1092"/>
        </w:numPr>
        <w:pStyle w:val="Compact"/>
      </w:pPr>
      <w:r>
        <w:rPr>
          <w:bCs/>
          <w:b/>
        </w:rPr>
        <w:t xml:space="preserve">Maag-darmklachten</w:t>
      </w:r>
      <w:r>
        <w:t xml:space="preserve"> </w:t>
      </w:r>
      <w:r>
        <w:t xml:space="preserve">(misselijkheid, braken) kwamen in de fase 2-studie vaak voor, vooral bij een hoge startdosis zonder dosisopbouw (Jastreboff 2025, PMID 40549887). Precieze percentages staan niet in de samenvatting.</w:t>
      </w:r>
    </w:p>
    <w:p>
      <w:pPr>
        <w:pStyle w:val="FirstParagraph"/>
      </w:pPr>
      <w:r>
        <w:rPr>
          <w:bCs/>
          <w:b/>
        </w:rPr>
        <w:t xml:space="preserve">Specifieke open vragen:</w:t>
      </w:r>
    </w:p>
    <w:p>
      <w:pPr>
        <w:numPr>
          <w:ilvl w:val="0"/>
          <w:numId w:val="1093"/>
        </w:numPr>
        <w:pStyle w:val="Compact"/>
      </w:pPr>
      <w:r>
        <w:rPr>
          <w:bCs/>
          <w:b/>
        </w:rPr>
        <w:t xml:space="preserve">Lange werkingsduur:</w:t>
      </w:r>
      <w:r>
        <w:t xml:space="preserve"> </w:t>
      </w:r>
      <w:r>
        <w:t xml:space="preserve">wat voor veel patiënten als voordeel geldt, is bij bijwerkingen een nadeel: een geneesmiddel dat maandenlang in het lichaam blijft, kan niet snel worden gestopt. In de fase 1-studie hield de werking tot 150 dagen na de laatste dosis aan (Véniant 2024, PMID 38316982). Dat is bijvoorbeeld relevant bij een ongeplande zwangerschap of vóór operaties.</w:t>
      </w:r>
    </w:p>
    <w:p>
      <w:pPr>
        <w:numPr>
          <w:ilvl w:val="0"/>
          <w:numId w:val="1093"/>
        </w:numPr>
        <w:pStyle w:val="Compact"/>
      </w:pPr>
      <w:r>
        <w:rPr>
          <w:bCs/>
          <w:b/>
        </w:rPr>
        <w:t xml:space="preserve">GIP-blokkade:</w:t>
      </w:r>
      <w:r>
        <w:t xml:space="preserve"> </w:t>
      </w:r>
      <w:r>
        <w:t xml:space="preserve">welke langetermijngevolgen een blijvende blokkade van de GIP-receptor heeft – bijvoorbeeld op botten, vetweefsel of insulinegevoeligheid –, is bij de mens onbekend. In muizenstudies verminderde een GIP-antagonist de insulinegevoeligheid in vergelijking met controledieren met dezelfde hoeveelheid voer (Davies 2026, PMID 41287212).</w:t>
      </w:r>
    </w:p>
    <w:p>
      <w:pPr>
        <w:numPr>
          <w:ilvl w:val="0"/>
          <w:numId w:val="1093"/>
        </w:numPr>
        <w:pStyle w:val="Compact"/>
      </w:pPr>
      <w:r>
        <w:rPr>
          <w:bCs/>
          <w:b/>
        </w:rPr>
        <w:t xml:space="preserve">Antilichaamvorming:</w:t>
      </w:r>
      <w:r>
        <w:t xml:space="preserve"> </w:t>
      </w:r>
      <w:r>
        <w:t xml:space="preserve">bij op antilichamen gebaseerde geneesmiddelen kan het immuunsysteem antilichamen tegen het geneesmiddel vormen. Gegevens daarover uit grote studies ontbreken nog.</w:t>
      </w:r>
    </w:p>
    <w:p>
      <w:pPr>
        <w:numPr>
          <w:ilvl w:val="0"/>
          <w:numId w:val="1093"/>
        </w:numPr>
        <w:pStyle w:val="Compact"/>
      </w:pPr>
      <w:r>
        <w:t xml:space="preserve">De bekende klasserisico’s van de GLP-1-middelen (galblaas, alvleesklier) zijn voor MariTide nog onvoldoende onderzocht.</w:t>
      </w:r>
    </w:p>
    <w:bookmarkEnd w:id="285"/>
    <w:bookmarkStart w:id="286" w:name="juridische-status-10"/>
    <w:p>
      <w:pPr>
        <w:pStyle w:val="Heading3"/>
      </w:pPr>
      <w:r>
        <w:t xml:space="preserve">Juridische status</w:t>
      </w:r>
    </w:p>
    <w:p>
      <w:pPr>
        <w:numPr>
          <w:ilvl w:val="0"/>
          <w:numId w:val="1094"/>
        </w:numPr>
        <w:pStyle w:val="Compact"/>
      </w:pPr>
      <w:r>
        <w:rPr>
          <w:bCs/>
          <w:b/>
        </w:rPr>
        <w:t xml:space="preserve">EU / Oostenrijk / Duitsland:</w:t>
      </w:r>
      <w:r>
        <w:t xml:space="preserve"> </w:t>
      </w:r>
      <w:r>
        <w:t xml:space="preserve">niet geregistreerd; toepassing alleen in klinische studies. Omdat het om een complex biotechnologisch product gaat, is namaak op de grijze markt veel moeilijker dan bij kleine peptiden.</w:t>
      </w:r>
    </w:p>
    <w:p>
      <w:pPr>
        <w:numPr>
          <w:ilvl w:val="0"/>
          <w:numId w:val="1094"/>
        </w:numPr>
        <w:pStyle w:val="Compact"/>
      </w:pPr>
      <w:r>
        <w:rPr>
          <w:bCs/>
          <w:b/>
        </w:rPr>
        <w:t xml:space="preserve">VS:</w:t>
      </w:r>
      <w:r>
        <w:t xml:space="preserve"> </w:t>
      </w:r>
      <w:r>
        <w:t xml:space="preserve">niet geregistreerd.</w:t>
      </w:r>
    </w:p>
    <w:p>
      <w:pPr>
        <w:numPr>
          <w:ilvl w:val="0"/>
          <w:numId w:val="1094"/>
        </w:numPr>
        <w:pStyle w:val="Compact"/>
      </w:pPr>
      <w:r>
        <w:rPr>
          <w:bCs/>
          <w:b/>
        </w:rPr>
        <w:t xml:space="preserve">Sport:</w:t>
      </w:r>
      <w:r>
        <w:t xml:space="preserve"> </w:t>
      </w:r>
      <w:r>
        <w:t xml:space="preserve">WADA-klasse S0 (niet-goedgekeurde stof), stand 2026, actuele situatie controleren.</w:t>
      </w:r>
    </w:p>
    <w:bookmarkEnd w:id="286"/>
    <w:bookmarkStart w:id="287" w:name="lopende-studies-en-vooruitzichten-10"/>
    <w:p>
      <w:pPr>
        <w:pStyle w:val="Heading3"/>
      </w:pPr>
      <w:r>
        <w:t xml:space="preserve">Lopende studies en vooruitzichten</w:t>
      </w:r>
    </w:p>
    <w:p>
      <w:pPr>
        <w:pStyle w:val="FirstParagraph"/>
      </w:pPr>
      <w:r>
        <w:rPr>
          <w:bCs/>
          <w:b/>
        </w:rPr>
        <w:t xml:space="preserve">Vaststaand (geregistreerde studies, stand oktober 2026):</w:t>
      </w:r>
    </w:p>
    <w:p>
      <w:pPr>
        <w:numPr>
          <w:ilvl w:val="0"/>
          <w:numId w:val="1095"/>
        </w:numPr>
        <w:pStyle w:val="Compact"/>
      </w:pPr>
      <w:r>
        <w:rPr>
          <w:bCs/>
          <w:b/>
        </w:rPr>
        <w:t xml:space="preserve">Gewichtsbeheersing zonder diabetes</w:t>
      </w:r>
      <w:r>
        <w:t xml:space="preserve"> </w:t>
      </w:r>
      <w:r>
        <w:t xml:space="preserve">(NCT06858839): fase 3 met 3.853 deelnemers, gepland einde 2027.</w:t>
      </w:r>
    </w:p>
    <w:p>
      <w:pPr>
        <w:numPr>
          <w:ilvl w:val="0"/>
          <w:numId w:val="1095"/>
        </w:numPr>
        <w:pStyle w:val="Compact"/>
      </w:pPr>
      <w:r>
        <w:rPr>
          <w:bCs/>
          <w:b/>
        </w:rPr>
        <w:t xml:space="preserve">Gewichtsbeheersing met diabetes type 2</w:t>
      </w:r>
      <w:r>
        <w:t xml:space="preserve"> </w:t>
      </w:r>
      <w:r>
        <w:t xml:space="preserve">(NCT06858878): fase 3 met 1.105 deelnemers.</w:t>
      </w:r>
    </w:p>
    <w:p>
      <w:pPr>
        <w:numPr>
          <w:ilvl w:val="0"/>
          <w:numId w:val="1095"/>
        </w:numPr>
        <w:pStyle w:val="Compact"/>
      </w:pPr>
      <w:r>
        <w:rPr>
          <w:bCs/>
          <w:b/>
        </w:rPr>
        <w:t xml:space="preserve">Cardiovasculaire eindpuntstudie</w:t>
      </w:r>
      <w:r>
        <w:t xml:space="preserve"> </w:t>
      </w:r>
      <w:r>
        <w:t xml:space="preserve">(NCT07037433) met 12.800 deelnemers en</w:t>
      </w:r>
      <w:r>
        <w:t xml:space="preserve"> </w:t>
      </w:r>
      <w:r>
        <w:rPr>
          <w:bCs/>
          <w:b/>
        </w:rPr>
        <w:t xml:space="preserve">hartfalenstudie</w:t>
      </w:r>
      <w:r>
        <w:t xml:space="preserve"> </w:t>
      </w:r>
      <w:r>
        <w:t xml:space="preserve">(NCT07037459) met 5.056 deelnemers, beide tot 2030.</w:t>
      </w:r>
    </w:p>
    <w:p>
      <w:pPr>
        <w:numPr>
          <w:ilvl w:val="0"/>
          <w:numId w:val="1095"/>
        </w:numPr>
        <w:pStyle w:val="Compact"/>
      </w:pPr>
      <w:r>
        <w:rPr>
          <w:bCs/>
          <w:b/>
        </w:rPr>
        <w:t xml:space="preserve">Slaapapneu</w:t>
      </w:r>
      <w:r>
        <w:t xml:space="preserve"> </w:t>
      </w:r>
      <w:r>
        <w:t xml:space="preserve">zonder en met beademingsmasker (NCT07226765, NCT07225686).</w:t>
      </w:r>
    </w:p>
    <w:p>
      <w:pPr>
        <w:numPr>
          <w:ilvl w:val="0"/>
          <w:numId w:val="1095"/>
        </w:numPr>
        <w:pStyle w:val="Compact"/>
      </w:pPr>
      <w:r>
        <w:rPr>
          <w:bCs/>
          <w:b/>
        </w:rPr>
        <w:t xml:space="preserve">Vergelijking met semaglutide</w:t>
      </w:r>
      <w:r>
        <w:t xml:space="preserve"> </w:t>
      </w:r>
      <w:r>
        <w:t xml:space="preserve">bij diabetes type 2 (NCT07866066), overstappen van andere GLP-1-middelen (NCT07575399), Japan (NCT06987695), leververvetting (NCT07441252, fase 2).</w:t>
      </w:r>
    </w:p>
    <w:p>
      <w:pPr>
        <w:numPr>
          <w:ilvl w:val="0"/>
          <w:numId w:val="1095"/>
        </w:numPr>
        <w:pStyle w:val="Compact"/>
      </w:pPr>
      <w:r>
        <w:t xml:space="preserve">Fase 1-studies naar maaglediging (NCT07429032), hartritme (NCT07229157) en interacties met de pil (NCT07523711).</w:t>
      </w:r>
    </w:p>
    <w:p>
      <w:pPr>
        <w:pStyle w:val="FirstParagraph"/>
      </w:pPr>
      <w:r>
        <w:rPr>
          <w:bCs/>
          <w:b/>
        </w:rPr>
        <w:t xml:space="preserve">Inschatting:</w:t>
      </w:r>
      <w:r>
        <w:t xml:space="preserve"> </w:t>
      </w:r>
      <w:r>
        <w:t xml:space="preserve">MariTide staat voor een ander concept dan de tirzepatidefamilie – minder injecties in plaats van maximaal gewichtsverlies. Voor mensen die een langdurige behandeling nodig hebben, zou een maandelijkse of nog zeldzamere toediening de therapietrouw kunnen verbeteren. Of het concept van GIP-blokkade op lange termijn veilig is, moeten de grote fase 3-studies laten zien. Een registratie is op zijn vroegst vanaf 2028 realistisch.</w:t>
      </w:r>
    </w:p>
    <w:bookmarkEnd w:id="287"/>
    <w:bookmarkStart w:id="288" w:name="conclusie-10"/>
    <w:p>
      <w:pPr>
        <w:pStyle w:val="Heading3"/>
      </w:pPr>
      <w:r>
        <w:t xml:space="preserve">Conclusie</w:t>
      </w:r>
    </w:p>
    <w:p>
      <w:pPr>
        <w:pStyle w:val="FirstParagraph"/>
      </w:pPr>
      <w:r>
        <w:t xml:space="preserve">Maridebart cafraglutide is een antilichaam-peptideconjugaat dat de GLP-1-receptor activeert en de GIP-receptor blokkeert, en wordt slechts eenmaal per maand of minder vaak toegediend. In de fase 2-studie daalde het lichaamsgewicht na 52 weken met tot 16,2% zonder en met tot 12,3% met diabetes type 2. Maag-darmklachten komen vaak voor en hangen sterk af van de dosisopbouw; de lange werkingsduur is voordeel en risico tegelijk. Het fase 3-programma met eindpuntstudies naar hart- en vaatziekten en hartfalen loopt.</w:t>
      </w:r>
    </w:p>
    <w:bookmarkEnd w:id="288"/>
    <w:bookmarkEnd w:id="289"/>
    <w:bookmarkStart w:id="302" w:name="pramlintide"/>
    <w:p>
      <w:pPr>
        <w:pStyle w:val="Heading2"/>
      </w:pPr>
      <w:r>
        <w:t xml:space="preserve">Pramlintide</w:t>
      </w:r>
    </w:p>
    <w:bookmarkStart w:id="290" w:name="profiel-11"/>
    <w:p>
      <w:pPr>
        <w:pStyle w:val="Heading3"/>
      </w:pPr>
      <w:r>
        <w:t xml:space="preserve">Profiel</w:t>
      </w:r>
    </w:p>
    <w:p>
      <w:pPr>
        <w:numPr>
          <w:ilvl w:val="0"/>
          <w:numId w:val="1096"/>
        </w:numPr>
        <w:pStyle w:val="Compact"/>
      </w:pPr>
      <w:r>
        <w:rPr>
          <w:bCs/>
          <w:b/>
        </w:rPr>
        <w:t xml:space="preserve">Soort/structuur:</w:t>
      </w:r>
      <w:r>
        <w:t xml:space="preserve"> </w:t>
      </w:r>
      <w:r>
        <w:t xml:space="preserve">synthetisch analoog van het menselijke hormoon amyline, bestaande uit 37 aminozuren. Op drie plaatsen zijn aminozuren vervangen (naar het voorbeeld van rattenamyline), zodat het molecuul niet samenklontert zoals natuurlijk menselijk amyline. Het werkt slechts kort en wordt vóór de hoofdmaaltijden geïnjecteerd.</w:t>
      </w:r>
    </w:p>
    <w:p>
      <w:pPr>
        <w:numPr>
          <w:ilvl w:val="0"/>
          <w:numId w:val="1096"/>
        </w:numPr>
        <w:pStyle w:val="Compact"/>
      </w:pPr>
      <w:r>
        <w:rPr>
          <w:bCs/>
          <w:b/>
        </w:rPr>
        <w:t xml:space="preserve">Herkomst:</w:t>
      </w:r>
      <w:r>
        <w:t xml:space="preserve"> </w:t>
      </w:r>
      <w:r>
        <w:t xml:space="preserve">ontwikkeld door Amylin Pharmaceuticals; tegenwoordig onderdeel van het portfolio van AstraZeneca. Handelsnaam in de VS: Symlin.</w:t>
      </w:r>
    </w:p>
    <w:p>
      <w:pPr>
        <w:numPr>
          <w:ilvl w:val="0"/>
          <w:numId w:val="1096"/>
        </w:numPr>
        <w:pStyle w:val="Compact"/>
      </w:pPr>
      <w:r>
        <w:rPr>
          <w:bCs/>
          <w:b/>
        </w:rPr>
        <w:t xml:space="preserve">Werkingsprincipe:</w:t>
      </w:r>
      <w:r>
        <w:t xml:space="preserve"> </w:t>
      </w:r>
      <w:r>
        <w:t xml:space="preserve">agonist op amylinereceptoren – vertraagt de maaglediging, remt de afgifte van glucagon na het eten en bevordert het verzadigingsgevoel.</w:t>
      </w:r>
    </w:p>
    <w:p>
      <w:pPr>
        <w:numPr>
          <w:ilvl w:val="0"/>
          <w:numId w:val="1096"/>
        </w:numPr>
        <w:pStyle w:val="Compact"/>
      </w:pPr>
      <w:r>
        <w:rPr>
          <w:bCs/>
          <w:b/>
        </w:rPr>
        <w:t xml:space="preserve">Registratie EU:</w:t>
      </w:r>
      <w:r>
        <w:t xml:space="preserve"> </w:t>
      </w:r>
      <w:r>
        <w:t xml:space="preserve">nee – pramlintide is in de EU nooit geregistreerd.</w:t>
      </w:r>
    </w:p>
    <w:p>
      <w:pPr>
        <w:numPr>
          <w:ilvl w:val="0"/>
          <w:numId w:val="1096"/>
        </w:numPr>
        <w:pStyle w:val="Compact"/>
      </w:pPr>
      <w:r>
        <w:rPr>
          <w:bCs/>
          <w:b/>
        </w:rPr>
        <w:t xml:space="preserve">Registratie VS:</w:t>
      </w:r>
      <w:r>
        <w:t xml:space="preserve"> </w:t>
      </w:r>
      <w:r>
        <w:t xml:space="preserve">ja, sinds 2005 als aanvulling op maaltijdinsuline bij diabetes type 1 en type 2.</w:t>
      </w:r>
    </w:p>
    <w:p>
      <w:pPr>
        <w:numPr>
          <w:ilvl w:val="0"/>
          <w:numId w:val="1096"/>
        </w:numPr>
        <w:pStyle w:val="Compact"/>
      </w:pPr>
      <w:r>
        <w:rPr>
          <w:bCs/>
          <w:b/>
        </w:rPr>
        <w:t xml:space="preserve">WADA:</w:t>
      </w:r>
      <w:r>
        <w:t xml:space="preserve"> </w:t>
      </w:r>
      <w:r>
        <w:t xml:space="preserve">niet bij naam vermeld; vanwege de Amerikaanse registratie valt het niet onder S0 (stand 2026, actuele situatie controleren).</w:t>
      </w:r>
    </w:p>
    <w:p>
      <w:pPr>
        <w:numPr>
          <w:ilvl w:val="0"/>
          <w:numId w:val="1096"/>
        </w:numPr>
        <w:pStyle w:val="Compact"/>
      </w:pPr>
      <w:r>
        <w:rPr>
          <w:bCs/>
          <w:b/>
        </w:rPr>
        <w:t xml:space="preserve">Bewijsniveau:</w:t>
      </w:r>
      <w:r>
        <w:t xml:space="preserve"> </w:t>
      </w:r>
      <w:r>
        <w:rPr>
          <w:bCs/>
          <w:b/>
        </w:rPr>
        <w:t xml:space="preserve">A</w:t>
      </w:r>
      <w:r>
        <w:t xml:space="preserve"> </w:t>
      </w:r>
      <w:r>
        <w:t xml:space="preserve">– meerdere grote gerandomiseerde studies, registratie in de VS.</w:t>
      </w:r>
    </w:p>
    <w:bookmarkEnd w:id="290"/>
    <w:bookmarkStart w:id="291" w:name="hoe-het-zou-moeten-werken-11"/>
    <w:p>
      <w:pPr>
        <w:pStyle w:val="Heading3"/>
      </w:pPr>
      <w:r>
        <w:t xml:space="preserve">Hoe het zou moeten werken</w:t>
      </w:r>
    </w:p>
    <w:p>
      <w:pPr>
        <w:pStyle w:val="FirstParagraph"/>
      </w:pPr>
      <w:r>
        <w:t xml:space="preserve">De bètacellen van de alvleesklier geven niet alleen insuline af, maar in hetzelfde ritme ook amyline. Bij diabetes type 1 zijn de bètacellen vernietigd – beide hormonen ontbreken dus, maar doorgaans wordt alleen insuline vervangen. Ook bij gevorderde diabetes type 2 is de afgifte van amyline verminderd.</w:t>
      </w:r>
    </w:p>
    <w:p>
      <w:pPr>
        <w:pStyle w:val="BodyText"/>
      </w:pPr>
      <w:r>
        <w:t xml:space="preserve">Amyline werkt na het eten in drie richtingen: het vertraagt de maaglediging, zodat de suiker langzamer in het bloed komt; het remt de afgifte van glucagon, die bij diabetes na maaltijden vaak onpassend hoog is; en het bevordert via de hersenstam het verzadigingsgevoel. Pramlintide moest deze ontbrekende werking vervangen en zo de bloedsuikerpieken na het eten afvlakken. Dat het de maaglediging vertraagt, werd onder meer aangetoond in een kleine studie met twaalf mensen met diabetes type 1 en type 2: de tijd tot de helft van een vaste maaltijd de maag had verlaten, nam toe van 91 tot 268 à 329 minuten (Vella 2002, PMID 11975712).</w:t>
      </w:r>
    </w:p>
    <w:p>
      <w:pPr>
        <w:pStyle w:val="BodyText"/>
      </w:pPr>
      <w:r>
        <w:t xml:space="preserve">Pramlintide is historisch belangrijk: het was het eerste amylinegeneesmiddel en geldt als voorloper van de huidige langwerkende amylinemiddelen zoals cagrilintide en amycretine (zie aldaar). Het grote praktische nadeel is de korte werkingsduur, die meerdere injecties per dag vereist.</w:t>
      </w:r>
    </w:p>
    <w:bookmarkEnd w:id="291"/>
    <w:bookmarkStart w:id="296" w:name="studies-bij-mensen-11"/>
    <w:p>
      <w:pPr>
        <w:pStyle w:val="Heading3"/>
      </w:pPr>
      <w:r>
        <w:t xml:space="preserve">Studies bij mensen</w:t>
      </w:r>
    </w:p>
    <w:p>
      <w:pPr>
        <w:pStyle w:val="FirstParagraph"/>
      </w:pPr>
      <w:r>
        <w:rPr>
          <w:bCs/>
          <w:b/>
        </w:rPr>
        <w:t xml:space="preserve">Omvang van het onderzoek:</w:t>
      </w:r>
      <w:r>
        <w:t xml:space="preserve"> </w:t>
      </w:r>
      <w:r>
        <w:t xml:space="preserve">De geautomatiseerde PubMed-zoekopdracht (oktober 2026) leverde 76 studies bij mensen op, overwegend uit de jaren 1996 tot 2010, en enkele meta-analyses. Op ClinicalTrials.gov waren 64 studies geregistreerd, vrijwel allemaal afgerond; nieuwe studies betreffen vooral</w:t>
      </w:r>
      <w:r>
        <w:t xml:space="preserve"> </w:t>
      </w:r>
      <w:r>
        <w:t xml:space="preserve">‘</w:t>
      </w:r>
      <w:r>
        <w:t xml:space="preserve">kunstmatige alvleesklieren</w:t>
      </w:r>
      <w:r>
        <w:t xml:space="preserve">’</w:t>
      </w:r>
      <w:r>
        <w:t xml:space="preserve"> </w:t>
      </w:r>
      <w:r>
        <w:t xml:space="preserve">en migraineonderzoek.</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Deelnemers en design</w:t>
            </w:r>
          </w:p>
        </w:tc>
        <w:tc>
          <w:tcPr/>
          <w:p>
            <w:pPr>
              <w:pStyle w:val="Compact"/>
              <w:jc w:val="left"/>
            </w:pPr>
            <w:r>
              <w:t xml:space="preserve">Duur</w:t>
            </w:r>
          </w:p>
        </w:tc>
        <w:tc>
          <w:tcPr/>
          <w:p>
            <w:pPr>
              <w:pStyle w:val="Compact"/>
              <w:jc w:val="left"/>
            </w:pPr>
            <w:r>
              <w:t xml:space="preserve">Resultaat</w:t>
            </w:r>
          </w:p>
        </w:tc>
      </w:tr>
      <w:tr>
        <w:tc>
          <w:tcPr/>
          <w:p>
            <w:pPr>
              <w:pStyle w:val="Compact"/>
              <w:jc w:val="left"/>
            </w:pPr>
            <w:r>
              <w:t xml:space="preserve">Whitehouse 2002, PMID 11919132</w:t>
            </w:r>
          </w:p>
        </w:tc>
        <w:tc>
          <w:tcPr/>
          <w:p>
            <w:pPr>
              <w:pStyle w:val="Compact"/>
              <w:jc w:val="left"/>
            </w:pPr>
            <w:r>
              <w:t xml:space="preserve">480 volwassenen met diabetes type 1, tegen placebo</w:t>
            </w:r>
          </w:p>
        </w:tc>
        <w:tc>
          <w:tcPr/>
          <w:p>
            <w:pPr>
              <w:pStyle w:val="Compact"/>
              <w:jc w:val="left"/>
            </w:pPr>
            <w:r>
              <w:t xml:space="preserve">52 weken (+1 jaar open-label)</w:t>
            </w:r>
          </w:p>
        </w:tc>
        <w:tc>
          <w:tcPr/>
          <w:p>
            <w:pPr>
              <w:pStyle w:val="Compact"/>
              <w:jc w:val="left"/>
            </w:pPr>
            <w:r>
              <w:t xml:space="preserve">HbA1c −0,67 vs. −0,16 na 13 weken; gewichtsafname in plaats van -toename</w:t>
            </w:r>
          </w:p>
        </w:tc>
      </w:tr>
      <w:tr>
        <w:tc>
          <w:tcPr/>
          <w:p>
            <w:pPr>
              <w:pStyle w:val="Compact"/>
              <w:jc w:val="left"/>
            </w:pPr>
            <w:r>
              <w:t xml:space="preserve">Ratner 2004, PMID 15498087</w:t>
            </w:r>
          </w:p>
        </w:tc>
        <w:tc>
          <w:tcPr/>
          <w:p>
            <w:pPr>
              <w:pStyle w:val="Compact"/>
              <w:jc w:val="left"/>
            </w:pPr>
            <w:r>
              <w:t xml:space="preserve">651 volwassenen met diabetes type 1, tegen placebo</w:t>
            </w:r>
          </w:p>
        </w:tc>
        <w:tc>
          <w:tcPr/>
          <w:p>
            <w:pPr>
              <w:pStyle w:val="Compact"/>
              <w:jc w:val="left"/>
            </w:pPr>
            <w:r>
              <w:t xml:space="preserve">52 weken</w:t>
            </w:r>
          </w:p>
        </w:tc>
        <w:tc>
          <w:tcPr/>
          <w:p>
            <w:pPr>
              <w:pStyle w:val="Compact"/>
              <w:jc w:val="left"/>
            </w:pPr>
            <w:r>
              <w:t xml:space="preserve">HbA1c −0,29 tot −0,34 vs. −0,04; gewicht −0,4 kg vs. +0,8 kg</w:t>
            </w:r>
          </w:p>
        </w:tc>
      </w:tr>
      <w:tr>
        <w:tc>
          <w:tcPr/>
          <w:p>
            <w:pPr>
              <w:pStyle w:val="Compact"/>
              <w:jc w:val="left"/>
            </w:pPr>
            <w:r>
              <w:t xml:space="preserve">Hollander 2003, PMID 12610038</w:t>
            </w:r>
          </w:p>
        </w:tc>
        <w:tc>
          <w:tcPr/>
          <w:p>
            <w:pPr>
              <w:pStyle w:val="Compact"/>
              <w:jc w:val="left"/>
            </w:pPr>
            <w:r>
              <w:t xml:space="preserve">656 volwassenen met met insuline behandelde diabetes type 2, tegen placebo</w:t>
            </w:r>
          </w:p>
        </w:tc>
        <w:tc>
          <w:tcPr/>
          <w:p>
            <w:pPr>
              <w:pStyle w:val="Compact"/>
              <w:jc w:val="left"/>
            </w:pPr>
            <w:r>
              <w:t xml:space="preserve">52 weken</w:t>
            </w:r>
          </w:p>
        </w:tc>
        <w:tc>
          <w:tcPr/>
          <w:p>
            <w:pPr>
              <w:pStyle w:val="Compact"/>
              <w:jc w:val="left"/>
            </w:pPr>
            <w:r>
              <w:t xml:space="preserve">HbA1c −0,62 (week 52); gewicht −1,4 kg vs. +0,7 kg</w:t>
            </w:r>
          </w:p>
        </w:tc>
      </w:tr>
      <w:tr>
        <w:tc>
          <w:tcPr/>
          <w:p>
            <w:pPr>
              <w:pStyle w:val="Compact"/>
              <w:jc w:val="left"/>
            </w:pPr>
            <w:r>
              <w:t xml:space="preserve">Edelman 2006, PMID 17003291</w:t>
            </w:r>
          </w:p>
        </w:tc>
        <w:tc>
          <w:tcPr/>
          <w:p>
            <w:pPr>
              <w:pStyle w:val="Compact"/>
              <w:jc w:val="left"/>
            </w:pPr>
            <w:r>
              <w:t xml:space="preserve">296 volwassenen met diabetes type 1, geïntensiveerde insulinetherapie</w:t>
            </w:r>
          </w:p>
        </w:tc>
        <w:tc>
          <w:tcPr/>
          <w:p>
            <w:pPr>
              <w:pStyle w:val="Compact"/>
              <w:jc w:val="left"/>
            </w:pPr>
            <w:r>
              <w:t xml:space="preserve">29 weken</w:t>
            </w:r>
          </w:p>
        </w:tc>
        <w:tc>
          <w:tcPr/>
          <w:p>
            <w:pPr>
              <w:pStyle w:val="Compact"/>
              <w:jc w:val="left"/>
            </w:pPr>
            <w:r>
              <w:t xml:space="preserve">HbA1c gelijk (−0,5 beide); gewicht −1,3 vs. +1,2 kg; insuline −28%</w:t>
            </w:r>
          </w:p>
        </w:tc>
      </w:tr>
      <w:tr>
        <w:tc>
          <w:tcPr/>
          <w:p>
            <w:pPr>
              <w:pStyle w:val="Compact"/>
              <w:jc w:val="left"/>
            </w:pPr>
            <w:r>
              <w:t xml:space="preserve">Riddle 2007, PMID 17698615</w:t>
            </w:r>
          </w:p>
        </w:tc>
        <w:tc>
          <w:tcPr/>
          <w:p>
            <w:pPr>
              <w:pStyle w:val="Compact"/>
              <w:jc w:val="left"/>
            </w:pPr>
            <w:r>
              <w:t xml:space="preserve">212 volwassenen met diabetes type 2 en basale insuline, tegen placebo</w:t>
            </w:r>
          </w:p>
        </w:tc>
        <w:tc>
          <w:tcPr/>
          <w:p>
            <w:pPr>
              <w:pStyle w:val="Compact"/>
              <w:jc w:val="left"/>
            </w:pPr>
            <w:r>
              <w:t xml:space="preserve">16 weken</w:t>
            </w:r>
          </w:p>
        </w:tc>
        <w:tc>
          <w:tcPr/>
          <w:p>
            <w:pPr>
              <w:pStyle w:val="Compact"/>
              <w:jc w:val="left"/>
            </w:pPr>
            <w:r>
              <w:t xml:space="preserve">HbA1c −0,70 vs. −0,36; gewicht −1,6 vs. +0,7 kg</w:t>
            </w:r>
          </w:p>
        </w:tc>
      </w:tr>
      <w:tr>
        <w:tc>
          <w:tcPr/>
          <w:p>
            <w:pPr>
              <w:pStyle w:val="Compact"/>
              <w:jc w:val="left"/>
            </w:pPr>
            <w:r>
              <w:t xml:space="preserve">Smith 2008, PMID 18753666</w:t>
            </w:r>
          </w:p>
        </w:tc>
        <w:tc>
          <w:tcPr/>
          <w:p>
            <w:pPr>
              <w:pStyle w:val="Compact"/>
              <w:jc w:val="left"/>
            </w:pPr>
            <w:r>
              <w:t xml:space="preserve">411 volwassenen met obesitas, met leefstijlprogramma</w:t>
            </w:r>
          </w:p>
        </w:tc>
        <w:tc>
          <w:tcPr/>
          <w:p>
            <w:pPr>
              <w:pStyle w:val="Compact"/>
              <w:jc w:val="left"/>
            </w:pPr>
            <w:r>
              <w:t xml:space="preserve">4 maanden (+8 maanden)</w:t>
            </w:r>
          </w:p>
        </w:tc>
        <w:tc>
          <w:tcPr/>
          <w:p>
            <w:pPr>
              <w:pStyle w:val="Compact"/>
              <w:jc w:val="left"/>
            </w:pPr>
            <w:r>
              <w:t xml:space="preserve">na 12 maanden voor placebo gecorrigeerd tot −7,2 kg</w:t>
            </w:r>
          </w:p>
        </w:tc>
      </w:tr>
    </w:tbl>
    <w:bookmarkStart w:id="292" w:name="diabetes-type-1"/>
    <w:p>
      <w:pPr>
        <w:pStyle w:val="Heading4"/>
      </w:pPr>
      <w:r>
        <w:t xml:space="preserve">Diabetes type 1</w:t>
      </w:r>
    </w:p>
    <w:p>
      <w:pPr>
        <w:pStyle w:val="FirstParagraph"/>
      </w:pPr>
      <w:r>
        <w:t xml:space="preserve">De grote registratiestudies liepen meer dan een jaar. In de studie van Whitehouse (2002, PMID 11919132) met 480 mensen met diabetes type 1 daalde de HbA1c-waarde na 13 weken met 0,67 procentpunt tegenover 0,16 bij placebo; het verschil bleef tot week 52 statistisch significant. De deelnemers vielen gemiddeld af in plaats van aan te komen; het totale aantal ernstige hypoglykemieën was niet verhoogd. In de studie van Ratner (2004, PMID 15498087) met 651 deelnemers was het effect kleiner: −0,29 resp. −0,34 procentpunt tegenover −0,04.</w:t>
      </w:r>
    </w:p>
    <w:p>
      <w:pPr>
        <w:pStyle w:val="BodyText"/>
      </w:pPr>
      <w:r>
        <w:t xml:space="preserve">Deze effecten zijn bescheiden. Een netwerk-meta-analyse van alle aanvullende middelen bij diabetes type 1 met 58 studies beoordeelde de betrouwbaarheid van het bewijs overwegend als matig tot zeer laag en vond dat pramlintide – net als GLP-1-agonisten en metformine – vaker misselijkheid veroorzaakt (Avgerinos 2021, PMID 33300282).</w:t>
      </w:r>
    </w:p>
    <w:p>
      <w:pPr>
        <w:pStyle w:val="BodyText"/>
      </w:pPr>
      <w:r>
        <w:t xml:space="preserve">Een belangrijke les leverde de studie van Edelman (2006, PMID 17003291): wanneer bij het begin van de behandeling met pramlintide de dosis maaltijdinsuline uit voorzorg met 30 tot 50% werd verlaagd, was de HbA1c-waarde na 29 weken in beide groepen even sterk gedaald (elk −0,5). Met pramlintide waren de bloedsuikerpieken na het eten echter kleiner, daalde het gewicht met 1,3 kg (placebo +1,2 kg) en was 28% minder insuline nodig. Misselijkheid kwam voor bij 63% (placebo 36%).</w:t>
      </w:r>
    </w:p>
    <w:bookmarkEnd w:id="292"/>
    <w:bookmarkStart w:id="293" w:name="diabetes-type-2"/>
    <w:p>
      <w:pPr>
        <w:pStyle w:val="Heading4"/>
      </w:pPr>
      <w:r>
        <w:t xml:space="preserve">Diabetes type 2</w:t>
      </w:r>
    </w:p>
    <w:p>
      <w:pPr>
        <w:pStyle w:val="FirstParagraph"/>
      </w:pPr>
      <w:r>
        <w:t xml:space="preserve">Bij met insuline behandelde diabetes type 2 verlaagde pramlintide de HbA1c-waarde na een jaar met 0,62 procentpunt, met een gewichtsverlies van 1,4 kg tegenover 0,7 kg toename bij placebo (Hollander 2003, PMID 12610038). Als aanvulling op basale insuline was het in een open-label studie met 113 deelnemers ongeveer even werkzaam als een snelwerkende maaltijdinsuline, maar leidde het niet tot gewichtstoename (0,0 kg vs. +4,7 kg) en tot minder lichte tot matige hypoglykemieën; daar stond tegenover dat 21% klaagde over misselijkheid (Riddle 2009, PMID 19502544).</w:t>
      </w:r>
    </w:p>
    <w:p>
      <w:pPr>
        <w:pStyle w:val="BodyText"/>
      </w:pPr>
      <w:r>
        <w:t xml:space="preserve">Een meta-analyse van acht gerandomiseerde studies liet bij diabetes type 2 een HbA1c-daling zien van 0,33 procentpunt en een gewichtsverlies van 2,57 kg ten opzichte van controle; misselijkheid kwam 1,8 keer vaker voor (Singh-Franco 2011, PMID 21199269).</w:t>
      </w:r>
    </w:p>
    <w:bookmarkEnd w:id="293"/>
    <w:bookmarkStart w:id="294" w:name="obesitas"/>
    <w:p>
      <w:pPr>
        <w:pStyle w:val="Heading4"/>
      </w:pPr>
      <w:r>
        <w:t xml:space="preserve">Obesitas</w:t>
      </w:r>
    </w:p>
    <w:p>
      <w:pPr>
        <w:pStyle w:val="FirstParagraph"/>
      </w:pPr>
      <w:r>
        <w:t xml:space="preserve">Tussen 2005 en 2010 werd pramlintide ook onderzocht als afslankmiddel. In een studie van 16 weken met 204 mensen met obesitas bedroeg het voor placebo gecorrigeerde gewichtsverlies 3,7% (Aronne 2007, PMID 17504894). In combinatie met een leefstijlprogramma behielden vrijwel alle dosisgroepen hun gewichtsverlies over twaalf maanden; voor placebo gecorrigeerd was dat tot 7,2 kg resp. 6,8% (Smith 2008, PMID 18753666). Een combinatie met metreleptine (een leptine-analoog) bereikte na 20 weken 12,7% gewichtsverlies tegenover 8,4% met pramlintide alleen (Ravussin 2009, PMID 19521351). Deze ontwikkeling werd niet doorgezet tot registratie.</w:t>
      </w:r>
    </w:p>
    <w:bookmarkEnd w:id="294"/>
    <w:bookmarkStart w:id="295" w:name="Xd1489473de7a6ef8d8b0075e533de9e9505ad26"/>
    <w:p>
      <w:pPr>
        <w:pStyle w:val="Heading4"/>
      </w:pPr>
      <w:r>
        <w:t xml:space="preserve">Nieuwere toepassingen: kunstmatige alvleesklier</w:t>
      </w:r>
    </w:p>
    <w:p>
      <w:pPr>
        <w:pStyle w:val="FirstParagraph"/>
      </w:pPr>
      <w:r>
        <w:t xml:space="preserve">Sinds ongeveer 2015 beleeft pramlintide een kleine renaissance in het onderzoek naar geautomatiseerde insulinepompsystemen. In een gerandomiseerde cross-overstudie steeg de tijd binnen het streefbereik met een systeem dat naast snelwerkende insuline ook pramlintide afgeeft, van 74% naar 84% (Haidar 2020, PMID 31974099). Een kleine pilotstudie onderzocht of zo’n systeem het tellen van koolhydraten overbodig kan maken; de verschillen met de standaardbehandeling waren statistisch niet significant (Odabassian 2025, PMID 41174925). Een vaste mengeling van pramlintide en een insuline (ADO09) leidde in een studie van 16 weken met 80 mensen met diabetes type 1 tot 2,1 kg meer gewichtsverlies dan insuline lispro, bij een onveranderde HbA1c (Andersen 2024, PMID 39109464).</w:t>
      </w:r>
    </w:p>
    <w:bookmarkEnd w:id="295"/>
    <w:bookmarkEnd w:id="296"/>
    <w:bookmarkStart w:id="297" w:name="dier--en-laboratoriumstudies-11"/>
    <w:p>
      <w:pPr>
        <w:pStyle w:val="Heading3"/>
      </w:pPr>
      <w:r>
        <w:t xml:space="preserve">Dier- en laboratoriumstudies</w:t>
      </w:r>
    </w:p>
    <w:p>
      <w:pPr>
        <w:pStyle w:val="FirstParagraph"/>
      </w:pPr>
      <w:r>
        <w:t xml:space="preserve">De basis van het amylineonderzoek komt uit dier- en laboratoriumstudies, die hier niet afzonderlijk worden besproken. Bij knaagdieren leidde de combinatie van amyline en leptine tot een meer dan additief gewichtsverlies (in Ravussin 2009, PMID 19521351, als uitgangspunt beschreven). In muismodellen veroorzaakte amyline, net als het migraineboodschapperpeptide CGRP, overgevoeligheid en lichtschuwheid (Ghanizada 2021, PMID 33772845).</w:t>
      </w:r>
    </w:p>
    <w:bookmarkEnd w:id="297"/>
    <w:bookmarkStart w:id="298" w:name="risicos-en-bijwerkingen-11"/>
    <w:p>
      <w:pPr>
        <w:pStyle w:val="Heading3"/>
      </w:pPr>
      <w:r>
        <w:t xml:space="preserve">Risico’s en bijwerkingen</w:t>
      </w:r>
    </w:p>
    <w:p>
      <w:pPr>
        <w:pStyle w:val="FirstParagraph"/>
      </w:pPr>
      <w:r>
        <w:rPr>
          <w:bCs/>
          <w:b/>
        </w:rPr>
        <w:t xml:space="preserve">Aangetoond in studies:</w:t>
      </w:r>
    </w:p>
    <w:p>
      <w:pPr>
        <w:numPr>
          <w:ilvl w:val="0"/>
          <w:numId w:val="1097"/>
        </w:numPr>
        <w:pStyle w:val="Compact"/>
      </w:pPr>
      <w:r>
        <w:rPr>
          <w:bCs/>
          <w:b/>
        </w:rPr>
        <w:t xml:space="preserve">Misselijkheid</w:t>
      </w:r>
      <w:r>
        <w:t xml:space="preserve"> </w:t>
      </w:r>
      <w:r>
        <w:t xml:space="preserve">is de meest voorkomende bijwerking, vooral in de eerste weken; afhankelijk van de studie tussen 9% en 63% (Smith 2008, PMID 18753666; Edelman 2006, PMID 17003291).</w:t>
      </w:r>
    </w:p>
    <w:p>
      <w:pPr>
        <w:numPr>
          <w:ilvl w:val="0"/>
          <w:numId w:val="1097"/>
        </w:numPr>
        <w:pStyle w:val="Compact"/>
      </w:pPr>
      <w:r>
        <w:rPr>
          <w:bCs/>
          <w:b/>
        </w:rPr>
        <w:t xml:space="preserve">Ernstige hypoglykemie</w:t>
      </w:r>
      <w:r>
        <w:t xml:space="preserve"> </w:t>
      </w:r>
      <w:r>
        <w:t xml:space="preserve">is het belangrijkste risico. Pramlintide zelf verlaagt de bloedsuiker nauwelijks, maar versterkt de werking van de tegelijk geïnjecteerde insuline, omdat de suiker uit de maaltijd vertraagd aankomt. In de studie van Edelman kwamen ernstige hypoglykemieën met pramlintide vaker voor dan met placebo (0,57 vs. 0,30 voorvallen per patiëntjaar), vooral bij deelnemers die op een lage dosis bleven (Edelman 2006, PMID 17003291). In de VS draagt het geneesmiddel daarom een duidelijke waarschuwing; vóór het begin van de behandeling is een verlaging van de dosis maaltijdinsuline voorzien – de details staan in de productinformatie, de uitvoering hoort in handen van een arts.</w:t>
      </w:r>
    </w:p>
    <w:p>
      <w:pPr>
        <w:numPr>
          <w:ilvl w:val="0"/>
          <w:numId w:val="1097"/>
        </w:numPr>
        <w:pStyle w:val="Compact"/>
      </w:pPr>
      <w:r>
        <w:rPr>
          <w:bCs/>
          <w:b/>
        </w:rPr>
        <w:t xml:space="preserve">Hoofdpijn en migraine:</w:t>
      </w:r>
      <w:r>
        <w:t xml:space="preserve"> </w:t>
      </w:r>
      <w:r>
        <w:t xml:space="preserve">in een experimentele studie met 36 mensen met migraine kreeg na een infuus met pramlintide 88% hoofdpijn en 41% een migraineachtige aanval (Ghanizada 2021, PMID 33772845). Deze studie gebruikte een infuus voor onderzoeksdoeleinden; ze laat echter zien dat amylinereceptoren bij migraine een rol spelen. Voor de nieuwe, langwerkende amylinemiddelen is deze bevinding eveneens relevant.</w:t>
      </w:r>
    </w:p>
    <w:p>
      <w:pPr>
        <w:numPr>
          <w:ilvl w:val="0"/>
          <w:numId w:val="1097"/>
        </w:numPr>
        <w:pStyle w:val="Compact"/>
      </w:pPr>
      <w:r>
        <w:rPr>
          <w:bCs/>
          <w:b/>
        </w:rPr>
        <w:t xml:space="preserve">Interacties:</w:t>
      </w:r>
      <w:r>
        <w:t xml:space="preserve"> </w:t>
      </w:r>
      <w:r>
        <w:t xml:space="preserve">omdat pramlintide de maaglediging vertraagt, kunnen tabletten waarvan een snel intredende werking belangrijk is, vertraagd worden opgenomen (productinformatie).</w:t>
      </w:r>
    </w:p>
    <w:bookmarkEnd w:id="298"/>
    <w:bookmarkStart w:id="299" w:name="juridische-status-11"/>
    <w:p>
      <w:pPr>
        <w:pStyle w:val="Heading3"/>
      </w:pPr>
      <w:r>
        <w:t xml:space="preserve">Juridische status</w:t>
      </w:r>
    </w:p>
    <w:p>
      <w:pPr>
        <w:numPr>
          <w:ilvl w:val="0"/>
          <w:numId w:val="1098"/>
        </w:numPr>
        <w:pStyle w:val="Compact"/>
      </w:pPr>
      <w:r>
        <w:rPr>
          <w:bCs/>
          <w:b/>
        </w:rPr>
        <w:t xml:space="preserve">EU / Oostenrijk / Duitsland:</w:t>
      </w:r>
      <w:r>
        <w:t xml:space="preserve"> </w:t>
      </w:r>
      <w:r>
        <w:t xml:space="preserve">niet geregistreerd. Pramlintide is in Europa alleen via individuele import voor bepaalde patiënten denkbaar en speelt in de praktijk geen rol.</w:t>
      </w:r>
    </w:p>
    <w:p>
      <w:pPr>
        <w:numPr>
          <w:ilvl w:val="0"/>
          <w:numId w:val="1098"/>
        </w:numPr>
        <w:pStyle w:val="Compact"/>
      </w:pPr>
      <w:r>
        <w:rPr>
          <w:bCs/>
          <w:b/>
        </w:rPr>
        <w:t xml:space="preserve">VS:</w:t>
      </w:r>
      <w:r>
        <w:t xml:space="preserve"> </w:t>
      </w:r>
      <w:r>
        <w:t xml:space="preserve">geregistreerd sinds 2005 (Symlin) als aanvulling op maaltijdinsuline bij diabetes type 1 en type 2; alleen op recept. Voor obesitas zonder diabetes is het niet geregistreerd.</w:t>
      </w:r>
    </w:p>
    <w:p>
      <w:pPr>
        <w:numPr>
          <w:ilvl w:val="0"/>
          <w:numId w:val="1098"/>
        </w:numPr>
        <w:pStyle w:val="Compact"/>
      </w:pPr>
      <w:r>
        <w:rPr>
          <w:bCs/>
          <w:b/>
        </w:rPr>
        <w:t xml:space="preserve">Sport:</w:t>
      </w:r>
      <w:r>
        <w:t xml:space="preserve"> </w:t>
      </w:r>
      <w:r>
        <w:t xml:space="preserve">niet vermeld op de WADA-lijst (stand 2026, actuele situatie controleren).</w:t>
      </w:r>
    </w:p>
    <w:bookmarkEnd w:id="299"/>
    <w:bookmarkStart w:id="300" w:name="lopende-studies-en-vooruitzichten-11"/>
    <w:p>
      <w:pPr>
        <w:pStyle w:val="Heading3"/>
      </w:pPr>
      <w:r>
        <w:t xml:space="preserve">Lopende studies en vooruitzichten</w:t>
      </w:r>
    </w:p>
    <w:p>
      <w:pPr>
        <w:pStyle w:val="FirstParagraph"/>
      </w:pPr>
      <w:r>
        <w:rPr>
          <w:bCs/>
          <w:b/>
        </w:rPr>
        <w:t xml:space="preserve">Vaststaand (geregistreerde studies, stand oktober 2026):</w:t>
      </w:r>
      <w:r>
        <w:t xml:space="preserve"> </w:t>
      </w:r>
      <w:r>
        <w:t xml:space="preserve">nieuwe studies met pramlintide zijn overwegend kleine fundamentele studies, bijvoorbeeld naar de rol van amyline bij migraine zonder aura (NCT07340788), bij hoofdpijn na hoofdletsel (NCT07340775) en bij verzadiging (NCT07506369). De auteurs van de pilotstudie naar de pramlintide-insulinepomp kondigen een grotere studie aan (Odabassian 2025, PMID 41174925).</w:t>
      </w:r>
    </w:p>
    <w:p>
      <w:pPr>
        <w:pStyle w:val="BodyText"/>
      </w:pPr>
      <w:r>
        <w:rPr>
          <w:bCs/>
          <w:b/>
        </w:rPr>
        <w:t xml:space="preserve">Inschatting:</w:t>
      </w:r>
      <w:r>
        <w:t xml:space="preserve"> </w:t>
      </w:r>
      <w:r>
        <w:t xml:space="preserve">als geneesmiddel is pramlintide een nicheproduct gebleven – te veel injecties, te veel misselijkheid, te weinig effect op de HbA1c-waarde. Zijn belangrijkste rol zal die van wegbereider zijn: de langwerkende amyline-analogen van de nieuwe generatie (cagrilintide, amycretine, eloralintide en andere) bouwen voort op de ervaringen ermee. In het onderzoek naar systemen met twee hormonen bij diabetes type 1 zou het een kleine rol kunnen behouden.</w:t>
      </w:r>
    </w:p>
    <w:bookmarkEnd w:id="300"/>
    <w:bookmarkStart w:id="301" w:name="conclusie-11"/>
    <w:p>
      <w:pPr>
        <w:pStyle w:val="Heading3"/>
      </w:pPr>
      <w:r>
        <w:t xml:space="preserve">Conclusie</w:t>
      </w:r>
    </w:p>
    <w:p>
      <w:pPr>
        <w:pStyle w:val="FirstParagraph"/>
      </w:pPr>
      <w:r>
        <w:t xml:space="preserve">Pramlintide is het eerste amylinegeneesmiddel en sinds 2005 in de VS, maar niet in de EU, geregistreerd als aanvulling op insuline. In grote studies verlaagde het de HbA1c-waarde slechts met ongeveer 0,3 tot 0,7 procentpunt, maar het voorkwam de voor insuline typische gewichtstoename en vlakte de bloedsuikerpieken na maaltijden af. Misselijkheid komt vaak voor, en in combinatie met insuline bestaat een relevant risico op ernstige hypoglykemieën. Tegenwoordig is pramlintide vooral van belang als voorloper van de nieuwe langwerkende amylinemiddelen.</w:t>
      </w:r>
    </w:p>
    <w:bookmarkEnd w:id="301"/>
    <w:bookmarkEnd w:id="302"/>
    <w:bookmarkStart w:id="316" w:name="setmelanotide"/>
    <w:p>
      <w:pPr>
        <w:pStyle w:val="Heading2"/>
      </w:pPr>
      <w:r>
        <w:t xml:space="preserve">Setmelanotide</w:t>
      </w:r>
    </w:p>
    <w:bookmarkStart w:id="303" w:name="profiel-12"/>
    <w:p>
      <w:pPr>
        <w:pStyle w:val="Heading3"/>
      </w:pPr>
      <w:r>
        <w:t xml:space="preserve">Profiel</w:t>
      </w:r>
    </w:p>
    <w:p>
      <w:pPr>
        <w:numPr>
          <w:ilvl w:val="0"/>
          <w:numId w:val="1099"/>
        </w:numPr>
        <w:pStyle w:val="Compact"/>
      </w:pPr>
      <w:r>
        <w:rPr>
          <w:bCs/>
          <w:b/>
        </w:rPr>
        <w:t xml:space="preserve">Soort/structuur:</w:t>
      </w:r>
      <w:r>
        <w:t xml:space="preserve"> </w:t>
      </w:r>
      <w:r>
        <w:t xml:space="preserve">klein, ringvormig gesloten (cyclisch) synthetisch peptide dat de lichaamseigen boodschapperstof alfa-MSH nabootst. Toediening eenmaal per dag onder de huid. Vroegere ontwikkelingscode RM-493.</w:t>
      </w:r>
    </w:p>
    <w:p>
      <w:pPr>
        <w:numPr>
          <w:ilvl w:val="0"/>
          <w:numId w:val="1099"/>
        </w:numPr>
        <w:pStyle w:val="Compact"/>
      </w:pPr>
      <w:r>
        <w:rPr>
          <w:bCs/>
          <w:b/>
        </w:rPr>
        <w:t xml:space="preserve">Herkomst:</w:t>
      </w:r>
      <w:r>
        <w:t xml:space="preserve"> </w:t>
      </w:r>
      <w:r>
        <w:t xml:space="preserve">ontwikkeld door Rhythm Pharmaceuticals; handelsnaam Imcivree.</w:t>
      </w:r>
    </w:p>
    <w:p>
      <w:pPr>
        <w:numPr>
          <w:ilvl w:val="0"/>
          <w:numId w:val="1099"/>
        </w:numPr>
        <w:pStyle w:val="Compact"/>
      </w:pPr>
      <w:r>
        <w:rPr>
          <w:bCs/>
          <w:b/>
        </w:rPr>
        <w:t xml:space="preserve">Werkingsprincipe:</w:t>
      </w:r>
      <w:r>
        <w:t xml:space="preserve"> </w:t>
      </w:r>
      <w:r>
        <w:t xml:space="preserve">agonist op de melanocortine-4-receptor (MC4R) in de hypothalamus, een centraal schakelpunt voor honger en verzadiging.</w:t>
      </w:r>
    </w:p>
    <w:p>
      <w:pPr>
        <w:numPr>
          <w:ilvl w:val="0"/>
          <w:numId w:val="1099"/>
        </w:numPr>
        <w:pStyle w:val="Compact"/>
      </w:pPr>
      <w:r>
        <w:rPr>
          <w:bCs/>
          <w:b/>
        </w:rPr>
        <w:t xml:space="preserve">Registratie EU:</w:t>
      </w:r>
      <w:r>
        <w:t xml:space="preserve"> </w:t>
      </w:r>
      <w:r>
        <w:t xml:space="preserve">ja (Imcivree) voor obesitas bij genetisch bevestigde POMC-, PCSK1- of leptinereceptordeficiëntie en bij het syndroom van Bardet-Biedl.</w:t>
      </w:r>
    </w:p>
    <w:p>
      <w:pPr>
        <w:numPr>
          <w:ilvl w:val="0"/>
          <w:numId w:val="1099"/>
        </w:numPr>
        <w:pStyle w:val="Compact"/>
      </w:pPr>
      <w:r>
        <w:rPr>
          <w:bCs/>
          <w:b/>
        </w:rPr>
        <w:t xml:space="preserve">Registratie VS:</w:t>
      </w:r>
      <w:r>
        <w:t xml:space="preserve"> </w:t>
      </w:r>
      <w:r>
        <w:t xml:space="preserve">ja (Imcivree), voor het eerst in 2020, voor dezelfde zeldzame genetische vormen (Markham 2021, PMID 33638809).</w:t>
      </w:r>
    </w:p>
    <w:p>
      <w:pPr>
        <w:numPr>
          <w:ilvl w:val="0"/>
          <w:numId w:val="1099"/>
        </w:numPr>
        <w:pStyle w:val="Compact"/>
      </w:pPr>
      <w:r>
        <w:rPr>
          <w:bCs/>
          <w:b/>
        </w:rPr>
        <w:t xml:space="preserve">WADA:</w:t>
      </w:r>
      <w:r>
        <w:t xml:space="preserve"> </w:t>
      </w:r>
      <w:r>
        <w:t xml:space="preserve">niet bij naam vermeld; als geregistreerd geneesmiddel niet onder S0 (stand 2026, actuele situatie controleren).</w:t>
      </w:r>
    </w:p>
    <w:p>
      <w:pPr>
        <w:numPr>
          <w:ilvl w:val="0"/>
          <w:numId w:val="1099"/>
        </w:numPr>
        <w:pStyle w:val="Compact"/>
      </w:pPr>
      <w:r>
        <w:rPr>
          <w:bCs/>
          <w:b/>
        </w:rPr>
        <w:t xml:space="preserve">Bewijsniveau:</w:t>
      </w:r>
      <w:r>
        <w:t xml:space="preserve"> </w:t>
      </w:r>
      <w:r>
        <w:rPr>
          <w:bCs/>
          <w:b/>
        </w:rPr>
        <w:t xml:space="preserve">A</w:t>
      </w:r>
      <w:r>
        <w:t xml:space="preserve"> </w:t>
      </w:r>
      <w:r>
        <w:t xml:space="preserve">– registratie op basis van fase 3-studies; vanwege de zeldzaamheid van de aandoeningen zijn de studies echter klein en deels ongecontroleerd.</w:t>
      </w:r>
    </w:p>
    <w:bookmarkEnd w:id="303"/>
    <w:bookmarkStart w:id="304" w:name="hoe-het-zou-moeten-werken-12"/>
    <w:p>
      <w:pPr>
        <w:pStyle w:val="Heading3"/>
      </w:pPr>
      <w:r>
        <w:t xml:space="preserve">Hoe het zou moeten werken</w:t>
      </w:r>
    </w:p>
    <w:p>
      <w:pPr>
        <w:pStyle w:val="FirstParagraph"/>
      </w:pPr>
      <w:r>
        <w:t xml:space="preserve">Setmelanotide verschilt fundamenteel van alle andere werkzame stoffen in dit deel. Het is geen algemeen afslankmiddel, maar een gerichte behandeling voor mensen bij wie een bepaalde signaalketen in de hersenen defect is.</w:t>
      </w:r>
    </w:p>
    <w:p>
      <w:pPr>
        <w:pStyle w:val="BodyText"/>
      </w:pPr>
      <w:r>
        <w:t xml:space="preserve">Deze keten heet de leptine-melanocortineroute. Vereenvoudigd: het vetweefsel geeft het hormoon leptine af. Leptine werkt in de hypothalamus op zenuwcellen die uit een voorlopermolecuul genaamd POMC de boodschapperstof alfa-MSH maken. Voor die productie is een enzym nodig dat PCSK1 heet. Alfa-MSH activeert ten slotte de MC4-receptor – en het signaal luidt:</w:t>
      </w:r>
      <w:r>
        <w:t xml:space="preserve"> </w:t>
      </w:r>
      <w:r>
        <w:t xml:space="preserve">‘</w:t>
      </w:r>
      <w:r>
        <w:t xml:space="preserve">Genoeg gegeten.</w:t>
      </w:r>
      <w:r>
        <w:t xml:space="preserve">’</w:t>
      </w:r>
    </w:p>
    <w:p>
      <w:pPr>
        <w:pStyle w:val="BodyText"/>
      </w:pPr>
      <w:r>
        <w:t xml:space="preserve">Valt een van deze schakels uit door een aangeboren genverandering, dan ontstaat een kwellende, onstilbare honger (hyperfagie), die al op peuterleeftijd tot ernstige obesitas leidt. Dieet en beweging alleen kunnen daar weinig tegen uitrichten. Setmelanotide grijpt aan het einde van de keten aan en activeert de MC4-receptor rechtstreeks – het overbrugt als het ware de defecte schakels ervoor.</w:t>
      </w:r>
    </w:p>
    <w:p>
      <w:pPr>
        <w:pStyle w:val="BodyText"/>
      </w:pPr>
      <w:r>
        <w:t xml:space="preserve">Setmelanotide werkt bovendien op de nauw verwante melanocortine-1-receptor in de huid. Dat verklaart de meest voorkomende bijwerking: bruining van de huid (zie hieronder) – en het verbindt setmelanotide met de bruiningspeptiden zoals melanotan II en afamelanotide (deel II, groep E).</w:t>
      </w:r>
    </w:p>
    <w:bookmarkEnd w:id="304"/>
    <w:bookmarkStart w:id="310" w:name="studies-bij-mensen-12"/>
    <w:p>
      <w:pPr>
        <w:pStyle w:val="Heading3"/>
      </w:pPr>
      <w:r>
        <w:t xml:space="preserve">Studies bij mensen</w:t>
      </w:r>
    </w:p>
    <w:p>
      <w:pPr>
        <w:pStyle w:val="FirstParagraph"/>
      </w:pPr>
      <w:r>
        <w:rPr>
          <w:bCs/>
          <w:b/>
        </w:rPr>
        <w:t xml:space="preserve">Omvang van het onderzoek:</w:t>
      </w:r>
      <w:r>
        <w:t xml:space="preserve"> </w:t>
      </w:r>
      <w:r>
        <w:t xml:space="preserve">De geautomatiseerde PubMed-zoekopdracht (oktober 2026) leverde 15 studies bij mensen op. Op ClinicalTrials.gov waren 27 studies geregistreerd. Vanwege de zeldzaamheid van de doelaandoeningen omvatten de studies vaak slechts 10 tot 40 deelnemers; de grootste gepubliceerde gerandomiseerde studie (naar hypothalame obesitas) omvatte 120 personen.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Deelnemers en design</w:t>
            </w:r>
          </w:p>
        </w:tc>
        <w:tc>
          <w:tcPr/>
          <w:p>
            <w:pPr>
              <w:pStyle w:val="Compact"/>
              <w:jc w:val="left"/>
            </w:pPr>
            <w:r>
              <w:t xml:space="preserve">Duur</w:t>
            </w:r>
          </w:p>
        </w:tc>
        <w:tc>
          <w:tcPr/>
          <w:p>
            <w:pPr>
              <w:pStyle w:val="Compact"/>
              <w:jc w:val="left"/>
            </w:pPr>
            <w:r>
              <w:t xml:space="preserve">Resultaat</w:t>
            </w:r>
          </w:p>
        </w:tc>
      </w:tr>
      <w:tr>
        <w:tc>
          <w:tcPr/>
          <w:p>
            <w:pPr>
              <w:pStyle w:val="Compact"/>
              <w:jc w:val="left"/>
            </w:pPr>
            <w:r>
              <w:t xml:space="preserve">Kühnen 2016, PMID 27468060</w:t>
            </w:r>
          </w:p>
        </w:tc>
        <w:tc>
          <w:tcPr/>
          <w:p>
            <w:pPr>
              <w:pStyle w:val="Compact"/>
              <w:jc w:val="left"/>
            </w:pPr>
            <w:r>
              <w:t xml:space="preserve">2 personen met POMC-deficiëntie, open-label</w:t>
            </w:r>
          </w:p>
        </w:tc>
        <w:tc>
          <w:tcPr/>
          <w:p>
            <w:pPr>
              <w:pStyle w:val="Compact"/>
              <w:jc w:val="left"/>
            </w:pPr>
            <w:r>
              <w:t xml:space="preserve">12 resp. 42 weken</w:t>
            </w:r>
          </w:p>
        </w:tc>
        <w:tc>
          <w:tcPr/>
          <w:p>
            <w:pPr>
              <w:pStyle w:val="Compact"/>
              <w:jc w:val="left"/>
            </w:pPr>
            <w:r>
              <w:t xml:space="preserve">−20,5 kg resp. −51,0 kg; minder honger</w:t>
            </w:r>
          </w:p>
        </w:tc>
      </w:tr>
      <w:tr>
        <w:tc>
          <w:tcPr/>
          <w:p>
            <w:pPr>
              <w:pStyle w:val="Compact"/>
              <w:jc w:val="left"/>
            </w:pPr>
            <w:r>
              <w:t xml:space="preserve">Clément 2020 (POMC/LEPR), PMID 33137293</w:t>
            </w:r>
          </w:p>
        </w:tc>
        <w:tc>
          <w:tcPr/>
          <w:p>
            <w:pPr>
              <w:pStyle w:val="Compact"/>
              <w:jc w:val="left"/>
            </w:pPr>
            <w:r>
              <w:t xml:space="preserve">10 personen met POMC- en 11 met LEPR-deficiëntie; eenarmig, met stopfase</w:t>
            </w:r>
          </w:p>
        </w:tc>
        <w:tc>
          <w:tcPr/>
          <w:p>
            <w:pPr>
              <w:pStyle w:val="Compact"/>
              <w:jc w:val="left"/>
            </w:pPr>
            <w:r>
              <w:t xml:space="preserve">ongeveer 1 jaar</w:t>
            </w:r>
          </w:p>
        </w:tc>
        <w:tc>
          <w:tcPr/>
          <w:p>
            <w:pPr>
              <w:pStyle w:val="Compact"/>
              <w:jc w:val="left"/>
            </w:pPr>
            <w:r>
              <w:t xml:space="preserve">≥10% gewichtsverlies bij 80% (POMC) resp. 45% (LEPR)</w:t>
            </w:r>
          </w:p>
        </w:tc>
      </w:tr>
      <w:tr>
        <w:tc>
          <w:tcPr/>
          <w:p>
            <w:pPr>
              <w:pStyle w:val="Compact"/>
              <w:jc w:val="left"/>
            </w:pPr>
            <w:r>
              <w:t xml:space="preserve">Haqq 2022 (BBS/Alström), PMID 36356613</w:t>
            </w:r>
          </w:p>
        </w:tc>
        <w:tc>
          <w:tcPr/>
          <w:p>
            <w:pPr>
              <w:pStyle w:val="Compact"/>
              <w:jc w:val="left"/>
            </w:pPr>
            <w:r>
              <w:t xml:space="preserve">38 personen met syndroom van Bardet-Biedl of Alström; 14 weken tegen placebo, daarna open-label</w:t>
            </w:r>
          </w:p>
        </w:tc>
        <w:tc>
          <w:tcPr/>
          <w:p>
            <w:pPr>
              <w:pStyle w:val="Compact"/>
              <w:jc w:val="left"/>
            </w:pPr>
            <w:r>
              <w:t xml:space="preserve">66 weken</w:t>
            </w:r>
          </w:p>
        </w:tc>
        <w:tc>
          <w:tcPr/>
          <w:p>
            <w:pPr>
              <w:pStyle w:val="Compact"/>
              <w:jc w:val="left"/>
            </w:pPr>
            <w:r>
              <w:t xml:space="preserve">≥10% gewichtsverlies bij 32,3% van de BBS-patiënten vanaf 12 jaar</w:t>
            </w:r>
          </w:p>
        </w:tc>
      </w:tr>
      <w:tr>
        <w:tc>
          <w:tcPr/>
          <w:p>
            <w:pPr>
              <w:pStyle w:val="Compact"/>
              <w:jc w:val="left"/>
            </w:pPr>
            <w:r>
              <w:t xml:space="preserve">VENTURE (Argente 2025), PMID 39549719</w:t>
            </w:r>
          </w:p>
        </w:tc>
        <w:tc>
          <w:tcPr/>
          <w:p>
            <w:pPr>
              <w:pStyle w:val="Compact"/>
              <w:jc w:val="left"/>
            </w:pPr>
            <w:r>
              <w:t xml:space="preserve">12 kinderen van 2 tot 5 jaar, open-label</w:t>
            </w:r>
          </w:p>
        </w:tc>
        <w:tc>
          <w:tcPr/>
          <w:p>
            <w:pPr>
              <w:pStyle w:val="Compact"/>
              <w:jc w:val="left"/>
            </w:pPr>
            <w:r>
              <w:t xml:space="preserve">52 weken</w:t>
            </w:r>
          </w:p>
        </w:tc>
        <w:tc>
          <w:tcPr/>
          <w:p>
            <w:pPr>
              <w:pStyle w:val="Compact"/>
              <w:jc w:val="left"/>
            </w:pPr>
            <w:r>
              <w:t xml:space="preserve">BMI gemiddeld −18%</w:t>
            </w:r>
          </w:p>
        </w:tc>
      </w:tr>
      <w:tr>
        <w:tc>
          <w:tcPr/>
          <w:p>
            <w:pPr>
              <w:pStyle w:val="Compact"/>
              <w:jc w:val="left"/>
            </w:pPr>
            <w:r>
              <w:t xml:space="preserve">Roth 2024 (hypothalame obesitas), PMID 38697184</w:t>
            </w:r>
          </w:p>
        </w:tc>
        <w:tc>
          <w:tcPr/>
          <w:p>
            <w:pPr>
              <w:pStyle w:val="Compact"/>
              <w:jc w:val="left"/>
            </w:pPr>
            <w:r>
              <w:t xml:space="preserve">18 personen, open-label</w:t>
            </w:r>
          </w:p>
        </w:tc>
        <w:tc>
          <w:tcPr/>
          <w:p>
            <w:pPr>
              <w:pStyle w:val="Compact"/>
              <w:jc w:val="left"/>
            </w:pPr>
            <w:r>
              <w:t xml:space="preserve">16 weken</w:t>
            </w:r>
          </w:p>
        </w:tc>
        <w:tc>
          <w:tcPr/>
          <w:p>
            <w:pPr>
              <w:pStyle w:val="Compact"/>
              <w:jc w:val="left"/>
            </w:pPr>
            <w:r>
              <w:t xml:space="preserve">BMI gemiddeld −15%</w:t>
            </w:r>
          </w:p>
        </w:tc>
      </w:tr>
      <w:tr>
        <w:tc>
          <w:tcPr/>
          <w:p>
            <w:pPr>
              <w:pStyle w:val="Compact"/>
              <w:jc w:val="left"/>
            </w:pPr>
            <w:r>
              <w:t xml:space="preserve">TRANSCEND (Miller 2026), PMID 42418774</w:t>
            </w:r>
          </w:p>
        </w:tc>
        <w:tc>
          <w:tcPr/>
          <w:p>
            <w:pPr>
              <w:pStyle w:val="Compact"/>
              <w:jc w:val="left"/>
            </w:pPr>
            <w:r>
              <w:t xml:space="preserve">120 personen met verworven hypothalame obesitas, tegen placebo</w:t>
            </w:r>
          </w:p>
        </w:tc>
        <w:tc>
          <w:tcPr/>
          <w:p>
            <w:pPr>
              <w:pStyle w:val="Compact"/>
              <w:jc w:val="left"/>
            </w:pPr>
            <w:r>
              <w:t xml:space="preserve">52 weken</w:t>
            </w:r>
          </w:p>
        </w:tc>
        <w:tc>
          <w:tcPr/>
          <w:p>
            <w:pPr>
              <w:pStyle w:val="Compact"/>
              <w:jc w:val="left"/>
            </w:pPr>
            <w:r>
              <w:t xml:space="preserve">BMI −16,5% vs. +3,3%</w:t>
            </w:r>
          </w:p>
        </w:tc>
      </w:tr>
    </w:tbl>
    <w:bookmarkStart w:id="305" w:name="Xb7395646d0ee5e7b04689efd475b2ed1ab13504"/>
    <w:p>
      <w:pPr>
        <w:pStyle w:val="Heading4"/>
      </w:pPr>
      <w:r>
        <w:t xml:space="preserve">POMC-, PCSK1- en leptinereceptordeficiëntie</w:t>
      </w:r>
    </w:p>
    <w:p>
      <w:pPr>
        <w:pStyle w:val="FirstParagraph"/>
      </w:pPr>
      <w:r>
        <w:t xml:space="preserve">De eerste berichten waren afzonderlijke gevallen: twee patiënten met POMC-deficiëntie verloren in een door artsen geïnitieerde studie 51,0 kg na 42 weken resp. 20,5 kg na 12 weken, en hun honger nam blijvend af (Kühnen 2016, PMID 27468060). Iets vergelijkbaars werd beschreven bij drie personen met leptinereceptordeficiëntie (Clément 2018, PMID 29736023).</w:t>
      </w:r>
    </w:p>
    <w:p>
      <w:pPr>
        <w:pStyle w:val="BodyText"/>
      </w:pPr>
      <w:r>
        <w:t xml:space="preserve">De registratiestudies (Clément 2020, PMID 33137293) waren eenarmig – er was dus geen doorlopende placebogroep –, maar bevatten wel een korte geblindeerde stopfase. Na ongeveer een jaar hadden 8 van de 10 personen met POMC-deficiëntie en 5 van de 11 met leptinereceptordeficiëntie ten minste 10% van hun gewicht verloren. De honger op een schaal van 0 tot 10 nam af met 27,1% resp. 43,7%. Voor zulke zeldzame aandoeningen zijn kleine, ongecontroleerde studies vaak het enige haalbare. Bij een aandoening waarbij zonder behandeling vrijwel geen gewichtsverlies te verwachten is, zijn de resultaten toch zeggingskrachtig.</w:t>
      </w:r>
    </w:p>
    <w:bookmarkEnd w:id="305"/>
    <w:bookmarkStart w:id="306" w:name="syndroom-van-bardet-biedl"/>
    <w:p>
      <w:pPr>
        <w:pStyle w:val="Heading4"/>
      </w:pPr>
      <w:r>
        <w:t xml:space="preserve">Syndroom van Bardet-Biedl</w:t>
      </w:r>
    </w:p>
    <w:p>
      <w:pPr>
        <w:pStyle w:val="FirstParagraph"/>
      </w:pPr>
      <w:r>
        <w:t xml:space="preserve">Het syndroom van Bardet-Biedl (BBS) is een zeldzame erfelijke aandoening waarbij de fijne celuitlopers (cilia) verstoord zijn; naast netvliesschade, nierproblemen en extra vingers of tenen horen sterke honger en obesitas erbij. In de fase 3-studie (Haqq 2022, PMID 36356613) bereikte na 52 weken 32,3% van de personen met BBS vanaf 12 jaar een gewichtsverlies van ten minste 10%. Bij het verwante syndroom van Alström waren de resultaten niet eenduidig. Een vergelijking met een passende controlegroep uit een BBS-register liet zien dat 58,6% van de behandelde tegenover 6,9% van de onbehandelde patiënten het betreffende succescriterium bereikte (Argente 2026, PMID 41703984) – een indirecte, maar nuttige plaatsbepaling.</w:t>
      </w:r>
    </w:p>
    <w:bookmarkEnd w:id="306"/>
    <w:bookmarkStart w:id="307" w:name="jonge-kinderen"/>
    <w:p>
      <w:pPr>
        <w:pStyle w:val="Heading4"/>
      </w:pPr>
      <w:r>
        <w:t xml:space="preserve">Jonge kinderen</w:t>
      </w:r>
    </w:p>
    <w:p>
      <w:pPr>
        <w:pStyle w:val="FirstParagraph"/>
      </w:pPr>
      <w:r>
        <w:t xml:space="preserve">In de open-label VENTURE-studie met 12 kinderen tussen 2 en 5 jaar daalde de BMI na een jaar gemiddeld met 18%: met 26% bij POMC- of leptinereceptordeficiëntie en met 10% bij BBS. 91% van de verzorgers meldde dat de kinderen minder honger hadden (Argente 2025, PMID 39549719).</w:t>
      </w:r>
    </w:p>
    <w:bookmarkEnd w:id="307"/>
    <w:bookmarkStart w:id="308" w:name="hypothalame-obesitas"/>
    <w:p>
      <w:pPr>
        <w:pStyle w:val="Heading4"/>
      </w:pPr>
      <w:r>
        <w:t xml:space="preserve">Hypothalame obesitas</w:t>
      </w:r>
    </w:p>
    <w:p>
      <w:pPr>
        <w:pStyle w:val="FirstParagraph"/>
      </w:pPr>
      <w:r>
        <w:t xml:space="preserve">Een tweede, vaker voorkomende doelgroep zijn mensen bij wie de hypothalamus beschadigd is door een tumor (vaak een craniofaryngeoom), een operatie of bestraling. Zij ontwikkelen vaak een moeilijk te behandelen obesitas. Na een open-label fase 2-studie met 18 personen, waarin de BMI na 16 weken gemiddeld met 15% daalde (Roth 2024, PMID 38697184), volgde de gerandomiseerde fase 3-studie TRANSCEND (Miller 2026, PMID 42418774):</w:t>
      </w:r>
    </w:p>
    <w:p>
      <w:pPr>
        <w:numPr>
          <w:ilvl w:val="0"/>
          <w:numId w:val="1100"/>
        </w:numPr>
        <w:pStyle w:val="Compact"/>
      </w:pPr>
      <w:r>
        <w:t xml:space="preserve">120 personen tussen 4 en 66 jaar, verhouding 2:1 setmelanotide tegenover placebo.</w:t>
      </w:r>
    </w:p>
    <w:p>
      <w:pPr>
        <w:numPr>
          <w:ilvl w:val="0"/>
          <w:numId w:val="1100"/>
        </w:numPr>
        <w:pStyle w:val="Compact"/>
      </w:pPr>
      <w:r>
        <w:t xml:space="preserve">Na 52 weken: BMI −16,5% met setmelanotide, +3,3% met placebo.</w:t>
      </w:r>
    </w:p>
    <w:p>
      <w:pPr>
        <w:numPr>
          <w:ilvl w:val="0"/>
          <w:numId w:val="1100"/>
        </w:numPr>
        <w:pStyle w:val="Compact"/>
      </w:pPr>
      <w:r>
        <w:t xml:space="preserve">Hongerscore: −2,73 tegenover −1,45 punt.</w:t>
      </w:r>
    </w:p>
    <w:p>
      <w:pPr>
        <w:numPr>
          <w:ilvl w:val="0"/>
          <w:numId w:val="1100"/>
        </w:numPr>
        <w:pStyle w:val="Compact"/>
      </w:pPr>
      <w:r>
        <w:t xml:space="preserve">Ernstige ongewenste voorvallen: 28% tegenover 8%.</w:t>
      </w:r>
    </w:p>
    <w:bookmarkEnd w:id="308"/>
    <w:bookmarkStart w:id="309" w:name="vaker-voorkomende-genetische-varianten"/>
    <w:p>
      <w:pPr>
        <w:pStyle w:val="Heading4"/>
      </w:pPr>
      <w:r>
        <w:t xml:space="preserve">Vaker voorkomende genetische varianten</w:t>
      </w:r>
    </w:p>
    <w:p>
      <w:pPr>
        <w:pStyle w:val="FirstParagraph"/>
      </w:pPr>
      <w:r>
        <w:t xml:space="preserve">Minder overtuigend zijn de gegevens bij mensen met slechts één veranderde kopie van het MC4R-gen – een van de meest voorkomende genetische oorzaken van ernstige obesitas. In een kleine studie van 28 dagen verloren zulke personen weliswaar gewicht, maar duidelijk minder dan personen met POMC-defecten (Collet 2017, PMID 29031731). De grotere fase 3-studie EMANATE naar verschillende varianten in de MC4R-route is volgens het register afgerond (NCT05093634); een collegiaal getoetste publicatie lag bij het onderzoek nog niet voor.</w:t>
      </w:r>
    </w:p>
    <w:bookmarkEnd w:id="309"/>
    <w:bookmarkEnd w:id="310"/>
    <w:bookmarkStart w:id="311" w:name="dier--en-laboratoriumstudies-12"/>
    <w:p>
      <w:pPr>
        <w:pStyle w:val="Heading3"/>
      </w:pPr>
      <w:r>
        <w:t xml:space="preserve">Dier- en laboratoriumstudies</w:t>
      </w:r>
    </w:p>
    <w:p>
      <w:pPr>
        <w:pStyle w:val="FirstParagraph"/>
      </w:pPr>
      <w:r>
        <w:t xml:space="preserve">In celexperimenten is setmelanotide op de MC4-receptor duidelijk werkzamer dan het lichaamseigen alfa-MSH en kan het een deel van de defecte receptorvarianten gedeeltelijk weer activeren. Bij normale knaagdieren leidde het tot gewichtsverlies, bij muizen helemaal zonder MC4-receptor daarentegen niet (Collet 2017, PMID 29031731). Dat bevestigt dat de werking daadwerkelijk via deze receptor verloopt.</w:t>
      </w:r>
    </w:p>
    <w:bookmarkEnd w:id="311"/>
    <w:bookmarkStart w:id="312" w:name="risicos-en-bijwerkingen-12"/>
    <w:p>
      <w:pPr>
        <w:pStyle w:val="Heading3"/>
      </w:pPr>
      <w:r>
        <w:t xml:space="preserve">Risico’s en bijwerkingen</w:t>
      </w:r>
    </w:p>
    <w:p>
      <w:pPr>
        <w:pStyle w:val="FirstParagraph"/>
      </w:pPr>
      <w:r>
        <w:rPr>
          <w:bCs/>
          <w:b/>
        </w:rPr>
        <w:t xml:space="preserve">Aangetoond in studies:</w:t>
      </w:r>
    </w:p>
    <w:p>
      <w:pPr>
        <w:numPr>
          <w:ilvl w:val="0"/>
          <w:numId w:val="1101"/>
        </w:numPr>
        <w:pStyle w:val="Compact"/>
      </w:pPr>
      <w:r>
        <w:rPr>
          <w:bCs/>
          <w:b/>
        </w:rPr>
        <w:t xml:space="preserve">Huidreacties op de injectieplaats</w:t>
      </w:r>
      <w:r>
        <w:t xml:space="preserve"> </w:t>
      </w:r>
      <w:r>
        <w:t xml:space="preserve">(roodheid, zwelling): in een meta-analyse van zeven studies met 185 personen bij 96% (Sridharan 2026, PMID 39924461).</w:t>
      </w:r>
    </w:p>
    <w:p>
      <w:pPr>
        <w:numPr>
          <w:ilvl w:val="0"/>
          <w:numId w:val="1101"/>
        </w:numPr>
        <w:pStyle w:val="Compact"/>
      </w:pPr>
      <w:r>
        <w:rPr>
          <w:bCs/>
          <w:b/>
        </w:rPr>
        <w:t xml:space="preserve">Donkerdere huid (hyperpigmentatie):</w:t>
      </w:r>
      <w:r>
        <w:t xml:space="preserve"> </w:t>
      </w:r>
      <w:r>
        <w:t xml:space="preserve">bij 62% in dezelfde meta-analyse. Via de werking op de melanocortine-1-receptor wordt de huid bruiner, lippen en moedervlekken worden donkerder, rood haar kan bruin kleuren. In een observatie van tot 46 maanden stabiliseerde de bruining zich na verloop van tijd; kwaadaardige huidafwijkingen traden niet op (Kanti 2021, PMID 34058738). Deskundigen adviseren regelmatig huidonderzoek.</w:t>
      </w:r>
    </w:p>
    <w:p>
      <w:pPr>
        <w:numPr>
          <w:ilvl w:val="0"/>
          <w:numId w:val="1101"/>
        </w:numPr>
        <w:pStyle w:val="Compact"/>
      </w:pPr>
      <w:r>
        <w:rPr>
          <w:bCs/>
          <w:b/>
        </w:rPr>
        <w:t xml:space="preserve">Misselijkheid en braken:</w:t>
      </w:r>
      <w:r>
        <w:t xml:space="preserve"> </w:t>
      </w:r>
      <w:r>
        <w:t xml:space="preserve">bij 36% resp. 26%; diarree bij 21% (Sridharan 2026, PMID 39924461).</w:t>
      </w:r>
    </w:p>
    <w:p>
      <w:pPr>
        <w:numPr>
          <w:ilvl w:val="0"/>
          <w:numId w:val="1101"/>
        </w:numPr>
        <w:pStyle w:val="Compact"/>
      </w:pPr>
      <w:r>
        <w:rPr>
          <w:bCs/>
          <w:b/>
        </w:rPr>
        <w:t xml:space="preserve">Ernstige ongewenste voorvallen:</w:t>
      </w:r>
      <w:r>
        <w:t xml:space="preserve"> </w:t>
      </w:r>
      <w:r>
        <w:t xml:space="preserve">in TRANSCEND vaker met setmelanotide (28% vs. 8%) (Miller 2026, PMID 42418774); de samenvatting specificeert ze niet afzonderlijk.</w:t>
      </w:r>
    </w:p>
    <w:p>
      <w:pPr>
        <w:numPr>
          <w:ilvl w:val="0"/>
          <w:numId w:val="1101"/>
        </w:numPr>
        <w:pStyle w:val="Compact"/>
      </w:pPr>
      <w:r>
        <w:t xml:space="preserve">In de BBS-studie werden als ernstige voorvallen onder meer suïcidale gedachten gemeld, die niet als behandelingsgerelateerd werden beoordeeld (Haqq 2022, PMID 36356613). De productinformatie bevat waarschuwingen over depressie en suïcidale gedachten en over spontane erecties bij mannen.</w:t>
      </w:r>
    </w:p>
    <w:p>
      <w:pPr>
        <w:pStyle w:val="FirstParagraph"/>
      </w:pPr>
      <w:r>
        <w:rPr>
          <w:bCs/>
          <w:b/>
        </w:rPr>
        <w:t xml:space="preserve">Theoretisch:</w:t>
      </w:r>
      <w:r>
        <w:t xml:space="preserve"> </w:t>
      </w:r>
      <w:r>
        <w:t xml:space="preserve">of de aanhoudende stimulatie van de pigmentcellen op lange termijn het risico op huidkanker beïnvloedt, is niet opgehelderd; observaties over enkele jaren tonen tot nu toe geen signaal.</w:t>
      </w:r>
    </w:p>
    <w:p>
      <w:pPr>
        <w:pStyle w:val="BodyText"/>
      </w:pPr>
      <w:r>
        <w:rPr>
          <w:bCs/>
          <w:b/>
        </w:rPr>
        <w:t xml:space="preserve">Misbruikpotentieel:</w:t>
      </w:r>
      <w:r>
        <w:t xml:space="preserve"> </w:t>
      </w:r>
      <w:r>
        <w:t xml:space="preserve">vanwege het bruinende effect wordt setmelanotide op internetfora af en toe in verband gebracht met melanotan II. Voor mensen zonder aangetoond genetisch defect is het geen geschikt afslankmiddel en daarvoor ook niet onderzocht.</w:t>
      </w:r>
    </w:p>
    <w:bookmarkEnd w:id="312"/>
    <w:bookmarkStart w:id="313" w:name="juridische-status-12"/>
    <w:p>
      <w:pPr>
        <w:pStyle w:val="Heading3"/>
      </w:pPr>
      <w:r>
        <w:t xml:space="preserve">Juridische status</w:t>
      </w:r>
    </w:p>
    <w:p>
      <w:pPr>
        <w:numPr>
          <w:ilvl w:val="0"/>
          <w:numId w:val="1102"/>
        </w:numPr>
        <w:pStyle w:val="Compact"/>
      </w:pPr>
      <w:r>
        <w:rPr>
          <w:bCs/>
          <w:b/>
        </w:rPr>
        <w:t xml:space="preserve">EU / Oostenrijk / Duitsland:</w:t>
      </w:r>
      <w:r>
        <w:t xml:space="preserve"> </w:t>
      </w:r>
      <w:r>
        <w:t xml:space="preserve">geregistreerd (Imcivree), alleen op recept, uitsluitend voor genetisch bevestigde vormen (POMC-, PCSK1-, leptinereceptordeficiëntie, syndroom van Bardet-Biedl). De diagnose vereist genetisch onderzoek; het starten en bewaken van de behandeling hoort thuis in gespecialiseerde centra. Details over uitbreiding naar hypothalame obesitas: stand 2026, actuele situatie controleren.</w:t>
      </w:r>
    </w:p>
    <w:p>
      <w:pPr>
        <w:numPr>
          <w:ilvl w:val="0"/>
          <w:numId w:val="1102"/>
        </w:numPr>
        <w:pStyle w:val="Compact"/>
      </w:pPr>
      <w:r>
        <w:rPr>
          <w:bCs/>
          <w:b/>
        </w:rPr>
        <w:t xml:space="preserve">VS:</w:t>
      </w:r>
      <w:r>
        <w:t xml:space="preserve"> </w:t>
      </w:r>
      <w:r>
        <w:t xml:space="preserve">geregistreerd sinds 2020 (POMC, PCSK1, LEPR), later uitgebreid naar het syndroom van Bardet-Biedl en naar jongere kinderen; een aanvraag voor hypothalame obesitas is op basis van TRANSCEND ingediend (stand 2026, actuele situatie controleren).</w:t>
      </w:r>
    </w:p>
    <w:p>
      <w:pPr>
        <w:numPr>
          <w:ilvl w:val="0"/>
          <w:numId w:val="1102"/>
        </w:numPr>
        <w:pStyle w:val="Compact"/>
      </w:pPr>
      <w:r>
        <w:rPr>
          <w:bCs/>
          <w:b/>
        </w:rPr>
        <w:t xml:space="preserve">Sport:</w:t>
      </w:r>
      <w:r>
        <w:t xml:space="preserve"> </w:t>
      </w:r>
      <w:r>
        <w:t xml:space="preserve">niet vermeld op de WADA-lijst (stand 2026, actuele situatie controleren).</w:t>
      </w:r>
    </w:p>
    <w:bookmarkEnd w:id="313"/>
    <w:bookmarkStart w:id="314" w:name="lopende-studies-en-vooruitzichten-12"/>
    <w:p>
      <w:pPr>
        <w:pStyle w:val="Heading3"/>
      </w:pPr>
      <w:r>
        <w:t xml:space="preserve">Lopende studies en vooruitzichten</w:t>
      </w:r>
    </w:p>
    <w:p>
      <w:pPr>
        <w:pStyle w:val="FirstParagraph"/>
      </w:pPr>
      <w:r>
        <w:rPr>
          <w:bCs/>
          <w:b/>
        </w:rPr>
        <w:t xml:space="preserve">Vaststaand (geregistreerde studies, stand oktober 2026):</w:t>
      </w:r>
    </w:p>
    <w:p>
      <w:pPr>
        <w:numPr>
          <w:ilvl w:val="0"/>
          <w:numId w:val="1103"/>
        </w:numPr>
        <w:pStyle w:val="Compact"/>
      </w:pPr>
      <w:r>
        <w:rPr>
          <w:bCs/>
          <w:b/>
        </w:rPr>
        <w:t xml:space="preserve">TRANSCEND</w:t>
      </w:r>
      <w:r>
        <w:t xml:space="preserve"> </w:t>
      </w:r>
      <w:r>
        <w:t xml:space="preserve">(NCT05774756) loopt door in een verlenging; een deelstudie onderzoekt aangeboren hypothalame obesitas (NCT06760546).</w:t>
      </w:r>
    </w:p>
    <w:p>
      <w:pPr>
        <w:numPr>
          <w:ilvl w:val="0"/>
          <w:numId w:val="1103"/>
        </w:numPr>
        <w:pStyle w:val="Compact"/>
      </w:pPr>
      <w:r>
        <w:rPr>
          <w:bCs/>
          <w:b/>
        </w:rPr>
        <w:t xml:space="preserve">Syndroom van Prader-Willi</w:t>
      </w:r>
      <w:r>
        <w:t xml:space="preserve"> </w:t>
      </w:r>
      <w:r>
        <w:t xml:space="preserve">(NCT06772597): fase 2 met 18 deelnemers.</w:t>
      </w:r>
    </w:p>
    <w:p>
      <w:pPr>
        <w:numPr>
          <w:ilvl w:val="0"/>
          <w:numId w:val="1103"/>
        </w:numPr>
        <w:pStyle w:val="Compact"/>
      </w:pPr>
      <w:r>
        <w:rPr>
          <w:bCs/>
          <w:b/>
        </w:rPr>
        <w:t xml:space="preserve">Langetermijnobservatie</w:t>
      </w:r>
      <w:r>
        <w:t xml:space="preserve"> </w:t>
      </w:r>
      <w:r>
        <w:t xml:space="preserve">bij BBS en ernstige genetische obesitas in de praktijk (NCT07674290).</w:t>
      </w:r>
    </w:p>
    <w:p>
      <w:pPr>
        <w:numPr>
          <w:ilvl w:val="0"/>
          <w:numId w:val="1103"/>
        </w:numPr>
        <w:pStyle w:val="Compact"/>
      </w:pPr>
      <w:r>
        <w:rPr>
          <w:bCs/>
          <w:b/>
        </w:rPr>
        <w:t xml:space="preserve">EMANATE</w:t>
      </w:r>
      <w:r>
        <w:t xml:space="preserve"> </w:t>
      </w:r>
      <w:r>
        <w:t xml:space="preserve">(NCT05093634) en</w:t>
      </w:r>
      <w:r>
        <w:t xml:space="preserve"> </w:t>
      </w:r>
      <w:r>
        <w:rPr>
          <w:bCs/>
          <w:b/>
        </w:rPr>
        <w:t xml:space="preserve">DAYBREAK</w:t>
      </w:r>
      <w:r>
        <w:t xml:space="preserve"> </w:t>
      </w:r>
      <w:r>
        <w:t xml:space="preserve">(NCT04963231) naar verdere genvarianten: afgerond, publicatie volgt nog.</w:t>
      </w:r>
    </w:p>
    <w:p>
      <w:pPr>
        <w:pStyle w:val="FirstParagraph"/>
      </w:pPr>
      <w:r>
        <w:rPr>
          <w:bCs/>
          <w:b/>
        </w:rPr>
        <w:t xml:space="preserve">Inschatting:</w:t>
      </w:r>
      <w:r>
        <w:t xml:space="preserve"> </w:t>
      </w:r>
      <w:r>
        <w:t xml:space="preserve">setmelanotide heeft laten zien dat precisiegeneeskunde bij obesitas mogelijk is: wie de oorzaak kent, kan gericht behandelen. De doelgroep blijft klein; met hypothalame obesitas zou die echter aanzienlijk kunnen groeien. Voor de grote meerderheid van de mensen met obesitas, bij wie geen dergelijk gendefect aanwezig is, zijn op GLP-1 gebaseerde geneesmiddelen werkzamer en beter onderzocht.</w:t>
      </w:r>
    </w:p>
    <w:bookmarkEnd w:id="314"/>
    <w:bookmarkStart w:id="315" w:name="conclusie-12"/>
    <w:p>
      <w:pPr>
        <w:pStyle w:val="Heading3"/>
      </w:pPr>
      <w:r>
        <w:t xml:space="preserve">Conclusie</w:t>
      </w:r>
    </w:p>
    <w:p>
      <w:pPr>
        <w:pStyle w:val="FirstParagraph"/>
      </w:pPr>
      <w:r>
        <w:t xml:space="preserve">Setmelanotide is een klein cyclisch peptide dat de MC4-receptor in de hersenen activeert en zo defecte schakels van de leptine-melanocortineroute overbrugt. In kleine registratiestudies verloor 80% van de mensen met POMC-deficiëntie en 45% met leptinereceptordeficiëntie ten minste 10% van hun gewicht; bij hypothalame obesitas daalde de BMI na een jaar met 16,5% tegenover een stijging bij placebo. Vrijwel alle behandelden krijgen huidreacties op de injectieplaats, de meerderheid een donkerdere huid. Setmelanotide is in de EU en de VS geregistreerd voor zeldzame genetische vormen van obesitas en is geen geneesmiddel voor algemeen gewichtsverlies.</w:t>
      </w:r>
    </w:p>
    <w:bookmarkEnd w:id="315"/>
    <w:bookmarkEnd w:id="316"/>
    <w:bookmarkStart w:id="325" w:name="aod-9604"/>
    <w:p>
      <w:pPr>
        <w:pStyle w:val="Heading2"/>
      </w:pPr>
      <w:r>
        <w:t xml:space="preserve">AOD-9604</w:t>
      </w:r>
    </w:p>
    <w:bookmarkStart w:id="317" w:name="profiel-13"/>
    <w:p>
      <w:pPr>
        <w:pStyle w:val="Heading3"/>
      </w:pPr>
      <w:r>
        <w:t xml:space="preserve">Profiel</w:t>
      </w:r>
    </w:p>
    <w:p>
      <w:pPr>
        <w:numPr>
          <w:ilvl w:val="0"/>
          <w:numId w:val="1104"/>
        </w:numPr>
        <w:pStyle w:val="Compact"/>
      </w:pPr>
      <w:r>
        <w:rPr>
          <w:bCs/>
          <w:b/>
        </w:rPr>
        <w:t xml:space="preserve">Soort/structuur:</w:t>
      </w:r>
      <w:r>
        <w:t xml:space="preserve"> </w:t>
      </w:r>
      <w:r>
        <w:t xml:space="preserve">synthetisch peptide afkomstig van het achterste uiteinde (C-terminus) van het menselijk groeihormoon: de aminozuren 177 tot 191, aangevuld met een extra tyrosine aan het begin (Cox 2015, PMID 25208511). Op internet vaak aangeboden onder benamingen als</w:t>
      </w:r>
      <w:r>
        <w:t xml:space="preserve"> </w:t>
      </w:r>
      <w:r>
        <w:t xml:space="preserve">‘</w:t>
      </w:r>
      <w:r>
        <w:t xml:space="preserve">hGH Fragment 176-191</w:t>
      </w:r>
      <w:r>
        <w:t xml:space="preserve">’</w:t>
      </w:r>
      <w:r>
        <w:t xml:space="preserve"> </w:t>
      </w:r>
      <w:r>
        <w:t xml:space="preserve">of</w:t>
      </w:r>
      <w:r>
        <w:t xml:space="preserve"> </w:t>
      </w:r>
      <w:r>
        <w:t xml:space="preserve">‘</w:t>
      </w:r>
      <w:r>
        <w:t xml:space="preserve">Frag 176-191</w:t>
      </w:r>
      <w:r>
        <w:t xml:space="preserve">’</w:t>
      </w:r>
      <w:r>
        <w:t xml:space="preserve">. De naam staat voor</w:t>
      </w:r>
      <w:r>
        <w:t xml:space="preserve"> </w:t>
      </w:r>
      <w:r>
        <w:t xml:space="preserve">‘</w:t>
      </w:r>
      <w:r>
        <w:t xml:space="preserve">Anti-Obesity Drug 9604</w:t>
      </w:r>
      <w:r>
        <w:t xml:space="preserve">’</w:t>
      </w:r>
      <w:r>
        <w:t xml:space="preserve">.</w:t>
      </w:r>
    </w:p>
    <w:p>
      <w:pPr>
        <w:numPr>
          <w:ilvl w:val="0"/>
          <w:numId w:val="1104"/>
        </w:numPr>
        <w:pStyle w:val="Compact"/>
      </w:pPr>
      <w:r>
        <w:rPr>
          <w:bCs/>
          <w:b/>
        </w:rPr>
        <w:t xml:space="preserve">Herkomst:</w:t>
      </w:r>
      <w:r>
        <w:t xml:space="preserve"> </w:t>
      </w:r>
      <w:r>
        <w:t xml:space="preserve">in de jaren negentig ontwikkeld aan de Monash University in Melbourne en door het Australische bedrijf Metabolic Pharmaceuticals als afslankmiddel nagestreefd.</w:t>
      </w:r>
    </w:p>
    <w:p>
      <w:pPr>
        <w:numPr>
          <w:ilvl w:val="0"/>
          <w:numId w:val="1104"/>
        </w:numPr>
        <w:pStyle w:val="Compact"/>
      </w:pPr>
      <w:r>
        <w:rPr>
          <w:bCs/>
          <w:b/>
        </w:rPr>
        <w:t xml:space="preserve">Werkingsprincipe (hypothese):</w:t>
      </w:r>
      <w:r>
        <w:t xml:space="preserve"> </w:t>
      </w:r>
      <w:r>
        <w:t xml:space="preserve">zou de vetafbrekende werking van groeihormoon nabootsen, zonder het effect daarvan op bloedsuiker en groei.</w:t>
      </w:r>
    </w:p>
    <w:p>
      <w:pPr>
        <w:numPr>
          <w:ilvl w:val="0"/>
          <w:numId w:val="1104"/>
        </w:numPr>
        <w:pStyle w:val="Compact"/>
      </w:pPr>
      <w:r>
        <w:rPr>
          <w:bCs/>
          <w:b/>
        </w:rPr>
        <w:t xml:space="preserve">Registratie EU / VS:</w:t>
      </w:r>
      <w:r>
        <w:t xml:space="preserve"> </w:t>
      </w:r>
      <w:r>
        <w:t xml:space="preserve">nee. De ontwikkeling als geneesmiddel werd na fase 2-studies stopgezet.</w:t>
      </w:r>
    </w:p>
    <w:p>
      <w:pPr>
        <w:numPr>
          <w:ilvl w:val="0"/>
          <w:numId w:val="1104"/>
        </w:numPr>
        <w:pStyle w:val="Compact"/>
      </w:pPr>
      <w:r>
        <w:rPr>
          <w:bCs/>
          <w:b/>
        </w:rPr>
        <w:t xml:space="preserve">WADA:</w:t>
      </w:r>
      <w:r>
        <w:t xml:space="preserve"> </w:t>
      </w:r>
      <w:r>
        <w:t xml:space="preserve">verboden – groeihormoonfragmenten zoals AOD-9604 worden op de verboden lijst in klasse S2 uitdrukkelijk genoemd (stand 2026, actuele situatie controleren).</w:t>
      </w:r>
    </w:p>
    <w:p>
      <w:pPr>
        <w:numPr>
          <w:ilvl w:val="0"/>
          <w:numId w:val="1104"/>
        </w:numPr>
        <w:pStyle w:val="Compact"/>
      </w:pPr>
      <w:r>
        <w:rPr>
          <w:bCs/>
          <w:b/>
        </w:rPr>
        <w:t xml:space="preserve">Bewijsniveau:</w:t>
      </w:r>
      <w:r>
        <w:t xml:space="preserve"> </w:t>
      </w:r>
      <w:r>
        <w:rPr>
          <w:bCs/>
          <w:b/>
        </w:rPr>
        <w:t xml:space="preserve">D</w:t>
      </w:r>
      <w:r>
        <w:t xml:space="preserve"> </w:t>
      </w:r>
      <w:r>
        <w:t xml:space="preserve">– geen in PubMed vindbare gepubliceerde resultaten van studies bij mensen; gegevens uit dier- en laboratoriumstudies.</w:t>
      </w:r>
    </w:p>
    <w:bookmarkEnd w:id="317"/>
    <w:bookmarkStart w:id="318" w:name="hoe-het-zou-moeten-werken-13"/>
    <w:p>
      <w:pPr>
        <w:pStyle w:val="Heading3"/>
      </w:pPr>
      <w:r>
        <w:t xml:space="preserve">Hoe het zou moeten werken</w:t>
      </w:r>
    </w:p>
    <w:p>
      <w:pPr>
        <w:pStyle w:val="FirstParagraph"/>
      </w:pPr>
      <w:r>
        <w:t xml:space="preserve">Groeihormoon (hGH) heeft veel effecten: het bevordert de lengtegroei, werkt op spieren en botten, stimuleert de vetverbranding – en verhoogt de bloedsuiker door de werking van insuline af te zwakken. Al in de jaren zeventig en tachtig onderzochten wetenschappers bij dieren of afzonderlijke delen van het hormoon verschillende deelwerkingen dragen. Opmerkelijk: in een studie bij ratten veroorzaakten chemisch veranderde versies van juist dit deel (aminozuren 177 tot 191) een verhoogde bloedsuiker en insulineresistentie (Wade 1982, PMID 6751009) – dus precies het effect dat AOD-9604 later moest vermijden. De resultaten hangen kennelijk sterk af van de precieze chemische vorm van het peptide.</w:t>
      </w:r>
    </w:p>
    <w:p>
      <w:pPr>
        <w:pStyle w:val="BodyText"/>
      </w:pPr>
      <w:r>
        <w:t xml:space="preserve">Het idee achter AOD-9604: een kort stuk van het uiteinde van het hormoon zou alleen de vetafbrekende werking behouden. Laboratoriumonderzoek liet zien dat AOD-9604 niet aan de groeihormoonreceptor bindt en daar ook geen celdeling stimuleert (Heffernan 2001, PMID 11673763). Het zou dus geen</w:t>
      </w:r>
      <w:r>
        <w:t xml:space="preserve"> </w:t>
      </w:r>
      <w:r>
        <w:t xml:space="preserve">‘</w:t>
      </w:r>
      <w:r>
        <w:t xml:space="preserve">klein groeihormoon</w:t>
      </w:r>
      <w:r>
        <w:t xml:space="preserve">’</w:t>
      </w:r>
      <w:r>
        <w:t xml:space="preserve"> </w:t>
      </w:r>
      <w:r>
        <w:t xml:space="preserve">zijn, maar een molecuul met een eigen, nog niet volledig begrepen werkingsmechanisme. In experimenten bij muizen zonder bèta-3-adrenoceptor (een belangrijke receptor voor vetafbraak) bleef het gewichtsverlagende langetermijneffect uit; de auteurs concludeerden daaruit dat de receptor betrokken is, maar niet het directe aangrijpingspunt is (Heffernan 2001, PMID 11713213).</w:t>
      </w:r>
    </w:p>
    <w:bookmarkEnd w:id="318"/>
    <w:bookmarkStart w:id="319" w:name="studies-bij-mensen-13"/>
    <w:p>
      <w:pPr>
        <w:pStyle w:val="Heading3"/>
      </w:pPr>
      <w:r>
        <w:t xml:space="preserve">Studies bij mensen</w:t>
      </w:r>
    </w:p>
    <w:p>
      <w:pPr>
        <w:pStyle w:val="FirstParagraph"/>
      </w:pPr>
      <w:r>
        <w:rPr>
          <w:bCs/>
          <w:b/>
        </w:rPr>
        <w:t xml:space="preserve">Omvang van het onderzoek:</w:t>
      </w:r>
      <w:r>
        <w:t xml:space="preserve"> </w:t>
      </w:r>
      <w:r>
        <w:t xml:space="preserve">De geautomatiseerde PubMed-zoekopdracht (oktober 2026) leverde</w:t>
      </w:r>
      <w:r>
        <w:t xml:space="preserve"> </w:t>
      </w:r>
      <w:r>
        <w:rPr>
          <w:bCs/>
          <w:b/>
        </w:rPr>
        <w:t xml:space="preserve">geen</w:t>
      </w:r>
      <w:r>
        <w:t xml:space="preserve"> </w:t>
      </w:r>
      <w:r>
        <w:t xml:space="preserve">gepubliceerde studie bij mensen op. Op ClinicalTrials.gov is onder</w:t>
      </w:r>
      <w:r>
        <w:t xml:space="preserve"> </w:t>
      </w:r>
      <w:r>
        <w:t xml:space="preserve">‘</w:t>
      </w:r>
      <w:r>
        <w:t xml:space="preserve">AOD9604</w:t>
      </w:r>
      <w:r>
        <w:t xml:space="preserve">’</w:t>
      </w:r>
      <w:r>
        <w:t xml:space="preserve"> </w:t>
      </w:r>
      <w:r>
        <w:t xml:space="preserve">resp.</w:t>
      </w:r>
      <w:r>
        <w:t xml:space="preserve"> </w:t>
      </w:r>
      <w:r>
        <w:t xml:space="preserve">‘</w:t>
      </w:r>
      <w:r>
        <w:t xml:space="preserve">AOD-9604</w:t>
      </w:r>
      <w:r>
        <w:t xml:space="preserve">’</w:t>
      </w:r>
      <w:r>
        <w:t xml:space="preserve"> </w:t>
      </w:r>
      <w:r>
        <w:t xml:space="preserve">geen studie geregistreerd.</w:t>
      </w:r>
    </w:p>
    <w:p>
      <w:pPr>
        <w:pStyle w:val="BodyText"/>
      </w:pPr>
      <w:r>
        <w:t xml:space="preserve">Dat betekent niet dat AOD-9604 nooit bij mensen is getest. Overzichtsartikelen uit de jaren 2004 tot 2006 melden dat AOD-9604 zich in fase 2-studies voor de behandeling van obesitas bevond (Wilding 2004, PMID 15134286; Halford 2006, PMID 16625817). De resultaten van deze studies zijn echter niet gepubliceerd in een collegiaal getoetst, in PubMed opgenomen vaktijdschrift. Volgens openbaar toegankelijke informatie stopte de ontwikkelaar het afslankprogramma in de tweede helft van de jaren 2000, omdat er geen voldoende effect werd gevonden. Omdat deze gegevens niet uit een controleerbare studiepublicatie komen, noemt dit boek daarover geen cijfers.</w:t>
      </w:r>
    </w:p>
    <w:p>
      <w:pPr>
        <w:pStyle w:val="BodyText"/>
      </w:pPr>
      <w:r>
        <w:t xml:space="preserve">Voor lezers betekent dit: wie vandaag AOD-9604 aangeboden krijgt als afslank- of</w:t>
      </w:r>
      <w:r>
        <w:t xml:space="preserve"> </w:t>
      </w:r>
      <w:r>
        <w:t xml:space="preserve">‘</w:t>
      </w:r>
      <w:r>
        <w:t xml:space="preserve">fatburner</w:t>
      </w:r>
      <w:r>
        <w:t xml:space="preserve">’</w:t>
      </w:r>
      <w:r>
        <w:t xml:space="preserve">-peptide, kan zich op geen enkele gepubliceerde studie bij mensen beroepen die een effect aantoont.</w:t>
      </w:r>
    </w:p>
    <w:bookmarkEnd w:id="319"/>
    <w:bookmarkStart w:id="320" w:name="dier--en-laboratoriumstudies-13"/>
    <w:p>
      <w:pPr>
        <w:pStyle w:val="Heading3"/>
      </w:pPr>
      <w:r>
        <w:t xml:space="preserve">Dier- en laboratoriumstudies</w:t>
      </w:r>
    </w:p>
    <w:p>
      <w:pPr>
        <w:pStyle w:val="FirstParagraph"/>
      </w:pPr>
      <w:r>
        <w:t xml:space="preserve">Alle volgende resultaten komen uit dierproeven of laboratoriumonderzoek:</w:t>
      </w:r>
    </w:p>
    <w:p>
      <w:pPr>
        <w:numPr>
          <w:ilvl w:val="0"/>
          <w:numId w:val="1105"/>
        </w:numPr>
        <w:pStyle w:val="Compact"/>
      </w:pPr>
      <w:r>
        <w:rPr>
          <w:bCs/>
          <w:b/>
        </w:rPr>
        <w:t xml:space="preserve">Bij ratten met overgewicht</w:t>
      </w:r>
      <w:r>
        <w:t xml:space="preserve"> </w:t>
      </w:r>
      <w:r>
        <w:t xml:space="preserve">(Zucker-ratten) verminderde AOD-9604, gedurende 19 dagen via het voer gegeven, de gewichtstoename met meer dan de helft; het vetweefsel vertoonde een hogere vetafbraakactiviteit. Anders dan bij volledig groeihormoon verslechterde de insulinegevoeligheid niet (Ng 2000, PMID 11146367).</w:t>
      </w:r>
    </w:p>
    <w:p>
      <w:pPr>
        <w:numPr>
          <w:ilvl w:val="0"/>
          <w:numId w:val="1105"/>
        </w:numPr>
        <w:pStyle w:val="Compact"/>
      </w:pPr>
      <w:r>
        <w:rPr>
          <w:bCs/>
          <w:b/>
        </w:rPr>
        <w:t xml:space="preserve">Bij muizen met overgewicht</w:t>
      </w:r>
      <w:r>
        <w:t xml:space="preserve"> </w:t>
      </w:r>
      <w:r>
        <w:t xml:space="preserve">verminderden zowel groeihormoon als AOD-9604 gedurende 14 dagen de gewichtstoename en verhoogden ze de vetverbranding. In tegenstelling tot groeihormoon veroorzaakte AOD-9604 geen verhoogde bloedsuiker (Heffernan 2001, PMID 11673763).</w:t>
      </w:r>
    </w:p>
    <w:p>
      <w:pPr>
        <w:numPr>
          <w:ilvl w:val="0"/>
          <w:numId w:val="1105"/>
        </w:numPr>
        <w:pStyle w:val="Compact"/>
      </w:pPr>
      <w:r>
        <w:rPr>
          <w:bCs/>
          <w:b/>
        </w:rPr>
        <w:t xml:space="preserve">Ouder voorbereidend werk</w:t>
      </w:r>
      <w:r>
        <w:t xml:space="preserve"> </w:t>
      </w:r>
      <w:r>
        <w:t xml:space="preserve">bij muizen met het verwante peptide hGH 177–191 liet een kleinere toename van lichaamsgewicht en vetweefsel zien (Natera 1994, PMID 7987248).</w:t>
      </w:r>
    </w:p>
    <w:p>
      <w:pPr>
        <w:numPr>
          <w:ilvl w:val="0"/>
          <w:numId w:val="1105"/>
        </w:numPr>
        <w:pStyle w:val="Compact"/>
      </w:pPr>
      <w:r>
        <w:rPr>
          <w:bCs/>
          <w:b/>
        </w:rPr>
        <w:t xml:space="preserve">Bij konijnen</w:t>
      </w:r>
      <w:r>
        <w:t xml:space="preserve"> </w:t>
      </w:r>
      <w:r>
        <w:t xml:space="preserve">met kunstmatig opgewekte knieartrose verbeterden injecties van AOD-9604 in het gewricht – alleen of samen met hyaluronzuur – de toestand van het kraakbeen (Kwon 2015, PMID 26275694). Deze bevinding wordt op internet vaak aangevoerd als bewijs voor een</w:t>
      </w:r>
      <w:r>
        <w:t xml:space="preserve"> </w:t>
      </w:r>
      <w:r>
        <w:t xml:space="preserve">‘</w:t>
      </w:r>
      <w:r>
        <w:t xml:space="preserve">gewrichtsregenererende</w:t>
      </w:r>
      <w:r>
        <w:t xml:space="preserve">’</w:t>
      </w:r>
      <w:r>
        <w:t xml:space="preserve"> </w:t>
      </w:r>
      <w:r>
        <w:t xml:space="preserve">werking bij de mens; een dergelijke studie bij mensen bestaat niet.</w:t>
      </w:r>
    </w:p>
    <w:p>
      <w:pPr>
        <w:pStyle w:val="FirstParagraph"/>
      </w:pPr>
      <w:r>
        <w:t xml:space="preserve">De dierstudies zijn klein, deels ouder en overwegend afkomstig uit de kring van de ontwikkelaars.</w:t>
      </w:r>
    </w:p>
    <w:bookmarkEnd w:id="320"/>
    <w:bookmarkStart w:id="321" w:name="risicos-en-bijwerkingen-13"/>
    <w:p>
      <w:pPr>
        <w:pStyle w:val="Heading3"/>
      </w:pPr>
      <w:r>
        <w:t xml:space="preserve">Risico’s en bijwerkingen</w:t>
      </w:r>
    </w:p>
    <w:p>
      <w:pPr>
        <w:pStyle w:val="FirstParagraph"/>
      </w:pPr>
      <w:r>
        <w:rPr>
          <w:bCs/>
          <w:b/>
        </w:rPr>
        <w:t xml:space="preserve">Aangetoond:</w:t>
      </w:r>
      <w:r>
        <w:t xml:space="preserve"> </w:t>
      </w:r>
      <w:r>
        <w:t xml:space="preserve">bij gebrek aan gepubliceerde studies bij mensen zijn er geen betrouwbare gegevens over bijwerkingen bij de mens.</w:t>
      </w:r>
    </w:p>
    <w:p>
      <w:pPr>
        <w:pStyle w:val="BodyText"/>
      </w:pPr>
      <w:r>
        <w:rPr>
          <w:bCs/>
          <w:b/>
        </w:rPr>
        <w:t xml:space="preserve">Uit analyses van producten van de grijze markt en de dopingcontrole:</w:t>
      </w:r>
    </w:p>
    <w:p>
      <w:pPr>
        <w:numPr>
          <w:ilvl w:val="0"/>
          <w:numId w:val="1106"/>
        </w:numPr>
        <w:pStyle w:val="Compact"/>
      </w:pPr>
      <w:r>
        <w:t xml:space="preserve">AOD-9604 wordt al jaren via websites aangeboden en is aangetroffen in in beslag genomen flesjes, onder meer in de VS (Cox 2015, PMID 25208511) en in België, waar autoriteiten onbekende peptidepreparaten onderzochten (Vanhee 2014, PMID 24976118).</w:t>
      </w:r>
    </w:p>
    <w:p>
      <w:pPr>
        <w:numPr>
          <w:ilvl w:val="0"/>
          <w:numId w:val="1106"/>
        </w:numPr>
        <w:pStyle w:val="Compact"/>
      </w:pPr>
      <w:r>
        <w:t xml:space="preserve">Overzichtsartikelen over peptiden in de sport en op de grijze markt benadrukken dat er voor AOD-9604 en vergelijkbare stoffen nauwelijks betrouwbare veiligheidsgegevens bij mensen zijn en dat samenstelling, dosis en zuiverheid van de producten onzeker zijn (Mendias 2026, PMID 41966639; Dominikowski 2026, PMID 42395176). Een ander overzicht wijst op verkeerd gedeclareerde of verontreinigde producten in de ongereguleerde handel (Coutinho 2026, PMID 41880199).</w:t>
      </w:r>
    </w:p>
    <w:p>
      <w:pPr>
        <w:pStyle w:val="FirstParagraph"/>
      </w:pPr>
      <w:r>
        <w:rPr>
          <w:bCs/>
          <w:b/>
        </w:rPr>
        <w:t xml:space="preserve">Theoretisch:</w:t>
      </w:r>
      <w:r>
        <w:t xml:space="preserve"> </w:t>
      </w:r>
      <w:r>
        <w:t xml:space="preserve">bij elk injectieproduct uit ongecontroleerde productie bestaan risico’s door verontreinigingen, bacteriën of verkeerde inhoudsstoffen (zie deel I en deel IV). Of AOD-9604 – zoals groeihormoon – op lange termijn de stofwisseling of celgroei beïnvloedt, is bij de mens niet onderzocht. De laboratoriumgegevens pleiten tegen een directe werking op de groeihormoonreceptor (Heffernan 2001, PMID 11673763).</w:t>
      </w:r>
    </w:p>
    <w:bookmarkEnd w:id="321"/>
    <w:bookmarkStart w:id="322" w:name="juridische-status-13"/>
    <w:p>
      <w:pPr>
        <w:pStyle w:val="Heading3"/>
      </w:pPr>
      <w:r>
        <w:t xml:space="preserve">Juridische status</w:t>
      </w:r>
    </w:p>
    <w:p>
      <w:pPr>
        <w:numPr>
          <w:ilvl w:val="0"/>
          <w:numId w:val="1107"/>
        </w:numPr>
        <w:pStyle w:val="Compact"/>
      </w:pPr>
      <w:r>
        <w:rPr>
          <w:bCs/>
          <w:b/>
        </w:rPr>
        <w:t xml:space="preserve">EU / Oostenrijk / Duitsland:</w:t>
      </w:r>
      <w:r>
        <w:t xml:space="preserve"> </w:t>
      </w:r>
      <w:r>
        <w:t xml:space="preserve">niet geregistreerd als geneesmiddel. Producten die voor gebruik bij mensen worden aangeboden, mogen volgens het geneesmiddelenrecht niet in het verkeer worden gebracht; vermeldingen als</w:t>
      </w:r>
      <w:r>
        <w:t xml:space="preserve"> </w:t>
      </w:r>
      <w:r>
        <w:t xml:space="preserve">‘</w:t>
      </w:r>
      <w:r>
        <w:t xml:space="preserve">for research use only</w:t>
      </w:r>
      <w:r>
        <w:t xml:space="preserve">’</w:t>
      </w:r>
      <w:r>
        <w:t xml:space="preserve"> </w:t>
      </w:r>
      <w:r>
        <w:t xml:space="preserve">veranderen daar niets aan.</w:t>
      </w:r>
    </w:p>
    <w:p>
      <w:pPr>
        <w:numPr>
          <w:ilvl w:val="0"/>
          <w:numId w:val="1107"/>
        </w:numPr>
        <w:pStyle w:val="Compact"/>
      </w:pPr>
      <w:r>
        <w:rPr>
          <w:bCs/>
          <w:b/>
        </w:rPr>
        <w:t xml:space="preserve">VS:</w:t>
      </w:r>
      <w:r>
        <w:t xml:space="preserve"> </w:t>
      </w:r>
      <w:r>
        <w:t xml:space="preserve">niet geregistreerd als geneesmiddel. De FDA heeft AOD-9604 opgenomen in de lijst van stoffen die vanwege veiligheidsbezwaren niet zonder meer door apotheken tot geneesmiddelen mogen worden verwerkt (stand 2026, actuele situatie controleren).</w:t>
      </w:r>
    </w:p>
    <w:p>
      <w:pPr>
        <w:numPr>
          <w:ilvl w:val="0"/>
          <w:numId w:val="1107"/>
        </w:numPr>
        <w:pStyle w:val="Compact"/>
      </w:pPr>
      <w:r>
        <w:rPr>
          <w:bCs/>
          <w:b/>
        </w:rPr>
        <w:t xml:space="preserve">Sport:</w:t>
      </w:r>
      <w:r>
        <w:t xml:space="preserve"> </w:t>
      </w:r>
      <w:r>
        <w:t xml:space="preserve">uitdrukkelijk verboden (WADA-lijst van verboden middelen, klasse S2 – peptidehormonen, groeifactoren en verwante stoffen; groeihormoonfragmenten). AOD-9604 werd bij een breder publiek bekend door het dopingschandaal rond de Australische footballclub Essendon in 2013. Voor dopingcontroles zijn specifieke detectiemethoden in urine ontwikkeld (Cox 2015, PMID 25208511). De gebruikelijke groeihormoontest wordt door AOD-9604 niet beïnvloed (Orlovius 2013, PMID 24124033) – het fragment moet dus gericht worden opgespoord. Stand 2026, actuele situatie controleren.</w:t>
      </w:r>
    </w:p>
    <w:bookmarkEnd w:id="322"/>
    <w:bookmarkStart w:id="323" w:name="lopende-studies-en-vooruitzichten-13"/>
    <w:p>
      <w:pPr>
        <w:pStyle w:val="Heading3"/>
      </w:pPr>
      <w:r>
        <w:t xml:space="preserve">Lopende studies en vooruitzichten</w:t>
      </w:r>
    </w:p>
    <w:p>
      <w:pPr>
        <w:pStyle w:val="FirstParagraph"/>
      </w:pPr>
      <w:r>
        <w:rPr>
          <w:bCs/>
          <w:b/>
        </w:rPr>
        <w:t xml:space="preserve">Vaststaand:</w:t>
      </w:r>
      <w:r>
        <w:t xml:space="preserve"> </w:t>
      </w:r>
      <w:r>
        <w:t xml:space="preserve">op ClinicalTrials.gov is geen lopende studie naar AOD-9604 geregistreerd (zoekopdracht oktober 2026).</w:t>
      </w:r>
    </w:p>
    <w:p>
      <w:pPr>
        <w:pStyle w:val="BodyText"/>
      </w:pPr>
      <w:r>
        <w:rPr>
          <w:bCs/>
          <w:b/>
        </w:rPr>
        <w:t xml:space="preserve">Inschatting:</w:t>
      </w:r>
      <w:r>
        <w:t xml:space="preserve"> </w:t>
      </w:r>
      <w:r>
        <w:t xml:space="preserve">er is geen herkenbare weg waarlangs AOD-9604 binnen afzienbare tijd een geregistreerd geneesmiddel zou kunnen worden. Met de op GLP-1 gebaseerde middelen bestaan er tegenwoordig afslankmiddelen met een grote, goed gedocumenteerde werkzaamheid; een peptide waarvan de eigen ontwikkeling als afslankmiddel niet succesvol was, zal nauwelijks nieuwe belangstelling van investeerders wekken. AOD-9604 zal daarom naar verwachting een product van de grijze markt blijven.</w:t>
      </w:r>
    </w:p>
    <w:bookmarkEnd w:id="323"/>
    <w:bookmarkStart w:id="324" w:name="conclusie-13"/>
    <w:p>
      <w:pPr>
        <w:pStyle w:val="Heading3"/>
      </w:pPr>
      <w:r>
        <w:t xml:space="preserve">Conclusie</w:t>
      </w:r>
    </w:p>
    <w:p>
      <w:pPr>
        <w:pStyle w:val="FirstParagraph"/>
      </w:pPr>
      <w:r>
        <w:t xml:space="preserve">AOD-9604 is een kort stuk van het groeihormoon dat bij ratten en muizen de vetafbraak stimuleerde zonder de bloedsuiker te verhogen. Studies bij mensen zijn weliswaar in de jaren 2000 uitgevoerd, maar hun resultaten zijn niet gepubliceerd in collegiaal getoetste vaktijdschriften, en de ontwikkeling als afslankmiddel werd stopgezet. Betrouwbare gegevens over werking en veiligheid bij de mens ontbreken daarom volledig. AOD-9604 is nergens als geneesmiddel geregistreerd en in de sport uitdrukkelijk verboden.</w:t>
      </w:r>
    </w:p>
    <w:bookmarkEnd w:id="324"/>
    <w:bookmarkEnd w:id="325"/>
    <w:bookmarkStart w:id="337" w:name="orforglipron-ter-vergelijking"/>
    <w:p>
      <w:pPr>
        <w:pStyle w:val="Heading2"/>
      </w:pPr>
      <w:r>
        <w:t xml:space="preserve">Orforglipron (ter vergelijking)</w:t>
      </w:r>
    </w:p>
    <w:bookmarkStart w:id="326" w:name="profiel-14"/>
    <w:p>
      <w:pPr>
        <w:pStyle w:val="Heading3"/>
      </w:pPr>
      <w:r>
        <w:t xml:space="preserve">Profiel</w:t>
      </w:r>
    </w:p>
    <w:p>
      <w:pPr>
        <w:numPr>
          <w:ilvl w:val="0"/>
          <w:numId w:val="1108"/>
        </w:numPr>
        <w:pStyle w:val="Compact"/>
      </w:pPr>
      <w:r>
        <w:rPr>
          <w:bCs/>
          <w:b/>
        </w:rPr>
        <w:t xml:space="preserve">Soort/structuur:</w:t>
      </w:r>
      <w:r>
        <w:t xml:space="preserve"> </w:t>
      </w:r>
      <w:r>
        <w:rPr>
          <w:bCs/>
          <w:b/>
        </w:rPr>
        <w:t xml:space="preserve">geen peptide</w:t>
      </w:r>
      <w:r>
        <w:t xml:space="preserve">, maar een klein, chemisch vervaardigd molecuul (</w:t>
      </w:r>
      <w:r>
        <w:t xml:space="preserve">‘</w:t>
      </w:r>
      <w:r>
        <w:t xml:space="preserve">small molecule</w:t>
      </w:r>
      <w:r>
        <w:t xml:space="preserve">’</w:t>
      </w:r>
      <w:r>
        <w:t xml:space="preserve">) dat op de GLP-1-receptor werkt zoals een peptide. Ontwikkelingscode LY3502970. Eenmaal per dag in te nemen als tablet resp. capsule.</w:t>
      </w:r>
    </w:p>
    <w:p>
      <w:pPr>
        <w:numPr>
          <w:ilvl w:val="0"/>
          <w:numId w:val="1108"/>
        </w:numPr>
        <w:pStyle w:val="Compact"/>
      </w:pPr>
      <w:r>
        <w:rPr>
          <w:bCs/>
          <w:b/>
        </w:rPr>
        <w:t xml:space="preserve">Herkomst:</w:t>
      </w:r>
      <w:r>
        <w:t xml:space="preserve"> </w:t>
      </w:r>
      <w:r>
        <w:t xml:space="preserve">oorspronkelijk ontdekt door Chugai Pharmaceutical, in licentie genomen en ontwikkeld door Eli Lilly.</w:t>
      </w:r>
    </w:p>
    <w:p>
      <w:pPr>
        <w:numPr>
          <w:ilvl w:val="0"/>
          <w:numId w:val="1108"/>
        </w:numPr>
        <w:pStyle w:val="Compact"/>
      </w:pPr>
      <w:r>
        <w:rPr>
          <w:bCs/>
          <w:b/>
        </w:rPr>
        <w:t xml:space="preserve">Werkingsprincipe:</w:t>
      </w:r>
      <w:r>
        <w:t xml:space="preserve"> </w:t>
      </w:r>
      <w:r>
        <w:t xml:space="preserve">agonist op de GLP-1-receptor – hetzelfde aangrijpingspunt als bij semaglutide of liraglutide, maar met een volstrekt andere chemische structuur.</w:t>
      </w:r>
    </w:p>
    <w:p>
      <w:pPr>
        <w:numPr>
          <w:ilvl w:val="0"/>
          <w:numId w:val="1108"/>
        </w:numPr>
        <w:pStyle w:val="Compact"/>
      </w:pPr>
      <w:r>
        <w:rPr>
          <w:bCs/>
          <w:b/>
        </w:rPr>
        <w:t xml:space="preserve">Registratie EU / VS:</w:t>
      </w:r>
      <w:r>
        <w:t xml:space="preserve"> </w:t>
      </w:r>
      <w:r>
        <w:t xml:space="preserve">volgens de stand van het onderzoek voor dit boek (oktober 2026) niet als geregistreerd vastgelegd; registratieaanvragen zijn op basis van de fase 3-studies ingediend resp. aangekondigd – actuele situatie controleren.</w:t>
      </w:r>
    </w:p>
    <w:p>
      <w:pPr>
        <w:numPr>
          <w:ilvl w:val="0"/>
          <w:numId w:val="1108"/>
        </w:numPr>
        <w:pStyle w:val="Compact"/>
      </w:pPr>
      <w:r>
        <w:rPr>
          <w:bCs/>
          <w:b/>
        </w:rPr>
        <w:t xml:space="preserve">WADA:</w:t>
      </w:r>
      <w:r>
        <w:t xml:space="preserve"> </w:t>
      </w:r>
      <w:r>
        <w:t xml:space="preserve">niet bij naam vermeld; zolang het nergens geregistreerd is, verboden onder S0 (stand 2026, actuele situatie controleren).</w:t>
      </w:r>
    </w:p>
    <w:p>
      <w:pPr>
        <w:numPr>
          <w:ilvl w:val="0"/>
          <w:numId w:val="1108"/>
        </w:numPr>
        <w:pStyle w:val="Compact"/>
      </w:pPr>
      <w:r>
        <w:rPr>
          <w:bCs/>
          <w:b/>
        </w:rPr>
        <w:t xml:space="preserve">Bewijsniveau:</w:t>
      </w:r>
      <w:r>
        <w:t xml:space="preserve"> </w:t>
      </w:r>
      <w:r>
        <w:rPr>
          <w:bCs/>
          <w:b/>
        </w:rPr>
        <w:t xml:space="preserve">A</w:t>
      </w:r>
      <w:r>
        <w:t xml:space="preserve"> </w:t>
      </w:r>
      <w:r>
        <w:t xml:space="preserve">op grond van de gegevens (meerdere grote fase 3-studies, inclusief een cardiovasculaire veiligheidsstudie); de formele registratie volgt nog resp. moet worden gecontroleerd.</w:t>
      </w:r>
    </w:p>
    <w:bookmarkEnd w:id="326"/>
    <w:bookmarkStart w:id="327" w:name="Xff66a50b896bd9aff19ab44803e93d15695367e"/>
    <w:p>
      <w:pPr>
        <w:pStyle w:val="Heading3"/>
      </w:pPr>
      <w:r>
        <w:t xml:space="preserve">Waarom dit hoofdstuk in een peptideboek staat</w:t>
      </w:r>
    </w:p>
    <w:p>
      <w:pPr>
        <w:pStyle w:val="FirstParagraph"/>
      </w:pPr>
      <w:r>
        <w:t xml:space="preserve">Alle GLP-1-middelen tot 2025 waren peptiden. Peptiden worden in het maag-darmkanaal grotendeels verteerd en nauwelijks opgenomen – daarom moeten ze worden geïnjecteerd. De enige uitzondering, semaglutide als tablet, heeft een hulpstof nodig die de opname via het maagslijmvlies vergemakkelijkt, en strenge innameregels: nuchter, met weinig water en ruim vóór het ontbijt (zie het hoofdstuk Semaglutide en deel I over de vraag hoe peptiden in het lichaam komen).</w:t>
      </w:r>
    </w:p>
    <w:p>
      <w:pPr>
        <w:pStyle w:val="BodyText"/>
      </w:pPr>
      <w:r>
        <w:t xml:space="preserve">Orforglipron omzeilt dit probleem principieel: als klein molecuul wordt het zoals een gewone tablet uit de darm opgenomen. Volgens de studies kan het worden ingenomen zonder rekening te houden met maaltijden of hoeveelheid water (Rosenstock 2026, PMID 41765029). Orforglipron is daarmee het belangrijkste vergelijkingsgeval voor de vraag of de toekomst van afslankmiddelen überhaupt bij peptiden ligt (zie deel V).</w:t>
      </w:r>
    </w:p>
    <w:bookmarkEnd w:id="327"/>
    <w:bookmarkStart w:id="328" w:name="hoe-het-zou-moeten-werken-14"/>
    <w:p>
      <w:pPr>
        <w:pStyle w:val="Heading3"/>
      </w:pPr>
      <w:r>
        <w:t xml:space="preserve">Hoe het zou moeten werken</w:t>
      </w:r>
    </w:p>
    <w:p>
      <w:pPr>
        <w:pStyle w:val="FirstParagraph"/>
      </w:pPr>
      <w:r>
        <w:t xml:space="preserve">Orforglipron bindt aan de GLP-1-receptor en veroorzaakt vergelijkbare effecten als de peptide-agonisten: minder eetlust, vertraagde maaglediging, bloedsuikerafhankelijk meer insuline. Het activeert alleen de GLP-1-receptor, niet de GIP- of glucagonreceptoren. Onderzoek bij mensen met diabetes type 2 liet verbeteringen zien van markers van de bètacelfunctie en de insulinegevoeligheid (Rosenstock 2025, PMID 40808573).</w:t>
      </w:r>
    </w:p>
    <w:bookmarkEnd w:id="328"/>
    <w:bookmarkStart w:id="331" w:name="studies-bij-mensen-14"/>
    <w:p>
      <w:pPr>
        <w:pStyle w:val="Heading3"/>
      </w:pPr>
      <w:r>
        <w:t xml:space="preserve">Studies bij mensen</w:t>
      </w:r>
    </w:p>
    <w:p>
      <w:pPr>
        <w:pStyle w:val="FirstParagraph"/>
      </w:pPr>
      <w:r>
        <w:rPr>
          <w:bCs/>
          <w:b/>
        </w:rPr>
        <w:t xml:space="preserve">Omvang van het onderzoek:</w:t>
      </w:r>
      <w:r>
        <w:t xml:space="preserve"> </w:t>
      </w:r>
      <w:r>
        <w:t xml:space="preserve">De geautomatiseerde PubMed-zoekopdracht (oktober 2026) leverde 20 studies bij mensen op. Op ClinicalTrials.gov waren 53 studies geregistreerd. De registratieprogramma’s heten</w:t>
      </w:r>
      <w:r>
        <w:t xml:space="preserve"> </w:t>
      </w:r>
      <w:r>
        <w:rPr>
          <w:bCs/>
          <w:b/>
        </w:rPr>
        <w:t xml:space="preserve">ATTAIN</w:t>
      </w:r>
      <w:r>
        <w:t xml:space="preserve"> </w:t>
      </w:r>
      <w:r>
        <w:t xml:space="preserve">(obesitas) en</w:t>
      </w:r>
      <w:r>
        <w:t xml:space="preserve"> </w:t>
      </w:r>
      <w:r>
        <w:rPr>
          <w:bCs/>
          <w:b/>
        </w:rPr>
        <w:t xml:space="preserve">ACHIEVE</w:t>
      </w:r>
      <w:r>
        <w:t xml:space="preserve"> </w:t>
      </w:r>
      <w:r>
        <w:t xml:space="preserve">(diabetes type 2).</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Deelnemers en design</w:t>
            </w:r>
          </w:p>
        </w:tc>
        <w:tc>
          <w:tcPr/>
          <w:p>
            <w:pPr>
              <w:pStyle w:val="Compact"/>
              <w:jc w:val="left"/>
            </w:pPr>
            <w:r>
              <w:t xml:space="preserve">Duur</w:t>
            </w:r>
          </w:p>
        </w:tc>
        <w:tc>
          <w:tcPr/>
          <w:p>
            <w:pPr>
              <w:pStyle w:val="Compact"/>
              <w:jc w:val="left"/>
            </w:pPr>
            <w:r>
              <w:t xml:space="preserve">Resultaat</w:t>
            </w:r>
          </w:p>
        </w:tc>
      </w:tr>
      <w:tr>
        <w:tc>
          <w:tcPr/>
          <w:p>
            <w:pPr>
              <w:pStyle w:val="Compact"/>
              <w:jc w:val="left"/>
            </w:pPr>
            <w:r>
              <w:t xml:space="preserve">Fase 2 obesitas (Wharton 2023), PMID 37351564</w:t>
            </w:r>
          </w:p>
        </w:tc>
        <w:tc>
          <w:tcPr/>
          <w:p>
            <w:pPr>
              <w:pStyle w:val="Compact"/>
              <w:jc w:val="left"/>
            </w:pPr>
            <w:r>
              <w:t xml:space="preserve">272 volwassenen zonder diabetes, tegen placebo</w:t>
            </w:r>
          </w:p>
        </w:tc>
        <w:tc>
          <w:tcPr/>
          <w:p>
            <w:pPr>
              <w:pStyle w:val="Compact"/>
              <w:jc w:val="left"/>
            </w:pPr>
            <w:r>
              <w:t xml:space="preserve">36 weken</w:t>
            </w:r>
          </w:p>
        </w:tc>
        <w:tc>
          <w:tcPr/>
          <w:p>
            <w:pPr>
              <w:pStyle w:val="Compact"/>
              <w:jc w:val="left"/>
            </w:pPr>
            <w:r>
              <w:t xml:space="preserve">−9,4 tot −14,7% gewicht vs. −2,3%</w:t>
            </w:r>
          </w:p>
        </w:tc>
      </w:tr>
      <w:tr>
        <w:tc>
          <w:tcPr/>
          <w:p>
            <w:pPr>
              <w:pStyle w:val="Compact"/>
              <w:jc w:val="left"/>
            </w:pPr>
            <w:r>
              <w:t xml:space="preserve">ATTAIN-1 (Wharton 2025), PMID 40960239</w:t>
            </w:r>
          </w:p>
        </w:tc>
        <w:tc>
          <w:tcPr/>
          <w:p>
            <w:pPr>
              <w:pStyle w:val="Compact"/>
              <w:jc w:val="left"/>
            </w:pPr>
            <w:r>
              <w:t xml:space="preserve">3.127 volwassenen met obesitas zonder diabetes, tegen placebo</w:t>
            </w:r>
          </w:p>
        </w:tc>
        <w:tc>
          <w:tcPr/>
          <w:p>
            <w:pPr>
              <w:pStyle w:val="Compact"/>
              <w:jc w:val="left"/>
            </w:pPr>
            <w:r>
              <w:t xml:space="preserve">72 weken</w:t>
            </w:r>
          </w:p>
        </w:tc>
        <w:tc>
          <w:tcPr/>
          <w:p>
            <w:pPr>
              <w:pStyle w:val="Compact"/>
              <w:jc w:val="left"/>
            </w:pPr>
            <w:r>
              <w:t xml:space="preserve">−7,5 / −8,4 / −11,2% vs. −2,1%</w:t>
            </w:r>
          </w:p>
        </w:tc>
      </w:tr>
      <w:tr>
        <w:tc>
          <w:tcPr/>
          <w:p>
            <w:pPr>
              <w:pStyle w:val="Compact"/>
              <w:jc w:val="left"/>
            </w:pPr>
            <w:r>
              <w:t xml:space="preserve">ATTAIN-2 (Horn 2026), PMID 41275875</w:t>
            </w:r>
          </w:p>
        </w:tc>
        <w:tc>
          <w:tcPr/>
          <w:p>
            <w:pPr>
              <w:pStyle w:val="Compact"/>
              <w:jc w:val="left"/>
            </w:pPr>
            <w:r>
              <w:t xml:space="preserve">1.613 volwassenen met obesitas en diabetes type 2</w:t>
            </w:r>
          </w:p>
        </w:tc>
        <w:tc>
          <w:tcPr/>
          <w:p>
            <w:pPr>
              <w:pStyle w:val="Compact"/>
              <w:jc w:val="left"/>
            </w:pPr>
            <w:r>
              <w:t xml:space="preserve">72 weken</w:t>
            </w:r>
          </w:p>
        </w:tc>
        <w:tc>
          <w:tcPr/>
          <w:p>
            <w:pPr>
              <w:pStyle w:val="Compact"/>
              <w:jc w:val="left"/>
            </w:pPr>
            <w:r>
              <w:t xml:space="preserve">−5,1 / −7,0 / −9,6% vs. −2,5%</w:t>
            </w:r>
          </w:p>
        </w:tc>
      </w:tr>
      <w:tr>
        <w:tc>
          <w:tcPr/>
          <w:p>
            <w:pPr>
              <w:pStyle w:val="Compact"/>
              <w:jc w:val="left"/>
            </w:pPr>
            <w:r>
              <w:t xml:space="preserve">ATTAIN-MAINTAIN (Aronne 2026), PMID 42120723</w:t>
            </w:r>
          </w:p>
        </w:tc>
        <w:tc>
          <w:tcPr/>
          <w:p>
            <w:pPr>
              <w:pStyle w:val="Compact"/>
              <w:jc w:val="left"/>
            </w:pPr>
            <w:r>
              <w:t xml:space="preserve">376 volwassenen na tirzepatide of semaglutide, overstap vs. placebo</w:t>
            </w:r>
          </w:p>
        </w:tc>
        <w:tc>
          <w:tcPr/>
          <w:p>
            <w:pPr>
              <w:pStyle w:val="Compact"/>
              <w:jc w:val="left"/>
            </w:pPr>
            <w:r>
              <w:t xml:space="preserve">52 weken</w:t>
            </w:r>
          </w:p>
        </w:tc>
        <w:tc>
          <w:tcPr/>
          <w:p>
            <w:pPr>
              <w:pStyle w:val="Compact"/>
              <w:jc w:val="left"/>
            </w:pPr>
            <w:r>
              <w:t xml:space="preserve">74,7% resp. 79,3% van het gewichtsverlies behouden (placebo 49,2% resp. 37,6%)</w:t>
            </w:r>
          </w:p>
        </w:tc>
      </w:tr>
      <w:tr>
        <w:tc>
          <w:tcPr/>
          <w:p>
            <w:pPr>
              <w:pStyle w:val="Compact"/>
              <w:jc w:val="left"/>
            </w:pPr>
            <w:r>
              <w:t xml:space="preserve">ACHIEVE-1 (Rosenstock 2025), PMID 40544435</w:t>
            </w:r>
          </w:p>
        </w:tc>
        <w:tc>
          <w:tcPr/>
          <w:p>
            <w:pPr>
              <w:pStyle w:val="Compact"/>
              <w:jc w:val="left"/>
            </w:pPr>
            <w:r>
              <w:t xml:space="preserve">559 volwassenen met vroege diabetes type 2</w:t>
            </w:r>
          </w:p>
        </w:tc>
        <w:tc>
          <w:tcPr/>
          <w:p>
            <w:pPr>
              <w:pStyle w:val="Compact"/>
              <w:jc w:val="left"/>
            </w:pPr>
            <w:r>
              <w:t xml:space="preserve">40 weken</w:t>
            </w:r>
          </w:p>
        </w:tc>
        <w:tc>
          <w:tcPr/>
          <w:p>
            <w:pPr>
              <w:pStyle w:val="Compact"/>
              <w:jc w:val="left"/>
            </w:pPr>
            <w:r>
              <w:t xml:space="preserve">HbA1c −1,24 tot −1,48 vs. −0,41</w:t>
            </w:r>
          </w:p>
        </w:tc>
      </w:tr>
      <w:tr>
        <w:tc>
          <w:tcPr/>
          <w:p>
            <w:pPr>
              <w:pStyle w:val="Compact"/>
              <w:jc w:val="left"/>
            </w:pPr>
            <w:r>
              <w:t xml:space="preserve">ACHIEVE-3 (Rosenstock 2026), PMID 41765029</w:t>
            </w:r>
          </w:p>
        </w:tc>
        <w:tc>
          <w:tcPr/>
          <w:p>
            <w:pPr>
              <w:pStyle w:val="Compact"/>
              <w:jc w:val="left"/>
            </w:pPr>
            <w:r>
              <w:t xml:space="preserve">1.698 volwassenen met diabetes type 2, open-label tegen semaglutidetablet</w:t>
            </w:r>
          </w:p>
        </w:tc>
        <w:tc>
          <w:tcPr/>
          <w:p>
            <w:pPr>
              <w:pStyle w:val="Compact"/>
              <w:jc w:val="left"/>
            </w:pPr>
            <w:r>
              <w:t xml:space="preserve">52 weken</w:t>
            </w:r>
          </w:p>
        </w:tc>
        <w:tc>
          <w:tcPr/>
          <w:p>
            <w:pPr>
              <w:pStyle w:val="Compact"/>
              <w:jc w:val="left"/>
            </w:pPr>
            <w:r>
              <w:t xml:space="preserve">HbA1c −1,71 / −1,91 vs. −1,23 / −1,47</w:t>
            </w:r>
          </w:p>
        </w:tc>
      </w:tr>
      <w:tr>
        <w:tc>
          <w:tcPr/>
          <w:p>
            <w:pPr>
              <w:pStyle w:val="Compact"/>
              <w:jc w:val="left"/>
            </w:pPr>
            <w:r>
              <w:t xml:space="preserve">ACHIEVE-4 (Klein 2026), PMID 42815506</w:t>
            </w:r>
          </w:p>
        </w:tc>
        <w:tc>
          <w:tcPr/>
          <w:p>
            <w:pPr>
              <w:pStyle w:val="Compact"/>
              <w:jc w:val="left"/>
            </w:pPr>
            <w:r>
              <w:t xml:space="preserve">2.749 volwassenen met diabetes type 2 en hoog cardiovasculair risico, tegen insuline glargine</w:t>
            </w:r>
          </w:p>
        </w:tc>
        <w:tc>
          <w:tcPr/>
          <w:p>
            <w:pPr>
              <w:pStyle w:val="Compact"/>
              <w:jc w:val="left"/>
            </w:pPr>
            <w:r>
              <w:t xml:space="preserve">mediaan 2 jaar</w:t>
            </w:r>
          </w:p>
        </w:tc>
        <w:tc>
          <w:tcPr/>
          <w:p>
            <w:pPr>
              <w:pStyle w:val="Compact"/>
              <w:jc w:val="left"/>
            </w:pPr>
            <w:r>
              <w:t xml:space="preserve">MACE-4: 4,2% vs. 5,0% (niet inferieur)</w:t>
            </w:r>
          </w:p>
        </w:tc>
      </w:tr>
    </w:tbl>
    <w:bookmarkStart w:id="329" w:name="obesitas-attain"/>
    <w:p>
      <w:pPr>
        <w:pStyle w:val="Heading4"/>
      </w:pPr>
      <w:r>
        <w:t xml:space="preserve">Obesitas: ATTAIN</w:t>
      </w:r>
    </w:p>
    <w:p>
      <w:pPr>
        <w:pStyle w:val="FirstParagraph"/>
      </w:pPr>
      <w:r>
        <w:rPr>
          <w:bCs/>
          <w:b/>
        </w:rPr>
        <w:t xml:space="preserve">ATTAIN-1</w:t>
      </w:r>
      <w:r>
        <w:t xml:space="preserve"> </w:t>
      </w:r>
      <w:r>
        <w:t xml:space="preserve">(Wharton 2025, PMID 40960239) is de hoofdstudie. Na 72 weken verloren de 3.127 deelnemers bij de hoogste dosis gemiddeld 11,2% van hun gewicht, bij placebo 2,1%. Bij de hoogste dosis bereikte 54,6% ten minste 10% en 18,4% ten minste 20% gewichtsverlies. Vanwege bijwerkingen stopte 5,3 tot 10,3% (placebo 2,7%).</w:t>
      </w:r>
    </w:p>
    <w:p>
      <w:pPr>
        <w:pStyle w:val="BodyText"/>
      </w:pPr>
      <w:r>
        <w:t xml:space="preserve">Ter duiding: dat is duidelijk minder dan met geïnjecteerd semaglutide of tirzepatide in hun registratiestudies en minder dan de fase 2-studie met tot 14,7% na 36 weken had doen verwachten (Wharton 2023, PMID 37351564). Vergelijkingen tussen studies geven echter slechts een ruwe indicatie.</w:t>
      </w:r>
    </w:p>
    <w:p>
      <w:pPr>
        <w:pStyle w:val="BodyText"/>
      </w:pPr>
      <w:r>
        <w:rPr>
          <w:bCs/>
          <w:b/>
        </w:rPr>
        <w:t xml:space="preserve">ATTAIN-2</w:t>
      </w:r>
      <w:r>
        <w:t xml:space="preserve"> </w:t>
      </w:r>
      <w:r>
        <w:t xml:space="preserve">(Horn 2026, PMID 41275875) liet bij mensen met diabetes type 2 een gewichtsverlies zien van tot 9,6% tegenover 2,5% bij placebo.</w:t>
      </w:r>
    </w:p>
    <w:p>
      <w:pPr>
        <w:pStyle w:val="BodyText"/>
      </w:pPr>
      <w:r>
        <w:rPr>
          <w:bCs/>
          <w:b/>
        </w:rPr>
        <w:t xml:space="preserve">ATTAIN-MAINTAIN</w:t>
      </w:r>
      <w:r>
        <w:t xml:space="preserve"> </w:t>
      </w:r>
      <w:r>
        <w:t xml:space="preserve">(Aronne 2026, PMID 42120723) is voor de praktijk bijzonder interessant. Deelnemers die eerder in de SURMOUNT-5-studie met geïnjecteerd tirzepatide of semaglutide waren afgevallen, stapten over op orforglipron of placebo. Na 52 weken behielden de eerder met tirzepatide behandelden met orforglipron 74,7% van hun gewichtsverlies (placebo 49,2%), de eerder met semaglutide behandelden 79,3% (placebo 37,6%). Een vergelijkingsgroep die de injectie gewoon bleef krijgen, was er niet – de auteurs noemen dat zelf als beperking. Het concept</w:t>
      </w:r>
      <w:r>
        <w:t xml:space="preserve"> </w:t>
      </w:r>
      <w:r>
        <w:t xml:space="preserve">‘</w:t>
      </w:r>
      <w:r>
        <w:t xml:space="preserve">afvallen met de injectie, behouden met de tablet</w:t>
      </w:r>
      <w:r>
        <w:t xml:space="preserve">’</w:t>
      </w:r>
      <w:r>
        <w:t xml:space="preserve"> </w:t>
      </w:r>
      <w:r>
        <w:t xml:space="preserve">wordt daarmee voor het eerst onderbouwd, maar nog niet getoetst tegen het alternatief</w:t>
      </w:r>
      <w:r>
        <w:t xml:space="preserve"> </w:t>
      </w:r>
      <w:r>
        <w:t xml:space="preserve">‘</w:t>
      </w:r>
      <w:r>
        <w:t xml:space="preserve">injectie voortzetten</w:t>
      </w:r>
      <w:r>
        <w:t xml:space="preserve">’</w:t>
      </w:r>
      <w:r>
        <w:t xml:space="preserve">.</w:t>
      </w:r>
    </w:p>
    <w:bookmarkEnd w:id="329"/>
    <w:bookmarkStart w:id="330" w:name="diabetes-type-2-achieve"/>
    <w:p>
      <w:pPr>
        <w:pStyle w:val="Heading4"/>
      </w:pPr>
      <w:r>
        <w:t xml:space="preserve">Diabetes type 2: ACHIEVE</w:t>
      </w:r>
    </w:p>
    <w:p>
      <w:pPr>
        <w:numPr>
          <w:ilvl w:val="0"/>
          <w:numId w:val="1109"/>
        </w:numPr>
        <w:pStyle w:val="Compact"/>
      </w:pPr>
      <w:r>
        <w:rPr>
          <w:bCs/>
          <w:b/>
        </w:rPr>
        <w:t xml:space="preserve">ACHIEVE-1</w:t>
      </w:r>
      <w:r>
        <w:t xml:space="preserve"> </w:t>
      </w:r>
      <w:r>
        <w:t xml:space="preserve">(Rosenstock 2025, PMID 40544435): bij vroege diabetes type 2 zonder andere middelen daalde de HbA1c-waarde na 40 weken met tot 1,48 procentpunt (placebo −0,41), het gewicht met tot 7,6%. Ernstige hypoglykemieën kwamen niet voor.</w:t>
      </w:r>
    </w:p>
    <w:p>
      <w:pPr>
        <w:numPr>
          <w:ilvl w:val="0"/>
          <w:numId w:val="1109"/>
        </w:numPr>
        <w:pStyle w:val="Compact"/>
      </w:pPr>
      <w:r>
        <w:rPr>
          <w:bCs/>
          <w:b/>
        </w:rPr>
        <w:t xml:space="preserve">ACHIEVE-2</w:t>
      </w:r>
      <w:r>
        <w:t xml:space="preserve"> </w:t>
      </w:r>
      <w:r>
        <w:t xml:space="preserve">(Welch 2026, PMID 42259339): tegenover de SGLT2-remmer dapagliflozine was orforglipron bij de HbA1c niet inferieur en in alle doses sterker (tot −1,56 vs. −0,81 procentpunt).</w:t>
      </w:r>
    </w:p>
    <w:p>
      <w:pPr>
        <w:numPr>
          <w:ilvl w:val="0"/>
          <w:numId w:val="1109"/>
        </w:numPr>
        <w:pStyle w:val="Compact"/>
      </w:pPr>
      <w:r>
        <w:rPr>
          <w:bCs/>
          <w:b/>
        </w:rPr>
        <w:t xml:space="preserve">ACHIEVE-3</w:t>
      </w:r>
      <w:r>
        <w:t xml:space="preserve"> </w:t>
      </w:r>
      <w:r>
        <w:t xml:space="preserve">(Rosenstock 2026, PMID 41765029): in directe vergelijking met de semaglutidetablet verlaagde orforglipron de HbA1c-waarde sterker (−1,91 vs. −1,47 procentpunt bij de telkens hogere doses). De studie was open-label, dus niet geblindeerd. Maag-darmklachten kwamen bij orforglipron vaker voor (58–59% vs. 37–45%), evenals stoppen vanwege bijwerkingen (9–10% vs. 4–5%).</w:t>
      </w:r>
    </w:p>
    <w:p>
      <w:pPr>
        <w:numPr>
          <w:ilvl w:val="0"/>
          <w:numId w:val="1109"/>
        </w:numPr>
        <w:pStyle w:val="Compact"/>
      </w:pPr>
      <w:r>
        <w:rPr>
          <w:bCs/>
          <w:b/>
        </w:rPr>
        <w:t xml:space="preserve">ACHIEVE-4</w:t>
      </w:r>
      <w:r>
        <w:t xml:space="preserve"> </w:t>
      </w:r>
      <w:r>
        <w:t xml:space="preserve">(Klein 2026, PMID 42815506): de cardiovasculaire veiligheidsstudie (zie hieronder).</w:t>
      </w:r>
    </w:p>
    <w:bookmarkEnd w:id="330"/>
    <w:bookmarkEnd w:id="331"/>
    <w:bookmarkStart w:id="332" w:name="dier--en-laboratoriumstudies-14"/>
    <w:p>
      <w:pPr>
        <w:pStyle w:val="Heading3"/>
      </w:pPr>
      <w:r>
        <w:t xml:space="preserve">Dier- en laboratoriumstudies</w:t>
      </w:r>
    </w:p>
    <w:p>
      <w:pPr>
        <w:pStyle w:val="FirstParagraph"/>
      </w:pPr>
      <w:r>
        <w:t xml:space="preserve">Voor dit vergelijkingshoofdstuk worden de preklinische gegevens niet afzonderlijk besproken. Belangrijk is een farmacologisch verschil: als klein molecuul wordt orforglipron via leverenzymen afgebroken. Daarom zijn talrijke studies uitgevoerd naar interacties met andere geneesmiddelen, bijvoorbeeld met claritromycine, ciclosporine, carbamazepine of kinidine (NCT05469126, NCT05573230, NCT06370728, NCT06704763). Peptide-agonisten worden daarentegen afgebroken zoals eiwitten en hebben nauwelijks zulke interacties.</w:t>
      </w:r>
    </w:p>
    <w:bookmarkEnd w:id="332"/>
    <w:bookmarkStart w:id="333" w:name="risicos-en-bijwerkingen-14"/>
    <w:p>
      <w:pPr>
        <w:pStyle w:val="Heading3"/>
      </w:pPr>
      <w:r>
        <w:t xml:space="preserve">Risico’s en bijwerkingen</w:t>
      </w:r>
    </w:p>
    <w:p>
      <w:pPr>
        <w:pStyle w:val="FirstParagraph"/>
      </w:pPr>
      <w:r>
        <w:rPr>
          <w:bCs/>
          <w:b/>
        </w:rPr>
        <w:t xml:space="preserve">Aangetoond in studies:</w:t>
      </w:r>
    </w:p>
    <w:p>
      <w:pPr>
        <w:numPr>
          <w:ilvl w:val="0"/>
          <w:numId w:val="1110"/>
        </w:numPr>
        <w:pStyle w:val="Compact"/>
      </w:pPr>
      <w:r>
        <w:rPr>
          <w:bCs/>
          <w:b/>
        </w:rPr>
        <w:t xml:space="preserve">Maag-darmklachten</w:t>
      </w:r>
      <w:r>
        <w:t xml:space="preserve"> </w:t>
      </w:r>
      <w:r>
        <w:t xml:space="preserve">zoals bij alle GLP-1-agonisten, overwegend licht tot matig en tijdens de dosisopbouw. In ACHIEVE-4 meldde 62,1% met orforglipron tegenover 14,2% met insuline glargine maag-darmklachten (Klein 2026, PMID 42815506).</w:t>
      </w:r>
    </w:p>
    <w:p>
      <w:pPr>
        <w:numPr>
          <w:ilvl w:val="0"/>
          <w:numId w:val="1110"/>
        </w:numPr>
        <w:pStyle w:val="Compact"/>
      </w:pPr>
      <w:r>
        <w:rPr>
          <w:bCs/>
          <w:b/>
        </w:rPr>
        <w:t xml:space="preserve">Stoppen vanwege bijwerkingen:</w:t>
      </w:r>
      <w:r>
        <w:t xml:space="preserve"> </w:t>
      </w:r>
      <w:r>
        <w:t xml:space="preserve">in ATTAIN-1 tot 10,3% (Wharton 2025, PMID 40960239), in vergelijking met de semaglutidetablet ongeveer twee keer zo vaak (Rosenstock 2026, PMID 41765029).</w:t>
      </w:r>
    </w:p>
    <w:p>
      <w:pPr>
        <w:numPr>
          <w:ilvl w:val="0"/>
          <w:numId w:val="1110"/>
        </w:numPr>
        <w:pStyle w:val="Compact"/>
      </w:pPr>
      <w:r>
        <w:rPr>
          <w:bCs/>
          <w:b/>
        </w:rPr>
        <w:t xml:space="preserve">Polsslag:</w:t>
      </w:r>
      <w:r>
        <w:t xml:space="preserve"> </w:t>
      </w:r>
      <w:r>
        <w:t xml:space="preserve">in ACHIEVE-3 steeg de hartslag met orforglipron met 3,7 tot 4,7 slagen per minuut, met de semaglutidetablet met 1,0 tot 1,5 (Rosenstock 2026, PMID 41765029).</w:t>
      </w:r>
    </w:p>
    <w:p>
      <w:pPr>
        <w:numPr>
          <w:ilvl w:val="0"/>
          <w:numId w:val="1110"/>
        </w:numPr>
        <w:pStyle w:val="Compact"/>
      </w:pPr>
      <w:r>
        <w:rPr>
          <w:bCs/>
          <w:b/>
        </w:rPr>
        <w:t xml:space="preserve">Cardiovasculaire veiligheid:</w:t>
      </w:r>
      <w:r>
        <w:t xml:space="preserve"> </w:t>
      </w:r>
      <w:r>
        <w:t xml:space="preserve">in ACHIEVE-4 kwamen ernstige hart- en vaatincidenten voor bij 4,2% met orforglipron en 5,0% met insuline glargine (hazard ratio 0,84; 95%-BI 0,59–1,20) – orforglipron was daarmee niet inferieur. Klinisch relevante of ernstige hypoglykemieën kwamen minder vaak voor (6,8% vs. 19,2%) (Klein 2026, PMID 42815506). Of orforglipron, zoals sommige peptide-agonisten, hart- en vaatincidenten</w:t>
      </w:r>
      <w:r>
        <w:t xml:space="preserve"> </w:t>
      </w:r>
      <w:r>
        <w:rPr>
          <w:iCs/>
          <w:i/>
        </w:rPr>
        <w:t xml:space="preserve">vermindert</w:t>
      </w:r>
      <w:r>
        <w:t xml:space="preserve">, moet een aparte eindpuntstudie laten zien (NCT07241390).</w:t>
      </w:r>
    </w:p>
    <w:p>
      <w:pPr>
        <w:numPr>
          <w:ilvl w:val="0"/>
          <w:numId w:val="1110"/>
        </w:numPr>
        <w:pStyle w:val="Compact"/>
      </w:pPr>
      <w:r>
        <w:rPr>
          <w:bCs/>
          <w:b/>
        </w:rPr>
        <w:t xml:space="preserve">Lever:</w:t>
      </w:r>
      <w:r>
        <w:t xml:space="preserve"> </w:t>
      </w:r>
      <w:r>
        <w:t xml:space="preserve">bij kleine GLP-1-moleculen van andere fabrikanten waren verhoogde leverwaarden een probleem. Een gepoolde analyse van zeven fase 3-studies met 11.220 deelnemers vond voor orforglipron geen enkel geval van geneesmiddelgerelateerde leverschade; de leverwaarden daalden gemiddeld zelfs (Wharton 2026, PMID 42338042).</w:t>
      </w:r>
    </w:p>
    <w:bookmarkEnd w:id="333"/>
    <w:bookmarkStart w:id="334" w:name="juridische-status-14"/>
    <w:p>
      <w:pPr>
        <w:pStyle w:val="Heading3"/>
      </w:pPr>
      <w:r>
        <w:t xml:space="preserve">Juridische status</w:t>
      </w:r>
    </w:p>
    <w:p>
      <w:pPr>
        <w:numPr>
          <w:ilvl w:val="0"/>
          <w:numId w:val="1111"/>
        </w:numPr>
        <w:pStyle w:val="Compact"/>
      </w:pPr>
      <w:r>
        <w:rPr>
          <w:bCs/>
          <w:b/>
        </w:rPr>
        <w:t xml:space="preserve">EU / Oostenrijk / Duitsland:</w:t>
      </w:r>
      <w:r>
        <w:t xml:space="preserve"> </w:t>
      </w:r>
      <w:r>
        <w:t xml:space="preserve">per oktober 2026 vastgelegd als niet geregistreerd; een registratieprocedure valt te verwachten resp. kan al lopen – actuele situatie controleren.</w:t>
      </w:r>
    </w:p>
    <w:p>
      <w:pPr>
        <w:numPr>
          <w:ilvl w:val="0"/>
          <w:numId w:val="1111"/>
        </w:numPr>
        <w:pStyle w:val="Compact"/>
      </w:pPr>
      <w:r>
        <w:rPr>
          <w:bCs/>
          <w:b/>
        </w:rPr>
        <w:t xml:space="preserve">VS:</w:t>
      </w:r>
      <w:r>
        <w:t xml:space="preserve"> </w:t>
      </w:r>
      <w:r>
        <w:t xml:space="preserve">registratieaanvragen voor obesitas en diabetes type 2 zijn op basis van de ATTAIN- en ACHIEVE-gegevens ingediend resp. aangekondigd; stand van de beslissing: actuele situatie controleren.</w:t>
      </w:r>
    </w:p>
    <w:p>
      <w:pPr>
        <w:numPr>
          <w:ilvl w:val="0"/>
          <w:numId w:val="1111"/>
        </w:numPr>
        <w:pStyle w:val="Compact"/>
      </w:pPr>
      <w:r>
        <w:rPr>
          <w:bCs/>
          <w:b/>
        </w:rPr>
        <w:t xml:space="preserve">Sport:</w:t>
      </w:r>
      <w:r>
        <w:t xml:space="preserve"> </w:t>
      </w:r>
      <w:r>
        <w:t xml:space="preserve">zolang het nergens geregistreerd is, WADA-klasse S0 (stand 2026, actuele situatie controleren).</w:t>
      </w:r>
    </w:p>
    <w:p>
      <w:pPr>
        <w:numPr>
          <w:ilvl w:val="0"/>
          <w:numId w:val="1111"/>
        </w:numPr>
        <w:pStyle w:val="Compact"/>
      </w:pPr>
      <w:r>
        <w:t xml:space="preserve">Niet-geregistreerde</w:t>
      </w:r>
      <w:r>
        <w:t xml:space="preserve"> </w:t>
      </w:r>
      <w:r>
        <w:t xml:space="preserve">‘</w:t>
      </w:r>
      <w:r>
        <w:t xml:space="preserve">Orforglipron</w:t>
      </w:r>
      <w:r>
        <w:t xml:space="preserve">’</w:t>
      </w:r>
      <w:r>
        <w:t xml:space="preserve">-aanbiedingen op internet zijn geen gecontroleerde geneesmiddelen.</w:t>
      </w:r>
    </w:p>
    <w:bookmarkEnd w:id="334"/>
    <w:bookmarkStart w:id="335" w:name="lopende-studies-en-vooruitzichten-14"/>
    <w:p>
      <w:pPr>
        <w:pStyle w:val="Heading3"/>
      </w:pPr>
      <w:r>
        <w:t xml:space="preserve">Lopende studies en vooruitzichten</w:t>
      </w:r>
    </w:p>
    <w:p>
      <w:pPr>
        <w:pStyle w:val="FirstParagraph"/>
      </w:pPr>
      <w:r>
        <w:rPr>
          <w:bCs/>
          <w:b/>
        </w:rPr>
        <w:t xml:space="preserve">Vaststaand (geregistreerde studies, stand oktober 2026):</w:t>
      </w:r>
    </w:p>
    <w:p>
      <w:pPr>
        <w:numPr>
          <w:ilvl w:val="0"/>
          <w:numId w:val="1112"/>
        </w:numPr>
        <w:pStyle w:val="Compact"/>
      </w:pPr>
      <w:r>
        <w:rPr>
          <w:bCs/>
          <w:b/>
        </w:rPr>
        <w:t xml:space="preserve">Cardiovasculaire eindpuntstudie</w:t>
      </w:r>
      <w:r>
        <w:t xml:space="preserve"> </w:t>
      </w:r>
      <w:r>
        <w:t xml:space="preserve">bij atherosclerose (NCT07241390, 7.140 deelnemers, tot 2031).</w:t>
      </w:r>
    </w:p>
    <w:p>
      <w:pPr>
        <w:numPr>
          <w:ilvl w:val="0"/>
          <w:numId w:val="1112"/>
        </w:numPr>
        <w:pStyle w:val="Compact"/>
      </w:pPr>
      <w:r>
        <w:rPr>
          <w:bCs/>
          <w:b/>
        </w:rPr>
        <w:t xml:space="preserve">Perifeer arterieel vaatlijden</w:t>
      </w:r>
      <w:r>
        <w:t xml:space="preserve"> </w:t>
      </w:r>
      <w:r>
        <w:t xml:space="preserve">(NCT07223593),</w:t>
      </w:r>
      <w:r>
        <w:t xml:space="preserve"> </w:t>
      </w:r>
      <w:r>
        <w:rPr>
          <w:bCs/>
          <w:b/>
        </w:rPr>
        <w:t xml:space="preserve">hoge bloeddruk</w:t>
      </w:r>
      <w:r>
        <w:t xml:space="preserve"> </w:t>
      </w:r>
      <w:r>
        <w:t xml:space="preserve">(NCT06948422, NCT06948435, NCT06952530),</w:t>
      </w:r>
      <w:r>
        <w:t xml:space="preserve"> </w:t>
      </w:r>
      <w:r>
        <w:rPr>
          <w:bCs/>
          <w:b/>
        </w:rPr>
        <w:t xml:space="preserve">knieartrose</w:t>
      </w:r>
      <w:r>
        <w:t xml:space="preserve"> </w:t>
      </w:r>
      <w:r>
        <w:t xml:space="preserve">(NCT07153471),</w:t>
      </w:r>
      <w:r>
        <w:t xml:space="preserve"> </w:t>
      </w:r>
      <w:r>
        <w:rPr>
          <w:bCs/>
          <w:b/>
        </w:rPr>
        <w:t xml:space="preserve">stressincontinentie</w:t>
      </w:r>
      <w:r>
        <w:t xml:space="preserve"> </w:t>
      </w:r>
      <w:r>
        <w:t xml:space="preserve">bij vrouwen met obesitas (NCT07202884).</w:t>
      </w:r>
    </w:p>
    <w:p>
      <w:pPr>
        <w:numPr>
          <w:ilvl w:val="0"/>
          <w:numId w:val="1112"/>
        </w:numPr>
        <w:pStyle w:val="Compact"/>
      </w:pPr>
      <w:r>
        <w:rPr>
          <w:bCs/>
          <w:b/>
        </w:rPr>
        <w:t xml:space="preserve">Jongeren</w:t>
      </w:r>
      <w:r>
        <w:t xml:space="preserve"> </w:t>
      </w:r>
      <w:r>
        <w:t xml:space="preserve">(NCT06672939) en</w:t>
      </w:r>
      <w:r>
        <w:t xml:space="preserve"> </w:t>
      </w:r>
      <w:r>
        <w:rPr>
          <w:bCs/>
          <w:b/>
        </w:rPr>
        <w:t xml:space="preserve">kinderen met diabetes type 2</w:t>
      </w:r>
      <w:r>
        <w:t xml:space="preserve"> </w:t>
      </w:r>
      <w:r>
        <w:t xml:space="preserve">in vergelijking met dulaglutide (NCT07668336).</w:t>
      </w:r>
    </w:p>
    <w:p>
      <w:pPr>
        <w:numPr>
          <w:ilvl w:val="0"/>
          <w:numId w:val="1112"/>
        </w:numPr>
        <w:pStyle w:val="Compact"/>
      </w:pPr>
      <w:r>
        <w:t xml:space="preserve">Studie naar</w:t>
      </w:r>
      <w:r>
        <w:t xml:space="preserve"> </w:t>
      </w:r>
      <w:r>
        <w:rPr>
          <w:bCs/>
          <w:b/>
        </w:rPr>
        <w:t xml:space="preserve">slaapapneu</w:t>
      </w:r>
      <w:r>
        <w:t xml:space="preserve"> </w:t>
      </w:r>
      <w:r>
        <w:t xml:space="preserve">(NCT06649045) afgerond, publicatie volgt nog.</w:t>
      </w:r>
    </w:p>
    <w:p>
      <w:pPr>
        <w:pStyle w:val="FirstParagraph"/>
      </w:pPr>
      <w:r>
        <w:rPr>
          <w:bCs/>
          <w:b/>
        </w:rPr>
        <w:t xml:space="preserve">Inschatting:</w:t>
      </w:r>
      <w:r>
        <w:t xml:space="preserve"> </w:t>
      </w:r>
      <w:r>
        <w:t xml:space="preserve">orforglipron wordt naar verwachting het eerste breed beschikbare niet-peptide GLP-1-middel. Zijn kracht is niet het maximale gewichtsverlies – daarin lopen de geïnjecteerde peptiden voorop –, maar de eenvoudige inname, de vermoedelijk goedkopere productie en de geschiktheid voor langdurige behandeling na een fase met injecties. Voor de peptidemarkt betekent dat serieuze concurrentie, vooral bij langdurige en onderhoudstherapie (zie deel V).</w:t>
      </w:r>
    </w:p>
    <w:bookmarkEnd w:id="335"/>
    <w:bookmarkStart w:id="336" w:name="conclusie-14"/>
    <w:p>
      <w:pPr>
        <w:pStyle w:val="Heading3"/>
      </w:pPr>
      <w:r>
        <w:t xml:space="preserve">Conclusie</w:t>
      </w:r>
    </w:p>
    <w:p>
      <w:pPr>
        <w:pStyle w:val="FirstParagraph"/>
      </w:pPr>
      <w:r>
        <w:t xml:space="preserve">Orforglipron is geen peptide, maar een klein molecuul dat als tablet de GLP-1-receptor activeert en zonder innameregels kan worden ingeslikt. In ATTAIN-1 daalde het gewicht na 72 weken met tot 11,2% – minder dan met geïnjecteerd semaglutide of tirzepatide –, en na de overstap van een injectie behielden de deelnemers ongeveer drie kwart van hun gewichtsverlies. Bij diabetes type 2 verlaagde het de HbA1c-waarde sterker dan de semaglutidetablet en bleek het tegenover insuline cardiovasculair veilig. Maag-darmklachten en stoppen met de behandeling komen iets vaker voor dan bij de semaglutidetablet.</w:t>
      </w:r>
    </w:p>
    <w:bookmarkEnd w:id="336"/>
    <w:bookmarkEnd w:id="337"/>
    <w:bookmarkEnd w:id="338"/>
    <w:bookmarkStart w:id="461" w:name="X0773b0bcd52653c8362937ac9d8dbffbb41ba96"/>
    <w:p>
      <w:pPr>
        <w:pStyle w:val="Heading1"/>
      </w:pPr>
      <w:r>
        <w:t xml:space="preserve">Deel II · B – Genezing, regeneratie en immuunsysteem</w:t>
      </w:r>
    </w:p>
    <w:p>
      <w:pPr>
        <w:pStyle w:val="FirstParagraph"/>
      </w:pPr>
      <w:r>
        <w:t xml:space="preserve">De peptiden in deze groep beloven wat velen wensen: sneller herstel van pezen en spieren, een dichtere darmwand, een sterker immuunsysteem, minder ontsteking. In webwinkels, fitnessfora en longevityklinieken behoren BPC-157, TB-500 en thymosine alfa-1 tot de best verkochte</w:t>
      </w:r>
      <w:r>
        <w:t xml:space="preserve"> </w:t>
      </w:r>
      <w:r>
        <w:t xml:space="preserve">‘</w:t>
      </w:r>
      <w:r>
        <w:t xml:space="preserve">onderzoekspeptiden</w:t>
      </w:r>
      <w:r>
        <w:t xml:space="preserve">’</w:t>
      </w:r>
      <w:r>
        <w:t xml:space="preserve"> </w:t>
      </w:r>
      <w:r>
        <w:t xml:space="preserve">überhaupt.</w:t>
      </w:r>
    </w:p>
    <w:bookmarkStart w:id="339" w:name="wat-deze-peptiden-gemeen-hebben"/>
    <w:p>
      <w:pPr>
        <w:pStyle w:val="Heading3"/>
      </w:pPr>
      <w:r>
        <w:t xml:space="preserve">Wat deze peptiden gemeen hebben</w:t>
      </w:r>
    </w:p>
    <w:p>
      <w:pPr>
        <w:pStyle w:val="FirstParagraph"/>
      </w:pPr>
      <w:r>
        <w:t xml:space="preserve">Alle acht werkzame stoffen zouden niet één enkel, duidelijk meetbaar doel moeten veranderen – zoals de bloedsuiker of het lichaamsgewicht –, maar lichaamseigen herstel- en afweerprocessen</w:t>
      </w:r>
      <w:r>
        <w:t xml:space="preserve"> </w:t>
      </w:r>
      <w:r>
        <w:t xml:space="preserve">‘</w:t>
      </w:r>
      <w:r>
        <w:t xml:space="preserve">aanzetten</w:t>
      </w:r>
      <w:r>
        <w:t xml:space="preserve">’</w:t>
      </w:r>
      <w:r>
        <w:t xml:space="preserve"> </w:t>
      </w:r>
      <w:r>
        <w:t xml:space="preserve">of</w:t>
      </w:r>
      <w:r>
        <w:t xml:space="preserve"> </w:t>
      </w:r>
      <w:r>
        <w:t xml:space="preserve">‘</w:t>
      </w:r>
      <w:r>
        <w:t xml:space="preserve">normaliseren</w:t>
      </w:r>
      <w:r>
        <w:t xml:space="preserve">’</w:t>
      </w:r>
      <w:r>
        <w:t xml:space="preserve">. Dat heeft twee gevolgen die als een rode draad door alle hoofdstukken lopen:</w:t>
      </w:r>
    </w:p>
    <w:p>
      <w:pPr>
        <w:numPr>
          <w:ilvl w:val="0"/>
          <w:numId w:val="1113"/>
        </w:numPr>
        <w:pStyle w:val="Compact"/>
      </w:pPr>
      <w:r>
        <w:rPr>
          <w:bCs/>
          <w:b/>
        </w:rPr>
        <w:t xml:space="preserve">Het effect is moeilijk te meten.</w:t>
      </w:r>
      <w:r>
        <w:t xml:space="preserve"> </w:t>
      </w:r>
      <w:r>
        <w:t xml:space="preserve">Genezing, pijn en immuunfunctie schommelen sterk, hangen van veel factoren af en zijn gevoelig voor placebo-effecten. Kleine studies zonder controlegroep zijn daarom bijzonder weinig zeggend.</w:t>
      </w:r>
    </w:p>
    <w:p>
      <w:pPr>
        <w:numPr>
          <w:ilvl w:val="0"/>
          <w:numId w:val="1113"/>
        </w:numPr>
        <w:pStyle w:val="Compact"/>
      </w:pPr>
      <w:r>
        <w:rPr>
          <w:bCs/>
          <w:b/>
        </w:rPr>
        <w:t xml:space="preserve">Aannemelijkheid vervangt vaak bewijs.</w:t>
      </w:r>
      <w:r>
        <w:t xml:space="preserve"> </w:t>
      </w:r>
      <w:r>
        <w:t xml:space="preserve">Vrijwel alle peptiden in deze groep zijn afgeleid van lichaamseigen stoffen: uit maagsap (BPC-157), de thymus (thymosine alfa-1, thymaline), de afweer van de huid (LL-37), het hormoon alfa-MSH (KPV) of erytropoëtine (ARA-290).</w:t>
      </w:r>
      <w:r>
        <w:t xml:space="preserve"> </w:t>
      </w:r>
      <w:r>
        <w:t xml:space="preserve">‘</w:t>
      </w:r>
      <w:r>
        <w:t xml:space="preserve">Lichaamseigen</w:t>
      </w:r>
      <w:r>
        <w:t xml:space="preserve">’</w:t>
      </w:r>
      <w:r>
        <w:t xml:space="preserve"> </w:t>
      </w:r>
      <w:r>
        <w:t xml:space="preserve">klinkt onschuldig, maar zegt niets over nut en veiligheid van toediening van buitenaf in een hoge dosis.</w:t>
      </w:r>
    </w:p>
    <w:p>
      <w:pPr>
        <w:pStyle w:val="FirstParagraph"/>
      </w:pPr>
      <w:r>
        <w:t xml:space="preserve">Opvallend is bovendien een terugkerend patroon: kleine vroege studies lijken veelbelovend, grotere en zorgvuldiger geblindeerde studies bevestigen ze niet. Dat zie je bij thymosine alfa-1 bij sepsis, bij thymosine bèta-4 als oogdruppels, bij LL-37 bij beenzweren en bij larazotide bij coeliakie.</w:t>
      </w:r>
    </w:p>
    <w:bookmarkEnd w:id="339"/>
    <w:bookmarkStart w:id="340" w:name="de-groep-in-één-oogopslag"/>
    <w:p>
      <w:pPr>
        <w:pStyle w:val="Heading3"/>
      </w:pPr>
      <w:r>
        <w:t xml:space="preserve">De groep in één oogopslag</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Peptide</w:t>
            </w:r>
          </w:p>
        </w:tc>
        <w:tc>
          <w:tcPr/>
          <w:p>
            <w:pPr>
              <w:pStyle w:val="Compact"/>
              <w:jc w:val="left"/>
            </w:pPr>
            <w:r>
              <w:t xml:space="preserve">Bewijs</w:t>
            </w:r>
          </w:p>
        </w:tc>
        <w:tc>
          <w:tcPr/>
          <w:p>
            <w:pPr>
              <w:pStyle w:val="Compact"/>
              <w:jc w:val="left"/>
            </w:pPr>
            <w:r>
              <w:t xml:space="preserve">Registratie</w:t>
            </w:r>
          </w:p>
        </w:tc>
        <w:tc>
          <w:tcPr/>
          <w:p>
            <w:pPr>
              <w:pStyle w:val="Compact"/>
              <w:jc w:val="left"/>
            </w:pPr>
            <w:r>
              <w:t xml:space="preserve">Kort</w:t>
            </w:r>
          </w:p>
        </w:tc>
      </w:tr>
      <w:tr>
        <w:tc>
          <w:tcPr/>
          <w:p>
            <w:pPr>
              <w:pStyle w:val="Compact"/>
              <w:jc w:val="left"/>
            </w:pPr>
            <w:r>
              <w:t xml:space="preserve">BPC-157</w:t>
            </w:r>
          </w:p>
        </w:tc>
        <w:tc>
          <w:tcPr/>
          <w:p>
            <w:pPr>
              <w:pStyle w:val="Compact"/>
              <w:jc w:val="left"/>
            </w:pPr>
            <w:r>
              <w:t xml:space="preserve">C</w:t>
            </w:r>
          </w:p>
        </w:tc>
        <w:tc>
          <w:tcPr/>
          <w:p>
            <w:pPr>
              <w:pStyle w:val="Compact"/>
              <w:jc w:val="left"/>
            </w:pPr>
            <w:r>
              <w:t xml:space="preserve">nee</w:t>
            </w:r>
          </w:p>
        </w:tc>
        <w:tc>
          <w:tcPr/>
          <w:p>
            <w:pPr>
              <w:pStyle w:val="Compact"/>
              <w:jc w:val="left"/>
            </w:pPr>
            <w:r>
              <w:t xml:space="preserve">honderden dierstudies, vrijwel allemaal van één groep; bij mensen drie mini-pilotstudies</w:t>
            </w:r>
          </w:p>
        </w:tc>
      </w:tr>
      <w:tr>
        <w:tc>
          <w:tcPr/>
          <w:p>
            <w:pPr>
              <w:pStyle w:val="Compact"/>
              <w:jc w:val="left"/>
            </w:pPr>
            <w:r>
              <w:t xml:space="preserve">TB-500 / thymosine bèta-4</w:t>
            </w:r>
          </w:p>
        </w:tc>
        <w:tc>
          <w:tcPr/>
          <w:p>
            <w:pPr>
              <w:pStyle w:val="Compact"/>
              <w:jc w:val="left"/>
            </w:pPr>
            <w:r>
              <w:t xml:space="preserve">B (Tβ4) · D (TB-500)</w:t>
            </w:r>
          </w:p>
        </w:tc>
        <w:tc>
          <w:tcPr/>
          <w:p>
            <w:pPr>
              <w:pStyle w:val="Compact"/>
              <w:jc w:val="left"/>
            </w:pPr>
            <w:r>
              <w:t xml:space="preserve">nee</w:t>
            </w:r>
          </w:p>
        </w:tc>
        <w:tc>
          <w:tcPr/>
          <w:p>
            <w:pPr>
              <w:pStyle w:val="Compact"/>
              <w:jc w:val="left"/>
            </w:pPr>
            <w:r>
              <w:t xml:space="preserve">Tβ4 in RCT’s onderzocht, grote oogstudies zonder duidelijk nut; TB-500 nooit bij mensen</w:t>
            </w:r>
          </w:p>
        </w:tc>
      </w:tr>
      <w:tr>
        <w:tc>
          <w:tcPr/>
          <w:p>
            <w:pPr>
              <w:pStyle w:val="Compact"/>
              <w:jc w:val="left"/>
            </w:pPr>
            <w:r>
              <w:t xml:space="preserve">Thymosine alfa-1</w:t>
            </w:r>
          </w:p>
        </w:tc>
        <w:tc>
          <w:tcPr/>
          <w:p>
            <w:pPr>
              <w:pStyle w:val="Compact"/>
              <w:jc w:val="left"/>
            </w:pPr>
            <w:r>
              <w:t xml:space="preserve">B</w:t>
            </w:r>
          </w:p>
        </w:tc>
        <w:tc>
          <w:tcPr/>
          <w:p>
            <w:pPr>
              <w:pStyle w:val="Compact"/>
              <w:jc w:val="left"/>
            </w:pPr>
            <w:r>
              <w:t xml:space="preserve">China e.a., niet EU/VS</w:t>
            </w:r>
          </w:p>
        </w:tc>
        <w:tc>
          <w:tcPr/>
          <w:p>
            <w:pPr>
              <w:pStyle w:val="Compact"/>
              <w:jc w:val="left"/>
            </w:pPr>
            <w:r>
              <w:t xml:space="preserve">veel RCT’s; grote sepsisstudie zonder verschil met placebo</w:t>
            </w:r>
          </w:p>
        </w:tc>
      </w:tr>
      <w:tr>
        <w:tc>
          <w:tcPr/>
          <w:p>
            <w:pPr>
              <w:pStyle w:val="Compact"/>
              <w:jc w:val="left"/>
            </w:pPr>
            <w:r>
              <w:t xml:space="preserve">KPV</w:t>
            </w:r>
          </w:p>
        </w:tc>
        <w:tc>
          <w:tcPr/>
          <w:p>
            <w:pPr>
              <w:pStyle w:val="Compact"/>
              <w:jc w:val="left"/>
            </w:pPr>
            <w:r>
              <w:t xml:space="preserve">D</w:t>
            </w:r>
          </w:p>
        </w:tc>
        <w:tc>
          <w:tcPr/>
          <w:p>
            <w:pPr>
              <w:pStyle w:val="Compact"/>
              <w:jc w:val="left"/>
            </w:pPr>
            <w:r>
              <w:t xml:space="preserve">nee</w:t>
            </w:r>
          </w:p>
        </w:tc>
        <w:tc>
          <w:tcPr/>
          <w:p>
            <w:pPr>
              <w:pStyle w:val="Compact"/>
              <w:jc w:val="left"/>
            </w:pPr>
            <w:r>
              <w:t xml:space="preserve">werkzaam bij muizen met colitis; geen studie bij mensen</w:t>
            </w:r>
          </w:p>
        </w:tc>
      </w:tr>
      <w:tr>
        <w:tc>
          <w:tcPr/>
          <w:p>
            <w:pPr>
              <w:pStyle w:val="Compact"/>
              <w:jc w:val="left"/>
            </w:pPr>
            <w:r>
              <w:t xml:space="preserve">LL-37</w:t>
            </w:r>
          </w:p>
        </w:tc>
        <w:tc>
          <w:tcPr/>
          <w:p>
            <w:pPr>
              <w:pStyle w:val="Compact"/>
              <w:jc w:val="left"/>
            </w:pPr>
            <w:r>
              <w:t xml:space="preserve">B</w:t>
            </w:r>
          </w:p>
        </w:tc>
        <w:tc>
          <w:tcPr/>
          <w:p>
            <w:pPr>
              <w:pStyle w:val="Compact"/>
              <w:jc w:val="left"/>
            </w:pPr>
            <w:r>
              <w:t xml:space="preserve">nee</w:t>
            </w:r>
          </w:p>
        </w:tc>
        <w:tc>
          <w:tcPr/>
          <w:p>
            <w:pPr>
              <w:pStyle w:val="Compact"/>
              <w:jc w:val="left"/>
            </w:pPr>
            <w:r>
              <w:t xml:space="preserve">lichaamseigen afweerpeptide; wondstudie met 148 personen zonder voordeel</w:t>
            </w:r>
          </w:p>
        </w:tc>
      </w:tr>
      <w:tr>
        <w:tc>
          <w:tcPr/>
          <w:p>
            <w:pPr>
              <w:pStyle w:val="Compact"/>
              <w:jc w:val="left"/>
            </w:pPr>
            <w:r>
              <w:t xml:space="preserve">ARA-290</w:t>
            </w:r>
          </w:p>
        </w:tc>
        <w:tc>
          <w:tcPr/>
          <w:p>
            <w:pPr>
              <w:pStyle w:val="Compact"/>
              <w:jc w:val="left"/>
            </w:pPr>
            <w:r>
              <w:t xml:space="preserve">B</w:t>
            </w:r>
          </w:p>
        </w:tc>
        <w:tc>
          <w:tcPr/>
          <w:p>
            <w:pPr>
              <w:pStyle w:val="Compact"/>
              <w:jc w:val="left"/>
            </w:pPr>
            <w:r>
              <w:t xml:space="preserve">nee</w:t>
            </w:r>
          </w:p>
        </w:tc>
        <w:tc>
          <w:tcPr/>
          <w:p>
            <w:pPr>
              <w:pStyle w:val="Compact"/>
              <w:jc w:val="left"/>
            </w:pPr>
            <w:r>
              <w:t xml:space="preserve">kleine RCT’s bij zenuwschade door sarcoïdose; sinds 2015 geen nieuwe studies</w:t>
            </w:r>
          </w:p>
        </w:tc>
      </w:tr>
      <w:tr>
        <w:tc>
          <w:tcPr/>
          <w:p>
            <w:pPr>
              <w:pStyle w:val="Compact"/>
              <w:jc w:val="left"/>
            </w:pPr>
            <w:r>
              <w:t xml:space="preserve">Larazotide</w:t>
            </w:r>
          </w:p>
        </w:tc>
        <w:tc>
          <w:tcPr/>
          <w:p>
            <w:pPr>
              <w:pStyle w:val="Compact"/>
              <w:jc w:val="left"/>
            </w:pPr>
            <w:r>
              <w:t xml:space="preserve">B</w:t>
            </w:r>
          </w:p>
        </w:tc>
        <w:tc>
          <w:tcPr/>
          <w:p>
            <w:pPr>
              <w:pStyle w:val="Compact"/>
              <w:jc w:val="left"/>
            </w:pPr>
            <w:r>
              <w:t xml:space="preserve">nee</w:t>
            </w:r>
          </w:p>
        </w:tc>
        <w:tc>
          <w:tcPr/>
          <w:p>
            <w:pPr>
              <w:pStyle w:val="Compact"/>
              <w:jc w:val="left"/>
            </w:pPr>
            <w:r>
              <w:t xml:space="preserve">kandidaat voor coeliakie; fase 3 afgebroken</w:t>
            </w:r>
          </w:p>
        </w:tc>
      </w:tr>
      <w:tr>
        <w:tc>
          <w:tcPr/>
          <w:p>
            <w:pPr>
              <w:pStyle w:val="Compact"/>
              <w:jc w:val="left"/>
            </w:pPr>
            <w:r>
              <w:t xml:space="preserve">Thymaline / thymogen</w:t>
            </w:r>
          </w:p>
        </w:tc>
        <w:tc>
          <w:tcPr/>
          <w:p>
            <w:pPr>
              <w:pStyle w:val="Compact"/>
              <w:jc w:val="left"/>
            </w:pPr>
            <w:r>
              <w:t xml:space="preserve">C</w:t>
            </w:r>
          </w:p>
        </w:tc>
        <w:tc>
          <w:tcPr/>
          <w:p>
            <w:pPr>
              <w:pStyle w:val="Compact"/>
              <w:jc w:val="left"/>
            </w:pPr>
            <w:r>
              <w:t xml:space="preserve">Rusland</w:t>
            </w:r>
          </w:p>
        </w:tc>
        <w:tc>
          <w:tcPr/>
          <w:p>
            <w:pPr>
              <w:pStyle w:val="Compact"/>
              <w:jc w:val="left"/>
            </w:pPr>
            <w:r>
              <w:t xml:space="preserve">vrijwel alleen Russische studies van één school, nauwelijks gerandomiseerd</w:t>
            </w:r>
          </w:p>
        </w:tc>
      </w:tr>
    </w:tbl>
    <w:p>
      <w:pPr>
        <w:pStyle w:val="BodyText"/>
      </w:pPr>
      <w:r>
        <w:t xml:space="preserve">Bewijsniveaus:</w:t>
      </w:r>
      <w:r>
        <w:t xml:space="preserve"> </w:t>
      </w:r>
      <w:r>
        <w:rPr>
          <w:bCs/>
          <w:b/>
        </w:rPr>
        <w:t xml:space="preserve">A</w:t>
      </w:r>
      <w:r>
        <w:t xml:space="preserve"> </w:t>
      </w:r>
      <w:r>
        <w:t xml:space="preserve">meerdere grote RCT’s of registratie ·</w:t>
      </w:r>
      <w:r>
        <w:t xml:space="preserve"> </w:t>
      </w:r>
      <w:r>
        <w:rPr>
          <w:bCs/>
          <w:b/>
        </w:rPr>
        <w:t xml:space="preserve">B</w:t>
      </w:r>
      <w:r>
        <w:t xml:space="preserve"> </w:t>
      </w:r>
      <w:r>
        <w:t xml:space="preserve">afzonderlijke RCT’s ·</w:t>
      </w:r>
      <w:r>
        <w:t xml:space="preserve"> </w:t>
      </w:r>
      <w:r>
        <w:rPr>
          <w:bCs/>
          <w:b/>
        </w:rPr>
        <w:t xml:space="preserve">C</w:t>
      </w:r>
      <w:r>
        <w:t xml:space="preserve"> </w:t>
      </w:r>
      <w:r>
        <w:t xml:space="preserve">alleen kleine of ongecontroleerde studies bij mensen ·</w:t>
      </w:r>
      <w:r>
        <w:t xml:space="preserve"> </w:t>
      </w:r>
      <w:r>
        <w:rPr>
          <w:bCs/>
          <w:b/>
        </w:rPr>
        <w:t xml:space="preserve">D</w:t>
      </w:r>
      <w:r>
        <w:t xml:space="preserve"> </w:t>
      </w:r>
      <w:r>
        <w:t xml:space="preserve">alleen dier- en laboratoriumstudies. Registratie verwijst naar de registratie als geneesmiddel, stand 2026.</w:t>
      </w:r>
    </w:p>
    <w:p>
      <w:pPr>
        <w:pStyle w:val="BodyText"/>
      </w:pPr>
      <w:r>
        <w:t xml:space="preserve">Geen enkel peptide in deze groep is in de EU of de VS als geneesmiddel geregistreerd. De twee werkzame stoffen met registraties buiten het Westen – thymosine alfa-1 en thymaline – werden geregistreerd op basis van studies die slechts gedeeltelijk aan de huidige maatstaven voldoen.</w:t>
      </w:r>
    </w:p>
    <w:bookmarkEnd w:id="340"/>
    <w:bookmarkStart w:id="341" w:name="leeswijzer-1"/>
    <w:p>
      <w:pPr>
        <w:pStyle w:val="Heading3"/>
      </w:pPr>
      <w:r>
        <w:t xml:space="preserve">Leeswijzer</w:t>
      </w:r>
    </w:p>
    <w:p>
      <w:pPr>
        <w:pStyle w:val="FirstParagraph"/>
      </w:pPr>
      <w:r>
        <w:t xml:space="preserve">De hoofdstukken volgen de uniforme opbouw van dit boek. Let bij deze groep vooral op drie onderscheidingen:</w:t>
      </w:r>
    </w:p>
    <w:p>
      <w:pPr>
        <w:numPr>
          <w:ilvl w:val="0"/>
          <w:numId w:val="1114"/>
        </w:numPr>
        <w:pStyle w:val="Compact"/>
      </w:pPr>
      <w:r>
        <w:rPr>
          <w:bCs/>
          <w:b/>
        </w:rPr>
        <w:t xml:space="preserve">Mens of dier?</w:t>
      </w:r>
      <w:r>
        <w:t xml:space="preserve"> </w:t>
      </w:r>
      <w:r>
        <w:t xml:space="preserve">Bij BPC-157, KPV en TB-500 berust vrijwel alles wat op internet wordt beweerd op experimenten met ratten, muizen of celkweken. De hoofdstukken geven dat telkens uitdrukkelijk aan.</w:t>
      </w:r>
    </w:p>
    <w:p>
      <w:pPr>
        <w:numPr>
          <w:ilvl w:val="0"/>
          <w:numId w:val="1114"/>
        </w:numPr>
        <w:pStyle w:val="Compact"/>
      </w:pPr>
      <w:r>
        <w:rPr>
          <w:bCs/>
          <w:b/>
        </w:rPr>
        <w:t xml:space="preserve">Werkzame stof of meetwaarde?</w:t>
      </w:r>
      <w:r>
        <w:t xml:space="preserve"> </w:t>
      </w:r>
      <w:r>
        <w:t xml:space="preserve">Bij LL-37 zijn er veel studies die de stof in het bloed</w:t>
      </w:r>
      <w:r>
        <w:t xml:space="preserve"> </w:t>
      </w:r>
      <w:r>
        <w:rPr>
          <w:iCs/>
          <w:i/>
        </w:rPr>
        <w:t xml:space="preserve">meten</w:t>
      </w:r>
      <w:r>
        <w:t xml:space="preserve">, maar slechts weinig die haar als geneesmiddel</w:t>
      </w:r>
      <w:r>
        <w:t xml:space="preserve"> </w:t>
      </w:r>
      <w:r>
        <w:rPr>
          <w:iCs/>
          <w:i/>
        </w:rPr>
        <w:t xml:space="preserve">toedienen</w:t>
      </w:r>
      <w:r>
        <w:t xml:space="preserve">. Alleen die laatste zeggen iets over een behandeling.</w:t>
      </w:r>
    </w:p>
    <w:p>
      <w:pPr>
        <w:numPr>
          <w:ilvl w:val="0"/>
          <w:numId w:val="1114"/>
        </w:numPr>
        <w:pStyle w:val="Compact"/>
      </w:pPr>
      <w:r>
        <w:rPr>
          <w:bCs/>
          <w:b/>
        </w:rPr>
        <w:t xml:space="preserve">Origineel of afgeleide?</w:t>
      </w:r>
      <w:r>
        <w:t xml:space="preserve"> </w:t>
      </w:r>
      <w:r>
        <w:t xml:space="preserve">TB-500 is niet thymosine bèta-4, thymogen niet thymaline, en het op internet verkochte product is niet de in studies gebruikte toedieningsvorm.</w:t>
      </w:r>
    </w:p>
    <w:p>
      <w:pPr>
        <w:pStyle w:val="FirstParagraph"/>
      </w:pPr>
      <w:r>
        <w:t xml:space="preserve">Twee hoofdstukken bevatten opmerkingen over registervermeldingen waarvan de echtheid twijfelachtig is: één sponsor heeft bij ClinicalTrials.gov zowel een fase 2-studie naar BPC-157 als een studie naar TB-500 ingeschreven, waarvan er één zichzelf een</w:t>
      </w:r>
      <w:r>
        <w:t xml:space="preserve"> </w:t>
      </w:r>
      <w:r>
        <w:t xml:space="preserve">‘</w:t>
      </w:r>
      <w:r>
        <w:t xml:space="preserve">fictief voorbeeld</w:t>
      </w:r>
      <w:r>
        <w:t xml:space="preserve">’</w:t>
      </w:r>
      <w:r>
        <w:t xml:space="preserve"> </w:t>
      </w:r>
      <w:r>
        <w:t xml:space="preserve">noemt. Ook een registervermelding is dus geen bewijs dat een studie daadwerkelijk plaatsvindt.</w:t>
      </w:r>
    </w:p>
    <w:p>
      <w:pPr>
        <w:pStyle w:val="BodyText"/>
      </w:pPr>
      <w:r>
        <w:t xml:space="preserve">Vragen over producten van de grijze markt, verontreinigingen en het theoretische kankerrisico door groei- en vaatsignalen worden in hoofdstuk I.5 en in deel IV uitvoeriger en over de peptiden heen behandeld. Voor sporters geldt: BPC-157, TB-500 en ARA-290 zijn door de WADA uitdrukkelijk verboden; bij de overige kunt u vóór elk gebruik het beste uw nationale antidopingorganisatie raadplegen.</w:t>
      </w:r>
    </w:p>
    <w:bookmarkEnd w:id="341"/>
    <w:bookmarkStart w:id="359" w:name="bpc-157"/>
    <w:p>
      <w:pPr>
        <w:pStyle w:val="Heading2"/>
      </w:pPr>
      <w:r>
        <w:t xml:space="preserve">BPC-157</w:t>
      </w:r>
    </w:p>
    <w:p>
      <w:pPr>
        <w:pStyle w:val="FirstParagraph"/>
      </w:pPr>
      <w:r>
        <w:t xml:space="preserve">Nauwelijks een peptide wordt op internet zo vaak gezocht, aanbevolen en verkocht als BPC-157. Op fora en in video’s geldt het als wondermiddel voor pezen, banden, spieren, darmen en zelfs de hersenen. Wie de vakliteratuur leest, vindt inderdaad ruim meer dan tweehonderd publicaties. Het beeld verandert echter zodra je vraagt hoeveel daarvan mensen hebben onderzocht: het zijn er slechts een handvol – klein, ongecontroleerd en afkomstig uit één enkele privépraktijk. Dit hoofdstuk zet op een rij wat aangetoond is, wat alleen bij ratten is gezien en waar de risico’s liggen.</w:t>
      </w:r>
    </w:p>
    <w:bookmarkStart w:id="342" w:name="profiel-15"/>
    <w:p>
      <w:pPr>
        <w:pStyle w:val="Heading3"/>
      </w:pPr>
      <w:r>
        <w:t xml:space="preserve">Profiel</w:t>
      </w:r>
    </w:p>
    <w:p>
      <w:pPr>
        <w:numPr>
          <w:ilvl w:val="0"/>
          <w:numId w:val="1115"/>
        </w:numPr>
        <w:pStyle w:val="Compact"/>
      </w:pPr>
      <w:r>
        <w:rPr>
          <w:bCs/>
          <w:b/>
        </w:rPr>
        <w:t xml:space="preserve">Soort en structuur:</w:t>
      </w:r>
      <w:r>
        <w:t xml:space="preserve"> </w:t>
      </w:r>
      <w:r>
        <w:t xml:space="preserve">synthetisch peptide van 15 aminozuren (pentadecapeptide) met de sequentie GEPPPGKPADDAGLV (Cox 2017, PMID 28035768).</w:t>
      </w:r>
    </w:p>
    <w:p>
      <w:pPr>
        <w:numPr>
          <w:ilvl w:val="0"/>
          <w:numId w:val="1115"/>
        </w:numPr>
        <w:pStyle w:val="Compact"/>
      </w:pPr>
      <w:r>
        <w:rPr>
          <w:bCs/>
          <w:b/>
        </w:rPr>
        <w:t xml:space="preserve">Herkomst:</w:t>
      </w:r>
      <w:r>
        <w:t xml:space="preserve"> </w:t>
      </w:r>
      <w:r>
        <w:t xml:space="preserve">afgeleid van een groter eiwit dat in de jaren negentig uit menselijk maagsap werd beschreven (</w:t>
      </w:r>
      <w:r>
        <w:t xml:space="preserve">‘</w:t>
      </w:r>
      <w:r>
        <w:t xml:space="preserve">Body Protection Compound</w:t>
      </w:r>
      <w:r>
        <w:t xml:space="preserve">’</w:t>
      </w:r>
      <w:r>
        <w:t xml:space="preserve">, vandaar BPC). Het verkochte BPC-157 is een laboratoriumproduct; of de sequentie in deze vorm in het lichaam voorkomt, is niet onafhankelijk vastgesteld.</w:t>
      </w:r>
    </w:p>
    <w:p>
      <w:pPr>
        <w:numPr>
          <w:ilvl w:val="0"/>
          <w:numId w:val="1115"/>
        </w:numPr>
        <w:pStyle w:val="Compact"/>
      </w:pPr>
      <w:r>
        <w:rPr>
          <w:bCs/>
          <w:b/>
        </w:rPr>
        <w:t xml:space="preserve">Vroegere ontwikkelingsnamen:</w:t>
      </w:r>
      <w:r>
        <w:t xml:space="preserve"> </w:t>
      </w:r>
      <w:r>
        <w:t xml:space="preserve">PL 14736, PL-10, PLD-116 (bedrijf Pliva, Kroatië), later</w:t>
      </w:r>
      <w:r>
        <w:t xml:space="preserve"> </w:t>
      </w:r>
      <w:r>
        <w:t xml:space="preserve">‘</w:t>
      </w:r>
      <w:r>
        <w:t xml:space="preserve">Bepecin</w:t>
      </w:r>
      <w:r>
        <w:t xml:space="preserve">’</w:t>
      </w:r>
      <w:r>
        <w:t xml:space="preserve"> </w:t>
      </w:r>
      <w:r>
        <w:t xml:space="preserve">resp. PCO-02.</w:t>
      </w:r>
    </w:p>
    <w:p>
      <w:pPr>
        <w:numPr>
          <w:ilvl w:val="0"/>
          <w:numId w:val="1115"/>
        </w:numPr>
        <w:pStyle w:val="Compact"/>
      </w:pPr>
      <w:r>
        <w:rPr>
          <w:bCs/>
          <w:b/>
        </w:rPr>
        <w:t xml:space="preserve">Werkingsprincipe (vermoed, uit dierstudies):</w:t>
      </w:r>
      <w:r>
        <w:t xml:space="preserve"> </w:t>
      </w:r>
      <w:r>
        <w:t xml:space="preserve">bevordering van de vorming van nieuwe bloedvaten (angiogenese) via de VEGF-receptor 2 en het stikstofmonoxidesysteem, effect op de migratie van bindweefselcellen.</w:t>
      </w:r>
    </w:p>
    <w:p>
      <w:pPr>
        <w:numPr>
          <w:ilvl w:val="0"/>
          <w:numId w:val="1115"/>
        </w:numPr>
        <w:pStyle w:val="Compact"/>
      </w:pPr>
      <w:r>
        <w:rPr>
          <w:bCs/>
          <w:b/>
        </w:rPr>
        <w:t xml:space="preserve">Registratie EU:</w:t>
      </w:r>
      <w:r>
        <w:t xml:space="preserve"> </w:t>
      </w:r>
      <w:r>
        <w:t xml:space="preserve">nee.</w:t>
      </w:r>
      <w:r>
        <w:t xml:space="preserve"> </w:t>
      </w:r>
      <w:r>
        <w:rPr>
          <w:bCs/>
          <w:b/>
        </w:rPr>
        <w:t xml:space="preserve">Registratie VS:</w:t>
      </w:r>
      <w:r>
        <w:t xml:space="preserve"> </w:t>
      </w:r>
      <w:r>
        <w:t xml:space="preserve">nee; door de FDA in 2023 ingedeeld als werkzame stof met veiligheidsbezwaren voor bereiding door apotheken (categorie 2).</w:t>
      </w:r>
    </w:p>
    <w:p>
      <w:pPr>
        <w:numPr>
          <w:ilvl w:val="0"/>
          <w:numId w:val="1115"/>
        </w:numPr>
        <w:pStyle w:val="Compact"/>
      </w:pPr>
      <w:r>
        <w:rPr>
          <w:bCs/>
          <w:b/>
        </w:rPr>
        <w:t xml:space="preserve">WADA:</w:t>
      </w:r>
      <w:r>
        <w:t xml:space="preserve"> </w:t>
      </w:r>
      <w:r>
        <w:t xml:space="preserve">verboden, groep S0</w:t>
      </w:r>
      <w:r>
        <w:t xml:space="preserve"> </w:t>
      </w:r>
      <w:r>
        <w:t xml:space="preserve">‘</w:t>
      </w:r>
      <w:r>
        <w:t xml:space="preserve">niet-goedgekeurde stoffen</w:t>
      </w:r>
      <w:r>
        <w:t xml:space="preserve">’</w:t>
      </w:r>
      <w:r>
        <w:t xml:space="preserve"> </w:t>
      </w:r>
      <w:r>
        <w:t xml:space="preserve">(uitdrukkelijk genoemd).</w:t>
      </w:r>
    </w:p>
    <w:p>
      <w:pPr>
        <w:numPr>
          <w:ilvl w:val="0"/>
          <w:numId w:val="1115"/>
        </w:numPr>
        <w:pStyle w:val="Compact"/>
      </w:pPr>
      <w:r>
        <w:rPr>
          <w:bCs/>
          <w:b/>
        </w:rPr>
        <w:t xml:space="preserve">Bewijsniveau: C</w:t>
      </w:r>
      <w:r>
        <w:t xml:space="preserve"> </w:t>
      </w:r>
      <w:r>
        <w:t xml:space="preserve">– slechts drie zeer kleine, ongecontroleerde onderzoeken bij mensen met samen ongeveer 30 personen; geen afgeronde gerandomiseerde studie.</w:t>
      </w:r>
    </w:p>
    <w:bookmarkEnd w:id="342"/>
    <w:bookmarkStart w:id="343" w:name="hoe-het-zou-moeten-werken-15"/>
    <w:p>
      <w:pPr>
        <w:pStyle w:val="Heading3"/>
      </w:pPr>
      <w:r>
        <w:t xml:space="preserve">Hoe het zou moeten werken</w:t>
      </w:r>
    </w:p>
    <w:p>
      <w:pPr>
        <w:pStyle w:val="FirstParagraph"/>
      </w:pPr>
      <w:r>
        <w:t xml:space="preserve">Het basisidee komt uit het maagonderzoek. Het maagslijmvlies wordt dagelijks blootgesteld aan zuur, enzymen en geneesmiddelen zoals pijnstillers en herstelt zich toch verbazingwekkend snel. Onderzoekers in Zagreb vermoedden in de jaren negentig dat beschermende stoffen in het maagsap dit vermogen tot stand brengen, en isoleerden een peptide dat ze</w:t>
      </w:r>
      <w:r>
        <w:t xml:space="preserve"> </w:t>
      </w:r>
      <w:r>
        <w:t xml:space="preserve">‘</w:t>
      </w:r>
      <w:r>
        <w:t xml:space="preserve">Body Protection Compound</w:t>
      </w:r>
      <w:r>
        <w:t xml:space="preserve">’</w:t>
      </w:r>
      <w:r>
        <w:t xml:space="preserve"> </w:t>
      </w:r>
      <w:r>
        <w:t xml:space="preserve">noemden. BPC-157 is daar een kort fragment van.</w:t>
      </w:r>
    </w:p>
    <w:p>
      <w:pPr>
        <w:pStyle w:val="BodyText"/>
      </w:pPr>
      <w:r>
        <w:t xml:space="preserve">Ongewoon is dat BPC-157 in maagsap stabiel blijft. De meeste peptiden worden daar snel afgebroken. Voorstanders leiden daaruit af dat het ook als tablet zou kunnen werken – bij mensen is dat niet bewezen.</w:t>
      </w:r>
    </w:p>
    <w:p>
      <w:pPr>
        <w:pStyle w:val="BodyText"/>
      </w:pPr>
      <w:r>
        <w:t xml:space="preserve">Voor de beweerde werking worden vooral drie mechanismen besproken, die allemaal uit dier- en celexperimenten komen:</w:t>
      </w:r>
    </w:p>
    <w:p>
      <w:pPr>
        <w:numPr>
          <w:ilvl w:val="0"/>
          <w:numId w:val="1116"/>
        </w:numPr>
        <w:pStyle w:val="Compact"/>
      </w:pPr>
      <w:r>
        <w:rPr>
          <w:bCs/>
          <w:b/>
        </w:rPr>
        <w:t xml:space="preserve">Vorming van nieuwe bloedvaten:</w:t>
      </w:r>
      <w:r>
        <w:t xml:space="preserve"> </w:t>
      </w:r>
      <w:r>
        <w:t xml:space="preserve">in celkweken van menselijke vaatwandcellen verhoogde BPC-157 de hoeveelheid VEGF-receptor 2 (een centrale schakelaar voor de groei van nieuwe bloedvaten) en activeerde het de daarachter liggende signaalroute Akt-eNOS; bij ratten met een afgebonden beenslagader keerde de doorbloeding sneller terug (Hsieh 2017, PMID 27847966). Een Chinese studie beschreef in 2026 in celexperimenten een andere route via de eiwitten FBXO22 en BACH1 (Zhang 2026, PMID 41606641).</w:t>
      </w:r>
    </w:p>
    <w:p>
      <w:pPr>
        <w:numPr>
          <w:ilvl w:val="0"/>
          <w:numId w:val="1116"/>
        </w:numPr>
        <w:pStyle w:val="Compact"/>
      </w:pPr>
      <w:r>
        <w:rPr>
          <w:bCs/>
          <w:b/>
        </w:rPr>
        <w:t xml:space="preserve">Celmigratie en overleving:</w:t>
      </w:r>
      <w:r>
        <w:t xml:space="preserve"> </w:t>
      </w:r>
      <w:r>
        <w:t xml:space="preserve">in kweken van pescellen van ratten versnelde BPC-157 het uitgroeien van de cellen uit stukjes pees, verbeterde het hun overleving onder oxidatieve stress en bevorderde het hun migratie; de celdeling zelf werd niet direct verhoogd (Chang 2011, PMID 21030672).</w:t>
      </w:r>
    </w:p>
    <w:p>
      <w:pPr>
        <w:numPr>
          <w:ilvl w:val="0"/>
          <w:numId w:val="1116"/>
        </w:numPr>
        <w:pStyle w:val="Compact"/>
      </w:pPr>
      <w:r>
        <w:rPr>
          <w:bCs/>
          <w:b/>
        </w:rPr>
        <w:t xml:space="preserve">Gevoeligheid voor groeihormoon:</w:t>
      </w:r>
      <w:r>
        <w:t xml:space="preserve"> </w:t>
      </w:r>
      <w:r>
        <w:t xml:space="preserve">in dezelfde pescellen van ratten verhoogde BPC-157 het aantal groeihormoonreceptoren (Chang 2014, PMID 25415472).</w:t>
      </w:r>
    </w:p>
    <w:p>
      <w:pPr>
        <w:pStyle w:val="FirstParagraph"/>
      </w:pPr>
      <w:r>
        <w:t xml:space="preserve">Daarbij komt een groot aantal andere effecten op stikstofmonoxide, bloedstolling en neurotransmitters, die vooral in overzichtsartikelen van de Zagrebse groep worden beschreven (Sikiric 2025, PMID 40573323). Een eenduidige receptor waaraan BPC-157 bindt, is tot op heden niet bekend.</w:t>
      </w:r>
    </w:p>
    <w:p>
      <w:pPr>
        <w:pStyle w:val="BodyText"/>
      </w:pPr>
      <w:r>
        <w:t xml:space="preserve">Opvallend is een tegenstrijdigheid waarop een farmaceutisch overzicht wijst: bij dieren heeft BPC-157 een halfwaardetijd van minder dan 30 minuten, maar de beschreven effecten zouden uren tot dagen aanhouden (Mateescu 2026, PMID 42198317). Hoe dat samengaat, is onopgehelderd.</w:t>
      </w:r>
    </w:p>
    <w:bookmarkEnd w:id="343"/>
    <w:bookmarkStart w:id="346" w:name="studies-bij-mensen-15"/>
    <w:p>
      <w:pPr>
        <w:pStyle w:val="Heading3"/>
      </w:pPr>
      <w:r>
        <w:t xml:space="preserve">Studies bij mensen</w:t>
      </w:r>
    </w:p>
    <w:p>
      <w:pPr>
        <w:pStyle w:val="FirstParagraph"/>
      </w:pPr>
      <w:r>
        <w:rPr>
          <w:bCs/>
          <w:b/>
        </w:rPr>
        <w:t xml:space="preserve">Omvang van het onderzoek (zoekopdracht oktober 2026):</w:t>
      </w:r>
      <w:r>
        <w:t xml:space="preserve"> </w:t>
      </w:r>
      <w:r>
        <w:t xml:space="preserve">De geautomatiseerde zoekopdracht van dit boek vond in PubMed</w:t>
      </w:r>
      <w:r>
        <w:t xml:space="preserve"> </w:t>
      </w:r>
      <w:r>
        <w:rPr>
          <w:bCs/>
          <w:b/>
        </w:rPr>
        <w:t xml:space="preserve">geen</w:t>
      </w:r>
      <w:r>
        <w:t xml:space="preserve"> </w:t>
      </w:r>
      <w:r>
        <w:t xml:space="preserve">studie die voldoet aan de filtercriteria voor een studie bij mensen (</w:t>
      </w:r>
      <w:r>
        <w:rPr>
          <w:rStyle w:val="VerbatimChar"/>
        </w:rPr>
        <w:t xml:space="preserve">humanstudien_alle</w:t>
      </w:r>
      <w:r>
        <w:t xml:space="preserve">: 0), en</w:t>
      </w:r>
      <w:r>
        <w:t xml:space="preserve"> </w:t>
      </w:r>
      <w:r>
        <w:rPr>
          <w:bCs/>
          <w:b/>
        </w:rPr>
        <w:t xml:space="preserve">4</w:t>
      </w:r>
      <w:r>
        <w:t xml:space="preserve"> </w:t>
      </w:r>
      <w:r>
        <w:t xml:space="preserve">vermeldingen in het studieregister ClinicalTrials.gov. In totaal vermeldt PubMed voor BPC-157 ongeveer 230 publicaties – vrijwel uitsluitend dierproeven, laboratoriumwerk en overzichtsartikelen.</w:t>
      </w:r>
    </w:p>
    <w:p>
      <w:pPr>
        <w:pStyle w:val="BodyText"/>
      </w:pPr>
      <w:r>
        <w:t xml:space="preserve">Een gerichte aanvullende zoektocht leverde drie kleine onderzoeken bij mensen op. Alle drie zijn afkomstig van dezelfde eerste auteur uit een privépraktijk in Florida en verschenen in een tijdschrift voor alternatieve geneeskunde. Een in 2026 gepubliceerd systematisch overzicht heeft precies deze drie studies met samen 30 personen gevonden (Poolton 2026, PMID 42885452).</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Deelnemers en design</w:t>
            </w:r>
          </w:p>
        </w:tc>
        <w:tc>
          <w:tcPr/>
          <w:p>
            <w:pPr>
              <w:pStyle w:val="Compact"/>
              <w:jc w:val="left"/>
            </w:pPr>
            <w:r>
              <w:t xml:space="preserve">Duur</w:t>
            </w:r>
          </w:p>
        </w:tc>
        <w:tc>
          <w:tcPr/>
          <w:p>
            <w:pPr>
              <w:pStyle w:val="Compact"/>
              <w:jc w:val="left"/>
            </w:pPr>
            <w:r>
              <w:t xml:space="preserve">Resultaat</w:t>
            </w:r>
          </w:p>
        </w:tc>
      </w:tr>
      <w:tr>
        <w:tc>
          <w:tcPr/>
          <w:p>
            <w:pPr>
              <w:pStyle w:val="Compact"/>
              <w:jc w:val="left"/>
            </w:pPr>
            <w:r>
              <w:t xml:space="preserve">Kniegewricht (Lee 2021), PMID 34324435</w:t>
            </w:r>
          </w:p>
        </w:tc>
        <w:tc>
          <w:tcPr/>
          <w:p>
            <w:pPr>
              <w:pStyle w:val="Compact"/>
              <w:jc w:val="left"/>
            </w:pPr>
            <w:r>
              <w:t xml:space="preserve">16 personen met kniepijn door uiteenlopende oorzaken, retrospectieve dossieranalyse met telefonische enquête, geen controlegroep</w:t>
            </w:r>
          </w:p>
        </w:tc>
        <w:tc>
          <w:tcPr/>
          <w:p>
            <w:pPr>
              <w:pStyle w:val="Compact"/>
              <w:jc w:val="left"/>
            </w:pPr>
            <w:r>
              <w:t xml:space="preserve">terugblik 6–12 maanden</w:t>
            </w:r>
          </w:p>
        </w:tc>
        <w:tc>
          <w:tcPr/>
          <w:p>
            <w:pPr>
              <w:pStyle w:val="Compact"/>
              <w:jc w:val="left"/>
            </w:pPr>
            <w:r>
              <w:t xml:space="preserve">14 van de 16 meldden pijnverlichting; 12 kregen alleen BPC-157, 4 daarnaast thymosine bèta-4</w:t>
            </w:r>
          </w:p>
        </w:tc>
      </w:tr>
      <w:tr>
        <w:tc>
          <w:tcPr/>
          <w:p>
            <w:pPr>
              <w:pStyle w:val="Compact"/>
              <w:jc w:val="left"/>
            </w:pPr>
            <w:r>
              <w:t xml:space="preserve">Interstitiële cystitis (Lee 2024), PMID 39325560</w:t>
            </w:r>
          </w:p>
        </w:tc>
        <w:tc>
          <w:tcPr/>
          <w:p>
            <w:pPr>
              <w:pStyle w:val="Compact"/>
              <w:jc w:val="left"/>
            </w:pPr>
            <w:r>
              <w:t xml:space="preserve">12 vrouwen met een chronische blaaspijnaandoening, injecties in de blaaswand tijdens een cystoscopie, geen controlegroep</w:t>
            </w:r>
          </w:p>
        </w:tc>
        <w:tc>
          <w:tcPr/>
          <w:p>
            <w:pPr>
              <w:pStyle w:val="Compact"/>
              <w:jc w:val="left"/>
            </w:pPr>
            <w:r>
              <w:t xml:space="preserve">één behandeling</w:t>
            </w:r>
          </w:p>
        </w:tc>
        <w:tc>
          <w:tcPr/>
          <w:p>
            <w:pPr>
              <w:pStyle w:val="Compact"/>
              <w:jc w:val="left"/>
            </w:pPr>
            <w:r>
              <w:t xml:space="preserve">10 van de 12 meldden volledige, 2 overwegende verbetering; geen bijwerkingen gemeld</w:t>
            </w:r>
          </w:p>
        </w:tc>
      </w:tr>
      <w:tr>
        <w:tc>
          <w:tcPr/>
          <w:p>
            <w:pPr>
              <w:pStyle w:val="Compact"/>
              <w:jc w:val="left"/>
            </w:pPr>
            <w:r>
              <w:t xml:space="preserve">Infuus in de ader (Lee 2025), PMID 40131143</w:t>
            </w:r>
          </w:p>
        </w:tc>
        <w:tc>
          <w:tcPr/>
          <w:p>
            <w:pPr>
              <w:pStyle w:val="Compact"/>
              <w:jc w:val="left"/>
            </w:pPr>
            <w:r>
              <w:t xml:space="preserve">2 personen, veiligheidstest op twee dagen</w:t>
            </w:r>
          </w:p>
        </w:tc>
        <w:tc>
          <w:tcPr/>
          <w:p>
            <w:pPr>
              <w:pStyle w:val="Compact"/>
              <w:jc w:val="left"/>
            </w:pPr>
            <w:r>
              <w:t xml:space="preserve">3 dagen</w:t>
            </w:r>
          </w:p>
        </w:tc>
        <w:tc>
          <w:tcPr/>
          <w:p>
            <w:pPr>
              <w:pStyle w:val="Compact"/>
              <w:jc w:val="left"/>
            </w:pPr>
            <w:r>
              <w:t xml:space="preserve">geen meetbare veranderingen in de onderzochte bloedwaarden, geen klachten</w:t>
            </w:r>
          </w:p>
        </w:tc>
      </w:tr>
    </w:tbl>
    <w:bookmarkStart w:id="344" w:name="hoe-zeggingskrachtig-zijn-deze-gegevens"/>
    <w:p>
      <w:pPr>
        <w:pStyle w:val="Heading4"/>
      </w:pPr>
      <w:r>
        <w:t xml:space="preserve">Hoe zeggingskrachtig zijn deze gegevens?</w:t>
      </w:r>
    </w:p>
    <w:p>
      <w:pPr>
        <w:pStyle w:val="FirstParagraph"/>
      </w:pPr>
      <w:r>
        <w:t xml:space="preserve">Nauwelijks. Het knieonderzoek was geen geplande studie, maar een achteraf gehouden telefonische enquête onder patiënten die de behandeling al hadden betaald. Er was geen vergelijkingsgroep, geen blindering, geen meetinstrumenten voor functie of kwaliteit van leven en geen beeldvorming. De oorzaken van de kniepijn liepen uiteen van artrose tot meniscusscheuren. Volgens het abstract werden geen gestandaardiseerde vragenlijsten over functie gebruikt (Lee 2021, PMID 34324435).</w:t>
      </w:r>
    </w:p>
    <w:p>
      <w:pPr>
        <w:pStyle w:val="BodyText"/>
      </w:pPr>
      <w:r>
        <w:t xml:space="preserve">Het cystitisonderzoek mat het resultaat met één enkele globale vragenlijst. Dat alle twaalf vrouwen de best mogelijke beoordeling gaven, is voor een chronische, vaak moeilijk te behandelen aandoening ongewoon en zonder controlegroep niet te onderscheiden van een placebo-effect of het natuurlijke schommelen van de klachten. Opmerkelijk is bovendien dat het gebruikte BPC-157 afkomstig was van een Amerikaanse bereidingsapotheek (Lee 2024, PMID 39325560).</w:t>
      </w:r>
    </w:p>
    <w:p>
      <w:pPr>
        <w:pStyle w:val="BodyText"/>
      </w:pPr>
      <w:r>
        <w:t xml:space="preserve">De infuusstudie omvatte twee personen die BPC-157 al eerder hadden gekregen. Uit twee personen valt geen uitspraak over veiligheid af te leiden – zeldzame of vertraagde bijwerkingen blijven zo onzichtbaar (Lee 2025, PMID 40131143).</w:t>
      </w:r>
    </w:p>
    <w:p>
      <w:pPr>
        <w:pStyle w:val="BodyText"/>
      </w:pPr>
      <w:r>
        <w:t xml:space="preserve">Het systematische overzicht beoordeelde de methodologische kwaliteit van alle drie de studies als slecht en de betrouwbaarheid van het bewijs volgens het GRADE-systeem als</w:t>
      </w:r>
      <w:r>
        <w:t xml:space="preserve"> </w:t>
      </w:r>
      <w:r>
        <w:t xml:space="preserve">‘</w:t>
      </w:r>
      <w:r>
        <w:t xml:space="preserve">zeer laag</w:t>
      </w:r>
      <w:r>
        <w:t xml:space="preserve">’</w:t>
      </w:r>
      <w:r>
        <w:t xml:space="preserve">. De conclusie: BPC-157 zou buiten ethisch goedgekeurde, hoogwaardige klinische studies niet bij mensen moeten worden gebruikt (Poolton 2026, PMID 42885452). Een ander systematisch overzicht uit de sportorthopedie, dat tot juni 2024 zocht, vond onder 36 geïncludeerde publicaties slechts één klinische studie (Vasireddi 2025, PMID 40756949). Meerdere recente overzichten uit de orthopedie en sportgeneeskunde komen tot dezelfde conclusie: routinematig gebruik valt momenteel niet aan te bevelen (Tham 2026, PMID 42937313; Tewari 2026, PMID 42578445).</w:t>
      </w:r>
    </w:p>
    <w:bookmarkEnd w:id="344"/>
    <w:bookmarkStart w:id="345" w:name="X77854ee7e43fe84e0dcc56d34ee1234b8d76e56"/>
    <w:p>
      <w:pPr>
        <w:pStyle w:val="Heading4"/>
      </w:pPr>
      <w:r>
        <w:t xml:space="preserve">Wat er van eerdere bedrijfsstudies terechtkwam</w:t>
      </w:r>
    </w:p>
    <w:p>
      <w:pPr>
        <w:pStyle w:val="FirstParagraph"/>
      </w:pPr>
      <w:r>
        <w:t xml:space="preserve">In de jaren 2000 ontwikkelde het Kroatische farmaceutische bedrijf Pliva BPC-157 onder de code PL 14736 voor chronische inflammatoire darmziekten. Dierstudies uit die tijd vermelden dat de stof</w:t>
      </w:r>
      <w:r>
        <w:t xml:space="preserve"> </w:t>
      </w:r>
      <w:r>
        <w:t xml:space="preserve">‘</w:t>
      </w:r>
      <w:r>
        <w:t xml:space="preserve">momenteel in klinische studies</w:t>
      </w:r>
      <w:r>
        <w:t xml:space="preserve">’</w:t>
      </w:r>
      <w:r>
        <w:t xml:space="preserve"> </w:t>
      </w:r>
      <w:r>
        <w:t xml:space="preserve">werd onderzocht (Staresinic 2003, PMID 14554208). Een overzichtsartikel van de Zagrebse groep noemt studies bij colitis ulcerosa en multiple sclerose (Seiwerth 2021, PMID 34267654). Volledige resultaten van deze studies zijn in PubMed niet als origineel artikel te vinden. In 2015 werd bovendien een fase 1-studie met tabletten (</w:t>
      </w:r>
      <w:r>
        <w:t xml:space="preserve">‘</w:t>
      </w:r>
      <w:r>
        <w:t xml:space="preserve">Bepecin</w:t>
      </w:r>
      <w:r>
        <w:t xml:space="preserve">’</w:t>
      </w:r>
      <w:r>
        <w:t xml:space="preserve">, PCO-02) bij 42 gezonde vrijwilligers geregistreerd (NCT02637284); de status is al jaren</w:t>
      </w:r>
      <w:r>
        <w:t xml:space="preserve"> </w:t>
      </w:r>
      <w:r>
        <w:t xml:space="preserve">‘</w:t>
      </w:r>
      <w:r>
        <w:t xml:space="preserve">onbekend</w:t>
      </w:r>
      <w:r>
        <w:t xml:space="preserve">’</w:t>
      </w:r>
      <w:r>
        <w:t xml:space="preserve">, resultaten zijn niet gepubliceerd.</w:t>
      </w:r>
    </w:p>
    <w:p>
      <w:pPr>
        <w:pStyle w:val="BodyText"/>
      </w:pPr>
      <w:r>
        <w:t xml:space="preserve">Voor lezers betekent dit: wanneer websites beweren dat BPC-157</w:t>
      </w:r>
      <w:r>
        <w:t xml:space="preserve"> </w:t>
      </w:r>
      <w:r>
        <w:t xml:space="preserve">‘</w:t>
      </w:r>
      <w:r>
        <w:t xml:space="preserve">in klinische studies veilig</w:t>
      </w:r>
      <w:r>
        <w:t xml:space="preserve">’</w:t>
      </w:r>
      <w:r>
        <w:t xml:space="preserve"> </w:t>
      </w:r>
      <w:r>
        <w:t xml:space="preserve">was, verwijzen ze naar studies waarvan niemand de gegevens onafhankelijk kan controleren.</w:t>
      </w:r>
    </w:p>
    <w:bookmarkEnd w:id="345"/>
    <w:bookmarkEnd w:id="346"/>
    <w:bookmarkStart w:id="350" w:name="dier--en-laboratoriumstudies-15"/>
    <w:p>
      <w:pPr>
        <w:pStyle w:val="Heading3"/>
      </w:pPr>
      <w:r>
        <w:t xml:space="preserve">Dier- en laboratoriumstudies</w:t>
      </w:r>
    </w:p>
    <w:p>
      <w:pPr>
        <w:pStyle w:val="FirstParagraph"/>
      </w:pPr>
      <w:r>
        <w:t xml:space="preserve">Het preklinische onderzoek is de reden waarom BPC-157 zo bekend werd. Het is omvangrijk, maar qua herkomst ongewoon eenzijdig.</w:t>
      </w:r>
    </w:p>
    <w:bookmarkStart w:id="347" w:name="eén-onderzoeksgroep-domineert"/>
    <w:p>
      <w:pPr>
        <w:pStyle w:val="Heading4"/>
      </w:pPr>
      <w:r>
        <w:t xml:space="preserve">Eén onderzoeksgroep domineert</w:t>
      </w:r>
    </w:p>
    <w:p>
      <w:pPr>
        <w:pStyle w:val="FirstParagraph"/>
      </w:pPr>
      <w:r>
        <w:t xml:space="preserve">Van de ongeveer 230 treffers in PubMed (zoekopdracht oktober 2026) noemen er ongeveer 175 de Zagrebse farmacoloog Predrag Sikirić als auteur – dus ongeveer drie kwart. Een overzicht over het herstel van pezen en spieren stelde vast dat in twee decennia slechts een handvol onderzoeksgroepen BPC-157 grondig heeft onderzocht (Gwyer 2019, PMID 30915550). Dat is voor de beoordeling belangrijk: wetenschappelijke resultaten gelden pas als betrouwbaar wanneer onafhankelijke groepen ze herhalen. Een kritisch overzicht over doorbloedingsstoornissen bij knaagdieren uit 2026 bekritiseert korte observatieperioden, experimenten met een enkele dosis en onvolledig beschreven risico’s op vertekening, en pleit voor onafhankelijke, geblindeerde herhalingen (Demirtaş 2026, PMID 42794771). Een kort commentaar in het tijdschrift Inflammopharmacology ging in 2025 specifiek in op een lang overzichtsartikel van deze groep (Whitehouse 2025, PMID 40759852).</w:t>
      </w:r>
    </w:p>
    <w:p>
      <w:pPr>
        <w:pStyle w:val="BodyText"/>
      </w:pPr>
      <w:r>
        <w:t xml:space="preserve">Onafhankelijke studies zijn er wel – vooral uit Taiwan (pescellen, bloedvaten), Zuid-Korea en China –, maar ze zijn duidelijk zeldzamer en overwegend laboratorium- of celexperimenten.</w:t>
      </w:r>
    </w:p>
    <w:bookmarkEnd w:id="347"/>
    <w:bookmarkStart w:id="348" w:name="overzicht-per-orgaansysteem"/>
    <w:p>
      <w:pPr>
        <w:pStyle w:val="Heading4"/>
      </w:pPr>
      <w:r>
        <w:t xml:space="preserve">Overzicht per orgaansysteem</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Gebied</w:t>
            </w:r>
          </w:p>
        </w:tc>
        <w:tc>
          <w:tcPr/>
          <w:p>
            <w:pPr>
              <w:pStyle w:val="Compact"/>
              <w:jc w:val="left"/>
            </w:pPr>
            <w:r>
              <w:t xml:space="preserve">Typisch model</w:t>
            </w:r>
          </w:p>
        </w:tc>
        <w:tc>
          <w:tcPr/>
          <w:p>
            <w:pPr>
              <w:pStyle w:val="Compact"/>
              <w:jc w:val="left"/>
            </w:pPr>
            <w:r>
              <w:t xml:space="preserve">Gemeld resultaat</w:t>
            </w:r>
          </w:p>
        </w:tc>
        <w:tc>
          <w:tcPr/>
          <w:p>
            <w:pPr>
              <w:pStyle w:val="Compact"/>
              <w:jc w:val="left"/>
            </w:pPr>
            <w:r>
              <w:t xml:space="preserve">Voorbeeld</w:t>
            </w:r>
          </w:p>
        </w:tc>
      </w:tr>
      <w:tr>
        <w:tc>
          <w:tcPr/>
          <w:p>
            <w:pPr>
              <w:pStyle w:val="Compact"/>
              <w:jc w:val="left"/>
            </w:pPr>
            <w:r>
              <w:t xml:space="preserve">Pees</w:t>
            </w:r>
          </w:p>
        </w:tc>
        <w:tc>
          <w:tcPr/>
          <w:p>
            <w:pPr>
              <w:pStyle w:val="Compact"/>
              <w:jc w:val="left"/>
            </w:pPr>
            <w:r>
              <w:t xml:space="preserve">doorgesneden achillespees bij ratten</w:t>
            </w:r>
          </w:p>
        </w:tc>
        <w:tc>
          <w:tcPr/>
          <w:p>
            <w:pPr>
              <w:pStyle w:val="Compact"/>
              <w:jc w:val="left"/>
            </w:pPr>
            <w:r>
              <w:t xml:space="preserve">betere belastbaarheid, functie en weefselstructuur</w:t>
            </w:r>
          </w:p>
        </w:tc>
        <w:tc>
          <w:tcPr/>
          <w:p>
            <w:pPr>
              <w:pStyle w:val="Compact"/>
              <w:jc w:val="left"/>
            </w:pPr>
            <w:r>
              <w:t xml:space="preserve">Staresinic 2003, PMID 14554208</w:t>
            </w:r>
          </w:p>
        </w:tc>
      </w:tr>
      <w:tr>
        <w:tc>
          <w:tcPr/>
          <w:p>
            <w:pPr>
              <w:pStyle w:val="Compact"/>
              <w:jc w:val="left"/>
            </w:pPr>
            <w:r>
              <w:t xml:space="preserve">Band</w:t>
            </w:r>
          </w:p>
        </w:tc>
        <w:tc>
          <w:tcPr/>
          <w:p>
            <w:pPr>
              <w:pStyle w:val="Compact"/>
              <w:jc w:val="left"/>
            </w:pPr>
            <w:r>
              <w:t xml:space="preserve">beschadigde binnenste knieband bij ratten</w:t>
            </w:r>
          </w:p>
        </w:tc>
        <w:tc>
          <w:tcPr/>
          <w:p>
            <w:pPr>
              <w:pStyle w:val="Compact"/>
              <w:jc w:val="left"/>
            </w:pPr>
            <w:r>
              <w:t xml:space="preserve">beter herstel</w:t>
            </w:r>
          </w:p>
        </w:tc>
        <w:tc>
          <w:tcPr/>
          <w:p>
            <w:pPr>
              <w:pStyle w:val="Compact"/>
              <w:jc w:val="left"/>
            </w:pPr>
            <w:r>
              <w:t xml:space="preserve">Cerovecki 2010, PMID 20225319</w:t>
            </w:r>
          </w:p>
        </w:tc>
      </w:tr>
      <w:tr>
        <w:tc>
          <w:tcPr/>
          <w:p>
            <w:pPr>
              <w:pStyle w:val="Compact"/>
              <w:jc w:val="left"/>
            </w:pPr>
            <w:r>
              <w:t xml:space="preserve">Spier</w:t>
            </w:r>
          </w:p>
        </w:tc>
        <w:tc>
          <w:tcPr/>
          <w:p>
            <w:pPr>
              <w:pStyle w:val="Compact"/>
              <w:jc w:val="left"/>
            </w:pPr>
            <w:r>
              <w:t xml:space="preserve">doorgesneden dijspier bij ratten</w:t>
            </w:r>
          </w:p>
        </w:tc>
        <w:tc>
          <w:tcPr/>
          <w:p>
            <w:pPr>
              <w:pStyle w:val="Compact"/>
              <w:jc w:val="left"/>
            </w:pPr>
            <w:r>
              <w:t xml:space="preserve">betere functie</w:t>
            </w:r>
          </w:p>
        </w:tc>
        <w:tc>
          <w:tcPr/>
          <w:p>
            <w:pPr>
              <w:pStyle w:val="Compact"/>
              <w:jc w:val="left"/>
            </w:pPr>
            <w:r>
              <w:t xml:space="preserve">Staresinic 2006, PMID 16609979</w:t>
            </w:r>
          </w:p>
        </w:tc>
      </w:tr>
      <w:tr>
        <w:tc>
          <w:tcPr/>
          <w:p>
            <w:pPr>
              <w:pStyle w:val="Compact"/>
              <w:jc w:val="left"/>
            </w:pPr>
            <w:r>
              <w:t xml:space="preserve">Bot</w:t>
            </w:r>
          </w:p>
        </w:tc>
        <w:tc>
          <w:tcPr/>
          <w:p>
            <w:pPr>
              <w:pStyle w:val="Compact"/>
              <w:jc w:val="left"/>
            </w:pPr>
            <w:r>
              <w:t xml:space="preserve">botdefect bij konijnen</w:t>
            </w:r>
          </w:p>
        </w:tc>
        <w:tc>
          <w:tcPr/>
          <w:p>
            <w:pPr>
              <w:pStyle w:val="Compact"/>
              <w:jc w:val="left"/>
            </w:pPr>
            <w:r>
              <w:t xml:space="preserve">duidelijk beter herstel van het defect op röntgenfoto en in weefsel</w:t>
            </w:r>
          </w:p>
        </w:tc>
        <w:tc>
          <w:tcPr/>
          <w:p>
            <w:pPr>
              <w:pStyle w:val="Compact"/>
              <w:jc w:val="left"/>
            </w:pPr>
            <w:r>
              <w:t xml:space="preserve">Sebecić 1999, PMID 10071911</w:t>
            </w:r>
          </w:p>
        </w:tc>
      </w:tr>
      <w:tr>
        <w:tc>
          <w:tcPr/>
          <w:p>
            <w:pPr>
              <w:pStyle w:val="Compact"/>
              <w:jc w:val="left"/>
            </w:pPr>
            <w:r>
              <w:t xml:space="preserve">Huid</w:t>
            </w:r>
          </w:p>
        </w:tc>
        <w:tc>
          <w:tcPr/>
          <w:p>
            <w:pPr>
              <w:pStyle w:val="Compact"/>
              <w:jc w:val="left"/>
            </w:pPr>
            <w:r>
              <w:t xml:space="preserve">snij-, brand- en diabetische wonden bij ratten</w:t>
            </w:r>
          </w:p>
        </w:tc>
        <w:tc>
          <w:tcPr/>
          <w:p>
            <w:pPr>
              <w:pStyle w:val="Compact"/>
              <w:jc w:val="left"/>
            </w:pPr>
            <w:r>
              <w:t xml:space="preserve">snellere wondgenezing</w:t>
            </w:r>
          </w:p>
        </w:tc>
        <w:tc>
          <w:tcPr/>
          <w:p>
            <w:pPr>
              <w:pStyle w:val="Compact"/>
              <w:jc w:val="left"/>
            </w:pPr>
            <w:r>
              <w:t xml:space="preserve">Seiwerth 2021, PMID 34267654</w:t>
            </w:r>
          </w:p>
        </w:tc>
      </w:tr>
      <w:tr>
        <w:tc>
          <w:tcPr/>
          <w:p>
            <w:pPr>
              <w:pStyle w:val="Compact"/>
              <w:jc w:val="left"/>
            </w:pPr>
            <w:r>
              <w:t xml:space="preserve">Darm</w:t>
            </w:r>
          </w:p>
        </w:tc>
        <w:tc>
          <w:tcPr/>
          <w:p>
            <w:pPr>
              <w:pStyle w:val="Compact"/>
              <w:jc w:val="left"/>
            </w:pPr>
            <w:r>
              <w:t xml:space="preserve">fistels, colitis, anastomosen bij ratten</w:t>
            </w:r>
          </w:p>
        </w:tc>
        <w:tc>
          <w:tcPr/>
          <w:p>
            <w:pPr>
              <w:pStyle w:val="Compact"/>
              <w:jc w:val="left"/>
            </w:pPr>
            <w:r>
              <w:t xml:space="preserve">genezing van fistels en naden</w:t>
            </w:r>
          </w:p>
        </w:tc>
        <w:tc>
          <w:tcPr/>
          <w:p>
            <w:pPr>
              <w:pStyle w:val="Compact"/>
              <w:jc w:val="left"/>
            </w:pPr>
            <w:r>
              <w:t xml:space="preserve">Sikiric 2020, PMID 32329684</w:t>
            </w:r>
          </w:p>
        </w:tc>
      </w:tr>
      <w:tr>
        <w:tc>
          <w:tcPr/>
          <w:p>
            <w:pPr>
              <w:pStyle w:val="Compact"/>
              <w:jc w:val="left"/>
            </w:pPr>
            <w:r>
              <w:t xml:space="preserve">Maag</w:t>
            </w:r>
          </w:p>
        </w:tc>
        <w:tc>
          <w:tcPr/>
          <w:p>
            <w:pPr>
              <w:pStyle w:val="Compact"/>
              <w:jc w:val="left"/>
            </w:pPr>
            <w:r>
              <w:t xml:space="preserve">schade door pijnstillers en alcohol</w:t>
            </w:r>
          </w:p>
        </w:tc>
        <w:tc>
          <w:tcPr/>
          <w:p>
            <w:pPr>
              <w:pStyle w:val="Compact"/>
              <w:jc w:val="left"/>
            </w:pPr>
            <w:r>
              <w:t xml:space="preserve">bescherming van het slijmvlies</w:t>
            </w:r>
          </w:p>
        </w:tc>
        <w:tc>
          <w:tcPr/>
          <w:p>
            <w:pPr>
              <w:pStyle w:val="Compact"/>
              <w:jc w:val="left"/>
            </w:pPr>
            <w:r>
              <w:t xml:space="preserve">Ilic 2011, PMID 21295044</w:t>
            </w:r>
          </w:p>
        </w:tc>
      </w:tr>
      <w:tr>
        <w:tc>
          <w:tcPr/>
          <w:p>
            <w:pPr>
              <w:pStyle w:val="Compact"/>
              <w:jc w:val="left"/>
            </w:pPr>
            <w:r>
              <w:t xml:space="preserve">Bloedvaten</w:t>
            </w:r>
          </w:p>
        </w:tc>
        <w:tc>
          <w:tcPr/>
          <w:p>
            <w:pPr>
              <w:pStyle w:val="Compact"/>
              <w:jc w:val="left"/>
            </w:pPr>
            <w:r>
              <w:t xml:space="preserve">afgebonden slagaders en aders</w:t>
            </w:r>
          </w:p>
        </w:tc>
        <w:tc>
          <w:tcPr/>
          <w:p>
            <w:pPr>
              <w:pStyle w:val="Compact"/>
              <w:jc w:val="left"/>
            </w:pPr>
            <w:r>
              <w:t xml:space="preserve">omleidingscirculaties, betere doorbloeding</w:t>
            </w:r>
          </w:p>
        </w:tc>
        <w:tc>
          <w:tcPr/>
          <w:p>
            <w:pPr>
              <w:pStyle w:val="Compact"/>
              <w:jc w:val="left"/>
            </w:pPr>
            <w:r>
              <w:t xml:space="preserve">Sikiric 2022, PMID 35125818</w:t>
            </w:r>
          </w:p>
        </w:tc>
      </w:tr>
    </w:tbl>
    <w:p>
      <w:pPr>
        <w:pStyle w:val="BodyText"/>
      </w:pPr>
      <w:r>
        <w:t xml:space="preserve">Daarbij komen studies over hersenen, oog, hart, blaas, vergiftigingen en stofwisselingsontsporingen – bij ratten en muizen. Deze enorme reikwijdte wordt door voorstanders als kracht gezien. Methodologisch gezien is het eerder een waarschuwingssignaal: een stof die in vrijwel elk getest model vrijwel elke stoornis verbetert, vraagt om bijzonder zorgvuldige, onafhankelijke controle.</w:t>
      </w:r>
    </w:p>
    <w:bookmarkEnd w:id="348"/>
    <w:bookmarkStart w:id="349" w:name="farmacokinetiek-en-toxicologie"/>
    <w:p>
      <w:pPr>
        <w:pStyle w:val="Heading4"/>
      </w:pPr>
      <w:r>
        <w:t xml:space="preserve">Farmacokinetiek en toxicologie</w:t>
      </w:r>
    </w:p>
    <w:p>
      <w:pPr>
        <w:pStyle w:val="FirstParagraph"/>
      </w:pPr>
      <w:r>
        <w:t xml:space="preserve">Een Chinese onderzoeksgroep onderzocht BPC-157 volgens de gebruikelijke regels van geneesmiddelontwikkeling. Bij ratten en beagles lag de halfwaardetijd van het onveranderde peptide onder 30 minuten; na injectie in de spier kwam bij ratten ongeveer 14 tot 19 procent, bij honden 45 tot 51 procent in de bloedsomloop. BPC-157 werd snel afgebroken tot kleine fragmenten en aminozuren en uitgescheiden via urine en gal (He 2022, PMID 36588717). In toxiciteitsonderzoek bij muizen, ratten, konijnen en honden vonden dezelfde onderzoekers geen ernstige schade, geen schade aan het erfelijk materiaal en geen schade aan embryo’s; bij honden daalde bij de hoogste dosis de creatininewaarde tijdelijk (Xu 2020, PMID 32334036). Zulke dierexperimentele gegevens zijn een voorwaarde voor studies bij mensen, maar vervangen die niet.</w:t>
      </w:r>
    </w:p>
    <w:bookmarkEnd w:id="349"/>
    <w:bookmarkEnd w:id="350"/>
    <w:bookmarkStart w:id="355" w:name="risicos-en-bijwerkingen-15"/>
    <w:p>
      <w:pPr>
        <w:pStyle w:val="Heading3"/>
      </w:pPr>
      <w:r>
        <w:t xml:space="preserve">Risico’s en bijwerkingen</w:t>
      </w:r>
    </w:p>
    <w:bookmarkStart w:id="351" w:name="aangetoond"/>
    <w:p>
      <w:pPr>
        <w:pStyle w:val="Heading4"/>
      </w:pPr>
      <w:r>
        <w:t xml:space="preserve">Aangetoond</w:t>
      </w:r>
    </w:p>
    <w:p>
      <w:pPr>
        <w:pStyle w:val="FirstParagraph"/>
      </w:pPr>
      <w:r>
        <w:t xml:space="preserve">Aangetoonde bijwerkingen bij mensen zijn er praktisch niet – maar niet omdat BPC-157 aantoonbaar veilig zou zijn, maar omdat nauwelijks iemand er systematisch naar heeft gezocht. De drie pilotonderzoeken met samen ongeveer 30 personen meldden geen bijwerkingen (Poolton 2026, PMID 42885452). Met 30 personen kunnen alleen vaak voorkomende, direct optredende problemen worden opgemerkt. Een bijwerking die één op de duizend personen treft, zou onzichtbaar blijven.</w:t>
      </w:r>
    </w:p>
    <w:bookmarkEnd w:id="351"/>
    <w:bookmarkStart w:id="352" w:name="Xf0de67da4cb986ceae26791d5c36489bacbd90d"/>
    <w:p>
      <w:pPr>
        <w:pStyle w:val="Heading4"/>
      </w:pPr>
      <w:r>
        <w:t xml:space="preserve">Theoretisch: vorming van nieuwe bloedvaten en tumorgroei</w:t>
      </w:r>
    </w:p>
    <w:p>
      <w:pPr>
        <w:pStyle w:val="FirstParagraph"/>
      </w:pPr>
      <w:r>
        <w:t xml:space="preserve">Het meest besproken theoretische risico volgt rechtstreeks uit het vermoede werkingsmechanisme. Als BPC-157 de vorming van nieuwe bloedvaten bevordert, zou het – zo luidt de zorg – ook de bloedtoevoer van al bestaande, misschien nog onontdekte tumoren kunnen verbeteren. Tumoren vanaf enkele millimeters groot hebben eigen bloedvaten nodig om verder te groeien. Daarom zijn remmers van de VEGF-signaalroute gevestigde kankermiddelen. Een stof die de VEGF-receptor 2 in celkweken opreguleert (Hsieh 2017, PMID 27847966), verdient hier voorzichtigheid. Meerdere overzichten noemen ziekelijke vaatnieuwvorming en mogelijke bevordering van kanker uitdrukkelijk als onopgehelderd risico (Moiz 2026, PMID 42757290).</w:t>
      </w:r>
    </w:p>
    <w:p>
      <w:pPr>
        <w:pStyle w:val="BodyText"/>
      </w:pPr>
      <w:r>
        <w:t xml:space="preserve">De Zagrebse groep spreekt dat tegen: BPC-157 zou de vaatvorming sturen in plaats van haar blind aan te jagen, bijvoorbeeld op het hoornvlies van het oog een ziekelijke vaatingroei voorkomen en in dier- en celexperimenten zelfs effecten tegen tumoren vertonen (Sikiric 2025, PMID 40573323). Deze gegevens komen opnieuw overwegend van dezelfde groep. Langetermijnstudies naar het ontstaan van kanker (carcinogeniteitsstudies), zoals die voor geregistreerde geneesmiddelen gebruikelijk zijn, zijn voor BPC-157 niet gepubliceerd. De vraag is daarmee open – noch bevestigd, noch weerlegd. Deel IV van dit boek behandelt het thema groeisignalen en kankerrisico uitvoerig.</w:t>
      </w:r>
    </w:p>
    <w:bookmarkEnd w:id="352"/>
    <w:bookmarkStart w:id="353" w:name="risicos-van-de-grijze-markt"/>
    <w:p>
      <w:pPr>
        <w:pStyle w:val="Heading4"/>
      </w:pPr>
      <w:r>
        <w:t xml:space="preserve">Risico’s van de grijze markt</w:t>
      </w:r>
    </w:p>
    <w:p>
      <w:pPr>
        <w:pStyle w:val="FirstParagraph"/>
      </w:pPr>
      <w:r>
        <w:t xml:space="preserve">Het grootste praktische risico ligt vermoedelijk niet in de werkzame stof zelf, maar in de producten. BPC-157 wordt overwegend verkocht als</w:t>
      </w:r>
      <w:r>
        <w:t xml:space="preserve"> </w:t>
      </w:r>
      <w:r>
        <w:t xml:space="preserve">‘</w:t>
      </w:r>
      <w:r>
        <w:t xml:space="preserve">research chemical</w:t>
      </w:r>
      <w:r>
        <w:t xml:space="preserve">’</w:t>
      </w:r>
      <w:r>
        <w:t xml:space="preserve"> </w:t>
      </w:r>
      <w:r>
        <w:t xml:space="preserve">zonder geneesmiddelkwaliteit. Overzichten noemen verontreinigingen, verkeerde concentraties, ontbrekende steriliteit en wisselende productiekwaliteit als concrete gevaren (Tham 2026, PMID 42937313; Mendias 2026, PMID 41966639). Al in 2017 beschreef een antidopinglaboratorium BPC-157 uit in beslag genomen flesjes (Cox 2017, PMID 28035768). Bij injecties komen daar infectierisico’s door niet-steriele oplossingen bij. Hoofdstuk I.5 en deel IV behandelen laboratoriumanalyses van peptiden van de grijze markt uitvoerig.</w:t>
      </w:r>
    </w:p>
    <w:bookmarkEnd w:id="353"/>
    <w:bookmarkStart w:id="354" w:name="verdere-open-vragen"/>
    <w:p>
      <w:pPr>
        <w:pStyle w:val="Heading4"/>
      </w:pPr>
      <w:r>
        <w:t xml:space="preserve">Verdere open vragen</w:t>
      </w:r>
    </w:p>
    <w:p>
      <w:pPr>
        <w:numPr>
          <w:ilvl w:val="0"/>
          <w:numId w:val="1117"/>
        </w:numPr>
        <w:pStyle w:val="Compact"/>
      </w:pPr>
      <w:r>
        <w:rPr>
          <w:bCs/>
          <w:b/>
        </w:rPr>
        <w:t xml:space="preserve">Interacties:</w:t>
      </w:r>
      <w:r>
        <w:t xml:space="preserve"> </w:t>
      </w:r>
      <w:r>
        <w:t xml:space="preserve">in dierproeven beïnvloedde BPC-157 bloedstolling, bloeddruk en neurotransmitters (Sikiric 2025, PMID 40573323). Of dat bij mensen relevant is voor personen met antistollingsmiddelen, hart- en vaatziekten of psychiatrische medicatie, weet niemand.</w:t>
      </w:r>
    </w:p>
    <w:p>
      <w:pPr>
        <w:numPr>
          <w:ilvl w:val="0"/>
          <w:numId w:val="1117"/>
        </w:numPr>
        <w:pStyle w:val="Compact"/>
      </w:pPr>
      <w:r>
        <w:rPr>
          <w:bCs/>
          <w:b/>
        </w:rPr>
        <w:t xml:space="preserve">Zwangerschap en borstvoeding, kinderen en jongeren:</w:t>
      </w:r>
      <w:r>
        <w:t xml:space="preserve"> </w:t>
      </w:r>
      <w:r>
        <w:t xml:space="preserve">geen gegevens bij mensen.</w:t>
      </w:r>
    </w:p>
    <w:p>
      <w:pPr>
        <w:numPr>
          <w:ilvl w:val="0"/>
          <w:numId w:val="1117"/>
        </w:numPr>
        <w:pStyle w:val="Compact"/>
      </w:pPr>
      <w:r>
        <w:rPr>
          <w:bCs/>
          <w:b/>
        </w:rPr>
        <w:t xml:space="preserve">Placebo-effect:</w:t>
      </w:r>
      <w:r>
        <w:t xml:space="preserve"> </w:t>
      </w:r>
      <w:r>
        <w:t xml:space="preserve">een sportgeneeskundig overzicht wijst erop dat sociale media het placebo-effect bij zulke peptiden kunnen versterken (Mendias 2026, PMID 41966639). Persoonlijke succesverhalen zijn daarom geen bewijs van werkzaamheid.</w:t>
      </w:r>
    </w:p>
    <w:bookmarkEnd w:id="354"/>
    <w:bookmarkEnd w:id="355"/>
    <w:bookmarkStart w:id="356" w:name="juridische-status-15"/>
    <w:p>
      <w:pPr>
        <w:pStyle w:val="Heading3"/>
      </w:pPr>
      <w:r>
        <w:t xml:space="preserve">Juridische status</w:t>
      </w:r>
    </w:p>
    <w:p>
      <w:pPr>
        <w:pStyle w:val="FirstParagraph"/>
      </w:pPr>
      <w:r>
        <w:rPr>
          <w:iCs/>
          <w:i/>
        </w:rPr>
        <w:t xml:space="preserve">Stand 2026, actuele situatie controleren.</w:t>
      </w:r>
    </w:p>
    <w:p>
      <w:pPr>
        <w:numPr>
          <w:ilvl w:val="0"/>
          <w:numId w:val="1118"/>
        </w:numPr>
        <w:pStyle w:val="Compact"/>
      </w:pPr>
      <w:r>
        <w:rPr>
          <w:bCs/>
          <w:b/>
        </w:rPr>
        <w:t xml:space="preserve">EU:</w:t>
      </w:r>
      <w:r>
        <w:t xml:space="preserve"> </w:t>
      </w:r>
      <w:r>
        <w:t xml:space="preserve">BPC-157 is in geen enkele lidstaat als geneesmiddel geregistreerd. Een stof die wordt aangeboden voor de behandeling van ziekten bij mensen, geldt juridisch als geneesmiddel; zonder registratie mag die niet in de handel worden gebracht. De vermelding</w:t>
      </w:r>
      <w:r>
        <w:t xml:space="preserve"> </w:t>
      </w:r>
      <w:r>
        <w:t xml:space="preserve">‘</w:t>
      </w:r>
      <w:r>
        <w:t xml:space="preserve">alleen voor onderzoeksdoeleinden</w:t>
      </w:r>
      <w:r>
        <w:t xml:space="preserve">’</w:t>
      </w:r>
      <w:r>
        <w:t xml:space="preserve"> </w:t>
      </w:r>
      <w:r>
        <w:t xml:space="preserve">verandert daar niets aan als het product herkenbaar bedoeld is voor gebruik bij mensen.</w:t>
      </w:r>
    </w:p>
    <w:p>
      <w:pPr>
        <w:numPr>
          <w:ilvl w:val="0"/>
          <w:numId w:val="1118"/>
        </w:numPr>
        <w:pStyle w:val="Compact"/>
      </w:pPr>
      <w:r>
        <w:rPr>
          <w:bCs/>
          <w:b/>
        </w:rPr>
        <w:t xml:space="preserve">Duitsland en Oostenrijk:</w:t>
      </w:r>
      <w:r>
        <w:t xml:space="preserve"> </w:t>
      </w:r>
      <w:r>
        <w:t xml:space="preserve">geen registratie, ook geen basis voor bereiding door de apotheek. Levering voor gebruik bij mensen is volgens de respectieve geneesmiddelenwet niet toegestaan. In de sport gelden daarnaast de antidopingregels.</w:t>
      </w:r>
    </w:p>
    <w:p>
      <w:pPr>
        <w:numPr>
          <w:ilvl w:val="0"/>
          <w:numId w:val="1118"/>
        </w:numPr>
        <w:pStyle w:val="Compact"/>
      </w:pPr>
      <w:r>
        <w:rPr>
          <w:bCs/>
          <w:b/>
        </w:rPr>
        <w:t xml:space="preserve">VS:</w:t>
      </w:r>
      <w:r>
        <w:t xml:space="preserve"> </w:t>
      </w:r>
      <w:r>
        <w:t xml:space="preserve">geen FDA-registratie. In 2023 deelde de FDA BPC-157 onder de grondstoffen voor bereiding door apotheken (zogeheten compounding) in bij categorie 2 – stoffen waarbij aanzienlijke veiligheidsbezwaren bestaan. Bereidingsapotheken mogen het daarmee volgens de autoriteit niet verwerken. De indeling van peptiden is sindsdien in het adviescomité van de FDA voor bereidingen (PCAC) en in vakkringen controversieel besproken (Willis 2026, PMID 42752426); wijzigingen zijn mogelijk.</w:t>
      </w:r>
    </w:p>
    <w:p>
      <w:pPr>
        <w:numPr>
          <w:ilvl w:val="0"/>
          <w:numId w:val="1118"/>
        </w:numPr>
        <w:pStyle w:val="Compact"/>
      </w:pPr>
      <w:r>
        <w:rPr>
          <w:bCs/>
          <w:b/>
        </w:rPr>
        <w:t xml:space="preserve">WADA:</w:t>
      </w:r>
      <w:r>
        <w:t xml:space="preserve"> </w:t>
      </w:r>
      <w:r>
        <w:t xml:space="preserve">BPC-157 staat sinds 2022 bij naam in groep S0 (niet-goedgekeurde stoffen) van de lijst van verboden middelen en is daarmee binnen en buiten wedstrijden verboden. Een overzicht uit 2025 vermeldt daarover afwijkend dat BPC-157 momenteel niet op de lijst staat (Józwiak 2025, PMID 40005999) – naar weten van de auteur klopt dat niet voor de huidige lijst. Antidopinglaboratoria hebben detectiemethoden in urine ontwikkeld (Tian 2023, PMID 37959764).</w:t>
      </w:r>
    </w:p>
    <w:bookmarkEnd w:id="356"/>
    <w:bookmarkStart w:id="357" w:name="lopende-studies-en-vooruitzichten-15"/>
    <w:p>
      <w:pPr>
        <w:pStyle w:val="Heading3"/>
      </w:pPr>
      <w:r>
        <w:t xml:space="preserve">Lopende studies en vooruitzichten</w:t>
      </w:r>
    </w:p>
    <w:p>
      <w:pPr>
        <w:pStyle w:val="FirstParagraph"/>
      </w:pPr>
      <w:r>
        <w:t xml:space="preserve">In oktober 2026 zijn bij ClinicalTrials.gov vier studies met BPC-157 ingeschreven: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Design</w:t>
            </w:r>
          </w:p>
        </w:tc>
        <w:tc>
          <w:tcPr/>
          <w:p>
            <w:pPr>
              <w:pStyle w:val="Compact"/>
              <w:jc w:val="left"/>
            </w:pPr>
            <w:r>
              <w:t xml:space="preserve">Status</w:t>
            </w:r>
          </w:p>
        </w:tc>
        <w:tc>
          <w:tcPr/>
          <w:p>
            <w:pPr>
              <w:pStyle w:val="Compact"/>
              <w:jc w:val="left"/>
            </w:pPr>
            <w:r>
              <w:t xml:space="preserve">Onderwerp</w:t>
            </w:r>
          </w:p>
        </w:tc>
      </w:tr>
      <w:tr>
        <w:tc>
          <w:tcPr/>
          <w:p>
            <w:pPr>
              <w:pStyle w:val="Compact"/>
              <w:jc w:val="left"/>
            </w:pPr>
            <w:r>
              <w:t xml:space="preserve">NCT07437547</w:t>
            </w:r>
          </w:p>
        </w:tc>
        <w:tc>
          <w:tcPr/>
          <w:p>
            <w:pPr>
              <w:pStyle w:val="Compact"/>
              <w:jc w:val="left"/>
            </w:pPr>
            <w:r>
              <w:t xml:space="preserve">fase 2, gerandomiseerd, dubbelblind, placebo, gepland 120 personen</w:t>
            </w:r>
          </w:p>
        </w:tc>
        <w:tc>
          <w:tcPr/>
          <w:p>
            <w:pPr>
              <w:pStyle w:val="Compact"/>
              <w:jc w:val="left"/>
            </w:pPr>
            <w:r>
              <w:t xml:space="preserve">volgens register werving sinds februari 2026; echtheid twijfelachtig (zie tekst)</w:t>
            </w:r>
          </w:p>
        </w:tc>
        <w:tc>
          <w:tcPr/>
          <w:p>
            <w:pPr>
              <w:pStyle w:val="Compact"/>
              <w:jc w:val="left"/>
            </w:pPr>
            <w:r>
              <w:t xml:space="preserve">acute verrekking van de hamstrings; tijd tot terugkeer in de sport, MRI-bevinding</w:t>
            </w:r>
          </w:p>
        </w:tc>
      </w:tr>
      <w:tr>
        <w:tc>
          <w:tcPr/>
          <w:p>
            <w:pPr>
              <w:pStyle w:val="Compact"/>
              <w:jc w:val="left"/>
            </w:pPr>
            <w:r>
              <w:t xml:space="preserve">NCT07803250</w:t>
            </w:r>
          </w:p>
        </w:tc>
        <w:tc>
          <w:tcPr/>
          <w:p>
            <w:pPr>
              <w:pStyle w:val="Compact"/>
              <w:jc w:val="left"/>
            </w:pPr>
            <w:r>
              <w:t xml:space="preserve">fase 1, gerandomiseerd, gepland 30 personen</w:t>
            </w:r>
          </w:p>
        </w:tc>
        <w:tc>
          <w:tcPr/>
          <w:p>
            <w:pPr>
              <w:pStyle w:val="Compact"/>
              <w:jc w:val="left"/>
            </w:pPr>
            <w:r>
              <w:t xml:space="preserve">nog geen werving, start gepland 2027</w:t>
            </w:r>
          </w:p>
        </w:tc>
        <w:tc>
          <w:tcPr/>
          <w:p>
            <w:pPr>
              <w:pStyle w:val="Compact"/>
              <w:jc w:val="left"/>
            </w:pPr>
            <w:r>
              <w:t xml:space="preserve">herstel na operatie aan de rotatorenmanchet (schouder)</w:t>
            </w:r>
          </w:p>
        </w:tc>
      </w:tr>
      <w:tr>
        <w:tc>
          <w:tcPr/>
          <w:p>
            <w:pPr>
              <w:pStyle w:val="Compact"/>
              <w:jc w:val="left"/>
            </w:pPr>
            <w:r>
              <w:t xml:space="preserve">NCT07752381</w:t>
            </w:r>
          </w:p>
        </w:tc>
        <w:tc>
          <w:tcPr/>
          <w:p>
            <w:pPr>
              <w:pStyle w:val="Compact"/>
              <w:jc w:val="left"/>
            </w:pPr>
            <w:r>
              <w:t xml:space="preserve">één groep zonder controle, 40 personen</w:t>
            </w:r>
          </w:p>
        </w:tc>
        <w:tc>
          <w:tcPr/>
          <w:p>
            <w:pPr>
              <w:pStyle w:val="Compact"/>
              <w:jc w:val="left"/>
            </w:pPr>
            <w:r>
              <w:t xml:space="preserve">afgerond 2025, geen resultaten in het register</w:t>
            </w:r>
          </w:p>
        </w:tc>
        <w:tc>
          <w:tcPr/>
          <w:p>
            <w:pPr>
              <w:pStyle w:val="Compact"/>
              <w:jc w:val="left"/>
            </w:pPr>
            <w:r>
              <w:t xml:space="preserve">gummies van een fabrikant; ontstekingswaarden en zelfbeoordeling</w:t>
            </w:r>
          </w:p>
        </w:tc>
      </w:tr>
      <w:tr>
        <w:tc>
          <w:tcPr/>
          <w:p>
            <w:pPr>
              <w:pStyle w:val="Compact"/>
              <w:jc w:val="left"/>
            </w:pPr>
            <w:r>
              <w:t xml:space="preserve">NCT02637284</w:t>
            </w:r>
          </w:p>
        </w:tc>
        <w:tc>
          <w:tcPr/>
          <w:p>
            <w:pPr>
              <w:pStyle w:val="Compact"/>
              <w:jc w:val="left"/>
            </w:pPr>
            <w:r>
              <w:t xml:space="preserve">fase 1, tabletten, 42 gezonden gepland</w:t>
            </w:r>
          </w:p>
        </w:tc>
        <w:tc>
          <w:tcPr/>
          <w:p>
            <w:pPr>
              <w:pStyle w:val="Compact"/>
              <w:jc w:val="left"/>
            </w:pPr>
            <w:r>
              <w:t xml:space="preserve">status onbekend sinds 2016</w:t>
            </w:r>
          </w:p>
        </w:tc>
        <w:tc>
          <w:tcPr/>
          <w:p>
            <w:pPr>
              <w:pStyle w:val="Compact"/>
              <w:jc w:val="left"/>
            </w:pPr>
            <w:r>
              <w:t xml:space="preserve">veiligheid en farmacokinetiek</w:t>
            </w:r>
          </w:p>
        </w:tc>
      </w:tr>
    </w:tbl>
    <w:p>
      <w:pPr>
        <w:pStyle w:val="BodyText"/>
      </w:pPr>
      <w:r>
        <w:rPr>
          <w:bCs/>
          <w:b/>
        </w:rPr>
        <w:t xml:space="preserve">Vaststaand</w:t>
      </w:r>
      <w:r>
        <w:t xml:space="preserve"> </w:t>
      </w:r>
      <w:r>
        <w:t xml:space="preserve">is maar weinig. Op papier zou de fase 2-studie naar verrekkingen van de hamstrings (NCT07437547) de eerste gerandomiseerde, placebogecontroleerde studie zijn met een objectief eindpunt (MRI) en voldoende omvang. Bij de controle voor dit boek viel echter op: dezelfde sponsor (</w:t>
      </w:r>
      <w:r>
        <w:t xml:space="preserve">‘</w:t>
      </w:r>
      <w:r>
        <w:t xml:space="preserve">Hudson Biotech</w:t>
      </w:r>
      <w:r>
        <w:t xml:space="preserve">’</w:t>
      </w:r>
      <w:r>
        <w:t xml:space="preserve">) heeft met een identiek studiecentrum en een identieke contactpersoon een tweede vermelding over TB-500 aangemaakt (NCT07487363), die zichzelf in de eigen beschrijving uitdrukkelijk een</w:t>
      </w:r>
      <w:r>
        <w:t xml:space="preserve"> </w:t>
      </w:r>
      <w:r>
        <w:t xml:space="preserve">‘</w:t>
      </w:r>
      <w:r>
        <w:t xml:space="preserve">fictief</w:t>
      </w:r>
      <w:r>
        <w:t xml:space="preserve">’</w:t>
      </w:r>
      <w:r>
        <w:t xml:space="preserve"> </w:t>
      </w:r>
      <w:r>
        <w:t xml:space="preserve">voorbeeld van een registervermelding noemt. Of de BPC-157-studie daadwerkelijk wordt uitgevoerd, valt daarom niet betrouwbaar te zeggen. ClinicalTrials.gov controleert vermeldingen alleen formeel, niet inhoudelijk – een registratie alleen bewijst niet dat een studie plaatsvindt.</w:t>
      </w:r>
    </w:p>
    <w:p>
      <w:pPr>
        <w:pStyle w:val="BodyText"/>
      </w:pPr>
      <w:r>
        <w:t xml:space="preserve">De schouderstudie van de University of Arkansas (NCT07803250) is gerandomiseerd en geblindeerd, maar klein en nog niet begonnen. De gummiesstudie van een fabrikant (NCT07752381) heeft geen controlegroep en meet overwegend zelfrapportage; ze zal de open vragen niet beantwoorden.</w:t>
      </w:r>
    </w:p>
    <w:p>
      <w:pPr>
        <w:pStyle w:val="BodyText"/>
      </w:pPr>
      <w:r>
        <w:rPr>
          <w:bCs/>
          <w:b/>
        </w:rPr>
        <w:t xml:space="preserve">Inschatting van de auteur:</w:t>
      </w:r>
      <w:r>
        <w:t xml:space="preserve"> </w:t>
      </w:r>
      <w:r>
        <w:t xml:space="preserve">vóór 2028 zijn geen betrouwbare werkzaamheidsgegevens bij mensen te verwachten. Zelfs een positief resultaat van een kleine pilotstudie zou slechts een eerste aanwijzing zijn – nog geen basis voor een registratie, die meerdere grotere studies en langetermijngegevens over veiligheid vereist. Een negatief resultaat zal aan de internetreputatie van het peptide weinig veranderen. Een farmaceutisch overzicht benadrukt dat er tot op heden geen gestandaardiseerde, gevalideerde toedieningsvorm bestaat (Mateescu 2026, PMID 42198317) – ook dat moet vóór een registratie worden opgelost.</w:t>
      </w:r>
    </w:p>
    <w:bookmarkEnd w:id="357"/>
    <w:bookmarkStart w:id="358" w:name="conclusie-15"/>
    <w:p>
      <w:pPr>
        <w:pStyle w:val="Heading3"/>
      </w:pPr>
      <w:r>
        <w:t xml:space="preserve">Conclusie</w:t>
      </w:r>
    </w:p>
    <w:p>
      <w:pPr>
        <w:pStyle w:val="FirstParagraph"/>
      </w:pPr>
      <w:r>
        <w:t xml:space="preserve">BPC-157 is een peptide met een ongewoon groot aantal dierstudies die vrijwel allemaal positieve resultaten melden – overwegend van één enkele Zagrebse onderzoeksgroep en zonder voldoende onafhankelijke herhaling. Bij mensen zijn er slechts drie kleine, ongecontroleerde onderzoeken met samen ongeveer 30 personen, waarvan de kwaliteit als zeer laag wordt beoordeeld (Poolton 2026, PMID 42885452). De veiligheid op lange termijn, in het bijzonder de theoretische vraag naar bevordering van tumorgroei via vaatnieuwvorming, is niet onderzocht, en producten van de grijze markt brengen eigen risico’s mee. Gerandomiseerde studies zijn pas geregistreerd of gepland (NCT07803250); tot er betrouwbare resultaten zijn, blijft BPC-157 een experimentele stof waarvan het nut bij mensen niet is aangetoond. Voor sporters is het volgens de WADA-regels verboden.</w:t>
      </w:r>
    </w:p>
    <w:bookmarkEnd w:id="358"/>
    <w:bookmarkEnd w:id="359"/>
    <w:bookmarkStart w:id="375" w:name="tb-500-en-thymosine-bèta-4"/>
    <w:p>
      <w:pPr>
        <w:pStyle w:val="Heading2"/>
      </w:pPr>
      <w:r>
        <w:t xml:space="preserve">TB-500 en thymosine bèta-4</w:t>
      </w:r>
    </w:p>
    <w:p>
      <w:pPr>
        <w:pStyle w:val="FirstParagraph"/>
      </w:pPr>
      <w:r>
        <w:t xml:space="preserve">Op internet worden</w:t>
      </w:r>
      <w:r>
        <w:t xml:space="preserve"> </w:t>
      </w:r>
      <w:r>
        <w:t xml:space="preserve">‘</w:t>
      </w:r>
      <w:r>
        <w:t xml:space="preserve">TB-500</w:t>
      </w:r>
      <w:r>
        <w:t xml:space="preserve">’</w:t>
      </w:r>
      <w:r>
        <w:t xml:space="preserve"> </w:t>
      </w:r>
      <w:r>
        <w:t xml:space="preserve">en</w:t>
      </w:r>
      <w:r>
        <w:t xml:space="preserve"> </w:t>
      </w:r>
      <w:r>
        <w:t xml:space="preserve">‘</w:t>
      </w:r>
      <w:r>
        <w:t xml:space="preserve">thymosine bèta-4</w:t>
      </w:r>
      <w:r>
        <w:t xml:space="preserve">’</w:t>
      </w:r>
      <w:r>
        <w:t xml:space="preserve"> </w:t>
      </w:r>
      <w:r>
        <w:t xml:space="preserve">meestal als hetzelfde verkocht. Dat is onjuist, en het verschil is voor de beoordeling doorslaggevend. Thymosine bèta-4 is een lichaamseigen eiwit van 43 aminozuren dat in meerdere klinische studies is onderzocht – vooral als oogdruppels en als infuus na een hartinfarct. TB-500 daarentegen is een kort, kunstmatig veranderd fragment ervan dat nooit in een gepubliceerde studie bij mensen is getest. Dit hoofdstuk houdt beide zorgvuldig uit elkaar.</w:t>
      </w:r>
    </w:p>
    <w:bookmarkStart w:id="360" w:name="profiel-16"/>
    <w:p>
      <w:pPr>
        <w:pStyle w:val="Heading3"/>
      </w:pPr>
      <w:r>
        <w:t xml:space="preserve">Profiel</w:t>
      </w:r>
    </w:p>
    <w:p>
      <w:pPr>
        <w:numPr>
          <w:ilvl w:val="0"/>
          <w:numId w:val="1119"/>
        </w:numPr>
        <w:pStyle w:val="Compact"/>
      </w:pPr>
      <w:r>
        <w:rPr>
          <w:bCs/>
          <w:b/>
        </w:rPr>
        <w:t xml:space="preserve">Thymosine bèta-4 (Tβ4):</w:t>
      </w:r>
      <w:r>
        <w:t xml:space="preserve"> </w:t>
      </w:r>
      <w:r>
        <w:t xml:space="preserve">lichaamseigen peptide van 43 aminozuren, in vrijwel alle cellen aanwezig; hoofdfunctie: bindt het structuureiwit actine en regelt zo celvorm en celbeweging. Voor studies synthetisch of genetisch (recombinant) vervaardigd; ontwikkelingsnamen RGN-259 (oogdruppels), RGN-352 (injectie), NL005 (recombinant, China).</w:t>
      </w:r>
    </w:p>
    <w:p>
      <w:pPr>
        <w:numPr>
          <w:ilvl w:val="0"/>
          <w:numId w:val="1119"/>
        </w:numPr>
        <w:pStyle w:val="Compact"/>
      </w:pPr>
      <w:r>
        <w:rPr>
          <w:bCs/>
          <w:b/>
        </w:rPr>
        <w:t xml:space="preserve">TB-500:</w:t>
      </w:r>
      <w:r>
        <w:t xml:space="preserve"> </w:t>
      </w:r>
      <w:r>
        <w:t xml:space="preserve">het aan het begin chemisch veranderde (geacetyleerde) fragment van de aminozuren 17 tot 23 van Tβ4, sequentie Ac-LKKTETQ (Esposito 2012, PMID 22962027). Oorspronkelijk opgedoken als diergeneesmiddel in de paardensport.</w:t>
      </w:r>
    </w:p>
    <w:p>
      <w:pPr>
        <w:numPr>
          <w:ilvl w:val="0"/>
          <w:numId w:val="1119"/>
        </w:numPr>
        <w:pStyle w:val="Compact"/>
      </w:pPr>
      <w:r>
        <w:rPr>
          <w:bCs/>
          <w:b/>
        </w:rPr>
        <w:t xml:space="preserve">Werkingsprincipe (vermoed):</w:t>
      </w:r>
      <w:r>
        <w:t xml:space="preserve"> </w:t>
      </w:r>
      <w:r>
        <w:t xml:space="preserve">bevordering van celmigratie, vaatnieuwvorming en wondgenezing, demping van ontsteking.</w:t>
      </w:r>
    </w:p>
    <w:p>
      <w:pPr>
        <w:numPr>
          <w:ilvl w:val="0"/>
          <w:numId w:val="1119"/>
        </w:numPr>
        <w:pStyle w:val="Compact"/>
      </w:pPr>
      <w:r>
        <w:rPr>
          <w:bCs/>
          <w:b/>
        </w:rPr>
        <w:t xml:space="preserve">Registratie EU/VS:</w:t>
      </w:r>
      <w:r>
        <w:t xml:space="preserve"> </w:t>
      </w:r>
      <w:r>
        <w:t xml:space="preserve">Tβ4 noch TB-500 is geregistreerd.</w:t>
      </w:r>
    </w:p>
    <w:p>
      <w:pPr>
        <w:numPr>
          <w:ilvl w:val="0"/>
          <w:numId w:val="1119"/>
        </w:numPr>
        <w:pStyle w:val="Compact"/>
      </w:pPr>
      <w:r>
        <w:rPr>
          <w:bCs/>
          <w:b/>
        </w:rPr>
        <w:t xml:space="preserve">WADA:</w:t>
      </w:r>
      <w:r>
        <w:t xml:space="preserve"> </w:t>
      </w:r>
      <w:r>
        <w:t xml:space="preserve">verboden (S2, groeifactoren;</w:t>
      </w:r>
      <w:r>
        <w:t xml:space="preserve"> </w:t>
      </w:r>
      <w:r>
        <w:t xml:space="preserve">‘</w:t>
      </w:r>
      <w:r>
        <w:t xml:space="preserve">thymosine-β4 en zijn derivaten, bijv. TB-500</w:t>
      </w:r>
      <w:r>
        <w:t xml:space="preserve">’</w:t>
      </w:r>
      <w:r>
        <w:t xml:space="preserve"> </w:t>
      </w:r>
      <w:r>
        <w:t xml:space="preserve">worden uitdrukkelijk genoemd).</w:t>
      </w:r>
    </w:p>
    <w:p>
      <w:pPr>
        <w:numPr>
          <w:ilvl w:val="0"/>
          <w:numId w:val="1119"/>
        </w:numPr>
        <w:pStyle w:val="Compact"/>
      </w:pPr>
      <w:r>
        <w:rPr>
          <w:bCs/>
          <w:b/>
        </w:rPr>
        <w:t xml:space="preserve">Bewijsniveau:</w:t>
      </w:r>
      <w:r>
        <w:t xml:space="preserve"> </w:t>
      </w:r>
      <w:r>
        <w:rPr>
          <w:bCs/>
          <w:b/>
        </w:rPr>
        <w:t xml:space="preserve">B</w:t>
      </w:r>
      <w:r>
        <w:t xml:space="preserve"> </w:t>
      </w:r>
      <w:r>
        <w:t xml:space="preserve">voor thymosine bèta-4 (gerandomiseerde studies, overwegend klein; grote fase 3-studies bij droge ogen zonder duidelijk nut) ·</w:t>
      </w:r>
      <w:r>
        <w:t xml:space="preserve"> </w:t>
      </w:r>
      <w:r>
        <w:rPr>
          <w:bCs/>
          <w:b/>
        </w:rPr>
        <w:t xml:space="preserve">D</w:t>
      </w:r>
      <w:r>
        <w:t xml:space="preserve"> </w:t>
      </w:r>
      <w:r>
        <w:t xml:space="preserve">voor TB-500 (geen gepubliceerde studie bij mensen).</w:t>
      </w:r>
    </w:p>
    <w:bookmarkEnd w:id="360"/>
    <w:bookmarkStart w:id="361" w:name="hoe-het-zou-moeten-werken-16"/>
    <w:p>
      <w:pPr>
        <w:pStyle w:val="Heading3"/>
      </w:pPr>
      <w:r>
        <w:t xml:space="preserve">Hoe het zou moeten werken</w:t>
      </w:r>
    </w:p>
    <w:p>
      <w:pPr>
        <w:pStyle w:val="FirstParagraph"/>
      </w:pPr>
      <w:r>
        <w:t xml:space="preserve">Tβ4 is in cellen het belangrijkste eiwit dat losse actinebouwstenen bindt en</w:t>
      </w:r>
      <w:r>
        <w:t xml:space="preserve"> </w:t>
      </w:r>
      <w:r>
        <w:t xml:space="preserve">‘</w:t>
      </w:r>
      <w:r>
        <w:t xml:space="preserve">parkeert</w:t>
      </w:r>
      <w:r>
        <w:t xml:space="preserve">’</w:t>
      </w:r>
      <w:r>
        <w:t xml:space="preserve">. Actine vormt het inwendige skelet van de cel; wanneer een cel moet bewegen – bijvoorbeeld om een wond te sluiten –, moet dat skelet snel worden omgebouwd. Tβ4 levert daarvoor de bouwstenen.</w:t>
      </w:r>
    </w:p>
    <w:p>
      <w:pPr>
        <w:pStyle w:val="BodyText"/>
      </w:pPr>
      <w:r>
        <w:t xml:space="preserve">Daarnaast heeft Tβ4 buiten de cel kennelijk eigen signaalfuncties. Een overzichtsartikel beschrijft meerdere actieve delen in het molecuul: het korte stuk aan het begin (Ac-SDKP) werkt in laboratoriumexperimenten ontstekingsremmend en tegen littekenvorming, het deel 17 tot 23 (LKKTETQ) bevordert vaatnieuwvorming, wondgenezing en celmigratie (Sosne 2010, PMID 20179146). In celexperimenten had het zeven aminozuren lange actinebindingsmotief hetzelfde effect op de migratie van vaatcellen als het hele molecuul (Philp 2003, PMID 14500546).</w:t>
      </w:r>
    </w:p>
    <w:p>
      <w:pPr>
        <w:pStyle w:val="BodyText"/>
      </w:pPr>
      <w:r>
        <w:t xml:space="preserve">Op deze laboratoriumbevinding berust het idee van TB-500: als het korte stuk de werking draagt, volstaat het alleen dat te produceren – goedkoper en eenvoudiger dan het hele eiwit. Daarbij werd echter niet precies de natuurlijke sequentie gebruikt, maar een aan het begin geacetyleerde vorm. Een onderzoek naar de afbraak vond dat TB-500 snel wordt afgebroken en dat in celexperimenten niet het uitgangspeptide, maar een afbraakproduct (Ac-LKKTE) de wondgenezing bevorderde (Rahaman 2024, PMID 38382158). Dat TB-500 in het lichaam hetzelfde doet als Tβ4, is daarmee niet aangetoond. Een orthopedisch overzicht uit 2026 benadrukt dat TB-500 vaak gelijkgesteld wordt aan Tβ4, hoewel er geen biologische of klinische gelijkwaardigheid is aangetoond (Tham 2026, PMID 42937313).</w:t>
      </w:r>
    </w:p>
    <w:bookmarkEnd w:id="361"/>
    <w:bookmarkStart w:id="366" w:name="studies-bij-mensen-16"/>
    <w:p>
      <w:pPr>
        <w:pStyle w:val="Heading3"/>
      </w:pPr>
      <w:r>
        <w:t xml:space="preserve">Studies bij mensen</w:t>
      </w:r>
    </w:p>
    <w:p>
      <w:pPr>
        <w:pStyle w:val="FirstParagraph"/>
      </w:pPr>
      <w:r>
        <w:rPr>
          <w:bCs/>
          <w:b/>
        </w:rPr>
        <w:t xml:space="preserve">Omvang van het onderzoek (zoekopdracht oktober 2026):</w:t>
      </w:r>
      <w:r>
        <w:t xml:space="preserve"> </w:t>
      </w:r>
      <w:r>
        <w:t xml:space="preserve">De geautomatiseerde zoekopdracht vond</w:t>
      </w:r>
      <w:r>
        <w:t xml:space="preserve"> </w:t>
      </w:r>
      <w:r>
        <w:rPr>
          <w:bCs/>
          <w:b/>
        </w:rPr>
        <w:t xml:space="preserve">9</w:t>
      </w:r>
      <w:r>
        <w:t xml:space="preserve"> </w:t>
      </w:r>
      <w:r>
        <w:t xml:space="preserve">publicaties die als studie bij mensen werden ingedeeld, en</w:t>
      </w:r>
      <w:r>
        <w:t xml:space="preserve"> </w:t>
      </w:r>
      <w:r>
        <w:rPr>
          <w:bCs/>
          <w:b/>
        </w:rPr>
        <w:t xml:space="preserve">18</w:t>
      </w:r>
      <w:r>
        <w:t xml:space="preserve"> </w:t>
      </w:r>
      <w:r>
        <w:t xml:space="preserve">vermeldingen bij ClinicalTrials.gov. Van de negen publicaties onderzoeken er slechts zes daadwerkelijk Tβ4 als werkzame stof; de overige meten Tβ4 in het bloed of betreffen andere vragen.</w:t>
      </w:r>
      <w:r>
        <w:t xml:space="preserve"> </w:t>
      </w:r>
      <w:r>
        <w:rPr>
          <w:bCs/>
          <w:b/>
        </w:rPr>
        <w:t xml:space="preserve">Geen enkele</w:t>
      </w:r>
      <w:r>
        <w:t xml:space="preserve"> </w:t>
      </w:r>
      <w:r>
        <w:t xml:space="preserve">gepubliceerde studie heeft TB-500 bij mensen onderzocht.</w:t>
      </w:r>
    </w:p>
    <w:bookmarkStart w:id="362" w:name="oogdruppels-rgn-259"/>
    <w:p>
      <w:pPr>
        <w:pStyle w:val="Heading4"/>
      </w:pPr>
      <w:r>
        <w:t xml:space="preserve">Oogdruppels (RGN-259)</w:t>
      </w:r>
    </w:p>
    <w:p>
      <w:pPr>
        <w:pStyle w:val="FirstParagraph"/>
      </w:pPr>
      <w:r>
        <w:t xml:space="preserve">Het verst gevorderd is Tβ4 als oogdruppels. Het bedrijf RegeneRx en zijn partner ReGenTree hebben het onderzocht bij droge ogen en bij neurotrofe keratopathie – een zeldzame aandoening waarbij het hoornvlies door beschadigde zenuwen slecht geneest.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Deelnemers en design</w:t>
            </w:r>
          </w:p>
        </w:tc>
        <w:tc>
          <w:tcPr/>
          <w:p>
            <w:pPr>
              <w:pStyle w:val="Compact"/>
              <w:jc w:val="left"/>
            </w:pPr>
            <w:r>
              <w:t xml:space="preserve">Duur</w:t>
            </w:r>
          </w:p>
        </w:tc>
        <w:tc>
          <w:tcPr/>
          <w:p>
            <w:pPr>
              <w:pStyle w:val="Compact"/>
              <w:jc w:val="left"/>
            </w:pPr>
            <w:r>
              <w:t xml:space="preserve">Resultaat</w:t>
            </w:r>
          </w:p>
        </w:tc>
      </w:tr>
      <w:tr>
        <w:tc>
          <w:tcPr/>
          <w:p>
            <w:pPr>
              <w:pStyle w:val="Compact"/>
              <w:jc w:val="left"/>
            </w:pPr>
            <w:r>
              <w:t xml:space="preserve">Ernstige droge ogen (Sosne 2015, PMID 25826322; NCT01393132)</w:t>
            </w:r>
          </w:p>
        </w:tc>
        <w:tc>
          <w:tcPr/>
          <w:p>
            <w:pPr>
              <w:pStyle w:val="Compact"/>
              <w:jc w:val="left"/>
            </w:pPr>
            <w:r>
              <w:t xml:space="preserve">9 personen, gerandomiseerd tegen dragervloeistof</w:t>
            </w:r>
          </w:p>
        </w:tc>
        <w:tc>
          <w:tcPr/>
          <w:p>
            <w:pPr>
              <w:pStyle w:val="Compact"/>
              <w:jc w:val="left"/>
            </w:pPr>
            <w:r>
              <w:t xml:space="preserve">28 dagen plus 28 dagen follow-up</w:t>
            </w:r>
          </w:p>
        </w:tc>
        <w:tc>
          <w:tcPr/>
          <w:p>
            <w:pPr>
              <w:pStyle w:val="Compact"/>
              <w:jc w:val="left"/>
            </w:pPr>
            <w:r>
              <w:t xml:space="preserve">op dag 56 klachten 35,1% en hoornvlieskleuring 59,1% minder dan met dragervloeistof</w:t>
            </w:r>
          </w:p>
        </w:tc>
      </w:tr>
      <w:tr>
        <w:tc>
          <w:tcPr/>
          <w:p>
            <w:pPr>
              <w:pStyle w:val="Compact"/>
              <w:jc w:val="left"/>
            </w:pPr>
            <w:r>
              <w:t xml:space="preserve">Droge ogen, provocatiemodel (Sosne 2015, PMID 26056426)</w:t>
            </w:r>
          </w:p>
        </w:tc>
        <w:tc>
          <w:tcPr/>
          <w:p>
            <w:pPr>
              <w:pStyle w:val="Compact"/>
              <w:jc w:val="left"/>
            </w:pPr>
            <w:r>
              <w:t xml:space="preserve">72 personen, RCT</w:t>
            </w:r>
          </w:p>
        </w:tc>
        <w:tc>
          <w:tcPr/>
          <w:p>
            <w:pPr>
              <w:pStyle w:val="Compact"/>
              <w:jc w:val="left"/>
            </w:pPr>
            <w:r>
              <w:t xml:space="preserve">28 dagen</w:t>
            </w:r>
          </w:p>
        </w:tc>
        <w:tc>
          <w:tcPr/>
          <w:p>
            <w:pPr>
              <w:pStyle w:val="Compact"/>
              <w:jc w:val="left"/>
            </w:pPr>
            <w:r>
              <w:t xml:space="preserve">beide primaire eindpunten niet significant; enkele secundaire eindpunten beter</w:t>
            </w:r>
          </w:p>
        </w:tc>
      </w:tr>
      <w:tr>
        <w:tc>
          <w:tcPr/>
          <w:p>
            <w:pPr>
              <w:pStyle w:val="Compact"/>
              <w:jc w:val="left"/>
            </w:pPr>
            <w:r>
              <w:t xml:space="preserve">ARISE-2 (NCT02974907)</w:t>
            </w:r>
          </w:p>
        </w:tc>
        <w:tc>
          <w:tcPr/>
          <w:p>
            <w:pPr>
              <w:pStyle w:val="Compact"/>
              <w:jc w:val="left"/>
            </w:pPr>
            <w:r>
              <w:t xml:space="preserve">601 personen, fase 3, RCT</w:t>
            </w:r>
          </w:p>
        </w:tc>
        <w:tc>
          <w:tcPr/>
          <w:p>
            <w:pPr>
              <w:pStyle w:val="Compact"/>
              <w:jc w:val="left"/>
            </w:pPr>
            <w:r>
              <w:t xml:space="preserve">28 dagen</w:t>
            </w:r>
          </w:p>
        </w:tc>
        <w:tc>
          <w:tcPr/>
          <w:p>
            <w:pPr>
              <w:pStyle w:val="Compact"/>
              <w:jc w:val="left"/>
            </w:pPr>
            <w:r>
              <w:t xml:space="preserve">primaire eindpunten volgens registerresultaten in beide groepen vrijwel gelijk</w:t>
            </w:r>
          </w:p>
        </w:tc>
      </w:tr>
      <w:tr>
        <w:tc>
          <w:tcPr/>
          <w:p>
            <w:pPr>
              <w:pStyle w:val="Compact"/>
              <w:jc w:val="left"/>
            </w:pPr>
            <w:r>
              <w:t xml:space="preserve">ARISE-3 (NCT03937882)</w:t>
            </w:r>
          </w:p>
        </w:tc>
        <w:tc>
          <w:tcPr/>
          <w:p>
            <w:pPr>
              <w:pStyle w:val="Compact"/>
              <w:jc w:val="left"/>
            </w:pPr>
            <w:r>
              <w:t xml:space="preserve">700 personen, fase 3, RCT</w:t>
            </w:r>
          </w:p>
        </w:tc>
        <w:tc>
          <w:tcPr/>
          <w:p>
            <w:pPr>
              <w:pStyle w:val="Compact"/>
              <w:jc w:val="left"/>
            </w:pPr>
            <w:r>
              <w:t xml:space="preserve">14 dagen</w:t>
            </w:r>
          </w:p>
        </w:tc>
        <w:tc>
          <w:tcPr/>
          <w:p>
            <w:pPr>
              <w:pStyle w:val="Compact"/>
              <w:jc w:val="left"/>
            </w:pPr>
            <w:r>
              <w:t xml:space="preserve">hoornvlieskleuring −0,41 vs. −0,46 punt, klachten −0,4 vs. −0,4 punt (Tβ4 vs. placebo)</w:t>
            </w:r>
          </w:p>
        </w:tc>
      </w:tr>
      <w:tr>
        <w:tc>
          <w:tcPr/>
          <w:p>
            <w:pPr>
              <w:pStyle w:val="Compact"/>
              <w:jc w:val="left"/>
            </w:pPr>
            <w:r>
              <w:t xml:space="preserve">SEER-1, neurotrofe keratopathie (Sosne 2022, PMID 36613994)</w:t>
            </w:r>
          </w:p>
        </w:tc>
        <w:tc>
          <w:tcPr/>
          <w:p>
            <w:pPr>
              <w:pStyle w:val="Compact"/>
              <w:jc w:val="left"/>
            </w:pPr>
            <w:r>
              <w:t xml:space="preserve">18 personen, fase 3, RCT</w:t>
            </w:r>
          </w:p>
        </w:tc>
        <w:tc>
          <w:tcPr/>
          <w:p>
            <w:pPr>
              <w:pStyle w:val="Compact"/>
              <w:jc w:val="left"/>
            </w:pPr>
            <w:r>
              <w:t xml:space="preserve">4 weken plus 2 weken</w:t>
            </w:r>
          </w:p>
        </w:tc>
        <w:tc>
          <w:tcPr/>
          <w:p>
            <w:pPr>
              <w:pStyle w:val="Compact"/>
              <w:jc w:val="left"/>
            </w:pPr>
            <w:r>
              <w:t xml:space="preserve">volledige genezing bij 6 van de 10 vs. 1 van de 8 (p = 0,0656, niet significant)</w:t>
            </w:r>
          </w:p>
        </w:tc>
      </w:tr>
    </w:tbl>
    <w:p>
      <w:pPr>
        <w:pStyle w:val="BodyText"/>
      </w:pPr>
      <w:r>
        <w:t xml:space="preserve">Het patroon is typisch voor een geneesmiddel met onzeker nut: kleine studies laten gunstige signalen zien, grote studies bevestigen ze niet. De kleine studie met negen personen vond duidelijke verbeteringen (Sosne 2015, PMID 25826322). Maar al de studie met 72 personen miste beide vooraf vastgelegde primaire eindpunten; de auteurs benadrukten in plaats daarvan verbeteringen bij secundaire eindpunten (Sosne 2015, PMID 26056426). In de twee grote fase 3-studies ARISE-2 en ARISE-3 met samen ongeveer 1.300 deelnemers lagen de waarden van de primaire eindpunten volgens de in het register gepubliceerde resultaten in de Tβ4- en de placebogroep vrijwel gelijk (NCT02974907; NCT03937882). Een publicatie van deze resultaten in een tijdschrift werd in PubMed niet gevonden.</w:t>
      </w:r>
    </w:p>
    <w:p>
      <w:pPr>
        <w:pStyle w:val="BodyText"/>
      </w:pPr>
      <w:r>
        <w:t xml:space="preserve">Bij neurotrofe keratopathie genazen in de kleine fase 3-studie SEER-1 meer ogen met Tβ4 dan met placebo; het verschil miste echter net de statistische significantie, en de studie omvatte slechts 18 personen (Sosne 2022, PMID 36613994). Een Cochrane-overzicht uit 2025 beoordeelde de studie met</w:t>
      </w:r>
      <w:r>
        <w:t xml:space="preserve"> </w:t>
      </w:r>
      <w:r>
        <w:t xml:space="preserve">‘</w:t>
      </w:r>
      <w:r>
        <w:t xml:space="preserve">lage betrouwbaarheid</w:t>
      </w:r>
      <w:r>
        <w:t xml:space="preserve">’</w:t>
      </w:r>
      <w:r>
        <w:t xml:space="preserve"> </w:t>
      </w:r>
      <w:r>
        <w:t xml:space="preserve">en vond geen vaststaand verschil (Kruoch 2025, PMID 41347649). Een grotere vervolgstudie (SEER-2) loopt.</w:t>
      </w:r>
    </w:p>
    <w:bookmarkEnd w:id="362"/>
    <w:bookmarkStart w:id="363" w:name="hart"/>
    <w:p>
      <w:pPr>
        <w:pStyle w:val="Heading4"/>
      </w:pPr>
      <w:r>
        <w:t xml:space="preserve">Hart</w:t>
      </w:r>
    </w:p>
    <w:p>
      <w:pPr>
        <w:pStyle w:val="FirstParagraph"/>
      </w:pPr>
      <w:r>
        <w:t xml:space="preserve">Tβ4 werd vanwege spectaculaire muizenexperimenten ontwikkeld als hartmiddel (zie dier- en laboratoriumstudies).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Deelnemers en design</w:t>
            </w:r>
          </w:p>
        </w:tc>
        <w:tc>
          <w:tcPr/>
          <w:p>
            <w:pPr>
              <w:pStyle w:val="Compact"/>
              <w:jc w:val="left"/>
            </w:pPr>
            <w:r>
              <w:t xml:space="preserve">Duur</w:t>
            </w:r>
          </w:p>
        </w:tc>
        <w:tc>
          <w:tcPr/>
          <w:p>
            <w:pPr>
              <w:pStyle w:val="Compact"/>
              <w:jc w:val="left"/>
            </w:pPr>
            <w:r>
              <w:t xml:space="preserve">Resultaat</w:t>
            </w:r>
          </w:p>
        </w:tc>
      </w:tr>
      <w:tr>
        <w:tc>
          <w:tcPr/>
          <w:p>
            <w:pPr>
              <w:pStyle w:val="Compact"/>
              <w:jc w:val="left"/>
            </w:pPr>
            <w:r>
              <w:t xml:space="preserve">Veiligheid, infuus (Ruff 2010, PMID 20536472)</w:t>
            </w:r>
          </w:p>
        </w:tc>
        <w:tc>
          <w:tcPr/>
          <w:p>
            <w:pPr>
              <w:pStyle w:val="Compact"/>
              <w:jc w:val="left"/>
            </w:pPr>
            <w:r>
              <w:t xml:space="preserve">40 gezonden in 4 dosisgroepen, RCT</w:t>
            </w:r>
          </w:p>
        </w:tc>
        <w:tc>
          <w:tcPr/>
          <w:p>
            <w:pPr>
              <w:pStyle w:val="Compact"/>
              <w:jc w:val="left"/>
            </w:pPr>
            <w:r>
              <w:t xml:space="preserve">eenmalig, daarna 14 dagen dagelijks</w:t>
            </w:r>
          </w:p>
        </w:tc>
        <w:tc>
          <w:tcPr/>
          <w:p>
            <w:pPr>
              <w:pStyle w:val="Compact"/>
              <w:jc w:val="left"/>
            </w:pPr>
            <w:r>
              <w:t xml:space="preserve">geen dosisbeperkende toxiciteit, geen ernstige bijwerkingen</w:t>
            </w:r>
          </w:p>
        </w:tc>
      </w:tr>
      <w:tr>
        <w:tc>
          <w:tcPr/>
          <w:p>
            <w:pPr>
              <w:pStyle w:val="Compact"/>
              <w:jc w:val="left"/>
            </w:pPr>
            <w:r>
              <w:t xml:space="preserve">Recombinant Tβ4 NL005, fase 1 (Wang 2021, PMID 34346165)</w:t>
            </w:r>
          </w:p>
        </w:tc>
        <w:tc>
          <w:tcPr/>
          <w:p>
            <w:pPr>
              <w:pStyle w:val="Compact"/>
              <w:jc w:val="left"/>
            </w:pPr>
            <w:r>
              <w:t xml:space="preserve">54 gezonden (eenmalige dosis) en 30 gezonden (herhaalde dosis), RCT</w:t>
            </w:r>
          </w:p>
        </w:tc>
        <w:tc>
          <w:tcPr/>
          <w:p>
            <w:pPr>
              <w:pStyle w:val="Compact"/>
              <w:jc w:val="left"/>
            </w:pPr>
            <w:r>
              <w:t xml:space="preserve">tot 10 dagen plus 28 dagen</w:t>
            </w:r>
          </w:p>
        </w:tc>
        <w:tc>
          <w:tcPr/>
          <w:p>
            <w:pPr>
              <w:pStyle w:val="Compact"/>
              <w:jc w:val="left"/>
            </w:pPr>
            <w:r>
              <w:t xml:space="preserve">bijwerkingen licht tot matig, geen ernstige</w:t>
            </w:r>
          </w:p>
        </w:tc>
      </w:tr>
      <w:tr>
        <w:tc>
          <w:tcPr/>
          <w:p>
            <w:pPr>
              <w:pStyle w:val="Compact"/>
              <w:jc w:val="left"/>
            </w:pPr>
            <w:r>
              <w:t xml:space="preserve">NL005 bij hartinfarct (Zhang 2025, PMID 41229390)</w:t>
            </w:r>
          </w:p>
        </w:tc>
        <w:tc>
          <w:tcPr/>
          <w:p>
            <w:pPr>
              <w:pStyle w:val="Compact"/>
              <w:jc w:val="left"/>
            </w:pPr>
            <w:r>
              <w:t xml:space="preserve">96 personen met STEMI na katheterbehandeling, RCT tegen placebo</w:t>
            </w:r>
          </w:p>
        </w:tc>
        <w:tc>
          <w:tcPr/>
          <w:p>
            <w:pPr>
              <w:pStyle w:val="Compact"/>
              <w:jc w:val="left"/>
            </w:pPr>
            <w:r>
              <w:t xml:space="preserve">90 dagen</w:t>
            </w:r>
          </w:p>
        </w:tc>
        <w:tc>
          <w:tcPr/>
          <w:p>
            <w:pPr>
              <w:pStyle w:val="Compact"/>
              <w:jc w:val="left"/>
            </w:pPr>
            <w:r>
              <w:t xml:space="preserve">in totaal geen significant verschil in infarctgrootte; voordeel alleen in de subgroep met toediening binnen 8 uur (n = 43)</w:t>
            </w:r>
          </w:p>
        </w:tc>
      </w:tr>
      <w:tr>
        <w:tc>
          <w:tcPr/>
          <w:p>
            <w:pPr>
              <w:pStyle w:val="Compact"/>
              <w:jc w:val="left"/>
            </w:pPr>
            <w:r>
              <w:t xml:space="preserve">Met Tβ4 voorbehandelde stamcellen (Zhu 2016, PMID 27288307)</w:t>
            </w:r>
          </w:p>
        </w:tc>
        <w:tc>
          <w:tcPr/>
          <w:p>
            <w:pPr>
              <w:pStyle w:val="Compact"/>
              <w:jc w:val="left"/>
            </w:pPr>
            <w:r>
              <w:t xml:space="preserve">10 personen met hartinfarct, gerandomiseerde pilotstudie</w:t>
            </w:r>
          </w:p>
        </w:tc>
        <w:tc>
          <w:tcPr/>
          <w:p>
            <w:pPr>
              <w:pStyle w:val="Compact"/>
              <w:jc w:val="left"/>
            </w:pPr>
            <w:r>
              <w:t xml:space="preserve">6 maanden</w:t>
            </w:r>
          </w:p>
        </w:tc>
        <w:tc>
          <w:tcPr/>
          <w:p>
            <w:pPr>
              <w:pStyle w:val="Compact"/>
              <w:jc w:val="left"/>
            </w:pPr>
            <w:r>
              <w:t xml:space="preserve">loopafstand sterker verbeterd; Tβ4 werd alleen in het laboratorium aan de cellen toegevoegd, niet aan de patiënten gegeven</w:t>
            </w:r>
          </w:p>
        </w:tc>
      </w:tr>
    </w:tbl>
    <w:p>
      <w:pPr>
        <w:pStyle w:val="BodyText"/>
      </w:pPr>
      <w:r>
        <w:t xml:space="preserve">De belangrijkste hartstudie is de Chinese studie met 96 infarctpatiënten. Over alle deelnemers heen verkleinde recombinant Tβ4 de infarctgrootte na 90 dagen niet significant; een voordeel was alleen te zien in de subgroep die de eerste dosis binnen acht uur kreeg (Zhang 2025, PMID 41229390). Resultaten van subgroepen gelden als aanwijzing, niet als bewijs. De auteurs pleiten zelf voor verdere gerandomiseerde studies.</w:t>
      </w:r>
    </w:p>
    <w:bookmarkEnd w:id="363"/>
    <w:bookmarkStart w:id="364" w:name="huid-en-wonden"/>
    <w:p>
      <w:pPr>
        <w:pStyle w:val="Heading4"/>
      </w:pPr>
      <w:r>
        <w:t xml:space="preserve">Huid en wonden</w:t>
      </w:r>
    </w:p>
    <w:p>
      <w:pPr>
        <w:pStyle w:val="FirstParagraph"/>
      </w:pPr>
      <w:r>
        <w:t xml:space="preserve">In de jaren 2000 onderzocht RegeneRx een Tβ4-gel bij veneuze beenzweren, doorligwonden en de erfelijke blaarziekte epidermolysis bullosa. De studie naar veneuze zweren randomiseerde 73 personen; de veiligheid was vergelijkbaar met placebo, een effect kon alleen als tendens worden beschreven voor de concentratie van 0,03% (Guarnera 2010, PMID 20536470). De studie naar epidermolysis bullosa werd voortijdig beëindigd (NCT00311766). Geen van deze studies leidde tot een registratie.</w:t>
      </w:r>
    </w:p>
    <w:bookmarkEnd w:id="364"/>
    <w:bookmarkStart w:id="365" w:name="tb-500-bij-mensen"/>
    <w:p>
      <w:pPr>
        <w:pStyle w:val="Heading4"/>
      </w:pPr>
      <w:r>
        <w:t xml:space="preserve">TB-500 bij mensen</w:t>
      </w:r>
    </w:p>
    <w:p>
      <w:pPr>
        <w:pStyle w:val="FirstParagraph"/>
      </w:pPr>
      <w:r>
        <w:t xml:space="preserve">Voor het fragment TB-500 bestaat geen gepubliceerde studie bij mensen. Een in 2026 ingeschreven registervermelding over TB-500 bij hart- en vaatziekte (NCT07487363) noemt zichzelf in de eigen beschrijving een</w:t>
      </w:r>
      <w:r>
        <w:t xml:space="preserve"> </w:t>
      </w:r>
      <w:r>
        <w:t xml:space="preserve">‘</w:t>
      </w:r>
      <w:r>
        <w:t xml:space="preserve">fictief</w:t>
      </w:r>
      <w:r>
        <w:t xml:space="preserve">’</w:t>
      </w:r>
      <w:r>
        <w:t xml:space="preserve"> </w:t>
      </w:r>
      <w:r>
        <w:t xml:space="preserve">voorbeeld van een registervermelding; ze moet daarom niet als echte studie worden beschouwd. De enige publicatie bij mensen die Tβ4 bij gewrichtsklachten noemt, is een retrospectieve telefonische enquête waarin vier personen BPC-157 samen met Tβ4 in de knie geïnjecteerd kregen (Lee 2021, PMID 34324435) – te weinig voor welke uitspraak dan ook.</w:t>
      </w:r>
    </w:p>
    <w:bookmarkEnd w:id="365"/>
    <w:bookmarkEnd w:id="366"/>
    <w:bookmarkStart w:id="367" w:name="dier--en-laboratoriumstudies-16"/>
    <w:p>
      <w:pPr>
        <w:pStyle w:val="Heading3"/>
      </w:pPr>
      <w:r>
        <w:t xml:space="preserve">Dier- en laboratoriumstudies</w:t>
      </w:r>
    </w:p>
    <w:p>
      <w:pPr>
        <w:pStyle w:val="FirstParagraph"/>
      </w:pPr>
      <w:r>
        <w:t xml:space="preserve">De reputatie van Tβ4 als</w:t>
      </w:r>
      <w:r>
        <w:t xml:space="preserve"> </w:t>
      </w:r>
      <w:r>
        <w:t xml:space="preserve">‘</w:t>
      </w:r>
      <w:r>
        <w:t xml:space="preserve">herstelpeptide</w:t>
      </w:r>
      <w:r>
        <w:t xml:space="preserve">’</w:t>
      </w:r>
      <w:r>
        <w:t xml:space="preserve"> </w:t>
      </w:r>
      <w:r>
        <w:t xml:space="preserve">komt vooral uit twee publicaties in het vaktijdschrift Nature. Bij muizen met een kunstmatig opgewekt hartinfarct verbeterde Tβ4 de overleving van hartspiercellen en de hartfunctie (Bock-Marquette 2004, PMID 15565145). Een vervolgstudie liet bij muizen zien dat Tβ4 voorlopercellen van het buitenste hartvlies activeert en de vorming van nieuwe bloedvaten stimuleert (Smart 2007, PMID 17108969). Een onafhankelijke groep kon echter niet bevestigen dat Tβ4 na een infarct uit deze cellen nieuwe hartspiercellen laat ontstaan (Kispert 2012, PMID 22019445) – een voorbeeld van hoe belangrijk onafhankelijke herhalingen zijn.</w:t>
      </w:r>
    </w:p>
    <w:p>
      <w:pPr>
        <w:pStyle w:val="BodyText"/>
      </w:pPr>
      <w:r>
        <w:t xml:space="preserve">Andere dier- en laboratoriumbevindingen betreffen huid, hoornvlies, hersenen, nieren en lever. Bij ratten verbeterde Tβ4 de overleving van huidlappen (Tao 2024, PMID 38757041), bij muizen de genezing van botbreuken (Brady 2014, PMID 25042765). Voor pezen, banden en spieren – dus precies de toepassingen waarvoor TB-500 op internet wordt aangeprezen – zijn er alleen gegevens uit cellen en knaagdieren (Tham 2026, PMID 42937313). Een rattenstudie uit 2026 vond na doorsnijding van de achillespees bij 32 dieren een hogere scheursterkte en een betere weefselstructuur in de TB-500-groep dan in de controlegroep (Biçer 2026, PMID 42542926). Dat is een van de weinige dierstudies met het daadwerkelijk verkochte fragment.</w:t>
      </w:r>
    </w:p>
    <w:bookmarkEnd w:id="367"/>
    <w:bookmarkStart w:id="371" w:name="risicos-en-bijwerkingen-16"/>
    <w:p>
      <w:pPr>
        <w:pStyle w:val="Heading3"/>
      </w:pPr>
      <w:r>
        <w:t xml:space="preserve">Risico’s en bijwerkingen</w:t>
      </w:r>
    </w:p>
    <w:bookmarkStart w:id="368" w:name="aangetoond-thymosine-bèta-4"/>
    <w:p>
      <w:pPr>
        <w:pStyle w:val="Heading4"/>
      </w:pPr>
      <w:r>
        <w:t xml:space="preserve">Aangetoond (thymosine bèta-4)</w:t>
      </w:r>
    </w:p>
    <w:p>
      <w:pPr>
        <w:pStyle w:val="FirstParagraph"/>
      </w:pPr>
      <w:r>
        <w:t xml:space="preserve">In de gerandomiseerde studies met oogdruppels, gel en infuus werd Tβ4 goed verdragen. Bij 40 gezonden traten bij infusen tot 1.260 mg per dag gedurende 14 dagen geen dosisbeperkende bijwerkingen op (Ruff 2010, PMID 20536472). In de Chinese fase 1-studie waren de bijwerkingen licht tot matig (Wang 2021, PMID 34346165). Deze studies zijn echter kort, en ze betreffen het hele eiwit in geneesmiddelkwaliteit – niet producten van de grijze markt.</w:t>
      </w:r>
    </w:p>
    <w:bookmarkEnd w:id="368"/>
    <w:bookmarkStart w:id="369" w:name="theoretisch-kanker"/>
    <w:p>
      <w:pPr>
        <w:pStyle w:val="Heading4"/>
      </w:pPr>
      <w:r>
        <w:t xml:space="preserve">Theoretisch: kanker</w:t>
      </w:r>
    </w:p>
    <w:p>
      <w:pPr>
        <w:pStyle w:val="FirstParagraph"/>
      </w:pPr>
      <w:r>
        <w:t xml:space="preserve">Tβ4 bevordert celmigratie en vaatnieuwvorming – twee eigenschappen die ook tumoren gebruiken voor groei en uitzaaiing. In weefselmonsters van 138 patiënten met blaaskanker ging een sterke vorming van Tβ4 samen met een gevorderd stadium, aantasting van lymfeklieren en een kortere overleving (Wang 2016, PMID 27596300). In kweken van borstkankercellen verhoogde toegevoegd Tβ4 het aantal cellen (Larsson 2007, PMID 17495241). Zulke verbanden bewijzen niet dat van buitenaf toegediend Tβ4 kanker veroorzaakt. Ze zijn echter een reden waarom deskundigen bij mensen met kanker of een verhoogd kankerrisico tot voorzichtigheid manen. Langetermijngegevens ontbreken. Deel IV behandelt het thema uitvoerig.</w:t>
      </w:r>
    </w:p>
    <w:bookmarkEnd w:id="369"/>
    <w:bookmarkStart w:id="370" w:name="grijze-markt"/>
    <w:p>
      <w:pPr>
        <w:pStyle w:val="Heading4"/>
      </w:pPr>
      <w:r>
        <w:t xml:space="preserve">Grijze markt</w:t>
      </w:r>
    </w:p>
    <w:p>
      <w:pPr>
        <w:pStyle w:val="FirstParagraph"/>
      </w:pPr>
      <w:r>
        <w:t xml:space="preserve">Wat als</w:t>
      </w:r>
      <w:r>
        <w:t xml:space="preserve"> </w:t>
      </w:r>
      <w:r>
        <w:t xml:space="preserve">‘</w:t>
      </w:r>
      <w:r>
        <w:t xml:space="preserve">TB-500</w:t>
      </w:r>
      <w:r>
        <w:t xml:space="preserve">’</w:t>
      </w:r>
      <w:r>
        <w:t xml:space="preserve"> </w:t>
      </w:r>
      <w:r>
        <w:t xml:space="preserve">wordt verkocht, bevat niet betrouwbaar wat op het etiket staat. Een laboratorium voor paardendoping analyseerde op internet aangeboden producten en vond dat de inhoud van</w:t>
      </w:r>
      <w:r>
        <w:t xml:space="preserve"> </w:t>
      </w:r>
      <w:r>
        <w:t xml:space="preserve">‘</w:t>
      </w:r>
      <w:r>
        <w:t xml:space="preserve">TB500</w:t>
      </w:r>
      <w:r>
        <w:t xml:space="preserve">’</w:t>
      </w:r>
      <w:r>
        <w:t xml:space="preserve"> </w:t>
      </w:r>
      <w:r>
        <w:t xml:space="preserve">en</w:t>
      </w:r>
      <w:r>
        <w:t xml:space="preserve"> </w:t>
      </w:r>
      <w:r>
        <w:t xml:space="preserve">‘</w:t>
      </w:r>
      <w:r>
        <w:t xml:space="preserve">TB1000</w:t>
      </w:r>
      <w:r>
        <w:t xml:space="preserve">’</w:t>
      </w:r>
      <w:r>
        <w:t xml:space="preserve"> </w:t>
      </w:r>
      <w:r>
        <w:t xml:space="preserve">niet overal overeenkwam met de vermelde samenstelling (Delcourt 2023, PMID 36482504). Sommige producten bevatten het fragment, andere mogelijk het hele Tβ4, weer andere verontreinigingen. Daarbij komen de bekende risico’s van niet-steriele injecties. Dat laboratoria voor paardendoping al in 2012 detectiemethoden voor TB-500 ontwikkelden (Ho 2012, PMID 23084823), laat zien uit welke hoek het product komt: uit de dierensector, niet uit de humane geneeskunde.</w:t>
      </w:r>
    </w:p>
    <w:bookmarkEnd w:id="370"/>
    <w:bookmarkEnd w:id="371"/>
    <w:bookmarkStart w:id="372" w:name="juridische-status-16"/>
    <w:p>
      <w:pPr>
        <w:pStyle w:val="Heading3"/>
      </w:pPr>
      <w:r>
        <w:t xml:space="preserve">Juridische status</w:t>
      </w:r>
    </w:p>
    <w:p>
      <w:pPr>
        <w:pStyle w:val="FirstParagraph"/>
      </w:pPr>
      <w:r>
        <w:rPr>
          <w:iCs/>
          <w:i/>
        </w:rPr>
        <w:t xml:space="preserve">Stand 2026, actuele situatie controleren.</w:t>
      </w:r>
    </w:p>
    <w:p>
      <w:pPr>
        <w:numPr>
          <w:ilvl w:val="0"/>
          <w:numId w:val="1120"/>
        </w:numPr>
        <w:pStyle w:val="Compact"/>
      </w:pPr>
      <w:r>
        <w:rPr>
          <w:bCs/>
          <w:b/>
        </w:rPr>
        <w:t xml:space="preserve">EU, Duitsland, Oostenrijk:</w:t>
      </w:r>
      <w:r>
        <w:t xml:space="preserve"> </w:t>
      </w:r>
      <w:r>
        <w:t xml:space="preserve">Tβ4 noch TB-500 is als geneesmiddel geregistreerd. Levering voor gebruik bij mensen is niet toegestaan; producten met de vermelding</w:t>
      </w:r>
      <w:r>
        <w:t xml:space="preserve"> </w:t>
      </w:r>
      <w:r>
        <w:t xml:space="preserve">‘</w:t>
      </w:r>
      <w:r>
        <w:t xml:space="preserve">alleen voor onderzoeksdoeleinden</w:t>
      </w:r>
      <w:r>
        <w:t xml:space="preserve">’</w:t>
      </w:r>
      <w:r>
        <w:t xml:space="preserve"> </w:t>
      </w:r>
      <w:r>
        <w:t xml:space="preserve">veranderen daar niets aan.</w:t>
      </w:r>
    </w:p>
    <w:p>
      <w:pPr>
        <w:numPr>
          <w:ilvl w:val="0"/>
          <w:numId w:val="1120"/>
        </w:numPr>
        <w:pStyle w:val="Compact"/>
      </w:pPr>
      <w:r>
        <w:rPr>
          <w:bCs/>
          <w:b/>
        </w:rPr>
        <w:t xml:space="preserve">VS:</w:t>
      </w:r>
      <w:r>
        <w:t xml:space="preserve"> </w:t>
      </w:r>
      <w:r>
        <w:t xml:space="preserve">geen FDA-registratie. Naar weten van de auteur deelde de FDA in 2023 het Tβ4-fragment (TB-500), net als BPC-157, in bij categorie 2 van de grondstoffen voor bereidingen, dus bij de stoffen met aanzienlijke veiligheidsbezwaren; de beoordeling van peptiden voor bereiding door apotheken wordt momenteel controversieel besproken (Willis 2026, PMID 42752426).</w:t>
      </w:r>
    </w:p>
    <w:p>
      <w:pPr>
        <w:numPr>
          <w:ilvl w:val="0"/>
          <w:numId w:val="1120"/>
        </w:numPr>
        <w:pStyle w:val="Compact"/>
      </w:pPr>
      <w:r>
        <w:rPr>
          <w:bCs/>
          <w:b/>
        </w:rPr>
        <w:t xml:space="preserve">WADA:</w:t>
      </w:r>
      <w:r>
        <w:t xml:space="preserve"> </w:t>
      </w:r>
      <w:r>
        <w:t xml:space="preserve">Tβ4 en zijn derivaten zoals TB-500 zijn uitdrukkelijk verboden in klasse S2 (peptidehormonen, groeifactoren), binnen en buiten wedstrijden. Ook in de paardensport is het verboden (Delcourt 2025, PMID 39314109).</w:t>
      </w:r>
    </w:p>
    <w:bookmarkEnd w:id="372"/>
    <w:bookmarkStart w:id="373" w:name="lopende-studies-en-vooruitzichten-16"/>
    <w:p>
      <w:pPr>
        <w:pStyle w:val="Heading3"/>
      </w:pPr>
      <w:r>
        <w:t xml:space="preserve">Lopende studies en vooruitzichten</w:t>
      </w:r>
    </w:p>
    <w:p>
      <w:pPr>
        <w:pStyle w:val="FirstParagraph"/>
      </w:pPr>
      <w:r>
        <w:rPr>
          <w:bCs/>
          <w:b/>
        </w:rPr>
        <w:t xml:space="preserve">Vaststaand (volgens register):</w:t>
      </w:r>
    </w:p>
    <w:p>
      <w:pPr>
        <w:numPr>
          <w:ilvl w:val="0"/>
          <w:numId w:val="1121"/>
        </w:numPr>
        <w:pStyle w:val="Compact"/>
      </w:pPr>
      <w:r>
        <w:rPr>
          <w:bCs/>
          <w:b/>
        </w:rPr>
        <w:t xml:space="preserve">SEER-2 (NCT05555589):</w:t>
      </w:r>
      <w:r>
        <w:t xml:space="preserve"> </w:t>
      </w:r>
      <w:r>
        <w:t xml:space="preserve">fase 3-studie met RGN-259-oogdruppels bij neurotrofe keratopathie, gepland 70 personen, werving loopt, einde van de studie volgens register geschat op mei 2026. In oktober 2026 waren er geen resultaten gepubliceerd.</w:t>
      </w:r>
    </w:p>
    <w:p>
      <w:pPr>
        <w:numPr>
          <w:ilvl w:val="0"/>
          <w:numId w:val="1121"/>
        </w:numPr>
        <w:pStyle w:val="Compact"/>
      </w:pPr>
      <w:r>
        <w:rPr>
          <w:bCs/>
          <w:b/>
        </w:rPr>
        <w:t xml:space="preserve">NL005 bij hartinfarct (NCT07586865):</w:t>
      </w:r>
      <w:r>
        <w:t xml:space="preserve"> </w:t>
      </w:r>
      <w:r>
        <w:t xml:space="preserve">Chinese fase 2c-studie met recombinant Tβ4, gepland 189 personen, primair eindpunt infarctgrootte op hart-MRI na 90 dagen; nog geen werving, einde geschat op 2028. Twee eerdere fase 2-studies van dezelfde fabrikant met 62 en 90 personen zijn volgens het register afgerond (NCT05485818; NCT05984134).</w:t>
      </w:r>
    </w:p>
    <w:p>
      <w:pPr>
        <w:numPr>
          <w:ilvl w:val="0"/>
          <w:numId w:val="1121"/>
        </w:numPr>
        <w:pStyle w:val="Compact"/>
      </w:pPr>
      <w:r>
        <w:rPr>
          <w:bCs/>
          <w:b/>
        </w:rPr>
        <w:t xml:space="preserve">TB-500:</w:t>
      </w:r>
      <w:r>
        <w:t xml:space="preserve"> </w:t>
      </w:r>
      <w:r>
        <w:t xml:space="preserve">geen geloofwaardige geregistreerde studie bij mensen.</w:t>
      </w:r>
    </w:p>
    <w:p>
      <w:pPr>
        <w:pStyle w:val="FirstParagraph"/>
      </w:pPr>
      <w:r>
        <w:rPr>
          <w:bCs/>
          <w:b/>
        </w:rPr>
        <w:t xml:space="preserve">Inschatting van de auteur:</w:t>
      </w:r>
      <w:r>
        <w:t xml:space="preserve"> </w:t>
      </w:r>
      <w:r>
        <w:t xml:space="preserve">de meest realistische kans op registratie heeft Tβ4 als oogdruppels bij de zeldzame neurotrofe keratopathie, waar al kleine studies kunnen volstaan voor registratie als weesgeneesmiddel – als SEER-2 positief uitvalt. Bij droge ogen spreken de grote fase 3-gegevens tegen een klinisch relevant nut. Bij hartinfarct hangt alles af van de lopende Chinese studie. Voor TB-500 als middel voor herstel van pezen en spieren is er voorlopig geen serieus onderzoek bij mensen in zicht.</w:t>
      </w:r>
    </w:p>
    <w:bookmarkEnd w:id="373"/>
    <w:bookmarkStart w:id="374" w:name="conclusie-16"/>
    <w:p>
      <w:pPr>
        <w:pStyle w:val="Heading3"/>
      </w:pPr>
      <w:r>
        <w:t xml:space="preserve">Conclusie</w:t>
      </w:r>
    </w:p>
    <w:p>
      <w:pPr>
        <w:pStyle w:val="FirstParagraph"/>
      </w:pPr>
      <w:r>
        <w:t xml:space="preserve">Thymosine bèta-4 is een lichaamseigen peptide dat in gerandomiseerde studies als oogdruppels en infuus goed werd verdragen, maar waarvan het nut in de grote studies bij droge ogen niet werd bevestigd en bij hartinfarct tot nu toe alleen in een subgroep werd gesuggereerd (Zhang 2025, PMID 41229390). TB-500 is iets anders: een veranderd fragment dat nooit in een gepubliceerde studie bij mensen is onderzocht en waarvan de producten van de grijze markt aantoonbaar niet altijd bevatten wat wordt vermeld. De reclame voor TB-500 steunt op studies met het hele eiwit – en ook die gaan nauwelijks over pezen, banden of spieren. Voor sporters zijn beide stoffen verboden.</w:t>
      </w:r>
    </w:p>
    <w:bookmarkEnd w:id="374"/>
    <w:bookmarkEnd w:id="375"/>
    <w:bookmarkStart w:id="392" w:name="thymosine-alfa-1-thymalfasine"/>
    <w:p>
      <w:pPr>
        <w:pStyle w:val="Heading2"/>
      </w:pPr>
      <w:r>
        <w:t xml:space="preserve">Thymosine alfa-1 (thymalfasine)</w:t>
      </w:r>
    </w:p>
    <w:p>
      <w:pPr>
        <w:pStyle w:val="FirstParagraph"/>
      </w:pPr>
      <w:r>
        <w:t xml:space="preserve">Thymosine alfa-1 is in deze groep een bijzonder geval. Anders dan BPC-157 of TB-500 is het in een reeks landen een geregistreerd geneesmiddel (handelsnaam Zadaxin), het is in tientallen gerandomiseerde studies bij duizenden mensen onderzocht, en in China hoort het in sommige ziekenhuizen bij de dagelijkse praktijk. Tegelijk laat juist dit peptide zien hoe een beeld verandert wanneer kleine, oudere studies worden opgevolgd door grote, zorgvuldig uitgevoerde studies. In Europa en de VS is het niet geregistreerd, maar in de</w:t>
      </w:r>
      <w:r>
        <w:t xml:space="preserve"> </w:t>
      </w:r>
      <w:r>
        <w:t xml:space="preserve">‘</w:t>
      </w:r>
      <w:r>
        <w:t xml:space="preserve">longevity</w:t>
      </w:r>
      <w:r>
        <w:t xml:space="preserve">’</w:t>
      </w:r>
      <w:r>
        <w:t xml:space="preserve">- en biohackingscene wordt het als immuunbooster op de markt gebracht.</w:t>
      </w:r>
    </w:p>
    <w:bookmarkStart w:id="376" w:name="profiel-17"/>
    <w:p>
      <w:pPr>
        <w:pStyle w:val="Heading3"/>
      </w:pPr>
      <w:r>
        <w:t xml:space="preserve">Profiel</w:t>
      </w:r>
    </w:p>
    <w:p>
      <w:pPr>
        <w:numPr>
          <w:ilvl w:val="0"/>
          <w:numId w:val="1122"/>
        </w:numPr>
        <w:pStyle w:val="Compact"/>
      </w:pPr>
      <w:r>
        <w:rPr>
          <w:bCs/>
          <w:b/>
        </w:rPr>
        <w:t xml:space="preserve">Soort en structuur:</w:t>
      </w:r>
      <w:r>
        <w:t xml:space="preserve"> </w:t>
      </w:r>
      <w:r>
        <w:t xml:space="preserve">peptide van 28 aminozuren, aan het begin geacetyleerd (Iino 2005, PMID 15850471); fragment van het grotere eiwit prothymosine alfa.</w:t>
      </w:r>
    </w:p>
    <w:p>
      <w:pPr>
        <w:numPr>
          <w:ilvl w:val="0"/>
          <w:numId w:val="1122"/>
        </w:numPr>
        <w:pStyle w:val="Compact"/>
      </w:pPr>
      <w:r>
        <w:rPr>
          <w:bCs/>
          <w:b/>
        </w:rPr>
        <w:t xml:space="preserve">Herkomst:</w:t>
      </w:r>
      <w:r>
        <w:t xml:space="preserve"> </w:t>
      </w:r>
      <w:r>
        <w:t xml:space="preserve">in de jaren zeventig geïsoleerd uit een extract van de thymus (</w:t>
      </w:r>
      <w:r>
        <w:t xml:space="preserve">‘</w:t>
      </w:r>
      <w:r>
        <w:t xml:space="preserve">thymosinefractie 5</w:t>
      </w:r>
      <w:r>
        <w:t xml:space="preserve">’</w:t>
      </w:r>
      <w:r>
        <w:t xml:space="preserve">); tegenwoordig chemisch gesynthetiseerd. Naam van de werkzame stof: thymalfasine.</w:t>
      </w:r>
    </w:p>
    <w:p>
      <w:pPr>
        <w:numPr>
          <w:ilvl w:val="0"/>
          <w:numId w:val="1122"/>
        </w:numPr>
        <w:pStyle w:val="Compact"/>
      </w:pPr>
      <w:r>
        <w:rPr>
          <w:bCs/>
          <w:b/>
        </w:rPr>
        <w:t xml:space="preserve">Werkingsprincipe:</w:t>
      </w:r>
      <w:r>
        <w:t xml:space="preserve"> </w:t>
      </w:r>
      <w:r>
        <w:t xml:space="preserve">immunomodulator – zou de rijping en activiteit van T-cellen en dendritische cellen bevorderen.</w:t>
      </w:r>
    </w:p>
    <w:p>
      <w:pPr>
        <w:numPr>
          <w:ilvl w:val="0"/>
          <w:numId w:val="1122"/>
        </w:numPr>
        <w:pStyle w:val="Compact"/>
      </w:pPr>
      <w:r>
        <w:rPr>
          <w:bCs/>
          <w:b/>
        </w:rPr>
        <w:t xml:space="preserve">Registratie EU:</w:t>
      </w:r>
      <w:r>
        <w:t xml:space="preserve"> </w:t>
      </w:r>
      <w:r>
        <w:t xml:space="preserve">geen centrale registratie.</w:t>
      </w:r>
      <w:r>
        <w:t xml:space="preserve"> </w:t>
      </w:r>
      <w:r>
        <w:rPr>
          <w:bCs/>
          <w:b/>
        </w:rPr>
        <w:t xml:space="preserve">VS:</w:t>
      </w:r>
      <w:r>
        <w:t xml:space="preserve"> </w:t>
      </w:r>
      <w:r>
        <w:t xml:space="preserve">niet geregistreerd; de FDA beperkte in 2023 het gebruik in bereidingsapotheken (Dinetz 2024, PMID 38308608).</w:t>
      </w:r>
      <w:r>
        <w:t xml:space="preserve"> </w:t>
      </w:r>
      <w:r>
        <w:rPr>
          <w:bCs/>
          <w:b/>
        </w:rPr>
        <w:t xml:space="preserve">Andere landen:</w:t>
      </w:r>
      <w:r>
        <w:t xml:space="preserve"> </w:t>
      </w:r>
      <w:r>
        <w:t xml:space="preserve">als Zadaxin geregistreerd, vooral in China en andere Aziatische landen, meestal voor chronische hepatitis B en als ondersteunende therapie ter versterking van het immuunsysteem.</w:t>
      </w:r>
    </w:p>
    <w:p>
      <w:pPr>
        <w:numPr>
          <w:ilvl w:val="0"/>
          <w:numId w:val="1122"/>
        </w:numPr>
        <w:pStyle w:val="Compact"/>
      </w:pPr>
      <w:r>
        <w:rPr>
          <w:bCs/>
          <w:b/>
        </w:rPr>
        <w:t xml:space="preserve">WADA:</w:t>
      </w:r>
      <w:r>
        <w:t xml:space="preserve"> </w:t>
      </w:r>
      <w:r>
        <w:t xml:space="preserve">niet uitdrukkelijk vermeld (stand 2026, actuele situatie controleren).</w:t>
      </w:r>
    </w:p>
    <w:p>
      <w:pPr>
        <w:numPr>
          <w:ilvl w:val="0"/>
          <w:numId w:val="1122"/>
        </w:numPr>
        <w:pStyle w:val="Compact"/>
      </w:pPr>
      <w:r>
        <w:rPr>
          <w:bCs/>
          <w:b/>
        </w:rPr>
        <w:t xml:space="preserve">Bewijsniveau: B</w:t>
      </w:r>
      <w:r>
        <w:t xml:space="preserve"> </w:t>
      </w:r>
      <w:r>
        <w:t xml:space="preserve">– formeel zijn er veel gerandomiseerde studies; de grote, methodologisch beste studies misten echter hun primaire eindpunten, en de positieve resultaten komen overwegend uit kleine studies met een hoog risico op vertekening.</w:t>
      </w:r>
    </w:p>
    <w:bookmarkEnd w:id="376"/>
    <w:bookmarkStart w:id="377" w:name="hoe-het-zou-moeten-werken-17"/>
    <w:p>
      <w:pPr>
        <w:pStyle w:val="Heading3"/>
      </w:pPr>
      <w:r>
        <w:t xml:space="preserve">Hoe het zou moeten werken</w:t>
      </w:r>
    </w:p>
    <w:p>
      <w:pPr>
        <w:pStyle w:val="FirstParagraph"/>
      </w:pPr>
      <w:r>
        <w:t xml:space="preserve">De thymus achter het borstbeen is de</w:t>
      </w:r>
      <w:r>
        <w:t xml:space="preserve"> </w:t>
      </w:r>
      <w:r>
        <w:t xml:space="preserve">‘</w:t>
      </w:r>
      <w:r>
        <w:t xml:space="preserve">school</w:t>
      </w:r>
      <w:r>
        <w:t xml:space="preserve">’</w:t>
      </w:r>
      <w:r>
        <w:t xml:space="preserve"> </w:t>
      </w:r>
      <w:r>
        <w:t xml:space="preserve">van de T-cellen: hier leren deze witte bloedcellen vreemd van eigen te onderscheiden. Met de leeftijd krimpt de thymus. Al vroeg vermoedde men dat boodschapperstoffen uit de thymus de afweer sturen, en men zocht ernaar in thymusextracten. Thymosine alfa-1 was een van de eerste zo geïdentificeerde stoffen.</w:t>
      </w:r>
    </w:p>
    <w:p>
      <w:pPr>
        <w:pStyle w:val="BodyText"/>
      </w:pPr>
      <w:r>
        <w:t xml:space="preserve">In laboratorium- en dierexperimenten activeert thymosine alfa-1 dendritische cellen – de</w:t>
      </w:r>
      <w:r>
        <w:t xml:space="preserve"> </w:t>
      </w:r>
      <w:r>
        <w:t xml:space="preserve">‘</w:t>
      </w:r>
      <w:r>
        <w:t xml:space="preserve">verkenners</w:t>
      </w:r>
      <w:r>
        <w:t xml:space="preserve">’</w:t>
      </w:r>
      <w:r>
        <w:t xml:space="preserve"> </w:t>
      </w:r>
      <w:r>
        <w:t xml:space="preserve">van het immuunsysteem – via zogeheten Toll-like-receptoren, verhoogt het de expressie van herkenningsmoleculen op cellen en versterkt het de werking van interferon (Garaci 2007, PMID 17600290). Daaruit werden de drie grote toepassingsideeën afgeleid:</w:t>
      </w:r>
    </w:p>
    <w:p>
      <w:pPr>
        <w:numPr>
          <w:ilvl w:val="0"/>
          <w:numId w:val="1123"/>
        </w:numPr>
        <w:pStyle w:val="Compact"/>
      </w:pPr>
      <w:r>
        <w:rPr>
          <w:bCs/>
          <w:b/>
        </w:rPr>
        <w:t xml:space="preserve">Chronische virusinfecties</w:t>
      </w:r>
      <w:r>
        <w:t xml:space="preserve"> </w:t>
      </w:r>
      <w:r>
        <w:t xml:space="preserve">(hepatitis B en C), waarbij het immuunsysteem het virus niet op eigen kracht opruimt.</w:t>
      </w:r>
    </w:p>
    <w:p>
      <w:pPr>
        <w:numPr>
          <w:ilvl w:val="0"/>
          <w:numId w:val="1123"/>
        </w:numPr>
        <w:pStyle w:val="Compact"/>
      </w:pPr>
      <w:r>
        <w:rPr>
          <w:bCs/>
          <w:b/>
        </w:rPr>
        <w:t xml:space="preserve">Sepsis en ernstige infecties</w:t>
      </w:r>
      <w:r>
        <w:t xml:space="preserve">, waarbij na een aanvankelijke overreactie vaak een fase van immuunzwakte volgt.</w:t>
      </w:r>
    </w:p>
    <w:p>
      <w:pPr>
        <w:numPr>
          <w:ilvl w:val="0"/>
          <w:numId w:val="1123"/>
        </w:numPr>
        <w:pStyle w:val="Compact"/>
      </w:pPr>
      <w:r>
        <w:rPr>
          <w:bCs/>
          <w:b/>
        </w:rPr>
        <w:t xml:space="preserve">Kanker</w:t>
      </w:r>
      <w:r>
        <w:t xml:space="preserve">, als aanvulling op chemo-, bestralings- en immunotherapie.</w:t>
      </w:r>
    </w:p>
    <w:p>
      <w:pPr>
        <w:pStyle w:val="FirstParagraph"/>
      </w:pPr>
      <w:r>
        <w:t xml:space="preserve">De halfwaardetijd in het bloed bedraagt ongeveer twee uur; na 24 uur is de spiegel weer op de uitgangswaarde (Ancell 2001, PMID 11381492).</w:t>
      </w:r>
    </w:p>
    <w:bookmarkEnd w:id="377"/>
    <w:bookmarkStart w:id="384" w:name="studies-bij-mensen-17"/>
    <w:p>
      <w:pPr>
        <w:pStyle w:val="Heading3"/>
      </w:pPr>
      <w:r>
        <w:t xml:space="preserve">Studies bij mensen</w:t>
      </w:r>
    </w:p>
    <w:p>
      <w:pPr>
        <w:pStyle w:val="FirstParagraph"/>
      </w:pPr>
      <w:r>
        <w:rPr>
          <w:bCs/>
          <w:b/>
        </w:rPr>
        <w:t xml:space="preserve">Omvang van het onderzoek (zoekopdracht oktober 2026):</w:t>
      </w:r>
      <w:r>
        <w:t xml:space="preserve"> </w:t>
      </w:r>
      <w:r>
        <w:t xml:space="preserve">De geautomatiseerde zoekopdracht vond</w:t>
      </w:r>
      <w:r>
        <w:t xml:space="preserve"> </w:t>
      </w:r>
      <w:r>
        <w:rPr>
          <w:bCs/>
          <w:b/>
        </w:rPr>
        <w:t xml:space="preserve">90</w:t>
      </w:r>
      <w:r>
        <w:t xml:space="preserve"> </w:t>
      </w:r>
      <w:r>
        <w:t xml:space="preserve">studies bij mensen in PubMed en</w:t>
      </w:r>
      <w:r>
        <w:t xml:space="preserve"> </w:t>
      </w:r>
      <w:r>
        <w:rPr>
          <w:bCs/>
          <w:b/>
        </w:rPr>
        <w:t xml:space="preserve">66</w:t>
      </w:r>
      <w:r>
        <w:t xml:space="preserve"> </w:t>
      </w:r>
      <w:r>
        <w:t xml:space="preserve">vermeldingen bij ClinicalTrials.gov, plus 15 meta-analyses en systematische overzichten. Een groot deel van de studies komt uit China en is klein. Een overzicht uit 2024, dat meer dan 30 studies met meer dan 11.000 personen samenvat, werd uitdrukkelijk geschreven om tegen de FDA-beperking te pleiten (Dinetz 2024, PMID 38308608) – het moet daarom niet als neutrale beoordeling worden gelezen.</w:t>
      </w:r>
    </w:p>
    <w:bookmarkStart w:id="378" w:name="de-belangrijkste-grote-studies"/>
    <w:p>
      <w:pPr>
        <w:pStyle w:val="Heading4"/>
      </w:pPr>
      <w:r>
        <w:t xml:space="preserve">De belangrijkste grote studies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Deelnemers en design</w:t>
            </w:r>
          </w:p>
        </w:tc>
        <w:tc>
          <w:tcPr/>
          <w:p>
            <w:pPr>
              <w:pStyle w:val="Compact"/>
              <w:jc w:val="left"/>
            </w:pPr>
            <w:r>
              <w:t xml:space="preserve">Duur</w:t>
            </w:r>
          </w:p>
        </w:tc>
        <w:tc>
          <w:tcPr/>
          <w:p>
            <w:pPr>
              <w:pStyle w:val="Compact"/>
              <w:jc w:val="left"/>
            </w:pPr>
            <w:r>
              <w:t xml:space="preserve">Resultaat</w:t>
            </w:r>
          </w:p>
        </w:tc>
      </w:tr>
      <w:tr>
        <w:tc>
          <w:tcPr/>
          <w:p>
            <w:pPr>
              <w:pStyle w:val="Compact"/>
              <w:jc w:val="left"/>
            </w:pPr>
            <w:r>
              <w:t xml:space="preserve">TESTS, sepsis (Wu 2025, PMID 39814420)</w:t>
            </w:r>
          </w:p>
        </w:tc>
        <w:tc>
          <w:tcPr/>
          <w:p>
            <w:pPr>
              <w:pStyle w:val="Compact"/>
              <w:jc w:val="left"/>
            </w:pPr>
            <w:r>
              <w:t xml:space="preserve">1.106 volwassenen met sepsis, 22 centra in China, dubbelblinde RCT tegen placebo</w:t>
            </w:r>
          </w:p>
        </w:tc>
        <w:tc>
          <w:tcPr/>
          <w:p>
            <w:pPr>
              <w:pStyle w:val="Compact"/>
              <w:jc w:val="left"/>
            </w:pPr>
            <w:r>
              <w:t xml:space="preserve">7 dagen behandeling, 28 dagen observatie</w:t>
            </w:r>
          </w:p>
        </w:tc>
        <w:tc>
          <w:tcPr/>
          <w:p>
            <w:pPr>
              <w:pStyle w:val="Compact"/>
              <w:jc w:val="left"/>
            </w:pPr>
            <w:r>
              <w:t xml:space="preserve">sterfte 23,4% vs. 24,1%; geen verschil</w:t>
            </w:r>
          </w:p>
        </w:tc>
      </w:tr>
      <w:tr>
        <w:tc>
          <w:tcPr/>
          <w:p>
            <w:pPr>
              <w:pStyle w:val="Compact"/>
              <w:jc w:val="left"/>
            </w:pPr>
            <w:r>
              <w:t xml:space="preserve">Necrotiserende pancreatitis (Ke 2022, PMID 35713670)</w:t>
            </w:r>
          </w:p>
        </w:tc>
        <w:tc>
          <w:tcPr/>
          <w:p>
            <w:pPr>
              <w:pStyle w:val="Compact"/>
              <w:jc w:val="left"/>
            </w:pPr>
            <w:r>
              <w:t xml:space="preserve">508 personen, dubbelblinde RCT tegen placebo</w:t>
            </w:r>
          </w:p>
        </w:tc>
        <w:tc>
          <w:tcPr/>
          <w:p>
            <w:pPr>
              <w:pStyle w:val="Compact"/>
              <w:jc w:val="left"/>
            </w:pPr>
            <w:r>
              <w:t xml:space="preserve">14 dagen behandeling</w:t>
            </w:r>
          </w:p>
        </w:tc>
        <w:tc>
          <w:tcPr/>
          <w:p>
            <w:pPr>
              <w:pStyle w:val="Compact"/>
              <w:jc w:val="left"/>
            </w:pPr>
            <w:r>
              <w:t xml:space="preserve">geïnfecteerde necrose 15,7% vs. 18,1%; geen significant verschil</w:t>
            </w:r>
          </w:p>
        </w:tc>
      </w:tr>
      <w:tr>
        <w:tc>
          <w:tcPr/>
          <w:p>
            <w:pPr>
              <w:pStyle w:val="Compact"/>
              <w:jc w:val="left"/>
            </w:pPr>
            <w:r>
              <w:t xml:space="preserve">Melanoom (Maio 2010, PMID 20194853)</w:t>
            </w:r>
          </w:p>
        </w:tc>
        <w:tc>
          <w:tcPr/>
          <w:p>
            <w:pPr>
              <w:pStyle w:val="Compact"/>
              <w:jc w:val="left"/>
            </w:pPr>
            <w:r>
              <w:t xml:space="preserve">488 personen met gemetastaseerd melanoom, RCT met 5 groepen</w:t>
            </w:r>
          </w:p>
        </w:tc>
        <w:tc>
          <w:tcPr/>
          <w:p>
            <w:pPr>
              <w:pStyle w:val="Compact"/>
              <w:jc w:val="left"/>
            </w:pPr>
            <w:r>
              <w:t xml:space="preserve">tot 24 maanden</w:t>
            </w:r>
          </w:p>
        </w:tc>
        <w:tc>
          <w:tcPr/>
          <w:p>
            <w:pPr>
              <w:pStyle w:val="Compact"/>
              <w:jc w:val="left"/>
            </w:pPr>
            <w:r>
              <w:t xml:space="preserve">meer tumorrespons in twee Tα1-groepen; totale overleving 9,4 vs. 6,6 maanden, niet significant (p = 0,08)</w:t>
            </w:r>
          </w:p>
        </w:tc>
      </w:tr>
      <w:tr>
        <w:tc>
          <w:tcPr/>
          <w:p>
            <w:pPr>
              <w:pStyle w:val="Compact"/>
              <w:jc w:val="left"/>
            </w:pPr>
            <w:r>
              <w:t xml:space="preserve">Hepatitis B-cirrose (Wu 2018, PMID 30063860)</w:t>
            </w:r>
          </w:p>
        </w:tc>
        <w:tc>
          <w:tcPr/>
          <w:p>
            <w:pPr>
              <w:pStyle w:val="Compact"/>
              <w:jc w:val="left"/>
            </w:pPr>
            <w:r>
              <w:t xml:space="preserve">690 personen, open-label RCT, Tα1 plus entecavir vs. entecavir alleen</w:t>
            </w:r>
          </w:p>
        </w:tc>
        <w:tc>
          <w:tcPr/>
          <w:p>
            <w:pPr>
              <w:pStyle w:val="Compact"/>
              <w:jc w:val="left"/>
            </w:pPr>
            <w:r>
              <w:t xml:space="preserve">mediaan 38,2 maanden</w:t>
            </w:r>
          </w:p>
        </w:tc>
        <w:tc>
          <w:tcPr/>
          <w:p>
            <w:pPr>
              <w:pStyle w:val="Compact"/>
              <w:jc w:val="left"/>
            </w:pPr>
            <w:r>
              <w:t xml:space="preserve">geen verschil in leverfalen, leverkanker of overlijden</w:t>
            </w:r>
          </w:p>
        </w:tc>
      </w:tr>
      <w:tr>
        <w:tc>
          <w:tcPr/>
          <w:p>
            <w:pPr>
              <w:pStyle w:val="Compact"/>
              <w:jc w:val="left"/>
            </w:pPr>
            <w:r>
              <w:t xml:space="preserve">Hepatitis B, Japan (Iino 2005, PMID 15850471)</w:t>
            </w:r>
          </w:p>
        </w:tc>
        <w:tc>
          <w:tcPr/>
          <w:p>
            <w:pPr>
              <w:pStyle w:val="Compact"/>
              <w:jc w:val="left"/>
            </w:pPr>
            <w:r>
              <w:t xml:space="preserve">316 personen, vergelijking van twee doses, geen placebogroep</w:t>
            </w:r>
          </w:p>
        </w:tc>
        <w:tc>
          <w:tcPr/>
          <w:p>
            <w:pPr>
              <w:pStyle w:val="Compact"/>
              <w:jc w:val="left"/>
            </w:pPr>
            <w:r>
              <w:t xml:space="preserve">24 weken plus 48 weken</w:t>
            </w:r>
          </w:p>
        </w:tc>
        <w:tc>
          <w:tcPr/>
          <w:p>
            <w:pPr>
              <w:pStyle w:val="Compact"/>
              <w:jc w:val="left"/>
            </w:pPr>
            <w:r>
              <w:t xml:space="preserve">verlies van HBe-antigeen bij 22,8% bij de hogere dosis</w:t>
            </w:r>
          </w:p>
        </w:tc>
      </w:tr>
      <w:tr>
        <w:tc>
          <w:tcPr/>
          <w:p>
            <w:pPr>
              <w:pStyle w:val="Compact"/>
              <w:jc w:val="left"/>
            </w:pPr>
            <w:r>
              <w:t xml:space="preserve">Hepatitis B, fase 3 (Mutchnick 1999, PMID 10607256)</w:t>
            </w:r>
          </w:p>
        </w:tc>
        <w:tc>
          <w:tcPr/>
          <w:p>
            <w:pPr>
              <w:pStyle w:val="Compact"/>
              <w:jc w:val="left"/>
            </w:pPr>
            <w:r>
              <w:t xml:space="preserve">97 personen, dubbelblinde RCT tegen placebo</w:t>
            </w:r>
          </w:p>
        </w:tc>
        <w:tc>
          <w:tcPr/>
          <w:p>
            <w:pPr>
              <w:pStyle w:val="Compact"/>
              <w:jc w:val="left"/>
            </w:pPr>
            <w:r>
              <w:t xml:space="preserve">12 maanden</w:t>
            </w:r>
          </w:p>
        </w:tc>
        <w:tc>
          <w:tcPr/>
          <w:p>
            <w:pPr>
              <w:pStyle w:val="Compact"/>
              <w:jc w:val="left"/>
            </w:pPr>
            <w:r>
              <w:t xml:space="preserve">volledige respons 14% vs. 4%, niet significant</w:t>
            </w:r>
          </w:p>
        </w:tc>
      </w:tr>
    </w:tbl>
    <w:bookmarkEnd w:id="378"/>
    <w:bookmarkStart w:id="379" w:name="hepatitis-b-en-c"/>
    <w:p>
      <w:pPr>
        <w:pStyle w:val="Heading4"/>
      </w:pPr>
      <w:r>
        <w:t xml:space="preserve">Hepatitis B en C</w:t>
      </w:r>
    </w:p>
    <w:p>
      <w:pPr>
        <w:pStyle w:val="FirstParagraph"/>
      </w:pPr>
      <w:r>
        <w:t xml:space="preserve">De registraties in Azië berusten vooral op studies naar chronische hepatitis B uit de jaren negentig. Een gerandomiseerde studie met 98 personen vond 18 maanden na het begin een volledige virologische respons bij 40,6 procent na een behandeling van zes maanden tegenover 9,4 procent in de onbehandelde controlegroep (Chien 1998, PMID 9581695). De dubbelblinde, placebogecontroleerde fase 3-studie kon dat niet bevestigen: 14 procent vs. 4 procent, statistisch niet significant; de auteurs schrijven zelf dat de resultaten eerdere waarnemingen niet bevestigden (Mutchnick 1999, PMID 10607256).</w:t>
      </w:r>
    </w:p>
    <w:p>
      <w:pPr>
        <w:pStyle w:val="BodyText"/>
      </w:pPr>
      <w:r>
        <w:t xml:space="preserve">Een meta-analyse van vier kleine studies met 199 personen vond dat thymosine alfa-1 aan het einde van de behandeling slechter, maar zes maanden daarna beter scoorde dan interferon alfa (Yang 2008, PMID 18078676). Tegenwoordig is die vraag grotendeels achterhaald: moderne tabletten tegen hepatitis B (zoals entecavir) onderdrukken het virus betrouwbaar. In de grote studie met 690 personen met levercirrose leverde toevoeging van thymosine alfa-1 aan entecavir geen voordeel op voor het primaire eindpunt van leverdecompensatie, leverkanker of overlijden (Wu 2018, PMID 30063860). Een meta-analyse van Chinese studies naar dezelfde combinatie vond weliswaar betere responspercentages na 24 weken, maar na 48 tot 52 weken geen verschil meer (Peng 2020, PMID 33076834).</w:t>
      </w:r>
    </w:p>
    <w:p>
      <w:pPr>
        <w:pStyle w:val="BodyText"/>
      </w:pPr>
      <w:r>
        <w:t xml:space="preserve">Bij een bijzonder ernstige verlopsvorm – acuut-op-chronisch leverfalen bij hepatitis B – lag de transplantatievrije overleving na 90 dagen in een open-label studie met 120 personen met thymosine alfa-1 op 75,0 procent tegenover 53,4 procent; nieuwe infecties kwamen minder vaak voor (Chen 2022, PMID 35616850). De studie was niet geblindeerd, en in een analyse die rekening hield met concurrerende risico’s was het verschil in overleving niet significant.</w:t>
      </w:r>
    </w:p>
    <w:p>
      <w:pPr>
        <w:pStyle w:val="BodyText"/>
      </w:pPr>
      <w:r>
        <w:t xml:space="preserve">Bij hepatitis C verbeterde de combinatie met interferon in kleinere studies de waarden aan het einde van de behandeling (Sherman 1998, PMID 9537454; Andreone 2004, PMID 14738560), maar de blijvende respons verschilde niet wezenlijk. Sinds er direct werkende tabletten zijn die hepatitis C in de overgrote meerderheid van de gevallen opruimen, speelt thymosine alfa-1 hier geen rol meer.</w:t>
      </w:r>
    </w:p>
    <w:bookmarkEnd w:id="379"/>
    <w:bookmarkStart w:id="380" w:name="sepsis"/>
    <w:p>
      <w:pPr>
        <w:pStyle w:val="Heading4"/>
      </w:pPr>
      <w:r>
        <w:t xml:space="preserve">Sepsis</w:t>
      </w:r>
    </w:p>
    <w:p>
      <w:pPr>
        <w:pStyle w:val="FirstParagraph"/>
      </w:pPr>
      <w:r>
        <w:t xml:space="preserve">Aan sepsis is de ontwikkeling van het bewijs bijzonder goed te laten zien. Vroege meta-analyses van overwegend kleine Chinese studies vonden een duidelijk lagere sterfte (Li 2015, PMID 25532482: relatief risico 0,68 in 12 studies met 1.480 personen), maar wezen zelf op de slechte kwaliteit van de studies. De eerste grotere gerandomiseerde studie (ETASS) met 361 personen vond een sterfte na 28 dagen van 26,0 vs. 35,0 procent – net op de grens van statistische significantie, enkelblind (Wu 2013, PMID 23327199).</w:t>
      </w:r>
    </w:p>
    <w:p>
      <w:pPr>
        <w:pStyle w:val="BodyText"/>
      </w:pPr>
      <w:r>
        <w:t xml:space="preserve">Daarop plande dezelfde onderzoeksgroep de tot nu toe grootste en beste studie: TESTS, dubbelblind, placebogecontroleerd, 1.106 volwassenen in 22 centra. Resultaat: de sterfte na 28 dagen bedroeg 23,4 procent met thymosine alfa-1 en 24,1 procent met placebo – geen verschil. Ook geen enkel secundair eindpunt verschilde (Wu 2025, PMID 39814420). In subgroepen leken er bij mensen ouder dan 60 en mensen met diabetes voordelen te zijn, bij mensen jonger dan 60 echter zelfs nadelen – zulke subgroepbevindingen zijn onzeker.</w:t>
      </w:r>
    </w:p>
    <w:p>
      <w:pPr>
        <w:pStyle w:val="BodyText"/>
      </w:pPr>
      <w:r>
        <w:t xml:space="preserve">Een meta-analyse uit 2025 met 11 gerandomiseerde studies vond in totaal een lagere sterfte, maar niet wanneer alleen de hoogwaardige of alleen de multicenterstudies werden bekeken; de beschikbare hoeveelheid gegevens zou te klein zijn voor een definitieve uitspraak (Gu 2025, PMID 40969554). Veel Chinese studies combineren thymosine alfa-1 bovendien met ulinastatine, een ander in China gebruikt middel; netwerk-meta-analyses beoordelen de betrouwbaarheid van deze resultaten als overwegend laag (Luo 2026, PMID 42205841).</w:t>
      </w:r>
    </w:p>
    <w:bookmarkEnd w:id="380"/>
    <w:bookmarkStart w:id="381" w:name="covid-19"/>
    <w:p>
      <w:pPr>
        <w:pStyle w:val="Heading4"/>
      </w:pPr>
      <w:r>
        <w:t xml:space="preserve">COVID-19</w:t>
      </w:r>
    </w:p>
    <w:p>
      <w:pPr>
        <w:pStyle w:val="FirstParagraph"/>
      </w:pPr>
      <w:r>
        <w:t xml:space="preserve">Tijdens de pandemie werd thymosine alfa-1 in China breed ingezet. Een vroege retrospectieve analyse van 76 ernstig zieken in Wuhan meldde een sterfte van 11,1 vs. 30,0 procent (Liu 2020, PMID 32442287). Een grotere retrospectieve studie in vijf ziekenhuizen met meer dan 2.200 personen vond het tegendeel: na correctie voor verstorende factoren ging de behandeling samen met een hoger percentage niet-herstel (Liu 2021, PMID 34408744). Een kleine gerandomiseerde pilotstudie met 49 personen vond snellere stijgingen van de T-helpercellen, maar geen significant verschil in herstel (Shehadeh 2023, PMID 36056913).</w:t>
      </w:r>
    </w:p>
    <w:p>
      <w:pPr>
        <w:pStyle w:val="BodyText"/>
      </w:pPr>
      <w:r>
        <w:t xml:space="preserve">Twee meta-analyses kwamen tot tegengestelde conclusies: één met 9 studies en 5.352 personen vond geen effect op de sterfte en raadt gebruik bij in het ziekenhuis opgenomen volwassenen af (Shang 2023, PMID 36527881); een andere met 8 studies vond een lagere sterfte, maar bij een zeer sterke heterogeniteit van de studies (Soeroto 2023, PMID 37845598). Vrijwel alle gegevens komen uit niet-gerandomiseerde observationele studies. Een nut bij COVID-19 is daarmee niet aangetoond.</w:t>
      </w:r>
    </w:p>
    <w:bookmarkEnd w:id="381"/>
    <w:bookmarkStart w:id="382" w:name="kanker"/>
    <w:p>
      <w:pPr>
        <w:pStyle w:val="Heading4"/>
      </w:pPr>
      <w:r>
        <w:t xml:space="preserve">Kanker</w:t>
      </w:r>
    </w:p>
    <w:p>
      <w:pPr>
        <w:pStyle w:val="FirstParagraph"/>
      </w:pPr>
      <w:r>
        <w:t xml:space="preserve">De grootste gerandomiseerde kankerstudie onderzocht thymosine alfa-1 bij gemetastaseerd melanoom als aanvulling op chemotherapie met dacarbazine. In twee Tα1-groepen reageerden meer tumoren dan in de controlegroep (10 resp. 12 vs. 4 responsen); de mediane totale overleving lag op 9,4 tegenover 6,6 maanden, maar het verschil was niet significant (Maio 2010, PMID 20194853). Een registratie volgde niet, en de behandeling van melanoom is sindsdien fundamenteel veranderd door immuuncheckpointremmers.</w:t>
      </w:r>
    </w:p>
    <w:p>
      <w:pPr>
        <w:pStyle w:val="BodyText"/>
      </w:pPr>
      <w:r>
        <w:t xml:space="preserve">Meta-analyses van Chinese studies naar long- en maagkanker melden betere responspercentages, een betere kwaliteit van leven en minder bijwerkingen van de chemotherapie wanneer thymuspeptiden werden toegevoegd (Zeng 2019, PMID 31326719: 27 studies, 1.925 personen; Wang 2026, PMID 42827862: 20 studies, 1.704 personen). Beide publicaties beoordelen de kwaliteit van het bewijs echter als matig tot zeer laag, en gegevens over overleving op lange termijn ontbreken grotendeels. Een overzicht van kankerstudies uit 2016 tot 2026 vond overwegend retrospectieve observationele studies en casusbeschrijvingen uit China en een niet-uniforme registratie van bijwerkingen (Kim 2026, PMID 42797537). Nieuwere fase 2-studies combineren thymosine alfa-1 met immuuncheckpointremmers, bijvoorbeeld vóór de operatie van maagkanker met 30 personen (Xu 2026, PMID 41749205); zonder controlegroep valt de bijdrage van thymosine alfa-1 daaruit niet af te lezen.</w:t>
      </w:r>
    </w:p>
    <w:bookmarkEnd w:id="382"/>
    <w:bookmarkStart w:id="383" w:name="versterking-van-vaccinatie"/>
    <w:p>
      <w:pPr>
        <w:pStyle w:val="Heading4"/>
      </w:pPr>
      <w:r>
        <w:t xml:space="preserve">Versterking van vaccinatie</w:t>
      </w:r>
    </w:p>
    <w:p>
      <w:pPr>
        <w:pStyle w:val="FirstParagraph"/>
      </w:pPr>
      <w:r>
        <w:t xml:space="preserve">Al in 1989 kregen 90 mannen tussen 65 en 99 jaar naast de griepprik thymosine alfa-1 of placebo; bijwerkingen werden niet waargenomen (Gravenstein 1989, PMID 2642497). Dit idee wordt tegenwoordig weer opgepakt, bijvoorbeeld bij dialysepatiënten in verband met COVID-19 (Tuthill 2023, PMID 36881981) en in een lopende studie naar boostervaccinatie bij ouderen (NCT06821100). Betrouwbare eindpuntgegevens – dus minder ziektegevallen of sterfgevallen – ontbreken.</w:t>
      </w:r>
    </w:p>
    <w:bookmarkEnd w:id="383"/>
    <w:bookmarkEnd w:id="384"/>
    <w:bookmarkStart w:id="385" w:name="dier--en-laboratoriumstudies-17"/>
    <w:p>
      <w:pPr>
        <w:pStyle w:val="Heading3"/>
      </w:pPr>
      <w:r>
        <w:t xml:space="preserve">Dier- en laboratoriumstudies</w:t>
      </w:r>
    </w:p>
    <w:p>
      <w:pPr>
        <w:pStyle w:val="FirstParagraph"/>
      </w:pPr>
      <w:r>
        <w:t xml:space="preserve">Omdat thymosine alfa-1 al decennialang bij mensen wordt onderzocht, spelen dierstudies voor de beoordeling een kleinere rol. Belangrijk waren ze voor het kankeridee: in muismodellen voor longkanker, leukemie en melanoom en in een rattenmodel voor levermetastasen werkte de combinatie van thymosine alfa-1 met interferon of interleukine-2 en chemotherapie beter dan de afzonderlijke behandelingen (Garaci 2007, PMID 17600290). Deze bevindingen konden bij mensen tot nu toe niet overtuigend worden herhaald.</w:t>
      </w:r>
    </w:p>
    <w:bookmarkEnd w:id="385"/>
    <w:bookmarkStart w:id="388" w:name="risicos-en-bijwerkingen-17"/>
    <w:p>
      <w:pPr>
        <w:pStyle w:val="Heading3"/>
      </w:pPr>
      <w:r>
        <w:t xml:space="preserve">Risico’s en bijwerkingen</w:t>
      </w:r>
    </w:p>
    <w:bookmarkStart w:id="386" w:name="aangetoond-1"/>
    <w:p>
      <w:pPr>
        <w:pStyle w:val="Heading4"/>
      </w:pPr>
      <w:r>
        <w:t xml:space="preserve">Aangetoond</w:t>
      </w:r>
    </w:p>
    <w:p>
      <w:pPr>
        <w:pStyle w:val="FirstParagraph"/>
      </w:pPr>
      <w:r>
        <w:t xml:space="preserve">Thymosine alfa-1 geldt in de studies als goed verdraagbaar. In de oudere studies werd meestal alleen een plaatselijke irritatie op de injectieplaats waargenomen (Ancell 2001, PMID 11381492). In de grote sepsisstudie TESTS verschilden de veiligheidseindpunten niet van placebo (Wu 2025, PMID 39814420). Bij hepatitis B kwamen soms schommelingen van de leverwaarden voor, die werden geïnterpreteerd als uiting van de immuunreactie (Iino 2005, PMID 15850471).</w:t>
      </w:r>
    </w:p>
    <w:bookmarkEnd w:id="386"/>
    <w:bookmarkStart w:id="387" w:name="aandachtspunten"/>
    <w:p>
      <w:pPr>
        <w:pStyle w:val="Heading4"/>
      </w:pPr>
      <w:r>
        <w:t xml:space="preserve">Aandachtspunten</w:t>
      </w:r>
    </w:p>
    <w:p>
      <w:pPr>
        <w:numPr>
          <w:ilvl w:val="0"/>
          <w:numId w:val="1124"/>
        </w:numPr>
        <w:pStyle w:val="Compact"/>
      </w:pPr>
      <w:r>
        <w:rPr>
          <w:bCs/>
          <w:b/>
        </w:rPr>
        <w:t xml:space="preserve">Subgroepen met mogelijke schade:</w:t>
      </w:r>
      <w:r>
        <w:t xml:space="preserve"> </w:t>
      </w:r>
      <w:r>
        <w:t xml:space="preserve">in TESTS was de sterfte bij mensen jonger dan 60 met thymosine alfa-1 hoger dan met placebo (hazard ratio 1,67) (Wu 2025, PMID 39814420); bij COVID-19 ging de behandeling in een grote observationele studie samen met een slechter verloop (Liu 2021, PMID 34408744). Beide kunnen toeval of vertekening zijn, maar laten wel zien dat</w:t>
      </w:r>
      <w:r>
        <w:t xml:space="preserve"> </w:t>
      </w:r>
      <w:r>
        <w:t xml:space="preserve">‘</w:t>
      </w:r>
      <w:r>
        <w:t xml:space="preserve">onschuldige immuunbooster</w:t>
      </w:r>
      <w:r>
        <w:t xml:space="preserve">’</w:t>
      </w:r>
      <w:r>
        <w:t xml:space="preserve"> </w:t>
      </w:r>
      <w:r>
        <w:t xml:space="preserve">geen vaststaande omschrijving is.</w:t>
      </w:r>
    </w:p>
    <w:p>
      <w:pPr>
        <w:numPr>
          <w:ilvl w:val="0"/>
          <w:numId w:val="1124"/>
        </w:numPr>
        <w:pStyle w:val="Compact"/>
      </w:pPr>
      <w:r>
        <w:rPr>
          <w:bCs/>
          <w:b/>
        </w:rPr>
        <w:t xml:space="preserve">Auto-immuunziekten en transplantatie:</w:t>
      </w:r>
      <w:r>
        <w:t xml:space="preserve"> </w:t>
      </w:r>
      <w:r>
        <w:t xml:space="preserve">een stof die het immuunsysteem moet stimuleren, zou theoretisch auto-immuunziekten kunnen versterken of de afstoting van getransplanteerde organen in de hand kunnen werken. Systematische gegevens daarover ontbreken.</w:t>
      </w:r>
    </w:p>
    <w:p>
      <w:pPr>
        <w:numPr>
          <w:ilvl w:val="0"/>
          <w:numId w:val="1124"/>
        </w:numPr>
        <w:pStyle w:val="Compact"/>
      </w:pPr>
      <w:r>
        <w:rPr>
          <w:bCs/>
          <w:b/>
        </w:rPr>
        <w:t xml:space="preserve">Combinatie met immunotherapie:</w:t>
      </w:r>
      <w:r>
        <w:t xml:space="preserve"> </w:t>
      </w:r>
      <w:r>
        <w:t xml:space="preserve">een overzichtsartikel verwijst naar een casusbeschrijving waarin bij een combinatiebehandeling een ernstige immuunreactie in meerdere organen optrad, zonder dat thymosine alfa-1 met zekerheid als oorzaak vaststond (Kim 2026, PMID 42797537).</w:t>
      </w:r>
    </w:p>
    <w:p>
      <w:pPr>
        <w:numPr>
          <w:ilvl w:val="0"/>
          <w:numId w:val="1124"/>
        </w:numPr>
        <w:pStyle w:val="Compact"/>
      </w:pPr>
      <w:r>
        <w:rPr>
          <w:bCs/>
          <w:b/>
        </w:rPr>
        <w:t xml:space="preserve">Grijze markt:</w:t>
      </w:r>
      <w:r>
        <w:t xml:space="preserve"> </w:t>
      </w:r>
      <w:r>
        <w:t xml:space="preserve">buiten de landen met registratie wordt thymosine alfa-1 verkocht als</w:t>
      </w:r>
      <w:r>
        <w:t xml:space="preserve"> </w:t>
      </w:r>
      <w:r>
        <w:t xml:space="preserve">‘</w:t>
      </w:r>
      <w:r>
        <w:t xml:space="preserve">onderzoekspeptide</w:t>
      </w:r>
      <w:r>
        <w:t xml:space="preserve">’</w:t>
      </w:r>
      <w:r>
        <w:t xml:space="preserve">. Voor deze producten gelden de studies met Zadaxin niet – zuiverheid, gehalte en steriliteit zijn onbekend.</w:t>
      </w:r>
    </w:p>
    <w:bookmarkEnd w:id="387"/>
    <w:bookmarkEnd w:id="388"/>
    <w:bookmarkStart w:id="389" w:name="juridische-status-17"/>
    <w:p>
      <w:pPr>
        <w:pStyle w:val="Heading3"/>
      </w:pPr>
      <w:r>
        <w:t xml:space="preserve">Juridische status</w:t>
      </w:r>
    </w:p>
    <w:p>
      <w:pPr>
        <w:pStyle w:val="FirstParagraph"/>
      </w:pPr>
      <w:r>
        <w:rPr>
          <w:iCs/>
          <w:i/>
        </w:rPr>
        <w:t xml:space="preserve">Stand 2026, actuele situatie controleren.</w:t>
      </w:r>
    </w:p>
    <w:p>
      <w:pPr>
        <w:numPr>
          <w:ilvl w:val="0"/>
          <w:numId w:val="1125"/>
        </w:numPr>
        <w:pStyle w:val="Compact"/>
      </w:pPr>
      <w:r>
        <w:rPr>
          <w:bCs/>
          <w:b/>
        </w:rPr>
        <w:t xml:space="preserve">EU, Duitsland, Oostenrijk:</w:t>
      </w:r>
      <w:r>
        <w:t xml:space="preserve"> </w:t>
      </w:r>
      <w:r>
        <w:t xml:space="preserve">geen registratie als geneesmiddel. Voorschrijven in een individueel geval via individuele import uit een land met registratie kan volgens nationaal recht onder strikte voorwaarden mogelijk zijn; verkoop als</w:t>
      </w:r>
      <w:r>
        <w:t xml:space="preserve"> </w:t>
      </w:r>
      <w:r>
        <w:t xml:space="preserve">‘</w:t>
      </w:r>
      <w:r>
        <w:t xml:space="preserve">research peptide</w:t>
      </w:r>
      <w:r>
        <w:t xml:space="preserve">’</w:t>
      </w:r>
      <w:r>
        <w:t xml:space="preserve"> </w:t>
      </w:r>
      <w:r>
        <w:t xml:space="preserve">voor gebruik bij mensen is niet toegestaan.</w:t>
      </w:r>
    </w:p>
    <w:p>
      <w:pPr>
        <w:numPr>
          <w:ilvl w:val="0"/>
          <w:numId w:val="1125"/>
        </w:numPr>
        <w:pStyle w:val="Compact"/>
      </w:pPr>
      <w:r>
        <w:rPr>
          <w:bCs/>
          <w:b/>
        </w:rPr>
        <w:t xml:space="preserve">VS:</w:t>
      </w:r>
      <w:r>
        <w:t xml:space="preserve"> </w:t>
      </w:r>
      <w:r>
        <w:t xml:space="preserve">geen FDA-registratie. In 2023 nam de FDA thymosine alfa-1 samen met andere peptiden op in de lijst van stoffen met veiligheidsbezwaren voor bereiding door apotheken; voorstanders bekritiseren dat (Dinetz 2024, PMID 38308608). De indeling van peptiden wordt in het adviescomité van de FDA verder besproken (Willis 2026, PMID 42752426).</w:t>
      </w:r>
    </w:p>
    <w:p>
      <w:pPr>
        <w:numPr>
          <w:ilvl w:val="0"/>
          <w:numId w:val="1125"/>
        </w:numPr>
        <w:pStyle w:val="Compact"/>
      </w:pPr>
      <w:r>
        <w:rPr>
          <w:bCs/>
          <w:b/>
        </w:rPr>
        <w:t xml:space="preserve">China en andere landen:</w:t>
      </w:r>
      <w:r>
        <w:t xml:space="preserve"> </w:t>
      </w:r>
      <w:r>
        <w:t xml:space="preserve">als Zadaxin resp. thymalfasine geregistreerd; in China bestaan ook een reeks generieke preparaten.</w:t>
      </w:r>
    </w:p>
    <w:p>
      <w:pPr>
        <w:numPr>
          <w:ilvl w:val="0"/>
          <w:numId w:val="1125"/>
        </w:numPr>
        <w:pStyle w:val="Compact"/>
      </w:pPr>
      <w:r>
        <w:rPr>
          <w:bCs/>
          <w:b/>
        </w:rPr>
        <w:t xml:space="preserve">WADA:</w:t>
      </w:r>
      <w:r>
        <w:t xml:space="preserve"> </w:t>
      </w:r>
      <w:r>
        <w:t xml:space="preserve">niet uitdrukkelijk op de lijst van verboden middelen. Sporters kunnen vóór gebruik toch het beste navraag doen bij hun nationale antidopingorganisatie.</w:t>
      </w:r>
    </w:p>
    <w:bookmarkEnd w:id="389"/>
    <w:bookmarkStart w:id="390" w:name="lopende-studies-en-vooruitzichten-17"/>
    <w:p>
      <w:pPr>
        <w:pStyle w:val="Heading3"/>
      </w:pPr>
      <w:r>
        <w:t xml:space="preserve">Lopende studies en vooruitzichten</w:t>
      </w:r>
    </w:p>
    <w:p>
      <w:pPr>
        <w:pStyle w:val="FirstParagraph"/>
      </w:pPr>
      <w:r>
        <w:rPr>
          <w:bCs/>
          <w:b/>
        </w:rPr>
        <w:t xml:space="preserve">Vaststaand (volgens register):</w:t>
      </w:r>
    </w:p>
    <w:p>
      <w:pPr>
        <w:numPr>
          <w:ilvl w:val="0"/>
          <w:numId w:val="1126"/>
        </w:numPr>
        <w:pStyle w:val="Compact"/>
      </w:pPr>
      <w:r>
        <w:rPr>
          <w:bCs/>
          <w:b/>
        </w:rPr>
        <w:t xml:space="preserve">Darmkanker na operatie (NCT05086614):</w:t>
      </w:r>
      <w:r>
        <w:t xml:space="preserve"> </w:t>
      </w:r>
      <w:r>
        <w:t xml:space="preserve">fase 3-studie van de Fudan-universiteit in Shanghai, gepland 2.500 personen met darmkanker in stadium II of III, primair eindpunt ziektevrije overleving na drie jaar; einde geschat op maart 2027. De studie is slechts enkelblind.</w:t>
      </w:r>
    </w:p>
    <w:p>
      <w:pPr>
        <w:numPr>
          <w:ilvl w:val="0"/>
          <w:numId w:val="1126"/>
        </w:numPr>
        <w:pStyle w:val="Compact"/>
      </w:pPr>
      <w:r>
        <w:rPr>
          <w:bCs/>
          <w:b/>
        </w:rPr>
        <w:t xml:space="preserve">Kanker en immunotherapie:</w:t>
      </w:r>
      <w:r>
        <w:t xml:space="preserve"> </w:t>
      </w:r>
      <w:r>
        <w:t xml:space="preserve">talrijke kleinere Chinese fase 2-studies die thymosine alfa-1 combineren met immuuncheckpointremmers en chemo- of bestralingstherapie, bijvoorbeeld bij triple-negatieve borstkanker met gepland 572 personen (NCT07884201).</w:t>
      </w:r>
    </w:p>
    <w:p>
      <w:pPr>
        <w:numPr>
          <w:ilvl w:val="0"/>
          <w:numId w:val="1126"/>
        </w:numPr>
        <w:pStyle w:val="Compact"/>
      </w:pPr>
      <w:r>
        <w:rPr>
          <w:bCs/>
          <w:b/>
        </w:rPr>
        <w:t xml:space="preserve">Sepsis:</w:t>
      </w:r>
      <w:r>
        <w:t xml:space="preserve"> </w:t>
      </w:r>
      <w:r>
        <w:t xml:space="preserve">een kleinere studie naar herstel van de immuunfunctie bij 60 personen (NCT07866118).</w:t>
      </w:r>
    </w:p>
    <w:p>
      <w:pPr>
        <w:numPr>
          <w:ilvl w:val="0"/>
          <w:numId w:val="1126"/>
        </w:numPr>
        <w:pStyle w:val="Compact"/>
      </w:pPr>
      <w:r>
        <w:rPr>
          <w:bCs/>
          <w:b/>
        </w:rPr>
        <w:t xml:space="preserve">Vaccinatierespons bij ouderen (NCT06821100):</w:t>
      </w:r>
      <w:r>
        <w:t xml:space="preserve"> </w:t>
      </w:r>
      <w:r>
        <w:t xml:space="preserve">fase 1, gepland 75 personen.</w:t>
      </w:r>
    </w:p>
    <w:p>
      <w:pPr>
        <w:pStyle w:val="FirstParagraph"/>
      </w:pPr>
      <w:r>
        <w:rPr>
          <w:bCs/>
          <w:b/>
        </w:rPr>
        <w:t xml:space="preserve">Inschatting van de auteur:</w:t>
      </w:r>
      <w:r>
        <w:t xml:space="preserve"> </w:t>
      </w:r>
      <w:r>
        <w:t xml:space="preserve">de grote darmkankerstudie is de belangrijkste open vraag. Als die positief uitvalt, zou dat het eerste grote bewijs zijn voor een nut bij een vorm van kanker – vanwege de ontbrekende dubbele blindering echter met voorbehoud. Bij sepsis zal TESTS de vraag voor brede toepassing voorlopig hebben beantwoord; toekomstige studies zullen zich richten op subgroepen met aangetoonde immuunzwakte. Een registratie in de EU of de VS is de komende jaren niet te verwachten.</w:t>
      </w:r>
    </w:p>
    <w:bookmarkEnd w:id="390"/>
    <w:bookmarkStart w:id="391" w:name="conclusie-17"/>
    <w:p>
      <w:pPr>
        <w:pStyle w:val="Heading3"/>
      </w:pPr>
      <w:r>
        <w:t xml:space="preserve">Conclusie</w:t>
      </w:r>
    </w:p>
    <w:p>
      <w:pPr>
        <w:pStyle w:val="FirstParagraph"/>
      </w:pPr>
      <w:r>
        <w:t xml:space="preserve">Thymosine alfa-1 is het best onderzochte peptide in deze groep en in sommige landen een geregistreerd geneesmiddel. De vroege, kleine studies leken veelbelovend, maar de grote, zorgvuldig geblindeerde studies lieten bij sepsis (Wu 2025, PMID 39814420), ernstige alvleesklierontsteking (Ke 2022, PMID 35713670) en hepatitis B-cirrose (Wu 2018, PMID 30063860) geen voordeel zien voor hun primaire eindpunten. Bij COVID-19 en kanker berusten positieve uitspraken overwegend op observationele studies en studies van lage kwaliteit. Het peptide wordt in studies goed verdragen – maar een aangetoond nut als algemene</w:t>
      </w:r>
      <w:r>
        <w:t xml:space="preserve"> </w:t>
      </w:r>
      <w:r>
        <w:t xml:space="preserve">‘</w:t>
      </w:r>
      <w:r>
        <w:t xml:space="preserve">immuunbooster</w:t>
      </w:r>
      <w:r>
        <w:t xml:space="preserve">’</w:t>
      </w:r>
      <w:r>
        <w:t xml:space="preserve"> </w:t>
      </w:r>
      <w:r>
        <w:t xml:space="preserve">voor gezonde mensen bestaat niet.</w:t>
      </w:r>
    </w:p>
    <w:bookmarkEnd w:id="391"/>
    <w:bookmarkEnd w:id="392"/>
    <w:bookmarkStart w:id="403" w:name="kpv"/>
    <w:p>
      <w:pPr>
        <w:pStyle w:val="Heading2"/>
      </w:pPr>
      <w:r>
        <w:t xml:space="preserve">KPV</w:t>
      </w:r>
    </w:p>
    <w:p>
      <w:pPr>
        <w:pStyle w:val="FirstParagraph"/>
      </w:pPr>
      <w:r>
        <w:t xml:space="preserve">KPV is het kleinste peptide in dit boek: slechts drie aminozuren lang. Op internet wordt het aangeboden als ontstekingsremmend middel voor darm en huid, vaak als capsule of crème, soms voor injectie. De wetenschappelijke basis daarvoor bestaat uit celexperimenten en muismodellen – studies bij mensen zijn er niet.</w:t>
      </w:r>
    </w:p>
    <w:bookmarkStart w:id="393" w:name="profiel-18"/>
    <w:p>
      <w:pPr>
        <w:pStyle w:val="Heading3"/>
      </w:pPr>
      <w:r>
        <w:t xml:space="preserve">Profiel</w:t>
      </w:r>
    </w:p>
    <w:p>
      <w:pPr>
        <w:numPr>
          <w:ilvl w:val="0"/>
          <w:numId w:val="1127"/>
        </w:numPr>
        <w:pStyle w:val="Compact"/>
      </w:pPr>
      <w:r>
        <w:rPr>
          <w:bCs/>
          <w:b/>
        </w:rPr>
        <w:t xml:space="preserve">Soort en structuur:</w:t>
      </w:r>
      <w:r>
        <w:t xml:space="preserve"> </w:t>
      </w:r>
      <w:r>
        <w:t xml:space="preserve">tripeptide uit de aminozuren lysine, proline en valine (Lys-Pro-Val, vandaar KPV).</w:t>
      </w:r>
    </w:p>
    <w:p>
      <w:pPr>
        <w:numPr>
          <w:ilvl w:val="0"/>
          <w:numId w:val="1127"/>
        </w:numPr>
        <w:pStyle w:val="Compact"/>
      </w:pPr>
      <w:r>
        <w:rPr>
          <w:bCs/>
          <w:b/>
        </w:rPr>
        <w:t xml:space="preserve">Herkomst:</w:t>
      </w:r>
      <w:r>
        <w:t xml:space="preserve"> </w:t>
      </w:r>
      <w:r>
        <w:t xml:space="preserve">komt overeen met de laatste drie aminozuren (positie 11 tot 13) van het lichaamseigen hormoon alfa-MSH (alfa-melanocytstimulerend hormoon), dat onder meer betrokken is bij het bruinen van de huid en bij de sturing van ontstekingen (Cutuli 2000, PMID 10670585).</w:t>
      </w:r>
    </w:p>
    <w:p>
      <w:pPr>
        <w:numPr>
          <w:ilvl w:val="0"/>
          <w:numId w:val="1127"/>
        </w:numPr>
        <w:pStyle w:val="Compact"/>
      </w:pPr>
      <w:r>
        <w:rPr>
          <w:bCs/>
          <w:b/>
        </w:rPr>
        <w:t xml:space="preserve">Werkingsprincipe (vermoed, uit laboratorium- en dierstudies):</w:t>
      </w:r>
      <w:r>
        <w:t xml:space="preserve"> </w:t>
      </w:r>
      <w:r>
        <w:t xml:space="preserve">remming van ontstekingsbevorderende signaalroutes in darm- en immuuncellen na opname via de peptidetransporter PepT1.</w:t>
      </w:r>
    </w:p>
    <w:p>
      <w:pPr>
        <w:numPr>
          <w:ilvl w:val="0"/>
          <w:numId w:val="1127"/>
        </w:numPr>
        <w:pStyle w:val="Compact"/>
      </w:pPr>
      <w:r>
        <w:rPr>
          <w:bCs/>
          <w:b/>
        </w:rPr>
        <w:t xml:space="preserve">Registratie EU/VS:</w:t>
      </w:r>
      <w:r>
        <w:t xml:space="preserve"> </w:t>
      </w:r>
      <w:r>
        <w:t xml:space="preserve">nee.</w:t>
      </w:r>
    </w:p>
    <w:p>
      <w:pPr>
        <w:numPr>
          <w:ilvl w:val="0"/>
          <w:numId w:val="1127"/>
        </w:numPr>
        <w:pStyle w:val="Compact"/>
      </w:pPr>
      <w:r>
        <w:rPr>
          <w:bCs/>
          <w:b/>
        </w:rPr>
        <w:t xml:space="preserve">WADA:</w:t>
      </w:r>
      <w:r>
        <w:t xml:space="preserve"> </w:t>
      </w:r>
      <w:r>
        <w:t xml:space="preserve">niet uitdrukkelijk vermeld; als niet-geregistreerde stof valt het naar het oordeel van de auteur onder groep S0 (stand 2026, actuele situatie controleren).</w:t>
      </w:r>
    </w:p>
    <w:p>
      <w:pPr>
        <w:numPr>
          <w:ilvl w:val="0"/>
          <w:numId w:val="1127"/>
        </w:numPr>
        <w:pStyle w:val="Compact"/>
      </w:pPr>
      <w:r>
        <w:rPr>
          <w:bCs/>
          <w:b/>
        </w:rPr>
        <w:t xml:space="preserve">Bewijsniveau: D</w:t>
      </w:r>
      <w:r>
        <w:t xml:space="preserve"> </w:t>
      </w:r>
      <w:r>
        <w:t xml:space="preserve">– geen gepubliceerde studie bij mensen.</w:t>
      </w:r>
    </w:p>
    <w:bookmarkEnd w:id="393"/>
    <w:bookmarkStart w:id="394" w:name="hoe-het-zou-moeten-werken-18"/>
    <w:p>
      <w:pPr>
        <w:pStyle w:val="Heading3"/>
      </w:pPr>
      <w:r>
        <w:t xml:space="preserve">Hoe het zou moeten werken</w:t>
      </w:r>
    </w:p>
    <w:p>
      <w:pPr>
        <w:pStyle w:val="FirstParagraph"/>
      </w:pPr>
      <w:r>
        <w:t xml:space="preserve">Alfa-MSH is vooral bekend als bruiningshormoon, maar werkt ook ontstekingsremmend. Al in de jaren negentig viel het onderzoekers op dat een deel van dit effect afhangt van de laatste drie aminozuren. In menselijk bloed van hiv-geïnfecteerden verlaagden alfa-MSH en zijn eindstuk KPV in de reageerbuis de vorming van de ontstekingsboodschappers interleukine-1 en TNF-alfa (Catania 1998, PMID 9700761).</w:t>
      </w:r>
    </w:p>
    <w:p>
      <w:pPr>
        <w:pStyle w:val="BodyText"/>
      </w:pPr>
      <w:r>
        <w:t xml:space="preserve">Anders dan het volledige hormoon werkt KPV kennelijk niet via de klassieke melanocortinereceptoren. Bij muizen met een buikvliesontsteking remde KPV de instroom van ontstekingscellen zonder de typische boodschapperstof cAMP te verhogen; de auteurs vermoeden een remming van de werking van interleukine-1 (Getting 2003, PMID 12750433). Dat heeft een praktisch voordeel: KPV zou, anders dan melanotan of afgeleiden van alfa-MSH, de huid niet moeten bruinen.</w:t>
      </w:r>
    </w:p>
    <w:p>
      <w:pPr>
        <w:pStyle w:val="BodyText"/>
      </w:pPr>
      <w:r>
        <w:t xml:space="preserve">Een tweede mechanisme betreft de darm. Daar zit de transporter PepT1, die normaal kleine eiwitfragmenten uit de voeding opneemt. Bij chronische inflammatoire darmziekten wordt PepT1 ook in de dikke darm in verhoogde mate gevormd. In celkweken van menselijke darm- en immuuncellen werd KPV via PepT1 opgenomen en remde het in zeer lage concentraties de ontstekingsschakelaars NF-kappaB en MAP-kinasen (Dalmasso 2008, PMID 18061177). Daaruit ontstond het idee KPV als tablet tegen darmontstekingen in te zetten.</w:t>
      </w:r>
    </w:p>
    <w:p>
      <w:pPr>
        <w:pStyle w:val="BodyText"/>
      </w:pPr>
      <w:r>
        <w:t xml:space="preserve">Daarnaast remden alfa-MSH en KPV in het laboratorium de groei van de bacterie Staphylococcus aureus en de gist Candida albicans (Cutuli 2000, PMID 10670585).</w:t>
      </w:r>
    </w:p>
    <w:bookmarkEnd w:id="394"/>
    <w:bookmarkStart w:id="395" w:name="studies-bij-mensen-18"/>
    <w:p>
      <w:pPr>
        <w:pStyle w:val="Heading3"/>
      </w:pPr>
      <w:r>
        <w:t xml:space="preserve">Studies bij mensen</w:t>
      </w:r>
    </w:p>
    <w:p>
      <w:pPr>
        <w:pStyle w:val="FirstParagraph"/>
      </w:pPr>
      <w:r>
        <w:rPr>
          <w:bCs/>
          <w:b/>
        </w:rPr>
        <w:t xml:space="preserve">Omvang van het onderzoek (zoekopdracht oktober 2026):</w:t>
      </w:r>
      <w:r>
        <w:t xml:space="preserve"> </w:t>
      </w:r>
      <w:r>
        <w:t xml:space="preserve">De geautomatiseerde zoekopdracht vond</w:t>
      </w:r>
      <w:r>
        <w:t xml:space="preserve"> </w:t>
      </w:r>
      <w:r>
        <w:rPr>
          <w:bCs/>
          <w:b/>
        </w:rPr>
        <w:t xml:space="preserve">0</w:t>
      </w:r>
      <w:r>
        <w:t xml:space="preserve"> </w:t>
      </w:r>
      <w:r>
        <w:t xml:space="preserve">studies bij mensen in PubMed en</w:t>
      </w:r>
      <w:r>
        <w:t xml:space="preserve"> </w:t>
      </w:r>
      <w:r>
        <w:rPr>
          <w:bCs/>
          <w:b/>
        </w:rPr>
        <w:t xml:space="preserve">0</w:t>
      </w:r>
      <w:r>
        <w:t xml:space="preserve"> </w:t>
      </w:r>
      <w:r>
        <w:t xml:space="preserve">vermeldingen bij ClinicalTrials.gov. Ook een gerichte aanvullende zoektocht naar pilotstudies, casusbeschrijvingen of meldingen van bijwerkingen leverde geen publicatie op waarin mensen KPV hebben gekregen.</w:t>
      </w:r>
    </w:p>
    <w:p>
      <w:pPr>
        <w:pStyle w:val="BodyText"/>
      </w:pPr>
      <w:r>
        <w:t xml:space="preserve">Wat er wel is, zijn laboratoriumexperimenten met menselijke cellen of weefsels, zoals:</w:t>
      </w:r>
    </w:p>
    <w:p>
      <w:pPr>
        <w:numPr>
          <w:ilvl w:val="0"/>
          <w:numId w:val="1128"/>
        </w:numPr>
        <w:pStyle w:val="Compact"/>
      </w:pPr>
      <w:r>
        <w:t xml:space="preserve">bloedmonsters van hiv-geïnfecteerden, waarin KPV de vorming van ontstekingsboodschappers verlaagde (Catania 1998, PMID 9700761),</w:t>
      </w:r>
    </w:p>
    <w:p>
      <w:pPr>
        <w:numPr>
          <w:ilvl w:val="0"/>
          <w:numId w:val="1128"/>
        </w:numPr>
        <w:pStyle w:val="Compact"/>
      </w:pPr>
      <w:r>
        <w:t xml:space="preserve">menselijke huidcellijnen (Elliott 2004, PMID 15102092),</w:t>
      </w:r>
    </w:p>
    <w:p>
      <w:pPr>
        <w:numPr>
          <w:ilvl w:val="0"/>
          <w:numId w:val="1128"/>
        </w:numPr>
        <w:pStyle w:val="Compact"/>
      </w:pPr>
      <w:r>
        <w:t xml:space="preserve">gedoneerde menselijke huid, waarop werd getest of KPV met micronaalden en zwakke stroom door de huid komt – zonder hulpmiddelen drong het niet meetbaar door (Pawar 2017, PMID 28343991).</w:t>
      </w:r>
    </w:p>
    <w:p>
      <w:pPr>
        <w:pStyle w:val="FirstParagraph"/>
      </w:pPr>
      <w:r>
        <w:t xml:space="preserve">Deze studies zeggen iets over mechanismen en toedieningsvormen, maar niets over werkzaamheid of veiligheid bij mensen.</w:t>
      </w:r>
    </w:p>
    <w:p>
      <w:pPr>
        <w:pStyle w:val="BodyText"/>
      </w:pPr>
      <w:r>
        <w:t xml:space="preserve">Een naaste verwant, het kunstmatige dubbelmolecuul (CKPV)2, werd halverwege de jaren 2000 klinisch onderzocht als middel tegen schimmelinfecties; een publicatie uit 2006 vermeldt dat het zich</w:t>
      </w:r>
      <w:r>
        <w:t xml:space="preserve"> </w:t>
      </w:r>
      <w:r>
        <w:t xml:space="preserve">‘</w:t>
      </w:r>
      <w:r>
        <w:t xml:space="preserve">momenteel in klinisch onderzoek</w:t>
      </w:r>
      <w:r>
        <w:t xml:space="preserve">’</w:t>
      </w:r>
      <w:r>
        <w:t xml:space="preserve"> </w:t>
      </w:r>
      <w:r>
        <w:t xml:space="preserve">bevond (Gatti 2006, PMID 16413580). Resultaten van deze studies zijn in PubMed niet gepubliceerd. (CKPV)2 is bovendien een andere stof dan het op internet verkochte KPV.</w:t>
      </w:r>
    </w:p>
    <w:bookmarkEnd w:id="395"/>
    <w:bookmarkStart w:id="396" w:name="dier--en-laboratoriumstudies-18"/>
    <w:p>
      <w:pPr>
        <w:pStyle w:val="Heading3"/>
      </w:pPr>
      <w:r>
        <w:t xml:space="preserve">Dier- en laboratoriumstudies</w:t>
      </w:r>
    </w:p>
    <w:p>
      <w:pPr>
        <w:pStyle w:val="FirstParagraph"/>
      </w:pPr>
      <w:r>
        <w:t xml:space="preserve">Het zwaartepunt van het onderzoek ligt bij chronische inflammatoire darmziekten. Alle volgende resultaten komen uit muizenexperimenten: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Studie</w:t>
            </w:r>
          </w:p>
        </w:tc>
        <w:tc>
          <w:tcPr/>
          <w:p>
            <w:pPr>
              <w:pStyle w:val="Compact"/>
              <w:jc w:val="left"/>
            </w:pPr>
            <w:r>
              <w:t xml:space="preserve">Model</w:t>
            </w:r>
          </w:p>
        </w:tc>
        <w:tc>
          <w:tcPr/>
          <w:p>
            <w:pPr>
              <w:pStyle w:val="Compact"/>
              <w:jc w:val="left"/>
            </w:pPr>
            <w:r>
              <w:t xml:space="preserve">Resultaat</w:t>
            </w:r>
          </w:p>
        </w:tc>
      </w:tr>
      <w:tr>
        <w:tc>
          <w:tcPr/>
          <w:p>
            <w:pPr>
              <w:pStyle w:val="Compact"/>
              <w:jc w:val="left"/>
            </w:pPr>
            <w:r>
              <w:t xml:space="preserve">Dalmasso 2008, PMID 18061177</w:t>
            </w:r>
          </w:p>
        </w:tc>
        <w:tc>
          <w:tcPr/>
          <w:p>
            <w:pPr>
              <w:pStyle w:val="Compact"/>
              <w:jc w:val="left"/>
            </w:pPr>
            <w:r>
              <w:t xml:space="preserve">chemisch opgewekte colitis bij muizen, KPV in het drinkwater</w:t>
            </w:r>
          </w:p>
        </w:tc>
        <w:tc>
          <w:tcPr/>
          <w:p>
            <w:pPr>
              <w:pStyle w:val="Compact"/>
              <w:jc w:val="left"/>
            </w:pPr>
            <w:r>
              <w:t xml:space="preserve">minder ontsteking, minder ontstekingsboodschappers</w:t>
            </w:r>
          </w:p>
        </w:tc>
      </w:tr>
      <w:tr>
        <w:tc>
          <w:tcPr/>
          <w:p>
            <w:pPr>
              <w:pStyle w:val="Compact"/>
              <w:jc w:val="left"/>
            </w:pPr>
            <w:r>
              <w:t xml:space="preserve">Kannengiesser 2008, PMID 18092346</w:t>
            </w:r>
          </w:p>
        </w:tc>
        <w:tc>
          <w:tcPr/>
          <w:p>
            <w:pPr>
              <w:pStyle w:val="Compact"/>
              <w:jc w:val="left"/>
            </w:pPr>
            <w:r>
              <w:t xml:space="preserve">twee colitismodellen bij muizen</w:t>
            </w:r>
          </w:p>
        </w:tc>
        <w:tc>
          <w:tcPr/>
          <w:p>
            <w:pPr>
              <w:pStyle w:val="Compact"/>
              <w:jc w:val="left"/>
            </w:pPr>
            <w:r>
              <w:t xml:space="preserve">sneller herstel, minder ontstekingscellen; in één model overleefden alle behandelde dieren</w:t>
            </w:r>
          </w:p>
        </w:tc>
      </w:tr>
      <w:tr>
        <w:tc>
          <w:tcPr/>
          <w:p>
            <w:pPr>
              <w:pStyle w:val="Compact"/>
              <w:jc w:val="left"/>
            </w:pPr>
            <w:r>
              <w:t xml:space="preserve">Viennois 2016, PMID 27458604</w:t>
            </w:r>
          </w:p>
        </w:tc>
        <w:tc>
          <w:tcPr/>
          <w:p>
            <w:pPr>
              <w:pStyle w:val="Compact"/>
              <w:jc w:val="left"/>
            </w:pPr>
            <w:r>
              <w:t xml:space="preserve">door ontsteking veroorzaakte darmkanker bij muizen</w:t>
            </w:r>
          </w:p>
        </w:tc>
        <w:tc>
          <w:tcPr/>
          <w:p>
            <w:pPr>
              <w:pStyle w:val="Compact"/>
              <w:jc w:val="left"/>
            </w:pPr>
            <w:r>
              <w:t xml:space="preserve">KPV voorkwam het ontstaan van tumoren, maar alleen bij muizen met een functionerend PepT1</w:t>
            </w:r>
          </w:p>
        </w:tc>
      </w:tr>
      <w:tr>
        <w:tc>
          <w:tcPr/>
          <w:p>
            <w:pPr>
              <w:pStyle w:val="Compact"/>
              <w:jc w:val="left"/>
            </w:pPr>
            <w:r>
              <w:t xml:space="preserve">Xiao 2017, PMID 28143741</w:t>
            </w:r>
          </w:p>
        </w:tc>
        <w:tc>
          <w:tcPr/>
          <w:p>
            <w:pPr>
              <w:pStyle w:val="Compact"/>
              <w:jc w:val="left"/>
            </w:pPr>
            <w:r>
              <w:t xml:space="preserve">colitis bij muizen, KPV in nanodeeltjes</w:t>
            </w:r>
          </w:p>
        </w:tc>
        <w:tc>
          <w:tcPr/>
          <w:p>
            <w:pPr>
              <w:pStyle w:val="Compact"/>
              <w:jc w:val="left"/>
            </w:pPr>
            <w:r>
              <w:t xml:space="preserve">sterker effect dan ongebonden KPV</w:t>
            </w:r>
          </w:p>
        </w:tc>
      </w:tr>
    </w:tbl>
    <w:p>
      <w:pPr>
        <w:pStyle w:val="BodyText"/>
      </w:pPr>
      <w:r>
        <w:t xml:space="preserve">Andere studies onderzoeken KPV in hydrogels voor wonden en slijmvlies, in nanodeeltjes tegen vaatverkalking of in de stofwisseling van vetcellen – vrijwel uitsluitend in celkweek of bij knaagdieren. Opvallend is dat een groot deel van de nieuwere literatuur toedieningsvormen ontwikkelt (nanodeeltjes, gels, pleisters). Dat laat zien dat KPV alleen, als tablet of crème, kennelijk niet goed genoeg op de plaats van werking komt – een punt dat relevant is voor de vrij verkochte producten.</w:t>
      </w:r>
    </w:p>
    <w:bookmarkEnd w:id="396"/>
    <w:bookmarkStart w:id="399" w:name="risicos-en-bijwerkingen-18"/>
    <w:p>
      <w:pPr>
        <w:pStyle w:val="Heading3"/>
      </w:pPr>
      <w:r>
        <w:t xml:space="preserve">Risico’s en bijwerkingen</w:t>
      </w:r>
    </w:p>
    <w:bookmarkStart w:id="397" w:name="aangetoond-2"/>
    <w:p>
      <w:pPr>
        <w:pStyle w:val="Heading4"/>
      </w:pPr>
      <w:r>
        <w:t xml:space="preserve">Aangetoond</w:t>
      </w:r>
    </w:p>
    <w:p>
      <w:pPr>
        <w:pStyle w:val="FirstParagraph"/>
      </w:pPr>
      <w:r>
        <w:t xml:space="preserve">Geen – omdat er geen studies bij mensen zijn. Het ontbreken van gemelde bijwerkingen is hier geen aanwijzing voor veiligheid.</w:t>
      </w:r>
    </w:p>
    <w:bookmarkEnd w:id="397"/>
    <w:bookmarkStart w:id="398" w:name="theoretisch"/>
    <w:p>
      <w:pPr>
        <w:pStyle w:val="Heading4"/>
      </w:pPr>
      <w:r>
        <w:t xml:space="preserve">Theoretisch</w:t>
      </w:r>
    </w:p>
    <w:p>
      <w:pPr>
        <w:numPr>
          <w:ilvl w:val="0"/>
          <w:numId w:val="1129"/>
        </w:numPr>
        <w:pStyle w:val="Compact"/>
      </w:pPr>
      <w:r>
        <w:rPr>
          <w:bCs/>
          <w:b/>
        </w:rPr>
        <w:t xml:space="preserve">Demping van de afweer:</w:t>
      </w:r>
      <w:r>
        <w:t xml:space="preserve"> </w:t>
      </w:r>
      <w:r>
        <w:t xml:space="preserve">een stof die ontstekingssignalen remt, zou in principe ook de afweer tegen infecties kunnen aantasten. De laboratoriumbevindingen wijzen eerder op een eigen antimicrobiële werking (Cutuli 2000, PMID 10670585), maar gegevens bij mensen ontbreken.</w:t>
      </w:r>
    </w:p>
    <w:p>
      <w:pPr>
        <w:numPr>
          <w:ilvl w:val="0"/>
          <w:numId w:val="1129"/>
        </w:numPr>
        <w:pStyle w:val="Compact"/>
      </w:pPr>
      <w:r>
        <w:rPr>
          <w:bCs/>
          <w:b/>
        </w:rPr>
        <w:t xml:space="preserve">Onduidelijke opname en dosis:</w:t>
      </w:r>
      <w:r>
        <w:t xml:space="preserve"> </w:t>
      </w:r>
      <w:r>
        <w:t xml:space="preserve">hoeveel KPV uit een capsule of crème daadwerkelijk werkzaam wordt, is bij mensen niet onderzocht.</w:t>
      </w:r>
    </w:p>
    <w:p>
      <w:pPr>
        <w:numPr>
          <w:ilvl w:val="0"/>
          <w:numId w:val="1129"/>
        </w:numPr>
        <w:pStyle w:val="Compact"/>
      </w:pPr>
      <w:r>
        <w:rPr>
          <w:bCs/>
          <w:b/>
        </w:rPr>
        <w:t xml:space="preserve">Kwaliteit op de grijze markt:</w:t>
      </w:r>
      <w:r>
        <w:t xml:space="preserve"> </w:t>
      </w:r>
      <w:r>
        <w:t xml:space="preserve">KPV wordt verkocht als</w:t>
      </w:r>
      <w:r>
        <w:t xml:space="preserve"> </w:t>
      </w:r>
      <w:r>
        <w:t xml:space="preserve">‘</w:t>
      </w:r>
      <w:r>
        <w:t xml:space="preserve">onderzoekspeptide</w:t>
      </w:r>
      <w:r>
        <w:t xml:space="preserve">’</w:t>
      </w:r>
      <w:r>
        <w:t xml:space="preserve"> </w:t>
      </w:r>
      <w:r>
        <w:t xml:space="preserve">zonder geneesmiddelcontrole. Een sportgeneeskundig overzicht noemt KPV uitdrukkelijk onder de peptidefragmenten die in bodybuildingkringen circuleren, en waarschuwt voor verkeerd gedeclareerde of verontreinigde producten (Coutinho 2026, PMID 41880199).</w:t>
      </w:r>
    </w:p>
    <w:bookmarkEnd w:id="398"/>
    <w:bookmarkEnd w:id="399"/>
    <w:bookmarkStart w:id="400" w:name="juridische-status-18"/>
    <w:p>
      <w:pPr>
        <w:pStyle w:val="Heading3"/>
      </w:pPr>
      <w:r>
        <w:t xml:space="preserve">Juridische status</w:t>
      </w:r>
    </w:p>
    <w:p>
      <w:pPr>
        <w:pStyle w:val="FirstParagraph"/>
      </w:pPr>
      <w:r>
        <w:rPr>
          <w:iCs/>
          <w:i/>
        </w:rPr>
        <w:t xml:space="preserve">Stand 2026, actuele situatie controleren.</w:t>
      </w:r>
    </w:p>
    <w:p>
      <w:pPr>
        <w:numPr>
          <w:ilvl w:val="0"/>
          <w:numId w:val="1130"/>
        </w:numPr>
        <w:pStyle w:val="Compact"/>
      </w:pPr>
      <w:r>
        <w:rPr>
          <w:bCs/>
          <w:b/>
        </w:rPr>
        <w:t xml:space="preserve">EU, Duitsland, Oostenrijk:</w:t>
      </w:r>
      <w:r>
        <w:t xml:space="preserve"> </w:t>
      </w:r>
      <w:r>
        <w:t xml:space="preserve">niet geregistreerd als geneesmiddel. Wordt KPV aangeboden met beweringen over het verlichten van ziekten, dan geldt het als niet-geregistreerd geneesmiddel. Als bestanddeel van cosmetica gelden de regels van de EU-cosmeticaverordening; gezondheidsclaims zijn daar niet toegestaan.</w:t>
      </w:r>
    </w:p>
    <w:p>
      <w:pPr>
        <w:numPr>
          <w:ilvl w:val="0"/>
          <w:numId w:val="1130"/>
        </w:numPr>
        <w:pStyle w:val="Compact"/>
      </w:pPr>
      <w:r>
        <w:rPr>
          <w:bCs/>
          <w:b/>
        </w:rPr>
        <w:t xml:space="preserve">VS:</w:t>
      </w:r>
      <w:r>
        <w:t xml:space="preserve"> </w:t>
      </w:r>
      <w:r>
        <w:t xml:space="preserve">geen FDA-registratie.</w:t>
      </w:r>
    </w:p>
    <w:p>
      <w:pPr>
        <w:numPr>
          <w:ilvl w:val="0"/>
          <w:numId w:val="1130"/>
        </w:numPr>
        <w:pStyle w:val="Compact"/>
      </w:pPr>
      <w:r>
        <w:rPr>
          <w:bCs/>
          <w:b/>
        </w:rPr>
        <w:t xml:space="preserve">WADA:</w:t>
      </w:r>
      <w:r>
        <w:t xml:space="preserve"> </w:t>
      </w:r>
      <w:r>
        <w:t xml:space="preserve">niet bij naam vermeld. Als farmacologisch werkzame stof zonder registratie valt KPV naar het oordeel van de auteur onder S0 (niet-goedgekeurde stoffen).</w:t>
      </w:r>
    </w:p>
    <w:bookmarkEnd w:id="400"/>
    <w:bookmarkStart w:id="401" w:name="lopende-studies-en-vooruitzichten-18"/>
    <w:p>
      <w:pPr>
        <w:pStyle w:val="Heading3"/>
      </w:pPr>
      <w:r>
        <w:t xml:space="preserve">Lopende studies en vooruitzichten</w:t>
      </w:r>
    </w:p>
    <w:p>
      <w:pPr>
        <w:pStyle w:val="FirstParagraph"/>
      </w:pPr>
      <w:r>
        <w:rPr>
          <w:bCs/>
          <w:b/>
        </w:rPr>
        <w:t xml:space="preserve">Vaststaand:</w:t>
      </w:r>
      <w:r>
        <w:t xml:space="preserve"> </w:t>
      </w:r>
      <w:r>
        <w:t xml:space="preserve">bij ClinicalTrials.gov is in oktober 2026 geen studie met KPV geregistreerd.</w:t>
      </w:r>
    </w:p>
    <w:p>
      <w:pPr>
        <w:pStyle w:val="BodyText"/>
      </w:pPr>
      <w:r>
        <w:rPr>
          <w:bCs/>
          <w:b/>
        </w:rPr>
        <w:t xml:space="preserve">Inschatting van de auteur:</w:t>
      </w:r>
      <w:r>
        <w:t xml:space="preserve"> </w:t>
      </w:r>
      <w:r>
        <w:t xml:space="preserve">de muizengegevens over darmontstekingen zijn consistent en komen van meerdere onafhankelijke groepen – dat is meer dan veel andere</w:t>
      </w:r>
      <w:r>
        <w:t xml:space="preserve"> </w:t>
      </w:r>
      <w:r>
        <w:t xml:space="preserve">‘</w:t>
      </w:r>
      <w:r>
        <w:t xml:space="preserve">onderzoekspeptiden</w:t>
      </w:r>
      <w:r>
        <w:t xml:space="preserve">’</w:t>
      </w:r>
      <w:r>
        <w:t xml:space="preserve"> </w:t>
      </w:r>
      <w:r>
        <w:t xml:space="preserve">kunnen voorleggen. Zonder een bedrijf dat KPV als geneesmiddel ontwikkelt, is een studie bij mensen echter niet in zicht. Waarschijnlijker is dat KPV als bouwsteen in nieuwe toedieningsvormen (nanodeeltjes, gels) verder in het laboratorium wordt onderzocht.</w:t>
      </w:r>
    </w:p>
    <w:bookmarkEnd w:id="401"/>
    <w:bookmarkStart w:id="402" w:name="conclusie-18"/>
    <w:p>
      <w:pPr>
        <w:pStyle w:val="Heading3"/>
      </w:pPr>
      <w:r>
        <w:t xml:space="preserve">Conclusie</w:t>
      </w:r>
    </w:p>
    <w:p>
      <w:pPr>
        <w:pStyle w:val="FirstParagraph"/>
      </w:pPr>
      <w:r>
        <w:t xml:space="preserve">KPV is een fragment van drie aminozuren van het lichaamseigen hormoon alfa-MSH dat in celkweken en bij muizen ontstekingen in de darm duidelijk verminderde (Dalmasso 2008, PMID 18061177; Kannengiesser 2008, PMID 18092346). Bij mensen is KPV nooit onderzocht – noch op werking, noch op veiligheid. Alle uitspraken over effecten op darm of huid bij mensen zijn daarom vermoedens op basis van dierproeven. Wie KPV-producten van internet gebruikt, maakt deel uit van een ongecontroleerd zelfexperiment met producten van onbekende kwaliteit.</w:t>
      </w:r>
    </w:p>
    <w:bookmarkEnd w:id="402"/>
    <w:bookmarkEnd w:id="403"/>
    <w:bookmarkStart w:id="417" w:name="ll-37"/>
    <w:p>
      <w:pPr>
        <w:pStyle w:val="Heading2"/>
      </w:pPr>
      <w:r>
        <w:t xml:space="preserve">LL-37</w:t>
      </w:r>
    </w:p>
    <w:p>
      <w:pPr>
        <w:pStyle w:val="FirstParagraph"/>
      </w:pPr>
      <w:r>
        <w:t xml:space="preserve">LL-37 is een lichaamseigen afweerpeptide. Huid, slijmvliezen en witte bloedcellen maken het aan om bacteriën, schimmels en virussen te doden. In de peptidescene wordt het aangeboden als</w:t>
      </w:r>
      <w:r>
        <w:t xml:space="preserve"> </w:t>
      </w:r>
      <w:r>
        <w:t xml:space="preserve">‘</w:t>
      </w:r>
      <w:r>
        <w:t xml:space="preserve">natuurlijk antibioticum</w:t>
      </w:r>
      <w:r>
        <w:t xml:space="preserve">’</w:t>
      </w:r>
      <w:r>
        <w:t xml:space="preserve"> </w:t>
      </w:r>
      <w:r>
        <w:t xml:space="preserve">en middel tegen chronische infecties, de ziekte van Lyme of</w:t>
      </w:r>
      <w:r>
        <w:t xml:space="preserve"> </w:t>
      </w:r>
      <w:r>
        <w:t xml:space="preserve">‘</w:t>
      </w:r>
      <w:r>
        <w:t xml:space="preserve">immuunzwakte</w:t>
      </w:r>
      <w:r>
        <w:t xml:space="preserve">’</w:t>
      </w:r>
      <w:r>
        <w:t xml:space="preserve">. Bij het onderzoek moet zorgvuldig onderscheid worden gemaakt: er zijn zeer veel onderzoeken waarin LL-37 in bloed of weefsel</w:t>
      </w:r>
      <w:r>
        <w:t xml:space="preserve"> </w:t>
      </w:r>
      <w:r>
        <w:rPr>
          <w:iCs/>
          <w:i/>
        </w:rPr>
        <w:t xml:space="preserve">gemeten</w:t>
      </w:r>
      <w:r>
        <w:t xml:space="preserve"> </w:t>
      </w:r>
      <w:r>
        <w:t xml:space="preserve">werd – maar slechts een handvol waarin mensen LL-37 als werkzame stof</w:t>
      </w:r>
      <w:r>
        <w:t xml:space="preserve"> </w:t>
      </w:r>
      <w:r>
        <w:rPr>
          <w:iCs/>
          <w:i/>
        </w:rPr>
        <w:t xml:space="preserve">kregen</w:t>
      </w:r>
      <w:r>
        <w:t xml:space="preserve">.</w:t>
      </w:r>
    </w:p>
    <w:bookmarkStart w:id="404" w:name="profiel-19"/>
    <w:p>
      <w:pPr>
        <w:pStyle w:val="Heading3"/>
      </w:pPr>
      <w:r>
        <w:t xml:space="preserve">Profiel</w:t>
      </w:r>
    </w:p>
    <w:p>
      <w:pPr>
        <w:numPr>
          <w:ilvl w:val="0"/>
          <w:numId w:val="1131"/>
        </w:numPr>
        <w:pStyle w:val="Compact"/>
      </w:pPr>
      <w:r>
        <w:rPr>
          <w:bCs/>
          <w:b/>
        </w:rPr>
        <w:t xml:space="preserve">Soort en structuur:</w:t>
      </w:r>
      <w:r>
        <w:t xml:space="preserve"> </w:t>
      </w:r>
      <w:r>
        <w:t xml:space="preserve">peptide van 37 aminozuren, de eerste twee zijn leucines (vandaar</w:t>
      </w:r>
      <w:r>
        <w:t xml:space="preserve"> </w:t>
      </w:r>
      <w:r>
        <w:t xml:space="preserve">‘</w:t>
      </w:r>
      <w:r>
        <w:t xml:space="preserve">LL</w:t>
      </w:r>
      <w:r>
        <w:t xml:space="preserve">’</w:t>
      </w:r>
      <w:r>
        <w:t xml:space="preserve">). Enige cathelicidine van de mens – zo heet een familie van afweerpeptiden.</w:t>
      </w:r>
    </w:p>
    <w:p>
      <w:pPr>
        <w:numPr>
          <w:ilvl w:val="0"/>
          <w:numId w:val="1131"/>
        </w:numPr>
        <w:pStyle w:val="Compact"/>
      </w:pPr>
      <w:r>
        <w:rPr>
          <w:bCs/>
          <w:b/>
        </w:rPr>
        <w:t xml:space="preserve">Herkomst:</w:t>
      </w:r>
      <w:r>
        <w:t xml:space="preserve"> </w:t>
      </w:r>
      <w:r>
        <w:t xml:space="preserve">wordt afgesplitst van het voorlopereiwit hCAP18; het bijbehorende gen (CAMP) wordt onder meer door vitamine D aangeschakeld (Gombart 2005, PMID 15985530).</w:t>
      </w:r>
    </w:p>
    <w:p>
      <w:pPr>
        <w:numPr>
          <w:ilvl w:val="0"/>
          <w:numId w:val="1131"/>
        </w:numPr>
        <w:pStyle w:val="Compact"/>
      </w:pPr>
      <w:r>
        <w:rPr>
          <w:bCs/>
          <w:b/>
        </w:rPr>
        <w:t xml:space="preserve">Werkingsprincipe:</w:t>
      </w:r>
      <w:r>
        <w:t xml:space="preserve"> </w:t>
      </w:r>
      <w:r>
        <w:t xml:space="preserve">vernietigt de omhulling van microben; trekt tegelijk immuuncellen aan, bevordert vaatnieuwvorming en wondgenezing en beïnvloedt ontstekingsreacties.</w:t>
      </w:r>
    </w:p>
    <w:p>
      <w:pPr>
        <w:numPr>
          <w:ilvl w:val="0"/>
          <w:numId w:val="1131"/>
        </w:numPr>
        <w:pStyle w:val="Compact"/>
      </w:pPr>
      <w:r>
        <w:rPr>
          <w:bCs/>
          <w:b/>
        </w:rPr>
        <w:t xml:space="preserve">Registratie EU/VS:</w:t>
      </w:r>
      <w:r>
        <w:t xml:space="preserve"> </w:t>
      </w:r>
      <w:r>
        <w:t xml:space="preserve">nee.</w:t>
      </w:r>
    </w:p>
    <w:p>
      <w:pPr>
        <w:numPr>
          <w:ilvl w:val="0"/>
          <w:numId w:val="1131"/>
        </w:numPr>
        <w:pStyle w:val="Compact"/>
      </w:pPr>
      <w:r>
        <w:rPr>
          <w:bCs/>
          <w:b/>
        </w:rPr>
        <w:t xml:space="preserve">WADA:</w:t>
      </w:r>
      <w:r>
        <w:t xml:space="preserve"> </w:t>
      </w:r>
      <w:r>
        <w:t xml:space="preserve">niet uitdrukkelijk vermeld; als niet-geregistreerde stof valt het naar het oordeel van de auteur onder S0 (stand 2026, actuele situatie controleren).</w:t>
      </w:r>
    </w:p>
    <w:p>
      <w:pPr>
        <w:numPr>
          <w:ilvl w:val="0"/>
          <w:numId w:val="1131"/>
        </w:numPr>
        <w:pStyle w:val="Compact"/>
      </w:pPr>
      <w:r>
        <w:rPr>
          <w:bCs/>
          <w:b/>
        </w:rPr>
        <w:t xml:space="preserve">Bewijsniveau: B</w:t>
      </w:r>
      <w:r>
        <w:t xml:space="preserve"> </w:t>
      </w:r>
      <w:r>
        <w:t xml:space="preserve">– afzonderlijke kleine tot middelgrote gerandomiseerde studies met plaatselijke toepassing op wonden; de grootste daarvan miste haar primaire doel.</w:t>
      </w:r>
    </w:p>
    <w:bookmarkEnd w:id="404"/>
    <w:bookmarkStart w:id="405" w:name="hoe-het-zou-moeten-werken-19"/>
    <w:p>
      <w:pPr>
        <w:pStyle w:val="Heading3"/>
      </w:pPr>
      <w:r>
        <w:t xml:space="preserve">Hoe het zou moeten werken</w:t>
      </w:r>
    </w:p>
    <w:p>
      <w:pPr>
        <w:pStyle w:val="FirstParagraph"/>
      </w:pPr>
      <w:r>
        <w:t xml:space="preserve">LL-37 hoort bij het aangeboren immuunsysteem, de eerste, niet-specifieke verdedigingslinie. Het peptide is positief geladen en hecht zich aan de negatief geladen omhullingen van bacteriën, die daardoor doorlaatbaar worden. Daarnaast werkt het als signaalstof: het trekt witte bloedcellen aan en zet huidcellen aan tot migratie – daarom werd het interessant voor wondgenezing.</w:t>
      </w:r>
    </w:p>
    <w:p>
      <w:pPr>
        <w:pStyle w:val="BodyText"/>
      </w:pPr>
      <w:r>
        <w:t xml:space="preserve">De aanmaak van LL-37 hangt bij de mens nauw samen met vitamine D. Het gen voor het voorlopereiwit draagt een schakelaar waaraan de vitamine D-receptor bindt; deze schakelaar komt voor bij primaten, maar niet bij muizen, ratten of honden (Gombart 2005, PMID 15985530). Dat verklaart waarom veel studies vitamine D geven en LL-37 meten – en waarom dierproeven bij LL-37 maar beperkt op de mens zijn over te dragen.</w:t>
      </w:r>
    </w:p>
    <w:p>
      <w:pPr>
        <w:pStyle w:val="BodyText"/>
      </w:pPr>
      <w:r>
        <w:t xml:space="preserve">De keerzijde: LL-37 kan ontstekingen ook aanwakkeren. Bij psoriasis bindt LL-37 lichaamseigen erfelijk materiaal uit uiteengevallen cellen en maakt het</w:t>
      </w:r>
      <w:r>
        <w:t xml:space="preserve"> </w:t>
      </w:r>
      <w:r>
        <w:t xml:space="preserve">‘</w:t>
      </w:r>
      <w:r>
        <w:t xml:space="preserve">zichtbaar</w:t>
      </w:r>
      <w:r>
        <w:t xml:space="preserve">’</w:t>
      </w:r>
      <w:r>
        <w:t xml:space="preserve"> </w:t>
      </w:r>
      <w:r>
        <w:t xml:space="preserve">voor bepaalde immuuncellen, die daarop interferon afgeven (Lande 2007, PMID 17873860). Bij twee derde van de onderzochte mensen met matige tot ernstige psoriasis werden T-cellen gevonden die tegen LL-37 zelf gericht waren (Lande 2014, PMID 25470744). Mensen met rosacea maken ongewoon veel LL-37 aan in de gezichtshuid, en bij muizen veroorzaakte het injecteren van deze peptiden huidontstekingen (Yamasaki 2007, PMID 17676051).</w:t>
      </w:r>
    </w:p>
    <w:bookmarkEnd w:id="405"/>
    <w:bookmarkStart w:id="409" w:name="studies-bij-mensen-19"/>
    <w:p>
      <w:pPr>
        <w:pStyle w:val="Heading3"/>
      </w:pPr>
      <w:r>
        <w:t xml:space="preserve">Studies bij mensen</w:t>
      </w:r>
    </w:p>
    <w:p>
      <w:pPr>
        <w:pStyle w:val="FirstParagraph"/>
      </w:pPr>
      <w:r>
        <w:rPr>
          <w:bCs/>
          <w:b/>
        </w:rPr>
        <w:t xml:space="preserve">Omvang van het onderzoek (zoekopdracht oktober 2026):</w:t>
      </w:r>
      <w:r>
        <w:t xml:space="preserve"> </w:t>
      </w:r>
      <w:r>
        <w:t xml:space="preserve">De geautomatiseerde zoekopdracht vond</w:t>
      </w:r>
      <w:r>
        <w:t xml:space="preserve"> </w:t>
      </w:r>
      <w:r>
        <w:rPr>
          <w:bCs/>
          <w:b/>
        </w:rPr>
        <w:t xml:space="preserve">91</w:t>
      </w:r>
      <w:r>
        <w:t xml:space="preserve"> </w:t>
      </w:r>
      <w:r>
        <w:t xml:space="preserve">publicaties die als studie bij mensen werden ingedeeld, en</w:t>
      </w:r>
      <w:r>
        <w:t xml:space="preserve"> </w:t>
      </w:r>
      <w:r>
        <w:rPr>
          <w:bCs/>
          <w:b/>
        </w:rPr>
        <w:t xml:space="preserve">20</w:t>
      </w:r>
      <w:r>
        <w:t xml:space="preserve"> </w:t>
      </w:r>
      <w:r>
        <w:t xml:space="preserve">vermeldingen bij ClinicalTrials.gov. Het overgrote deel daarvan geeft</w:t>
      </w:r>
      <w:r>
        <w:t xml:space="preserve"> </w:t>
      </w:r>
      <w:r>
        <w:rPr>
          <w:iCs/>
          <w:i/>
        </w:rPr>
        <w:t xml:space="preserve">niet</w:t>
      </w:r>
      <w:r>
        <w:t xml:space="preserve"> </w:t>
      </w:r>
      <w:r>
        <w:t xml:space="preserve">LL-37 als werkzame stof: het gaat om vitamine D- of probioticastudies die LL-37 als meetwaarde vastleggen, of om observationele studies naar LL-37-spiegels bij ziekten. Studies waarin LL-37 zelf werd toegediend, zijn in PubMed slechts vijf te vinden; in het register zijn het er twee.</w:t>
      </w:r>
    </w:p>
    <w:bookmarkStart w:id="406" w:name="X2b79a858c7003961297f898bcf5b4c3cebdd727"/>
    <w:p>
      <w:pPr>
        <w:pStyle w:val="Heading4"/>
      </w:pPr>
      <w:r>
        <w:t xml:space="preserve">Interventiestudies: LL-37 als werkzame stof</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Deelnemers en design</w:t>
            </w:r>
          </w:p>
        </w:tc>
        <w:tc>
          <w:tcPr/>
          <w:p>
            <w:pPr>
              <w:pStyle w:val="Compact"/>
              <w:jc w:val="left"/>
            </w:pPr>
            <w:r>
              <w:t xml:space="preserve">Duur</w:t>
            </w:r>
          </w:p>
        </w:tc>
        <w:tc>
          <w:tcPr/>
          <w:p>
            <w:pPr>
              <w:pStyle w:val="Compact"/>
              <w:jc w:val="left"/>
            </w:pPr>
            <w:r>
              <w:t xml:space="preserve">Resultaat</w:t>
            </w:r>
          </w:p>
        </w:tc>
      </w:tr>
      <w:tr>
        <w:tc>
          <w:tcPr/>
          <w:p>
            <w:pPr>
              <w:pStyle w:val="Compact"/>
              <w:jc w:val="left"/>
            </w:pPr>
            <w:r>
              <w:t xml:space="preserve">Veneuze beenzweren (Grönberg 2014, PMID 25041740)</w:t>
            </w:r>
          </w:p>
        </w:tc>
        <w:tc>
          <w:tcPr/>
          <w:p>
            <w:pPr>
              <w:pStyle w:val="Compact"/>
              <w:jc w:val="left"/>
            </w:pPr>
            <w:r>
              <w:t xml:space="preserve">34 personen, eerste toepassing bij mensen, dubbelblinde RCT met drie concentraties en placebo</w:t>
            </w:r>
          </w:p>
        </w:tc>
        <w:tc>
          <w:tcPr/>
          <w:p>
            <w:pPr>
              <w:pStyle w:val="Compact"/>
              <w:jc w:val="left"/>
            </w:pPr>
            <w:r>
              <w:t xml:space="preserve">4 weken behandeling</w:t>
            </w:r>
          </w:p>
        </w:tc>
        <w:tc>
          <w:tcPr/>
          <w:p>
            <w:pPr>
              <w:pStyle w:val="Compact"/>
              <w:jc w:val="left"/>
            </w:pPr>
            <w:r>
              <w:t xml:space="preserve">wondoppervlak met de laagste concentratie 68%, met de middelste 50% verkleind; hoogste concentratie niet beter dan placebo</w:t>
            </w:r>
          </w:p>
        </w:tc>
      </w:tr>
      <w:tr>
        <w:tc>
          <w:tcPr/>
          <w:p>
            <w:pPr>
              <w:pStyle w:val="Compact"/>
              <w:jc w:val="left"/>
            </w:pPr>
            <w:r>
              <w:t xml:space="preserve">HEAL LL-37, veneuze beenzweren (Mahlapuu 2021, PMID 34687253)</w:t>
            </w:r>
          </w:p>
        </w:tc>
        <w:tc>
          <w:tcPr/>
          <w:p>
            <w:pPr>
              <w:pStyle w:val="Compact"/>
              <w:jc w:val="left"/>
            </w:pPr>
            <w:r>
              <w:t xml:space="preserve">148 personen, fase 2b, dubbelblinde RCT</w:t>
            </w:r>
          </w:p>
        </w:tc>
        <w:tc>
          <w:tcPr/>
          <w:p>
            <w:pPr>
              <w:pStyle w:val="Compact"/>
              <w:jc w:val="left"/>
            </w:pPr>
            <w:r>
              <w:t xml:space="preserve">3 armen, naast compressie</w:t>
            </w:r>
          </w:p>
        </w:tc>
        <w:tc>
          <w:tcPr/>
          <w:p>
            <w:pPr>
              <w:pStyle w:val="Compact"/>
              <w:jc w:val="left"/>
            </w:pPr>
            <w:r>
              <w:t xml:space="preserve">geen significant verschil met placebo; voordeel alleen in een achteraf uitgevoerde subgroepanalyse van grote wonden</w:t>
            </w:r>
          </w:p>
        </w:tc>
      </w:tr>
      <w:tr>
        <w:tc>
          <w:tcPr/>
          <w:p>
            <w:pPr>
              <w:pStyle w:val="Compact"/>
              <w:jc w:val="left"/>
            </w:pPr>
            <w:r>
              <w:t xml:space="preserve">Diabetische voetzweer (Miranda 2023, PMID 37480520; NCT04098562)</w:t>
            </w:r>
          </w:p>
        </w:tc>
        <w:tc>
          <w:tcPr/>
          <w:p>
            <w:pPr>
              <w:pStyle w:val="Compact"/>
              <w:jc w:val="left"/>
            </w:pPr>
            <w:r>
              <w:t xml:space="preserve">personen met een licht geïnfecteerde voetzweer in Jakarta, dubbelblinde RCT tegen placebocrème</w:t>
            </w:r>
          </w:p>
        </w:tc>
        <w:tc>
          <w:tcPr/>
          <w:p>
            <w:pPr>
              <w:pStyle w:val="Compact"/>
              <w:jc w:val="left"/>
            </w:pPr>
            <w:r>
              <w:t xml:space="preserve">4 weken</w:t>
            </w:r>
          </w:p>
        </w:tc>
        <w:tc>
          <w:tcPr/>
          <w:p>
            <w:pPr>
              <w:pStyle w:val="Compact"/>
              <w:jc w:val="left"/>
            </w:pPr>
            <w:r>
              <w:t xml:space="preserve">sterkere toename van granulatieweefsel; geen daling van ontstekingswaarden of aantal bacteriën</w:t>
            </w:r>
          </w:p>
        </w:tc>
      </w:tr>
      <w:tr>
        <w:tc>
          <w:tcPr/>
          <w:p>
            <w:pPr>
              <w:pStyle w:val="Compact"/>
              <w:jc w:val="left"/>
            </w:pPr>
            <w:r>
              <w:t xml:space="preserve">COVID-19, oraal LL-37 uit melkzuurbacteriën (Zhao 2023, PMID 37605995)</w:t>
            </w:r>
          </w:p>
        </w:tc>
        <w:tc>
          <w:tcPr/>
          <w:p>
            <w:pPr>
              <w:pStyle w:val="Compact"/>
              <w:jc w:val="left"/>
            </w:pPr>
            <w:r>
              <w:t xml:space="preserve">238 ziekenhuispatiënten, open-label RCT, één centrum</w:t>
            </w:r>
          </w:p>
        </w:tc>
        <w:tc>
          <w:tcPr/>
          <w:p>
            <w:pPr>
              <w:pStyle w:val="Compact"/>
              <w:jc w:val="left"/>
            </w:pPr>
            <w:r>
              <w:t xml:space="preserve">ziekenhuisopname</w:t>
            </w:r>
          </w:p>
        </w:tc>
        <w:tc>
          <w:tcPr/>
          <w:p>
            <w:pPr>
              <w:pStyle w:val="Compact"/>
              <w:jc w:val="left"/>
            </w:pPr>
            <w:r>
              <w:t xml:space="preserve">virus-PCR gemiddeld na 9,8 in plaats van 14,0 dagen negatief; geen ernstige bijwerkingen</w:t>
            </w:r>
          </w:p>
        </w:tc>
      </w:tr>
      <w:tr>
        <w:tc>
          <w:tcPr/>
          <w:p>
            <w:pPr>
              <w:pStyle w:val="Compact"/>
              <w:jc w:val="left"/>
            </w:pPr>
            <w:r>
              <w:t xml:space="preserve">Melanoom, injectie in tumoren (NCT02225366)</w:t>
            </w:r>
          </w:p>
        </w:tc>
        <w:tc>
          <w:tcPr/>
          <w:p>
            <w:pPr>
              <w:pStyle w:val="Compact"/>
              <w:jc w:val="left"/>
            </w:pPr>
            <w:r>
              <w:t xml:space="preserve">4 personen, fase 1/2 zonder controlegroep</w:t>
            </w:r>
          </w:p>
        </w:tc>
        <w:tc>
          <w:tcPr/>
          <w:p>
            <w:pPr>
              <w:pStyle w:val="Compact"/>
              <w:jc w:val="left"/>
            </w:pPr>
            <w:r>
              <w:t xml:space="preserve">tot 8 weken</w:t>
            </w:r>
          </w:p>
        </w:tc>
        <w:tc>
          <w:tcPr/>
          <w:p>
            <w:pPr>
              <w:pStyle w:val="Compact"/>
              <w:jc w:val="left"/>
            </w:pPr>
            <w:r>
              <w:t xml:space="preserve">dosisbepaling; klein aantal, zie risico’s</w:t>
            </w:r>
          </w:p>
        </w:tc>
      </w:tr>
    </w:tbl>
    <w:p>
      <w:pPr>
        <w:pStyle w:val="BodyText"/>
      </w:pPr>
      <w:r>
        <w:t xml:space="preserve">De wondstudies laten het bekende patroon zien: de eerste kleine studie was bemoedigend – opvallend genoeg werkten de lagere concentraties, de hoogste niet (Grönberg 2014, PMID 25041740). De grotere fase 2b-studie HEAL LL-37 met 148 personen vond in de totale groep geen voordeel ten opzichte van placebo. Een nut bij grote wonden bleek alleen in een achteraf vastgelegde subgroepanalyse, die de auteurs zelf als aanleiding voor een verdere studie zien, niet als bewijs (Mahlapuu 2021, PMID 34687253).</w:t>
      </w:r>
    </w:p>
    <w:p>
      <w:pPr>
        <w:pStyle w:val="BodyText"/>
      </w:pPr>
      <w:r>
        <w:t xml:space="preserve">De Indonesische studie naar diabetische voetzweren mat als primaire grootheid het aandeel granulatieweefsel, dus vers herstelweefsel – een tussenmarker, niet de volledige wondgenezing. De ontstekingswaarden en de bacteriële kolonisatie daalden met LL-37 niet sterker dan met placebo (Miranda 2023, PMID 37480520).</w:t>
      </w:r>
    </w:p>
    <w:p>
      <w:pPr>
        <w:pStyle w:val="BodyText"/>
      </w:pPr>
      <w:r>
        <w:t xml:space="preserve">De COVID-19-studie gebruikte geen LL-37-peptide, maar genetisch gemodificeerde melkzuurbacteriën die LL-37 in de darm zouden moeten aanmaken. Ze was niet geblindeerd en liep in één enkel centrum; gemeten werd de tijd tot een negatieve PCR-test, niet het ziekteverloop of de sterfte (Zhao 2023, PMID 37605995).</w:t>
      </w:r>
    </w:p>
    <w:bookmarkEnd w:id="406"/>
    <w:bookmarkStart w:id="407" w:name="X44a525a9bcf106a8910180e56c53aa96c8c6789"/>
    <w:p>
      <w:pPr>
        <w:pStyle w:val="Heading4"/>
      </w:pPr>
      <w:r>
        <w:t xml:space="preserve">Observationele studies: LL-37 als meetwaarde</w:t>
      </w:r>
    </w:p>
    <w:p>
      <w:pPr>
        <w:pStyle w:val="FirstParagraph"/>
      </w:pPr>
      <w:r>
        <w:t xml:space="preserve">Deze studies zeggen niets over de vraag of toegediend LL-37 helpt. Ze laten alleen zien hoe het lichaam LL-37 aanmaakt bij ziekten. Enkele voorbeelden:</w:t>
      </w:r>
    </w:p>
    <w:p>
      <w:pPr>
        <w:numPr>
          <w:ilvl w:val="0"/>
          <w:numId w:val="1132"/>
        </w:numPr>
        <w:pStyle w:val="Compact"/>
      </w:pPr>
      <w:r>
        <w:t xml:space="preserve">Bij 50 personen met longtuberculose lagen de LL-37-spiegels in het bloed hoger dan bij longontsteking door andere bacteriën en bij gezonden (Majewski 2017, PMID 28956425).</w:t>
      </w:r>
    </w:p>
    <w:p>
      <w:pPr>
        <w:numPr>
          <w:ilvl w:val="0"/>
          <w:numId w:val="1132"/>
        </w:numPr>
        <w:pStyle w:val="Compact"/>
      </w:pPr>
      <w:r>
        <w:t xml:space="preserve">Bij 76 kinderen met bacteriële hersenvliesontsteking steeg LL-37 in het hersenvocht met de hoeveelheid bacteriën; een hoge verhouding van LL-37 tot bacteriën ging samen met minder gehoorschade (Savonius 2018, PMID 28827496).</w:t>
      </w:r>
    </w:p>
    <w:p>
      <w:pPr>
        <w:numPr>
          <w:ilvl w:val="0"/>
          <w:numId w:val="1132"/>
        </w:numPr>
        <w:pStyle w:val="Compact"/>
      </w:pPr>
      <w:r>
        <w:t xml:space="preserve">Bij 30 intensivecarepatiënten met sepsis stegen de LL-37-spiegels na hooggedoseerde vitamine D (Quraishi 2015, PMID 26086941).</w:t>
      </w:r>
    </w:p>
    <w:bookmarkEnd w:id="407"/>
    <w:bookmarkStart w:id="408" w:name="indirect-ll-37-stimuleren-via-vitamine-d"/>
    <w:p>
      <w:pPr>
        <w:pStyle w:val="Heading4"/>
      </w:pPr>
      <w:r>
        <w:t xml:space="preserve">Indirect: LL-37 stimuleren via vitamine D</w:t>
      </w:r>
    </w:p>
    <w:p>
      <w:pPr>
        <w:pStyle w:val="FirstParagraph"/>
      </w:pPr>
      <w:r>
        <w:t xml:space="preserve">In een dubbelblinde studie uit Bangladesh met 288 personen met longtuberculose waren na vier weken meer deelnemers kweeknegatief wanneer ze daarnaast vitamine D3 en fenylbutyraat kregen – twee stoffen die de lichaamseigen aanmaak van LL-37 stimuleren (71% vs. 42,2% met placebo) (Mily 2015, PMID 26394045). Dat is een uitspraak over deze combinatie, niet over LL-37 als peptide. Vitamine D zelf is geen peptide en wordt in dit boek niet afzonderlijk behandeld.</w:t>
      </w:r>
    </w:p>
    <w:bookmarkEnd w:id="408"/>
    <w:bookmarkEnd w:id="409"/>
    <w:bookmarkStart w:id="410" w:name="dier--en-laboratoriumstudies-19"/>
    <w:p>
      <w:pPr>
        <w:pStyle w:val="Heading3"/>
      </w:pPr>
      <w:r>
        <w:t xml:space="preserve">Dier- en laboratoriumstudies</w:t>
      </w:r>
    </w:p>
    <w:p>
      <w:pPr>
        <w:pStyle w:val="FirstParagraph"/>
      </w:pPr>
      <w:r>
        <w:t xml:space="preserve">In het laboratorium doodt LL-37 een breed scala aan bacteriën, schimmels en sommige virussen en bevordert het de migratie van huidcellen. Een overzichtsartikel over de rol bij kanker vat samen dat LL-37 in cel- en dierexperimenten bij eierstok-, long-, borst-, prostaat- en alvleesklierkanker en bij melanoom de tumorgroei</w:t>
      </w:r>
      <w:r>
        <w:t xml:space="preserve"> </w:t>
      </w:r>
      <w:r>
        <w:rPr>
          <w:iCs/>
          <w:i/>
        </w:rPr>
        <w:t xml:space="preserve">bevordert</w:t>
      </w:r>
      <w:r>
        <w:t xml:space="preserve">, bij dikkedarm-, maag- en sommige vormen van bloedkanker daarentegen</w:t>
      </w:r>
      <w:r>
        <w:t xml:space="preserve"> </w:t>
      </w:r>
      <w:r>
        <w:rPr>
          <w:iCs/>
          <w:i/>
        </w:rPr>
        <w:t xml:space="preserve">remt</w:t>
      </w:r>
      <w:r>
        <w:t xml:space="preserve"> </w:t>
      </w:r>
      <w:r>
        <w:t xml:space="preserve">(Chen 2018, PMID 29843147). Dezelfde stof kan dus afhankelijk van het weefsel tegengesteld werken.</w:t>
      </w:r>
    </w:p>
    <w:p>
      <w:pPr>
        <w:pStyle w:val="BodyText"/>
      </w:pPr>
      <w:r>
        <w:t xml:space="preserve">Voor de overdraagbaarheid is belangrijk: muizen hebben een eigen cathelicidine dat slechts lijkt op het menselijke LL-37, en reguleren het anders (Gombart 2005, PMID 15985530). Bevindingen bij muizen over LL-37 moeten daarom nog voorzichtiger worden beoordeeld dan bij andere peptiden.</w:t>
      </w:r>
    </w:p>
    <w:bookmarkEnd w:id="410"/>
    <w:bookmarkStart w:id="413" w:name="risicos-en-bijwerkingen-19"/>
    <w:p>
      <w:pPr>
        <w:pStyle w:val="Heading3"/>
      </w:pPr>
      <w:r>
        <w:t xml:space="preserve">Risico’s en bijwerkingen</w:t>
      </w:r>
    </w:p>
    <w:bookmarkStart w:id="411" w:name="aangetoond-3"/>
    <w:p>
      <w:pPr>
        <w:pStyle w:val="Heading4"/>
      </w:pPr>
      <w:r>
        <w:t xml:space="preserve">Aangetoond</w:t>
      </w:r>
    </w:p>
    <w:p>
      <w:pPr>
        <w:pStyle w:val="FirstParagraph"/>
      </w:pPr>
      <w:r>
        <w:t xml:space="preserve">In de wondstudies werd plaatselijk aangebracht LL-37 goed verdragen; er waren geen veiligheidsbezwaren wat betreft plaatselijke of algemene bijwerkingen (Grönberg 2014, PMID 25041740; Mahlapuu 2021, PMID 34687253).</w:t>
      </w:r>
    </w:p>
    <w:p>
      <w:pPr>
        <w:pStyle w:val="BodyText"/>
      </w:pPr>
      <w:r>
        <w:t xml:space="preserve">Een casusbeschrijving uit de melanoomstudie laat echter zien dat LL-37 in injectievorm niet onschuldig is: bij een 63-jarige vrouw die acht wekelijkse injecties in huidmetastasen kreeg, ontstonden ongeveer 45 dagen na het begin talrijke wratachtige huidafwijkingen en blaren op romp en ledematen, die aanvankelijk voor huidkanker werden aangezien. Histologisch werden ontstekingsveranderingen met atypische huidcellen gezien; alle afwijkingen verdwenen binnen twee maanden na het stoppen (Dolkar 2018, PMID 29665030).</w:t>
      </w:r>
    </w:p>
    <w:bookmarkEnd w:id="411"/>
    <w:bookmarkStart w:id="412" w:name="X61e0a88780818fab9943056c73b55bb312b1849"/>
    <w:p>
      <w:pPr>
        <w:pStyle w:val="Heading4"/>
      </w:pPr>
      <w:r>
        <w:t xml:space="preserve">Theoretisch en afgeleid uit ziekteonderzoek</w:t>
      </w:r>
    </w:p>
    <w:p>
      <w:pPr>
        <w:numPr>
          <w:ilvl w:val="0"/>
          <w:numId w:val="1133"/>
        </w:numPr>
        <w:pStyle w:val="Compact"/>
      </w:pPr>
      <w:r>
        <w:rPr>
          <w:bCs/>
          <w:b/>
        </w:rPr>
        <w:t xml:space="preserve">Auto-immuniteit en huidziekten:</w:t>
      </w:r>
      <w:r>
        <w:t xml:space="preserve"> </w:t>
      </w:r>
      <w:r>
        <w:t xml:space="preserve">LL-37 is bij psoriasis een uitlokker van de ontsteking en een doelwit van ontspoorde T-cellen (Lande 2007, PMID 17873860; Lande 2014, PMID 25470744) en is bij rosacea betrokken bij de huidontsteking (Yamasaki 2007, PMID 17676051). Mensen met deze of andere auto-immuunziekten (zoals lupus) moeten bijzonder voorzichtig zijn – studies daarnaar zijn er niet.</w:t>
      </w:r>
    </w:p>
    <w:p>
      <w:pPr>
        <w:numPr>
          <w:ilvl w:val="0"/>
          <w:numId w:val="1133"/>
        </w:numPr>
        <w:pStyle w:val="Compact"/>
      </w:pPr>
      <w:r>
        <w:rPr>
          <w:bCs/>
          <w:b/>
        </w:rPr>
        <w:t xml:space="preserve">Kanker:</w:t>
      </w:r>
      <w:r>
        <w:t xml:space="preserve"> </w:t>
      </w:r>
      <w:r>
        <w:t xml:space="preserve">omdat LL-37 in laboratoriumexperimenten de groei van sommige tumorsoorten bevordert (Chen 2018, PMID 29843147), is gebruik bij mensen met kanker of een voorgeschiedenis van kanker zonder studies niet in te schatten.</w:t>
      </w:r>
    </w:p>
    <w:p>
      <w:pPr>
        <w:numPr>
          <w:ilvl w:val="0"/>
          <w:numId w:val="1133"/>
        </w:numPr>
        <w:pStyle w:val="Compact"/>
      </w:pPr>
      <w:r>
        <w:rPr>
          <w:bCs/>
          <w:b/>
        </w:rPr>
        <w:t xml:space="preserve">Celschade bij hoge concentraties:</w:t>
      </w:r>
      <w:r>
        <w:t xml:space="preserve"> </w:t>
      </w:r>
      <w:r>
        <w:t xml:space="preserve">het peptide valt celomhullingen aan; in hogere concentraties kan het ook menselijke cellen beschadigen. Dat zou kunnen verklaren waarom in de eerste wondstudie de hoogste concentratie niet werkte.</w:t>
      </w:r>
    </w:p>
    <w:p>
      <w:pPr>
        <w:numPr>
          <w:ilvl w:val="0"/>
          <w:numId w:val="1133"/>
        </w:numPr>
        <w:pStyle w:val="Compact"/>
      </w:pPr>
      <w:r>
        <w:rPr>
          <w:bCs/>
          <w:b/>
        </w:rPr>
        <w:t xml:space="preserve">Grijze markt:</w:t>
      </w:r>
      <w:r>
        <w:t xml:space="preserve"> </w:t>
      </w:r>
      <w:r>
        <w:t xml:space="preserve">zoals bij alle</w:t>
      </w:r>
      <w:r>
        <w:t xml:space="preserve"> </w:t>
      </w:r>
      <w:r>
        <w:t xml:space="preserve">‘</w:t>
      </w:r>
      <w:r>
        <w:t xml:space="preserve">onderzoekspeptiden</w:t>
      </w:r>
      <w:r>
        <w:t xml:space="preserve">’</w:t>
      </w:r>
      <w:r>
        <w:t xml:space="preserve"> </w:t>
      </w:r>
      <w:r>
        <w:t xml:space="preserve">zijn zuiverheid, gehalte en steriliteit onbekend. Voor injecties geldt dat in bijzondere mate.</w:t>
      </w:r>
    </w:p>
    <w:bookmarkEnd w:id="412"/>
    <w:bookmarkEnd w:id="413"/>
    <w:bookmarkStart w:id="414" w:name="juridische-status-19"/>
    <w:p>
      <w:pPr>
        <w:pStyle w:val="Heading3"/>
      </w:pPr>
      <w:r>
        <w:t xml:space="preserve">Juridische status</w:t>
      </w:r>
    </w:p>
    <w:p>
      <w:pPr>
        <w:pStyle w:val="FirstParagraph"/>
      </w:pPr>
      <w:r>
        <w:rPr>
          <w:iCs/>
          <w:i/>
        </w:rPr>
        <w:t xml:space="preserve">Stand 2026, actuele situatie controleren.</w:t>
      </w:r>
    </w:p>
    <w:p>
      <w:pPr>
        <w:numPr>
          <w:ilvl w:val="0"/>
          <w:numId w:val="1134"/>
        </w:numPr>
        <w:pStyle w:val="Compact"/>
      </w:pPr>
      <w:r>
        <w:rPr>
          <w:bCs/>
          <w:b/>
        </w:rPr>
        <w:t xml:space="preserve">EU, Duitsland, Oostenrijk:</w:t>
      </w:r>
      <w:r>
        <w:t xml:space="preserve"> </w:t>
      </w:r>
      <w:r>
        <w:t xml:space="preserve">LL-37 is niet geregistreerd als geneesmiddel. De ontwikkeling als wondmiddel door een Zweeds bedrijf (onder de naam ropocamptide) is naar weten van de auteur niet verder gekomen dan fase 2. Verkoop voor gebruik bij mensen is niet toegestaan.</w:t>
      </w:r>
    </w:p>
    <w:p>
      <w:pPr>
        <w:numPr>
          <w:ilvl w:val="0"/>
          <w:numId w:val="1134"/>
        </w:numPr>
        <w:pStyle w:val="Compact"/>
      </w:pPr>
      <w:r>
        <w:rPr>
          <w:bCs/>
          <w:b/>
        </w:rPr>
        <w:t xml:space="preserve">VS:</w:t>
      </w:r>
      <w:r>
        <w:t xml:space="preserve"> </w:t>
      </w:r>
      <w:r>
        <w:t xml:space="preserve">geen FDA-registratie.</w:t>
      </w:r>
    </w:p>
    <w:p>
      <w:pPr>
        <w:numPr>
          <w:ilvl w:val="0"/>
          <w:numId w:val="1134"/>
        </w:numPr>
        <w:pStyle w:val="Compact"/>
      </w:pPr>
      <w:r>
        <w:rPr>
          <w:bCs/>
          <w:b/>
        </w:rPr>
        <w:t xml:space="preserve">WADA:</w:t>
      </w:r>
      <w:r>
        <w:t xml:space="preserve"> </w:t>
      </w:r>
      <w:r>
        <w:t xml:space="preserve">niet bij naam vermeld; naar het oordeel van de auteur als niet-geregistreerde stof in te delen onder S0.</w:t>
      </w:r>
    </w:p>
    <w:bookmarkEnd w:id="414"/>
    <w:bookmarkStart w:id="415" w:name="lopende-studies-en-vooruitzichten-19"/>
    <w:p>
      <w:pPr>
        <w:pStyle w:val="Heading3"/>
      </w:pPr>
      <w:r>
        <w:t xml:space="preserve">Lopende studies en vooruitzichten</w:t>
      </w:r>
    </w:p>
    <w:p>
      <w:pPr>
        <w:pStyle w:val="FirstParagraph"/>
      </w:pPr>
      <w:r>
        <w:rPr>
          <w:bCs/>
          <w:b/>
        </w:rPr>
        <w:t xml:space="preserve">Vaststaand:</w:t>
      </w:r>
      <w:r>
        <w:t xml:space="preserve"> </w:t>
      </w:r>
      <w:r>
        <w:t xml:space="preserve">in oktober 2026 is bij ClinicalTrials.gov geen lopende studie geregistreerd waarin LL-37 als werkzame stof wordt toegediend. De twee vermeldingen met LL-37 als werkzame stof (melanoom, NCT02225366; diabetische voetzweer, NCT04098562) zijn afgerond resp. hebben een onbekende status. De overige registervermeldingen meten LL-37 alleen als biomarker, bijvoorbeeld in het tandvlees of bij toediening van vitamine D.</w:t>
      </w:r>
    </w:p>
    <w:p>
      <w:pPr>
        <w:pStyle w:val="BodyText"/>
      </w:pPr>
      <w:r>
        <w:rPr>
          <w:bCs/>
          <w:b/>
        </w:rPr>
        <w:t xml:space="preserve">Inschatting van de auteur:</w:t>
      </w:r>
      <w:r>
        <w:t xml:space="preserve"> </w:t>
      </w:r>
      <w:r>
        <w:t xml:space="preserve">LL-37 zelf zal als geneesmiddel nauwelijks een toekomst hebben – te instabiel, in hoge concentraties schadelijk voor cellen en behept met auto-immuunrisico’s. Het onderzoek verschuift naar ingekorte of veranderde afgeleiden en naar manieren om de lichaamseigen aanmaak te verhogen. Een wondstudie in de subgroep van grote beenzweren, zoals de HEAL-auteurs bepleiten, zou de volgende logische stap zijn; geregistreerd is die niet.</w:t>
      </w:r>
    </w:p>
    <w:bookmarkEnd w:id="415"/>
    <w:bookmarkStart w:id="416" w:name="conclusie-19"/>
    <w:p>
      <w:pPr>
        <w:pStyle w:val="Heading3"/>
      </w:pPr>
      <w:r>
        <w:t xml:space="preserve">Conclusie</w:t>
      </w:r>
    </w:p>
    <w:p>
      <w:pPr>
        <w:pStyle w:val="FirstParagraph"/>
      </w:pPr>
      <w:r>
        <w:t xml:space="preserve">LL-37 is een belangrijk lichaamseigen afweerpeptide waarvan de spiegel in veel studies werd gemeten – als werkzame stof werd het bij mensen echter maar in een paar kleine studies gegeven. Op wonden aangebracht werd het goed verdragen, maar de grootste gerandomiseerde studie met 148 personen vond geen voordeel ten opzichte van placebo (Mahlapuu 2021, PMID 34687253). Tegelijk speelt LL-37 bij psoriasis en rosacea een rol als aanjager van ontsteking, en een behandeling met injecties veroorzaakte in een gedocumenteerd geval uitgesproken huidafwijkingen. Voor de op internet aangeprezen toepassingen – zoals tegen chronische infecties of als immuunbooster per injectie – zijn er geen studies bij mensen.</w:t>
      </w:r>
    </w:p>
    <w:bookmarkEnd w:id="416"/>
    <w:bookmarkEnd w:id="417"/>
    <w:bookmarkStart w:id="430" w:name="ara-290-cibinetide"/>
    <w:p>
      <w:pPr>
        <w:pStyle w:val="Heading2"/>
      </w:pPr>
      <w:r>
        <w:t xml:space="preserve">ARA-290 (cibinetide)</w:t>
      </w:r>
    </w:p>
    <w:p>
      <w:pPr>
        <w:pStyle w:val="FirstParagraph"/>
      </w:pPr>
      <w:r>
        <w:t xml:space="preserve">ARA-290 is een kunstmatig peptide dat is afgeleid van het bloedvormingshormoon erytropoëtine (EPO) – het hormoon dat in de wielersport als dopingmiddel beroemd werd. ARA-290 zou echter juist niet de bloedaanmaak moeten stimuleren, maar alleen de weefselbeschermende eigenschappen van EPO benutten. In kleine studies bij zenuwpijn in het kader van sarcoïdose liet het bemoedigende signalen zien. In de biohackingscene wordt het inmiddels aangeboden als peptide voor</w:t>
      </w:r>
      <w:r>
        <w:t xml:space="preserve"> </w:t>
      </w:r>
      <w:r>
        <w:t xml:space="preserve">‘</w:t>
      </w:r>
      <w:r>
        <w:t xml:space="preserve">zenuwregeneratie</w:t>
      </w:r>
      <w:r>
        <w:t xml:space="preserve">’</w:t>
      </w:r>
      <w:r>
        <w:t xml:space="preserve"> </w:t>
      </w:r>
      <w:r>
        <w:t xml:space="preserve">en</w:t>
      </w:r>
      <w:r>
        <w:t xml:space="preserve"> </w:t>
      </w:r>
      <w:r>
        <w:t xml:space="preserve">‘</w:t>
      </w:r>
      <w:r>
        <w:t xml:space="preserve">anti-aging</w:t>
      </w:r>
      <w:r>
        <w:t xml:space="preserve">’</w:t>
      </w:r>
      <w:r>
        <w:t xml:space="preserve">.</w:t>
      </w:r>
    </w:p>
    <w:bookmarkStart w:id="418" w:name="profiel-20"/>
    <w:p>
      <w:pPr>
        <w:pStyle w:val="Heading3"/>
      </w:pPr>
      <w:r>
        <w:t xml:space="preserve">Profiel</w:t>
      </w:r>
    </w:p>
    <w:p>
      <w:pPr>
        <w:numPr>
          <w:ilvl w:val="0"/>
          <w:numId w:val="1135"/>
        </w:numPr>
        <w:pStyle w:val="Compact"/>
      </w:pPr>
      <w:r>
        <w:rPr>
          <w:bCs/>
          <w:b/>
        </w:rPr>
        <w:t xml:space="preserve">Soort en structuur:</w:t>
      </w:r>
      <w:r>
        <w:t xml:space="preserve"> </w:t>
      </w:r>
      <w:r>
        <w:t xml:space="preserve">synthetisch peptide van 11 aminozuren (Winicki 2022, PMID 36741836); naam van de werkzame stof cibinetide.</w:t>
      </w:r>
    </w:p>
    <w:p>
      <w:pPr>
        <w:numPr>
          <w:ilvl w:val="0"/>
          <w:numId w:val="1135"/>
        </w:numPr>
        <w:pStyle w:val="Compact"/>
      </w:pPr>
      <w:r>
        <w:rPr>
          <w:bCs/>
          <w:b/>
        </w:rPr>
        <w:t xml:space="preserve">Herkomst:</w:t>
      </w:r>
      <w:r>
        <w:t xml:space="preserve"> </w:t>
      </w:r>
      <w:r>
        <w:t xml:space="preserve">nagebouwd naar een deel van de ruimtelijke structuur van erytropoëtine dat verantwoordelijk zou zijn voor de weefselbescherming ervan; ontwikkeld door het Amerikaanse bedrijf Araim Pharmaceuticals.</w:t>
      </w:r>
    </w:p>
    <w:p>
      <w:pPr>
        <w:numPr>
          <w:ilvl w:val="0"/>
          <w:numId w:val="1135"/>
        </w:numPr>
        <w:pStyle w:val="Compact"/>
      </w:pPr>
      <w:r>
        <w:rPr>
          <w:bCs/>
          <w:b/>
        </w:rPr>
        <w:t xml:space="preserve">Werkingsprincipe:</w:t>
      </w:r>
      <w:r>
        <w:t xml:space="preserve"> </w:t>
      </w:r>
      <w:r>
        <w:t xml:space="preserve">bindt aan een zogeheten</w:t>
      </w:r>
      <w:r>
        <w:t xml:space="preserve"> </w:t>
      </w:r>
      <w:r>
        <w:t xml:space="preserve">‘</w:t>
      </w:r>
      <w:r>
        <w:t xml:space="preserve">aangeboren herstelreceptor</w:t>
      </w:r>
      <w:r>
        <w:t xml:space="preserve">’</w:t>
      </w:r>
      <w:r>
        <w:t xml:space="preserve"> </w:t>
      </w:r>
      <w:r>
        <w:t xml:space="preserve">(een combinatie van de EPO-receptor en de receptorbouwsteen CD131), niet aan de klassieke EPO-receptor van de bloedaanmaak; zou ontstekingen dempen en weefselherstel op gang brengen.</w:t>
      </w:r>
    </w:p>
    <w:p>
      <w:pPr>
        <w:numPr>
          <w:ilvl w:val="0"/>
          <w:numId w:val="1135"/>
        </w:numPr>
        <w:pStyle w:val="Compact"/>
      </w:pPr>
      <w:r>
        <w:rPr>
          <w:bCs/>
          <w:b/>
        </w:rPr>
        <w:t xml:space="preserve">Registratie EU/VS:</w:t>
      </w:r>
      <w:r>
        <w:t xml:space="preserve"> </w:t>
      </w:r>
      <w:r>
        <w:t xml:space="preserve">nee.</w:t>
      </w:r>
    </w:p>
    <w:p>
      <w:pPr>
        <w:numPr>
          <w:ilvl w:val="0"/>
          <w:numId w:val="1135"/>
        </w:numPr>
        <w:pStyle w:val="Compact"/>
      </w:pPr>
      <w:r>
        <w:rPr>
          <w:bCs/>
          <w:b/>
        </w:rPr>
        <w:t xml:space="preserve">WADA:</w:t>
      </w:r>
      <w:r>
        <w:t xml:space="preserve"> </w:t>
      </w:r>
      <w:r>
        <w:t xml:space="preserve">verboden – niet-erytropoëtische EPO-receptoragonisten zoals ARA-290 worden in klasse S2 uitdrukkelijk genoemd; antidopinglaboratoria hebben detectiemethoden ontwikkeld (Thomas 2017, PMID 28941172). Stand 2026, actuele situatie controleren.</w:t>
      </w:r>
    </w:p>
    <w:p>
      <w:pPr>
        <w:numPr>
          <w:ilvl w:val="0"/>
          <w:numId w:val="1135"/>
        </w:numPr>
        <w:pStyle w:val="Compact"/>
      </w:pPr>
      <w:r>
        <w:rPr>
          <w:bCs/>
          <w:b/>
        </w:rPr>
        <w:t xml:space="preserve">Bewijsniveau: B</w:t>
      </w:r>
      <w:r>
        <w:t xml:space="preserve"> </w:t>
      </w:r>
      <w:r>
        <w:t xml:space="preserve">– meerdere kleine gerandomiseerde, placebogecontroleerde fase 2-studies; geen fase 3-studie.</w:t>
      </w:r>
    </w:p>
    <w:bookmarkEnd w:id="418"/>
    <w:bookmarkStart w:id="419" w:name="hoe-het-zou-moeten-werken-20"/>
    <w:p>
      <w:pPr>
        <w:pStyle w:val="Heading3"/>
      </w:pPr>
      <w:r>
        <w:t xml:space="preserve">Hoe het zou moeten werken</w:t>
      </w:r>
    </w:p>
    <w:p>
      <w:pPr>
        <w:pStyle w:val="FirstParagraph"/>
      </w:pPr>
      <w:r>
        <w:t xml:space="preserve">Erytropoëtine wordt in de nier gemaakt en stimuleert in het beenmerg de aanmaak van rode bloedcellen. In de jaren 2000 bleek in dierproeven dat EPO daarnaast zenuwen, hart en nieren tegen schade kan beschermen. Als geneesmiddel is EPO daarvoor echter ongeschikt: het verhoogt het aantal rode bloedcellen, maakt het bloed dikker en verhoogt het risico op trombose.</w:t>
      </w:r>
    </w:p>
    <w:p>
      <w:pPr>
        <w:pStyle w:val="BodyText"/>
      </w:pPr>
      <w:r>
        <w:t xml:space="preserve">De ontwikkelaars van ARA-290 vermoedden dat de beschermende werking via een andere receptor verloopt dan de bloedaanmaak. Deze</w:t>
      </w:r>
      <w:r>
        <w:t xml:space="preserve"> </w:t>
      </w:r>
      <w:r>
        <w:t xml:space="preserve">‘</w:t>
      </w:r>
      <w:r>
        <w:t xml:space="preserve">herstelreceptor</w:t>
      </w:r>
      <w:r>
        <w:t xml:space="preserve">’</w:t>
      </w:r>
      <w:r>
        <w:t xml:space="preserve"> </w:t>
      </w:r>
      <w:r>
        <w:t xml:space="preserve">wordt pas bij weefselschade of ontsteking in verhoogde mate gevormd. ARA-290 zou gericht alleen deze receptor activeren. Bij ratten met zenuwletsel verminderde het dosisafhankelijk de overgevoeligheid voor aanraking en kou tot 20 weken lang en dempte het de activering van immuuncellen in het ruggenmerg (Swartjes 2014, PMID 24529189).</w:t>
      </w:r>
    </w:p>
    <w:p>
      <w:pPr>
        <w:pStyle w:val="BodyText"/>
      </w:pPr>
      <w:r>
        <w:t xml:space="preserve">ARA-290 wordt in het bloed snel afgebroken; een antidopinglaboratorium beschreef een uitgesproken afbraak door enzymen met één belangrijk afbraakproduct (Thomas 2017, PMID 28941172).</w:t>
      </w:r>
    </w:p>
    <w:bookmarkEnd w:id="419"/>
    <w:bookmarkStart w:id="422" w:name="studies-bij-mensen-20"/>
    <w:p>
      <w:pPr>
        <w:pStyle w:val="Heading3"/>
      </w:pPr>
      <w:r>
        <w:t xml:space="preserve">Studies bij mensen</w:t>
      </w:r>
    </w:p>
    <w:p>
      <w:pPr>
        <w:pStyle w:val="FirstParagraph"/>
      </w:pPr>
      <w:r>
        <w:rPr>
          <w:bCs/>
          <w:b/>
        </w:rPr>
        <w:t xml:space="preserve">Omvang van het onderzoek (zoekopdracht oktober 2026):</w:t>
      </w:r>
      <w:r>
        <w:t xml:space="preserve"> </w:t>
      </w:r>
      <w:r>
        <w:t xml:space="preserve">De geautomatiseerde zoekopdracht vond</w:t>
      </w:r>
      <w:r>
        <w:t xml:space="preserve"> </w:t>
      </w:r>
      <w:r>
        <w:rPr>
          <w:bCs/>
          <w:b/>
        </w:rPr>
        <w:t xml:space="preserve">5</w:t>
      </w:r>
      <w:r>
        <w:t xml:space="preserve"> </w:t>
      </w:r>
      <w:r>
        <w:t xml:space="preserve">studies bij mensen in PubMed en</w:t>
      </w:r>
      <w:r>
        <w:t xml:space="preserve"> </w:t>
      </w:r>
      <w:r>
        <w:rPr>
          <w:bCs/>
          <w:b/>
        </w:rPr>
        <w:t xml:space="preserve">5</w:t>
      </w:r>
      <w:r>
        <w:t xml:space="preserve"> </w:t>
      </w:r>
      <w:r>
        <w:t xml:space="preserve">vermeldingen bij ClinicalTrials.gov. Een andere studie (diabetisch macula-oedeem) werd gericht nagezocht. Alle studies zijn klein en duurden vier tot twaalf weken.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Deelnemers en design</w:t>
            </w:r>
          </w:p>
        </w:tc>
        <w:tc>
          <w:tcPr/>
          <w:p>
            <w:pPr>
              <w:pStyle w:val="Compact"/>
              <w:jc w:val="left"/>
            </w:pPr>
            <w:r>
              <w:t xml:space="preserve">Duur</w:t>
            </w:r>
          </w:p>
        </w:tc>
        <w:tc>
          <w:tcPr/>
          <w:p>
            <w:pPr>
              <w:pStyle w:val="Compact"/>
              <w:jc w:val="left"/>
            </w:pPr>
            <w:r>
              <w:t xml:space="preserve">Resultaat</w:t>
            </w:r>
          </w:p>
        </w:tc>
      </w:tr>
      <w:tr>
        <w:tc>
          <w:tcPr/>
          <w:p>
            <w:pPr>
              <w:pStyle w:val="Compact"/>
              <w:jc w:val="left"/>
            </w:pPr>
            <w:r>
              <w:t xml:space="preserve">Sarcoïdose, pilotstudie (Heij 2012, PMID 23168581)</w:t>
            </w:r>
          </w:p>
        </w:tc>
        <w:tc>
          <w:tcPr/>
          <w:p>
            <w:pPr>
              <w:pStyle w:val="Compact"/>
              <w:jc w:val="left"/>
            </w:pPr>
            <w:r>
              <w:t xml:space="preserve">22 personen met zenuwpijn bij sarcoïdose, dubbelblinde RCT, infuus</w:t>
            </w:r>
          </w:p>
        </w:tc>
        <w:tc>
          <w:tcPr/>
          <w:p>
            <w:pPr>
              <w:pStyle w:val="Compact"/>
              <w:jc w:val="left"/>
            </w:pPr>
            <w:r>
              <w:t xml:space="preserve">4 weken</w:t>
            </w:r>
          </w:p>
        </w:tc>
        <w:tc>
          <w:tcPr/>
          <w:p>
            <w:pPr>
              <w:pStyle w:val="Compact"/>
              <w:jc w:val="left"/>
            </w:pPr>
            <w:r>
              <w:t xml:space="preserve">neuropathievragenlijst −11,5 vs. −2,9 punten; belangrijkste pijnschaal in beide groepen even sterk verbeterd</w:t>
            </w:r>
          </w:p>
        </w:tc>
      </w:tr>
      <w:tr>
        <w:tc>
          <w:tcPr/>
          <w:p>
            <w:pPr>
              <w:pStyle w:val="Compact"/>
              <w:jc w:val="left"/>
            </w:pPr>
            <w:r>
              <w:t xml:space="preserve">Sarcoïdose, injectie onder de huid (Dahan 2013, PMID 24136731)</w:t>
            </w:r>
          </w:p>
        </w:tc>
        <w:tc>
          <w:tcPr/>
          <w:p>
            <w:pPr>
              <w:pStyle w:val="Compact"/>
              <w:jc w:val="left"/>
            </w:pPr>
            <w:r>
              <w:t xml:space="preserve">personen met verlies van zenuwvezels bij sarcoïdose, geblindeerde, placebogecontroleerde studie</w:t>
            </w:r>
          </w:p>
        </w:tc>
        <w:tc>
          <w:tcPr/>
          <w:p>
            <w:pPr>
              <w:pStyle w:val="Compact"/>
              <w:jc w:val="left"/>
            </w:pPr>
            <w:r>
              <w:t xml:space="preserve">28 dagen</w:t>
            </w:r>
          </w:p>
        </w:tc>
        <w:tc>
          <w:tcPr/>
          <w:p>
            <w:pPr>
              <w:pStyle w:val="Compact"/>
              <w:jc w:val="left"/>
            </w:pPr>
            <w:r>
              <w:t xml:space="preserve">verbetering van de klachten, meer zenuwvezels in het hoornvlies, langere loopafstand</w:t>
            </w:r>
          </w:p>
        </w:tc>
      </w:tr>
      <w:tr>
        <w:tc>
          <w:tcPr/>
          <w:p>
            <w:pPr>
              <w:pStyle w:val="Compact"/>
              <w:jc w:val="left"/>
            </w:pPr>
            <w:r>
              <w:t xml:space="preserve">Sarcoïdose, fase 2b (Culver 2017, PMID 28475703; NCT02039687)</w:t>
            </w:r>
          </w:p>
        </w:tc>
        <w:tc>
          <w:tcPr/>
          <w:p>
            <w:pPr>
              <w:pStyle w:val="Compact"/>
              <w:jc w:val="left"/>
            </w:pPr>
            <w:r>
              <w:t xml:space="preserve">64 personen, RCT met drie doses en placebo</w:t>
            </w:r>
          </w:p>
        </w:tc>
        <w:tc>
          <w:tcPr/>
          <w:p>
            <w:pPr>
              <w:pStyle w:val="Compact"/>
              <w:jc w:val="left"/>
            </w:pPr>
            <w:r>
              <w:t xml:space="preserve">28 dagen</w:t>
            </w:r>
          </w:p>
        </w:tc>
        <w:tc>
          <w:tcPr/>
          <w:p>
            <w:pPr>
              <w:pStyle w:val="Compact"/>
              <w:jc w:val="left"/>
            </w:pPr>
            <w:r>
              <w:t xml:space="preserve">zenuwvezeloppervlak van het hoornvlies alleen bij de middelste dosis significant toegenomen; pijn in alle groepen inclusief placebo verbeterd</w:t>
            </w:r>
          </w:p>
        </w:tc>
      </w:tr>
      <w:tr>
        <w:tc>
          <w:tcPr/>
          <w:p>
            <w:pPr>
              <w:pStyle w:val="Compact"/>
              <w:jc w:val="left"/>
            </w:pPr>
            <w:r>
              <w:t xml:space="preserve">Diabetes type 2 met neuropathie (Brines 2015, PMID 25387363)</w:t>
            </w:r>
          </w:p>
        </w:tc>
        <w:tc>
          <w:tcPr/>
          <w:p>
            <w:pPr>
              <w:pStyle w:val="Compact"/>
              <w:jc w:val="left"/>
            </w:pPr>
            <w:r>
              <w:t xml:space="preserve">personen met diabetes type 2 en zenuwpijn, fase 2, tegen placebo</w:t>
            </w:r>
          </w:p>
        </w:tc>
        <w:tc>
          <w:tcPr/>
          <w:p>
            <w:pPr>
              <w:pStyle w:val="Compact"/>
              <w:jc w:val="left"/>
            </w:pPr>
            <w:r>
              <w:t xml:space="preserve">28 dagen plus 28 dagen</w:t>
            </w:r>
          </w:p>
        </w:tc>
        <w:tc>
          <w:tcPr/>
          <w:p>
            <w:pPr>
              <w:pStyle w:val="Compact"/>
              <w:jc w:val="left"/>
            </w:pPr>
            <w:r>
              <w:t xml:space="preserve">HbA1c en bloedvetten verbeterd, neuropathievragenlijst beter</w:t>
            </w:r>
          </w:p>
        </w:tc>
      </w:tr>
      <w:tr>
        <w:tc>
          <w:tcPr/>
          <w:p>
            <w:pPr>
              <w:pStyle w:val="Compact"/>
              <w:jc w:val="left"/>
            </w:pPr>
            <w:r>
              <w:t xml:space="preserve">Diabetisch macula-oedeem (Lois 2020, PMID 32674280)</w:t>
            </w:r>
          </w:p>
        </w:tc>
        <w:tc>
          <w:tcPr/>
          <w:p>
            <w:pPr>
              <w:pStyle w:val="Compact"/>
              <w:jc w:val="left"/>
            </w:pPr>
            <w:r>
              <w:t xml:space="preserve">9 personen, fase 2 zonder controlegroep</w:t>
            </w:r>
          </w:p>
        </w:tc>
        <w:tc>
          <w:tcPr/>
          <w:p>
            <w:pPr>
              <w:pStyle w:val="Compact"/>
              <w:jc w:val="left"/>
            </w:pPr>
            <w:r>
              <w:t xml:space="preserve">12 weken</w:t>
            </w:r>
          </w:p>
        </w:tc>
        <w:tc>
          <w:tcPr/>
          <w:p>
            <w:pPr>
              <w:pStyle w:val="Compact"/>
              <w:jc w:val="left"/>
            </w:pPr>
            <w:r>
              <w:t xml:space="preserve">geen verbetering van gezichtsscherpte of netvliesdikte; geen antilichamen tegen de werkzame stof</w:t>
            </w:r>
          </w:p>
        </w:tc>
      </w:tr>
      <w:tr>
        <w:tc>
          <w:tcPr/>
          <w:p>
            <w:pPr>
              <w:pStyle w:val="Compact"/>
              <w:jc w:val="left"/>
            </w:pPr>
            <w:r>
              <w:t xml:space="preserve">Gezonden, stemming (Cerit 2015, PMID 26431906)</w:t>
            </w:r>
          </w:p>
        </w:tc>
        <w:tc>
          <w:tcPr/>
          <w:p>
            <w:pPr>
              <w:pStyle w:val="Compact"/>
              <w:jc w:val="left"/>
            </w:pPr>
            <w:r>
              <w:t xml:space="preserve">36 gezonden, dubbelblinde RCT, eenmalige dosis</w:t>
            </w:r>
          </w:p>
        </w:tc>
        <w:tc>
          <w:tcPr/>
          <w:p>
            <w:pPr>
              <w:pStyle w:val="Compact"/>
              <w:jc w:val="left"/>
            </w:pPr>
            <w:r>
              <w:t xml:space="preserve">1 week</w:t>
            </w:r>
          </w:p>
        </w:tc>
        <w:tc>
          <w:tcPr/>
          <w:p>
            <w:pPr>
              <w:pStyle w:val="Compact"/>
              <w:jc w:val="left"/>
            </w:pPr>
            <w:r>
              <w:t xml:space="preserve">geen effect op de stemming; bevindingen pleiten niet eenduidig voor een antidepressieve werking</w:t>
            </w:r>
          </w:p>
        </w:tc>
      </w:tr>
    </w:tbl>
    <w:bookmarkStart w:id="420" w:name="X1f30c78cde5fa20125c481d666cd32c09fa98da"/>
    <w:p>
      <w:pPr>
        <w:pStyle w:val="Heading4"/>
      </w:pPr>
      <w:r>
        <w:t xml:space="preserve">Sarcoïdose – het belangrijkste toepassingsgebied</w:t>
      </w:r>
    </w:p>
    <w:p>
      <w:pPr>
        <w:pStyle w:val="FirstParagraph"/>
      </w:pPr>
      <w:r>
        <w:t xml:space="preserve">Sarcoïdose is een ontstekingsziekte waarbij zich in longen, huid, ogen en andere organen kleine knobbeltjes vormen. Veel patiënten lijden aan brandende pijn en gevoelsstoornissen door beschadigde fijne zenuwvezels (dunnevezelneuropathie). Werkzame behandelingen zijn er nauwelijks.</w:t>
      </w:r>
    </w:p>
    <w:p>
      <w:pPr>
        <w:pStyle w:val="BodyText"/>
      </w:pPr>
      <w:r>
        <w:t xml:space="preserve">In de eerste pilotstudie met 22 personen verbeterde een vragenlijst over neuropathieklachten met ARA-290 duidelijk sterker dan met placebo. De waarden van de belangrijkste pijnvragenlijst en van de vermoeidheid verbeterden echter in beide groepen even sterk – een aanwijzing voor een aanzienlijk placebo-effect (Heij 2012, PMID 23168581).</w:t>
      </w:r>
    </w:p>
    <w:p>
      <w:pPr>
        <w:pStyle w:val="BodyText"/>
      </w:pPr>
      <w:r>
        <w:t xml:space="preserve">De grootste studie, een fase 2b-studie met 64 personen, koos als primaire grootheid het oppervlak van de fijne zenuwvezels in het hoornvlies van het oog, dat met een speciale microscoop kan worden gemeten. Alleen bij de middelste van drie doses nam dit oppervlak ten opzichte van placebo significant toe; de lage en de hoge dosis lieten geen significant effect zien. De pijn verbeterde in alle groepen, ook met placebo (Culver 2017, PMID 28475703). De zenuwvezels in het hoornvlies zijn een surrogaatmarker (surrogaateindpunt): of meer zenuwvezels in het hoornvlies ook blijvend minder pijn betekenen, is niet aangetoond.</w:t>
      </w:r>
    </w:p>
    <w:p>
      <w:pPr>
        <w:pStyle w:val="BodyText"/>
      </w:pPr>
      <w:r>
        <w:t xml:space="preserve">Een overzicht van leden van de Leidse onderzoeksgroep beoordeelde de vooruitzichten als veelbelovend (van Velzen 2014, PMID 24555851). Daarbij moet worden bedacht dat een groot deel van de studies afkomstig is van het ontwikkelende bedrijf en nauw daarmee verbonden onderzoekers.</w:t>
      </w:r>
    </w:p>
    <w:bookmarkEnd w:id="420"/>
    <w:bookmarkStart w:id="421" w:name="diabetes"/>
    <w:p>
      <w:pPr>
        <w:pStyle w:val="Heading4"/>
      </w:pPr>
      <w:r>
        <w:t xml:space="preserve">Diabetes</w:t>
      </w:r>
    </w:p>
    <w:p>
      <w:pPr>
        <w:pStyle w:val="FirstParagraph"/>
      </w:pPr>
      <w:r>
        <w:t xml:space="preserve">Bij mensen met diabetes type 2 en pijnlijke neuropathie verbeterden met ARA-290 over 28 dagen de langetermijnbloedsuiker HbA1c, de bloedvetten en de neuropathieklachten (Brines 2015, PMID 25387363). Het aantal deelnemers staat niet in het abstract; de studie was kort. Een afzonderlijk geregistreerde Zweedse studie naar het effect op de bloedsuiker bij prediabetes met gepland 24 personen heeft een onbekende status (NCT01933529). Bij negen personen met diabetisch macula-oedeem – een zwelling van het centrum van het netvlies – verbeterden gezichtsscherpte en netvliesdikte niet (Lois 2020, PMID 32674280).</w:t>
      </w:r>
    </w:p>
    <w:bookmarkEnd w:id="421"/>
    <w:bookmarkEnd w:id="422"/>
    <w:bookmarkStart w:id="423" w:name="dier--en-laboratoriumstudies-20"/>
    <w:p>
      <w:pPr>
        <w:pStyle w:val="Heading3"/>
      </w:pPr>
      <w:r>
        <w:t xml:space="preserve">Dier- en laboratoriumstudies</w:t>
      </w:r>
    </w:p>
    <w:p>
      <w:pPr>
        <w:pStyle w:val="FirstParagraph"/>
      </w:pPr>
      <w:r>
        <w:t xml:space="preserve">Het dieronderzoek naar ARA-290 is breed. Bij ratten, muizen en varkens werden beschermende effecten beschreven bij zenuwpijn (Swartjes 2014, PMID 24529189; Pulman 2013, PMID 23262243), nierschade na doorbloedingsstoornis bij varkens (van Rijt 2013, PMID 23302512), diabetes bij ratten (Muller 2016, PMID 26736179) en alzheimerachtige veranderingen (Al-Onaizi 2022, PMID 34343617). In een langetermijnstudie bij verouderende ratten over 15 maanden verminderde ARA-290 ontstekingskenmerken in het hart en verzachtte het leeftijdsgebonden verslechteringen van de hartfunctie (Winicki 2022, PMID 36741836) – op deze studie steunt de marketing als</w:t>
      </w:r>
      <w:r>
        <w:t xml:space="preserve"> </w:t>
      </w:r>
      <w:r>
        <w:t xml:space="preserve">‘</w:t>
      </w:r>
      <w:r>
        <w:t xml:space="preserve">anti-agingpeptide</w:t>
      </w:r>
      <w:r>
        <w:t xml:space="preserve">’</w:t>
      </w:r>
      <w:r>
        <w:t xml:space="preserve">. Al deze resultaten komen uit dierproeven.</w:t>
      </w:r>
    </w:p>
    <w:bookmarkEnd w:id="423"/>
    <w:bookmarkStart w:id="426" w:name="risicos-en-bijwerkingen-20"/>
    <w:p>
      <w:pPr>
        <w:pStyle w:val="Heading3"/>
      </w:pPr>
      <w:r>
        <w:t xml:space="preserve">Risico’s en bijwerkingen</w:t>
      </w:r>
    </w:p>
    <w:bookmarkStart w:id="424" w:name="aangetoond-4"/>
    <w:p>
      <w:pPr>
        <w:pStyle w:val="Heading4"/>
      </w:pPr>
      <w:r>
        <w:t xml:space="preserve">Aangetoond</w:t>
      </w:r>
    </w:p>
    <w:p>
      <w:pPr>
        <w:pStyle w:val="FirstParagraph"/>
      </w:pPr>
      <w:r>
        <w:t xml:space="preserve">In alle gepubliceerde studies werden geen veiligheidsproblemen gemeld (Heij 2012, PMID 23168581; Brines 2015, PMID 25387363). In de macula-oedeemstudie van twaalf weken traden geen ernstige bijwerkingen en geen antilichamen tegen ARA-290 op (Lois 2020, PMID 32674280). De gegevensbasis is met in totaal duidelijk minder dan 200 behandelde personen en behandelduren van hooguit twaalf weken echter klein.</w:t>
      </w:r>
    </w:p>
    <w:bookmarkEnd w:id="424"/>
    <w:bookmarkStart w:id="425" w:name="theoretisch-1"/>
    <w:p>
      <w:pPr>
        <w:pStyle w:val="Heading4"/>
      </w:pPr>
      <w:r>
        <w:t xml:space="preserve">Theoretisch</w:t>
      </w:r>
    </w:p>
    <w:p>
      <w:pPr>
        <w:numPr>
          <w:ilvl w:val="0"/>
          <w:numId w:val="1136"/>
        </w:numPr>
        <w:pStyle w:val="Compact"/>
      </w:pPr>
      <w:r>
        <w:rPr>
          <w:bCs/>
          <w:b/>
        </w:rPr>
        <w:t xml:space="preserve">EPO-achtige effecten:</w:t>
      </w:r>
      <w:r>
        <w:t xml:space="preserve"> </w:t>
      </w:r>
      <w:r>
        <w:t xml:space="preserve">ARA-290 is zo ontworpen dat het de bloedaanmaak niet stimuleert. Of bij langer gebruik of hogere doses, zoals die op de grijze markt circuleren, toch EPO-achtige effecten optreden, is bij mensen niet onderzocht.</w:t>
      </w:r>
    </w:p>
    <w:p>
      <w:pPr>
        <w:numPr>
          <w:ilvl w:val="0"/>
          <w:numId w:val="1136"/>
        </w:numPr>
        <w:pStyle w:val="Compact"/>
      </w:pPr>
      <w:r>
        <w:rPr>
          <w:bCs/>
          <w:b/>
        </w:rPr>
        <w:t xml:space="preserve">Tumorgroei:</w:t>
      </w:r>
      <w:r>
        <w:t xml:space="preserve"> </w:t>
      </w:r>
      <w:r>
        <w:t xml:space="preserve">EPO zelf wordt ervan verdacht bij sommige vormen van kanker de tumorgroei te bevorderen. Of dat voor ARA-290 een rol speelt, is onbekend; langetermijngegevens ontbreken.</w:t>
      </w:r>
    </w:p>
    <w:p>
      <w:pPr>
        <w:numPr>
          <w:ilvl w:val="0"/>
          <w:numId w:val="1136"/>
        </w:numPr>
        <w:pStyle w:val="Compact"/>
      </w:pPr>
      <w:r>
        <w:rPr>
          <w:bCs/>
          <w:b/>
        </w:rPr>
        <w:t xml:space="preserve">Grijze markt:</w:t>
      </w:r>
      <w:r>
        <w:t xml:space="preserve"> </w:t>
      </w:r>
      <w:r>
        <w:t xml:space="preserve">de studies werden uitgevoerd met geneesmiddelkwaliteit. Voor vrij verkochte producten zijn zuiverheid en gehalte onbekend.</w:t>
      </w:r>
    </w:p>
    <w:bookmarkEnd w:id="425"/>
    <w:bookmarkEnd w:id="426"/>
    <w:bookmarkStart w:id="427" w:name="juridische-status-20"/>
    <w:p>
      <w:pPr>
        <w:pStyle w:val="Heading3"/>
      </w:pPr>
      <w:r>
        <w:t xml:space="preserve">Juridische status</w:t>
      </w:r>
    </w:p>
    <w:p>
      <w:pPr>
        <w:pStyle w:val="FirstParagraph"/>
      </w:pPr>
      <w:r>
        <w:rPr>
          <w:iCs/>
          <w:i/>
        </w:rPr>
        <w:t xml:space="preserve">Stand 2026, actuele situatie controleren.</w:t>
      </w:r>
    </w:p>
    <w:p>
      <w:pPr>
        <w:numPr>
          <w:ilvl w:val="0"/>
          <w:numId w:val="1137"/>
        </w:numPr>
        <w:pStyle w:val="Compact"/>
      </w:pPr>
      <w:r>
        <w:rPr>
          <w:bCs/>
          <w:b/>
        </w:rPr>
        <w:t xml:space="preserve">EU, Duitsland, Oostenrijk:</w:t>
      </w:r>
      <w:r>
        <w:t xml:space="preserve"> </w:t>
      </w:r>
      <w:r>
        <w:t xml:space="preserve">niet geregistreerd. Levering voor gebruik bij mensen is niet toegestaan.</w:t>
      </w:r>
    </w:p>
    <w:p>
      <w:pPr>
        <w:numPr>
          <w:ilvl w:val="0"/>
          <w:numId w:val="1137"/>
        </w:numPr>
        <w:pStyle w:val="Compact"/>
      </w:pPr>
      <w:r>
        <w:rPr>
          <w:bCs/>
          <w:b/>
        </w:rPr>
        <w:t xml:space="preserve">VS:</w:t>
      </w:r>
      <w:r>
        <w:t xml:space="preserve"> </w:t>
      </w:r>
      <w:r>
        <w:t xml:space="preserve">geen FDA-registratie.</w:t>
      </w:r>
    </w:p>
    <w:p>
      <w:pPr>
        <w:numPr>
          <w:ilvl w:val="0"/>
          <w:numId w:val="1137"/>
        </w:numPr>
        <w:pStyle w:val="Compact"/>
      </w:pPr>
      <w:r>
        <w:rPr>
          <w:bCs/>
          <w:b/>
        </w:rPr>
        <w:t xml:space="preserve">WADA:</w:t>
      </w:r>
      <w:r>
        <w:t xml:space="preserve"> </w:t>
      </w:r>
      <w:r>
        <w:t xml:space="preserve">binnen en buiten wedstrijden verboden (S2, peptidehormonen en verwante stoffen; ARA-290 wordt genoemd als voorbeeld van niet-erytropoëtische EPO-receptoragonisten).</w:t>
      </w:r>
    </w:p>
    <w:bookmarkEnd w:id="427"/>
    <w:bookmarkStart w:id="428" w:name="lopende-studies-en-vooruitzichten-20"/>
    <w:p>
      <w:pPr>
        <w:pStyle w:val="Heading3"/>
      </w:pPr>
      <w:r>
        <w:t xml:space="preserve">Lopende studies en vooruitzichten</w:t>
      </w:r>
    </w:p>
    <w:p>
      <w:pPr>
        <w:pStyle w:val="FirstParagraph"/>
      </w:pPr>
      <w:r>
        <w:rPr>
          <w:bCs/>
          <w:b/>
        </w:rPr>
        <w:t xml:space="preserve">Vaststaand:</w:t>
      </w:r>
      <w:r>
        <w:t xml:space="preserve"> </w:t>
      </w:r>
      <w:r>
        <w:t xml:space="preserve">in oktober 2026 is bij ClinicalTrials.gov geen lopende studie met ARA-290 resp. cibinetide geregistreerd. De tot nu toe grootste studie (NCT02039687) werd in 2015 afgerond; sindsdien is geen fase 3-studie gestart. De studie naar macula-oedeem werd met negen personen beëindigd (NCT06626971).</w:t>
      </w:r>
    </w:p>
    <w:p>
      <w:pPr>
        <w:pStyle w:val="BodyText"/>
      </w:pPr>
      <w:r>
        <w:rPr>
          <w:bCs/>
          <w:b/>
        </w:rPr>
        <w:t xml:space="preserve">Inschatting van de auteur:</w:t>
      </w:r>
      <w:r>
        <w:t xml:space="preserve"> </w:t>
      </w:r>
      <w:r>
        <w:t xml:space="preserve">de resultaten bij sarcoïdoseneuropathie waren interessant genoeg voor een fase 3-studie, die echter meer dan tien jaar na de fase 2b-studie niet zichtbaar is begonnen. Zonder nieuwe ontwikkelaar of financier is een registratie onwaarschijnlijk. De marketing op de grijze markt als anti-agingmiddel steunt op rattenstudies en heeft weinig te maken met de onderzochte toepassingen bij mensen.</w:t>
      </w:r>
    </w:p>
    <w:bookmarkEnd w:id="428"/>
    <w:bookmarkStart w:id="429" w:name="conclusie-20"/>
    <w:p>
      <w:pPr>
        <w:pStyle w:val="Heading3"/>
      </w:pPr>
      <w:r>
        <w:t xml:space="preserve">Conclusie</w:t>
      </w:r>
    </w:p>
    <w:p>
      <w:pPr>
        <w:pStyle w:val="FirstParagraph"/>
      </w:pPr>
      <w:r>
        <w:t xml:space="preserve">ARA-290 is een van erytropoëtine afgeleid peptide dat weefsel zou moeten beschermen zonder de bloedaanmaak te stimuleren. In kleine gerandomiseerde studies bij zenuwschade door sarcoïdose namen zenuwvezels in het hoornvlies toe, maar slechts bij één van drie doses, en de pijn verbeterde ook met placebo duidelijk (Culver 2017, PMID 28475703). De verdraagbaarheid was in de korte studies goed, langetermijngegevens ontbreken. Sinds 2015 zijn er geen nieuwe geregistreerde studies; in de sport is ARA-290 verboden.</w:t>
      </w:r>
    </w:p>
    <w:bookmarkEnd w:id="429"/>
    <w:bookmarkEnd w:id="430"/>
    <w:bookmarkStart w:id="444" w:name="larazotide"/>
    <w:p>
      <w:pPr>
        <w:pStyle w:val="Heading2"/>
      </w:pPr>
      <w:r>
        <w:t xml:space="preserve">Larazotide</w:t>
      </w:r>
    </w:p>
    <w:p>
      <w:pPr>
        <w:pStyle w:val="FirstParagraph"/>
      </w:pPr>
      <w:r>
        <w:t xml:space="preserve">Larazotide is het enige peptide in deze groep dat het tot een fase 3-registratiestudie heeft geschopt zonder eerder ergens geregistreerd te zijn. Het moest het eerste geneesmiddel tegen coeliakie worden – een aandoening waarbij tot op heden alleen levenslang glutenvrij eten helpt. Het onderliggende concept, het afdichten van een</w:t>
      </w:r>
      <w:r>
        <w:t xml:space="preserve"> </w:t>
      </w:r>
      <w:r>
        <w:t xml:space="preserve">‘</w:t>
      </w:r>
      <w:r>
        <w:t xml:space="preserve">lekke</w:t>
      </w:r>
      <w:r>
        <w:t xml:space="preserve">’</w:t>
      </w:r>
      <w:r>
        <w:t xml:space="preserve"> </w:t>
      </w:r>
      <w:r>
        <w:t xml:space="preserve">darmwand, maakt larazotide ook interessant voor de scene rond de</w:t>
      </w:r>
      <w:r>
        <w:t xml:space="preserve"> </w:t>
      </w:r>
      <w:r>
        <w:t xml:space="preserve">‘</w:t>
      </w:r>
      <w:r>
        <w:t xml:space="preserve">leaky gut</w:t>
      </w:r>
      <w:r>
        <w:t xml:space="preserve">’</w:t>
      </w:r>
      <w:r>
        <w:t xml:space="preserve">. De geschiedenis van deze werkzame stof laat zien hoe moeilijk het is om van een aannemelijk idee een werkzaam geneesmiddel te maken.</w:t>
      </w:r>
    </w:p>
    <w:bookmarkStart w:id="431" w:name="profiel-21"/>
    <w:p>
      <w:pPr>
        <w:pStyle w:val="Heading3"/>
      </w:pPr>
      <w:r>
        <w:t xml:space="preserve">Profiel</w:t>
      </w:r>
    </w:p>
    <w:p>
      <w:pPr>
        <w:numPr>
          <w:ilvl w:val="0"/>
          <w:numId w:val="1138"/>
        </w:numPr>
        <w:pStyle w:val="Compact"/>
      </w:pPr>
      <w:r>
        <w:rPr>
          <w:bCs/>
          <w:b/>
        </w:rPr>
        <w:t xml:space="preserve">Soort en structuur:</w:t>
      </w:r>
      <w:r>
        <w:t xml:space="preserve"> </w:t>
      </w:r>
      <w:r>
        <w:t xml:space="preserve">synthetisch peptide van 8 aminozuren (Gopalakrishnan 2012, PMID 22401908), als acetaatzout (larazotideacetaat); ontwikkelingscode AT-1001.</w:t>
      </w:r>
    </w:p>
    <w:p>
      <w:pPr>
        <w:numPr>
          <w:ilvl w:val="0"/>
          <w:numId w:val="1138"/>
        </w:numPr>
        <w:pStyle w:val="Compact"/>
      </w:pPr>
      <w:r>
        <w:rPr>
          <w:bCs/>
          <w:b/>
        </w:rPr>
        <w:t xml:space="preserve">Herkomst:</w:t>
      </w:r>
      <w:r>
        <w:t xml:space="preserve"> </w:t>
      </w:r>
      <w:r>
        <w:t xml:space="preserve">afgeleid van het onderzoek naar het zonula-occludens-toxine van de cholerabacterie, dat de verbindingen tussen darmcellen opent; larazotide zou omgekeerd moeten werken.</w:t>
      </w:r>
    </w:p>
    <w:p>
      <w:pPr>
        <w:numPr>
          <w:ilvl w:val="0"/>
          <w:numId w:val="1138"/>
        </w:numPr>
        <w:pStyle w:val="Compact"/>
      </w:pPr>
      <w:r>
        <w:rPr>
          <w:bCs/>
          <w:b/>
        </w:rPr>
        <w:t xml:space="preserve">Werkingsprincipe:</w:t>
      </w:r>
      <w:r>
        <w:t xml:space="preserve"> </w:t>
      </w:r>
      <w:r>
        <w:t xml:space="preserve">regulator van de</w:t>
      </w:r>
      <w:r>
        <w:t xml:space="preserve"> </w:t>
      </w:r>
      <w:r>
        <w:t xml:space="preserve">‘</w:t>
      </w:r>
      <w:r>
        <w:t xml:space="preserve">tight junctions</w:t>
      </w:r>
      <w:r>
        <w:t xml:space="preserve">’</w:t>
      </w:r>
      <w:r>
        <w:t xml:space="preserve"> </w:t>
      </w:r>
      <w:r>
        <w:t xml:space="preserve">(sluitlijsten tussen darmcellen); geldt als tegenspeler van de lichaamseigen signaalstof zonuline. Werkt plaatselijk in de darm en wordt nauwelijks in het bloed opgenomen.</w:t>
      </w:r>
    </w:p>
    <w:p>
      <w:pPr>
        <w:numPr>
          <w:ilvl w:val="0"/>
          <w:numId w:val="1138"/>
        </w:numPr>
        <w:pStyle w:val="Compact"/>
      </w:pPr>
      <w:r>
        <w:rPr>
          <w:bCs/>
          <w:b/>
        </w:rPr>
        <w:t xml:space="preserve">Registratie EU/VS:</w:t>
      </w:r>
      <w:r>
        <w:t xml:space="preserve"> </w:t>
      </w:r>
      <w:r>
        <w:t xml:space="preserve">nee.</w:t>
      </w:r>
    </w:p>
    <w:p>
      <w:pPr>
        <w:numPr>
          <w:ilvl w:val="0"/>
          <w:numId w:val="1138"/>
        </w:numPr>
        <w:pStyle w:val="Compact"/>
      </w:pPr>
      <w:r>
        <w:rPr>
          <w:bCs/>
          <w:b/>
        </w:rPr>
        <w:t xml:space="preserve">WADA:</w:t>
      </w:r>
      <w:r>
        <w:t xml:space="preserve"> </w:t>
      </w:r>
      <w:r>
        <w:t xml:space="preserve">niet vermeld; zonder herkenbare prestatieverhogende werking (stand 2026, actuele situatie controleren).</w:t>
      </w:r>
    </w:p>
    <w:p>
      <w:pPr>
        <w:numPr>
          <w:ilvl w:val="0"/>
          <w:numId w:val="1138"/>
        </w:numPr>
        <w:pStyle w:val="Compact"/>
      </w:pPr>
      <w:r>
        <w:rPr>
          <w:bCs/>
          <w:b/>
        </w:rPr>
        <w:t xml:space="preserve">Bewijsniveau: B</w:t>
      </w:r>
      <w:r>
        <w:t xml:space="preserve"> </w:t>
      </w:r>
      <w:r>
        <w:t xml:space="preserve">– meerdere gerandomiseerde fase 2-studies met gemengde resultaten; de fase 3-studie werd afgebroken, zonder gepubliceerde resultaten.</w:t>
      </w:r>
    </w:p>
    <w:bookmarkEnd w:id="431"/>
    <w:bookmarkStart w:id="432" w:name="hoe-het-zou-moeten-werken-21"/>
    <w:p>
      <w:pPr>
        <w:pStyle w:val="Heading3"/>
      </w:pPr>
      <w:r>
        <w:t xml:space="preserve">Hoe het zou moeten werken</w:t>
      </w:r>
    </w:p>
    <w:p>
      <w:pPr>
        <w:pStyle w:val="FirstParagraph"/>
      </w:pPr>
      <w:r>
        <w:t xml:space="preserve">Bij coeliakie reageert het immuunsysteem van genetisch aangelegde mensen op gluten, een eiwit in tarwe, rogge en gerst. Fragmenten van gluten komen door het darmslijmvlies en veroorzaken daar een ontsteking die de darmvlokken vernietigt. Een deel van deze fragmenten gaat vermoedelijk door de openingen tussen de darmcellen. Die openingen worden afgesloten door de tight junctions – een soort moleculaire rits.</w:t>
      </w:r>
    </w:p>
    <w:p>
      <w:pPr>
        <w:pStyle w:val="BodyText"/>
      </w:pPr>
      <w:r>
        <w:t xml:space="preserve">De signaalstof zonuline kan deze rits openen; gliadine, een bestanddeel van gluten, maakt zonuline vrij. Larazotide zou deze route moeten blokkeren. In celkweken van menselijke darmcellen voorkwam larazotide de herschikking van de afsluitende eiwitten en verminderde het de doorgang van een gliadinefragment door de cellaag; bij genetisch gemodificeerde muizen met glutengevoeligheid bleef de structuur van de sluitlijsten behouden (Gopalakrishnan 2012, PMID 22401908). Nieuwere studies vermoeden daarnaast een remming van het enzym myosine-lichteketenkinase, dat de celverbindingen onder spanning zet (Slifer 2021, PMID 33881350).</w:t>
      </w:r>
    </w:p>
    <w:p>
      <w:pPr>
        <w:pStyle w:val="BodyText"/>
      </w:pPr>
      <w:r>
        <w:t xml:space="preserve">Larazotide was nooit bedoeld als vervanging van het glutenvrije dieet. Het doel was een aanvullend middel voor patiënten die ondanks het dieet klachten hebben – bijvoorbeeld door onopgemerkte sporen gluten.</w:t>
      </w:r>
    </w:p>
    <w:bookmarkEnd w:id="432"/>
    <w:bookmarkStart w:id="436" w:name="studies-bij-mensen-21"/>
    <w:p>
      <w:pPr>
        <w:pStyle w:val="Heading3"/>
      </w:pPr>
      <w:r>
        <w:t xml:space="preserve">Studies bij mensen</w:t>
      </w:r>
    </w:p>
    <w:p>
      <w:pPr>
        <w:pStyle w:val="FirstParagraph"/>
      </w:pPr>
      <w:r>
        <w:rPr>
          <w:bCs/>
          <w:b/>
        </w:rPr>
        <w:t xml:space="preserve">Omvang van het onderzoek (zoekopdracht oktober 2026):</w:t>
      </w:r>
      <w:r>
        <w:t xml:space="preserve"> </w:t>
      </w:r>
      <w:r>
        <w:t xml:space="preserve">De geautomatiseerde zoekopdracht vond</w:t>
      </w:r>
      <w:r>
        <w:t xml:space="preserve"> </w:t>
      </w:r>
      <w:r>
        <w:rPr>
          <w:bCs/>
          <w:b/>
        </w:rPr>
        <w:t xml:space="preserve">4</w:t>
      </w:r>
      <w:r>
        <w:t xml:space="preserve"> </w:t>
      </w:r>
      <w:r>
        <w:t xml:space="preserve">studies bij mensen in PubMed en</w:t>
      </w:r>
      <w:r>
        <w:t xml:space="preserve"> </w:t>
      </w:r>
      <w:r>
        <w:rPr>
          <w:bCs/>
          <w:b/>
        </w:rPr>
        <w:t xml:space="preserve">29</w:t>
      </w:r>
      <w:r>
        <w:t xml:space="preserve"> </w:t>
      </w:r>
      <w:r>
        <w:t xml:space="preserve">vermeldingen bij ClinicalTrials.gov. Van deze 29 vermeldingen betreffen er echter 19 een volstrekt ander geneesmiddel: migalastat tegen de ziekte van Fabry droeg vroeger dezelfde ontwikkelingscode AT1001. Werkelijk bij larazotide horen</w:t>
      </w:r>
      <w:r>
        <w:t xml:space="preserve"> </w:t>
      </w:r>
      <w:r>
        <w:rPr>
          <w:bCs/>
          <w:b/>
        </w:rPr>
        <w:t xml:space="preserve">10</w:t>
      </w:r>
      <w:r>
        <w:t xml:space="preserve"> </w:t>
      </w:r>
      <w:r>
        <w:t xml:space="preserve">registervermeldingen. Een meta-analyse uit 2022 vatte vier gerandomiseerde studies met 626 personen samen (Hoilat 2022, PMID 34339872).</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Deelnemers en design</w:t>
            </w:r>
          </w:p>
        </w:tc>
        <w:tc>
          <w:tcPr/>
          <w:p>
            <w:pPr>
              <w:pStyle w:val="Compact"/>
              <w:jc w:val="left"/>
            </w:pPr>
            <w:r>
              <w:t xml:space="preserve">Duur</w:t>
            </w:r>
          </w:p>
        </w:tc>
        <w:tc>
          <w:tcPr/>
          <w:p>
            <w:pPr>
              <w:pStyle w:val="Compact"/>
              <w:jc w:val="left"/>
            </w:pPr>
            <w:r>
              <w:t xml:space="preserve">Resultaat</w:t>
            </w:r>
          </w:p>
        </w:tc>
      </w:tr>
      <w:tr>
        <w:tc>
          <w:tcPr/>
          <w:p>
            <w:pPr>
              <w:pStyle w:val="Compact"/>
              <w:jc w:val="left"/>
            </w:pPr>
            <w:r>
              <w:t xml:space="preserve">Glutenbelasting (Leffler 2012, PMID 22825365)</w:t>
            </w:r>
          </w:p>
        </w:tc>
        <w:tc>
          <w:tcPr/>
          <w:p>
            <w:pPr>
              <w:pStyle w:val="Compact"/>
              <w:jc w:val="left"/>
            </w:pPr>
            <w:r>
              <w:t xml:space="preserve">86 personen met coeliakie, RCT met 4 doses en placebo</w:t>
            </w:r>
          </w:p>
        </w:tc>
        <w:tc>
          <w:tcPr/>
          <w:p>
            <w:pPr>
              <w:pStyle w:val="Compact"/>
              <w:jc w:val="left"/>
            </w:pPr>
            <w:r>
              <w:t xml:space="preserve">14 dagen</w:t>
            </w:r>
          </w:p>
        </w:tc>
        <w:tc>
          <w:tcPr/>
          <w:p>
            <w:pPr>
              <w:pStyle w:val="Compact"/>
              <w:jc w:val="left"/>
            </w:pPr>
            <w:r>
              <w:t xml:space="preserve">doorlaatbaarheidstest zonder significant verschil; minder klachten bij enkele lage doses</w:t>
            </w:r>
          </w:p>
        </w:tc>
      </w:tr>
      <w:tr>
        <w:tc>
          <w:tcPr/>
          <w:p>
            <w:pPr>
              <w:pStyle w:val="Compact"/>
              <w:jc w:val="left"/>
            </w:pPr>
            <w:r>
              <w:t xml:space="preserve">Glutenbelasting (Kelly 2013, PMID 23163616)</w:t>
            </w:r>
          </w:p>
        </w:tc>
        <w:tc>
          <w:tcPr/>
          <w:p>
            <w:pPr>
              <w:pStyle w:val="Compact"/>
              <w:jc w:val="left"/>
            </w:pPr>
            <w:r>
              <w:t xml:space="preserve">184 personen, RCT met 3 doses en placebo, dagelijks 2,7 g gluten</w:t>
            </w:r>
          </w:p>
        </w:tc>
        <w:tc>
          <w:tcPr/>
          <w:p>
            <w:pPr>
              <w:pStyle w:val="Compact"/>
              <w:jc w:val="left"/>
            </w:pPr>
            <w:r>
              <w:t xml:space="preserve">6 weken</w:t>
            </w:r>
          </w:p>
        </w:tc>
        <w:tc>
          <w:tcPr/>
          <w:p>
            <w:pPr>
              <w:pStyle w:val="Compact"/>
              <w:jc w:val="left"/>
            </w:pPr>
            <w:r>
              <w:t xml:space="preserve">doorlaatbaarheid onveranderd; minder klachten alleen met 1 mg; kleinere stijging van de coeliakie-antilichamen</w:t>
            </w:r>
          </w:p>
        </w:tc>
      </w:tr>
      <w:tr>
        <w:tc>
          <w:tcPr/>
          <w:p>
            <w:pPr>
              <w:pStyle w:val="Compact"/>
              <w:jc w:val="left"/>
            </w:pPr>
            <w:r>
              <w:t xml:space="preserve">Klachten ondanks dieet (Leffler 2015, PMID 25683116; NCT01396213)</w:t>
            </w:r>
          </w:p>
        </w:tc>
        <w:tc>
          <w:tcPr/>
          <w:p>
            <w:pPr>
              <w:pStyle w:val="Compact"/>
              <w:jc w:val="left"/>
            </w:pPr>
            <w:r>
              <w:t xml:space="preserve">342 personen, RCT met 3 doses en placebo</w:t>
            </w:r>
          </w:p>
        </w:tc>
        <w:tc>
          <w:tcPr/>
          <w:p>
            <w:pPr>
              <w:pStyle w:val="Compact"/>
              <w:jc w:val="left"/>
            </w:pPr>
            <w:r>
              <w:t xml:space="preserve">12 weken</w:t>
            </w:r>
          </w:p>
        </w:tc>
        <w:tc>
          <w:tcPr/>
          <w:p>
            <w:pPr>
              <w:pStyle w:val="Compact"/>
              <w:jc w:val="left"/>
            </w:pPr>
            <w:r>
              <w:t xml:space="preserve">primair doel alleen met de laagste dosis (0,5 mg) bereikt; 1 mg en 2 mg niet beter dan placebo</w:t>
            </w:r>
          </w:p>
        </w:tc>
      </w:tr>
      <w:tr>
        <w:tc>
          <w:tcPr/>
          <w:p>
            <w:pPr>
              <w:pStyle w:val="Compact"/>
              <w:jc w:val="left"/>
            </w:pPr>
            <w:r>
              <w:t xml:space="preserve">CeDLara, fase 3 (NCT03569007)</w:t>
            </w:r>
          </w:p>
        </w:tc>
        <w:tc>
          <w:tcPr/>
          <w:p>
            <w:pPr>
              <w:pStyle w:val="Compact"/>
              <w:jc w:val="left"/>
            </w:pPr>
            <w:r>
              <w:t xml:space="preserve">307 personen, gerandomiseerd, geblindeerd</w:t>
            </w:r>
          </w:p>
        </w:tc>
        <w:tc>
          <w:tcPr/>
          <w:p>
            <w:pPr>
              <w:pStyle w:val="Compact"/>
              <w:jc w:val="left"/>
            </w:pPr>
            <w:r>
              <w:t xml:space="preserve">gepland 12 weken</w:t>
            </w:r>
          </w:p>
        </w:tc>
        <w:tc>
          <w:tcPr/>
          <w:p>
            <w:pPr>
              <w:pStyle w:val="Compact"/>
              <w:jc w:val="left"/>
            </w:pPr>
            <w:r>
              <w:t xml:space="preserve">in 2022 door de sponsor afgebroken; geen resultaten gepubliceerd</w:t>
            </w:r>
          </w:p>
        </w:tc>
      </w:tr>
      <w:tr>
        <w:tc>
          <w:tcPr/>
          <w:p>
            <w:pPr>
              <w:pStyle w:val="Compact"/>
              <w:jc w:val="left"/>
            </w:pPr>
            <w:r>
              <w:t xml:space="preserve">MIS-C bij kinderen (Yonker 2025, PMID 40737433)</w:t>
            </w:r>
          </w:p>
        </w:tc>
        <w:tc>
          <w:tcPr/>
          <w:p>
            <w:pPr>
              <w:pStyle w:val="Compact"/>
              <w:jc w:val="left"/>
            </w:pPr>
            <w:r>
              <w:t xml:space="preserve">12 kinderen met ontstekingssyndroom na COVID-19, fase 2a, RCT</w:t>
            </w:r>
          </w:p>
        </w:tc>
        <w:tc>
          <w:tcPr/>
          <w:p>
            <w:pPr>
              <w:pStyle w:val="Compact"/>
              <w:jc w:val="left"/>
            </w:pPr>
            <w:r>
              <w:t xml:space="preserve">3 weken</w:t>
            </w:r>
          </w:p>
        </w:tc>
        <w:tc>
          <w:tcPr/>
          <w:p>
            <w:pPr>
              <w:pStyle w:val="Compact"/>
              <w:jc w:val="left"/>
            </w:pPr>
            <w:r>
              <w:t xml:space="preserve">sneller verdwijnen van de maag-darmklachten; geen bijwerkingen door larazotide</w:t>
            </w:r>
          </w:p>
        </w:tc>
      </w:tr>
    </w:tbl>
    <w:bookmarkStart w:id="433" w:name="coeliakie-fase-2"/>
    <w:p>
      <w:pPr>
        <w:pStyle w:val="Heading4"/>
      </w:pPr>
      <w:r>
        <w:t xml:space="preserve">Coeliakie: fase 2</w:t>
      </w:r>
    </w:p>
    <w:p>
      <w:pPr>
        <w:pStyle w:val="FirstParagraph"/>
      </w:pPr>
      <w:r>
        <w:t xml:space="preserve">In de twee studies met gerichte glutenbelasting moest larazotide de toename van de darmdoorlaatbaarheid voorkomen. Die werd gemeten met een suikertest in de urine (lactulose-mannitolverhouding). Deze test schommelde in het dagelijks leven zo sterk dat geen effect kon worden aangetoond (Leffler 2012, PMID 22825365; Kelly 2013, PMID 23163616). Bij de klachten was een ongewoon patroon te zien: lage doses werkten soms beter dan hoge. In de studie met 184 personen beperkte alleen de dosis van 1 mg de door gluten uitgelokte klachten significant; tegelijk stegen de coeliakie-antilichamen bij alle larazotidedoses duidelijk minder dan bij placebo (Kelly 2013, PMID 23163616).</w:t>
      </w:r>
    </w:p>
    <w:p>
      <w:pPr>
        <w:pStyle w:val="BodyText"/>
      </w:pPr>
      <w:r>
        <w:t xml:space="preserve">De grootste fase 2-studie met 342 personen die ondanks een glutenvrij dieet klachten hadden, bereikte haar primaire doel alleen met de laagste dosis van 0,5 mg. Bij deze dosis waren er 26 procent minder dagen met coeliakieklachten. De hogere doses waren op geen enkel eindpunt beter dan placebo; de auteurs noemen de resultaten zelf</w:t>
      </w:r>
      <w:r>
        <w:t xml:space="preserve"> </w:t>
      </w:r>
      <w:r>
        <w:t xml:space="preserve">‘</w:t>
      </w:r>
      <w:r>
        <w:t xml:space="preserve">gemengd</w:t>
      </w:r>
      <w:r>
        <w:t xml:space="preserve">’</w:t>
      </w:r>
      <w:r>
        <w:t xml:space="preserve"> </w:t>
      </w:r>
      <w:r>
        <w:t xml:space="preserve">(Leffler 2015, PMID 25683116). Een geneesmiddel waarbij alleen de laagste dosis werkt, is farmacologisch ongewoon en laat twijfel bestaan of het om een echt effect of om toeval gaat.</w:t>
      </w:r>
    </w:p>
    <w:p>
      <w:pPr>
        <w:pStyle w:val="BodyText"/>
      </w:pPr>
      <w:r>
        <w:t xml:space="preserve">De meta-analyse vond geen effect op de darmdoorlaatbaarheid, en een verbetering van de klachten alleen bij glutenbelasting, maar niet bij personen met een glutenvrij dieet – dus juist niet in de groep waarvoor larazotide bedoeld was (Hoilat 2022, PMID 34339872).</w:t>
      </w:r>
    </w:p>
    <w:bookmarkEnd w:id="433"/>
    <w:bookmarkStart w:id="434" w:name="coeliakie-de-fase-3-studie-cedlara"/>
    <w:p>
      <w:pPr>
        <w:pStyle w:val="Heading4"/>
      </w:pPr>
      <w:r>
        <w:t xml:space="preserve">Coeliakie: de fase 3-studie CeDLara</w:t>
      </w:r>
    </w:p>
    <w:p>
      <w:pPr>
        <w:pStyle w:val="FirstParagraph"/>
      </w:pPr>
      <w:r>
        <w:t xml:space="preserve">Op basis van de resultaten met 0,5 mg startte in 2019 de fase 3-studie CeDLara met larazotide in maagsapresistente bolletjes (NCT03569007). Volgens het register werden 307 personen opgenomen; de studie werd in juli 2022</w:t>
      </w:r>
      <w:r>
        <w:t xml:space="preserve"> </w:t>
      </w:r>
      <w:r>
        <w:t xml:space="preserve">‘</w:t>
      </w:r>
      <w:r>
        <w:t xml:space="preserve">door de sponsor beëindigd</w:t>
      </w:r>
      <w:r>
        <w:t xml:space="preserve">’</w:t>
      </w:r>
      <w:r>
        <w:t xml:space="preserve">. Naar weten van de auteur motiveerde de toenmalige fabrikant 9 Meters Biopharma de stopzetting met het argument dat een tussentijdse analyse had uitgewezen dat aanzienlijk meer deelnemers nodig zouden zijn geweest om een verschil met placebo aan te tonen. Een vakpublicatie van de resultaten is er in PubMed niet. Overzichtsartikelen stellen vast dat tot op heden geen enkel coeliakiegeneesmiddel een fase 3-studie met succes heeft afgerond (D’heedene 2024, PMID 38648685) en dat geen behandeling is aangetoond als werkzaam alternatief voor glutenvrij eten (Girbal-González 2025, PMID 41010485).</w:t>
      </w:r>
    </w:p>
    <w:bookmarkEnd w:id="434"/>
    <w:bookmarkStart w:id="435" w:name="Xb278433846771da9af6aca906e6386b1690c49e"/>
    <w:p>
      <w:pPr>
        <w:pStyle w:val="Heading4"/>
      </w:pPr>
      <w:r>
        <w:t xml:space="preserve">Nieuwe toepassing: ontstekingssyndroom na COVID-19</w:t>
      </w:r>
    </w:p>
    <w:p>
      <w:pPr>
        <w:pStyle w:val="FirstParagraph"/>
      </w:pPr>
      <w:r>
        <w:t xml:space="preserve">Een onderzoeksgroep vermoedt dat bij het multisysteemontstekingssyndroom bij kinderen (MIS-C) na COVID-19 virusbestanddelen uit de darm in het bloed terechtkomen. In een eerste casusreeks met vier kinderen verdween het viruseiwit met larazotide uit het bloed, en de maag-darmklachten verdwenen sneller dan bij 22 vergelijkingskinderen (Yonker 2022, PMID 35211683). Een gerandomiseerde fase 2a-studie met slechts 12 kinderen bevestigde een sneller herstel van de klachten; bijwerkingen door larazotide werden niet waargenomen (Yonker 2025, PMID 40737433). De studie werd afgebroken vanwege dalende aantallen patiënten (NCT05022303). Een studie bij long covid met 107 kinderen en volwassenen is volgens het register sinds juni 2026 afgerond (NCT05747534); resultaten waren in oktober 2026 niet gepubliceerd.</w:t>
      </w:r>
    </w:p>
    <w:bookmarkEnd w:id="435"/>
    <w:bookmarkEnd w:id="436"/>
    <w:bookmarkStart w:id="437" w:name="dier--en-laboratoriumstudies-21"/>
    <w:p>
      <w:pPr>
        <w:pStyle w:val="Heading3"/>
      </w:pPr>
      <w:r>
        <w:t xml:space="preserve">Dier- en laboratoriumstudies</w:t>
      </w:r>
    </w:p>
    <w:p>
      <w:pPr>
        <w:pStyle w:val="FirstParagraph"/>
      </w:pPr>
      <w:r>
        <w:t xml:space="preserve">Naast coeliakie werd larazotide in diermodellen onderzocht voor andere aandoeningen met een verstoorde darmbarrière. Bij muizen die aanleg hebben voor gewrichtsontsteking, verminderde larazotide het uitbreken van artritis (Tajik 2020, PMID 32332732). Bij varkens bevorderde het het herstel van dunnedarmweefsel na een doorbloedingsstoornis (Slifer 2021, PMID 33881350). Bij ratten werden effecten beschreven bij acute alvleesklierontsteking en acuut leverfalen (Karahan 2024, PMID 38441784; Caliskan 2021, PMID 34791921). Dit zijn dierproeven; uitspraken over reuma, alvleesklier of lever bij de mens vallen daaruit niet af te leiden.</w:t>
      </w:r>
    </w:p>
    <w:bookmarkEnd w:id="437"/>
    <w:bookmarkStart w:id="440" w:name="risicos-en-bijwerkingen-21"/>
    <w:p>
      <w:pPr>
        <w:pStyle w:val="Heading3"/>
      </w:pPr>
      <w:r>
        <w:t xml:space="preserve">Risico’s en bijwerkingen</w:t>
      </w:r>
    </w:p>
    <w:bookmarkStart w:id="438" w:name="aangetoond-5"/>
    <w:p>
      <w:pPr>
        <w:pStyle w:val="Heading4"/>
      </w:pPr>
      <w:r>
        <w:t xml:space="preserve">Aangetoond</w:t>
      </w:r>
    </w:p>
    <w:p>
      <w:pPr>
        <w:pStyle w:val="FirstParagraph"/>
      </w:pPr>
      <w:r>
        <w:t xml:space="preserve">Larazotide werd in alle studies goed verdragen. In de studie met 86 personen traden geen ernstige bijwerkingen op; het meest voorkomend waren hoofdpijn en urineweginfecties (Leffler 2012, PMID 22825365). In de grootste fase 2-studie was de veiligheid vergelijkbaar met placebo (Leffler 2015, PMID 25683116). De meta-analyse vond in totaal geen opeenstapeling van bijwerkingen ten opzichte van placebo (Hoilat 2022, PMID 34339872). Omdat larazotide nauwelijks in het bloed komt, is een gunstig veiligheidsprofiel aannemelijk.</w:t>
      </w:r>
    </w:p>
    <w:bookmarkEnd w:id="438"/>
    <w:bookmarkStart w:id="439" w:name="aandachtspunten-1"/>
    <w:p>
      <w:pPr>
        <w:pStyle w:val="Heading4"/>
      </w:pPr>
      <w:r>
        <w:t xml:space="preserve">Aandachtspunten</w:t>
      </w:r>
    </w:p>
    <w:p>
      <w:pPr>
        <w:numPr>
          <w:ilvl w:val="0"/>
          <w:numId w:val="1139"/>
        </w:numPr>
        <w:pStyle w:val="Compact"/>
      </w:pPr>
      <w:r>
        <w:rPr>
          <w:bCs/>
          <w:b/>
        </w:rPr>
        <w:t xml:space="preserve">Geen alternatief voor het dieet:</w:t>
      </w:r>
      <w:r>
        <w:t xml:space="preserve"> </w:t>
      </w:r>
      <w:r>
        <w:t xml:space="preserve">ook in de positieve studies beschermde larazotide niet tegen schade door grotere hoeveelheden gluten. Wie vanwege zo’n middel het glutenvrije dieet versoepelt, riskeert darmschade.</w:t>
      </w:r>
    </w:p>
    <w:p>
      <w:pPr>
        <w:numPr>
          <w:ilvl w:val="0"/>
          <w:numId w:val="1139"/>
        </w:numPr>
        <w:pStyle w:val="Compact"/>
      </w:pPr>
      <w:r>
        <w:rPr>
          <w:bCs/>
          <w:b/>
        </w:rPr>
        <w:t xml:space="preserve">Grijze markt:</w:t>
      </w:r>
      <w:r>
        <w:t xml:space="preserve"> </w:t>
      </w:r>
      <w:r>
        <w:t xml:space="preserve">larazotide wordt hier en daar aangeboden als</w:t>
      </w:r>
      <w:r>
        <w:t xml:space="preserve"> </w:t>
      </w:r>
      <w:r>
        <w:t xml:space="preserve">‘</w:t>
      </w:r>
      <w:r>
        <w:t xml:space="preserve">leaky-gut-peptide</w:t>
      </w:r>
      <w:r>
        <w:t xml:space="preserve">’</w:t>
      </w:r>
      <w:r>
        <w:t xml:space="preserve">. De studies gebruikten een speciale maagsapresistente toedieningsvorm; of vrij verkochte producten de werkzame stof überhaupt op de plaats van werking brengen, is onbekend. Voor het concept</w:t>
      </w:r>
      <w:r>
        <w:t xml:space="preserve"> </w:t>
      </w:r>
      <w:r>
        <w:t xml:space="preserve">‘</w:t>
      </w:r>
      <w:r>
        <w:t xml:space="preserve">leaky gut</w:t>
      </w:r>
      <w:r>
        <w:t xml:space="preserve">’</w:t>
      </w:r>
      <w:r>
        <w:t xml:space="preserve"> </w:t>
      </w:r>
      <w:r>
        <w:t xml:space="preserve">zonder coeliakie zijn er geen studies met larazotide.</w:t>
      </w:r>
    </w:p>
    <w:bookmarkEnd w:id="439"/>
    <w:bookmarkEnd w:id="440"/>
    <w:bookmarkStart w:id="441" w:name="juridische-status-21"/>
    <w:p>
      <w:pPr>
        <w:pStyle w:val="Heading3"/>
      </w:pPr>
      <w:r>
        <w:t xml:space="preserve">Juridische status</w:t>
      </w:r>
    </w:p>
    <w:p>
      <w:pPr>
        <w:pStyle w:val="FirstParagraph"/>
      </w:pPr>
      <w:r>
        <w:rPr>
          <w:iCs/>
          <w:i/>
        </w:rPr>
        <w:t xml:space="preserve">Stand 2026, actuele situatie controleren.</w:t>
      </w:r>
    </w:p>
    <w:p>
      <w:pPr>
        <w:numPr>
          <w:ilvl w:val="0"/>
          <w:numId w:val="1140"/>
        </w:numPr>
        <w:pStyle w:val="Compact"/>
      </w:pPr>
      <w:r>
        <w:rPr>
          <w:bCs/>
          <w:b/>
        </w:rPr>
        <w:t xml:space="preserve">EU, Duitsland, Oostenrijk:</w:t>
      </w:r>
      <w:r>
        <w:t xml:space="preserve"> </w:t>
      </w:r>
      <w:r>
        <w:t xml:space="preserve">niet geregistreerd.</w:t>
      </w:r>
    </w:p>
    <w:p>
      <w:pPr>
        <w:numPr>
          <w:ilvl w:val="0"/>
          <w:numId w:val="1140"/>
        </w:numPr>
        <w:pStyle w:val="Compact"/>
      </w:pPr>
      <w:r>
        <w:rPr>
          <w:bCs/>
          <w:b/>
        </w:rPr>
        <w:t xml:space="preserve">VS:</w:t>
      </w:r>
      <w:r>
        <w:t xml:space="preserve"> </w:t>
      </w:r>
      <w:r>
        <w:t xml:space="preserve">niet geregistreerd. De ontwikkelaar had naar weten van de auteur van de FDA een versnelde beoordeling (</w:t>
      </w:r>
      <w:r>
        <w:t xml:space="preserve">‘</w:t>
      </w:r>
      <w:r>
        <w:t xml:space="preserve">Fast Track</w:t>
      </w:r>
      <w:r>
        <w:t xml:space="preserve">’</w:t>
      </w:r>
      <w:r>
        <w:t xml:space="preserve">) voor coeliakie gekregen; na de stopzetting van de fase 3-studie werd geen registratieaanvraag ingediend.</w:t>
      </w:r>
    </w:p>
    <w:p>
      <w:pPr>
        <w:numPr>
          <w:ilvl w:val="0"/>
          <w:numId w:val="1140"/>
        </w:numPr>
        <w:pStyle w:val="Compact"/>
      </w:pPr>
      <w:r>
        <w:rPr>
          <w:bCs/>
          <w:b/>
        </w:rPr>
        <w:t xml:space="preserve">WADA:</w:t>
      </w:r>
      <w:r>
        <w:t xml:space="preserve"> </w:t>
      </w:r>
      <w:r>
        <w:t xml:space="preserve">niet vermeld.</w:t>
      </w:r>
    </w:p>
    <w:bookmarkEnd w:id="441"/>
    <w:bookmarkStart w:id="442" w:name="lopende-studies-en-vooruitzichten-21"/>
    <w:p>
      <w:pPr>
        <w:pStyle w:val="Heading3"/>
      </w:pPr>
      <w:r>
        <w:t xml:space="preserve">Lopende studies en vooruitzichten</w:t>
      </w:r>
    </w:p>
    <w:p>
      <w:pPr>
        <w:pStyle w:val="FirstParagraph"/>
      </w:pPr>
      <w:r>
        <w:rPr>
          <w:bCs/>
          <w:b/>
        </w:rPr>
        <w:t xml:space="preserve">Vaststaand:</w:t>
      </w:r>
      <w:r>
        <w:t xml:space="preserve"> </w:t>
      </w:r>
      <w:r>
        <w:t xml:space="preserve">in oktober 2026 is bij ClinicalTrials.gov geen lopende studie met larazotide geregistreerd. De long-covidstudie (NCT05747534) is afgerond, resultaten volgen nog.</w:t>
      </w:r>
    </w:p>
    <w:p>
      <w:pPr>
        <w:pStyle w:val="BodyText"/>
      </w:pPr>
      <w:r>
        <w:rPr>
          <w:bCs/>
          <w:b/>
        </w:rPr>
        <w:t xml:space="preserve">Inschatting van de auteur:</w:t>
      </w:r>
      <w:r>
        <w:t xml:space="preserve"> </w:t>
      </w:r>
      <w:r>
        <w:t xml:space="preserve">voor coeliakie zal larazotide na de stopzetting van CeDLara waarschijnlijk geen toekomst hebben, tenzij een nieuwe ontwikkelaar de rechten overneemt. Andere benaderingen – glutenafbrekende enzymen, remmers van transglutaminase 2 of methoden voor immuuntolerantie – gelden momenteel als kansrijker (D’heedene 2024, PMID 38648685). Bij MIS-C en long covid hangt de verdere ontwikkeling af van de nog ongepubliceerde resultaten.</w:t>
      </w:r>
    </w:p>
    <w:bookmarkEnd w:id="442"/>
    <w:bookmarkStart w:id="443" w:name="conclusie-21"/>
    <w:p>
      <w:pPr>
        <w:pStyle w:val="Heading3"/>
      </w:pPr>
      <w:r>
        <w:t xml:space="preserve">Conclusie</w:t>
      </w:r>
    </w:p>
    <w:p>
      <w:pPr>
        <w:pStyle w:val="FirstParagraph"/>
      </w:pPr>
      <w:r>
        <w:t xml:space="preserve">Larazotide is een peptide van acht aminozuren dat de verbindingen tussen darmcellen zou moeten afdichten, en was de eerste werkzame stof tegen coeliakie die een fase 3-studie bereikte. In de fase 2-studies waren de resultaten gemengd: een effect op de darmdoorlaatbaarheid kon niet worden aangetoond, en bij klachten ondanks het dieet werkte alleen de laagste dosis (Leffler 2015, PMID 25683116). De fase 3-studie CeDLara werd in 2022 afgebroken, resultaten werden niet gepubliceerd. Larazotide wordt goed verdragen, maar is geregistreerd noch als werkzaam aangetoond – en is geen vervanging voor het glutenvrije dieet.</w:t>
      </w:r>
    </w:p>
    <w:bookmarkEnd w:id="443"/>
    <w:bookmarkEnd w:id="444"/>
    <w:bookmarkStart w:id="460" w:name="thymaline-en-thymogen"/>
    <w:p>
      <w:pPr>
        <w:pStyle w:val="Heading2"/>
      </w:pPr>
      <w:r>
        <w:t xml:space="preserve">Thymaline en thymogen</w:t>
      </w:r>
    </w:p>
    <w:p>
      <w:pPr>
        <w:pStyle w:val="FirstParagraph"/>
      </w:pPr>
      <w:r>
        <w:t xml:space="preserve">Thymaline is een extract uit de thymus van kalveren, thymogen een daarvan afgeleid synthetisch dipeptide. Beide stammen uit de Sovjet-militaire geneeskunde van de jaren zeventig en tachtig en zijn in Rusland tot op heden als geneesmiddel in de handel. In westerse longevitykringen worden ze op de markt gebracht als</w:t>
      </w:r>
      <w:r>
        <w:t xml:space="preserve"> </w:t>
      </w:r>
      <w:r>
        <w:t xml:space="preserve">‘</w:t>
      </w:r>
      <w:r>
        <w:t xml:space="preserve">bioregulatoren</w:t>
      </w:r>
      <w:r>
        <w:t xml:space="preserve">’</w:t>
      </w:r>
      <w:r>
        <w:t xml:space="preserve"> </w:t>
      </w:r>
      <w:r>
        <w:t xml:space="preserve">die het immuunsysteem zouden</w:t>
      </w:r>
      <w:r>
        <w:t xml:space="preserve"> </w:t>
      </w:r>
      <w:r>
        <w:t xml:space="preserve">‘</w:t>
      </w:r>
      <w:r>
        <w:t xml:space="preserve">verjongen</w:t>
      </w:r>
      <w:r>
        <w:t xml:space="preserve">’</w:t>
      </w:r>
      <w:r>
        <w:t xml:space="preserve"> </w:t>
      </w:r>
      <w:r>
        <w:t xml:space="preserve">en het leven zouden verlengen. De basis van deze beloften is vrijwel uitsluitend het onderzoek van één enkele school rond de Sint-Petersburgse gerontoloog Vladimir Khavinson. Dit hoofdstuk plaatst dat onderzoek in perspectief – en legt uit waarom de resultaten met grote voorzichtigheid moeten worden gelezen.</w:t>
      </w:r>
    </w:p>
    <w:bookmarkStart w:id="445" w:name="profiel-22"/>
    <w:p>
      <w:pPr>
        <w:pStyle w:val="Heading3"/>
      </w:pPr>
      <w:r>
        <w:t xml:space="preserve">Profiel</w:t>
      </w:r>
    </w:p>
    <w:p>
      <w:pPr>
        <w:numPr>
          <w:ilvl w:val="0"/>
          <w:numId w:val="1141"/>
        </w:numPr>
        <w:pStyle w:val="Compact"/>
      </w:pPr>
      <w:r>
        <w:rPr>
          <w:bCs/>
          <w:b/>
        </w:rPr>
        <w:t xml:space="preserve">Thymaline:</w:t>
      </w:r>
      <w:r>
        <w:t xml:space="preserve"> </w:t>
      </w:r>
      <w:r>
        <w:t xml:space="preserve">mengsel van peptiden, verkregen door zuurextractie uit de thymus van kalveren (Morozov 1997, PMID 9637345); geen eenduidig gedefinieerde stof. Als belangrijkste werkzame bestanddelen worden de dipeptiden Lys-Glu (KE) en Glu-Trp (EW) genoemd (Linkova 2023, PMID 37686182).</w:t>
      </w:r>
    </w:p>
    <w:p>
      <w:pPr>
        <w:numPr>
          <w:ilvl w:val="0"/>
          <w:numId w:val="1141"/>
        </w:numPr>
        <w:pStyle w:val="Compact"/>
      </w:pPr>
      <w:r>
        <w:rPr>
          <w:bCs/>
          <w:b/>
        </w:rPr>
        <w:t xml:space="preserve">Thymogen:</w:t>
      </w:r>
      <w:r>
        <w:t xml:space="preserve"> </w:t>
      </w:r>
      <w:r>
        <w:t xml:space="preserve">synthetisch vervaardigd dipeptide L-Glu-L-Trp, dat uit thymaline werd geïsoleerd (Anisimov 2000, PMID 11707921); in Rusland ook verkrijgbaar als neusspray.</w:t>
      </w:r>
    </w:p>
    <w:p>
      <w:pPr>
        <w:numPr>
          <w:ilvl w:val="0"/>
          <w:numId w:val="1141"/>
        </w:numPr>
        <w:pStyle w:val="Compact"/>
      </w:pPr>
      <w:r>
        <w:rPr>
          <w:bCs/>
          <w:b/>
        </w:rPr>
        <w:t xml:space="preserve">Werkingsprincipe (beweerd):</w:t>
      </w:r>
      <w:r>
        <w:t xml:space="preserve"> </w:t>
      </w:r>
      <w:r>
        <w:t xml:space="preserve">stimulering van de rijping van T-cellen,</w:t>
      </w:r>
      <w:r>
        <w:t xml:space="preserve"> </w:t>
      </w:r>
      <w:r>
        <w:t xml:space="preserve">‘</w:t>
      </w:r>
      <w:r>
        <w:t xml:space="preserve">normalisering</w:t>
      </w:r>
      <w:r>
        <w:t xml:space="preserve">’</w:t>
      </w:r>
      <w:r>
        <w:t xml:space="preserve"> </w:t>
      </w:r>
      <w:r>
        <w:t xml:space="preserve">van immuunfunctie en bloedstolling; volgens Khavinsons theorie werken korte peptiden als</w:t>
      </w:r>
      <w:r>
        <w:t xml:space="preserve"> </w:t>
      </w:r>
      <w:r>
        <w:t xml:space="preserve">‘</w:t>
      </w:r>
      <w:r>
        <w:t xml:space="preserve">bioregulatoren</w:t>
      </w:r>
      <w:r>
        <w:t xml:space="preserve">’</w:t>
      </w:r>
      <w:r>
        <w:t xml:space="preserve"> </w:t>
      </w:r>
      <w:r>
        <w:t xml:space="preserve">rechtstreeks op de genactiviteit.</w:t>
      </w:r>
    </w:p>
    <w:p>
      <w:pPr>
        <w:numPr>
          <w:ilvl w:val="0"/>
          <w:numId w:val="1141"/>
        </w:numPr>
        <w:pStyle w:val="Compact"/>
      </w:pPr>
      <w:r>
        <w:rPr>
          <w:bCs/>
          <w:b/>
        </w:rPr>
        <w:t xml:space="preserve">Registratie:</w:t>
      </w:r>
      <w:r>
        <w:t xml:space="preserve"> </w:t>
      </w:r>
      <w:r>
        <w:t xml:space="preserve">in Rusland en enkele opvolgerstaten van de Sovjet-Unie als geneesmiddel geregistreerd;</w:t>
      </w:r>
      <w:r>
        <w:t xml:space="preserve"> </w:t>
      </w:r>
      <w:r>
        <w:rPr>
          <w:bCs/>
          <w:b/>
        </w:rPr>
        <w:t xml:space="preserve">EU en VS:</w:t>
      </w:r>
      <w:r>
        <w:t xml:space="preserve"> </w:t>
      </w:r>
      <w:r>
        <w:t xml:space="preserve">nee.</w:t>
      </w:r>
    </w:p>
    <w:p>
      <w:pPr>
        <w:numPr>
          <w:ilvl w:val="0"/>
          <w:numId w:val="1141"/>
        </w:numPr>
        <w:pStyle w:val="Compact"/>
      </w:pPr>
      <w:r>
        <w:rPr>
          <w:bCs/>
          <w:b/>
        </w:rPr>
        <w:t xml:space="preserve">WADA:</w:t>
      </w:r>
      <w:r>
        <w:t xml:space="preserve"> </w:t>
      </w:r>
      <w:r>
        <w:t xml:space="preserve">niet uitdrukkelijk vermeld (stand 2026, actuele situatie controleren).</w:t>
      </w:r>
    </w:p>
    <w:p>
      <w:pPr>
        <w:numPr>
          <w:ilvl w:val="0"/>
          <w:numId w:val="1141"/>
        </w:numPr>
        <w:pStyle w:val="Compact"/>
      </w:pPr>
      <w:r>
        <w:rPr>
          <w:bCs/>
          <w:b/>
        </w:rPr>
        <w:t xml:space="preserve">Bewijsniveau: C</w:t>
      </w:r>
      <w:r>
        <w:t xml:space="preserve"> </w:t>
      </w:r>
      <w:r>
        <w:t xml:space="preserve">– overwegend kleine, open-label of onvoldoende beschreven studies; slechts één enkele als gerandomiseerd en placebogecontroleerd beschreven studie in PubMed.</w:t>
      </w:r>
    </w:p>
    <w:bookmarkEnd w:id="445"/>
    <w:bookmarkStart w:id="446" w:name="hoe-het-zou-moeten-werken-22"/>
    <w:p>
      <w:pPr>
        <w:pStyle w:val="Heading3"/>
      </w:pPr>
      <w:r>
        <w:t xml:space="preserve">Hoe het zou moeten werken</w:t>
      </w:r>
    </w:p>
    <w:p>
      <w:pPr>
        <w:pStyle w:val="FirstParagraph"/>
      </w:pPr>
      <w:r>
        <w:t xml:space="preserve">Het idee volgt dezelfde logica als bij thymosine alfa-1 (zie aldaar): de thymus traint T-cellen en krimpt met de leeftijd, dus zouden boodschapperstoffen uit de thymus de afweer moeten versterken. Terwijl thymosine alfa-1 echter een nauwkeurig gedefinieerd peptide met een bekende sequentie is, is thymaline een mengsel van veel bestanddelen van dierlijke oorsprong.</w:t>
      </w:r>
    </w:p>
    <w:p>
      <w:pPr>
        <w:pStyle w:val="BodyText"/>
      </w:pPr>
      <w:r>
        <w:t xml:space="preserve">Uit dit mengsel isoleerden de onderzoekers het dipeptide Glu-Trp en brachten het synthetisch als thymogen op de markt. Het zou de differentiatie van T-cellen en de herkenning van antigenen bevorderen en vreetcellen activeren (Morozov 1997, PMID 9637345).</w:t>
      </w:r>
    </w:p>
    <w:p>
      <w:pPr>
        <w:pStyle w:val="BodyText"/>
      </w:pPr>
      <w:r>
        <w:t xml:space="preserve">Khavinson ontwikkelde daaruit een omvattendere theorie: korte peptiden uit verschillende organen zouden weefselspecifiek werken en de genactiviteit</w:t>
      </w:r>
      <w:r>
        <w:t xml:space="preserve"> </w:t>
      </w:r>
      <w:r>
        <w:t xml:space="preserve">‘</w:t>
      </w:r>
      <w:r>
        <w:t xml:space="preserve">reguleren</w:t>
      </w:r>
      <w:r>
        <w:t xml:space="preserve">’</w:t>
      </w:r>
      <w:r>
        <w:t xml:space="preserve"> </w:t>
      </w:r>
      <w:r>
        <w:t xml:space="preserve">– peptiden uit de pijnappelklier voor de pijnappelklier, uit de thymus voor het immuunsysteem enzovoort (Khavinson 2002, PMID 12374906). Ook epitalon, dat in deel II · D wordt behandeld, komt uit deze school. Deze theorie is buiten de onderzoeksgroep nauwelijks getoetst en komt niet overeen met het algemene begrip van hoe peptideboodschappers werken – namelijk doorgaans via receptoren aan het celoppervlak. Nieuwere publicaties van de groep onderbouwen het mechanisme vooral met computersimulaties van de binding aan erfelijk materiaal en met celkweken (Linkova 2023, PMID 37686182).</w:t>
      </w:r>
    </w:p>
    <w:bookmarkEnd w:id="446"/>
    <w:bookmarkStart w:id="451" w:name="studies-bij-mensen-22"/>
    <w:p>
      <w:pPr>
        <w:pStyle w:val="Heading3"/>
      </w:pPr>
      <w:r>
        <w:t xml:space="preserve">Studies bij mensen</w:t>
      </w:r>
    </w:p>
    <w:p>
      <w:pPr>
        <w:pStyle w:val="FirstParagraph"/>
      </w:pPr>
      <w:r>
        <w:rPr>
          <w:bCs/>
          <w:b/>
        </w:rPr>
        <w:t xml:space="preserve">Omvang van het onderzoek (zoekopdracht oktober 2026):</w:t>
      </w:r>
      <w:r>
        <w:t xml:space="preserve"> </w:t>
      </w:r>
      <w:r>
        <w:t xml:space="preserve">De geautomatiseerde zoekopdracht vond</w:t>
      </w:r>
      <w:r>
        <w:t xml:space="preserve"> </w:t>
      </w:r>
      <w:r>
        <w:rPr>
          <w:bCs/>
          <w:b/>
        </w:rPr>
        <w:t xml:space="preserve">17</w:t>
      </w:r>
      <w:r>
        <w:t xml:space="preserve"> </w:t>
      </w:r>
      <w:r>
        <w:t xml:space="preserve">studies bij mensen in PubMed en</w:t>
      </w:r>
      <w:r>
        <w:t xml:space="preserve"> </w:t>
      </w:r>
      <w:r>
        <w:rPr>
          <w:bCs/>
          <w:b/>
        </w:rPr>
        <w:t xml:space="preserve">0</w:t>
      </w:r>
      <w:r>
        <w:t xml:space="preserve"> </w:t>
      </w:r>
      <w:r>
        <w:t xml:space="preserve">vermeldingen bij ClinicalTrials.gov. In totaal vermeldt PubMed ongeveer 290 publicaties over thymaline of thymogen; daarvan zijn er ongeveer 250 in het Russisch, en slechts één enkele vermeldt in titel of abstract</w:t>
      </w:r>
      <w:r>
        <w:t xml:space="preserve"> </w:t>
      </w:r>
      <w:r>
        <w:t xml:space="preserve">‘</w:t>
      </w:r>
      <w:r>
        <w:t xml:space="preserve">gerandomiseerd</w:t>
      </w:r>
      <w:r>
        <w:t xml:space="preserve">’</w:t>
      </w:r>
      <w:r>
        <w:t xml:space="preserve"> </w:t>
      </w:r>
      <w:r>
        <w:t xml:space="preserve">of</w:t>
      </w:r>
      <w:r>
        <w:t xml:space="preserve"> </w:t>
      </w:r>
      <w:r>
        <w:t xml:space="preserve">‘</w:t>
      </w:r>
      <w:r>
        <w:t xml:space="preserve">placebo</w:t>
      </w:r>
      <w:r>
        <w:t xml:space="preserve">’</w:t>
      </w:r>
      <w:r>
        <w:t xml:space="preserve">. Bij de meeste studies bij mensen is in PubMed alleen een kort Russisch of Oekraïens abstract beschikbaar, vaak zonder gegevens over het aantal deelnemers, de controlegroep of de blindering.</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Deelnemers en design</w:t>
            </w:r>
          </w:p>
        </w:tc>
        <w:tc>
          <w:tcPr/>
          <w:p>
            <w:pPr>
              <w:pStyle w:val="Compact"/>
              <w:jc w:val="left"/>
            </w:pPr>
            <w:r>
              <w:t xml:space="preserve">Duur</w:t>
            </w:r>
          </w:p>
        </w:tc>
        <w:tc>
          <w:tcPr/>
          <w:p>
            <w:pPr>
              <w:pStyle w:val="Compact"/>
              <w:jc w:val="left"/>
            </w:pPr>
            <w:r>
              <w:t xml:space="preserve">Resultaat</w:t>
            </w:r>
          </w:p>
        </w:tc>
      </w:tr>
      <w:tr>
        <w:tc>
          <w:tcPr/>
          <w:p>
            <w:pPr>
              <w:pStyle w:val="Compact"/>
              <w:jc w:val="left"/>
            </w:pPr>
            <w:r>
              <w:t xml:space="preserve">‘</w:t>
            </w:r>
            <w:r>
              <w:t xml:space="preserve">Verlenging van het leven</w:t>
            </w:r>
            <w:r>
              <w:t xml:space="preserve">’</w:t>
            </w:r>
            <w:r>
              <w:t xml:space="preserve"> </w:t>
            </w:r>
            <w:r>
              <w:t xml:space="preserve">(Khavinson 2003, PMID 14523363)</w:t>
            </w:r>
          </w:p>
        </w:tc>
        <w:tc>
          <w:tcPr/>
          <w:p>
            <w:pPr>
              <w:pStyle w:val="Compact"/>
              <w:jc w:val="left"/>
            </w:pPr>
            <w:r>
              <w:t xml:space="preserve">266 ouderen, thymaline en/of epithalamine vs. controle; toewijzing en blindering niet beschreven</w:t>
            </w:r>
          </w:p>
        </w:tc>
        <w:tc>
          <w:tcPr/>
          <w:p>
            <w:pPr>
              <w:pStyle w:val="Compact"/>
              <w:jc w:val="left"/>
            </w:pPr>
            <w:r>
              <w:t xml:space="preserve">6–8 jaar observatie</w:t>
            </w:r>
          </w:p>
        </w:tc>
        <w:tc>
          <w:tcPr/>
          <w:p>
            <w:pPr>
              <w:pStyle w:val="Compact"/>
              <w:jc w:val="left"/>
            </w:pPr>
            <w:r>
              <w:t xml:space="preserve">sterfte in de thymalinegroep 2,0 tot 2,1 keer lager dan in de controlegroep</w:t>
            </w:r>
          </w:p>
        </w:tc>
      </w:tr>
      <w:tr>
        <w:tc>
          <w:tcPr/>
          <w:p>
            <w:pPr>
              <w:pStyle w:val="Compact"/>
              <w:jc w:val="left"/>
            </w:pPr>
            <w:r>
              <w:t xml:space="preserve">Vóór buikoperaties (Smirnov 2011, PMID 21957588)</w:t>
            </w:r>
          </w:p>
        </w:tc>
        <w:tc>
          <w:tcPr/>
          <w:p>
            <w:pPr>
              <w:pStyle w:val="Compact"/>
              <w:jc w:val="left"/>
            </w:pPr>
            <w:r>
              <w:t xml:space="preserve">oudere personen met tumoren in de buikholte, dubbelblinde RCT tegen placebo, thymogen als neusdruppels; aantal deelnemers niet vermeld in het abstract</w:t>
            </w:r>
          </w:p>
        </w:tc>
        <w:tc>
          <w:tcPr/>
          <w:p>
            <w:pPr>
              <w:pStyle w:val="Compact"/>
              <w:jc w:val="left"/>
            </w:pPr>
            <w:r>
              <w:t xml:space="preserve">7 dagen vóór de operatie</w:t>
            </w:r>
          </w:p>
        </w:tc>
        <w:tc>
          <w:tcPr/>
          <w:p>
            <w:pPr>
              <w:pStyle w:val="Compact"/>
              <w:jc w:val="left"/>
            </w:pPr>
            <w:r>
              <w:t xml:space="preserve">minder complicaties na de operatie</w:t>
            </w:r>
          </w:p>
        </w:tc>
      </w:tr>
      <w:tr>
        <w:tc>
          <w:tcPr/>
          <w:p>
            <w:pPr>
              <w:pStyle w:val="Compact"/>
              <w:jc w:val="left"/>
            </w:pPr>
            <w:r>
              <w:t xml:space="preserve">Ernstige COVID-19 (Kuznik 2022, PMID 36169363)</w:t>
            </w:r>
          </w:p>
        </w:tc>
        <w:tc>
          <w:tcPr/>
          <w:p>
            <w:pPr>
              <w:pStyle w:val="Compact"/>
              <w:jc w:val="left"/>
            </w:pPr>
            <w:r>
              <w:t xml:space="preserve">drie groepen: basistherapie, plus tocilizumab, plus thymaline; toewijzing niet beschreven</w:t>
            </w:r>
          </w:p>
        </w:tc>
        <w:tc>
          <w:tcPr/>
          <w:p>
            <w:pPr>
              <w:pStyle w:val="Compact"/>
              <w:jc w:val="left"/>
            </w:pPr>
            <w:r>
              <w:t xml:space="preserve">ziekenhuisopname</w:t>
            </w:r>
          </w:p>
        </w:tc>
        <w:tc>
          <w:tcPr/>
          <w:p>
            <w:pPr>
              <w:pStyle w:val="Compact"/>
              <w:jc w:val="left"/>
            </w:pPr>
            <w:r>
              <w:t xml:space="preserve">ziekenhuissterfte 40,9%, 28,4% en 20,6%</w:t>
            </w:r>
          </w:p>
        </w:tc>
      </w:tr>
      <w:tr>
        <w:tc>
          <w:tcPr/>
          <w:p>
            <w:pPr>
              <w:pStyle w:val="Compact"/>
              <w:jc w:val="left"/>
            </w:pPr>
            <w:r>
              <w:t xml:space="preserve">Therapieresistente schizofrenie (Govorin 1990, PMID 2163147)</w:t>
            </w:r>
          </w:p>
        </w:tc>
        <w:tc>
          <w:tcPr/>
          <w:p>
            <w:pPr>
              <w:pStyle w:val="Compact"/>
              <w:jc w:val="left"/>
            </w:pPr>
            <w:r>
              <w:t xml:space="preserve">36 personen, geen controlegroep</w:t>
            </w:r>
          </w:p>
        </w:tc>
        <w:tc>
          <w:tcPr/>
          <w:p>
            <w:pPr>
              <w:pStyle w:val="Compact"/>
              <w:jc w:val="left"/>
            </w:pPr>
            <w:r>
              <w:t xml:space="preserve">niet vermeld</w:t>
            </w:r>
          </w:p>
        </w:tc>
        <w:tc>
          <w:tcPr/>
          <w:p>
            <w:pPr>
              <w:pStyle w:val="Compact"/>
              <w:jc w:val="left"/>
            </w:pPr>
            <w:r>
              <w:t xml:space="preserve">verbetering van psychische symptomen gemeld</w:t>
            </w:r>
          </w:p>
        </w:tc>
      </w:tr>
      <w:tr>
        <w:tc>
          <w:tcPr/>
          <w:p>
            <w:pPr>
              <w:pStyle w:val="Compact"/>
              <w:jc w:val="left"/>
            </w:pPr>
            <w:r>
              <w:t xml:space="preserve">Parkinson (Musienko 1999, PMID 10424021)</w:t>
            </w:r>
          </w:p>
        </w:tc>
        <w:tc>
          <w:tcPr/>
          <w:p>
            <w:pPr>
              <w:pStyle w:val="Compact"/>
              <w:jc w:val="left"/>
            </w:pPr>
            <w:r>
              <w:t xml:space="preserve">15 personen, geen controlegroep</w:t>
            </w:r>
          </w:p>
        </w:tc>
        <w:tc>
          <w:tcPr/>
          <w:p>
            <w:pPr>
              <w:pStyle w:val="Compact"/>
              <w:jc w:val="left"/>
            </w:pPr>
            <w:r>
              <w:t xml:space="preserve">één behandelreeks</w:t>
            </w:r>
          </w:p>
        </w:tc>
        <w:tc>
          <w:tcPr/>
          <w:p>
            <w:pPr>
              <w:pStyle w:val="Compact"/>
              <w:jc w:val="left"/>
            </w:pPr>
            <w:r>
              <w:t xml:space="preserve">verbetering van welbevinden en symptomen gemeld</w:t>
            </w:r>
          </w:p>
        </w:tc>
      </w:tr>
    </w:tbl>
    <w:bookmarkStart w:id="447" w:name="X737abe25d97bd9a5a3949734ac459d0f81945fc"/>
    <w:p>
      <w:pPr>
        <w:pStyle w:val="Heading4"/>
      </w:pPr>
      <w:r>
        <w:t xml:space="preserve">De langetermijnstudie naar levensverlenging</w:t>
      </w:r>
    </w:p>
    <w:p>
      <w:pPr>
        <w:pStyle w:val="FirstParagraph"/>
      </w:pPr>
      <w:r>
        <w:t xml:space="preserve">Het bekendste werk is tegelijk het meest problematische. Gedurende zes tot acht jaar werden 266 ouderen in Sint-Petersburg en Kiev gevolgd, van wie sommigen in de eerste twee tot drie jaar thymaline, epithalamine of beide kregen. Gemeld wordt een 2,0 tot 2,1 keer lagere sterfte met thymaline en een 4,1 keer lagere bij een jaarlijkse combinatiebehandeling over zes jaar (Khavinson 2003, PMID 14523363).</w:t>
      </w:r>
    </w:p>
    <w:p>
      <w:pPr>
        <w:pStyle w:val="BodyText"/>
      </w:pPr>
      <w:r>
        <w:t xml:space="preserve">Zulke effecten zouden spectaculair zijn – groter dan bij vrijwel elk gevestigd geneesmiddel. Het abstract beschrijft echter niet hoe de deelnemers aan de groepen werden toegewezen, of er blindering was, of hoeveel personen er in elke groep zaten. Wie gezonder en actiever is, neemt eerder deel aan een jarenlange behandeling; zonder gerandomiseerde toewijzing kan zo’n verschil alleen daardoor al ontstaan. Onafhankelijke herhalingen zijn er niet.</w:t>
      </w:r>
    </w:p>
    <w:bookmarkEnd w:id="447"/>
    <w:bookmarkStart w:id="448" w:name="covid-19-1"/>
    <w:p>
      <w:pPr>
        <w:pStyle w:val="Heading4"/>
      </w:pPr>
      <w:r>
        <w:t xml:space="preserve">COVID-19</w:t>
      </w:r>
    </w:p>
    <w:p>
      <w:pPr>
        <w:pStyle w:val="FirstParagraph"/>
      </w:pPr>
      <w:r>
        <w:t xml:space="preserve">Tijdens de pandemie rapporteerde de onderzoeksgroep over thymaline bij ernstig zieke COVID-19-patiënten. In een analyse lag de ziekenhuissterfte bij basistherapie op 40,9 procent, met extra tocilizumab op 28,4 procent en met extra thymaline op 20,6 procent (Kuznik 2022, PMID 36169363). Hoe de personen aan de groepen werden toegewezen en hoe groot de groepen waren, blijkt niet uit het abstract. Een andere publicatie meldt snellere dalingen van ontstekings- en stollingswaarden (Khavinson 2021, PMID 33575961). Na de ervaringen met thymosine alfa-1, waarbij vroege gunstige observationele gegevens in grotere studies niet werden bevestigd (zie aldaar), zijn deze cijfers zonder gerandomiseerde bevestiging niet betrouwbaar.</w:t>
      </w:r>
    </w:p>
    <w:bookmarkEnd w:id="448"/>
    <w:bookmarkStart w:id="449" w:name="de-enige-placebogecontroleerde-studie"/>
    <w:p>
      <w:pPr>
        <w:pStyle w:val="Heading4"/>
      </w:pPr>
      <w:r>
        <w:t xml:space="preserve">De enige placebogecontroleerde studie</w:t>
      </w:r>
    </w:p>
    <w:p>
      <w:pPr>
        <w:pStyle w:val="FirstParagraph"/>
      </w:pPr>
      <w:r>
        <w:t xml:space="preserve">De enige als dubbelblind, gerandomiseerd en placebogecontroleerd beschreven studie onderzocht thymogen-neusdruppels bij ouderen vóór tumoroperaties in de buikholte. Gemeld worden minder complicaties na de operatie en een korter herstelverloop (Smirnov 2011, PMID 21957588). Het aantal deelnemers en de effectgroottes worden in het Russische abstract niet genoemd.</w:t>
      </w:r>
    </w:p>
    <w:bookmarkEnd w:id="449"/>
    <w:bookmarkStart w:id="450" w:name="overige-studies"/>
    <w:p>
      <w:pPr>
        <w:pStyle w:val="Heading4"/>
      </w:pPr>
      <w:r>
        <w:t xml:space="preserve">Overige studies</w:t>
      </w:r>
    </w:p>
    <w:p>
      <w:pPr>
        <w:pStyle w:val="FirstParagraph"/>
      </w:pPr>
      <w:r>
        <w:t xml:space="preserve">De overige studies bij mensen stammen overwegend uit de jaren tachtig en negentig en betreffen een opvallend breed spectrum: tuberculose, dysenterie, wondroos, etterende wonden, buikvliesontsteking bij kinderen, alvleesklierontsteking, colitis ulcerosa, ontstekingen van de vrouwelijke geslachtsorganen, schizofrenie en parkinson. Vrijwel altijd werd thymaline of thymogen naast de standaardbehandeling gegeven, zonder placebo en meestal zonder gerandomiseerde toewijzing. Gemeten werden vaak laboratoriumwaarden van het immuunsysteem, geen harde eindpunten zoals genezing of overleving.</w:t>
      </w:r>
    </w:p>
    <w:bookmarkEnd w:id="450"/>
    <w:bookmarkEnd w:id="451"/>
    <w:bookmarkStart w:id="452" w:name="dier--en-laboratoriumstudies-22"/>
    <w:p>
      <w:pPr>
        <w:pStyle w:val="Heading3"/>
      </w:pPr>
      <w:r>
        <w:t xml:space="preserve">Dier- en laboratoriumstudies</w:t>
      </w:r>
    </w:p>
    <w:p>
      <w:pPr>
        <w:pStyle w:val="FirstParagraph"/>
      </w:pPr>
      <w:r>
        <w:t xml:space="preserve">Ook de dierstudies zijn overwegend afkomstig van Russische en Oekraïense onderzoeksgroepen. Bij 76 ratten die twaalf maanden lang Glu-Trp (thymogen) of zoutoplossing kregen, was de gemiddelde levensduur gelijk; de langstlevende tien procent leefde met thymogen langer, en tumoren kwamen minder vaak voor (Anisimov 2000, PMID 11707921). In celkweken van menselijke bloedstamcellen beïnvloedde thymaline de differentiatie ervan (Khavinson 2020, PMID 33237528). Andere publicaties beschrijven effecten op bloedstolling, het ontstaan van kanker na bestraling of chemicaliën en infecties bij knaagdieren.</w:t>
      </w:r>
    </w:p>
    <w:bookmarkEnd w:id="452"/>
    <w:bookmarkStart w:id="453" w:name="Xaeeb48270b3c431a4f13a64358de213fb33f7d8"/>
    <w:p>
      <w:pPr>
        <w:pStyle w:val="Heading3"/>
      </w:pPr>
      <w:r>
        <w:t xml:space="preserve">Kwaliteit van het onderzoek: een kritische plaatsbepaling</w:t>
      </w:r>
    </w:p>
    <w:p>
      <w:pPr>
        <w:pStyle w:val="FirstParagraph"/>
      </w:pPr>
      <w:r>
        <w:t xml:space="preserve">Voor de beoordeling van thymaline en thymogen is de herkomst van de gegevens belangrijker dan de afzonderlijke resultaten:</w:t>
      </w:r>
    </w:p>
    <w:p>
      <w:pPr>
        <w:numPr>
          <w:ilvl w:val="0"/>
          <w:numId w:val="1142"/>
        </w:numPr>
        <w:pStyle w:val="Compact"/>
      </w:pPr>
      <w:r>
        <w:rPr>
          <w:bCs/>
          <w:b/>
        </w:rPr>
        <w:t xml:space="preserve">Eén school, nauwelijks onafhankelijke bevestiging.</w:t>
      </w:r>
      <w:r>
        <w:t xml:space="preserve"> </w:t>
      </w:r>
      <w:r>
        <w:t xml:space="preserve">Een groot deel van de publicaties komt van Khavinson, zijn medewerkers of samenwerkende instituten. Khavinson is volgens PubMed betrokken bij meer dan 80 van de ongeveer 290 publicaties; veel andere komen van nauw verbonden groepen. Onafhankelijke westerse herhalingsstudies ontbreken.</w:t>
      </w:r>
    </w:p>
    <w:p>
      <w:pPr>
        <w:numPr>
          <w:ilvl w:val="0"/>
          <w:numId w:val="1142"/>
        </w:numPr>
        <w:pStyle w:val="Compact"/>
      </w:pPr>
      <w:r>
        <w:rPr>
          <w:bCs/>
          <w:b/>
        </w:rPr>
        <w:t xml:space="preserve">Taal en toegankelijkheid.</w:t>
      </w:r>
      <w:r>
        <w:t xml:space="preserve"> </w:t>
      </w:r>
      <w:r>
        <w:t xml:space="preserve">Ongeveer 250 van de publicaties zijn Russischtalig, in PubMed vaak alleen met een kort abstract. Volledige teksten zijn moeilijk toegankelijk, methoden zijn nauwelijks te controleren.</w:t>
      </w:r>
    </w:p>
    <w:p>
      <w:pPr>
        <w:numPr>
          <w:ilvl w:val="0"/>
          <w:numId w:val="1142"/>
        </w:numPr>
        <w:pStyle w:val="Compact"/>
      </w:pPr>
      <w:r>
        <w:rPr>
          <w:bCs/>
          <w:b/>
        </w:rPr>
        <w:t xml:space="preserve">Studiedesign.</w:t>
      </w:r>
      <w:r>
        <w:t xml:space="preserve"> </w:t>
      </w:r>
      <w:r>
        <w:t xml:space="preserve">Vrijwel geen studie is naar de huidige normen gerandomiseerd, geblindeerd en vooraf geregistreerd. Geen enkele studie staat ingeschreven bij ClinicalTrials.gov.</w:t>
      </w:r>
    </w:p>
    <w:p>
      <w:pPr>
        <w:numPr>
          <w:ilvl w:val="0"/>
          <w:numId w:val="1142"/>
        </w:numPr>
        <w:pStyle w:val="Compact"/>
      </w:pPr>
      <w:r>
        <w:rPr>
          <w:bCs/>
          <w:b/>
        </w:rPr>
        <w:t xml:space="preserve">Ongewoon grote effecten bij zeer veel aandoeningen.</w:t>
      </w:r>
      <w:r>
        <w:t xml:space="preserve"> </w:t>
      </w:r>
      <w:r>
        <w:t xml:space="preserve">Een preparaat dat bij tuberculose, schizofrenie, parkinson, COVID-19 en veroudering evengoed werkt en de sterfte halveert, is methodologisch gezien een waarschuwingssignaal, geen aanbeveling.</w:t>
      </w:r>
    </w:p>
    <w:p>
      <w:pPr>
        <w:numPr>
          <w:ilvl w:val="0"/>
          <w:numId w:val="1142"/>
        </w:numPr>
        <w:pStyle w:val="Compact"/>
      </w:pPr>
      <w:r>
        <w:rPr>
          <w:bCs/>
          <w:b/>
        </w:rPr>
        <w:t xml:space="preserve">Belangenconflicten.</w:t>
      </w:r>
      <w:r>
        <w:t xml:space="preserve"> </w:t>
      </w:r>
      <w:r>
        <w:t xml:space="preserve">De onderzoeksgroep heeft de preparaten zelf ontwikkeld; naar weten van de auteur worden</w:t>
      </w:r>
      <w:r>
        <w:t xml:space="preserve"> </w:t>
      </w:r>
      <w:r>
        <w:t xml:space="preserve">‘</w:t>
      </w:r>
      <w:r>
        <w:t xml:space="preserve">bioregulatoren</w:t>
      </w:r>
      <w:r>
        <w:t xml:space="preserve">’</w:t>
      </w:r>
      <w:r>
        <w:t xml:space="preserve"> </w:t>
      </w:r>
      <w:r>
        <w:t xml:space="preserve">uit deze school internationaal als voedingssupplement op de markt gebracht. Onafhankelijke toetsing door onderzoekers zonder zulke banden ontbreekt.</w:t>
      </w:r>
    </w:p>
    <w:p>
      <w:pPr>
        <w:pStyle w:val="FirstParagraph"/>
      </w:pPr>
      <w:r>
        <w:t xml:space="preserve">Dat betekent niet dat alle resultaten onjuist moeten zijn. Het betekent dat ze volgens de maatstaven van dit boek niet als bewijs voor een nut kunnen gelden zolang ze niet in degelijk opgezette, onafhankelijke studies worden bevestigd.</w:t>
      </w:r>
    </w:p>
    <w:bookmarkEnd w:id="453"/>
    <w:bookmarkStart w:id="456" w:name="risicos-en-bijwerkingen-22"/>
    <w:p>
      <w:pPr>
        <w:pStyle w:val="Heading3"/>
      </w:pPr>
      <w:r>
        <w:t xml:space="preserve">Risico’s en bijwerkingen</w:t>
      </w:r>
    </w:p>
    <w:bookmarkStart w:id="454" w:name="aangetoond-6"/>
    <w:p>
      <w:pPr>
        <w:pStyle w:val="Heading4"/>
      </w:pPr>
      <w:r>
        <w:t xml:space="preserve">Aangetoond</w:t>
      </w:r>
    </w:p>
    <w:p>
      <w:pPr>
        <w:pStyle w:val="FirstParagraph"/>
      </w:pPr>
      <w:r>
        <w:t xml:space="preserve">Systematisch verzamelde veiligheidsgegevens volgens de huidige normen zijn er niet. De beschikbare studies melden nauwelijks bijwerkingen – wat bij kleine, niet-geblindeerde studies weinig zegt.</w:t>
      </w:r>
    </w:p>
    <w:bookmarkEnd w:id="454"/>
    <w:bookmarkStart w:id="455" w:name="theoretisch-2"/>
    <w:p>
      <w:pPr>
        <w:pStyle w:val="Heading4"/>
      </w:pPr>
      <w:r>
        <w:t xml:space="preserve">Theoretisch</w:t>
      </w:r>
    </w:p>
    <w:p>
      <w:pPr>
        <w:numPr>
          <w:ilvl w:val="0"/>
          <w:numId w:val="1143"/>
        </w:numPr>
        <w:pStyle w:val="Compact"/>
      </w:pPr>
      <w:r>
        <w:rPr>
          <w:bCs/>
          <w:b/>
        </w:rPr>
        <w:t xml:space="preserve">Dierlijk uitgangsmateriaal:</w:t>
      </w:r>
      <w:r>
        <w:t xml:space="preserve"> </w:t>
      </w:r>
      <w:r>
        <w:t xml:space="preserve">thymaline is een extract uit kalverthymus. Bij dierlijke extracten bestaan in principe risico’s door verontreinigingen, schommelingen tussen batches en allergische reacties. Ook de overdracht van ziekteverwekkers uit rundweefsel is een theoretisch risico dat afhangt van de productiekwaliteit.</w:t>
      </w:r>
    </w:p>
    <w:p>
      <w:pPr>
        <w:numPr>
          <w:ilvl w:val="0"/>
          <w:numId w:val="1143"/>
        </w:numPr>
        <w:pStyle w:val="Compact"/>
      </w:pPr>
      <w:r>
        <w:rPr>
          <w:bCs/>
          <w:b/>
        </w:rPr>
        <w:t xml:space="preserve">Immuunstimulatie:</w:t>
      </w:r>
      <w:r>
        <w:t xml:space="preserve"> </w:t>
      </w:r>
      <w:r>
        <w:t xml:space="preserve">bij auto-immuunziekten of na orgaantransplantatie zou een stimulering van het immuunsysteem schadelijk kunnen zijn. Gegevens daarover ontbreken.</w:t>
      </w:r>
    </w:p>
    <w:p>
      <w:pPr>
        <w:numPr>
          <w:ilvl w:val="0"/>
          <w:numId w:val="1143"/>
        </w:numPr>
        <w:pStyle w:val="Compact"/>
      </w:pPr>
      <w:r>
        <w:rPr>
          <w:bCs/>
          <w:b/>
        </w:rPr>
        <w:t xml:space="preserve">Grijze markt en</w:t>
      </w:r>
      <w:r>
        <w:rPr>
          <w:bCs/>
          <w:b/>
        </w:rPr>
        <w:t xml:space="preserve"> </w:t>
      </w:r>
      <w:r>
        <w:rPr>
          <w:bCs/>
          <w:b/>
        </w:rPr>
        <w:t xml:space="preserve">‘</w:t>
      </w:r>
      <w:r>
        <w:rPr>
          <w:bCs/>
          <w:b/>
        </w:rPr>
        <w:t xml:space="preserve">bioregulatoren</w:t>
      </w:r>
      <w:r>
        <w:rPr>
          <w:bCs/>
          <w:b/>
        </w:rPr>
        <w:t xml:space="preserve">’</w:t>
      </w:r>
      <w:r>
        <w:rPr>
          <w:bCs/>
          <w:b/>
        </w:rPr>
        <w:t xml:space="preserve">:</w:t>
      </w:r>
      <w:r>
        <w:t xml:space="preserve"> </w:t>
      </w:r>
      <w:r>
        <w:t xml:space="preserve">buiten Rusland worden thymaline, thymogen en verwante producten via internet verkocht, deels als injectievloeistof, deels als capsules met de aanduiding</w:t>
      </w:r>
      <w:r>
        <w:t xml:space="preserve"> </w:t>
      </w:r>
      <w:r>
        <w:t xml:space="preserve">‘</w:t>
      </w:r>
      <w:r>
        <w:t xml:space="preserve">bioregulator</w:t>
      </w:r>
      <w:r>
        <w:t xml:space="preserve">’</w:t>
      </w:r>
      <w:r>
        <w:t xml:space="preserve">. Herkomst, gehalte en kwaliteit van deze producten zijn niet controleerbaar.</w:t>
      </w:r>
    </w:p>
    <w:bookmarkEnd w:id="455"/>
    <w:bookmarkEnd w:id="456"/>
    <w:bookmarkStart w:id="457" w:name="juridische-status-22"/>
    <w:p>
      <w:pPr>
        <w:pStyle w:val="Heading3"/>
      </w:pPr>
      <w:r>
        <w:t xml:space="preserve">Juridische status</w:t>
      </w:r>
    </w:p>
    <w:p>
      <w:pPr>
        <w:pStyle w:val="FirstParagraph"/>
      </w:pPr>
      <w:r>
        <w:rPr>
          <w:iCs/>
          <w:i/>
        </w:rPr>
        <w:t xml:space="preserve">Stand 2026, actuele situatie controleren.</w:t>
      </w:r>
    </w:p>
    <w:p>
      <w:pPr>
        <w:numPr>
          <w:ilvl w:val="0"/>
          <w:numId w:val="1144"/>
        </w:numPr>
        <w:pStyle w:val="Compact"/>
      </w:pPr>
      <w:r>
        <w:rPr>
          <w:bCs/>
          <w:b/>
        </w:rPr>
        <w:t xml:space="preserve">Rusland en enkele opvolgerstaten van de Sovjet-Unie:</w:t>
      </w:r>
      <w:r>
        <w:t xml:space="preserve"> </w:t>
      </w:r>
      <w:r>
        <w:t xml:space="preserve">thymaline en thymogen zijn als geneesmiddel geregistreerd.</w:t>
      </w:r>
    </w:p>
    <w:p>
      <w:pPr>
        <w:numPr>
          <w:ilvl w:val="0"/>
          <w:numId w:val="1144"/>
        </w:numPr>
        <w:pStyle w:val="Compact"/>
      </w:pPr>
      <w:r>
        <w:rPr>
          <w:bCs/>
          <w:b/>
        </w:rPr>
        <w:t xml:space="preserve">EU, Duitsland, Oostenrijk:</w:t>
      </w:r>
      <w:r>
        <w:t xml:space="preserve"> </w:t>
      </w:r>
      <w:r>
        <w:t xml:space="preserve">geen registratie. Invoer en levering voor gebruik bij mensen zijn alleen toegestaan onder de strikte voorwaarden van het betreffende geneesmiddelenrecht. Capsules met orgaanextracten die als voedingssupplement worden verkocht, mogen geen effecten op ziekten beloven; of ze als geneesmiddel moeten worden aangemerkt, hangt af van het afzonderlijke geval.</w:t>
      </w:r>
    </w:p>
    <w:p>
      <w:pPr>
        <w:numPr>
          <w:ilvl w:val="0"/>
          <w:numId w:val="1144"/>
        </w:numPr>
        <w:pStyle w:val="Compact"/>
      </w:pPr>
      <w:r>
        <w:rPr>
          <w:bCs/>
          <w:b/>
        </w:rPr>
        <w:t xml:space="preserve">VS:</w:t>
      </w:r>
      <w:r>
        <w:t xml:space="preserve"> </w:t>
      </w:r>
      <w:r>
        <w:t xml:space="preserve">geen FDA-registratie.</w:t>
      </w:r>
    </w:p>
    <w:p>
      <w:pPr>
        <w:numPr>
          <w:ilvl w:val="0"/>
          <w:numId w:val="1144"/>
        </w:numPr>
        <w:pStyle w:val="Compact"/>
      </w:pPr>
      <w:r>
        <w:rPr>
          <w:bCs/>
          <w:b/>
        </w:rPr>
        <w:t xml:space="preserve">WADA:</w:t>
      </w:r>
      <w:r>
        <w:t xml:space="preserve"> </w:t>
      </w:r>
      <w:r>
        <w:t xml:space="preserve">niet bij naam vermeld.</w:t>
      </w:r>
    </w:p>
    <w:bookmarkEnd w:id="457"/>
    <w:bookmarkStart w:id="458" w:name="lopende-studies-en-vooruitzichten-22"/>
    <w:p>
      <w:pPr>
        <w:pStyle w:val="Heading3"/>
      </w:pPr>
      <w:r>
        <w:t xml:space="preserve">Lopende studies en vooruitzichten</w:t>
      </w:r>
    </w:p>
    <w:p>
      <w:pPr>
        <w:pStyle w:val="FirstParagraph"/>
      </w:pPr>
      <w:r>
        <w:rPr>
          <w:bCs/>
          <w:b/>
        </w:rPr>
        <w:t xml:space="preserve">Vaststaand:</w:t>
      </w:r>
      <w:r>
        <w:t xml:space="preserve"> </w:t>
      </w:r>
      <w:r>
        <w:t xml:space="preserve">bij ClinicalTrials.gov is in oktober 2026 geen studie naar thymaline of thymogen geregistreerd.</w:t>
      </w:r>
    </w:p>
    <w:p>
      <w:pPr>
        <w:pStyle w:val="BodyText"/>
      </w:pPr>
      <w:r>
        <w:rPr>
          <w:bCs/>
          <w:b/>
        </w:rPr>
        <w:t xml:space="preserve">Inschatting van de auteur:</w:t>
      </w:r>
      <w:r>
        <w:t xml:space="preserve"> </w:t>
      </w:r>
      <w:r>
        <w:t xml:space="preserve">een registratie in de EU of de VS is zonder nieuwe, volgens internationale normen uitgevoerde studies uitgesloten, en zulke studies zijn niet in zicht. Thymaline en thymogen zullen daarom naar verwachting een verschijnsel blijven van de Russischtalige gezondheidsmarkt en de internationale longevityscene.</w:t>
      </w:r>
    </w:p>
    <w:bookmarkEnd w:id="458"/>
    <w:bookmarkStart w:id="459" w:name="conclusie-22"/>
    <w:p>
      <w:pPr>
        <w:pStyle w:val="Heading3"/>
      </w:pPr>
      <w:r>
        <w:t xml:space="preserve">Conclusie</w:t>
      </w:r>
    </w:p>
    <w:p>
      <w:pPr>
        <w:pStyle w:val="FirstParagraph"/>
      </w:pPr>
      <w:r>
        <w:t xml:space="preserve">Thymaline is een extract uit kalverthymus, thymogen een daarvan afgeleid dipeptide; beide zijn in Rusland geregistreerd en worden in het Westen aangeprezen als</w:t>
      </w:r>
      <w:r>
        <w:t xml:space="preserve"> </w:t>
      </w:r>
      <w:r>
        <w:t xml:space="preserve">‘</w:t>
      </w:r>
      <w:r>
        <w:t xml:space="preserve">bioregulatoren</w:t>
      </w:r>
      <w:r>
        <w:t xml:space="preserve">’</w:t>
      </w:r>
      <w:r>
        <w:t xml:space="preserve"> </w:t>
      </w:r>
      <w:r>
        <w:t xml:space="preserve">voor levensverlenging. Het onderzoek komt vrijwel volledig van één enkele Russische onderzoeksschool, is overwegend in het Russisch gepubliceerd en bestaat uit kleine, meestal niet-gerandomiseerde studies. De veel geciteerde halvering van de sterfte bij ouderen (Khavinson 2003, PMID 14523363) berust op een studie waarvan het design in het abstract niet navolgbaar is beschreven. Een nut is naar de huidige maatstaven niet aangetoond, en de kwaliteit van vrij verkochte producten is onbekend.</w:t>
      </w:r>
    </w:p>
    <w:bookmarkEnd w:id="459"/>
    <w:bookmarkEnd w:id="460"/>
    <w:bookmarkEnd w:id="461"/>
    <w:bookmarkStart w:id="593" w:name="deel-ii-c-groeihormoonas"/>
    <w:p>
      <w:pPr>
        <w:pStyle w:val="Heading1"/>
      </w:pPr>
      <w:r>
        <w:t xml:space="preserve">Deel II · C – Groeihormoonas</w:t>
      </w:r>
    </w:p>
    <w:p>
      <w:pPr>
        <w:pStyle w:val="FirstParagraph"/>
      </w:pPr>
      <w:r>
        <w:t xml:space="preserve">Groeihormoon (GH, naar het Engelse</w:t>
      </w:r>
      <w:r>
        <w:t xml:space="preserve"> </w:t>
      </w:r>
      <w:r>
        <w:rPr>
          <w:iCs/>
          <w:i/>
        </w:rPr>
        <w:t xml:space="preserve">growth hormone</w:t>
      </w:r>
      <w:r>
        <w:t xml:space="preserve">) is een van de meest gemythologiseerde hormonen überhaupt. In sportscholen geldt het als spieropbouw- en vetverbrandingshormoon en in anti-agingpraktijken als</w:t>
      </w:r>
      <w:r>
        <w:t xml:space="preserve"> </w:t>
      </w:r>
      <w:r>
        <w:t xml:space="preserve">‘</w:t>
      </w:r>
      <w:r>
        <w:t xml:space="preserve">bron van eeuwige jeugd</w:t>
      </w:r>
      <w:r>
        <w:t xml:space="preserve">’</w:t>
      </w:r>
      <w:r>
        <w:t xml:space="preserve">. Echt groeihormoon is een groot, duur eiwit dat alleen op recept verkrijgbaar is. De peptiden in dit deel beloven een ogenschijnlijk elegantere weg: ze zouden het lichaam ertoe aanzetten</w:t>
      </w:r>
      <w:r>
        <w:t xml:space="preserve"> </w:t>
      </w:r>
      <w:r>
        <w:rPr>
          <w:iCs/>
          <w:i/>
        </w:rPr>
        <w:t xml:space="preserve">meer eigen</w:t>
      </w:r>
      <w:r>
        <w:t xml:space="preserve"> </w:t>
      </w:r>
      <w:r>
        <w:t xml:space="preserve">groeihormoon af te geven – of ze leveren rechtstreeks de daarachter liggende boodschapperstof IGF-1.</w:t>
      </w:r>
    </w:p>
    <w:bookmarkStart w:id="462" w:name="de-as-in-vier-stations"/>
    <w:p>
      <w:pPr>
        <w:pStyle w:val="Heading3"/>
      </w:pPr>
      <w:r>
        <w:t xml:space="preserve">De as in vier stations</w:t>
      </w:r>
    </w:p>
    <w:p>
      <w:pPr>
        <w:numPr>
          <w:ilvl w:val="0"/>
          <w:numId w:val="1145"/>
        </w:numPr>
        <w:pStyle w:val="Compact"/>
      </w:pPr>
      <w:r>
        <w:rPr>
          <w:bCs/>
          <w:b/>
        </w:rPr>
        <w:t xml:space="preserve">GHRH</w:t>
      </w:r>
      <w:r>
        <w:t xml:space="preserve"> </w:t>
      </w:r>
      <w:r>
        <w:t xml:space="preserve">(groeihormoon-releasing hormoon) uit de tussenhersenen geeft de hypofyse het signaal tot afgifte. Zijn tegenspeler somatostatine remt.</w:t>
      </w:r>
    </w:p>
    <w:p>
      <w:pPr>
        <w:numPr>
          <w:ilvl w:val="0"/>
          <w:numId w:val="1145"/>
        </w:numPr>
        <w:pStyle w:val="Compact"/>
      </w:pPr>
      <w:r>
        <w:rPr>
          <w:bCs/>
          <w:b/>
        </w:rPr>
        <w:t xml:space="preserve">Ghreline</w:t>
      </w:r>
      <w:r>
        <w:t xml:space="preserve">, een hormoon uit de maag, versterkt de afgifte via een eigen receptor (GHS-R1a) en maakt tegelijk hongerig (Kojima 1999, PMID 10604470).</w:t>
      </w:r>
    </w:p>
    <w:p>
      <w:pPr>
        <w:numPr>
          <w:ilvl w:val="0"/>
          <w:numId w:val="1145"/>
        </w:numPr>
        <w:pStyle w:val="Compact"/>
      </w:pPr>
      <w:r>
        <w:rPr>
          <w:bCs/>
          <w:b/>
        </w:rPr>
        <w:t xml:space="preserve">Groeihormoon</w:t>
      </w:r>
      <w:r>
        <w:t xml:space="preserve"> </w:t>
      </w:r>
      <w:r>
        <w:t xml:space="preserve">wordt door de hypofyse in pulsen afgegeven, vooral ’s nachts.</w:t>
      </w:r>
    </w:p>
    <w:p>
      <w:pPr>
        <w:numPr>
          <w:ilvl w:val="0"/>
          <w:numId w:val="1145"/>
        </w:numPr>
        <w:pStyle w:val="Compact"/>
      </w:pPr>
      <w:r>
        <w:rPr>
          <w:bCs/>
          <w:b/>
        </w:rPr>
        <w:t xml:space="preserve">IGF-1</w:t>
      </w:r>
      <w:r>
        <w:t xml:space="preserve"> </w:t>
      </w:r>
      <w:r>
        <w:t xml:space="preserve">(insulineachtige groeifactor 1) wordt vooral in de lever aangemaakt als reactie op groeihormoon en brengt veel van de opbouwende effecten ervan tot stand. Hoge IGF-1-spiegels remmen op hun beurt de as.</w:t>
      </w:r>
    </w:p>
    <w:p>
      <w:pPr>
        <w:pStyle w:val="FirstParagraph"/>
      </w:pPr>
      <w:r>
        <w:t xml:space="preserve">De werkzame stoffen in dit deel grijpen aan op verschillende stations:</w:t>
      </w:r>
      <w:r>
        <w:t xml:space="preserve"> </w:t>
      </w:r>
      <w:r>
        <w:rPr>
          <w:bCs/>
          <w:b/>
        </w:rPr>
        <w:t xml:space="preserve">GHRH-analogen</w:t>
      </w:r>
      <w:r>
        <w:t xml:space="preserve"> </w:t>
      </w:r>
      <w:r>
        <w:t xml:space="preserve">(sermoreline, tesamoreline, CJC-1295) op de GHRH-receptor,</w:t>
      </w:r>
      <w:r>
        <w:t xml:space="preserve"> </w:t>
      </w:r>
      <w:r>
        <w:rPr>
          <w:bCs/>
          <w:b/>
        </w:rPr>
        <w:t xml:space="preserve">ghrelinemimetica</w:t>
      </w:r>
      <w:r>
        <w:t xml:space="preserve"> </w:t>
      </w:r>
      <w:r>
        <w:t xml:space="preserve">(ipamoreline, GHRP-2, GHRP-6, hexareline, macimoreline en ter vergelijking het niet-peptide ibutamoren) op de ghrelinereceptor,</w:t>
      </w:r>
      <w:r>
        <w:t xml:space="preserve"> </w:t>
      </w:r>
      <w:r>
        <w:rPr>
          <w:bCs/>
          <w:b/>
        </w:rPr>
        <w:t xml:space="preserve">IGF-1 en zijn varianten</w:t>
      </w:r>
      <w:r>
        <w:t xml:space="preserve"> </w:t>
      </w:r>
      <w:r>
        <w:t xml:space="preserve">(mecasermine, IGF-1 LR3) direct aan het einde van de keten.</w:t>
      </w:r>
    </w:p>
    <w:bookmarkEnd w:id="462"/>
    <w:bookmarkStart w:id="463" w:name="waarom-deze-groep-zo-populair-is"/>
    <w:p>
      <w:pPr>
        <w:pStyle w:val="Heading3"/>
      </w:pPr>
      <w:r>
        <w:t xml:space="preserve">Waarom deze groep zo populair is</w:t>
      </w:r>
    </w:p>
    <w:p>
      <w:pPr>
        <w:pStyle w:val="FirstParagraph"/>
      </w:pPr>
      <w:r>
        <w:t xml:space="preserve">Groeihormoon breekt vet af en bouwt vetvrije massa op – dat is goed aangetoond. Een overzicht van gerandomiseerde studies bij jonge, getrainde mensen vond een toename van de vetvrije massa met 2,1 kg, maar geen verbetering van kracht of uithoudingsvermogen, wel meer vochtophoping en vermoeidheid (Liu 2008, PMID 18347346). Bij gezonde ouderen daalde de vetmassa met 2,1 kg en steeg de vetvrije massa met 2,1 kg; tegelijk kwamen vaker weefselzwelling, gewrichtspijn, carpaletunnelsyndroom en borstvergroting bij mannen voor (Liu 2007, PMID 17227934). Omdat de afgifte van groeihormoon met de leeftijd afneemt, ligt het idee voor de hand die</w:t>
      </w:r>
      <w:r>
        <w:t xml:space="preserve"> </w:t>
      </w:r>
      <w:r>
        <w:t xml:space="preserve">‘</w:t>
      </w:r>
      <w:r>
        <w:t xml:space="preserve">terug te draaien</w:t>
      </w:r>
      <w:r>
        <w:t xml:space="preserve">’</w:t>
      </w:r>
      <w:r>
        <w:t xml:space="preserve">. De afgiftestimulatoren gelden als zachter alternatief, omdat de lichaamseigen regulatie behouden blijft. Daarbij komt dat veel ervan als</w:t>
      </w:r>
      <w:r>
        <w:t xml:space="preserve"> </w:t>
      </w:r>
      <w:r>
        <w:t xml:space="preserve">‘</w:t>
      </w:r>
      <w:r>
        <w:t xml:space="preserve">research peptides</w:t>
      </w:r>
      <w:r>
        <w:t xml:space="preserve">’</w:t>
      </w:r>
      <w:r>
        <w:t xml:space="preserve"> </w:t>
      </w:r>
      <w:r>
        <w:t xml:space="preserve">goedkoop online verkrijgbaar zijn.</w:t>
      </w:r>
    </w:p>
    <w:p>
      <w:pPr>
        <w:pStyle w:val="BodyText"/>
      </w:pPr>
      <w:r>
        <w:t xml:space="preserve">Het patroon dat als een rode draad door vrijwel alle hoofdstukken loopt: IGF-1 en vetvrije massa stijgen, maar kracht, functie of ziekteverloop verbeteren in gecontroleerde studies nauwelijks – terwijl bloedsuiker, vochtophoping en bij sommige stoffen stresshormonen toenemen.</w:t>
      </w:r>
    </w:p>
    <w:bookmarkEnd w:id="463"/>
    <w:bookmarkStart w:id="464" w:name="het-belangrijkste-open-punt-kanker"/>
    <w:p>
      <w:pPr>
        <w:pStyle w:val="Heading3"/>
      </w:pPr>
      <w:r>
        <w:t xml:space="preserve">Het belangrijkste open punt: kanker</w:t>
      </w:r>
    </w:p>
    <w:p>
      <w:pPr>
        <w:pStyle w:val="FirstParagraph"/>
      </w:pPr>
      <w:r>
        <w:t xml:space="preserve">IGF-1 bevordert celdeling en houdt cellen in leven. Of een blijvende verhoging het kankerrisico vergroot, is de centrale veiligheidsvraag van deze groep. Het bewijs, nuchter samengevat:</w:t>
      </w:r>
    </w:p>
    <w:p>
      <w:pPr>
        <w:numPr>
          <w:ilvl w:val="0"/>
          <w:numId w:val="1146"/>
        </w:numPr>
        <w:pStyle w:val="Compact"/>
      </w:pPr>
      <w:r>
        <w:rPr>
          <w:bCs/>
          <w:b/>
        </w:rPr>
        <w:t xml:space="preserve">Van nature hoog IGF-1:</w:t>
      </w:r>
      <w:r>
        <w:t xml:space="preserve"> </w:t>
      </w:r>
      <w:r>
        <w:t xml:space="preserve">in observationele studies gaat een hogere spiegel samen met een matig verhoogd risico op prostaatkanker en borstkanker vóór de menopauze (Renehan 2004, PMID 15110491). Genetische analyses met honderdduizenden deelnemers wijzen erop dat het verband bij borst- en darmkanker oorzakelijk zou kunnen zijn (Murphy 2020, PMID 32169310; Murphy 2020, PMID 31884074).</w:t>
      </w:r>
    </w:p>
    <w:p>
      <w:pPr>
        <w:numPr>
          <w:ilvl w:val="0"/>
          <w:numId w:val="1146"/>
        </w:numPr>
        <w:pStyle w:val="Compact"/>
      </w:pPr>
      <w:r>
        <w:rPr>
          <w:bCs/>
          <w:b/>
        </w:rPr>
        <w:t xml:space="preserve">Van nature te veel groeihormoon (acromegalie):</w:t>
      </w:r>
      <w:r>
        <w:t xml:space="preserve"> </w:t>
      </w:r>
      <w:r>
        <w:t xml:space="preserve">een meta-analyse van 23 studies vond een ongeveer 50% hoger aantal gevallen van kanker, maar wijst ook op vertekeningen in oudere studies (Dal 2018, PMID 29590449).</w:t>
      </w:r>
    </w:p>
    <w:p>
      <w:pPr>
        <w:numPr>
          <w:ilvl w:val="0"/>
          <w:numId w:val="1146"/>
        </w:numPr>
        <w:pStyle w:val="Compact"/>
      </w:pPr>
      <w:r>
        <w:rPr>
          <w:bCs/>
          <w:b/>
        </w:rPr>
        <w:t xml:space="preserve">Levenslang IGF-1-tekort (syndroom van Laron):</w:t>
      </w:r>
      <w:r>
        <w:t xml:space="preserve"> </w:t>
      </w:r>
      <w:r>
        <w:t xml:space="preserve">kanker kwam opvallend zelden voor (Guevara-Aguirre 2011, PMID 21325617).</w:t>
      </w:r>
    </w:p>
    <w:p>
      <w:pPr>
        <w:numPr>
          <w:ilvl w:val="0"/>
          <w:numId w:val="1146"/>
        </w:numPr>
        <w:pStyle w:val="Compact"/>
      </w:pPr>
      <w:r>
        <w:rPr>
          <w:bCs/>
          <w:b/>
        </w:rPr>
        <w:t xml:space="preserve">Groeihormoon als geneesmiddel:</w:t>
      </w:r>
      <w:r>
        <w:t xml:space="preserve"> </w:t>
      </w:r>
      <w:r>
        <w:t xml:space="preserve">in een Europees cohort met 23.984 behandelde kinderen werd geen algemeen verhoogd risico gevonden bij kinderen zonder voorafgaande aandoening, maar wel opvallende bevindingen bij afzonderlijke kankersoorten en bij kinderen die eerder kanker hadden gehad (Swerdlow 2017, PMID 28187225). Bij 8.418 behandelde volwassenen met hypofyse-insufficiëntie was het kankerrisico niet verhoogd (Child 2015, PMID 25810462).</w:t>
      </w:r>
    </w:p>
    <w:p>
      <w:pPr>
        <w:pStyle w:val="FirstParagraph"/>
      </w:pPr>
      <w:r>
        <w:t xml:space="preserve">Conclusie: bij mensen met een echt tekort gaat een substitutiebehandeling naar de huidige kennis niet gepaard met een duidelijk hoger kankerrisico. Voor gezonde mensen die een normale spiegel jarenlang verhogen, ontbreken gegevens – en de biologie pleit eerder voor dan tegen een zeker risico. Deel IV gaat dieper op het thema in.</w:t>
      </w:r>
    </w:p>
    <w:bookmarkEnd w:id="464"/>
    <w:bookmarkStart w:id="465" w:name="overzicht-1"/>
    <w:p>
      <w:pPr>
        <w:pStyle w:val="Heading3"/>
      </w:pPr>
      <w:r>
        <w:t xml:space="preserve">Overzicht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Peptide</w:t>
            </w:r>
          </w:p>
        </w:tc>
        <w:tc>
          <w:tcPr/>
          <w:p>
            <w:pPr>
              <w:pStyle w:val="Compact"/>
              <w:jc w:val="left"/>
            </w:pPr>
            <w:r>
              <w:t xml:space="preserve">Bewijs</w:t>
            </w:r>
          </w:p>
        </w:tc>
        <w:tc>
          <w:tcPr/>
          <w:p>
            <w:pPr>
              <w:pStyle w:val="Compact"/>
              <w:jc w:val="left"/>
            </w:pPr>
            <w:r>
              <w:t xml:space="preserve">Registratie</w:t>
            </w:r>
          </w:p>
        </w:tc>
        <w:tc>
          <w:tcPr/>
          <w:p>
            <w:pPr>
              <w:pStyle w:val="Compact"/>
              <w:jc w:val="left"/>
            </w:pPr>
            <w:r>
              <w:t xml:space="preserve">Kort</w:t>
            </w:r>
          </w:p>
        </w:tc>
      </w:tr>
      <w:tr>
        <w:tc>
          <w:tcPr/>
          <w:p>
            <w:pPr>
              <w:pStyle w:val="Compact"/>
              <w:jc w:val="left"/>
            </w:pPr>
            <w:r>
              <w:t xml:space="preserve">Sermoreline</w:t>
            </w:r>
          </w:p>
        </w:tc>
        <w:tc>
          <w:tcPr/>
          <w:p>
            <w:pPr>
              <w:pStyle w:val="Compact"/>
              <w:jc w:val="left"/>
            </w:pPr>
            <w:r>
              <w:t xml:space="preserve">B</w:t>
            </w:r>
          </w:p>
        </w:tc>
        <w:tc>
          <w:tcPr/>
          <w:p>
            <w:pPr>
              <w:pStyle w:val="Compact"/>
              <w:jc w:val="left"/>
            </w:pPr>
            <w:r>
              <w:t xml:space="preserve">vroeger VS (Geref), tegenwoordig geen</w:t>
            </w:r>
          </w:p>
        </w:tc>
        <w:tc>
          <w:tcPr/>
          <w:p>
            <w:pPr>
              <w:pStyle w:val="Compact"/>
              <w:jc w:val="left"/>
            </w:pPr>
            <w:r>
              <w:t xml:space="preserve">GHRH-fragment; kinderen met GH-tekort</w:t>
            </w:r>
          </w:p>
        </w:tc>
      </w:tr>
      <w:tr>
        <w:tc>
          <w:tcPr/>
          <w:p>
            <w:pPr>
              <w:pStyle w:val="Compact"/>
              <w:jc w:val="left"/>
            </w:pPr>
            <w:r>
              <w:t xml:space="preserve">Tesamoreline</w:t>
            </w:r>
          </w:p>
        </w:tc>
        <w:tc>
          <w:tcPr/>
          <w:p>
            <w:pPr>
              <w:pStyle w:val="Compact"/>
              <w:jc w:val="left"/>
            </w:pPr>
            <w:r>
              <w:t xml:space="preserve">A</w:t>
            </w:r>
          </w:p>
        </w:tc>
        <w:tc>
          <w:tcPr/>
          <w:p>
            <w:pPr>
              <w:pStyle w:val="Compact"/>
              <w:jc w:val="left"/>
            </w:pPr>
            <w:r>
              <w:t xml:space="preserve">VS (Egrifta)</w:t>
            </w:r>
          </w:p>
        </w:tc>
        <w:tc>
          <w:tcPr/>
          <w:p>
            <w:pPr>
              <w:pStyle w:val="Compact"/>
              <w:jc w:val="left"/>
            </w:pPr>
            <w:r>
              <w:t xml:space="preserve">minder buik- en levervet bij hiv</w:t>
            </w:r>
          </w:p>
        </w:tc>
      </w:tr>
      <w:tr>
        <w:tc>
          <w:tcPr/>
          <w:p>
            <w:pPr>
              <w:pStyle w:val="Compact"/>
              <w:jc w:val="left"/>
            </w:pPr>
            <w:r>
              <w:t xml:space="preserve">CJC-1295</w:t>
            </w:r>
          </w:p>
        </w:tc>
        <w:tc>
          <w:tcPr/>
          <w:p>
            <w:pPr>
              <w:pStyle w:val="Compact"/>
              <w:jc w:val="left"/>
            </w:pPr>
            <w:r>
              <w:t xml:space="preserve">C</w:t>
            </w:r>
          </w:p>
        </w:tc>
        <w:tc>
          <w:tcPr/>
          <w:p>
            <w:pPr>
              <w:pStyle w:val="Compact"/>
              <w:jc w:val="left"/>
            </w:pPr>
            <w:r>
              <w:t xml:space="preserve">geen</w:t>
            </w:r>
          </w:p>
        </w:tc>
        <w:tc>
          <w:tcPr/>
          <w:p>
            <w:pPr>
              <w:pStyle w:val="Compact"/>
              <w:jc w:val="left"/>
            </w:pPr>
            <w:r>
              <w:t xml:space="preserve">alleen fase 1-gegevens; variant</w:t>
            </w:r>
            <w:r>
              <w:t xml:space="preserve"> </w:t>
            </w:r>
            <w:r>
              <w:t xml:space="preserve">‘</w:t>
            </w:r>
            <w:r>
              <w:t xml:space="preserve">zonder DAC</w:t>
            </w:r>
            <w:r>
              <w:t xml:space="preserve">’</w:t>
            </w:r>
            <w:r>
              <w:t xml:space="preserve"> </w:t>
            </w:r>
            <w:r>
              <w:t xml:space="preserve">niet onderzocht</w:t>
            </w:r>
          </w:p>
        </w:tc>
      </w:tr>
      <w:tr>
        <w:tc>
          <w:tcPr/>
          <w:p>
            <w:pPr>
              <w:pStyle w:val="Compact"/>
              <w:jc w:val="left"/>
            </w:pPr>
            <w:r>
              <w:t xml:space="preserve">Ipamoreline</w:t>
            </w:r>
          </w:p>
        </w:tc>
        <w:tc>
          <w:tcPr/>
          <w:p>
            <w:pPr>
              <w:pStyle w:val="Compact"/>
              <w:jc w:val="left"/>
            </w:pPr>
            <w:r>
              <w:t xml:space="preserve">B</w:t>
            </w:r>
          </w:p>
        </w:tc>
        <w:tc>
          <w:tcPr/>
          <w:p>
            <w:pPr>
              <w:pStyle w:val="Compact"/>
              <w:jc w:val="left"/>
            </w:pPr>
            <w:r>
              <w:t xml:space="preserve">geen</w:t>
            </w:r>
          </w:p>
        </w:tc>
        <w:tc>
          <w:tcPr/>
          <w:p>
            <w:pPr>
              <w:pStyle w:val="Compact"/>
              <w:jc w:val="left"/>
            </w:pPr>
            <w:r>
              <w:t xml:space="preserve">geen nut bij darmverlamming na operatie</w:t>
            </w:r>
          </w:p>
        </w:tc>
      </w:tr>
      <w:tr>
        <w:tc>
          <w:tcPr/>
          <w:p>
            <w:pPr>
              <w:pStyle w:val="Compact"/>
              <w:jc w:val="left"/>
            </w:pPr>
            <w:r>
              <w:t xml:space="preserve">GHRP-2 (pralmoreline)</w:t>
            </w:r>
          </w:p>
        </w:tc>
        <w:tc>
          <w:tcPr/>
          <w:p>
            <w:pPr>
              <w:pStyle w:val="Compact"/>
              <w:jc w:val="left"/>
            </w:pPr>
            <w:r>
              <w:t xml:space="preserve">B</w:t>
            </w:r>
          </w:p>
        </w:tc>
        <w:tc>
          <w:tcPr/>
          <w:p>
            <w:pPr>
              <w:pStyle w:val="Compact"/>
              <w:jc w:val="left"/>
            </w:pPr>
            <w:r>
              <w:t xml:space="preserve">Japan (diagnosticum)</w:t>
            </w:r>
          </w:p>
        </w:tc>
        <w:tc>
          <w:tcPr/>
          <w:p>
            <w:pPr>
              <w:pStyle w:val="Compact"/>
              <w:jc w:val="left"/>
            </w:pPr>
            <w:r>
              <w:t xml:space="preserve">test op GH-tekort</w:t>
            </w:r>
          </w:p>
        </w:tc>
      </w:tr>
      <w:tr>
        <w:tc>
          <w:tcPr/>
          <w:p>
            <w:pPr>
              <w:pStyle w:val="Compact"/>
              <w:jc w:val="left"/>
            </w:pPr>
            <w:r>
              <w:t xml:space="preserve">GHRP-6</w:t>
            </w:r>
          </w:p>
        </w:tc>
        <w:tc>
          <w:tcPr/>
          <w:p>
            <w:pPr>
              <w:pStyle w:val="Compact"/>
              <w:jc w:val="left"/>
            </w:pPr>
            <w:r>
              <w:t xml:space="preserve">C</w:t>
            </w:r>
          </w:p>
        </w:tc>
        <w:tc>
          <w:tcPr/>
          <w:p>
            <w:pPr>
              <w:pStyle w:val="Compact"/>
              <w:jc w:val="left"/>
            </w:pPr>
            <w:r>
              <w:t xml:space="preserve">geen</w:t>
            </w:r>
          </w:p>
        </w:tc>
        <w:tc>
          <w:tcPr/>
          <w:p>
            <w:pPr>
              <w:pStyle w:val="Compact"/>
              <w:jc w:val="left"/>
            </w:pPr>
            <w:r>
              <w:t xml:space="preserve">onderzoeks- en teststof</w:t>
            </w:r>
          </w:p>
        </w:tc>
      </w:tr>
      <w:tr>
        <w:tc>
          <w:tcPr/>
          <w:p>
            <w:pPr>
              <w:pStyle w:val="Compact"/>
              <w:jc w:val="left"/>
            </w:pPr>
            <w:r>
              <w:t xml:space="preserve">Hexareline</w:t>
            </w:r>
          </w:p>
        </w:tc>
        <w:tc>
          <w:tcPr/>
          <w:p>
            <w:pPr>
              <w:pStyle w:val="Compact"/>
              <w:jc w:val="left"/>
            </w:pPr>
            <w:r>
              <w:t xml:space="preserve">C</w:t>
            </w:r>
          </w:p>
        </w:tc>
        <w:tc>
          <w:tcPr/>
          <w:p>
            <w:pPr>
              <w:pStyle w:val="Compact"/>
              <w:jc w:val="left"/>
            </w:pPr>
            <w:r>
              <w:t xml:space="preserve">geen</w:t>
            </w:r>
          </w:p>
        </w:tc>
        <w:tc>
          <w:tcPr/>
          <w:p>
            <w:pPr>
              <w:pStyle w:val="Compact"/>
              <w:jc w:val="left"/>
            </w:pPr>
            <w:r>
              <w:t xml:space="preserve">acute effecten op het hart; verlies van werking bij langdurige toediening</w:t>
            </w:r>
          </w:p>
        </w:tc>
      </w:tr>
      <w:tr>
        <w:tc>
          <w:tcPr/>
          <w:p>
            <w:pPr>
              <w:pStyle w:val="Compact"/>
              <w:jc w:val="left"/>
            </w:pPr>
            <w:r>
              <w:t xml:space="preserve">Macimoreline</w:t>
            </w:r>
          </w:p>
        </w:tc>
        <w:tc>
          <w:tcPr/>
          <w:p>
            <w:pPr>
              <w:pStyle w:val="Compact"/>
              <w:jc w:val="left"/>
            </w:pPr>
            <w:r>
              <w:t xml:space="preserve">A</w:t>
            </w:r>
          </w:p>
        </w:tc>
        <w:tc>
          <w:tcPr/>
          <w:p>
            <w:pPr>
              <w:pStyle w:val="Compact"/>
              <w:jc w:val="left"/>
            </w:pPr>
            <w:r>
              <w:t xml:space="preserve">EU, VS (diagnosticum)</w:t>
            </w:r>
          </w:p>
        </w:tc>
        <w:tc>
          <w:tcPr/>
          <w:p>
            <w:pPr>
              <w:pStyle w:val="Compact"/>
              <w:jc w:val="left"/>
            </w:pPr>
            <w:r>
              <w:t xml:space="preserve">drinktest op GH-tekort</w:t>
            </w:r>
          </w:p>
        </w:tc>
      </w:tr>
      <w:tr>
        <w:tc>
          <w:tcPr/>
          <w:p>
            <w:pPr>
              <w:pStyle w:val="Compact"/>
              <w:jc w:val="left"/>
            </w:pPr>
            <w:r>
              <w:t xml:space="preserve">Mecasermine (IGF-1)</w:t>
            </w:r>
          </w:p>
        </w:tc>
        <w:tc>
          <w:tcPr/>
          <w:p>
            <w:pPr>
              <w:pStyle w:val="Compact"/>
              <w:jc w:val="left"/>
            </w:pPr>
            <w:r>
              <w:t xml:space="preserve">A</w:t>
            </w:r>
          </w:p>
        </w:tc>
        <w:tc>
          <w:tcPr/>
          <w:p>
            <w:pPr>
              <w:pStyle w:val="Compact"/>
              <w:jc w:val="left"/>
            </w:pPr>
            <w:r>
              <w:t xml:space="preserve">EU, VS (Increlex)</w:t>
            </w:r>
          </w:p>
        </w:tc>
        <w:tc>
          <w:tcPr/>
          <w:p>
            <w:pPr>
              <w:pStyle w:val="Compact"/>
              <w:jc w:val="left"/>
            </w:pPr>
            <w:r>
              <w:t xml:space="preserve">ernstig IGF-1-tekort bij kinderen</w:t>
            </w:r>
          </w:p>
        </w:tc>
      </w:tr>
      <w:tr>
        <w:tc>
          <w:tcPr/>
          <w:p>
            <w:pPr>
              <w:pStyle w:val="Compact"/>
              <w:jc w:val="left"/>
            </w:pPr>
            <w:r>
              <w:t xml:space="preserve">IGF-1 LR3</w:t>
            </w:r>
          </w:p>
        </w:tc>
        <w:tc>
          <w:tcPr/>
          <w:p>
            <w:pPr>
              <w:pStyle w:val="Compact"/>
              <w:jc w:val="left"/>
            </w:pPr>
            <w:r>
              <w:t xml:space="preserve">D</w:t>
            </w:r>
          </w:p>
        </w:tc>
        <w:tc>
          <w:tcPr/>
          <w:p>
            <w:pPr>
              <w:pStyle w:val="Compact"/>
              <w:jc w:val="left"/>
            </w:pPr>
            <w:r>
              <w:t xml:space="preserve">geen</w:t>
            </w:r>
          </w:p>
        </w:tc>
        <w:tc>
          <w:tcPr/>
          <w:p>
            <w:pPr>
              <w:pStyle w:val="Compact"/>
              <w:jc w:val="left"/>
            </w:pPr>
            <w:r>
              <w:t xml:space="preserve">laboratoriumreagens, nooit bij mensen onderzocht</w:t>
            </w:r>
          </w:p>
        </w:tc>
      </w:tr>
      <w:tr>
        <w:tc>
          <w:tcPr/>
          <w:p>
            <w:pPr>
              <w:pStyle w:val="Compact"/>
              <w:jc w:val="left"/>
            </w:pPr>
            <w:r>
              <w:t xml:space="preserve">Ibutamoren (vergelijking)</w:t>
            </w:r>
          </w:p>
        </w:tc>
        <w:tc>
          <w:tcPr/>
          <w:p>
            <w:pPr>
              <w:pStyle w:val="Compact"/>
              <w:jc w:val="left"/>
            </w:pPr>
            <w:r>
              <w:t xml:space="preserve">B</w:t>
            </w:r>
          </w:p>
        </w:tc>
        <w:tc>
          <w:tcPr/>
          <w:p>
            <w:pPr>
              <w:pStyle w:val="Compact"/>
              <w:jc w:val="left"/>
            </w:pPr>
            <w:r>
              <w:t xml:space="preserve">geen</w:t>
            </w:r>
          </w:p>
        </w:tc>
        <w:tc>
          <w:tcPr/>
          <w:p>
            <w:pPr>
              <w:pStyle w:val="Compact"/>
              <w:jc w:val="left"/>
            </w:pPr>
            <w:r>
              <w:t xml:space="preserve">tablet; signaal voor hartfalen</w:t>
            </w:r>
          </w:p>
        </w:tc>
      </w:tr>
    </w:tbl>
    <w:bookmarkEnd w:id="465"/>
    <w:bookmarkStart w:id="466" w:name="leeswijzer-2"/>
    <w:p>
      <w:pPr>
        <w:pStyle w:val="Heading3"/>
      </w:pPr>
      <w:r>
        <w:t xml:space="preserve">Leeswijzer</w:t>
      </w:r>
    </w:p>
    <w:p>
      <w:pPr>
        <w:pStyle w:val="FirstParagraph"/>
      </w:pPr>
      <w:r>
        <w:t xml:space="preserve">Wie geïnteresseerd is in toepassingen met echt nut, begint met tesamoreline, macimoreline en mecasermine. Wie wil weten wat er achter de klassiekers van de grijze markt zit, leest CJC-1295, ipamoreline en IGF-1 LR3. Ibutamoren is weliswaar geen peptide, maar laat in grote studies bijzonder duidelijk zien wat een blijvende stimulering van de as teweegbrengt. Alle werkzame stoffen in deze groep staan op de lijst van verboden middelen van het Wereldantidopingagentschap (groep S2; stand 2026, actuele situatie controleren).</w:t>
      </w:r>
    </w:p>
    <w:bookmarkEnd w:id="466"/>
    <w:bookmarkStart w:id="479" w:name="sermoreline"/>
    <w:p>
      <w:pPr>
        <w:pStyle w:val="Heading2"/>
      </w:pPr>
      <w:r>
        <w:t xml:space="preserve">Sermoreline</w:t>
      </w:r>
    </w:p>
    <w:p>
      <w:pPr>
        <w:pStyle w:val="FirstParagraph"/>
      </w:pPr>
      <w:r>
        <w:t xml:space="preserve">Sermoreline is een stukje geneesmiddelengeschiedenis dat op internet een tweede leven leidt. In de jaren negentig was het in de VS als geneesmiddel geregistreerd – eerst als teststof voor de diagnose van een groeihormoontekort, daarna voor de behandeling van kinderen met een kleine gestalte. Sinds het einde van de jaren 2000 is het originele preparaat van de markt verdwenen. Tegenwoordig wordt sermoreline vooral in Amerikaanse</w:t>
      </w:r>
      <w:r>
        <w:t xml:space="preserve"> </w:t>
      </w:r>
      <w:r>
        <w:t xml:space="preserve">‘</w:t>
      </w:r>
      <w:r>
        <w:t xml:space="preserve">anti-aging</w:t>
      </w:r>
      <w:r>
        <w:t xml:space="preserve">’</w:t>
      </w:r>
      <w:r>
        <w:t xml:space="preserve">- en</w:t>
      </w:r>
      <w:r>
        <w:t xml:space="preserve"> </w:t>
      </w:r>
      <w:r>
        <w:t xml:space="preserve">‘</w:t>
      </w:r>
      <w:r>
        <w:t xml:space="preserve">men’s health</w:t>
      </w:r>
      <w:r>
        <w:t xml:space="preserve">’</w:t>
      </w:r>
      <w:r>
        <w:t xml:space="preserve">-klinieken als apotheekbereiding voorgeschreven en op de grijze markt aangeboden. Dit hoofdstuk laat zien wat de oude studies werkelijk aantonen en wat niet.</w:t>
      </w:r>
    </w:p>
    <w:bookmarkStart w:id="467" w:name="profiel-23"/>
    <w:p>
      <w:pPr>
        <w:pStyle w:val="Heading3"/>
      </w:pPr>
      <w:r>
        <w:t xml:space="preserve">Profiel</w:t>
      </w:r>
    </w:p>
    <w:p>
      <w:pPr>
        <w:numPr>
          <w:ilvl w:val="0"/>
          <w:numId w:val="1147"/>
        </w:numPr>
        <w:pStyle w:val="Compact"/>
      </w:pPr>
      <w:r>
        <w:rPr>
          <w:bCs/>
          <w:b/>
        </w:rPr>
        <w:t xml:space="preserve">Soort en structuur:</w:t>
      </w:r>
      <w:r>
        <w:t xml:space="preserve"> </w:t>
      </w:r>
      <w:r>
        <w:t xml:space="preserve">synthetisch peptide van 29 aminozuren; het komt overeen met het voorste, werkzame deel van het lichaamseigen groeihormoon-releasing hormoon, GHRH(1-29)NH2. Het is het kortste synthetische peptide met volledige GHRH-werking (Prakash 1999, PMID 18031173).</w:t>
      </w:r>
    </w:p>
    <w:p>
      <w:pPr>
        <w:numPr>
          <w:ilvl w:val="0"/>
          <w:numId w:val="1147"/>
        </w:numPr>
        <w:pStyle w:val="Compact"/>
      </w:pPr>
      <w:r>
        <w:rPr>
          <w:bCs/>
          <w:b/>
        </w:rPr>
        <w:t xml:space="preserve">Herkomst:</w:t>
      </w:r>
      <w:r>
        <w:t xml:space="preserve"> </w:t>
      </w:r>
      <w:r>
        <w:t xml:space="preserve">in de jaren tachtig afgeleid van het natuurlijke GHRH; op de markt gebracht door Serono als Geref.</w:t>
      </w:r>
    </w:p>
    <w:p>
      <w:pPr>
        <w:numPr>
          <w:ilvl w:val="0"/>
          <w:numId w:val="1147"/>
        </w:numPr>
        <w:pStyle w:val="Compact"/>
      </w:pPr>
      <w:r>
        <w:rPr>
          <w:bCs/>
          <w:b/>
        </w:rPr>
        <w:t xml:space="preserve">Werkingsprincipe:</w:t>
      </w:r>
      <w:r>
        <w:t xml:space="preserve"> </w:t>
      </w:r>
      <w:r>
        <w:t xml:space="preserve">bindt aan de GHRH-receptor van de hypofyse en veroorzaakt daar een afgifte van groeihormoon; de lichaamseigen regulatie (rem door somatostatine, terugkoppeling door IGF-1) blijft behouden.</w:t>
      </w:r>
    </w:p>
    <w:p>
      <w:pPr>
        <w:numPr>
          <w:ilvl w:val="0"/>
          <w:numId w:val="1147"/>
        </w:numPr>
        <w:pStyle w:val="Compact"/>
      </w:pPr>
      <w:r>
        <w:rPr>
          <w:bCs/>
          <w:b/>
        </w:rPr>
        <w:t xml:space="preserve">Registratie EU:</w:t>
      </w:r>
      <w:r>
        <w:t xml:space="preserve"> </w:t>
      </w:r>
      <w:r>
        <w:t xml:space="preserve">nee (stand 2026).</w:t>
      </w:r>
      <w:r>
        <w:t xml:space="preserve"> </w:t>
      </w:r>
      <w:r>
        <w:rPr>
          <w:bCs/>
          <w:b/>
        </w:rPr>
        <w:t xml:space="preserve">Registratie VS:</w:t>
      </w:r>
      <w:r>
        <w:t xml:space="preserve"> </w:t>
      </w:r>
      <w:r>
        <w:t xml:space="preserve">vroeger ja (Geref als diagnosticum en voor de behandeling van kinderen met groeihormoontekort); het originele preparaat is sinds het einde van de jaren 2000 niet meer verkrijgbaar.</w:t>
      </w:r>
    </w:p>
    <w:p>
      <w:pPr>
        <w:numPr>
          <w:ilvl w:val="0"/>
          <w:numId w:val="1147"/>
        </w:numPr>
        <w:pStyle w:val="Compact"/>
      </w:pPr>
      <w:r>
        <w:rPr>
          <w:bCs/>
          <w:b/>
        </w:rPr>
        <w:t xml:space="preserve">WADA:</w:t>
      </w:r>
      <w:r>
        <w:t xml:space="preserve"> </w:t>
      </w:r>
      <w:r>
        <w:t xml:space="preserve">verboden, groep S2 – sermoreline wordt als GHRH-analoog uitdrukkelijk genoemd.</w:t>
      </w:r>
    </w:p>
    <w:p>
      <w:pPr>
        <w:numPr>
          <w:ilvl w:val="0"/>
          <w:numId w:val="1147"/>
        </w:numPr>
        <w:pStyle w:val="Compact"/>
      </w:pPr>
      <w:r>
        <w:rPr>
          <w:bCs/>
          <w:b/>
        </w:rPr>
        <w:t xml:space="preserve">Bewijsniveau: B</w:t>
      </w:r>
      <w:r>
        <w:t xml:space="preserve"> </w:t>
      </w:r>
      <w:r>
        <w:t xml:space="preserve">– afzonderlijke kleine gerandomiseerde resp. gecontroleerde studies, meestal open-label en uit de jaren tachtig en negentig; geen moderne grote studie.</w:t>
      </w:r>
    </w:p>
    <w:bookmarkEnd w:id="467"/>
    <w:bookmarkStart w:id="468" w:name="hoe-het-zou-moeten-werken-23"/>
    <w:p>
      <w:pPr>
        <w:pStyle w:val="Heading3"/>
      </w:pPr>
      <w:r>
        <w:t xml:space="preserve">Hoe het zou moeten werken</w:t>
      </w:r>
    </w:p>
    <w:p>
      <w:pPr>
        <w:pStyle w:val="FirstParagraph"/>
      </w:pPr>
      <w:r>
        <w:t xml:space="preserve">De hypofyse geeft groeihormoon in pulsen af. Het startsein geeft GHRH uit de tussenhersenen. Wanneer GHRH in de natuur wordt gevormd, is het 44 aminozuren lang; onderzoekers stelden in de jaren tachtig vast dat de eerste 29 aminozuren volstaan voor de volledige werking. Daaruit ontstond sermoreline.</w:t>
      </w:r>
    </w:p>
    <w:p>
      <w:pPr>
        <w:pStyle w:val="BodyText"/>
      </w:pPr>
      <w:r>
        <w:t xml:space="preserve">Het voordeel ten opzichte van geïnjecteerd groeihormoon zou erin liggen dat de hypofyse</w:t>
      </w:r>
      <w:r>
        <w:t xml:space="preserve"> </w:t>
      </w:r>
      <w:r>
        <w:t xml:space="preserve">‘</w:t>
      </w:r>
      <w:r>
        <w:t xml:space="preserve">meebeslist</w:t>
      </w:r>
      <w:r>
        <w:t xml:space="preserve">’</w:t>
      </w:r>
      <w:r>
        <w:t xml:space="preserve">: als er genoeg IGF-1 in het bloed is, remt het lichaam via somatostatine zelf af. Overdoseringen zoals bij directe toediening van GH zouden daardoor minder waarschijnlijk zijn. Het nadeel: sermoreline werkt alleen als de hypofyse nog groeihormoon kan aanmaken, en de werking is kort: de halfwaardetijd in het bloed bedraagt bij de mens slechts ongeveer 10 tot 20 minuten (Esposito 2003, PMID 14499707). Het is daarom vooral werkzaam bij stoornissen die in de tussenhersenen liggen, niet in de hypofyse zelf.</w:t>
      </w:r>
    </w:p>
    <w:bookmarkEnd w:id="468"/>
    <w:bookmarkStart w:id="473" w:name="studies-bij-mensen-23"/>
    <w:p>
      <w:pPr>
        <w:pStyle w:val="Heading3"/>
      </w:pPr>
      <w:r>
        <w:t xml:space="preserve">Studies bij mensen</w:t>
      </w:r>
    </w:p>
    <w:p>
      <w:pPr>
        <w:pStyle w:val="FirstParagraph"/>
      </w:pPr>
      <w:r>
        <w:rPr>
          <w:bCs/>
          <w:b/>
        </w:rPr>
        <w:t xml:space="preserve">Omvang van het onderzoek (zoekopdracht oktober 2026):</w:t>
      </w:r>
      <w:r>
        <w:t xml:space="preserve"> </w:t>
      </w:r>
      <w:r>
        <w:t xml:space="preserve">De geautomatiseerde zoekopdracht van dit boek onder de zoekterm</w:t>
      </w:r>
      <w:r>
        <w:t xml:space="preserve"> </w:t>
      </w:r>
      <w:r>
        <w:t xml:space="preserve">‘</w:t>
      </w:r>
      <w:r>
        <w:t xml:space="preserve">sermorelin</w:t>
      </w:r>
      <w:r>
        <w:t xml:space="preserve">’</w:t>
      </w:r>
      <w:r>
        <w:t xml:space="preserve"> </w:t>
      </w:r>
      <w:r>
        <w:t xml:space="preserve">vond</w:t>
      </w:r>
      <w:r>
        <w:t xml:space="preserve"> </w:t>
      </w:r>
      <w:r>
        <w:rPr>
          <w:bCs/>
          <w:b/>
        </w:rPr>
        <w:t xml:space="preserve">geen</w:t>
      </w:r>
      <w:r>
        <w:t xml:space="preserve"> </w:t>
      </w:r>
      <w:r>
        <w:t xml:space="preserve">studie bij mensen (</w:t>
      </w:r>
      <w:r>
        <w:rPr>
          <w:rStyle w:val="VerbatimChar"/>
        </w:rPr>
        <w:t xml:space="preserve">humanstudien_alle</w:t>
      </w:r>
      <w:r>
        <w:t xml:space="preserve">: 0) en</w:t>
      </w:r>
      <w:r>
        <w:t xml:space="preserve"> </w:t>
      </w:r>
      <w:r>
        <w:rPr>
          <w:bCs/>
          <w:b/>
        </w:rPr>
        <w:t xml:space="preserve">27</w:t>
      </w:r>
      <w:r>
        <w:t xml:space="preserve"> </w:t>
      </w:r>
      <w:r>
        <w:t xml:space="preserve">vermeldingen bij ClinicalTrials.gov. Beide getallen misleiden: de meeste klinische studies verschenen onder aanduidingen als</w:t>
      </w:r>
      <w:r>
        <w:t xml:space="preserve"> </w:t>
      </w:r>
      <w:r>
        <w:t xml:space="preserve">‘</w:t>
      </w:r>
      <w:r>
        <w:t xml:space="preserve">GHRH(1-29)NH2</w:t>
      </w:r>
      <w:r>
        <w:t xml:space="preserve">’</w:t>
      </w:r>
      <w:r>
        <w:t xml:space="preserve">,</w:t>
      </w:r>
      <w:r>
        <w:t xml:space="preserve"> </w:t>
      </w:r>
      <w:r>
        <w:t xml:space="preserve">‘</w:t>
      </w:r>
      <w:r>
        <w:t xml:space="preserve">GRF 1-29</w:t>
      </w:r>
      <w:r>
        <w:t xml:space="preserve">’</w:t>
      </w:r>
      <w:r>
        <w:t xml:space="preserve"> </w:t>
      </w:r>
      <w:r>
        <w:t xml:space="preserve">of</w:t>
      </w:r>
      <w:r>
        <w:t xml:space="preserve"> </w:t>
      </w:r>
      <w:r>
        <w:t xml:space="preserve">‘</w:t>
      </w:r>
      <w:r>
        <w:t xml:space="preserve">Geref</w:t>
      </w:r>
      <w:r>
        <w:t xml:space="preserve">’</w:t>
      </w:r>
      <w:r>
        <w:t xml:space="preserve"> </w:t>
      </w:r>
      <w:r>
        <w:t xml:space="preserve">en worden door een zuivere zoektocht op naam niet gevonden. Omgekeerd betreffen veel van de 27 registervermeldingen helemaal niet sermoreline, maar tesamoreline of GHRH-tests in het algemeen. Een gerichte aanvullende zoektocht leverde enkele tientallen klinische studies op, overwegend klein en uit de tijd vóór 2000.</w:t>
      </w:r>
    </w:p>
    <w:bookmarkStart w:id="469" w:name="kinderen-met-groeihormoontekort"/>
    <w:p>
      <w:pPr>
        <w:pStyle w:val="Heading4"/>
      </w:pPr>
      <w:r>
        <w:t xml:space="preserve">Kinderen met groeihormoontekort</w:t>
      </w:r>
    </w:p>
    <w:p>
      <w:pPr>
        <w:pStyle w:val="FirstParagraph"/>
      </w:pPr>
      <w:r>
        <w:t xml:space="preserve">Het belangrijkste toepassingsgebied was groeistoornis bij kinderen. In een open-label multicenterstudie van de Geref-studiegroep kregen 110 nog niet eerder behandelde kinderen vóór de puberteit een jaar lang eenmaal per dag ’s avonds sermoreline. De groeisnelheid steeg van 4,1 cm per jaar naar 8,0 cm na zes maanden en 7,2 cm na twaalf maanden; 74% gold na zes maanden als goede responder. Opvallende laboratoriumveranderingen traden niet op (Thorner 1996, PMID 8772599).</w:t>
      </w:r>
    </w:p>
    <w:p>
      <w:pPr>
        <w:pStyle w:val="BodyText"/>
      </w:pPr>
      <w:r>
        <w:t xml:space="preserve">Een vroege Britse studie met 18 kinderen liet de grenzen al zien: slechts bij 8 kinderen steeg de groeisnelheid in de eerste zes maanden met meer dan 2 cm per jaar; bij 14 kinderen vormden zich antilichamen tegen het peptide, zonder herkenbare invloed op de groei (Ross 1987, PMID 2879138). In een gerandomiseerde studie met 43 kinderen groeiden de kinderen met laaggedoseerd sermoreline het langzaamst; alleen met groeihormoon verbeterde de lichaamslengte in verhouding tot de botleeftijd (Neyzi 1993, PMID 8329826). Een overzicht stelde vast dat sermoreline bij een deel van de kinderen werkzaam is, maar zwakker dan groeihormoon, en dat gegevens over de eindlengte ontbreken (Prakash 1999, PMID 18031173).</w:t>
      </w:r>
    </w:p>
    <w:p>
      <w:pPr>
        <w:pStyle w:val="BodyText"/>
      </w:pPr>
      <w:r>
        <w:t xml:space="preserve">Ook bij kinderen met idiopathische kleine gestalte (dus zonder aantoonbaar hormoontekort) steeg de groeisnelheid met tweemaal daagse injecties in een kleine studie met 18 kinderen; na het stoppen viel ze terug tot onder de uitgangswaarde, en nuchtere glucose en insuline stegen tijdens de behandeling (Kirk 1994, PMID 7955460).</w:t>
      </w:r>
    </w:p>
    <w:bookmarkEnd w:id="469"/>
    <w:bookmarkStart w:id="470" w:name="oudere-volwassenen"/>
    <w:p>
      <w:pPr>
        <w:pStyle w:val="Heading4"/>
      </w:pPr>
      <w:r>
        <w:t xml:space="preserve">Oudere volwassenen</w:t>
      </w:r>
    </w:p>
    <w:p>
      <w:pPr>
        <w:pStyle w:val="FirstParagraph"/>
      </w:pPr>
      <w:r>
        <w:t xml:space="preserve">Voor de huidige marketing (</w:t>
      </w:r>
      <w:r>
        <w:t xml:space="preserve">‘</w:t>
      </w:r>
      <w:r>
        <w:t xml:space="preserve">anti-aging</w:t>
      </w:r>
      <w:r>
        <w:t xml:space="preserve">’</w:t>
      </w:r>
      <w:r>
        <w:t xml:space="preserve">) zijn studies bij ouderen doorslaggevend. Er zijn er maar weinig, en ze zijn zeer klein:</w:t>
      </w:r>
    </w:p>
    <w:p>
      <w:pPr>
        <w:numPr>
          <w:ilvl w:val="0"/>
          <w:numId w:val="1148"/>
        </w:numPr>
        <w:pStyle w:val="Compact"/>
      </w:pPr>
      <w:r>
        <w:t xml:space="preserve">19 gezonde vrouwen en mannen tussen 55 en 71 jaar kregen na vier weken placebo 16 weken lang een sermoreline-analoog. Groeihormoon en IGF-1 stegen, de huiddikte nam bij beide geslachten toe, de vetvrije massa en de insulinegevoeligheid alleen bij mannen. Mannen meldden een beter welbevinden en een verhoogd libido; de slaapkwaliteit veranderde niet. Als bijwerking trad tijdelijk een stijging van de bloedvetten op (Khorram 1997, PMID 9141536). Dezelfde groep beschreef veranderingen van immuuncellen (Khorram 1997, PMID 9360512). De studie was slechts enkelblind en had geen parallelle controlegroep.</w:t>
      </w:r>
    </w:p>
    <w:p>
      <w:pPr>
        <w:numPr>
          <w:ilvl w:val="0"/>
          <w:numId w:val="1148"/>
        </w:numPr>
        <w:pStyle w:val="Compact"/>
      </w:pPr>
      <w:r>
        <w:t xml:space="preserve">Bij 11 gezonde mannen tussen 64 en 76 jaar verhoogden zes weken nachtelijke injecties de nachtelijke GH-afgifte, maar IGF-1, spier- en vetmassa veranderden niet; twee van de zes krachtmetingen verbeterden (Vittone 1997, PMID 9005976).</w:t>
      </w:r>
    </w:p>
    <w:p>
      <w:pPr>
        <w:pStyle w:val="FirstParagraph"/>
      </w:pPr>
      <w:r>
        <w:t xml:space="preserve">Twee latere studies naar GHRH bij ouderen werden na 5 resp. 13 deelnemers afgebroken (NCT00807365, NCT01410799).</w:t>
      </w:r>
    </w:p>
    <w:bookmarkEnd w:id="470"/>
    <w:bookmarkStart w:id="471" w:name="diagnostiek"/>
    <w:p>
      <w:pPr>
        <w:pStyle w:val="Heading4"/>
      </w:pPr>
      <w:r>
        <w:t xml:space="preserve">Diagnostiek</w:t>
      </w:r>
    </w:p>
    <w:p>
      <w:pPr>
        <w:pStyle w:val="FirstParagraph"/>
      </w:pPr>
      <w:r>
        <w:t xml:space="preserve">Als teststof werd sermoreline intraveneus gegeven om na te gaan of de hypofyse op GHRH reageert. In combinatie met het aminozuur arginine gold deze test bij volwassenen als alternatief voor de belastende insuline-hypoglykemietest (Prakash 1999, PMID 18031173). Nadat het diagnosticum in de VS niet meer beschikbaar was, moest een lopende studie naar een nieuwe test (macimoreline) haar design aanpassen (Garcia 2013, PMID 23559086).</w:t>
      </w:r>
    </w:p>
    <w:bookmarkEnd w:id="471"/>
    <w:bookmarkStart w:id="472" w:name="moderne-mannengeneeskunde"/>
    <w:p>
      <w:pPr>
        <w:pStyle w:val="Heading4"/>
      </w:pPr>
      <w:r>
        <w:t xml:space="preserve">Moderne</w:t>
      </w:r>
      <w:r>
        <w:t xml:space="preserve"> </w:t>
      </w:r>
      <w:r>
        <w:t xml:space="preserve">‘</w:t>
      </w:r>
      <w:r>
        <w:t xml:space="preserve">mannengeneeskunde</w:t>
      </w:r>
      <w:r>
        <w:t xml:space="preserve">’</w:t>
      </w:r>
    </w:p>
    <w:p>
      <w:pPr>
        <w:pStyle w:val="FirstParagraph"/>
      </w:pPr>
      <w:r>
        <w:t xml:space="preserve">Een retrospectieve dossieranalyse uit een Amerikaanse mannenkliniek beschreef 14 jonge mannen onder testosterontherapie die een combinatie van sermoreline, GHRP-2 en GHRP-6 voorgeschreven kregen. IGF-1 steeg gemiddeld van 159,5 naar 239,0 ng/ml (Sigalos 2017, PMID 28830317). Van oorspronkelijk 105 mannen voldeden er slechts 14 aan de inclusiecriteria; uitspraken over spiermassa, vetverlies of veiligheid laat de studie niet toe.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Deelnemers en design</w:t>
            </w:r>
          </w:p>
        </w:tc>
        <w:tc>
          <w:tcPr/>
          <w:p>
            <w:pPr>
              <w:pStyle w:val="Compact"/>
              <w:jc w:val="left"/>
            </w:pPr>
            <w:r>
              <w:t xml:space="preserve">Duur</w:t>
            </w:r>
          </w:p>
        </w:tc>
        <w:tc>
          <w:tcPr/>
          <w:p>
            <w:pPr>
              <w:pStyle w:val="Compact"/>
              <w:jc w:val="left"/>
            </w:pPr>
            <w:r>
              <w:t xml:space="preserve">Resultaat</w:t>
            </w:r>
          </w:p>
        </w:tc>
      </w:tr>
      <w:tr>
        <w:tc>
          <w:tcPr/>
          <w:p>
            <w:pPr>
              <w:pStyle w:val="Compact"/>
              <w:jc w:val="left"/>
            </w:pPr>
            <w:r>
              <w:t xml:space="preserve">Geref-studiegroep (Thorner 1996), PMID 8772599</w:t>
            </w:r>
          </w:p>
        </w:tc>
        <w:tc>
          <w:tcPr/>
          <w:p>
            <w:pPr>
              <w:pStyle w:val="Compact"/>
              <w:jc w:val="left"/>
            </w:pPr>
            <w:r>
              <w:t xml:space="preserve">110 kinderen met GH-tekort, open-label, zonder controlegroep</w:t>
            </w:r>
          </w:p>
        </w:tc>
        <w:tc>
          <w:tcPr/>
          <w:p>
            <w:pPr>
              <w:pStyle w:val="Compact"/>
              <w:jc w:val="left"/>
            </w:pPr>
            <w:r>
              <w:t xml:space="preserve">12 maanden</w:t>
            </w:r>
          </w:p>
        </w:tc>
        <w:tc>
          <w:tcPr/>
          <w:p>
            <w:pPr>
              <w:pStyle w:val="Compact"/>
              <w:jc w:val="left"/>
            </w:pPr>
            <w:r>
              <w:t xml:space="preserve">groei 4,1 → 7,2 cm/jaar</w:t>
            </w:r>
          </w:p>
        </w:tc>
      </w:tr>
      <w:tr>
        <w:tc>
          <w:tcPr/>
          <w:p>
            <w:pPr>
              <w:pStyle w:val="Compact"/>
              <w:jc w:val="left"/>
            </w:pPr>
            <w:r>
              <w:t xml:space="preserve">Vergelijking met GH (Neyzi 1993), PMID 8329826</w:t>
            </w:r>
          </w:p>
        </w:tc>
        <w:tc>
          <w:tcPr/>
          <w:p>
            <w:pPr>
              <w:pStyle w:val="Compact"/>
              <w:jc w:val="left"/>
            </w:pPr>
            <w:r>
              <w:t xml:space="preserve">43 kinderen, gerandomiseerd (2 sermorelinedoses vs. GH)</w:t>
            </w:r>
          </w:p>
        </w:tc>
        <w:tc>
          <w:tcPr/>
          <w:p>
            <w:pPr>
              <w:pStyle w:val="Compact"/>
              <w:jc w:val="left"/>
            </w:pPr>
            <w:r>
              <w:t xml:space="preserve">6 maanden</w:t>
            </w:r>
          </w:p>
        </w:tc>
        <w:tc>
          <w:tcPr/>
          <w:p>
            <w:pPr>
              <w:pStyle w:val="Compact"/>
              <w:jc w:val="left"/>
            </w:pPr>
            <w:r>
              <w:t xml:space="preserve">hoge dosis vergelijkbaar met GH, lage zwakker</w:t>
            </w:r>
          </w:p>
        </w:tc>
      </w:tr>
      <w:tr>
        <w:tc>
          <w:tcPr/>
          <w:p>
            <w:pPr>
              <w:pStyle w:val="Compact"/>
              <w:jc w:val="left"/>
            </w:pPr>
            <w:r>
              <w:t xml:space="preserve">Oudere volwassenen (Khorram 1997), PMID 9141536</w:t>
            </w:r>
          </w:p>
        </w:tc>
        <w:tc>
          <w:tcPr/>
          <w:p>
            <w:pPr>
              <w:pStyle w:val="Compact"/>
              <w:jc w:val="left"/>
            </w:pPr>
            <w:r>
              <w:t xml:space="preserve">19 gezonden, 55–71 jaar, enkelblind, placebo-voorfase</w:t>
            </w:r>
          </w:p>
        </w:tc>
        <w:tc>
          <w:tcPr/>
          <w:p>
            <w:pPr>
              <w:pStyle w:val="Compact"/>
              <w:jc w:val="left"/>
            </w:pPr>
            <w:r>
              <w:t xml:space="preserve">5 maanden</w:t>
            </w:r>
          </w:p>
        </w:tc>
        <w:tc>
          <w:tcPr/>
          <w:p>
            <w:pPr>
              <w:pStyle w:val="Compact"/>
              <w:jc w:val="left"/>
            </w:pPr>
            <w:r>
              <w:t xml:space="preserve">IGF-1 ↑, vetvrije massa ↑ alleen bij mannen</w:t>
            </w:r>
          </w:p>
        </w:tc>
      </w:tr>
      <w:tr>
        <w:tc>
          <w:tcPr/>
          <w:p>
            <w:pPr>
              <w:pStyle w:val="Compact"/>
              <w:jc w:val="left"/>
            </w:pPr>
            <w:r>
              <w:t xml:space="preserve">Oudere mannen (Vittone 1997), PMID 9005976</w:t>
            </w:r>
          </w:p>
        </w:tc>
        <w:tc>
          <w:tcPr/>
          <w:p>
            <w:pPr>
              <w:pStyle w:val="Compact"/>
              <w:jc w:val="left"/>
            </w:pPr>
            <w:r>
              <w:t xml:space="preserve">11 gezonden, 64–76 jaar, zonder controlegroep</w:t>
            </w:r>
          </w:p>
        </w:tc>
        <w:tc>
          <w:tcPr/>
          <w:p>
            <w:pPr>
              <w:pStyle w:val="Compact"/>
              <w:jc w:val="left"/>
            </w:pPr>
            <w:r>
              <w:t xml:space="preserve">6 weken</w:t>
            </w:r>
          </w:p>
        </w:tc>
        <w:tc>
          <w:tcPr/>
          <w:p>
            <w:pPr>
              <w:pStyle w:val="Compact"/>
              <w:jc w:val="left"/>
            </w:pPr>
            <w:r>
              <w:t xml:space="preserve">GH ↑, IGF-1 en lichaamssamenstelling onveranderd</w:t>
            </w:r>
          </w:p>
        </w:tc>
      </w:tr>
      <w:tr>
        <w:tc>
          <w:tcPr/>
          <w:p>
            <w:pPr>
              <w:pStyle w:val="Compact"/>
              <w:jc w:val="left"/>
            </w:pPr>
            <w:r>
              <w:t xml:space="preserve">Mannenkliniek (Sigalos 2017), PMID 28830317</w:t>
            </w:r>
          </w:p>
        </w:tc>
        <w:tc>
          <w:tcPr/>
          <w:p>
            <w:pPr>
              <w:pStyle w:val="Compact"/>
              <w:jc w:val="left"/>
            </w:pPr>
            <w:r>
              <w:t xml:space="preserve">14 mannen, retrospectief, combinatie met GHRP-2/-6</w:t>
            </w:r>
          </w:p>
        </w:tc>
        <w:tc>
          <w:tcPr/>
          <w:p>
            <w:pPr>
              <w:pStyle w:val="Compact"/>
              <w:jc w:val="left"/>
            </w:pPr>
            <w:r>
              <w:t xml:space="preserve">gemiddeld 134 dagen</w:t>
            </w:r>
          </w:p>
        </w:tc>
        <w:tc>
          <w:tcPr/>
          <w:p>
            <w:pPr>
              <w:pStyle w:val="Compact"/>
              <w:jc w:val="left"/>
            </w:pPr>
            <w:r>
              <w:t xml:space="preserve">IGF-1 159,5 → 239,0 ng/ml</w:t>
            </w:r>
          </w:p>
        </w:tc>
      </w:tr>
    </w:tbl>
    <w:bookmarkEnd w:id="472"/>
    <w:bookmarkEnd w:id="473"/>
    <w:bookmarkStart w:id="474" w:name="dier--en-laboratoriumstudies-23"/>
    <w:p>
      <w:pPr>
        <w:pStyle w:val="Heading3"/>
      </w:pPr>
      <w:r>
        <w:t xml:space="preserve">Dier- en laboratoriumstudies</w:t>
      </w:r>
    </w:p>
    <w:p>
      <w:pPr>
        <w:pStyle w:val="FirstParagraph"/>
      </w:pPr>
      <w:r>
        <w:t xml:space="preserve">Sermoreline zelf werd in het laboratorium vooral onderzocht in verband met de ontdekking ervan en met varianten met een langere werkingsduur, zoals aan polyethyleenglycol gekoppelde varianten die bij ratten en varkens langer werkten dan het onveranderde peptide (Esposito 2003, PMID 14499707). Een zuiver rekenkundige studie, die genactiviteitsgegevens van gliompatiënten vergeleek met een geneesmiddelendatabase, noemde sermoreline als mogelijke kandidaat tegen terugkerende hersentumoren (Chang 2021, PMID 33842627). Dat is een computerhypothese zonder bevestiging in het laboratorium of bij patiënten – en staat in opvallend contrast met de zorg dat stimulering van de groeias tumoren eerder zou kunnen bevorderen.</w:t>
      </w:r>
    </w:p>
    <w:bookmarkEnd w:id="474"/>
    <w:bookmarkStart w:id="475" w:name="risicos-en-bijwerkingen-23"/>
    <w:p>
      <w:pPr>
        <w:pStyle w:val="Heading3"/>
      </w:pPr>
      <w:r>
        <w:t xml:space="preserve">Risico’s en bijwerkingen</w:t>
      </w:r>
    </w:p>
    <w:p>
      <w:pPr>
        <w:pStyle w:val="FirstParagraph"/>
      </w:pPr>
      <w:r>
        <w:rPr>
          <w:bCs/>
          <w:b/>
        </w:rPr>
        <w:t xml:space="preserve">Aangetoond (uit de registratie- en studiegegevens):</w:t>
      </w:r>
      <w:r>
        <w:t xml:space="preserve"> </w:t>
      </w:r>
      <w:r>
        <w:t xml:space="preserve">tijdelijke roodheid van het gezicht (flush) en pijn op de injectieplaats waren de meest voorkomende bijwerkingen (Prakash 1999, PMID 18031173). Antilichamen tegen sermoreline kwamen bij kinderen vaak voor, zonder herkenbare gevolgen (Ross 1987, PMID 2879138). In afzonderlijke studies stegen bloedsuiker, insuline of bloedvetten tijdelijk (Kirk 1994, PMID 7955460; Khorram 1997, PMID 9141536).</w:t>
      </w:r>
    </w:p>
    <w:p>
      <w:pPr>
        <w:pStyle w:val="BodyText"/>
      </w:pPr>
      <w:r>
        <w:rPr>
          <w:bCs/>
          <w:b/>
        </w:rPr>
        <w:t xml:space="preserve">Langetermijnrisico’s:</w:t>
      </w:r>
      <w:r>
        <w:t xml:space="preserve"> </w:t>
      </w:r>
      <w:r>
        <w:t xml:space="preserve">systematische langetermijngegevens over sermoreline bij volwassenen zijn er niet. Een casusbeschrijving beschrijft een 62-jarige recreatieve bodybuilder die ongeveer 20 jaar lang groeihormoon en GH-afgiftestimulatoren (waaronder sermoreline met GHRP-6) had gebruikt en door een grote botuitsteeksel aan de halswervelkolom slikklachten kreeg; de auteurs achten een verband mogelijk, maar niet bewezen (Perez 2026, PMID 42465868). Over de principiële vraag of een blijvende verhoging van IGF-1 het kankerrisico verhoogt: zie de inleiding tot deze groep en deel IV.</w:t>
      </w:r>
    </w:p>
    <w:p>
      <w:pPr>
        <w:pStyle w:val="BodyText"/>
      </w:pPr>
      <w:r>
        <w:rPr>
          <w:bCs/>
          <w:b/>
        </w:rPr>
        <w:t xml:space="preserve">Grijze markt:</w:t>
      </w:r>
      <w:r>
        <w:t xml:space="preserve"> </w:t>
      </w:r>
      <w:r>
        <w:t xml:space="preserve">bij een Europese douaneactie werden onder in beslag genomen injectiepreparaten naast groeihormoon en melanotan II ook sermorelineproducten aangetroffen – zonder etikettering en deels zonder werkzame stof (Venhuis 2016, PMID 26456392).</w:t>
      </w:r>
    </w:p>
    <w:bookmarkEnd w:id="475"/>
    <w:bookmarkStart w:id="476" w:name="juridische-status-23"/>
    <w:p>
      <w:pPr>
        <w:pStyle w:val="Heading3"/>
      </w:pPr>
      <w:r>
        <w:t xml:space="preserve">Juridische status</w:t>
      </w:r>
    </w:p>
    <w:p>
      <w:pPr>
        <w:pStyle w:val="FirstParagraph"/>
      </w:pPr>
      <w:r>
        <w:rPr>
          <w:iCs/>
          <w:i/>
        </w:rPr>
        <w:t xml:space="preserve">Stand 2026, actuele situatie controleren.</w:t>
      </w:r>
    </w:p>
    <w:p>
      <w:pPr>
        <w:numPr>
          <w:ilvl w:val="0"/>
          <w:numId w:val="1149"/>
        </w:numPr>
        <w:pStyle w:val="Compact"/>
      </w:pPr>
      <w:r>
        <w:rPr>
          <w:bCs/>
          <w:b/>
        </w:rPr>
        <w:t xml:space="preserve">Achtergrond van de Amerikaanse registratie:</w:t>
      </w:r>
      <w:r>
        <w:t xml:space="preserve"> </w:t>
      </w:r>
      <w:r>
        <w:t xml:space="preserve">Geref was in de VS eerst als diagnosticum en vanaf de jaren negentig voor de behandeling van kinderen met groeihormoontekort geregistreerd. De fabrikant stopte de verkoop tegen het einde van de jaren 2000; volgens de openbaar beschikbare gegevens om productie- resp. economische redenen en niet vanwege een nieuw ontdekt veiligheidsprobleem. Dat het diagnosticum rond die tijd wegviel, is gedocumenteerd in een studie (Garcia 2013, PMID 23559086). Een kant-en-klaar geneesmiddel met een geldige registratie bestaat tegenwoordig niet.</w:t>
      </w:r>
    </w:p>
    <w:p>
      <w:pPr>
        <w:numPr>
          <w:ilvl w:val="0"/>
          <w:numId w:val="1149"/>
        </w:numPr>
        <w:pStyle w:val="Compact"/>
      </w:pPr>
      <w:r>
        <w:rPr>
          <w:bCs/>
          <w:b/>
        </w:rPr>
        <w:t xml:space="preserve">VS nu:</w:t>
      </w:r>
      <w:r>
        <w:t xml:space="preserve"> </w:t>
      </w:r>
      <w:r>
        <w:t xml:space="preserve">sermoreline wordt door bereidingsapotheken (compounding) vervaardigd en vooral in anti-agingpraktijken voorgeschreven. Of en onder welke voorwaarden dat is toegestaan, hangt af van de veranderende FDA-regels voor grondstoffen voor bereidingen, die in vakkringen controversieel worden besproken (Willis 2026, PMID 42752426).</w:t>
      </w:r>
    </w:p>
    <w:p>
      <w:pPr>
        <w:numPr>
          <w:ilvl w:val="0"/>
          <w:numId w:val="1149"/>
        </w:numPr>
        <w:pStyle w:val="Compact"/>
      </w:pPr>
      <w:r>
        <w:rPr>
          <w:bCs/>
          <w:b/>
        </w:rPr>
        <w:t xml:space="preserve">EU, Duitsland, Oostenrijk:</w:t>
      </w:r>
      <w:r>
        <w:t xml:space="preserve"> </w:t>
      </w:r>
      <w:r>
        <w:t xml:space="preserve">geen registratie, geen in de handel zijnd kant-en-klaar geneesmiddel. Levering voor gebruik bij mensen zonder registratie is volgens de respectieve geneesmiddelenwet niet toegestaan; etiketten met</w:t>
      </w:r>
      <w:r>
        <w:t xml:space="preserve"> </w:t>
      </w:r>
      <w:r>
        <w:t xml:space="preserve">‘</w:t>
      </w:r>
      <w:r>
        <w:t xml:space="preserve">alleen voor onderzoeksdoeleinden</w:t>
      </w:r>
      <w:r>
        <w:t xml:space="preserve">’</w:t>
      </w:r>
      <w:r>
        <w:t xml:space="preserve"> </w:t>
      </w:r>
      <w:r>
        <w:t xml:space="preserve">veranderen daar niets aan.</w:t>
      </w:r>
    </w:p>
    <w:p>
      <w:pPr>
        <w:numPr>
          <w:ilvl w:val="0"/>
          <w:numId w:val="1149"/>
        </w:numPr>
        <w:pStyle w:val="Compact"/>
      </w:pPr>
      <w:r>
        <w:rPr>
          <w:bCs/>
          <w:b/>
        </w:rPr>
        <w:t xml:space="preserve">WADA:</w:t>
      </w:r>
      <w:r>
        <w:t xml:space="preserve"> </w:t>
      </w:r>
      <w:r>
        <w:t xml:space="preserve">verboden (S2). Er zijn detectiemethoden voor sermoreline en zijn afbraakproducten in urine ontwikkeld (Memdouh 2021, PMID 34665524).</w:t>
      </w:r>
    </w:p>
    <w:bookmarkEnd w:id="476"/>
    <w:bookmarkStart w:id="477" w:name="lopende-studies-en-vooruitzichten-23"/>
    <w:p>
      <w:pPr>
        <w:pStyle w:val="Heading3"/>
      </w:pPr>
      <w:r>
        <w:t xml:space="preserve">Lopende studies en vooruitzichten</w:t>
      </w:r>
    </w:p>
    <w:p>
      <w:pPr>
        <w:pStyle w:val="FirstParagraph"/>
      </w:pPr>
      <w:r>
        <w:t xml:space="preserve">Een lopende klinische studie met sermoreline zelf staat in oktober 2026 niet bij ClinicalTrials.gov vermeld; de registervermeldingen onder deze zoekterm betreffen afgeronde GHRH-studies of tesamoreline.</w:t>
      </w:r>
      <w:r>
        <w:t xml:space="preserve"> </w:t>
      </w:r>
      <w:r>
        <w:rPr>
          <w:iCs/>
          <w:i/>
        </w:rPr>
        <w:t xml:space="preserve">Inschatting van de auteur:</w:t>
      </w:r>
      <w:r>
        <w:t xml:space="preserve"> </w:t>
      </w:r>
      <w:r>
        <w:t xml:space="preserve">een terugkeer als geregistreerd geneesmiddel is niet in zicht. De vraag wordt verder gedreven door klinieken en online aanbieders, niet door nieuwe studiegegevens.</w:t>
      </w:r>
    </w:p>
    <w:bookmarkEnd w:id="477"/>
    <w:bookmarkStart w:id="478" w:name="conclusie-23"/>
    <w:p>
      <w:pPr>
        <w:pStyle w:val="Heading3"/>
      </w:pPr>
      <w:r>
        <w:t xml:space="preserve">Conclusie</w:t>
      </w:r>
    </w:p>
    <w:p>
      <w:pPr>
        <w:pStyle w:val="FirstParagraph"/>
      </w:pPr>
      <w:r>
        <w:t xml:space="preserve">Sermoreline stimuleert de lichaamseigen afgifte van groeihormoon betrouwbaar en was in de VS geregistreerd voor kinderen met groeihormoontekort, maar werkte daar zwakker dan groeihormoon zelf. De studies bij oudere volwassenen omvatten telkens slechts ongeveer tien tot twintig personen en laten hooguit kleine, wisselende effecten zien. Bewijs voor een nut als</w:t>
      </w:r>
      <w:r>
        <w:t xml:space="preserve"> </w:t>
      </w:r>
      <w:r>
        <w:t xml:space="preserve">‘</w:t>
      </w:r>
      <w:r>
        <w:t xml:space="preserve">anti-agingmiddel</w:t>
      </w:r>
      <w:r>
        <w:t xml:space="preserve">’</w:t>
      </w:r>
      <w:r>
        <w:t xml:space="preserve"> </w:t>
      </w:r>
      <w:r>
        <w:t xml:space="preserve">of voor prestatieverbetering ontbreekt, evenals langetermijngegevens over de veiligheid.</w:t>
      </w:r>
    </w:p>
    <w:bookmarkEnd w:id="478"/>
    <w:bookmarkEnd w:id="479"/>
    <w:bookmarkStart w:id="492" w:name="tesamoreline"/>
    <w:p>
      <w:pPr>
        <w:pStyle w:val="Heading2"/>
      </w:pPr>
      <w:r>
        <w:t xml:space="preserve">Tesamoreline</w:t>
      </w:r>
    </w:p>
    <w:p>
      <w:pPr>
        <w:pStyle w:val="FirstParagraph"/>
      </w:pPr>
      <w:r>
        <w:t xml:space="preserve">Tesamoreline is het enige peptide uit deze groep dat in de Verenigde Staten vandaag als geneesmiddel voor langdurige behandeling is goedgekeurd – zij het voor een zeer specifieke situatie: overmatig buikvet bij mensen met hiv. Juist daarom is het leerzaam. Aan de hand van tesamoreline valt te laten zien wat een verhoging van de lichaamseigen afgifte van groeihormoon in zorgvuldige, placebogecontroleerde studies werkelijk teweegbrengt – en wat niet. Op internet wordt het daarentegen graag als „buikvetpeptide” voor iedereen aangeprezen. Dit hoofdstuk scheidt de aangetoonde toepassing van de verwachtingen.</w:t>
      </w:r>
    </w:p>
    <w:bookmarkStart w:id="480" w:name="profiel-24"/>
    <w:p>
      <w:pPr>
        <w:pStyle w:val="Heading3"/>
      </w:pPr>
      <w:r>
        <w:t xml:space="preserve">Profiel</w:t>
      </w:r>
    </w:p>
    <w:p>
      <w:pPr>
        <w:numPr>
          <w:ilvl w:val="0"/>
          <w:numId w:val="1150"/>
        </w:numPr>
        <w:pStyle w:val="Compact"/>
      </w:pPr>
      <w:r>
        <w:rPr>
          <w:bCs/>
          <w:b/>
        </w:rPr>
        <w:t xml:space="preserve">Soort en structuur:</w:t>
      </w:r>
      <w:r>
        <w:t xml:space="preserve"> </w:t>
      </w:r>
      <w:r>
        <w:t xml:space="preserve">synthetisch peptide van 44 aminozuren; het komt overeen met het volledige menselijke groeihormoon-releasing hormoon, GHRH(1-44) (Falutz 2010, PMID 20101189), waaraan aan het begin een extra chemische groep is gekoppeld die de snelle afbraak in het bloed vertraagt.</w:t>
      </w:r>
    </w:p>
    <w:p>
      <w:pPr>
        <w:numPr>
          <w:ilvl w:val="0"/>
          <w:numId w:val="1150"/>
        </w:numPr>
        <w:pStyle w:val="Compact"/>
      </w:pPr>
      <w:r>
        <w:rPr>
          <w:bCs/>
          <w:b/>
        </w:rPr>
        <w:t xml:space="preserve">Herkomst:</w:t>
      </w:r>
      <w:r>
        <w:t xml:space="preserve"> </w:t>
      </w:r>
      <w:r>
        <w:t xml:space="preserve">ontwikkeld door het Canadese bedrijf Theratechnologies (ontwikkelingsnaam TH9507).</w:t>
      </w:r>
    </w:p>
    <w:p>
      <w:pPr>
        <w:numPr>
          <w:ilvl w:val="0"/>
          <w:numId w:val="1150"/>
        </w:numPr>
        <w:pStyle w:val="Compact"/>
      </w:pPr>
      <w:r>
        <w:rPr>
          <w:bCs/>
          <w:b/>
        </w:rPr>
        <w:t xml:space="preserve">Werkingsprincipe:</w:t>
      </w:r>
      <w:r>
        <w:t xml:space="preserve"> </w:t>
      </w:r>
      <w:r>
        <w:t xml:space="preserve">bindt net als het lichaamseigen GHRH aan diens receptor in de hypofyse en verhoogt zo de eigen, nog steeds pulsatiele afgifte van groeihormoon (GH); als gevolg daarvan stijgt de signaalstof IGF-1.</w:t>
      </w:r>
    </w:p>
    <w:p>
      <w:pPr>
        <w:numPr>
          <w:ilvl w:val="0"/>
          <w:numId w:val="1150"/>
        </w:numPr>
        <w:pStyle w:val="Compact"/>
      </w:pPr>
      <w:r>
        <w:rPr>
          <w:bCs/>
          <w:b/>
        </w:rPr>
        <w:t xml:space="preserve">Registratie EU:</w:t>
      </w:r>
      <w:r>
        <w:t xml:space="preserve"> </w:t>
      </w:r>
      <w:r>
        <w:t xml:space="preserve">nee.</w:t>
      </w:r>
      <w:r>
        <w:t xml:space="preserve"> </w:t>
      </w:r>
      <w:r>
        <w:rPr>
          <w:bCs/>
          <w:b/>
        </w:rPr>
        <w:t xml:space="preserve">Registratie VS:</w:t>
      </w:r>
      <w:r>
        <w:t xml:space="preserve"> </w:t>
      </w:r>
      <w:r>
        <w:t xml:space="preserve">ja (Egrifta, sinds 2010) voor het verminderen van overtollig buikvet bij volwassenen met hiv en lipodystrofie (FDA-goedkeuring beschreven bij Traynor 2010, PMID 21115997).</w:t>
      </w:r>
    </w:p>
    <w:p>
      <w:pPr>
        <w:numPr>
          <w:ilvl w:val="0"/>
          <w:numId w:val="1150"/>
        </w:numPr>
        <w:pStyle w:val="Compact"/>
      </w:pPr>
      <w:r>
        <w:rPr>
          <w:bCs/>
          <w:b/>
        </w:rPr>
        <w:t xml:space="preserve">WADA:</w:t>
      </w:r>
      <w:r>
        <w:t xml:space="preserve"> </w:t>
      </w:r>
      <w:r>
        <w:t xml:space="preserve">verboden, groep S2 (peptidehormonen, groeifactoren, verwante stoffen) – als GHRH-analoog uitdrukkelijk vermeld.</w:t>
      </w:r>
    </w:p>
    <w:p>
      <w:pPr>
        <w:numPr>
          <w:ilvl w:val="0"/>
          <w:numId w:val="1150"/>
        </w:numPr>
        <w:pStyle w:val="Compact"/>
      </w:pPr>
      <w:r>
        <w:rPr>
          <w:bCs/>
          <w:b/>
        </w:rPr>
        <w:t xml:space="preserve">Bewijsniveau: A</w:t>
      </w:r>
      <w:r>
        <w:t xml:space="preserve"> </w:t>
      </w:r>
      <w:r>
        <w:t xml:space="preserve">– twee grote fase 3-studies met samen 806 deelnemers, meerdere andere gerandomiseerde studies, toelating in de VS.</w:t>
      </w:r>
    </w:p>
    <w:bookmarkEnd w:id="480"/>
    <w:bookmarkStart w:id="481" w:name="hoe-het-zou-moeten-werken-24"/>
    <w:p>
      <w:pPr>
        <w:pStyle w:val="Heading3"/>
      </w:pPr>
      <w:r>
        <w:t xml:space="preserve">Hoe het zou moeten werken</w:t>
      </w:r>
    </w:p>
    <w:p>
      <w:pPr>
        <w:pStyle w:val="FirstParagraph"/>
      </w:pPr>
      <w:r>
        <w:t xml:space="preserve">Groeihormoon wordt door de hypofyse niet gelijkmatig, maar in stoten afgegeven, vooral ’s nachts. Dat wordt gestuurd door twee tegenspelers uit de tussenhersenen: GHRH geeft gas, somatostatine remt. Groeihormoon zelf breekt vet af – vooral het vet tussen de organen in de buikholte (visceraal vet) – en zet de lever aan tot de aanmaak van IGF-1, dat veel van de opbouwende effecten overbrengt.</w:t>
      </w:r>
    </w:p>
    <w:p>
      <w:pPr>
        <w:pStyle w:val="BodyText"/>
      </w:pPr>
      <w:r>
        <w:t xml:space="preserve">Onder bepaalde hiv-therapieën, vooral de oudere, hoopt zich bij sommige mensen opvallend veel buikvet op, terwijl armen en benen eerder dunner worden. Deze herverdeling van vet heet lipodystrofie. Bij de betrokkenen is de afgifte van groeihormoon vaak verminderd. Het idee achter tesamoreline: in plaats van groeihormoon van buitenaf te spuiten, stimuleert men de eigen hypofyse. Omdat de lichaamseigen terugkoppelingsmechanismen behouden blijven, zouden te hoge spiegels en de bijbehorende bijwerkingen minder vaak voorkomen dan bij rechtstreekse toediening van GH – een aanname die de studies gedeeltelijk, maar niet volledig ondersteunen.</w:t>
      </w:r>
    </w:p>
    <w:bookmarkEnd w:id="481"/>
    <w:bookmarkStart w:id="486" w:name="studies-bij-mensen-24"/>
    <w:p>
      <w:pPr>
        <w:pStyle w:val="Heading3"/>
      </w:pPr>
      <w:r>
        <w:t xml:space="preserve">Studies bij mensen</w:t>
      </w:r>
    </w:p>
    <w:p>
      <w:pPr>
        <w:pStyle w:val="FirstParagraph"/>
      </w:pPr>
      <w:r>
        <w:rPr>
          <w:bCs/>
          <w:b/>
        </w:rPr>
        <w:t xml:space="preserve">Omvang van het onderzoek (zoekopdracht oktober 2026):</w:t>
      </w:r>
      <w:r>
        <w:t xml:space="preserve"> </w:t>
      </w:r>
      <w:r>
        <w:t xml:space="preserve">De geautomatiseerde zoekopdracht van dit boek vond</w:t>
      </w:r>
      <w:r>
        <w:t xml:space="preserve"> </w:t>
      </w:r>
      <w:r>
        <w:rPr>
          <w:bCs/>
          <w:b/>
        </w:rPr>
        <w:t xml:space="preserve">23</w:t>
      </w:r>
      <w:r>
        <w:t xml:space="preserve"> </w:t>
      </w:r>
      <w:r>
        <w:t xml:space="preserve">studies bij mensen in PubMed (</w:t>
      </w:r>
      <w:r>
        <w:rPr>
          <w:rStyle w:val="VerbatimChar"/>
        </w:rPr>
        <w:t xml:space="preserve">humanstudien_alle</w:t>
      </w:r>
      <w:r>
        <w:t xml:space="preserve">) en</w:t>
      </w:r>
      <w:r>
        <w:t xml:space="preserve"> </w:t>
      </w:r>
      <w:r>
        <w:rPr>
          <w:bCs/>
          <w:b/>
        </w:rPr>
        <w:t xml:space="preserve">24</w:t>
      </w:r>
      <w:r>
        <w:t xml:space="preserve"> </w:t>
      </w:r>
      <w:r>
        <w:t xml:space="preserve">registraties bij ClinicalTrials.gov; een daarvan (sponsor „Hudson Biotech”, titeltoevoeging „Mock Study”) is kennelijk een fictieve voorbeeldregistratie en wordt hier niet meegeteld, zodat er</w:t>
      </w:r>
      <w:r>
        <w:t xml:space="preserve"> </w:t>
      </w:r>
      <w:r>
        <w:rPr>
          <w:bCs/>
          <w:b/>
        </w:rPr>
        <w:t xml:space="preserve">23</w:t>
      </w:r>
      <w:r>
        <w:t xml:space="preserve"> </w:t>
      </w:r>
      <w:r>
        <w:t xml:space="preserve">echte geregistreerde studies overblijven. Daarnaast zijn er drie systematische reviews met meta-analyses.</w:t>
      </w:r>
    </w:p>
    <w:bookmarkStart w:id="482" w:name="de-registratiestudies"/>
    <w:p>
      <w:pPr>
        <w:pStyle w:val="Heading4"/>
      </w:pPr>
      <w:r>
        <w:t xml:space="preserve">De registratiestudies</w:t>
      </w:r>
    </w:p>
    <w:p>
      <w:pPr>
        <w:pStyle w:val="FirstParagraph"/>
      </w:pPr>
      <w:r>
        <w:t xml:space="preserve">De toelating berust op twee vrijwel identiek opgezette fase 3-studies bij mensen met hiv en meer buikvet. In beide kregen de deelnemers in een verhouding van 2:1 dagelijks tesamoreline of een nepmiddel (placebo) onderhuids ingespoten; na 26 weken volgde een verlengingsfase waarin een deel van de tesamorelinegroep verder werd behandeld en een ander deel werd overgezet op placebo.</w:t>
      </w:r>
    </w:p>
    <w:p>
      <w:pPr>
        <w:pStyle w:val="BodyText"/>
      </w:pPr>
      <w:r>
        <w:t xml:space="preserve">In de eerste studie met 412 deelnemers (86% mannen) daalde het viscerale vet, gemeten met computertomografie, onder tesamoreline met 15,2%, onder placebo steeg het met 5,0%. De triglyceriden (bloedvetten) daalden met 50 mg/dl tegenover een stijging met 9 mg/dl. IGF-1 steeg met 81,0%. De bloedsuikerwaarden verschilden niet significant; wel stopten in de tesamorelinegroep meer deelnemers vanwege bijwerkingen (Falutz 2007, PMID 18057338). Over 52 weken bleef de afname van het buikvet bij ononderbroken behandeling ongeveer −18%; na het stoppen keerde het vet terug (Falutz 2008, PMID 18690162).</w:t>
      </w:r>
    </w:p>
    <w:p>
      <w:pPr>
        <w:pStyle w:val="BodyText"/>
      </w:pPr>
      <w:r>
        <w:t xml:space="preserve">De tweede studie met 404 deelnemers bevestigde dat: −10,9% visceraal vet onder tesamoreline tegenover −0,6% onder placebo na zes maanden, geen verandering van het onderhuidse vet aan armen, benen en buik, en een snel verlies van het effect na overschakeling op placebo (Falutz 2010, PMID 20101189).</w:t>
      </w:r>
    </w:p>
    <w:p>
      <w:pPr>
        <w:pStyle w:val="BodyText"/>
      </w:pPr>
      <w:r>
        <w:t xml:space="preserve">De gezamenlijke analyse van beide studies met 806 personen liet na 26 weken een behandeleffect van −15,4% op het viscerale vet zien, verbeteringen van de triglyceriden en van de verhouding tussen totaal- en HDL-cholesterol, en van de tevredenheid over het uiterlijk van de buik. Klinisch relevante verschillen in de bloedsuikerwaarden vonden de auteurs niet (Falutz 2010, PMID 20554713). Niet iedereen heeft er evenveel baat bij: een vervolganalyse definieerde vooraf een afname van het buikvet met ten minste 8% als „respons”. Bij deze responders daalden de triglyceriden duidelijk sterker, en bloedsuiker en HbA1c bleven grotendeels stabiel; bij non-responders stegen nuchtere glucose en HbA1c licht (achteraf uitgevoerde analyse) (Stanley 2012, PMID 22495074).</w:t>
      </w:r>
    </w:p>
    <w:bookmarkEnd w:id="482"/>
    <w:bookmarkStart w:id="483" w:name="levervet"/>
    <w:p>
      <w:pPr>
        <w:pStyle w:val="Heading4"/>
      </w:pPr>
      <w:r>
        <w:t xml:space="preserve">Levervet</w:t>
      </w:r>
    </w:p>
    <w:p>
      <w:pPr>
        <w:pStyle w:val="FirstParagraph"/>
      </w:pPr>
      <w:r>
        <w:t xml:space="preserve">Bijzonder interessant is het effect op de leververvetting. In een kleinere studie met 50 personen met hiv daalde naast het buikvet ook het levervet; de nuchtere glucose steeg na twee weken tijdelijk, na zes maanden was er geen significant verschil meer (Stanley 2014, PMID 25038357). Een daaropvolgende gerandomiseerde, dubbelblinde studie onderzocht gericht 61 mensen met hiv en niet-alcoholische leververvetting gedurende twaalf maanden met leverbiopten. Het levervetpercentage daalde absoluut 4,1 procentpunten sterker dan onder placebo, relatief 37%; 35% van de tesamorelinegroep, maar slechts 4% van de placebogroep zat aan het eind onder de grens voor leververvetting van 5% (Stanley 2019, PMID 31611038). Of dat op lange termijn levercirrose of leverkanker voorkomt, is niet onderzocht.</w:t>
      </w:r>
    </w:p>
    <w:bookmarkEnd w:id="483"/>
    <w:bookmarkStart w:id="484" w:name="andere-toepassingen"/>
    <w:p>
      <w:pPr>
        <w:pStyle w:val="Heading4"/>
      </w:pPr>
      <w:r>
        <w:t xml:space="preserve">Andere toepassingen</w:t>
      </w:r>
    </w:p>
    <w:p>
      <w:pPr>
        <w:pStyle w:val="FirstParagraph"/>
      </w:pPr>
      <w:r>
        <w:t xml:space="preserve">Buiten hiv zijn er alleen kleinere studies:</w:t>
      </w:r>
    </w:p>
    <w:p>
      <w:pPr>
        <w:numPr>
          <w:ilvl w:val="0"/>
          <w:numId w:val="1151"/>
        </w:numPr>
        <w:pStyle w:val="Compact"/>
      </w:pPr>
      <w:r>
        <w:t xml:space="preserve">Bij 60 mensen met abdominale obesitas en verminderde GH-afgifte (zonder hiv) verlaagde tesamoreline gedurende twaalf maanden het viscerale vet, de triglyceriden, het C-reactief proteïne en de wanddikte van de halsslagader, zonder de bloedsuikerwaarden te verslechteren (Makimura 2012, PMID 23015655).</w:t>
      </w:r>
    </w:p>
    <w:p>
      <w:pPr>
        <w:numPr>
          <w:ilvl w:val="0"/>
          <w:numId w:val="1151"/>
        </w:numPr>
        <w:pStyle w:val="Compact"/>
      </w:pPr>
      <w:r>
        <w:t xml:space="preserve">Bij 53 mensen met diabetes type 2 veranderden gedurende twaalf weken noch de insulinerespons noch het HbA1c ten opzichte van placebo (Clemmons 2017, PMID 28617838).</w:t>
      </w:r>
    </w:p>
    <w:p>
      <w:pPr>
        <w:numPr>
          <w:ilvl w:val="0"/>
          <w:numId w:val="1151"/>
        </w:numPr>
        <w:pStyle w:val="Compact"/>
      </w:pPr>
      <w:r>
        <w:t xml:space="preserve">In een studie met 152 oudere volwassenen (55 tot 87 jaar), van wie 66 met een lichte cognitieve stoornis, werd na 20 weken een gunstig effect gezien op de totale beoordeling van het denkvermogen, vooral op de executieve functies. Bijwerkingen – meestal licht – meldde 68% onder tesamoreline tegenover 36% onder placebo (Baker 2012, PMID 22869065). Een bevestigingsstudie ontbreekt.</w:t>
      </w:r>
    </w:p>
    <w:p>
      <w:pPr>
        <w:numPr>
          <w:ilvl w:val="0"/>
          <w:numId w:val="1151"/>
        </w:numPr>
        <w:pStyle w:val="Compact"/>
      </w:pPr>
      <w:r>
        <w:t xml:space="preserve">Bij 73 mensen met hiv, abdominale obesitas en cognitieve beperkingen liet een open fase 2-studie geen significant verschil in denkvermogen zien ten opzichte van de standaardbehandeling (Ellis 2025, PMID 39813152).</w:t>
      </w:r>
    </w:p>
    <w:bookmarkEnd w:id="484"/>
    <w:bookmarkStart w:id="485" w:name="meta-analyses"/>
    <w:p>
      <w:pPr>
        <w:pStyle w:val="Heading4"/>
      </w:pPr>
      <w:r>
        <w:t xml:space="preserve">Meta-analyses</w:t>
      </w:r>
    </w:p>
    <w:p>
      <w:pPr>
        <w:pStyle w:val="FirstParagraph"/>
      </w:pPr>
      <w:r>
        <w:t xml:space="preserve">Twee meta-analyses uit 2026 vatten de gerandomiseerde studies bij hiv-lipodystrofie samen. De ene (vier studies, 909 personen) vond een vermindering van het viscerale vet, van de middelomtrek met 1,61 cm en van het rompvet, en een toename van de vetvrije massa met 1,42 kg; het percentage uitvallers wegens bijwerkingen was neigend hoger (risicoratio 2,25, statistisch net niet significant) (Ditta 2026, PMID 42538058). De andere (vijf studies) bevestigde de afname van het levervet met 4,28 procentpunten en noemde gewrichts- en spierpijn, tintelingen en huidreacties op de injectieplaats als typische bijwerkingen (Badran 2026, PMID 41545261).</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Deelnemers en opzet</w:t>
            </w:r>
          </w:p>
        </w:tc>
        <w:tc>
          <w:tcPr/>
          <w:p>
            <w:pPr>
              <w:pStyle w:val="Compact"/>
              <w:jc w:val="left"/>
            </w:pPr>
            <w:r>
              <w:t xml:space="preserve">Duur</w:t>
            </w:r>
          </w:p>
        </w:tc>
        <w:tc>
          <w:tcPr/>
          <w:p>
            <w:pPr>
              <w:pStyle w:val="Compact"/>
              <w:jc w:val="left"/>
            </w:pPr>
            <w:r>
              <w:t xml:space="preserve">Resultaat</w:t>
            </w:r>
          </w:p>
        </w:tc>
      </w:tr>
      <w:tr>
        <w:tc>
          <w:tcPr/>
          <w:p>
            <w:pPr>
              <w:pStyle w:val="Compact"/>
              <w:jc w:val="left"/>
            </w:pPr>
            <w:r>
              <w:t xml:space="preserve">Fase 3, studie 1 (Falutz 2007), PMID 18057338</w:t>
            </w:r>
          </w:p>
        </w:tc>
        <w:tc>
          <w:tcPr/>
          <w:p>
            <w:pPr>
              <w:pStyle w:val="Compact"/>
              <w:jc w:val="left"/>
            </w:pPr>
            <w:r>
              <w:t xml:space="preserve">412 personen met hiv en buikvet, RCT tegen placebo</w:t>
            </w:r>
          </w:p>
        </w:tc>
        <w:tc>
          <w:tcPr/>
          <w:p>
            <w:pPr>
              <w:pStyle w:val="Compact"/>
              <w:jc w:val="left"/>
            </w:pPr>
            <w:r>
              <w:t xml:space="preserve">26 weken</w:t>
            </w:r>
          </w:p>
        </w:tc>
        <w:tc>
          <w:tcPr/>
          <w:p>
            <w:pPr>
              <w:pStyle w:val="Compact"/>
              <w:jc w:val="left"/>
            </w:pPr>
            <w:r>
              <w:t xml:space="preserve">visceraal vet −15,2% vs. +5,0%</w:t>
            </w:r>
          </w:p>
        </w:tc>
      </w:tr>
      <w:tr>
        <w:tc>
          <w:tcPr/>
          <w:p>
            <w:pPr>
              <w:pStyle w:val="Compact"/>
              <w:jc w:val="left"/>
            </w:pPr>
            <w:r>
              <w:t xml:space="preserve">Fase 3, studie 2 (Falutz 2010), PMID 20101189</w:t>
            </w:r>
          </w:p>
        </w:tc>
        <w:tc>
          <w:tcPr/>
          <w:p>
            <w:pPr>
              <w:pStyle w:val="Compact"/>
              <w:jc w:val="left"/>
            </w:pPr>
            <w:r>
              <w:t xml:space="preserve">404 personen met hiv, RCT met verlengingsfase</w:t>
            </w:r>
          </w:p>
        </w:tc>
        <w:tc>
          <w:tcPr/>
          <w:p>
            <w:pPr>
              <w:pStyle w:val="Compact"/>
              <w:jc w:val="left"/>
            </w:pPr>
            <w:r>
              <w:t xml:space="preserve">12 maanden</w:t>
            </w:r>
          </w:p>
        </w:tc>
        <w:tc>
          <w:tcPr/>
          <w:p>
            <w:pPr>
              <w:pStyle w:val="Compact"/>
              <w:jc w:val="left"/>
            </w:pPr>
            <w:r>
              <w:t xml:space="preserve">−10,9% vs. −0,6% na 6 maanden; effect verdwijnt na stoppen</w:t>
            </w:r>
          </w:p>
        </w:tc>
      </w:tr>
      <w:tr>
        <w:tc>
          <w:tcPr/>
          <w:p>
            <w:pPr>
              <w:pStyle w:val="Compact"/>
              <w:jc w:val="left"/>
            </w:pPr>
            <w:r>
              <w:t xml:space="preserve">Gepoolde analyse (Falutz 2010), PMID 20554713</w:t>
            </w:r>
          </w:p>
        </w:tc>
        <w:tc>
          <w:tcPr/>
          <w:p>
            <w:pPr>
              <w:pStyle w:val="Compact"/>
              <w:jc w:val="left"/>
            </w:pPr>
            <w:r>
              <w:t xml:space="preserve">806 personen uit beide fase 3-studies</w:t>
            </w:r>
          </w:p>
        </w:tc>
        <w:tc>
          <w:tcPr/>
          <w:p>
            <w:pPr>
              <w:pStyle w:val="Compact"/>
              <w:jc w:val="left"/>
            </w:pPr>
            <w:r>
              <w:t xml:space="preserve">26–52 weken</w:t>
            </w:r>
          </w:p>
        </w:tc>
        <w:tc>
          <w:tcPr/>
          <w:p>
            <w:pPr>
              <w:pStyle w:val="Compact"/>
              <w:jc w:val="left"/>
            </w:pPr>
            <w:r>
              <w:t xml:space="preserve">behandeleffect −15,4%; bloedsuiker zonder klinisch relevante verandering</w:t>
            </w:r>
          </w:p>
        </w:tc>
      </w:tr>
      <w:tr>
        <w:tc>
          <w:tcPr/>
          <w:p>
            <w:pPr>
              <w:pStyle w:val="Compact"/>
              <w:jc w:val="left"/>
            </w:pPr>
            <w:r>
              <w:t xml:space="preserve">Leververvetting bij hiv (Stanley 2019), PMID 31611038</w:t>
            </w:r>
          </w:p>
        </w:tc>
        <w:tc>
          <w:tcPr/>
          <w:p>
            <w:pPr>
              <w:pStyle w:val="Compact"/>
              <w:jc w:val="left"/>
            </w:pPr>
            <w:r>
              <w:t xml:space="preserve">61 personen met hiv en leververvetting, RCT</w:t>
            </w:r>
          </w:p>
        </w:tc>
        <w:tc>
          <w:tcPr/>
          <w:p>
            <w:pPr>
              <w:pStyle w:val="Compact"/>
              <w:jc w:val="left"/>
            </w:pPr>
            <w:r>
              <w:t xml:space="preserve">12 maanden</w:t>
            </w:r>
          </w:p>
        </w:tc>
        <w:tc>
          <w:tcPr/>
          <w:p>
            <w:pPr>
              <w:pStyle w:val="Compact"/>
              <w:jc w:val="left"/>
            </w:pPr>
            <w:r>
              <w:t xml:space="preserve">levervetpercentage −4,1 procentpunten vs. placebo</w:t>
            </w:r>
          </w:p>
        </w:tc>
      </w:tr>
      <w:tr>
        <w:tc>
          <w:tcPr/>
          <w:p>
            <w:pPr>
              <w:pStyle w:val="Compact"/>
              <w:jc w:val="left"/>
            </w:pPr>
            <w:r>
              <w:t xml:space="preserve">Zonder hiv (Makimura 2012), PMID 23015655</w:t>
            </w:r>
          </w:p>
        </w:tc>
        <w:tc>
          <w:tcPr/>
          <w:p>
            <w:pPr>
              <w:pStyle w:val="Compact"/>
              <w:jc w:val="left"/>
            </w:pPr>
            <w:r>
              <w:t xml:space="preserve">60 volwassenen met abdominale obesitas, RCT</w:t>
            </w:r>
          </w:p>
        </w:tc>
        <w:tc>
          <w:tcPr/>
          <w:p>
            <w:pPr>
              <w:pStyle w:val="Compact"/>
              <w:jc w:val="left"/>
            </w:pPr>
            <w:r>
              <w:t xml:space="preserve">12 maanden</w:t>
            </w:r>
          </w:p>
        </w:tc>
        <w:tc>
          <w:tcPr/>
          <w:p>
            <w:pPr>
              <w:pStyle w:val="Compact"/>
              <w:jc w:val="left"/>
            </w:pPr>
            <w:r>
              <w:t xml:space="preserve">visceraal vet −35 cm² ten opzichte van placebo</w:t>
            </w:r>
          </w:p>
        </w:tc>
      </w:tr>
      <w:tr>
        <w:tc>
          <w:tcPr/>
          <w:p>
            <w:pPr>
              <w:pStyle w:val="Compact"/>
              <w:jc w:val="left"/>
            </w:pPr>
            <w:r>
              <w:t xml:space="preserve">Cognitie op oudere leeftijd (Baker 2012), PMID 22869065</w:t>
            </w:r>
          </w:p>
        </w:tc>
        <w:tc>
          <w:tcPr/>
          <w:p>
            <w:pPr>
              <w:pStyle w:val="Compact"/>
              <w:jc w:val="left"/>
            </w:pPr>
            <w:r>
              <w:t xml:space="preserve">152 ouderen, van wie 66 met lichte cognitieve stoornis, RCT</w:t>
            </w:r>
          </w:p>
        </w:tc>
        <w:tc>
          <w:tcPr/>
          <w:p>
            <w:pPr>
              <w:pStyle w:val="Compact"/>
              <w:jc w:val="left"/>
            </w:pPr>
            <w:r>
              <w:t xml:space="preserve">20 weken</w:t>
            </w:r>
          </w:p>
        </w:tc>
        <w:tc>
          <w:tcPr/>
          <w:p>
            <w:pPr>
              <w:pStyle w:val="Compact"/>
              <w:jc w:val="left"/>
            </w:pPr>
            <w:r>
              <w:t xml:space="preserve">gunstig effect op denkvermogen; meer bijwerkingen</w:t>
            </w:r>
          </w:p>
        </w:tc>
      </w:tr>
      <w:tr>
        <w:tc>
          <w:tcPr/>
          <w:p>
            <w:pPr>
              <w:pStyle w:val="Compact"/>
              <w:jc w:val="left"/>
            </w:pPr>
            <w:r>
              <w:t xml:space="preserve">Meta-analyse (Ditta 2026), PMID 42538058</w:t>
            </w:r>
          </w:p>
        </w:tc>
        <w:tc>
          <w:tcPr/>
          <w:p>
            <w:pPr>
              <w:pStyle w:val="Compact"/>
              <w:jc w:val="left"/>
            </w:pPr>
            <w:r>
              <w:t xml:space="preserve">4 RCT’s, 909 personen met hiv</w:t>
            </w:r>
          </w:p>
        </w:tc>
        <w:tc>
          <w:tcPr/>
          <w:p>
            <w:pPr>
              <w:pStyle w:val="Compact"/>
              <w:jc w:val="left"/>
            </w:pPr>
            <w:r>
              <w:t xml:space="preserve">–</w:t>
            </w:r>
          </w:p>
        </w:tc>
        <w:tc>
          <w:tcPr/>
          <w:p>
            <w:pPr>
              <w:pStyle w:val="Compact"/>
              <w:jc w:val="left"/>
            </w:pPr>
            <w:r>
              <w:t xml:space="preserve">minder visceraal vet, +1,42 kg vetvrije massa</w:t>
            </w:r>
          </w:p>
        </w:tc>
      </w:tr>
    </w:tbl>
    <w:bookmarkEnd w:id="485"/>
    <w:bookmarkEnd w:id="486"/>
    <w:bookmarkStart w:id="487" w:name="dier--en-laboratoriumstudies-24"/>
    <w:p>
      <w:pPr>
        <w:pStyle w:val="Heading3"/>
      </w:pPr>
      <w:r>
        <w:t xml:space="preserve">Dier- en laboratoriumstudies</w:t>
      </w:r>
    </w:p>
    <w:p>
      <w:pPr>
        <w:pStyle w:val="FirstParagraph"/>
      </w:pPr>
      <w:r>
        <w:t xml:space="preserve">Voor tesamoreline zelf is er relatief weinig zelfstandig dieronderzoek; de ontwikkeling bouwde voort op het goed onderzochte lichaamseigen GHRH. Een overzichtsartikel bespreekt of stimulering van de groeihormoon-as het herstel van beschadigde zenuwen zou kunnen bevorderen, en steunt daarbij overwegend op dier- en mechanismestudies (Tuffaha 2016, PMID 27192539). Een kleine fase 2-studie hierover bij mensen is geregistreerd (NCT03150511).</w:t>
      </w:r>
    </w:p>
    <w:p>
      <w:pPr>
        <w:pStyle w:val="BodyText"/>
      </w:pPr>
      <w:r>
        <w:t xml:space="preserve">Een weefselanalyse van de leverbiopten uit de leververvettingsstudie liet zien dat onder tesamoreline genclusters voor energiewinning in de mitochondriën actiever en genclusters voor ontsteking, weefselombouw en celdeling minder actief waren dan onder placebo (Fourman 2020, PMID 32701508). Dat zijn bevindingen uit weefselmonsters van mensen, maar geen klinische eindpunten.</w:t>
      </w:r>
    </w:p>
    <w:bookmarkEnd w:id="487"/>
    <w:bookmarkStart w:id="488" w:name="risicos-en-bijwerkingen-24"/>
    <w:p>
      <w:pPr>
        <w:pStyle w:val="Heading3"/>
      </w:pPr>
      <w:r>
        <w:t xml:space="preserve">Risico’s en bijwerkingen</w:t>
      </w:r>
    </w:p>
    <w:p>
      <w:pPr>
        <w:pStyle w:val="FirstParagraph"/>
      </w:pPr>
      <w:r>
        <w:rPr>
          <w:bCs/>
          <w:b/>
        </w:rPr>
        <w:t xml:space="preserve">Aangetoond in de studies:</w:t>
      </w:r>
    </w:p>
    <w:p>
      <w:pPr>
        <w:numPr>
          <w:ilvl w:val="0"/>
          <w:numId w:val="1152"/>
        </w:numPr>
        <w:pStyle w:val="Compact"/>
      </w:pPr>
      <w:r>
        <w:t xml:space="preserve">Reacties op de injectieplaats (roodheid, jeuk) – in de leververvettingsstudie vaker dan onder placebo, maar niet ernstig (Stanley 2019, PMID 31611038).</w:t>
      </w:r>
    </w:p>
    <w:p>
      <w:pPr>
        <w:numPr>
          <w:ilvl w:val="0"/>
          <w:numId w:val="1152"/>
        </w:numPr>
        <w:pStyle w:val="Compact"/>
      </w:pPr>
      <w:r>
        <w:t xml:space="preserve">Typische groeihormooneffecten zoals gewrichts- en spierpijn en tintelingen (Badran 2026, PMID 41545261).</w:t>
      </w:r>
    </w:p>
    <w:p>
      <w:pPr>
        <w:numPr>
          <w:ilvl w:val="0"/>
          <w:numId w:val="1152"/>
        </w:numPr>
        <w:pStyle w:val="Compact"/>
      </w:pPr>
      <w:r>
        <w:t xml:space="preserve">Bloedsuiker: in de grote studies gemiddeld geen klinisch relevante verslechtering, maar wel een tijdelijke stijging van de nuchtere glucose in de eerste weken (Stanley 2014, PMID 25038357) en een lichte stijging bij mensen bij wie het buikvet niet reageerde (Stanley 2012, PMID 22495074). Mensen met diabetes horen medisch gecontroleerd te worden.</w:t>
      </w:r>
    </w:p>
    <w:p>
      <w:pPr>
        <w:numPr>
          <w:ilvl w:val="0"/>
          <w:numId w:val="1152"/>
        </w:numPr>
        <w:pStyle w:val="Compact"/>
      </w:pPr>
      <w:r>
        <w:t xml:space="preserve">Meer stopzettingen van de behandeling wegens bijwerkingen dan onder placebo (Falutz 2007, PMID 18057338).</w:t>
      </w:r>
    </w:p>
    <w:p>
      <w:pPr>
        <w:numPr>
          <w:ilvl w:val="0"/>
          <w:numId w:val="1152"/>
        </w:numPr>
        <w:pStyle w:val="Compact"/>
      </w:pPr>
      <w:r>
        <w:t xml:space="preserve">Het effect is niet blijvend: na het stoppen keert het buikvet terug (Falutz 2008, PMID 18690162).</w:t>
      </w:r>
    </w:p>
    <w:p>
      <w:pPr>
        <w:pStyle w:val="FirstParagraph"/>
      </w:pPr>
      <w:r>
        <w:rPr>
          <w:bCs/>
          <w:b/>
        </w:rPr>
        <w:t xml:space="preserve">Open of theoretisch:</w:t>
      </w:r>
      <w:r>
        <w:t xml:space="preserve"> </w:t>
      </w:r>
      <w:r>
        <w:t xml:space="preserve">tesamoreline verhoogt IGF-1 duidelijk – in de eerste fase 3-studie met 81%. Hoge IGF-1-spiegels gaan in observationele studies gepaard met een iets hoger risico op enkele vormen van kanker (details in de inleiding tot deze groep en in Deel IV). Uit de tesamorelinestudies zelf valt geen verhoogd kankerrisico af te leiden, maar ze waren daarvoor ook te kort. Een langlopende observationele studie van de fabrikant met 391 deelnemers (NCT01579695) en een studie naar diabetische netvliesaandoening (NCT01591902) werden voortijdig beëindigd; gepubliceerde resultaten daarvan heb ik in PubMed niet gevonden. Volgens de productinformatie mag tesamoreline bij actieve kanker niet worden gebruikt; de details staan in de productinformatie, en het gebruik hoort in handen van een arts.</w:t>
      </w:r>
    </w:p>
    <w:bookmarkEnd w:id="488"/>
    <w:bookmarkStart w:id="489" w:name="juridische-status-24"/>
    <w:p>
      <w:pPr>
        <w:pStyle w:val="Heading3"/>
      </w:pPr>
      <w:r>
        <w:t xml:space="preserve">Juridische status</w:t>
      </w:r>
    </w:p>
    <w:p>
      <w:pPr>
        <w:pStyle w:val="FirstParagraph"/>
      </w:pPr>
      <w:r>
        <w:rPr>
          <w:iCs/>
          <w:i/>
        </w:rPr>
        <w:t xml:space="preserve">Stand 2026, actuele situatie controleren.</w:t>
      </w:r>
    </w:p>
    <w:p>
      <w:pPr>
        <w:numPr>
          <w:ilvl w:val="0"/>
          <w:numId w:val="1153"/>
        </w:numPr>
        <w:pStyle w:val="Compact"/>
      </w:pPr>
      <w:r>
        <w:rPr>
          <w:bCs/>
          <w:b/>
        </w:rPr>
        <w:t xml:space="preserve">EU:</w:t>
      </w:r>
      <w:r>
        <w:t xml:space="preserve"> </w:t>
      </w:r>
      <w:r>
        <w:t xml:space="preserve">niet toegelaten. Tesamoreline is in geen enkele EU-lidstaat als geneesmiddel in de handel.</w:t>
      </w:r>
    </w:p>
    <w:p>
      <w:pPr>
        <w:numPr>
          <w:ilvl w:val="0"/>
          <w:numId w:val="1153"/>
        </w:numPr>
        <w:pStyle w:val="Compact"/>
      </w:pPr>
      <w:r>
        <w:rPr>
          <w:bCs/>
          <w:b/>
        </w:rPr>
        <w:t xml:space="preserve">Duitsland en Oostenrijk:</w:t>
      </w:r>
      <w:r>
        <w:t xml:space="preserve"> </w:t>
      </w:r>
      <w:r>
        <w:t xml:space="preserve">geen toelating. Verkrijging zou hoogstens denkbaar zijn via een door een arts verantwoorde individuele invoer van een in het buitenland toegelaten geneesmiddel; de verstrekking van grijze-marktproducten voor gebruik bij mensen is niet toegestaan.</w:t>
      </w:r>
    </w:p>
    <w:p>
      <w:pPr>
        <w:numPr>
          <w:ilvl w:val="0"/>
          <w:numId w:val="1153"/>
        </w:numPr>
        <w:pStyle w:val="Compact"/>
      </w:pPr>
      <w:r>
        <w:rPr>
          <w:bCs/>
          <w:b/>
        </w:rPr>
        <w:t xml:space="preserve">VS:</w:t>
      </w:r>
      <w:r>
        <w:t xml:space="preserve"> </w:t>
      </w:r>
      <w:r>
        <w:t xml:space="preserve">toegelaten als Egrifta (op recept) uitsluitend voor het verminderen van overtollig buikvet bij hiv-geassocieerde lipodystrofie. Elk ander gebruik – bijvoorbeeld „om af te vallen” of „tegen veroudering” – is off-label.</w:t>
      </w:r>
    </w:p>
    <w:p>
      <w:pPr>
        <w:numPr>
          <w:ilvl w:val="0"/>
          <w:numId w:val="1153"/>
        </w:numPr>
        <w:pStyle w:val="Compact"/>
      </w:pPr>
      <w:r>
        <w:rPr>
          <w:bCs/>
          <w:b/>
        </w:rPr>
        <w:t xml:space="preserve">WADA:</w:t>
      </w:r>
      <w:r>
        <w:t xml:space="preserve"> </w:t>
      </w:r>
      <w:r>
        <w:t xml:space="preserve">verboden (S2), zowel binnen als buiten wedstrijden. Antidopinglaboratoria hebben detectiemethoden ontwikkeld voor tesamoreline en andere GHRH-analogen in urine (Memdouh 2021, PMID 34665524).</w:t>
      </w:r>
    </w:p>
    <w:bookmarkEnd w:id="489"/>
    <w:bookmarkStart w:id="490" w:name="lopende-studies-en-vooruitzichten-24"/>
    <w:p>
      <w:pPr>
        <w:pStyle w:val="Heading3"/>
      </w:pPr>
      <w:r>
        <w:t xml:space="preserve">Lopende studies en vooruitzichten</w:t>
      </w:r>
    </w:p>
    <w:p>
      <w:pPr>
        <w:pStyle w:val="FirstParagraph"/>
      </w:pPr>
      <w:r>
        <w:t xml:space="preserve">Bij ClinicalTrials.gov staan in oktober 2026 onder meer de volgende open studies geregistreerd: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Opzet</w:t>
            </w:r>
          </w:p>
        </w:tc>
        <w:tc>
          <w:tcPr/>
          <w:p>
            <w:pPr>
              <w:pStyle w:val="Compact"/>
              <w:jc w:val="left"/>
            </w:pPr>
            <w:r>
              <w:t xml:space="preserve">Status</w:t>
            </w:r>
          </w:p>
        </w:tc>
        <w:tc>
          <w:tcPr/>
          <w:p>
            <w:pPr>
              <w:pStyle w:val="Compact"/>
              <w:jc w:val="left"/>
            </w:pPr>
            <w:r>
              <w:t xml:space="preserve">Onderwerp</w:t>
            </w:r>
          </w:p>
        </w:tc>
      </w:tr>
      <w:tr>
        <w:tc>
          <w:tcPr/>
          <w:p>
            <w:pPr>
              <w:pStyle w:val="Compact"/>
              <w:jc w:val="left"/>
            </w:pPr>
            <w:r>
              <w:t xml:space="preserve">NCT06554717</w:t>
            </w:r>
          </w:p>
        </w:tc>
        <w:tc>
          <w:tcPr/>
          <w:p>
            <w:pPr>
              <w:pStyle w:val="Compact"/>
              <w:jc w:val="left"/>
            </w:pPr>
            <w:r>
              <w:t xml:space="preserve">fase 2, 100 personen</w:t>
            </w:r>
          </w:p>
        </w:tc>
        <w:tc>
          <w:tcPr/>
          <w:p>
            <w:pPr>
              <w:pStyle w:val="Compact"/>
              <w:jc w:val="left"/>
            </w:pPr>
            <w:r>
              <w:t xml:space="preserve">werving loopt (start 2025)</w:t>
            </w:r>
          </w:p>
        </w:tc>
        <w:tc>
          <w:tcPr/>
          <w:p>
            <w:pPr>
              <w:pStyle w:val="Compact"/>
              <w:jc w:val="left"/>
            </w:pPr>
            <w:r>
              <w:t xml:space="preserve">tesamoreline naast training bij hiv – lichamelijk prestatievermogen</w:t>
            </w:r>
          </w:p>
        </w:tc>
      </w:tr>
      <w:tr>
        <w:tc>
          <w:tcPr/>
          <w:p>
            <w:pPr>
              <w:pStyle w:val="Compact"/>
              <w:jc w:val="left"/>
            </w:pPr>
            <w:r>
              <w:t xml:space="preserve">NCT03150511</w:t>
            </w:r>
          </w:p>
        </w:tc>
        <w:tc>
          <w:tcPr/>
          <w:p>
            <w:pPr>
              <w:pStyle w:val="Compact"/>
              <w:jc w:val="left"/>
            </w:pPr>
            <w:r>
              <w:t xml:space="preserve">fase 2, 36 personen</w:t>
            </w:r>
          </w:p>
        </w:tc>
        <w:tc>
          <w:tcPr/>
          <w:p>
            <w:pPr>
              <w:pStyle w:val="Compact"/>
              <w:jc w:val="left"/>
            </w:pPr>
            <w:r>
              <w:t xml:space="preserve">werving loopt (sinds 2018)</w:t>
            </w:r>
          </w:p>
        </w:tc>
        <w:tc>
          <w:tcPr/>
          <w:p>
            <w:pPr>
              <w:pStyle w:val="Compact"/>
              <w:jc w:val="left"/>
            </w:pPr>
            <w:r>
              <w:t xml:space="preserve">herstel na letsel van perifere zenuwen</w:t>
            </w:r>
          </w:p>
        </w:tc>
      </w:tr>
    </w:tbl>
    <w:p>
      <w:pPr>
        <w:pStyle w:val="BodyText"/>
      </w:pPr>
      <w:r>
        <w:rPr>
          <w:iCs/>
          <w:i/>
        </w:rPr>
        <w:t xml:space="preserve">Vast staat</w:t>
      </w:r>
      <w:r>
        <w:t xml:space="preserve"> </w:t>
      </w:r>
      <w:r>
        <w:t xml:space="preserve">daarmee alleen dat er verder onderzoek wordt gedaan in kleine fase 2-studies.</w:t>
      </w:r>
      <w:r>
        <w:t xml:space="preserve"> </w:t>
      </w:r>
      <w:r>
        <w:rPr>
          <w:iCs/>
          <w:i/>
        </w:rPr>
        <w:t xml:space="preserve">Inschatting van de auteur:</w:t>
      </w:r>
      <w:r>
        <w:t xml:space="preserve"> </w:t>
      </w:r>
      <w:r>
        <w:t xml:space="preserve">leververvetting buiten hiv zou het meest voor de hand liggende nieuwe toepassingsgebied zijn, maar daar concurreren inmiddels andere werkzame stoffen met duidelijk grotere studieprogramma’s. Een toelating in de EU is op afzienbare termijn niet in zicht.</w:t>
      </w:r>
    </w:p>
    <w:bookmarkEnd w:id="490"/>
    <w:bookmarkStart w:id="491" w:name="conclusie-24"/>
    <w:p>
      <w:pPr>
        <w:pStyle w:val="Heading3"/>
      </w:pPr>
      <w:r>
        <w:t xml:space="preserve">Conclusie</w:t>
      </w:r>
    </w:p>
    <w:p>
      <w:pPr>
        <w:pStyle w:val="FirstParagraph"/>
      </w:pPr>
      <w:r>
        <w:t xml:space="preserve">Tesamoreline is het best onderzochte peptide van de groeihormoon-as: twee grote fase 3-studies tonen aan dat het bij mensen met hiv het viscerale buikvet met ongeveer 15 tot 18% verlaagt en ook het levervet vermindert. Het effect houdt slechts zo lang aan als de behandeling, en niet iedereen reageert. Voor gezonde mensen, sporters of als „anti-aging”-middel zijn er geen betrouwbare gegevens. De veiligheid op lange termijn, vooral met het oog op het verhoogde IGF-1, is niet definitief opgehelderd.</w:t>
      </w:r>
    </w:p>
    <w:bookmarkEnd w:id="491"/>
    <w:bookmarkEnd w:id="492"/>
    <w:bookmarkStart w:id="502" w:name="cjc-1295"/>
    <w:p>
      <w:pPr>
        <w:pStyle w:val="Heading2"/>
      </w:pPr>
      <w:r>
        <w:t xml:space="preserve">CJC-1295</w:t>
      </w:r>
    </w:p>
    <w:p>
      <w:pPr>
        <w:pStyle w:val="FirstParagraph"/>
      </w:pPr>
      <w:r>
        <w:t xml:space="preserve">Onder de naam CJC-1295 worden op internet twee verschillende stoffen verkocht – en dat is het belangrijkste punt van dit hoofdstuk. Het oorspronkelijke CJC-1295 van het bedrijf ConjuChem is een groeihormoon-releasing hormoon met een chemisch „anker” dat zich in het bloed aan het eiwit albumine hecht en de werking verlengt tot ongeveer een week. Handelaren op de grijze markt bieden daarnaast „CJC-1295 zonder DAC” aan, dat in de vakliteratuur meestal „gemodificeerd GRF (1-29)” heet. Voor het eerste zijn er twee kleine studies bij gezonde mensen, voor het tweede niet één.</w:t>
      </w:r>
    </w:p>
    <w:bookmarkStart w:id="493" w:name="profiel-25"/>
    <w:p>
      <w:pPr>
        <w:pStyle w:val="Heading3"/>
      </w:pPr>
      <w:r>
        <w:t xml:space="preserve">Profiel</w:t>
      </w:r>
    </w:p>
    <w:p>
      <w:pPr>
        <w:numPr>
          <w:ilvl w:val="0"/>
          <w:numId w:val="1154"/>
        </w:numPr>
        <w:pStyle w:val="Compact"/>
      </w:pPr>
      <w:r>
        <w:rPr>
          <w:bCs/>
          <w:b/>
        </w:rPr>
        <w:t xml:space="preserve">Soort en structuur:</w:t>
      </w:r>
      <w:r>
        <w:t xml:space="preserve"> </w:t>
      </w:r>
      <w:r>
        <w:t xml:space="preserve">synthetisch analoog van het groeihormoon-releasing hormoon, opgebouwd uit de eerste 29 aminozuren daarvan met vier vervangen bouwstenen die de afbraak bemoeilijken.</w:t>
      </w:r>
    </w:p>
    <w:p>
      <w:pPr>
        <w:numPr>
          <w:ilvl w:val="1"/>
          <w:numId w:val="1155"/>
        </w:numPr>
        <w:pStyle w:val="Compact"/>
      </w:pPr>
      <w:r>
        <w:rPr>
          <w:iCs/>
          <w:i/>
        </w:rPr>
        <w:t xml:space="preserve">CJC-1295 met DAC</w:t>
      </w:r>
      <w:r>
        <w:t xml:space="preserve"> </w:t>
      </w:r>
      <w:r>
        <w:t xml:space="preserve">(Drug Affinity Complex): daarnaast een reactief anker aan het eind van de keten, dat zich na de injectie stevig aan albumine bindt (Jetté 2005, PMID 15817669).</w:t>
      </w:r>
    </w:p>
    <w:p>
      <w:pPr>
        <w:numPr>
          <w:ilvl w:val="1"/>
          <w:numId w:val="1155"/>
        </w:numPr>
        <w:pStyle w:val="Compact"/>
      </w:pPr>
      <w:r>
        <w:rPr>
          <w:iCs/>
          <w:i/>
        </w:rPr>
        <w:t xml:space="preserve">CJC-1295 zonder DAC</w:t>
      </w:r>
      <w:r>
        <w:t xml:space="preserve"> </w:t>
      </w:r>
      <w:r>
        <w:t xml:space="preserve">(„Mod GRF 1-29”): dezelfde keten zonder anker; korte werkingsduur.</w:t>
      </w:r>
    </w:p>
    <w:p>
      <w:pPr>
        <w:numPr>
          <w:ilvl w:val="0"/>
          <w:numId w:val="1154"/>
        </w:numPr>
        <w:pStyle w:val="Compact"/>
      </w:pPr>
      <w:r>
        <w:rPr>
          <w:bCs/>
          <w:b/>
        </w:rPr>
        <w:t xml:space="preserve">Herkomst:</w:t>
      </w:r>
      <w:r>
        <w:t xml:space="preserve"> </w:t>
      </w:r>
      <w:r>
        <w:t xml:space="preserve">ontwikkeld door ConjuChem (Canada) in de jaren 2000; de klinische ontwikkeling werd niet voortgezet.</w:t>
      </w:r>
    </w:p>
    <w:p>
      <w:pPr>
        <w:numPr>
          <w:ilvl w:val="0"/>
          <w:numId w:val="1154"/>
        </w:numPr>
        <w:pStyle w:val="Compact"/>
      </w:pPr>
      <w:r>
        <w:rPr>
          <w:bCs/>
          <w:b/>
        </w:rPr>
        <w:t xml:space="preserve">Werkingsprincipe:</w:t>
      </w:r>
      <w:r>
        <w:t xml:space="preserve"> </w:t>
      </w:r>
      <w:r>
        <w:t xml:space="preserve">binding aan de GHRH-receptor van de hypofyse; stijging van groeihormoon en IGF-1.</w:t>
      </w:r>
    </w:p>
    <w:p>
      <w:pPr>
        <w:numPr>
          <w:ilvl w:val="0"/>
          <w:numId w:val="1154"/>
        </w:numPr>
        <w:pStyle w:val="Compact"/>
      </w:pPr>
      <w:r>
        <w:rPr>
          <w:bCs/>
          <w:b/>
        </w:rPr>
        <w:t xml:space="preserve">Registratie EU:</w:t>
      </w:r>
      <w:r>
        <w:t xml:space="preserve"> </w:t>
      </w:r>
      <w:r>
        <w:t xml:space="preserve">nee.</w:t>
      </w:r>
      <w:r>
        <w:t xml:space="preserve"> </w:t>
      </w:r>
      <w:r>
        <w:rPr>
          <w:bCs/>
          <w:b/>
        </w:rPr>
        <w:t xml:space="preserve">Registratie VS:</w:t>
      </w:r>
      <w:r>
        <w:t xml:space="preserve"> </w:t>
      </w:r>
      <w:r>
        <w:t xml:space="preserve">nee.</w:t>
      </w:r>
    </w:p>
    <w:p>
      <w:pPr>
        <w:numPr>
          <w:ilvl w:val="0"/>
          <w:numId w:val="1154"/>
        </w:numPr>
        <w:pStyle w:val="Compact"/>
      </w:pPr>
      <w:r>
        <w:rPr>
          <w:bCs/>
          <w:b/>
        </w:rPr>
        <w:t xml:space="preserve">WADA:</w:t>
      </w:r>
      <w:r>
        <w:t xml:space="preserve"> </w:t>
      </w:r>
      <w:r>
        <w:t xml:space="preserve">verboden, groep S2 – CJC-1295 wordt als GHRH-analoog uitdrukkelijk genoemd.</w:t>
      </w:r>
    </w:p>
    <w:p>
      <w:pPr>
        <w:numPr>
          <w:ilvl w:val="0"/>
          <w:numId w:val="1154"/>
        </w:numPr>
        <w:pStyle w:val="Compact"/>
      </w:pPr>
      <w:r>
        <w:rPr>
          <w:bCs/>
          <w:b/>
        </w:rPr>
        <w:t xml:space="preserve">Bewijsniveau: C</w:t>
      </w:r>
      <w:r>
        <w:t xml:space="preserve"> </w:t>
      </w:r>
      <w:r>
        <w:t xml:space="preserve">– twee kleine fase 1-studies bij gezonde mensen (met DAC); geen studie naar een klinisch nut; voor de variant zonder DAC geen enkele studie bij mensen.</w:t>
      </w:r>
    </w:p>
    <w:bookmarkEnd w:id="493"/>
    <w:bookmarkStart w:id="494" w:name="hoe-het-zou-moeten-werken-25"/>
    <w:p>
      <w:pPr>
        <w:pStyle w:val="Heading3"/>
      </w:pPr>
      <w:r>
        <w:t xml:space="preserve">Hoe het zou moeten werken</w:t>
      </w:r>
    </w:p>
    <w:p>
      <w:pPr>
        <w:pStyle w:val="FirstParagraph"/>
      </w:pPr>
      <w:r>
        <w:t xml:space="preserve">Natuurlijk GHRH wordt in het bloed binnen enkele minuten door het enzym dipeptidylpeptidase-4 en via de nieren verwijderd. Het DAC-anker moest dat probleem oplossen: na de injectie reageert het met een vrije zwavelgroep van albumine. Het peptide „rijdt” dan mee op albumine, dat een levensduur van weken heeft, en wordt langzaam afgegeven. Bij ratten bleef CJC-1295 zo meer dan 72 uur in het bloed aantoonbaar (Jetté 2005, PMID 15817669).</w:t>
      </w:r>
    </w:p>
    <w:p>
      <w:pPr>
        <w:pStyle w:val="BodyText"/>
      </w:pPr>
      <w:r>
        <w:t xml:space="preserve">Daarmee verschilt CJC-1295 met DAC fundamenteel van alle andere GH-vrijmakers: in plaats van korte impulsen veroorzaakt het een continue stimulatie van de hypofyse. Of dat fysiologisch gunstig is, was een van de open vragen tijdens de ontwikkeling. De variant zonder DAC werkt daarentegen ongeveer even kort als sermoreline en wordt op de grijze markt vaak gecombineerd aangeboden met GH-vrijmakers uit de ghrelinegroep (zoals ipamoreline) – een praktijk waarvoor geen studies bestaan.</w:t>
      </w:r>
    </w:p>
    <w:bookmarkEnd w:id="494"/>
    <w:bookmarkStart w:id="496" w:name="studies-bij-mensen-25"/>
    <w:p>
      <w:pPr>
        <w:pStyle w:val="Heading3"/>
      </w:pPr>
      <w:r>
        <w:t xml:space="preserve">Studies bij mensen</w:t>
      </w:r>
    </w:p>
    <w:p>
      <w:pPr>
        <w:pStyle w:val="FirstParagraph"/>
      </w:pPr>
      <w:r>
        <w:rPr>
          <w:bCs/>
          <w:b/>
        </w:rPr>
        <w:t xml:space="preserve">Omvang van het onderzoek (zoekopdracht oktober 2026):</w:t>
      </w:r>
      <w:r>
        <w:t xml:space="preserve"> </w:t>
      </w:r>
      <w:r>
        <w:t xml:space="preserve">De geautomatiseerde zoekopdracht van dit boek vond</w:t>
      </w:r>
      <w:r>
        <w:t xml:space="preserve"> </w:t>
      </w:r>
      <w:r>
        <w:rPr>
          <w:bCs/>
          <w:b/>
        </w:rPr>
        <w:t xml:space="preserve">2</w:t>
      </w:r>
      <w:r>
        <w:t xml:space="preserve"> </w:t>
      </w:r>
      <w:r>
        <w:t xml:space="preserve">studies bij mensen in PubMed (</w:t>
      </w:r>
      <w:r>
        <w:rPr>
          <w:rStyle w:val="VerbatimChar"/>
        </w:rPr>
        <w:t xml:space="preserve">humanstudien_alle</w:t>
      </w:r>
      <w:r>
        <w:t xml:space="preserve">) en</w:t>
      </w:r>
      <w:r>
        <w:t xml:space="preserve"> </w:t>
      </w:r>
      <w:r>
        <w:rPr>
          <w:bCs/>
          <w:b/>
        </w:rPr>
        <w:t xml:space="preserve">1</w:t>
      </w:r>
      <w:r>
        <w:t xml:space="preserve"> </w:t>
      </w:r>
      <w:r>
        <w:t xml:space="preserve">registratie bij ClinicalTrials.gov. Een gerichte aanvullende zoekopdracht leverde daarnaast een vervolganalyse van bloedmonsters uit een van beide studies op. Alle publicaties betreffen CJC-1295</w:t>
      </w:r>
      <w:r>
        <w:t xml:space="preserve"> </w:t>
      </w:r>
      <w:r>
        <w:rPr>
          <w:iCs/>
          <w:i/>
        </w:rPr>
        <w:t xml:space="preserve">met</w:t>
      </w:r>
      <w:r>
        <w:t xml:space="preserve"> </w:t>
      </w:r>
      <w:r>
        <w:t xml:space="preserve">DAC.</w:t>
      </w:r>
    </w:p>
    <w:p>
      <w:pPr>
        <w:pStyle w:val="BodyText"/>
      </w:pPr>
      <w:r>
        <w:rPr>
          <w:bCs/>
          <w:b/>
        </w:rPr>
        <w:t xml:space="preserve">Dosisbepaling bij gezonde mensen:</w:t>
      </w:r>
      <w:r>
        <w:t xml:space="preserve"> </w:t>
      </w:r>
      <w:r>
        <w:t xml:space="preserve">In twee gerandomiseerde, placebogecontroleerde, dubbelblinde studies met oplopende doses kregen gezonde volwassenen tussen 21 en 61 jaar één injectie of twee tot drie wekelijkse of tweewekelijkse injecties. Na één enkele injectie steeg groeihormoon gemiddeld tot het 2- tot 10-voudige gedurende zes dagen of langer, IGF-1 tot het 1,5- tot 3-voudige gedurende 9 tot 11 dagen. De halfwaardetijd lag tussen 5,8 en 8,1 dagen. Na meerdere doses bleef IGF-1 tot 28 dagen boven de uitgangswaarde. Ernstige bijwerkingen werden niet gemeld (Teichman 2006, PMID 16352683).</w:t>
      </w:r>
    </w:p>
    <w:p>
      <w:pPr>
        <w:pStyle w:val="BodyText"/>
      </w:pPr>
      <w:r>
        <w:rPr>
          <w:bCs/>
          <w:b/>
        </w:rPr>
        <w:t xml:space="preserve">Pulsatiliteit:</w:t>
      </w:r>
      <w:r>
        <w:t xml:space="preserve"> </w:t>
      </w:r>
      <w:r>
        <w:t xml:space="preserve">Een tweede studie onderzocht bij gezonde mannen tussen 20 en 40 jaar of het natuurlijke stootsgewijze patroon van de GH-afgifte behouden blijft. Een week na de injectie waren frequentie en hoogte van de GH-pieken onveranderd, maar het basisniveau tussen de pieken was 7,5 keer verhoogd; het gemiddelde GH steeg met 46%, IGF-1 met 45% (Ionescu 2006, PMID 17018654).</w:t>
      </w:r>
    </w:p>
    <w:p>
      <w:pPr>
        <w:pStyle w:val="BodyText"/>
      </w:pPr>
      <w:r>
        <w:rPr>
          <w:bCs/>
          <w:b/>
        </w:rPr>
        <w:t xml:space="preserve">Bloedeiwitten:</w:t>
      </w:r>
      <w:r>
        <w:t xml:space="preserve"> </w:t>
      </w:r>
      <w:r>
        <w:t xml:space="preserve">Een analyse van serummonsters van 11 jonge mannen vóór en een week na de injectie zocht naar nieuwe markers voor de werking van groeihormoon en vond veranderingen in afzonderlijke bloedeiwitten (Sackmann-Sala 2009, PMID 19386527). Dat is fundamenteel onderzoek zonder klinische betekenis.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Deelnemers en opzet</w:t>
            </w:r>
          </w:p>
        </w:tc>
        <w:tc>
          <w:tcPr/>
          <w:p>
            <w:pPr>
              <w:pStyle w:val="Compact"/>
              <w:jc w:val="left"/>
            </w:pPr>
            <w:r>
              <w:t xml:space="preserve">Duur</w:t>
            </w:r>
          </w:p>
        </w:tc>
        <w:tc>
          <w:tcPr/>
          <w:p>
            <w:pPr>
              <w:pStyle w:val="Compact"/>
              <w:jc w:val="left"/>
            </w:pPr>
            <w:r>
              <w:t xml:space="preserve">Resultaat</w:t>
            </w:r>
          </w:p>
        </w:tc>
      </w:tr>
      <w:tr>
        <w:tc>
          <w:tcPr/>
          <w:p>
            <w:pPr>
              <w:pStyle w:val="Compact"/>
              <w:jc w:val="left"/>
            </w:pPr>
            <w:r>
              <w:t xml:space="preserve">Dosisbepaling (Teichman 2006), PMID 16352683</w:t>
            </w:r>
          </w:p>
        </w:tc>
        <w:tc>
          <w:tcPr/>
          <w:p>
            <w:pPr>
              <w:pStyle w:val="Compact"/>
              <w:jc w:val="left"/>
            </w:pPr>
            <w:r>
              <w:t xml:space="preserve">gezonde volwassenen 21–61 jaar, twee RCT’s tegen placebo, oplopende doses</w:t>
            </w:r>
          </w:p>
        </w:tc>
        <w:tc>
          <w:tcPr/>
          <w:p>
            <w:pPr>
              <w:pStyle w:val="Compact"/>
              <w:jc w:val="left"/>
            </w:pPr>
            <w:r>
              <w:t xml:space="preserve">28 resp. 49 dagen</w:t>
            </w:r>
          </w:p>
        </w:tc>
        <w:tc>
          <w:tcPr/>
          <w:p>
            <w:pPr>
              <w:pStyle w:val="Compact"/>
              <w:jc w:val="left"/>
            </w:pPr>
            <w:r>
              <w:t xml:space="preserve">GH 2- tot 10-voudig, IGF-1 1,5- tot 3-voudig verhoogd; halfwaardetijd 5,8–8,1 dagen</w:t>
            </w:r>
          </w:p>
        </w:tc>
      </w:tr>
      <w:tr>
        <w:tc>
          <w:tcPr/>
          <w:p>
            <w:pPr>
              <w:pStyle w:val="Compact"/>
              <w:jc w:val="left"/>
            </w:pPr>
            <w:r>
              <w:t xml:space="preserve">GH-pulsatiliteit (Ionescu 2006), PMID 17018654</w:t>
            </w:r>
          </w:p>
        </w:tc>
        <w:tc>
          <w:tcPr/>
          <w:p>
            <w:pPr>
              <w:pStyle w:val="Compact"/>
              <w:jc w:val="left"/>
            </w:pPr>
            <w:r>
              <w:t xml:space="preserve">gezonde mannen 20–40 jaar, voor-navergelijking</w:t>
            </w:r>
          </w:p>
        </w:tc>
        <w:tc>
          <w:tcPr/>
          <w:p>
            <w:pPr>
              <w:pStyle w:val="Compact"/>
              <w:jc w:val="left"/>
            </w:pPr>
            <w:r>
              <w:t xml:space="preserve">1 week na enkele dosis</w:t>
            </w:r>
          </w:p>
        </w:tc>
        <w:tc>
          <w:tcPr/>
          <w:p>
            <w:pPr>
              <w:pStyle w:val="Compact"/>
              <w:jc w:val="left"/>
            </w:pPr>
            <w:r>
              <w:t xml:space="preserve">pieken behouden, basaal GH 7,5-voudig, IGF-1 +45%</w:t>
            </w:r>
          </w:p>
        </w:tc>
      </w:tr>
      <w:tr>
        <w:tc>
          <w:tcPr/>
          <w:p>
            <w:pPr>
              <w:pStyle w:val="Compact"/>
              <w:jc w:val="left"/>
            </w:pPr>
            <w:r>
              <w:t xml:space="preserve">Hiv-buikvet, NCT00267527</w:t>
            </w:r>
          </w:p>
        </w:tc>
        <w:tc>
          <w:tcPr/>
          <w:p>
            <w:pPr>
              <w:pStyle w:val="Compact"/>
              <w:jc w:val="left"/>
            </w:pPr>
            <w:r>
              <w:t xml:space="preserve">gepland 120 personen, fase 2, RCT</w:t>
            </w:r>
          </w:p>
        </w:tc>
        <w:tc>
          <w:tcPr/>
          <w:p>
            <w:pPr>
              <w:pStyle w:val="Compact"/>
              <w:jc w:val="left"/>
            </w:pPr>
            <w:r>
              <w:t xml:space="preserve">gepland 12 weken</w:t>
            </w:r>
          </w:p>
        </w:tc>
        <w:tc>
          <w:tcPr/>
          <w:p>
            <w:pPr>
              <w:pStyle w:val="Compact"/>
              <w:jc w:val="left"/>
            </w:pPr>
            <w:r>
              <w:t xml:space="preserve">in 2006 afgebroken; geen resultaten gepubliceerd</w:t>
            </w:r>
          </w:p>
        </w:tc>
      </w:tr>
    </w:tbl>
    <w:bookmarkStart w:id="495" w:name="X9226709da95601573bff7126dea8c2d6cc1fb07"/>
    <w:p>
      <w:pPr>
        <w:pStyle w:val="Heading4"/>
      </w:pPr>
      <w:r>
        <w:t xml:space="preserve">De afgebroken fase 2-studie en het gemelde sterfgeval</w:t>
      </w:r>
    </w:p>
    <w:p>
      <w:pPr>
        <w:pStyle w:val="FirstParagraph"/>
      </w:pPr>
      <w:r>
        <w:t xml:space="preserve">ConjuChem startte eind 2005 een gerandomiseerde, placebogecontroleerde fase 2-studie met twee doses CJC-1295 bij mensen met hiv en meer buikvet – dus in hetzelfde toepassingsgebied waarvoor later tesamoreline werd toegelaten (NCT00267527). De registratie vermeldt de status „afgebroken” (laatste update oktober 2006), maar geen reden voor de afbraak en geen resultaten.</w:t>
      </w:r>
    </w:p>
    <w:p>
      <w:pPr>
        <w:pStyle w:val="BodyText"/>
      </w:pPr>
      <w:r>
        <w:t xml:space="preserve">Op online fora en in sommige overzichten wordt beweerd dat de studie werd stopgezet na het overlijden van een deelnemer.</w:t>
      </w:r>
      <w:r>
        <w:t xml:space="preserve"> </w:t>
      </w:r>
      <w:r>
        <w:rPr>
          <w:bCs/>
          <w:b/>
        </w:rPr>
        <w:t xml:space="preserve">Dit sterfgeval is in de voor dit boek gecontroleerde bronnen niet aangetoond:</w:t>
      </w:r>
      <w:r>
        <w:t xml:space="preserve"> </w:t>
      </w:r>
      <w:r>
        <w:t xml:space="preserve">noch de registratie noch een PubMed-publicatie documenteert het. Het valt daarom niet te bevestigen dat het zich heeft voorgedaan, en evenmin te beoordelen of het met de werkzame stof samenhing. Vast staat alleen dat de studie voortijdig eindigde en dat CJC-1295 daarna niet verder werd ontwikkeld.</w:t>
      </w:r>
    </w:p>
    <w:bookmarkEnd w:id="495"/>
    <w:bookmarkEnd w:id="496"/>
    <w:bookmarkStart w:id="497" w:name="dier--en-laboratoriumstudies-25"/>
    <w:p>
      <w:pPr>
        <w:pStyle w:val="Heading3"/>
      </w:pPr>
      <w:r>
        <w:t xml:space="preserve">Dier- en laboratoriumstudies</w:t>
      </w:r>
    </w:p>
    <w:p>
      <w:pPr>
        <w:numPr>
          <w:ilvl w:val="0"/>
          <w:numId w:val="1156"/>
        </w:numPr>
        <w:pStyle w:val="Compact"/>
      </w:pPr>
      <w:r>
        <w:rPr>
          <w:bCs/>
          <w:b/>
        </w:rPr>
        <w:t xml:space="preserve">Ratten:</w:t>
      </w:r>
      <w:r>
        <w:t xml:space="preserve"> </w:t>
      </w:r>
      <w:r>
        <w:t xml:space="preserve">Van drie geteste albumine-ankervarianten maakte CJC-1295 het meeste groeihormoon vrij – over twee uur ongeveer vier keer zoveel als onveranderd GRF(1-29) – en het bleef meer dan 72 uur in het bloed (Jetté 2005, PMID 15817669).</w:t>
      </w:r>
    </w:p>
    <w:p>
      <w:pPr>
        <w:numPr>
          <w:ilvl w:val="0"/>
          <w:numId w:val="1156"/>
        </w:numPr>
        <w:pStyle w:val="Compact"/>
      </w:pPr>
      <w:r>
        <w:rPr>
          <w:bCs/>
          <w:b/>
        </w:rPr>
        <w:t xml:space="preserve">Muizen:</w:t>
      </w:r>
      <w:r>
        <w:t xml:space="preserve"> </w:t>
      </w:r>
      <w:r>
        <w:t xml:space="preserve">Bij muizen zonder eigen GHRH normaliseerde dagelijkse toediening gewicht en lengte; toediening om de 48 of 72 uur was daarvoor niet volledig voldoende. In de hypofyse nam het aantal GH-producerende cellen toe (Alba 2006, PMID 16822960). Een toename van hypofysecellen is gewenst als een tekort moet worden aangevuld – bij gezonde mensen is de betekenis op lange termijn onbekend.</w:t>
      </w:r>
    </w:p>
    <w:bookmarkEnd w:id="497"/>
    <w:bookmarkStart w:id="498" w:name="risicos-en-bijwerkingen-25"/>
    <w:p>
      <w:pPr>
        <w:pStyle w:val="Heading3"/>
      </w:pPr>
      <w:r>
        <w:t xml:space="preserve">Risico’s en bijwerkingen</w:t>
      </w:r>
    </w:p>
    <w:p>
      <w:pPr>
        <w:pStyle w:val="FirstParagraph"/>
      </w:pPr>
      <w:r>
        <w:rPr>
          <w:bCs/>
          <w:b/>
        </w:rPr>
        <w:t xml:space="preserve">Aangetoond in de fase 1-studies:</w:t>
      </w:r>
      <w:r>
        <w:t xml:space="preserve"> </w:t>
      </w:r>
      <w:r>
        <w:t xml:space="preserve">geen ernstige bijwerkingen bij een klein aantal kortdurend behandelde gezonde mensen; de verdraagbaarheid werd als relatief goed beschreven, vooral bij de lagere doses (Teichman 2006, PMID 16352683). Deze gegevensbasis is te klein om zeldzame of langetermijnrisico’s te herkennen.</w:t>
      </w:r>
    </w:p>
    <w:p>
      <w:pPr>
        <w:pStyle w:val="BodyText"/>
      </w:pPr>
      <w:r>
        <w:rPr>
          <w:bCs/>
          <w:b/>
        </w:rPr>
        <w:t xml:space="preserve">Plausibel, maar niet onderzocht:</w:t>
      </w:r>
      <w:r>
        <w:t xml:space="preserve"> </w:t>
      </w:r>
      <w:r>
        <w:t xml:space="preserve">de DAC-variant houdt groeihormoon en IGF-1 dagenlang continu verhoogd. Typische gevolgen van verhoogde GH-spiegels zijn vochtophoping, gewrichtspijn, carpaletunnelklachten en een verslechterde insulinegevoeligheid. Of een blijvend verhoogd IGF-1 op lange termijn het kankerrisico verhoogt, is voor CJC-1295 niet onderzocht; voor de algemene stand van de gegevens zie de inleiding tot deze groep en Deel IV.</w:t>
      </w:r>
    </w:p>
    <w:p>
      <w:pPr>
        <w:pStyle w:val="BodyText"/>
      </w:pPr>
      <w:r>
        <w:rPr>
          <w:bCs/>
          <w:b/>
        </w:rPr>
        <w:t xml:space="preserve">Grijze markt:</w:t>
      </w:r>
      <w:r>
        <w:t xml:space="preserve"> </w:t>
      </w:r>
      <w:r>
        <w:t xml:space="preserve">Al in 2009 analyseerde een Noors laboratorium in opdracht van politie en douane een onbekend preparaat en vond een peptide van 29 aminozuren dat overeenkwam met de als CJC-1295 verkochte sequentie (Henninge 2010, PMID 21204297). Deense douanemonsters bevatten „gemodificeerd GRF 1-29” en ghrelinemimetica met een extra, niet vermeld aminozuur glycine (Gajda 2019, PMID 30136411). Kopers kunnen dus niet weten of ze de variant met of zonder DAC, een gewijzigd molecuul of iets heel anders ontvangen. Een analyse van bodybuildingfora laat zien dat ook vrouwen CJC-1295 gebruiken om af te vallen, voor de huid of voor de slaap, en zich daarbij baseren op ervaringsverhalen in plaats van op studies (Van Hout 2016, PMID 26771670).</w:t>
      </w:r>
    </w:p>
    <w:bookmarkEnd w:id="498"/>
    <w:bookmarkStart w:id="499" w:name="juridische-status-25"/>
    <w:p>
      <w:pPr>
        <w:pStyle w:val="Heading3"/>
      </w:pPr>
      <w:r>
        <w:t xml:space="preserve">Juridische status</w:t>
      </w:r>
    </w:p>
    <w:p>
      <w:pPr>
        <w:pStyle w:val="FirstParagraph"/>
      </w:pPr>
      <w:r>
        <w:rPr>
          <w:iCs/>
          <w:i/>
        </w:rPr>
        <w:t xml:space="preserve">Stand 2026, actuele situatie controleren.</w:t>
      </w:r>
    </w:p>
    <w:p>
      <w:pPr>
        <w:numPr>
          <w:ilvl w:val="0"/>
          <w:numId w:val="1157"/>
        </w:numPr>
        <w:pStyle w:val="Compact"/>
      </w:pPr>
      <w:r>
        <w:rPr>
          <w:bCs/>
          <w:b/>
        </w:rPr>
        <w:t xml:space="preserve">EU, Duitsland, Oostenrijk:</w:t>
      </w:r>
      <w:r>
        <w:t xml:space="preserve"> </w:t>
      </w:r>
      <w:r>
        <w:t xml:space="preserve">geen toelating. CJC-1295 is een niet-toegelaten geneesmiddel; verstrekking en handel voor gebruik bij mensen zijn volgens de geneesmiddelenwetgeving niet toegestaan, ook als producten als „research peptide” worden aangeduid.</w:t>
      </w:r>
    </w:p>
    <w:p>
      <w:pPr>
        <w:numPr>
          <w:ilvl w:val="0"/>
          <w:numId w:val="1157"/>
        </w:numPr>
        <w:pStyle w:val="Compact"/>
      </w:pPr>
      <w:r>
        <w:rPr>
          <w:bCs/>
          <w:b/>
        </w:rPr>
        <w:t xml:space="preserve">VS:</w:t>
      </w:r>
      <w:r>
        <w:t xml:space="preserve"> </w:t>
      </w:r>
      <w:r>
        <w:t xml:space="preserve">geen toelating. De FDA heeft CJC-1295 – net als meerdere andere peptiden uit dit boek – onder de grondstoffen voor bereidingsapotheken ingedeeld als stof met veiligheidsbezwaren (categorie 2). Deze indelingen zijn sindsdien in het bevoegde adviescomité en in vakkringen controversieel besproken (Willis 2026, PMID 42752426); wijzigingen zijn mogelijk.</w:t>
      </w:r>
    </w:p>
    <w:p>
      <w:pPr>
        <w:numPr>
          <w:ilvl w:val="0"/>
          <w:numId w:val="1157"/>
        </w:numPr>
        <w:pStyle w:val="Compact"/>
      </w:pPr>
      <w:r>
        <w:rPr>
          <w:bCs/>
          <w:b/>
        </w:rPr>
        <w:t xml:space="preserve">WADA:</w:t>
      </w:r>
      <w:r>
        <w:t xml:space="preserve"> </w:t>
      </w:r>
      <w:r>
        <w:t xml:space="preserve">verboden (S2). Detectiemethoden voor CJC-1295 met en zonder DAC in urine zijn beschreven (Memdouh 2021, PMID 34665524); ook in de paardensport wordt ernaar gezocht (Timms 2019, PMID 30938069).</w:t>
      </w:r>
    </w:p>
    <w:bookmarkEnd w:id="499"/>
    <w:bookmarkStart w:id="500" w:name="lopende-studies-en-vooruitzichten-25"/>
    <w:p>
      <w:pPr>
        <w:pStyle w:val="Heading3"/>
      </w:pPr>
      <w:r>
        <w:t xml:space="preserve">Lopende studies en vooruitzichten</w:t>
      </w:r>
    </w:p>
    <w:p>
      <w:pPr>
        <w:pStyle w:val="FirstParagraph"/>
      </w:pPr>
      <w:r>
        <w:t xml:space="preserve">Bij ClinicalTrials.gov is in oktober 2026 naast de in 2006 afgebroken fase 2-studie geen registratie voor CJC-1295 te vinden.</w:t>
      </w:r>
      <w:r>
        <w:t xml:space="preserve"> </w:t>
      </w:r>
      <w:r>
        <w:rPr>
          <w:iCs/>
          <w:i/>
        </w:rPr>
        <w:t xml:space="preserve">Inschatting van de auteur:</w:t>
      </w:r>
      <w:r>
        <w:t xml:space="preserve"> </w:t>
      </w:r>
      <w:r>
        <w:t xml:space="preserve">een verdere klinische ontwikkeling is niet in zicht. Het principe „peptide met albumine-anker voor langere werking” leeft daarentegen voort in andere werkzame stoffen, bijvoorbeeld in langwerkende groeihormoonpreparaten en GLP-1-geneesmiddelen.</w:t>
      </w:r>
    </w:p>
    <w:bookmarkEnd w:id="500"/>
    <w:bookmarkStart w:id="501" w:name="conclusie-25"/>
    <w:p>
      <w:pPr>
        <w:pStyle w:val="Heading3"/>
      </w:pPr>
      <w:r>
        <w:t xml:space="preserve">Conclusie</w:t>
      </w:r>
    </w:p>
    <w:p>
      <w:pPr>
        <w:pStyle w:val="FirstParagraph"/>
      </w:pPr>
      <w:r>
        <w:t xml:space="preserve">CJC-1295 met DAC verhoogt bij gezonde mensen groeihormoon en IGF-1 gedurende een tot twee weken na één enkele injectie – meer is bij mensen niet onderzocht. De enige patiëntenstudie werd in 2006 zonder gepubliceerde reden afgebroken; een vaak beweerd sterfgeval is in registratie en vakliteratuur niet gedocumenteerd. Voor de op internet meestal verkochte variant zonder DAC bestaat niet één studie bij mensen, en laboratoriumanalyses tonen aan dat de inhoud van grijze-marktproducten onzeker is.</w:t>
      </w:r>
    </w:p>
    <w:bookmarkEnd w:id="501"/>
    <w:bookmarkEnd w:id="502"/>
    <w:bookmarkStart w:id="511" w:name="ipamoreline"/>
    <w:p>
      <w:pPr>
        <w:pStyle w:val="Heading2"/>
      </w:pPr>
      <w:r>
        <w:t xml:space="preserve">Ipamoreline</w:t>
      </w:r>
    </w:p>
    <w:p>
      <w:pPr>
        <w:pStyle w:val="FirstParagraph"/>
      </w:pPr>
      <w:r>
        <w:t xml:space="preserve">Ipamoreline geldt in fitness- en anti-agingkringen als de „schone” groeihormoonvrijmaker: het zou gericht groeihormoon vrijmaken zonder stresshormonen en eetlust aan te jagen. Deze eigenschap komt uit dierproeven uit de jaren negentig. Bij mensen is ipamoreline daadwerkelijk klinisch getest – maar niet voor spieropbouw of verjonging, wel voor iets heel anders: de darmverlamming na buikoperaties. Daar leverde het geen aantoonbaar voordeel op.</w:t>
      </w:r>
    </w:p>
    <w:bookmarkStart w:id="503" w:name="profiel-26"/>
    <w:p>
      <w:pPr>
        <w:pStyle w:val="Heading3"/>
      </w:pPr>
      <w:r>
        <w:t xml:space="preserve">Profiel</w:t>
      </w:r>
    </w:p>
    <w:p>
      <w:pPr>
        <w:numPr>
          <w:ilvl w:val="0"/>
          <w:numId w:val="1158"/>
        </w:numPr>
        <w:pStyle w:val="Compact"/>
      </w:pPr>
      <w:r>
        <w:rPr>
          <w:bCs/>
          <w:b/>
        </w:rPr>
        <w:t xml:space="preserve">Soort en structuur:</w:t>
      </w:r>
      <w:r>
        <w:t xml:space="preserve"> </w:t>
      </w:r>
      <w:r>
        <w:t xml:space="preserve">synthetisch pentapeptide (5 aminozuren, deels niet-natuurlijk: Aib-His-D-2-Nal-D-Phe-Lys-NH2) (Raun 1998, PMID 9849822).</w:t>
      </w:r>
    </w:p>
    <w:p>
      <w:pPr>
        <w:numPr>
          <w:ilvl w:val="0"/>
          <w:numId w:val="1158"/>
        </w:numPr>
        <w:pStyle w:val="Compact"/>
      </w:pPr>
      <w:r>
        <w:rPr>
          <w:bCs/>
          <w:b/>
        </w:rPr>
        <w:t xml:space="preserve">Herkomst:</w:t>
      </w:r>
      <w:r>
        <w:t xml:space="preserve"> </w:t>
      </w:r>
      <w:r>
        <w:t xml:space="preserve">ontwikkeld door Novo Nordisk (Denemarken) uit de familie van de groeihormoonvrijmakende peptiden (GHRP); later door Helsinn verder ontwikkeld voor het maag-darmgebied.</w:t>
      </w:r>
    </w:p>
    <w:p>
      <w:pPr>
        <w:numPr>
          <w:ilvl w:val="0"/>
          <w:numId w:val="1158"/>
        </w:numPr>
        <w:pStyle w:val="Compact"/>
      </w:pPr>
      <w:r>
        <w:rPr>
          <w:bCs/>
          <w:b/>
        </w:rPr>
        <w:t xml:space="preserve">Werkingsprincipe:</w:t>
      </w:r>
      <w:r>
        <w:t xml:space="preserve"> </w:t>
      </w:r>
      <w:r>
        <w:t xml:space="preserve">bindt aan de ghrelinereceptor (GHS-R1a) in hypofyse en tussenhersenen en in het maag-darmkanaal; veroorzaakt een korte stoot groeihormoon en zou de darmbeweging stimuleren.</w:t>
      </w:r>
    </w:p>
    <w:p>
      <w:pPr>
        <w:numPr>
          <w:ilvl w:val="0"/>
          <w:numId w:val="1158"/>
        </w:numPr>
        <w:pStyle w:val="Compact"/>
      </w:pPr>
      <w:r>
        <w:rPr>
          <w:bCs/>
          <w:b/>
        </w:rPr>
        <w:t xml:space="preserve">Registratie EU:</w:t>
      </w:r>
      <w:r>
        <w:t xml:space="preserve"> </w:t>
      </w:r>
      <w:r>
        <w:t xml:space="preserve">nee.</w:t>
      </w:r>
      <w:r>
        <w:t xml:space="preserve"> </w:t>
      </w:r>
      <w:r>
        <w:rPr>
          <w:bCs/>
          <w:b/>
        </w:rPr>
        <w:t xml:space="preserve">Registratie VS:</w:t>
      </w:r>
      <w:r>
        <w:t xml:space="preserve"> </w:t>
      </w:r>
      <w:r>
        <w:t xml:space="preserve">nee.</w:t>
      </w:r>
    </w:p>
    <w:p>
      <w:pPr>
        <w:numPr>
          <w:ilvl w:val="0"/>
          <w:numId w:val="1158"/>
        </w:numPr>
        <w:pStyle w:val="Compact"/>
      </w:pPr>
      <w:r>
        <w:rPr>
          <w:bCs/>
          <w:b/>
        </w:rPr>
        <w:t xml:space="preserve">WADA:</w:t>
      </w:r>
      <w:r>
        <w:t xml:space="preserve"> </w:t>
      </w:r>
      <w:r>
        <w:t xml:space="preserve">verboden, groep S2 (groeihormoonsecretagogen; ipamoreline wordt uitdrukkelijk genoemd).</w:t>
      </w:r>
    </w:p>
    <w:p>
      <w:pPr>
        <w:numPr>
          <w:ilvl w:val="0"/>
          <w:numId w:val="1158"/>
        </w:numPr>
        <w:pStyle w:val="Compact"/>
      </w:pPr>
      <w:r>
        <w:rPr>
          <w:bCs/>
          <w:b/>
        </w:rPr>
        <w:t xml:space="preserve">Bewijsniveau: B</w:t>
      </w:r>
      <w:r>
        <w:t xml:space="preserve"> </w:t>
      </w:r>
      <w:r>
        <w:t xml:space="preserve">– één gerandomiseerde fase 2-studie met 117 personen (zonder bewezen werkzaamheid) en een kleine farmacologische studie bij gezonde mensen; een tweede fase 2-studie is afgerond, maar ongepubliceerd.</w:t>
      </w:r>
    </w:p>
    <w:bookmarkEnd w:id="503"/>
    <w:bookmarkStart w:id="504" w:name="hoe-het-zou-moeten-werken-26"/>
    <w:p>
      <w:pPr>
        <w:pStyle w:val="Heading3"/>
      </w:pPr>
      <w:r>
        <w:t xml:space="preserve">Hoe het zou moeten werken</w:t>
      </w:r>
    </w:p>
    <w:p>
      <w:pPr>
        <w:pStyle w:val="FirstParagraph"/>
      </w:pPr>
      <w:r>
        <w:t xml:space="preserve">De ghrelinereceptor is naast de GHRH-receptor de tweede grote knop voor de afgifte van groeihormoon. De natuurlijke sleutel ervan is ghreline, een hormoon uit de maag dat in 1999 werd ontdekt (Kojima 1999, PMID 10604470). Ghreline verhoogt niet alleen groeihormoon, maar ook honger, en het stimuleert de bewegingen van maag en darm.</w:t>
      </w:r>
    </w:p>
    <w:p>
      <w:pPr>
        <w:pStyle w:val="BodyText"/>
      </w:pPr>
      <w:r>
        <w:t xml:space="preserve">Oudere synthetische vrijmakers zoals GHRP-6 of GHRP-2 maken naast groeihormoon ook het stresshormoonsysteem (ACTH en cortisol) en prolactine vrij. Ipamoreline werd doelbewust zo ontwikkeld dat dit bijeffect ontbreekt: bij varkens maakte het groeihormoon ongeveer even sterk vrij als GHRP-6, terwijl ACTH en cortisol zelfs bij meer dan 200 keer hogere doses niet sterker stegen dan onder GHRH (Raun 1998, PMID 9849822). Of deze selectiviteit bij mensen in dezelfde mate geldt, is niet systematisch onderzocht.</w:t>
      </w:r>
    </w:p>
    <w:p>
      <w:pPr>
        <w:pStyle w:val="BodyText"/>
      </w:pPr>
      <w:r>
        <w:t xml:space="preserve">Klinisch was men vooral geïnteresseerd in het effect op de darm: na buikoperaties komt de darmactiviteit vaak dagenlang tot stilstand (postoperatieve ileus), wat de ziekenhuisopname verlengt. Een ghrelinemimeticum dat intraveneus kan worden gegeven, leek een elegante oplossing.</w:t>
      </w:r>
    </w:p>
    <w:bookmarkEnd w:id="504"/>
    <w:bookmarkStart w:id="505" w:name="studies-bij-mensen-26"/>
    <w:p>
      <w:pPr>
        <w:pStyle w:val="Heading3"/>
      </w:pPr>
      <w:r>
        <w:t xml:space="preserve">Studies bij mensen</w:t>
      </w:r>
    </w:p>
    <w:p>
      <w:pPr>
        <w:pStyle w:val="FirstParagraph"/>
      </w:pPr>
      <w:r>
        <w:rPr>
          <w:bCs/>
          <w:b/>
        </w:rPr>
        <w:t xml:space="preserve">Omvang van het onderzoek (zoekopdracht oktober 2026):</w:t>
      </w:r>
      <w:r>
        <w:t xml:space="preserve"> </w:t>
      </w:r>
      <w:r>
        <w:t xml:space="preserve">De geautomatiseerde zoekopdracht van dit boek vond</w:t>
      </w:r>
      <w:r>
        <w:t xml:space="preserve"> </w:t>
      </w:r>
      <w:r>
        <w:rPr>
          <w:bCs/>
          <w:b/>
        </w:rPr>
        <w:t xml:space="preserve">2</w:t>
      </w:r>
      <w:r>
        <w:t xml:space="preserve"> </w:t>
      </w:r>
      <w:r>
        <w:t xml:space="preserve">studies bij mensen in PubMed (</w:t>
      </w:r>
      <w:r>
        <w:rPr>
          <w:rStyle w:val="VerbatimChar"/>
        </w:rPr>
        <w:t xml:space="preserve">humanstudien_alle</w:t>
      </w:r>
      <w:r>
        <w:t xml:space="preserve">) en</w:t>
      </w:r>
      <w:r>
        <w:t xml:space="preserve"> </w:t>
      </w:r>
      <w:r>
        <w:rPr>
          <w:bCs/>
          <w:b/>
        </w:rPr>
        <w:t xml:space="preserve">3</w:t>
      </w:r>
      <w:r>
        <w:t xml:space="preserve"> </w:t>
      </w:r>
      <w:r>
        <w:t xml:space="preserve">registraties bij ClinicalTrials.gov. Een van deze registraties (NCT07717866) betreft een observationele studie naar psychedelica bij veteranen en onderzoekt ipamoreline niet als onderzoeksmiddel; het wordt daar alleen opgesomd als een van meerdere onderdelen van een „fysiologische suppletie” (naast testosteron, visolie en vitamines). Klinisch relevant zijn daarmee twee studies naar postoperatieve ileus.</w:t>
      </w:r>
    </w:p>
    <w:p>
      <w:pPr>
        <w:pStyle w:val="BodyText"/>
      </w:pPr>
      <w:r>
        <w:rPr>
          <w:bCs/>
          <w:b/>
        </w:rPr>
        <w:t xml:space="preserve">Farmacologie bij gezonde mensen:</w:t>
      </w:r>
      <w:r>
        <w:t xml:space="preserve"> </w:t>
      </w:r>
      <w:r>
        <w:t xml:space="preserve">In een studie met oplopende doses kregen per dosisstap telkens acht gezonde mannen een infuus van 15 minuten. Ipamoreline had een korte halfwaardetijd van ongeveer 2 uur en veroorzaakte bij alle doses één GH-piek, die na ongeveer 40 minuten zijn hoogtepunt bereikte en daarna snel daalde (Gobburu 1999, PMID 10496658).</w:t>
      </w:r>
    </w:p>
    <w:p>
      <w:pPr>
        <w:pStyle w:val="BodyText"/>
      </w:pPr>
      <w:r>
        <w:rPr>
          <w:bCs/>
          <w:b/>
        </w:rPr>
        <w:t xml:space="preserve">Postoperatieve ileus, eerste fase 2-studie:</w:t>
      </w:r>
      <w:r>
        <w:t xml:space="preserve"> </w:t>
      </w:r>
      <w:r>
        <w:t xml:space="preserve">In een multicentrische, dubbelblinde, placebogecontroleerde studie kregen 117 volwassenen na een dunne- of dikkedarmresectie tot zeven dagen lang tweemaal daags ipamoreline of placebo als infuus. De gemiddelde tijd tot de eerste verdragen vaste maaltijd bedroeg 25,3 uur onder ipamoreline en 32,6 uur onder placebo – een verschil dat statistisch niet significant was (p = 0,15). Ook de overige werkzaamheidsdoelen verschilden niet. Bijwerkingen traden op bij 87,5% onder ipamoreline en 94,8% onder placebo, wat na grote buikoperaties niet ongewoon is (Beck 2014, PMID 25331030).</w:t>
      </w:r>
    </w:p>
    <w:p>
      <w:pPr>
        <w:pStyle w:val="BodyText"/>
      </w:pPr>
      <w:r>
        <w:rPr>
          <w:bCs/>
          <w:b/>
        </w:rPr>
        <w:t xml:space="preserve">Tweede fase 2-studie:</w:t>
      </w:r>
      <w:r>
        <w:t xml:space="preserve"> </w:t>
      </w:r>
      <w:r>
        <w:t xml:space="preserve">Een grotere vervolgstudie met 320 deelnemers naar het herstel van de maag-darmfunctie werd in 2014 afgerond (NCT01280344). Een publicatie van de resultaten heb ik in PubMed niet gevonden, en de registratie bevat geen resultaten. Daarna werd de ontwikkeling niet voortgezet.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Deelnemers en opzet</w:t>
            </w:r>
          </w:p>
        </w:tc>
        <w:tc>
          <w:tcPr/>
          <w:p>
            <w:pPr>
              <w:pStyle w:val="Compact"/>
              <w:jc w:val="left"/>
            </w:pPr>
            <w:r>
              <w:t xml:space="preserve">Duur</w:t>
            </w:r>
          </w:p>
        </w:tc>
        <w:tc>
          <w:tcPr/>
          <w:p>
            <w:pPr>
              <w:pStyle w:val="Compact"/>
              <w:jc w:val="left"/>
            </w:pPr>
            <w:r>
              <w:t xml:space="preserve">Resultaat</w:t>
            </w:r>
          </w:p>
        </w:tc>
      </w:tr>
      <w:tr>
        <w:tc>
          <w:tcPr/>
          <w:p>
            <w:pPr>
              <w:pStyle w:val="Compact"/>
              <w:jc w:val="left"/>
            </w:pPr>
            <w:r>
              <w:t xml:space="preserve">Farmacologie (Gobburu 1999), PMID 10496658</w:t>
            </w:r>
          </w:p>
        </w:tc>
        <w:tc>
          <w:tcPr/>
          <w:p>
            <w:pPr>
              <w:pStyle w:val="Compact"/>
              <w:jc w:val="left"/>
            </w:pPr>
            <w:r>
              <w:t xml:space="preserve">gezonde mannen, 5 dosisstappen van 8 personen</w:t>
            </w:r>
          </w:p>
        </w:tc>
        <w:tc>
          <w:tcPr/>
          <w:p>
            <w:pPr>
              <w:pStyle w:val="Compact"/>
              <w:jc w:val="left"/>
            </w:pPr>
            <w:r>
              <w:t xml:space="preserve">enkel infuus</w:t>
            </w:r>
          </w:p>
        </w:tc>
        <w:tc>
          <w:tcPr/>
          <w:p>
            <w:pPr>
              <w:pStyle w:val="Compact"/>
              <w:jc w:val="left"/>
            </w:pPr>
            <w:r>
              <w:t xml:space="preserve">halfwaardetijd ca. 2 u; één GH-piek per toediening</w:t>
            </w:r>
          </w:p>
        </w:tc>
      </w:tr>
      <w:tr>
        <w:tc>
          <w:tcPr/>
          <w:p>
            <w:pPr>
              <w:pStyle w:val="Compact"/>
              <w:jc w:val="left"/>
            </w:pPr>
            <w:r>
              <w:t xml:space="preserve">Ileusstudie 1 (Beck 2014), PMID 25331030</w:t>
            </w:r>
          </w:p>
        </w:tc>
        <w:tc>
          <w:tcPr/>
          <w:p>
            <w:pPr>
              <w:pStyle w:val="Compact"/>
              <w:jc w:val="left"/>
            </w:pPr>
            <w:r>
              <w:t xml:space="preserve">117 volwassenen na darmresectie, RCT tegen placebo</w:t>
            </w:r>
          </w:p>
        </w:tc>
        <w:tc>
          <w:tcPr/>
          <w:p>
            <w:pPr>
              <w:pStyle w:val="Compact"/>
              <w:jc w:val="left"/>
            </w:pPr>
            <w:r>
              <w:t xml:space="preserve">tot 7 dagen</w:t>
            </w:r>
          </w:p>
        </w:tc>
        <w:tc>
          <w:tcPr/>
          <w:p>
            <w:pPr>
              <w:pStyle w:val="Compact"/>
              <w:jc w:val="left"/>
            </w:pPr>
            <w:r>
              <w:t xml:space="preserve">25,3 vs. 32,6 u tot de eerste maaltijd, niet significant</w:t>
            </w:r>
          </w:p>
        </w:tc>
      </w:tr>
      <w:tr>
        <w:tc>
          <w:tcPr/>
          <w:p>
            <w:pPr>
              <w:pStyle w:val="Compact"/>
              <w:jc w:val="left"/>
            </w:pPr>
            <w:r>
              <w:t xml:space="preserve">Ileusstudie 2, NCT01280344</w:t>
            </w:r>
          </w:p>
        </w:tc>
        <w:tc>
          <w:tcPr/>
          <w:p>
            <w:pPr>
              <w:pStyle w:val="Compact"/>
              <w:jc w:val="left"/>
            </w:pPr>
            <w:r>
              <w:t xml:space="preserve">320 volwassenen, fase 2 tegen placebo</w:t>
            </w:r>
          </w:p>
        </w:tc>
        <w:tc>
          <w:tcPr/>
          <w:p>
            <w:pPr>
              <w:pStyle w:val="Compact"/>
              <w:jc w:val="left"/>
            </w:pPr>
            <w:r>
              <w:t xml:space="preserve">–</w:t>
            </w:r>
          </w:p>
        </w:tc>
        <w:tc>
          <w:tcPr/>
          <w:p>
            <w:pPr>
              <w:pStyle w:val="Compact"/>
              <w:jc w:val="left"/>
            </w:pPr>
            <w:r>
              <w:t xml:space="preserve">afgerond 2014, resultaten niet gepubliceerd</w:t>
            </w:r>
          </w:p>
        </w:tc>
      </w:tr>
    </w:tbl>
    <w:p>
      <w:pPr>
        <w:pStyle w:val="BodyText"/>
      </w:pPr>
      <w:r>
        <w:t xml:space="preserve">Er is</w:t>
      </w:r>
      <w:r>
        <w:t xml:space="preserve"> </w:t>
      </w:r>
      <w:r>
        <w:rPr>
          <w:bCs/>
          <w:b/>
        </w:rPr>
        <w:t xml:space="preserve">geen</w:t>
      </w:r>
      <w:r>
        <w:t xml:space="preserve"> </w:t>
      </w:r>
      <w:r>
        <w:t xml:space="preserve">gepubliceerde studie die ipamoreline bij gezonde volwassenen, sporters of ouderen heeft onderzocht op spiermassa, vetverlies, slaap, huid of prestatievermogen.</w:t>
      </w:r>
    </w:p>
    <w:bookmarkEnd w:id="505"/>
    <w:bookmarkStart w:id="506" w:name="dier--en-laboratoriumstudies-26"/>
    <w:p>
      <w:pPr>
        <w:pStyle w:val="Heading3"/>
      </w:pPr>
      <w:r>
        <w:t xml:space="preserve">Dier- en laboratoriumstudies</w:t>
      </w:r>
    </w:p>
    <w:p>
      <w:pPr>
        <w:numPr>
          <w:ilvl w:val="0"/>
          <w:numId w:val="1159"/>
        </w:numPr>
        <w:pStyle w:val="Compact"/>
      </w:pPr>
      <w:r>
        <w:rPr>
          <w:bCs/>
          <w:b/>
        </w:rPr>
        <w:t xml:space="preserve">Darm (ratten):</w:t>
      </w:r>
      <w:r>
        <w:t xml:space="preserve"> </w:t>
      </w:r>
      <w:r>
        <w:t xml:space="preserve">Bij ratten met operatief opgewekte darmverlamming verkortte een enkele dosis ipamoreline de tijd tot de eerste ontlasting; herhaalde toediening verhoogde de hoeveelheid ontlasting, de voedselopname en de gewichtstoename (Venkova 2009, PMID 19289567). Deze resultaten vormden de basis voor de ileusstudies bij mensen – die het effect niet bevestigden.</w:t>
      </w:r>
    </w:p>
    <w:p>
      <w:pPr>
        <w:numPr>
          <w:ilvl w:val="0"/>
          <w:numId w:val="1159"/>
        </w:numPr>
        <w:pStyle w:val="Compact"/>
      </w:pPr>
      <w:r>
        <w:rPr>
          <w:bCs/>
          <w:b/>
        </w:rPr>
        <w:t xml:space="preserve">Botten (ratten):</w:t>
      </w:r>
      <w:r>
        <w:t xml:space="preserve"> </w:t>
      </w:r>
      <w:r>
        <w:t xml:space="preserve">Bij volgroeide vrouwelijke ratten verhoogde ipamoreline gedurende 15 dagen dosisafhankelijk de lengtegroei van de botten en de gewichtstoename, zonder IGF-1 meetbaar te verhogen (Johansen 1999, PMID 10373343).</w:t>
      </w:r>
    </w:p>
    <w:p>
      <w:pPr>
        <w:numPr>
          <w:ilvl w:val="0"/>
          <w:numId w:val="1159"/>
        </w:numPr>
        <w:pStyle w:val="Compact"/>
      </w:pPr>
      <w:r>
        <w:rPr>
          <w:bCs/>
          <w:b/>
        </w:rPr>
        <w:t xml:space="preserve">Selectiviteit (varkens, rattencellen):</w:t>
      </w:r>
      <w:r>
        <w:t xml:space="preserve"> </w:t>
      </w:r>
      <w:r>
        <w:t xml:space="preserve">zie hierboven (Raun 1998, PMID 9849822).</w:t>
      </w:r>
    </w:p>
    <w:bookmarkEnd w:id="506"/>
    <w:bookmarkStart w:id="507" w:name="risicos-en-bijwerkingen-26"/>
    <w:p>
      <w:pPr>
        <w:pStyle w:val="Heading3"/>
      </w:pPr>
      <w:r>
        <w:t xml:space="preserve">Risico’s en bijwerkingen</w:t>
      </w:r>
    </w:p>
    <w:p>
      <w:pPr>
        <w:pStyle w:val="FirstParagraph"/>
      </w:pPr>
      <w:r>
        <w:rPr>
          <w:bCs/>
          <w:b/>
        </w:rPr>
        <w:t xml:space="preserve">Aangetoond:</w:t>
      </w:r>
      <w:r>
        <w:t xml:space="preserve"> </w:t>
      </w:r>
      <w:r>
        <w:t xml:space="preserve">in de ileusstudie werd ipamoreline gedurende maximaal zeven dagen als goed verdraagbaar beschreven, zonder opeenhoping van bijwerkingen ten opzichte van placebo (Beck 2014, PMID 25331030). Dat betreft een kortdurende toepassing in het ziekenhuis met intraveneuze toediening.</w:t>
      </w:r>
    </w:p>
    <w:p>
      <w:pPr>
        <w:pStyle w:val="BodyText"/>
      </w:pPr>
      <w:r>
        <w:rPr>
          <w:bCs/>
          <w:b/>
        </w:rPr>
        <w:t xml:space="preserve">Onbekend:</w:t>
      </w:r>
      <w:r>
        <w:t xml:space="preserve"> </w:t>
      </w:r>
      <w:r>
        <w:t xml:space="preserve">gegevens over herhaald gebruik gedurende weken of maanden, zoals op internet beschreven, zijn er niet. Theoretisch te verwachten zijn de effecten van verhoogde GH-spiegels (vochtophoping, gewrichtsklachten, verminderde insulinegevoeligheid) en via de ghrelinereceptor een toegenomen eetlust. Voor de vraag naar een kankerrisico door blijvend verhoogd IGF-1 zie de inleiding tot deze groep en Deel IV.</w:t>
      </w:r>
    </w:p>
    <w:p>
      <w:pPr>
        <w:pStyle w:val="BodyText"/>
      </w:pPr>
      <w:r>
        <w:rPr>
          <w:bCs/>
          <w:b/>
        </w:rPr>
        <w:t xml:space="preserve">Grijze markt:</w:t>
      </w:r>
      <w:r>
        <w:t xml:space="preserve"> </w:t>
      </w:r>
      <w:r>
        <w:t xml:space="preserve">laboratoriumanalyses van in beslag genomen producten vonden „Gly-ipamoreline”, dus ipamoreline met een extra, niet vermeld aminozuur aan het begin – vermoedelijk om dopingtests te omzeilen (Krug 2018, PMID 29864719; Gajda 2019, PMID 30136411). Hoe zulke afgeleide moleculen zich in het lichaam gedragen, is onbekend.</w:t>
      </w:r>
    </w:p>
    <w:bookmarkEnd w:id="507"/>
    <w:bookmarkStart w:id="508" w:name="juridische-status-26"/>
    <w:p>
      <w:pPr>
        <w:pStyle w:val="Heading3"/>
      </w:pPr>
      <w:r>
        <w:t xml:space="preserve">Juridische status</w:t>
      </w:r>
    </w:p>
    <w:p>
      <w:pPr>
        <w:pStyle w:val="FirstParagraph"/>
      </w:pPr>
      <w:r>
        <w:rPr>
          <w:iCs/>
          <w:i/>
        </w:rPr>
        <w:t xml:space="preserve">Stand 2026, actuele situatie controleren.</w:t>
      </w:r>
    </w:p>
    <w:p>
      <w:pPr>
        <w:numPr>
          <w:ilvl w:val="0"/>
          <w:numId w:val="1160"/>
        </w:numPr>
        <w:pStyle w:val="Compact"/>
      </w:pPr>
      <w:r>
        <w:rPr>
          <w:bCs/>
          <w:b/>
        </w:rPr>
        <w:t xml:space="preserve">EU, Duitsland, Oostenrijk:</w:t>
      </w:r>
      <w:r>
        <w:t xml:space="preserve"> </w:t>
      </w:r>
      <w:r>
        <w:t xml:space="preserve">geen toelating; verstrekking voor gebruik bij mensen niet toegestaan.</w:t>
      </w:r>
    </w:p>
    <w:p>
      <w:pPr>
        <w:numPr>
          <w:ilvl w:val="0"/>
          <w:numId w:val="1160"/>
        </w:numPr>
        <w:pStyle w:val="Compact"/>
      </w:pPr>
      <w:r>
        <w:rPr>
          <w:bCs/>
          <w:b/>
        </w:rPr>
        <w:t xml:space="preserve">VS:</w:t>
      </w:r>
      <w:r>
        <w:t xml:space="preserve"> </w:t>
      </w:r>
      <w:r>
        <w:t xml:space="preserve">geen toelating. De FDA heeft ipamoreline onder de grondstoffen voor bereidingsapotheken ingedeeld als stof met veiligheidsbezwaren (categorie 2); de indeling van peptiden wordt sindsdien controversieel besproken (Willis 2026, PMID 42752426).</w:t>
      </w:r>
    </w:p>
    <w:p>
      <w:pPr>
        <w:numPr>
          <w:ilvl w:val="0"/>
          <w:numId w:val="1160"/>
        </w:numPr>
        <w:pStyle w:val="Compact"/>
      </w:pPr>
      <w:r>
        <w:rPr>
          <w:bCs/>
          <w:b/>
        </w:rPr>
        <w:t xml:space="preserve">WADA:</w:t>
      </w:r>
      <w:r>
        <w:t xml:space="preserve"> </w:t>
      </w:r>
      <w:r>
        <w:t xml:space="preserve">verboden (S2), zowel binnen als buiten wedstrijden. Ipamoreline en zijn afbraakproducten zijn in urine aantoonbaar, ook na gebruik als neusspray (Semenistaya 2015, PMID 25869809).</w:t>
      </w:r>
    </w:p>
    <w:bookmarkEnd w:id="508"/>
    <w:bookmarkStart w:id="509" w:name="lopende-studies-en-vooruitzichten-26"/>
    <w:p>
      <w:pPr>
        <w:pStyle w:val="Heading3"/>
      </w:pPr>
      <w:r>
        <w:t xml:space="preserve">Lopende studies en vooruitzichten</w:t>
      </w:r>
    </w:p>
    <w:p>
      <w:pPr>
        <w:pStyle w:val="FirstParagraph"/>
      </w:pPr>
      <w:r>
        <w:t xml:space="preserve">Bij ClinicalTrials.gov staat in oktober 2026 geen lopende studie geregistreerd die ipamoreline als onderzoeksmiddel onderzoekt.</w:t>
      </w:r>
      <w:r>
        <w:t xml:space="preserve"> </w:t>
      </w:r>
      <w:r>
        <w:rPr>
          <w:iCs/>
          <w:i/>
        </w:rPr>
        <w:t xml:space="preserve">Inschatting van de auteur:</w:t>
      </w:r>
      <w:r>
        <w:t xml:space="preserve"> </w:t>
      </w:r>
      <w:r>
        <w:t xml:space="preserve">na het negatieve resultaat bij postoperatieve ileus ontbreekt een bedrijf dat de stof verder ontwikkelt. Nieuwe gegevens zijn het eerst te verwachten uit casusbeschrijvingen over gebruik van grijze-marktproducten.</w:t>
      </w:r>
    </w:p>
    <w:bookmarkEnd w:id="509"/>
    <w:bookmarkStart w:id="510" w:name="conclusie-26"/>
    <w:p>
      <w:pPr>
        <w:pStyle w:val="Heading3"/>
      </w:pPr>
      <w:r>
        <w:t xml:space="preserve">Conclusie</w:t>
      </w:r>
    </w:p>
    <w:p>
      <w:pPr>
        <w:pStyle w:val="FirstParagraph"/>
      </w:pPr>
      <w:r>
        <w:t xml:space="preserve">Ipamoreline is een doelgericht ontwikkelde ghrelinereceptoragonist die bij dieren groeihormoon vrijmaakt zonder noemenswaardige afgifte van stresshormonen. De enige gepubliceerde werkzaamheidsstudie bij mensen – 117 patiënten na darmoperaties – vond geen significant voordeel; een grotere vervolgstudie bleef ongepubliceerd. Voor de op internet aangeprezen toepassingen (spieropbouw, vetverlies, slaap, anti-aging) bestaan geen studies bij mensen, en grijze-marktproducten bevatten aantoonbaar ook gewijzigde moleculen.</w:t>
      </w:r>
    </w:p>
    <w:bookmarkEnd w:id="510"/>
    <w:bookmarkEnd w:id="511"/>
    <w:bookmarkStart w:id="523" w:name="ghrp-2-pralmoreline"/>
    <w:p>
      <w:pPr>
        <w:pStyle w:val="Heading2"/>
      </w:pPr>
      <w:r>
        <w:t xml:space="preserve">GHRP-2 (pralmoreline)</w:t>
      </w:r>
    </w:p>
    <w:p>
      <w:pPr>
        <w:pStyle w:val="FirstParagraph"/>
      </w:pPr>
      <w:r>
        <w:t xml:space="preserve">GHRP-2 is een klein kunstmatig peptide van zes aminozuren dat de hypofyse krachtiger tot afgifte van groeihormoon aanzet dan vrijwel elke andere bekende prikkel. Die kracht heeft het in Japan tot een toegelaten geneesmiddel gemaakt – niet als therapie, maar als testmiddel: met één injectie valt na te gaan of een volwassene een groeihormoontekort heeft. Op de grijze markt wordt hetzelfde peptide verkocht als „spier- en anti-agingpeptide”. Daarvoor is geen bewijs.</w:t>
      </w:r>
    </w:p>
    <w:bookmarkStart w:id="512" w:name="profiel-27"/>
    <w:p>
      <w:pPr>
        <w:pStyle w:val="Heading3"/>
      </w:pPr>
      <w:r>
        <w:t xml:space="preserve">Profiel</w:t>
      </w:r>
    </w:p>
    <w:p>
      <w:pPr>
        <w:numPr>
          <w:ilvl w:val="0"/>
          <w:numId w:val="1161"/>
        </w:numPr>
        <w:pStyle w:val="Compact"/>
      </w:pPr>
      <w:r>
        <w:rPr>
          <w:bCs/>
          <w:b/>
        </w:rPr>
        <w:t xml:space="preserve">Soort en structuur:</w:t>
      </w:r>
      <w:r>
        <w:t xml:space="preserve"> </w:t>
      </w:r>
      <w:r>
        <w:t xml:space="preserve">synthetisch hexapeptide (D-Ala-D-2-Nal-Ala-Trp-D-Phe-Lys-NH2) met meerdere niet-natuurlijke aminozuren; ontwikkelingsnamen KP-102 en GPA-748, internationale generieke naam pralmoreline (Doi 2004, PMID 15646370).</w:t>
      </w:r>
    </w:p>
    <w:p>
      <w:pPr>
        <w:numPr>
          <w:ilvl w:val="0"/>
          <w:numId w:val="1161"/>
        </w:numPr>
        <w:pStyle w:val="Compact"/>
      </w:pPr>
      <w:r>
        <w:rPr>
          <w:bCs/>
          <w:b/>
        </w:rPr>
        <w:t xml:space="preserve">Herkomst:</w:t>
      </w:r>
      <w:r>
        <w:t xml:space="preserve"> </w:t>
      </w:r>
      <w:r>
        <w:t xml:space="preserve">in de jaren negentig ontwikkeld uit de door Cyril Bowers (Tulane University, VS) gegrondveste reeks van GH-vrijmakende peptiden; rechten bij Kaken (Japan) (anoniem stofprofiel in Drugs R D 2004, PMID 15230633).</w:t>
      </w:r>
    </w:p>
    <w:p>
      <w:pPr>
        <w:numPr>
          <w:ilvl w:val="0"/>
          <w:numId w:val="1161"/>
        </w:numPr>
        <w:pStyle w:val="Compact"/>
      </w:pPr>
      <w:r>
        <w:rPr>
          <w:bCs/>
          <w:b/>
        </w:rPr>
        <w:t xml:space="preserve">Werkingsprincipe:</w:t>
      </w:r>
      <w:r>
        <w:t xml:space="preserve"> </w:t>
      </w:r>
      <w:r>
        <w:t xml:space="preserve">agonist op de ghrelinereceptor (GHS-R1a) in hypofyse en tussenhersenen; maakt groeihormoon vrij, in mindere mate ook ACTH, cortisol en prolactine; verhoogt de eetlust.</w:t>
      </w:r>
    </w:p>
    <w:p>
      <w:pPr>
        <w:numPr>
          <w:ilvl w:val="0"/>
          <w:numId w:val="1161"/>
        </w:numPr>
        <w:pStyle w:val="Compact"/>
      </w:pPr>
      <w:r>
        <w:rPr>
          <w:bCs/>
          <w:b/>
        </w:rPr>
        <w:t xml:space="preserve">Registratie EU:</w:t>
      </w:r>
      <w:r>
        <w:t xml:space="preserve"> </w:t>
      </w:r>
      <w:r>
        <w:t xml:space="preserve">nee.</w:t>
      </w:r>
      <w:r>
        <w:t xml:space="preserve"> </w:t>
      </w:r>
      <w:r>
        <w:rPr>
          <w:bCs/>
          <w:b/>
        </w:rPr>
        <w:t xml:space="preserve">Registratie VS:</w:t>
      </w:r>
      <w:r>
        <w:t xml:space="preserve"> </w:t>
      </w:r>
      <w:r>
        <w:t xml:space="preserve">nee.</w:t>
      </w:r>
      <w:r>
        <w:t xml:space="preserve"> </w:t>
      </w:r>
      <w:r>
        <w:rPr>
          <w:bCs/>
          <w:b/>
        </w:rPr>
        <w:t xml:space="preserve">Japan:</w:t>
      </w:r>
      <w:r>
        <w:t xml:space="preserve"> </w:t>
      </w:r>
      <w:r>
        <w:t xml:space="preserve">toegelaten als diagnosticum voor de functie van de hypofyse (stand 2026, actuele situatie controleren).</w:t>
      </w:r>
    </w:p>
    <w:p>
      <w:pPr>
        <w:numPr>
          <w:ilvl w:val="0"/>
          <w:numId w:val="1161"/>
        </w:numPr>
        <w:pStyle w:val="Compact"/>
      </w:pPr>
      <w:r>
        <w:rPr>
          <w:bCs/>
          <w:b/>
        </w:rPr>
        <w:t xml:space="preserve">WADA:</w:t>
      </w:r>
      <w:r>
        <w:t xml:space="preserve"> </w:t>
      </w:r>
      <w:r>
        <w:t xml:space="preserve">verboden, groep S2 – GHRP-2 (pralmoreline) wordt als groeihormoonvrijmakend peptide uitdrukkelijk genoemd.</w:t>
      </w:r>
    </w:p>
    <w:p>
      <w:pPr>
        <w:numPr>
          <w:ilvl w:val="0"/>
          <w:numId w:val="1161"/>
        </w:numPr>
        <w:pStyle w:val="Compact"/>
      </w:pPr>
      <w:r>
        <w:rPr>
          <w:bCs/>
          <w:b/>
        </w:rPr>
        <w:t xml:space="preserve">Bewijsniveau: B</w:t>
      </w:r>
      <w:r>
        <w:t xml:space="preserve"> </w:t>
      </w:r>
      <w:r>
        <w:t xml:space="preserve">– talrijke kleine gerandomiseerde studies naar de hormoonfysiologie en een validatiestudie als diagnosticum; geen gerandomiseerde studie naar een therapeutisch nut.</w:t>
      </w:r>
    </w:p>
    <w:bookmarkEnd w:id="512"/>
    <w:bookmarkStart w:id="513" w:name="hoe-het-zou-moeten-werken-27"/>
    <w:p>
      <w:pPr>
        <w:pStyle w:val="Heading3"/>
      </w:pPr>
      <w:r>
        <w:t xml:space="preserve">Hoe het zou moeten werken</w:t>
      </w:r>
    </w:p>
    <w:p>
      <w:pPr>
        <w:pStyle w:val="FirstParagraph"/>
      </w:pPr>
      <w:r>
        <w:t xml:space="preserve">GHRP-2 bootst ghreline na, het hongerhormoon uit de maag dat tegelijk de afgifte van groeihormoon stuurt (Kojima 1999, PMID 10604470). Historisch ging het andersom: de synthetische GHRP’s waren er eerst, hun receptor werd gevonden, en pas daarna ontdekte men ghreline als de natuurlijke sleutel ervan.</w:t>
      </w:r>
    </w:p>
    <w:p>
      <w:pPr>
        <w:pStyle w:val="BodyText"/>
      </w:pPr>
      <w:r>
        <w:t xml:space="preserve">GHRP-2 werkt op twee niveaus: rechtstreeks op de hypofyse en indirect via de tussenhersenen, waar het de rem somatostatine afzwakt en het lichaamseigen GHRH ondersteunt. Voor het volle effect is daarom intacte tussenhersenen nodig: bij ratten zonder hypofyse werkte het helemaal niet, bij ratten met een verbroken verbinding tussen tussenhersenen en hypofyse slechts verzwakt (Doi 2004, PMID 15646370). Geeft men GHRP-2 en GHRH samen, dan is de afgifte duidelijk groter dan de som van de afzonderlijke effecten.</w:t>
      </w:r>
    </w:p>
    <w:bookmarkEnd w:id="513"/>
    <w:bookmarkStart w:id="517" w:name="studies-bij-mensen-27"/>
    <w:p>
      <w:pPr>
        <w:pStyle w:val="Heading3"/>
      </w:pPr>
      <w:r>
        <w:t xml:space="preserve">Studies bij mensen</w:t>
      </w:r>
    </w:p>
    <w:p>
      <w:pPr>
        <w:pStyle w:val="FirstParagraph"/>
      </w:pPr>
      <w:r>
        <w:rPr>
          <w:bCs/>
          <w:b/>
        </w:rPr>
        <w:t xml:space="preserve">Omvang van het onderzoek (zoekopdracht oktober 2026):</w:t>
      </w:r>
      <w:r>
        <w:t xml:space="preserve"> </w:t>
      </w:r>
      <w:r>
        <w:t xml:space="preserve">De geautomatiseerde zoekopdracht van dit boek vond</w:t>
      </w:r>
      <w:r>
        <w:t xml:space="preserve"> </w:t>
      </w:r>
      <w:r>
        <w:rPr>
          <w:bCs/>
          <w:b/>
        </w:rPr>
        <w:t xml:space="preserve">55</w:t>
      </w:r>
      <w:r>
        <w:t xml:space="preserve"> </w:t>
      </w:r>
      <w:r>
        <w:t xml:space="preserve">studies bij mensen in PubMed (</w:t>
      </w:r>
      <w:r>
        <w:rPr>
          <w:rStyle w:val="VerbatimChar"/>
        </w:rPr>
        <w:t xml:space="preserve">humanstudien_alle</w:t>
      </w:r>
      <w:r>
        <w:t xml:space="preserve">) en</w:t>
      </w:r>
      <w:r>
        <w:t xml:space="preserve"> </w:t>
      </w:r>
      <w:r>
        <w:rPr>
          <w:bCs/>
          <w:b/>
        </w:rPr>
        <w:t xml:space="preserve">geen</w:t>
      </w:r>
      <w:r>
        <w:t xml:space="preserve"> </w:t>
      </w:r>
      <w:r>
        <w:t xml:space="preserve">registratie bij ClinicalTrials.gov. Het grote aantal misleidt: de meeste publicaties (vooral van een onderzoeksgroep van de Mayo Clinic) gebruiken GHRP-2 als hulpmiddel om de regeling van de groeihormoonafgifte bij vrouwen en mannen, onder invloed van geslachtshormonen of op oudere leeftijd te onderzoeken. Ze zeggen niets over een gezondheidsvoordeel.</w:t>
      </w:r>
    </w:p>
    <w:bookmarkStart w:id="514" w:name="diagnostiek-van-groeihormoontekort"/>
    <w:p>
      <w:pPr>
        <w:pStyle w:val="Heading4"/>
      </w:pPr>
      <w:r>
        <w:t xml:space="preserve">Diagnostiek van groeihormoontekort</w:t>
      </w:r>
    </w:p>
    <w:p>
      <w:pPr>
        <w:pStyle w:val="FirstParagraph"/>
      </w:pPr>
      <w:r>
        <w:t xml:space="preserve">De belangrijkste toepassing is de GHRP-2-test. In een validatiestudie kregen 77 gezonde mensen en 58 patiënten met een vastgesteld ernstig groeihormoontekort een intraveneuze enkele dosis. De GH-piek lag bij de gezonde mensen gemiddeld op 84,6 µg/l, bij de patiënten op 1,36 µg/l. De test was goed herhaalbaar en werd door leeftijd en overgewicht slechts weinig beïnvloed; een grenswaarde van 15 µg/l kwam overeen met de gangbare grenswaarde van de insuline-hypoglykemietest (Chihara 2007, PMID 17609397). In een vergelijking bij 71 mensen met hypofysetumoren bereikte de GHRP-2-test ten opzichte van de insulinetest een sensitiviteit van 81,3% en een specificiteit van 94,5% (Kinoshita 2013, PMID 23079545).</w:t>
      </w:r>
    </w:p>
    <w:p>
      <w:pPr>
        <w:pStyle w:val="BodyText"/>
      </w:pPr>
      <w:r>
        <w:t xml:space="preserve">Omdat GHRP-2 ook ACTH vrijmaakt, werd onderzocht of de test daarnaast een onderfunctie van de bijnier-as herkent. De resultaten zijn wisselend: in een studie met 47 personen bereikte hij een sensitiviteit van 89,7% (Arimura 2016, PMID 27020037); in een grotere analyse van 254 personen was hij over het geheel genomen niet voldoende betrouwbaar (sensitiviteit 64%, specificiteit 79%), alleen bij mannen zonder hormoonactieve tumor scoorde hij goed (Hayakawa 2018, PMID 30324179).</w:t>
      </w:r>
    </w:p>
    <w:bookmarkEnd w:id="514"/>
    <w:bookmarkStart w:id="515" w:name="behandelpogingen-bij-kinderen"/>
    <w:p>
      <w:pPr>
        <w:pStyle w:val="Heading4"/>
      </w:pPr>
      <w:r>
        <w:t xml:space="preserve">Behandelpogingen bij kinderen</w:t>
      </w:r>
    </w:p>
    <w:p>
      <w:pPr>
        <w:pStyle w:val="FirstParagraph"/>
      </w:pPr>
      <w:r>
        <w:t xml:space="preserve">In de jaren negentig werd GHRP-2 uitgeprobeerd als therapie voor kinderen met een kleine gestalte. Bij zes kinderen met groeihormoontekort steeg de nachtelijke GH-afgifte dosisafhankelijk, IGF-1 echter niet; de groeisnelheid was tijdens de behandeling hoger (Mericq 1998, PMID 9661608). Als neusspray verhoogde GHRP-2 bij 15 kinderen de groeisnelheid van 3,7 naar 6,1 cm per jaar, opnieuw zonder stijging van IGF-1 (Pihoker 1997, PMID 9390009). Van tien kinderen die GHRP-2 twaalf maanden als tablet kregen, meldden er zeven in de eerste maanden duidelijk meer eetlust (Mericq 2003, PMID 14513874). Een verdere ontwikkeling tot therapie werd in de VS stopgezet (anoniem stofprofiel in Drugs R D 2004, PMID 15230633).</w:t>
      </w:r>
    </w:p>
    <w:bookmarkEnd w:id="515"/>
    <w:bookmarkStart w:id="516" w:name="eetlust-en-intensive-care"/>
    <w:p>
      <w:pPr>
        <w:pStyle w:val="Heading4"/>
      </w:pPr>
      <w:r>
        <w:t xml:space="preserve">Eetlust en intensive care</w:t>
      </w:r>
    </w:p>
    <w:p>
      <w:pPr>
        <w:pStyle w:val="FirstParagraph"/>
      </w:pPr>
      <w:r>
        <w:t xml:space="preserve">Bij 19 slanke volwassenen en volwassenen met overgewicht verhoogde een infuus met GHRP-2 de vrij gekozen hoeveelheid voedsel dosisafhankelijk met 10,2% resp. 33,5% ten opzichte van placebo (Laferrère 2006, PMID 16861611). Bij 14 langdurige intensivecarepatiënten reactiveerde een vijfdaags infuus van GHRP-2 samen met het schildklierstimulerende vrijmakingshormoon TRH de onderdrukte GH- en schildklieras en verschoof het stofwisselingsmarkers in de richting van opbouw (Van den Berghe 1999, PMID 10199772). Of dat de overlevingskansen verandert, werd nooit in een eindpuntstudie onderzocht.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Deelnemers en opzet</w:t>
            </w:r>
          </w:p>
        </w:tc>
        <w:tc>
          <w:tcPr/>
          <w:p>
            <w:pPr>
              <w:pStyle w:val="Compact"/>
              <w:jc w:val="left"/>
            </w:pPr>
            <w:r>
              <w:t xml:space="preserve">Duur</w:t>
            </w:r>
          </w:p>
        </w:tc>
        <w:tc>
          <w:tcPr/>
          <w:p>
            <w:pPr>
              <w:pStyle w:val="Compact"/>
              <w:jc w:val="left"/>
            </w:pPr>
            <w:r>
              <w:t xml:space="preserve">Resultaat</w:t>
            </w:r>
          </w:p>
        </w:tc>
      </w:tr>
      <w:tr>
        <w:tc>
          <w:tcPr/>
          <w:p>
            <w:pPr>
              <w:pStyle w:val="Compact"/>
              <w:jc w:val="left"/>
            </w:pPr>
            <w:r>
              <w:t xml:space="preserve">Diagnostiek (Chihara 2007), PMID 17609397</w:t>
            </w:r>
          </w:p>
        </w:tc>
        <w:tc>
          <w:tcPr/>
          <w:p>
            <w:pPr>
              <w:pStyle w:val="Compact"/>
              <w:jc w:val="left"/>
            </w:pPr>
            <w:r>
              <w:t xml:space="preserve">77 gezonden, 58 patiënten met GH-tekort, gecontroleerde validatie</w:t>
            </w:r>
          </w:p>
        </w:tc>
        <w:tc>
          <w:tcPr/>
          <w:p>
            <w:pPr>
              <w:pStyle w:val="Compact"/>
              <w:jc w:val="left"/>
            </w:pPr>
            <w:r>
              <w:t xml:space="preserve">enkele test</w:t>
            </w:r>
          </w:p>
        </w:tc>
        <w:tc>
          <w:tcPr/>
          <w:p>
            <w:pPr>
              <w:pStyle w:val="Compact"/>
              <w:jc w:val="left"/>
            </w:pPr>
            <w:r>
              <w:t xml:space="preserve">GH-piek 84,6 vs. 1,36 µg/l; grenswaarde 15 µg/l</w:t>
            </w:r>
          </w:p>
        </w:tc>
      </w:tr>
      <w:tr>
        <w:tc>
          <w:tcPr/>
          <w:p>
            <w:pPr>
              <w:pStyle w:val="Compact"/>
              <w:jc w:val="left"/>
            </w:pPr>
            <w:r>
              <w:t xml:space="preserve">Diagnostiek (Kinoshita 2013), PMID 23079545</w:t>
            </w:r>
          </w:p>
        </w:tc>
        <w:tc>
          <w:tcPr/>
          <w:p>
            <w:pPr>
              <w:pStyle w:val="Compact"/>
              <w:jc w:val="left"/>
            </w:pPr>
            <w:r>
              <w:t xml:space="preserve">71 personen met hypofysetumoren, vergelijking met insulinetest</w:t>
            </w:r>
          </w:p>
        </w:tc>
        <w:tc>
          <w:tcPr/>
          <w:p>
            <w:pPr>
              <w:pStyle w:val="Compact"/>
              <w:jc w:val="left"/>
            </w:pPr>
            <w:r>
              <w:t xml:space="preserve">enkele test</w:t>
            </w:r>
          </w:p>
        </w:tc>
        <w:tc>
          <w:tcPr/>
          <w:p>
            <w:pPr>
              <w:pStyle w:val="Compact"/>
              <w:jc w:val="left"/>
            </w:pPr>
            <w:r>
              <w:t xml:space="preserve">sensitiviteit 81,3%, specificiteit 94,5%</w:t>
            </w:r>
          </w:p>
        </w:tc>
      </w:tr>
      <w:tr>
        <w:tc>
          <w:tcPr/>
          <w:p>
            <w:pPr>
              <w:pStyle w:val="Compact"/>
              <w:jc w:val="left"/>
            </w:pPr>
            <w:r>
              <w:t xml:space="preserve">Kinderen, neusspray (Pihoker 1997), PMID 9390009</w:t>
            </w:r>
          </w:p>
        </w:tc>
        <w:tc>
          <w:tcPr/>
          <w:p>
            <w:pPr>
              <w:pStyle w:val="Compact"/>
              <w:jc w:val="left"/>
            </w:pPr>
            <w:r>
              <w:t xml:space="preserve">15 kinderen met kleine gestalte, zonder controlegroep</w:t>
            </w:r>
          </w:p>
        </w:tc>
        <w:tc>
          <w:tcPr/>
          <w:p>
            <w:pPr>
              <w:pStyle w:val="Compact"/>
              <w:jc w:val="left"/>
            </w:pPr>
            <w:r>
              <w:t xml:space="preserve">6–24 maanden</w:t>
            </w:r>
          </w:p>
        </w:tc>
        <w:tc>
          <w:tcPr/>
          <w:p>
            <w:pPr>
              <w:pStyle w:val="Compact"/>
              <w:jc w:val="left"/>
            </w:pPr>
            <w:r>
              <w:t xml:space="preserve">groei 3,7 → 6,1 cm/jaar</w:t>
            </w:r>
          </w:p>
        </w:tc>
      </w:tr>
      <w:tr>
        <w:tc>
          <w:tcPr/>
          <w:p>
            <w:pPr>
              <w:pStyle w:val="Compact"/>
              <w:jc w:val="left"/>
            </w:pPr>
            <w:r>
              <w:t xml:space="preserve">Eetlust (Laferrère 2006), PMID 16861611</w:t>
            </w:r>
          </w:p>
        </w:tc>
        <w:tc>
          <w:tcPr/>
          <w:p>
            <w:pPr>
              <w:pStyle w:val="Compact"/>
              <w:jc w:val="left"/>
            </w:pPr>
            <w:r>
              <w:t xml:space="preserve">19 volwassenen, RCT met cross-overopzet tegen placebo</w:t>
            </w:r>
          </w:p>
        </w:tc>
        <w:tc>
          <w:tcPr/>
          <w:p>
            <w:pPr>
              <w:pStyle w:val="Compact"/>
              <w:jc w:val="left"/>
            </w:pPr>
            <w:r>
              <w:t xml:space="preserve">3 enkele infusen</w:t>
            </w:r>
          </w:p>
        </w:tc>
        <w:tc>
          <w:tcPr/>
          <w:p>
            <w:pPr>
              <w:pStyle w:val="Compact"/>
              <w:jc w:val="left"/>
            </w:pPr>
            <w:r>
              <w:t xml:space="preserve">hoeveelheid voedsel +10,2% resp. +33,5%</w:t>
            </w:r>
          </w:p>
        </w:tc>
      </w:tr>
      <w:tr>
        <w:tc>
          <w:tcPr/>
          <w:p>
            <w:pPr>
              <w:pStyle w:val="Compact"/>
              <w:jc w:val="left"/>
            </w:pPr>
            <w:r>
              <w:t xml:space="preserve">Intensive care (Van den Berghe 1999), PMID 10199772</w:t>
            </w:r>
          </w:p>
        </w:tc>
        <w:tc>
          <w:tcPr/>
          <w:p>
            <w:pPr>
              <w:pStyle w:val="Compact"/>
              <w:jc w:val="left"/>
            </w:pPr>
            <w:r>
              <w:t xml:space="preserve">14 langdurige intensivecarepatiënten, gerandomiseerde cross-overopzet</w:t>
            </w:r>
          </w:p>
        </w:tc>
        <w:tc>
          <w:tcPr/>
          <w:p>
            <w:pPr>
              <w:pStyle w:val="Compact"/>
              <w:jc w:val="left"/>
            </w:pPr>
            <w:r>
              <w:t xml:space="preserve">5 dagen</w:t>
            </w:r>
          </w:p>
        </w:tc>
        <w:tc>
          <w:tcPr/>
          <w:p>
            <w:pPr>
              <w:pStyle w:val="Compact"/>
              <w:jc w:val="left"/>
            </w:pPr>
            <w:r>
              <w:t xml:space="preserve">GH- en schildklieras gereactiveerd</w:t>
            </w:r>
          </w:p>
        </w:tc>
      </w:tr>
    </w:tbl>
    <w:bookmarkEnd w:id="516"/>
    <w:bookmarkEnd w:id="517"/>
    <w:bookmarkStart w:id="518" w:name="dier--en-laboratoriumstudies-27"/>
    <w:p>
      <w:pPr>
        <w:pStyle w:val="Heading3"/>
      </w:pPr>
      <w:r>
        <w:t xml:space="preserve">Dier- en laboratoriumstudies</w:t>
      </w:r>
    </w:p>
    <w:p>
      <w:pPr>
        <w:pStyle w:val="FirstParagraph"/>
      </w:pPr>
      <w:r>
        <w:t xml:space="preserve">Bij wakkere ratten maakte GHRP-2 meer groeihormoon vrij dan GHRH en het werkte ook bij honden, bij wie GHRH faalde; het verhoogde bij ratten ACTH en corticosteron, maar niet prolactine, en versnelde over drie weken de groei (Doi 2004, PMID 15646370). Bij varkens was GHRP-2 in een vergelijkende studie bijzonder potent, maar maakte het anders dan ipamoreline ook ACTH en cortisol vrij (Raun 1998, PMID 9849822).</w:t>
      </w:r>
    </w:p>
    <w:bookmarkEnd w:id="518"/>
    <w:bookmarkStart w:id="519" w:name="risicos-en-bijwerkingen-27"/>
    <w:p>
      <w:pPr>
        <w:pStyle w:val="Heading3"/>
      </w:pPr>
      <w:r>
        <w:t xml:space="preserve">Risico’s en bijwerkingen</w:t>
      </w:r>
    </w:p>
    <w:p>
      <w:pPr>
        <w:pStyle w:val="FirstParagraph"/>
      </w:pPr>
      <w:r>
        <w:rPr>
          <w:bCs/>
          <w:b/>
        </w:rPr>
        <w:t xml:space="preserve">Aangetoond:</w:t>
      </w:r>
      <w:r>
        <w:t xml:space="preserve"> </w:t>
      </w:r>
      <w:r>
        <w:t xml:space="preserve">in de studies werd GHRP-2 op korte termijn goed verdragen. Herhaaldelijk beschreven zijn een toegenomen eetlust (Mericq 2003, PMID 14513874; Laferrère 2006, PMID 16861611) en de vrijmaking van ACTH en cortisol (Arimura 2016, PMID 27020037). Een overzicht van GH-vrijmakers noemt daarnaast een mogelijke stijging van de bloedsuiker door verminderde insulinegevoeligheid en vraagt om langetermijngegevens over kanker en sterfte (Sigalos 2018, PMID 28400207).</w:t>
      </w:r>
    </w:p>
    <w:p>
      <w:pPr>
        <w:pStyle w:val="BodyText"/>
      </w:pPr>
      <w:r>
        <w:rPr>
          <w:bCs/>
          <w:b/>
        </w:rPr>
        <w:t xml:space="preserve">Onbekend:</w:t>
      </w:r>
      <w:r>
        <w:t xml:space="preserve"> </w:t>
      </w:r>
      <w:r>
        <w:t xml:space="preserve">gegevens over gebruik gedurende maanden of jaren bij volwassenen zijn er niet. Voor de vraag of een blijvend verhoogd groeihormoon/IGF-1 het kankerrisico verhoogt, zie de inleiding tot deze groep en Deel IV.</w:t>
      </w:r>
    </w:p>
    <w:p>
      <w:pPr>
        <w:pStyle w:val="BodyText"/>
      </w:pPr>
      <w:r>
        <w:rPr>
          <w:bCs/>
          <w:b/>
        </w:rPr>
        <w:t xml:space="preserve">Grijze markt:</w:t>
      </w:r>
      <w:r>
        <w:t xml:space="preserve"> </w:t>
      </w:r>
      <w:r>
        <w:t xml:space="preserve">in in beslag genomen producten werd „Gly-GHRP-2” gevonden, dus GHRP-2 met een extra aminozuur dat niet was vermeld (Krug 2018, PMID 29864719; Gajda 2019, PMID 30136411).</w:t>
      </w:r>
    </w:p>
    <w:bookmarkEnd w:id="519"/>
    <w:bookmarkStart w:id="520" w:name="juridische-status-27"/>
    <w:p>
      <w:pPr>
        <w:pStyle w:val="Heading3"/>
      </w:pPr>
      <w:r>
        <w:t xml:space="preserve">Juridische status</w:t>
      </w:r>
    </w:p>
    <w:p>
      <w:pPr>
        <w:pStyle w:val="FirstParagraph"/>
      </w:pPr>
      <w:r>
        <w:rPr>
          <w:iCs/>
          <w:i/>
        </w:rPr>
        <w:t xml:space="preserve">Stand 2026, actuele situatie controleren.</w:t>
      </w:r>
    </w:p>
    <w:p>
      <w:pPr>
        <w:numPr>
          <w:ilvl w:val="0"/>
          <w:numId w:val="1162"/>
        </w:numPr>
        <w:pStyle w:val="Compact"/>
      </w:pPr>
      <w:r>
        <w:rPr>
          <w:bCs/>
          <w:b/>
        </w:rPr>
        <w:t xml:space="preserve">Japan:</w:t>
      </w:r>
      <w:r>
        <w:t xml:space="preserve"> </w:t>
      </w:r>
      <w:r>
        <w:t xml:space="preserve">toegelaten als diagnosticum; gebruik uitsluitend in het kader van medische functietests.</w:t>
      </w:r>
    </w:p>
    <w:p>
      <w:pPr>
        <w:numPr>
          <w:ilvl w:val="0"/>
          <w:numId w:val="1162"/>
        </w:numPr>
        <w:pStyle w:val="Compact"/>
      </w:pPr>
      <w:r>
        <w:rPr>
          <w:bCs/>
          <w:b/>
        </w:rPr>
        <w:t xml:space="preserve">EU, Duitsland, Oostenrijk:</w:t>
      </w:r>
      <w:r>
        <w:t xml:space="preserve"> </w:t>
      </w:r>
      <w:r>
        <w:t xml:space="preserve">geen toelating; verstrekking voor gebruik bij mensen niet toegestaan.</w:t>
      </w:r>
    </w:p>
    <w:p>
      <w:pPr>
        <w:numPr>
          <w:ilvl w:val="0"/>
          <w:numId w:val="1162"/>
        </w:numPr>
        <w:pStyle w:val="Compact"/>
      </w:pPr>
      <w:r>
        <w:rPr>
          <w:bCs/>
          <w:b/>
        </w:rPr>
        <w:t xml:space="preserve">VS:</w:t>
      </w:r>
      <w:r>
        <w:t xml:space="preserve"> </w:t>
      </w:r>
      <w:r>
        <w:t xml:space="preserve">geen toelating.</w:t>
      </w:r>
    </w:p>
    <w:p>
      <w:pPr>
        <w:numPr>
          <w:ilvl w:val="0"/>
          <w:numId w:val="1162"/>
        </w:numPr>
        <w:pStyle w:val="Compact"/>
      </w:pPr>
      <w:r>
        <w:rPr>
          <w:bCs/>
          <w:b/>
        </w:rPr>
        <w:t xml:space="preserve">WADA:</w:t>
      </w:r>
      <w:r>
        <w:t xml:space="preserve"> </w:t>
      </w:r>
      <w:r>
        <w:t xml:space="preserve">verboden (S2). GHRP-2 en zijn afbraakproducten zijn na toediening als neusspray bij een vrijwilliger tot 47 uur in de urine aantoonbaar (Semenistaya 2015, PMID 25869809).</w:t>
      </w:r>
    </w:p>
    <w:bookmarkEnd w:id="520"/>
    <w:bookmarkStart w:id="521" w:name="lopende-studies-en-vooruitzichten-27"/>
    <w:p>
      <w:pPr>
        <w:pStyle w:val="Heading3"/>
      </w:pPr>
      <w:r>
        <w:t xml:space="preserve">Lopende studies en vooruitzichten</w:t>
      </w:r>
    </w:p>
    <w:p>
      <w:pPr>
        <w:pStyle w:val="FirstParagraph"/>
      </w:pPr>
      <w:r>
        <w:t xml:space="preserve">Bij ClinicalTrials.gov staat in oktober 2026 geen studie met GHRP-2 of pralmoreline geregistreerd.</w:t>
      </w:r>
      <w:r>
        <w:t xml:space="preserve"> </w:t>
      </w:r>
      <w:r>
        <w:rPr>
          <w:iCs/>
          <w:i/>
        </w:rPr>
        <w:t xml:space="preserve">Inschatting van de auteur:</w:t>
      </w:r>
      <w:r>
        <w:t xml:space="preserve"> </w:t>
      </w:r>
      <w:r>
        <w:t xml:space="preserve">GHRP-2 blijft een hulpmiddel voor de diagnostiek in Japan en voor hormoononderzoek. In andere landen concurreert het als testmiddel met het in tabletvorm beschikbare macimoreline.</w:t>
      </w:r>
    </w:p>
    <w:bookmarkEnd w:id="521"/>
    <w:bookmarkStart w:id="522" w:name="conclusie-27"/>
    <w:p>
      <w:pPr>
        <w:pStyle w:val="Heading3"/>
      </w:pPr>
      <w:r>
        <w:t xml:space="preserve">Conclusie</w:t>
      </w:r>
    </w:p>
    <w:p>
      <w:pPr>
        <w:pStyle w:val="FirstParagraph"/>
      </w:pPr>
      <w:r>
        <w:t xml:space="preserve">GHRP-2 is een van de sterkste bekende prikkels voor de afgifte van groeihormoon en in Japan gevestigd als diagnosticum voor groeihormoontekort. Behandelpogingen bij kinderen lieten slechts bescheiden effecten zien en werden niet voortgezet. Voor spieropbouw, vetverlies of „anti-aging” bij gezonde mensen zijn er geen studies; aangetoond zijn daarentegen bijeffecten zoals vreetbuien en een activering van de stresshormonen.</w:t>
      </w:r>
    </w:p>
    <w:bookmarkEnd w:id="522"/>
    <w:bookmarkEnd w:id="523"/>
    <w:bookmarkStart w:id="534" w:name="ghrp-6"/>
    <w:p>
      <w:pPr>
        <w:pStyle w:val="Heading2"/>
      </w:pPr>
      <w:r>
        <w:t xml:space="preserve">GHRP-6</w:t>
      </w:r>
    </w:p>
    <w:p>
      <w:pPr>
        <w:pStyle w:val="FirstParagraph"/>
      </w:pPr>
      <w:r>
        <w:t xml:space="preserve">GHRP-6 is de stamvader van alle groeihormoonvrijmakende peptiden. In 1984 beschreef de Amerikaanse endocrinoloog Cyril Bowers een kunstmatig hexapeptide dat gericht groeihormoon vrijmaakt – 15 jaar voordat men de natuurlijke tegenhanger ghreline kende. In het onderzoek werd GHRP-6 het standaardinstrument om de groeihormoon-as te testen. In bodybuildingkringen geldt het daarentegen als goedkope GH-booster met als bijeffect „vreetbuien”. Een geneesmiddel is het nooit geworden.</w:t>
      </w:r>
    </w:p>
    <w:bookmarkStart w:id="524" w:name="profiel-28"/>
    <w:p>
      <w:pPr>
        <w:pStyle w:val="Heading3"/>
      </w:pPr>
      <w:r>
        <w:t xml:space="preserve">Profiel</w:t>
      </w:r>
    </w:p>
    <w:p>
      <w:pPr>
        <w:numPr>
          <w:ilvl w:val="0"/>
          <w:numId w:val="1163"/>
        </w:numPr>
        <w:pStyle w:val="Compact"/>
      </w:pPr>
      <w:r>
        <w:rPr>
          <w:bCs/>
          <w:b/>
        </w:rPr>
        <w:t xml:space="preserve">Soort en structuur:</w:t>
      </w:r>
      <w:r>
        <w:t xml:space="preserve"> </w:t>
      </w:r>
      <w:r>
        <w:t xml:space="preserve">synthetisch hexapeptide His-D-Trp-Ala-Trp-D-Phe-Lys-NH2 met twee niet-natuurlijke D-aminozuren (Bowers 1984, PMID 6714155).</w:t>
      </w:r>
    </w:p>
    <w:p>
      <w:pPr>
        <w:numPr>
          <w:ilvl w:val="0"/>
          <w:numId w:val="1163"/>
        </w:numPr>
        <w:pStyle w:val="Compact"/>
      </w:pPr>
      <w:r>
        <w:rPr>
          <w:bCs/>
          <w:b/>
        </w:rPr>
        <w:t xml:space="preserve">Herkomst:</w:t>
      </w:r>
      <w:r>
        <w:t xml:space="preserve"> </w:t>
      </w:r>
      <w:r>
        <w:t xml:space="preserve">Tulane University (VS), begin jaren tachtig.</w:t>
      </w:r>
    </w:p>
    <w:p>
      <w:pPr>
        <w:numPr>
          <w:ilvl w:val="0"/>
          <w:numId w:val="1163"/>
        </w:numPr>
        <w:pStyle w:val="Compact"/>
      </w:pPr>
      <w:r>
        <w:rPr>
          <w:bCs/>
          <w:b/>
        </w:rPr>
        <w:t xml:space="preserve">Werkingsprincipe:</w:t>
      </w:r>
      <w:r>
        <w:t xml:space="preserve"> </w:t>
      </w:r>
      <w:r>
        <w:t xml:space="preserve">agonist op de ghrelinereceptor (GHS-R1a) in hypofyse en tussenhersenen; maakt groeihormoon vrij, daarnaast ACTH, cortisol en prolactine; verhoogt de eetlust.</w:t>
      </w:r>
    </w:p>
    <w:p>
      <w:pPr>
        <w:numPr>
          <w:ilvl w:val="0"/>
          <w:numId w:val="1163"/>
        </w:numPr>
        <w:pStyle w:val="Compact"/>
      </w:pPr>
      <w:r>
        <w:rPr>
          <w:bCs/>
          <w:b/>
        </w:rPr>
        <w:t xml:space="preserve">Registratie EU:</w:t>
      </w:r>
      <w:r>
        <w:t xml:space="preserve"> </w:t>
      </w:r>
      <w:r>
        <w:t xml:space="preserve">nee.</w:t>
      </w:r>
      <w:r>
        <w:t xml:space="preserve"> </w:t>
      </w:r>
      <w:r>
        <w:rPr>
          <w:bCs/>
          <w:b/>
        </w:rPr>
        <w:t xml:space="preserve">Registratie VS:</w:t>
      </w:r>
      <w:r>
        <w:t xml:space="preserve"> </w:t>
      </w:r>
      <w:r>
        <w:t xml:space="preserve">nee. Ook elders nergens als geneesmiddel toegelaten (stand 2026).</w:t>
      </w:r>
    </w:p>
    <w:p>
      <w:pPr>
        <w:numPr>
          <w:ilvl w:val="0"/>
          <w:numId w:val="1163"/>
        </w:numPr>
        <w:pStyle w:val="Compact"/>
      </w:pPr>
      <w:r>
        <w:rPr>
          <w:bCs/>
          <w:b/>
        </w:rPr>
        <w:t xml:space="preserve">WADA:</w:t>
      </w:r>
      <w:r>
        <w:t xml:space="preserve"> </w:t>
      </w:r>
      <w:r>
        <w:t xml:space="preserve">verboden, groep S2 – GHRP-6 wordt als groeihormoonvrijmakend peptide uitdrukkelijk genoemd.</w:t>
      </w:r>
    </w:p>
    <w:p>
      <w:pPr>
        <w:numPr>
          <w:ilvl w:val="0"/>
          <w:numId w:val="1163"/>
        </w:numPr>
        <w:pStyle w:val="Compact"/>
      </w:pPr>
      <w:r>
        <w:rPr>
          <w:bCs/>
          <w:b/>
        </w:rPr>
        <w:t xml:space="preserve">Bewijsniveau: C</w:t>
      </w:r>
      <w:r>
        <w:t xml:space="preserve"> </w:t>
      </w:r>
      <w:r>
        <w:t xml:space="preserve">– veel kleine studies naar hormoonfysiologie en diagnostiek met telkens 10 tot 250 personen, maar niet één gecontroleerde studie naar een therapeutisch nut.</w:t>
      </w:r>
    </w:p>
    <w:bookmarkEnd w:id="524"/>
    <w:bookmarkStart w:id="525" w:name="hoe-het-zou-moeten-werken-28"/>
    <w:p>
      <w:pPr>
        <w:pStyle w:val="Heading3"/>
      </w:pPr>
      <w:r>
        <w:t xml:space="preserve">Hoe het zou moeten werken</w:t>
      </w:r>
    </w:p>
    <w:p>
      <w:pPr>
        <w:pStyle w:val="FirstParagraph"/>
      </w:pPr>
      <w:r>
        <w:t xml:space="preserve">Bowers en collega’s toonden in 1984 aan dat het hexapeptide bij ratten, apen, lammeren en kalveren binnen enkele minuten groeihormoon vrijmaakt, zonder andere hypofysehormonen zoals LH, FSH of TSH te beïnvloeden; ratten die het herhaaldelijk kregen, kwamen sterker aan in gewicht (Bowers 1984, PMID 6714155). Later bleek dat GHRP-6 op dezelfde receptor werkt als het maaghormoon ghreline (Kojima 1999, PMID 10604470).</w:t>
      </w:r>
    </w:p>
    <w:p>
      <w:pPr>
        <w:pStyle w:val="BodyText"/>
      </w:pPr>
      <w:r>
        <w:t xml:space="preserve">Net als GHRP-2 werkt GHRP-6 het sterkst als het lichaamseigen GHRH uit de tussenhersenen meedoet. Combineert men beide, dan is de afgifte van groeihormoon groter dan de som van de afzonderlijke effecten. Juist die eigenschap maakte GHRP-6 interessant als diagnosticum. Anders dan ipamoreline activeert GHRP-6 ook de stresshormoon-as (ACTH en cortisol).</w:t>
      </w:r>
    </w:p>
    <w:bookmarkEnd w:id="525"/>
    <w:bookmarkStart w:id="528" w:name="studies-bij-mensen-28"/>
    <w:p>
      <w:pPr>
        <w:pStyle w:val="Heading3"/>
      </w:pPr>
      <w:r>
        <w:t xml:space="preserve">Studies bij mensen</w:t>
      </w:r>
    </w:p>
    <w:p>
      <w:pPr>
        <w:pStyle w:val="FirstParagraph"/>
      </w:pPr>
      <w:r>
        <w:rPr>
          <w:bCs/>
          <w:b/>
        </w:rPr>
        <w:t xml:space="preserve">Omvang van het onderzoek (zoekopdracht oktober 2026):</w:t>
      </w:r>
      <w:r>
        <w:t xml:space="preserve"> </w:t>
      </w:r>
      <w:r>
        <w:t xml:space="preserve">De geautomatiseerde zoekopdracht van dit boek vond</w:t>
      </w:r>
      <w:r>
        <w:t xml:space="preserve"> </w:t>
      </w:r>
      <w:r>
        <w:rPr>
          <w:bCs/>
          <w:b/>
        </w:rPr>
        <w:t xml:space="preserve">40</w:t>
      </w:r>
      <w:r>
        <w:t xml:space="preserve"> </w:t>
      </w:r>
      <w:r>
        <w:t xml:space="preserve">studies bij mensen in PubMed (</w:t>
      </w:r>
      <w:r>
        <w:rPr>
          <w:rStyle w:val="VerbatimChar"/>
        </w:rPr>
        <w:t xml:space="preserve">humanstudien_alle</w:t>
      </w:r>
      <w:r>
        <w:t xml:space="preserve">) en</w:t>
      </w:r>
      <w:r>
        <w:t xml:space="preserve"> </w:t>
      </w:r>
      <w:r>
        <w:rPr>
          <w:bCs/>
          <w:b/>
        </w:rPr>
        <w:t xml:space="preserve">geen</w:t>
      </w:r>
      <w:r>
        <w:t xml:space="preserve"> </w:t>
      </w:r>
      <w:r>
        <w:t xml:space="preserve">registratie bij ClinicalTrials.gov. Bijna alle publicaties gebruiken GHRP-6 als eenmalig toegediend testmiddel om de hormoonregeling te onderzoeken bij aandoeningen zoals het syndroom van Cushing, een te snel werkende schildklier, overgewicht of op oudere leeftijd. Eén studie uit deze lijst werd bij honden uitgevoerd.</w:t>
      </w:r>
    </w:p>
    <w:bookmarkStart w:id="526" w:name="diagnostiek-van-groeihormoontekort-1"/>
    <w:p>
      <w:pPr>
        <w:pStyle w:val="Heading4"/>
      </w:pPr>
      <w:r>
        <w:t xml:space="preserve">Diagnostiek van groeihormoontekort</w:t>
      </w:r>
    </w:p>
    <w:p>
      <w:pPr>
        <w:pStyle w:val="FirstParagraph"/>
      </w:pPr>
      <w:r>
        <w:t xml:space="preserve">De bekendste studie verscheen in 2000 in het vaktijdschrift Lancet: 125 volwassenen met aandoeningen van de hypofyse en 125 gezonde mensen kregen GHRH plus GHRP-6 als combinatietest. De gemiddelde GH-piek lag bij de gezonde mensen op 59,2 µg/l, bij de patiënten op 4,1 µg/l; een grenswaarde van 15 µg/l onderscheidde beide groepen betrouwbaar. Bijwerkingen traden niet op, en leeftijd, geslacht en lichaamsvet beïnvloedden het resultaat niet (Popovic 2000, PMID 11030292). In een kleinere studie met 20 personen herkende de test alle gevallen van groeihormoontekort correct; als enige bijwerking werd een warmtegevoel (flush) waargenomen (Petersenn 2002, PMID 11980622). Bij 21 volwassenen bij wie eerder met conventionele tests een tekort was vastgesteld, reageerde ongeveer 40% op de combinatie toch nog duidelijk (Leal-Cerro 1995, PMID 7788011) – een aanwijzing dat verschillende tests verschillende vragen beantwoorden.</w:t>
      </w:r>
    </w:p>
    <w:p>
      <w:pPr>
        <w:pStyle w:val="BodyText"/>
      </w:pPr>
      <w:r>
        <w:t xml:space="preserve">Als test voor een onderfunctie van de bijnier-as was GHRP-6 daarentegen slechts beperkt bruikbaar: bij 49 patiënten bereikte hij in vergelijking met de insulinetest een sensitiviteit van 71,0% en een specificiteit van 77,8% (Alaioubi 2010, PMID 19946832).</w:t>
      </w:r>
    </w:p>
    <w:bookmarkEnd w:id="526"/>
    <w:bookmarkStart w:id="527" w:name="farmacologie-slaap-leeftijd"/>
    <w:p>
      <w:pPr>
        <w:pStyle w:val="Heading4"/>
      </w:pPr>
      <w:r>
        <w:t xml:space="preserve">Farmacologie, slaap, leeftijd</w:t>
      </w:r>
    </w:p>
    <w:p>
      <w:pPr>
        <w:numPr>
          <w:ilvl w:val="0"/>
          <w:numId w:val="1164"/>
        </w:numPr>
        <w:pStyle w:val="Compact"/>
      </w:pPr>
      <w:r>
        <w:rPr>
          <w:bCs/>
          <w:b/>
        </w:rPr>
        <w:t xml:space="preserve">Farmacokinetiek:</w:t>
      </w:r>
      <w:r>
        <w:t xml:space="preserve"> </w:t>
      </w:r>
      <w:r>
        <w:t xml:space="preserve">Bij negen gezonde mannen bedroeg de eliminatiehalfwaardetijd na intraveneuze toediening gemiddeld 2,5 uur (Cabrales 2013, PMID 23099431).</w:t>
      </w:r>
    </w:p>
    <w:p>
      <w:pPr>
        <w:numPr>
          <w:ilvl w:val="0"/>
          <w:numId w:val="1164"/>
        </w:numPr>
        <w:pStyle w:val="Compact"/>
      </w:pPr>
      <w:r>
        <w:rPr>
          <w:bCs/>
          <w:b/>
        </w:rPr>
        <w:t xml:space="preserve">Slaap:</w:t>
      </w:r>
      <w:r>
        <w:t xml:space="preserve"> </w:t>
      </w:r>
      <w:r>
        <w:t xml:space="preserve">Bij gezonde mannen verhoogde GHRP-6 ’s nachts groeihormoon, ACTH en cortisol en verlengde het de lichte slaap (stadium 2), maar niet de diepe slaap (Frieboes 1995, PMID 7617137).</w:t>
      </w:r>
    </w:p>
    <w:p>
      <w:pPr>
        <w:numPr>
          <w:ilvl w:val="0"/>
          <w:numId w:val="1164"/>
        </w:numPr>
        <w:pStyle w:val="Compact"/>
      </w:pPr>
      <w:r>
        <w:rPr>
          <w:bCs/>
          <w:b/>
        </w:rPr>
        <w:t xml:space="preserve">Leeftijd:</w:t>
      </w:r>
      <w:r>
        <w:t xml:space="preserve"> </w:t>
      </w:r>
      <w:r>
        <w:t xml:space="preserve">Bij telkens negen jonge en oudere volwassenen reageerde de hypofyse op oudere leeftijd zwakker op GHRH, maar niet op GHRP-6 (Micic 1995, PMID 7734029).</w:t>
      </w:r>
    </w:p>
    <w:p>
      <w:pPr>
        <w:numPr>
          <w:ilvl w:val="0"/>
          <w:numId w:val="1164"/>
        </w:numPr>
        <w:pStyle w:val="Compact"/>
      </w:pPr>
      <w:r>
        <w:rPr>
          <w:bCs/>
          <w:b/>
        </w:rPr>
        <w:t xml:space="preserve">Kinderen:</w:t>
      </w:r>
      <w:r>
        <w:t xml:space="preserve"> </w:t>
      </w:r>
      <w:r>
        <w:t xml:space="preserve">Als tablet veroorzaakte GHRP-6 bij kinderen met een kleine gestalte zonder hormoontekort een GH-stijging die leek op die na een GHRH-injectie (Bellone 1995, PMID 7581965).</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Deelnemers en opzet</w:t>
            </w:r>
          </w:p>
        </w:tc>
        <w:tc>
          <w:tcPr/>
          <w:p>
            <w:pPr>
              <w:pStyle w:val="Compact"/>
              <w:jc w:val="left"/>
            </w:pPr>
            <w:r>
              <w:t xml:space="preserve">Duur</w:t>
            </w:r>
          </w:p>
        </w:tc>
        <w:tc>
          <w:tcPr/>
          <w:p>
            <w:pPr>
              <w:pStyle w:val="Compact"/>
              <w:jc w:val="left"/>
            </w:pPr>
            <w:r>
              <w:t xml:space="preserve">Resultaat</w:t>
            </w:r>
          </w:p>
        </w:tc>
      </w:tr>
      <w:tr>
        <w:tc>
          <w:tcPr/>
          <w:p>
            <w:pPr>
              <w:pStyle w:val="Compact"/>
              <w:jc w:val="left"/>
            </w:pPr>
            <w:r>
              <w:t xml:space="preserve">Diagnostiek (Popovic 2000), PMID 11030292</w:t>
            </w:r>
          </w:p>
        </w:tc>
        <w:tc>
          <w:tcPr/>
          <w:p>
            <w:pPr>
              <w:pStyle w:val="Compact"/>
              <w:jc w:val="left"/>
            </w:pPr>
            <w:r>
              <w:t xml:space="preserve">125 patiënten, 125 gezonden; multicentrische vergelijkende studie</w:t>
            </w:r>
          </w:p>
        </w:tc>
        <w:tc>
          <w:tcPr/>
          <w:p>
            <w:pPr>
              <w:pStyle w:val="Compact"/>
              <w:jc w:val="left"/>
            </w:pPr>
            <w:r>
              <w:t xml:space="preserve">enkele test</w:t>
            </w:r>
          </w:p>
        </w:tc>
        <w:tc>
          <w:tcPr/>
          <w:p>
            <w:pPr>
              <w:pStyle w:val="Compact"/>
              <w:jc w:val="left"/>
            </w:pPr>
            <w:r>
              <w:t xml:space="preserve">GH-piek 59,2 vs. 4,1 µg/l; grenswaarde 15 µg/l</w:t>
            </w:r>
          </w:p>
        </w:tc>
      </w:tr>
      <w:tr>
        <w:tc>
          <w:tcPr/>
          <w:p>
            <w:pPr>
              <w:pStyle w:val="Compact"/>
              <w:jc w:val="left"/>
            </w:pPr>
            <w:r>
              <w:t xml:space="preserve">Diagnostiek (Petersenn 2002), PMID 11980622</w:t>
            </w:r>
          </w:p>
        </w:tc>
        <w:tc>
          <w:tcPr/>
          <w:p>
            <w:pPr>
              <w:pStyle w:val="Compact"/>
              <w:jc w:val="left"/>
            </w:pPr>
            <w:r>
              <w:t xml:space="preserve">20 personen, vergelijking met insulinetest</w:t>
            </w:r>
          </w:p>
        </w:tc>
        <w:tc>
          <w:tcPr/>
          <w:p>
            <w:pPr>
              <w:pStyle w:val="Compact"/>
              <w:jc w:val="left"/>
            </w:pPr>
            <w:r>
              <w:t xml:space="preserve">enkele tests</w:t>
            </w:r>
          </w:p>
        </w:tc>
        <w:tc>
          <w:tcPr/>
          <w:p>
            <w:pPr>
              <w:pStyle w:val="Compact"/>
              <w:jc w:val="left"/>
            </w:pPr>
            <w:r>
              <w:t xml:space="preserve">alle gevallen met GH-tekort herkend</w:t>
            </w:r>
          </w:p>
        </w:tc>
      </w:tr>
      <w:tr>
        <w:tc>
          <w:tcPr/>
          <w:p>
            <w:pPr>
              <w:pStyle w:val="Compact"/>
              <w:jc w:val="left"/>
            </w:pPr>
            <w:r>
              <w:t xml:space="preserve">Bijniertest (Alaioubi 2010), PMID 19946832</w:t>
            </w:r>
          </w:p>
        </w:tc>
        <w:tc>
          <w:tcPr/>
          <w:p>
            <w:pPr>
              <w:pStyle w:val="Compact"/>
              <w:jc w:val="left"/>
            </w:pPr>
            <w:r>
              <w:t xml:space="preserve">49 patiënten, 20 gezonden</w:t>
            </w:r>
          </w:p>
        </w:tc>
        <w:tc>
          <w:tcPr/>
          <w:p>
            <w:pPr>
              <w:pStyle w:val="Compact"/>
              <w:jc w:val="left"/>
            </w:pPr>
            <w:r>
              <w:t xml:space="preserve">enkele test</w:t>
            </w:r>
          </w:p>
        </w:tc>
        <w:tc>
          <w:tcPr/>
          <w:p>
            <w:pPr>
              <w:pStyle w:val="Compact"/>
              <w:jc w:val="left"/>
            </w:pPr>
            <w:r>
              <w:t xml:space="preserve">sensitiviteit 71,0%, specificiteit 77,8%</w:t>
            </w:r>
          </w:p>
        </w:tc>
      </w:tr>
      <w:tr>
        <w:tc>
          <w:tcPr/>
          <w:p>
            <w:pPr>
              <w:pStyle w:val="Compact"/>
              <w:jc w:val="left"/>
            </w:pPr>
            <w:r>
              <w:t xml:space="preserve">Farmacokinetiek (Cabrales 2013), PMID 23099431</w:t>
            </w:r>
          </w:p>
        </w:tc>
        <w:tc>
          <w:tcPr/>
          <w:p>
            <w:pPr>
              <w:pStyle w:val="Compact"/>
              <w:jc w:val="left"/>
            </w:pPr>
            <w:r>
              <w:t xml:space="preserve">9 gezonde mannen, fase 1</w:t>
            </w:r>
          </w:p>
        </w:tc>
        <w:tc>
          <w:tcPr/>
          <w:p>
            <w:pPr>
              <w:pStyle w:val="Compact"/>
              <w:jc w:val="left"/>
            </w:pPr>
            <w:r>
              <w:t xml:space="preserve">enkele doses</w:t>
            </w:r>
          </w:p>
        </w:tc>
        <w:tc>
          <w:tcPr/>
          <w:p>
            <w:pPr>
              <w:pStyle w:val="Compact"/>
              <w:jc w:val="left"/>
            </w:pPr>
            <w:r>
              <w:t xml:space="preserve">halfwaardetijd 2,5 u</w:t>
            </w:r>
          </w:p>
        </w:tc>
      </w:tr>
      <w:tr>
        <w:tc>
          <w:tcPr/>
          <w:p>
            <w:pPr>
              <w:pStyle w:val="Compact"/>
              <w:jc w:val="left"/>
            </w:pPr>
            <w:r>
              <w:t xml:space="preserve">Slaap (Frieboes 1995), PMID 7617137</w:t>
            </w:r>
          </w:p>
        </w:tc>
        <w:tc>
          <w:tcPr/>
          <w:p>
            <w:pPr>
              <w:pStyle w:val="Compact"/>
              <w:jc w:val="left"/>
            </w:pPr>
            <w:r>
              <w:t xml:space="preserve">gezonde mannen, vergelijking met placebo</w:t>
            </w:r>
          </w:p>
        </w:tc>
        <w:tc>
          <w:tcPr/>
          <w:p>
            <w:pPr>
              <w:pStyle w:val="Compact"/>
              <w:jc w:val="left"/>
            </w:pPr>
            <w:r>
              <w:t xml:space="preserve">1 nacht</w:t>
            </w:r>
          </w:p>
        </w:tc>
        <w:tc>
          <w:tcPr/>
          <w:p>
            <w:pPr>
              <w:pStyle w:val="Compact"/>
              <w:jc w:val="left"/>
            </w:pPr>
            <w:r>
              <w:t xml:space="preserve">GH, ACTH, cortisol ↑; diepe slaap onveranderd</w:t>
            </w:r>
          </w:p>
        </w:tc>
      </w:tr>
    </w:tbl>
    <w:bookmarkEnd w:id="527"/>
    <w:bookmarkEnd w:id="528"/>
    <w:bookmarkStart w:id="529" w:name="dier--en-laboratoriumstudies-28"/>
    <w:p>
      <w:pPr>
        <w:pStyle w:val="Heading3"/>
      </w:pPr>
      <w:r>
        <w:t xml:space="preserve">Dier- en laboratoriumstudies</w:t>
      </w:r>
    </w:p>
    <w:p>
      <w:pPr>
        <w:pStyle w:val="FirstParagraph"/>
      </w:pPr>
      <w:r>
        <w:t xml:space="preserve">Een groot deel van het nieuwere onderzoek betreft de bescherming van organen:</w:t>
      </w:r>
    </w:p>
    <w:p>
      <w:pPr>
        <w:numPr>
          <w:ilvl w:val="0"/>
          <w:numId w:val="1165"/>
        </w:numPr>
        <w:pStyle w:val="Compact"/>
      </w:pPr>
      <w:r>
        <w:rPr>
          <w:bCs/>
          <w:b/>
        </w:rPr>
        <w:t xml:space="preserve">Hart (ratten):</w:t>
      </w:r>
      <w:r>
        <w:t xml:space="preserve"> </w:t>
      </w:r>
      <w:r>
        <w:t xml:space="preserve">Bij ratten die het hartbeschadigende kankermiddel doxorubicine kregen, voorkwam gelijktijdige toediening van GHRP-6 de verwijding van de hartkamers en bleef de pompfunctie behouden (Berlanga-Acosta 2024, PMID 38873418).</w:t>
      </w:r>
    </w:p>
    <w:p>
      <w:pPr>
        <w:numPr>
          <w:ilvl w:val="0"/>
          <w:numId w:val="1165"/>
        </w:numPr>
        <w:pStyle w:val="Compact"/>
      </w:pPr>
      <w:r>
        <w:rPr>
          <w:bCs/>
          <w:b/>
        </w:rPr>
        <w:t xml:space="preserve">Multiorgaanfalen (ratten, celkweken):</w:t>
      </w:r>
      <w:r>
        <w:t xml:space="preserve"> </w:t>
      </w:r>
      <w:r>
        <w:t xml:space="preserve">Na tijdelijke onderbreking van de doorbloeding van de lever verminderde GHRP-6 lever- en darmschade; in celkweken versnelde het de migratie van darmcellen (Cibrián 2006, PMID 16417467).</w:t>
      </w:r>
    </w:p>
    <w:p>
      <w:pPr>
        <w:numPr>
          <w:ilvl w:val="0"/>
          <w:numId w:val="1165"/>
        </w:numPr>
        <w:pStyle w:val="Compact"/>
      </w:pPr>
      <w:r>
        <w:rPr>
          <w:bCs/>
          <w:b/>
        </w:rPr>
        <w:t xml:space="preserve">Zenuwstelsel (ratten, muizen):</w:t>
      </w:r>
      <w:r>
        <w:t xml:space="preserve"> </w:t>
      </w:r>
      <w:r>
        <w:t xml:space="preserve">In een diermodel van multiple sclerose verbeterde alleen de combinatie van GHRP-6 met de groeifactor EGF het ziekteverloop, niet GHRP-6 alleen (del Barco 2011, PMID 21697595).</w:t>
      </w:r>
    </w:p>
    <w:p>
      <w:pPr>
        <w:pStyle w:val="FirstParagraph"/>
      </w:pPr>
      <w:r>
        <w:t xml:space="preserve">Geen van deze benaderingen heeft tot nu toe geleid tot een gepubliceerde gecontroleerde studie bij mensen.</w:t>
      </w:r>
    </w:p>
    <w:bookmarkEnd w:id="529"/>
    <w:bookmarkStart w:id="530" w:name="risicos-en-bijwerkingen-28"/>
    <w:p>
      <w:pPr>
        <w:pStyle w:val="Heading3"/>
      </w:pPr>
      <w:r>
        <w:t xml:space="preserve">Risico’s en bijwerkingen</w:t>
      </w:r>
    </w:p>
    <w:p>
      <w:pPr>
        <w:pStyle w:val="FirstParagraph"/>
      </w:pPr>
      <w:r>
        <w:rPr>
          <w:bCs/>
          <w:b/>
        </w:rPr>
        <w:t xml:space="preserve">Aangetoond in de kortetermijnstudies:</w:t>
      </w:r>
      <w:r>
        <w:t xml:space="preserve"> </w:t>
      </w:r>
      <w:r>
        <w:t xml:space="preserve">warmtegevoel (flush) (Petersenn 2002, PMID 11980622); stijging van ACTH, cortisol en prolactine (Frieboes 1995, PMID 7617137); honger als bekend ghreline-effect. In de diagnostische studies met enkele doses traden verder geen relevante bijwerkingen op.</w:t>
      </w:r>
    </w:p>
    <w:p>
      <w:pPr>
        <w:pStyle w:val="BodyText"/>
      </w:pPr>
      <w:r>
        <w:rPr>
          <w:bCs/>
          <w:b/>
        </w:rPr>
        <w:t xml:space="preserve">Onbekend:</w:t>
      </w:r>
      <w:r>
        <w:t xml:space="preserve"> </w:t>
      </w:r>
      <w:r>
        <w:t xml:space="preserve">over herhaald gebruik gedurende weken of maanden zijn er geen studies bij mensen. Bij langdurig gebruik zijn de bekende gevolgen van verhoogde groeihormoonspiegels en van herhaalde cortisolstimulatie denkbaar, bijvoorbeeld een verslechterde bloedsuikerregeling. Een casusbeschrijving schildert een bodybuilder die decennialang groeihormoon en vrijmakers gebruikte – waaronder een combinatie van sermoreline en GHRP-6 – en een grote botuitsteeksel aan de halswervelkolom ontwikkelde; een oorzakelijk verband is niet bewezen (Perez 2026, PMID 42465868). Voor de kankervraag zie de inleiding tot deze groep en Deel IV.</w:t>
      </w:r>
    </w:p>
    <w:p>
      <w:pPr>
        <w:pStyle w:val="BodyText"/>
      </w:pPr>
      <w:r>
        <w:rPr>
          <w:bCs/>
          <w:b/>
        </w:rPr>
        <w:t xml:space="preserve">Grijze markt:</w:t>
      </w:r>
      <w:r>
        <w:t xml:space="preserve"> </w:t>
      </w:r>
      <w:r>
        <w:t xml:space="preserve">in in beslag genomen producten werd „Gly-GHRP-6” aangetoond, een niet vermelde variant met een extra aminozuur (Krug 2018, PMID 29864719).</w:t>
      </w:r>
    </w:p>
    <w:bookmarkEnd w:id="530"/>
    <w:bookmarkStart w:id="531" w:name="juridische-status-28"/>
    <w:p>
      <w:pPr>
        <w:pStyle w:val="Heading3"/>
      </w:pPr>
      <w:r>
        <w:t xml:space="preserve">Juridische status</w:t>
      </w:r>
    </w:p>
    <w:p>
      <w:pPr>
        <w:pStyle w:val="FirstParagraph"/>
      </w:pPr>
      <w:r>
        <w:rPr>
          <w:iCs/>
          <w:i/>
        </w:rPr>
        <w:t xml:space="preserve">Stand 2026, actuele situatie controleren.</w:t>
      </w:r>
    </w:p>
    <w:p>
      <w:pPr>
        <w:numPr>
          <w:ilvl w:val="0"/>
          <w:numId w:val="1166"/>
        </w:numPr>
        <w:pStyle w:val="Compact"/>
      </w:pPr>
      <w:r>
        <w:rPr>
          <w:bCs/>
          <w:b/>
        </w:rPr>
        <w:t xml:space="preserve">EU, Duitsland, Oostenrijk, VS:</w:t>
      </w:r>
      <w:r>
        <w:t xml:space="preserve"> </w:t>
      </w:r>
      <w:r>
        <w:t xml:space="preserve">geen toelating als geneesmiddel; verstrekking voor gebruik bij mensen is niet toegestaan. In onderzoek wordt GHRP-6 gebruikt in het kader van goedgekeurde studies.</w:t>
      </w:r>
    </w:p>
    <w:p>
      <w:pPr>
        <w:numPr>
          <w:ilvl w:val="0"/>
          <w:numId w:val="1166"/>
        </w:numPr>
        <w:pStyle w:val="Compact"/>
      </w:pPr>
      <w:r>
        <w:rPr>
          <w:bCs/>
          <w:b/>
        </w:rPr>
        <w:t xml:space="preserve">WADA:</w:t>
      </w:r>
      <w:r>
        <w:t xml:space="preserve"> </w:t>
      </w:r>
      <w:r>
        <w:t xml:space="preserve">verboden (S2). GHRP-6 wordt grotendeels onveranderd via de urine uitgescheiden en was na toediening als neusspray bij een vrijwilliger 23 uur lang aantoonbaar (Semenistaya 2015, PMID 25869809).</w:t>
      </w:r>
    </w:p>
    <w:bookmarkEnd w:id="531"/>
    <w:bookmarkStart w:id="532" w:name="lopende-studies-en-vooruitzichten-28"/>
    <w:p>
      <w:pPr>
        <w:pStyle w:val="Heading3"/>
      </w:pPr>
      <w:r>
        <w:t xml:space="preserve">Lopende studies en vooruitzichten</w:t>
      </w:r>
    </w:p>
    <w:p>
      <w:pPr>
        <w:pStyle w:val="FirstParagraph"/>
      </w:pPr>
      <w:r>
        <w:t xml:space="preserve">Bij ClinicalTrials.gov staat in oktober 2026 geen studie met GHRP-6 geregistreerd.</w:t>
      </w:r>
      <w:r>
        <w:t xml:space="preserve"> </w:t>
      </w:r>
      <w:r>
        <w:rPr>
          <w:iCs/>
          <w:i/>
        </w:rPr>
        <w:t xml:space="preserve">Inschatting van de auteur:</w:t>
      </w:r>
      <w:r>
        <w:t xml:space="preserve"> </w:t>
      </w:r>
      <w:r>
        <w:t xml:space="preserve">het dieronderzoek naar orgaanbescherming is de enige herkenbare ontwikkelingslijn; of daaruit studies bij mensen voortkomen, is onzeker. Voor de diagnostiek is GHRP-6 grotendeels door andere tests vervangen.</w:t>
      </w:r>
    </w:p>
    <w:bookmarkEnd w:id="532"/>
    <w:bookmarkStart w:id="533" w:name="conclusie-28"/>
    <w:p>
      <w:pPr>
        <w:pStyle w:val="Heading3"/>
      </w:pPr>
      <w:r>
        <w:t xml:space="preserve">Conclusie</w:t>
      </w:r>
    </w:p>
    <w:p>
      <w:pPr>
        <w:pStyle w:val="FirstParagraph"/>
      </w:pPr>
      <w:r>
        <w:t xml:space="preserve">GHRP-6 was het eerste kunstmatige peptide dat gericht groeihormoon vrijmaakt, en heeft beslissend bijgedragen aan de ontdekking van het ghrelinesysteem. Bij mensen is het vrijwel alleen onderzocht als eenmalig toegediend testmiddel, onder meer in een grote Lancet-studie naar de diagnose van groeihormoontekort. Een aangetoond therapeutisch nut is er niet, en over herhaald gebruik zoals dat op de grijze markt wordt aangeprezen, ontbreken gegevens volledig.</w:t>
      </w:r>
    </w:p>
    <w:bookmarkEnd w:id="533"/>
    <w:bookmarkEnd w:id="534"/>
    <w:bookmarkStart w:id="546" w:name="hexareline"/>
    <w:p>
      <w:pPr>
        <w:pStyle w:val="Heading2"/>
      </w:pPr>
      <w:r>
        <w:t xml:space="preserve">Hexareline</w:t>
      </w:r>
    </w:p>
    <w:p>
      <w:pPr>
        <w:pStyle w:val="FirstParagraph"/>
      </w:pPr>
      <w:r>
        <w:t xml:space="preserve">Hexareline is een naaste verwant van GHRP-6 – en een van de sterkste kunstmatige groeihormoonvrijmakers die er bestaan. In de jaren negentig werd het vooral in Italië intensief bij mensen onderzocht. Daarbij viel iets onverwachts op: hexareline lijkt rechtstreeks op het hart te werken, los van het groeihormoon. Een toelating volgde toch niet. Een van de redenen lag in een typische zwakte van deze stofklasse: bij langdurig gebruik neemt de werking af.</w:t>
      </w:r>
    </w:p>
    <w:bookmarkStart w:id="535" w:name="profiel-29"/>
    <w:p>
      <w:pPr>
        <w:pStyle w:val="Heading3"/>
      </w:pPr>
      <w:r>
        <w:t xml:space="preserve">Profiel</w:t>
      </w:r>
    </w:p>
    <w:p>
      <w:pPr>
        <w:numPr>
          <w:ilvl w:val="0"/>
          <w:numId w:val="1167"/>
        </w:numPr>
        <w:pStyle w:val="Compact"/>
      </w:pPr>
      <w:r>
        <w:rPr>
          <w:bCs/>
          <w:b/>
        </w:rPr>
        <w:t xml:space="preserve">Soort en structuur:</w:t>
      </w:r>
      <w:r>
        <w:t xml:space="preserve"> </w:t>
      </w:r>
      <w:r>
        <w:t xml:space="preserve">synthetisch hexapeptide His-D-2-methyl-Trp-Ala-Trp-D-Phe-Lys-NH2; het verschilt van GHRP-6 door een extra methylgroep aan de tweede bouwsteen (Imbimbo 1994, PMID 7957536).</w:t>
      </w:r>
    </w:p>
    <w:p>
      <w:pPr>
        <w:numPr>
          <w:ilvl w:val="0"/>
          <w:numId w:val="1167"/>
        </w:numPr>
        <w:pStyle w:val="Compact"/>
      </w:pPr>
      <w:r>
        <w:rPr>
          <w:bCs/>
          <w:b/>
        </w:rPr>
        <w:t xml:space="preserve">Herkomst:</w:t>
      </w:r>
      <w:r>
        <w:t xml:space="preserve"> </w:t>
      </w:r>
      <w:r>
        <w:t xml:space="preserve">begin jaren negentig ontwikkeld als variant van GHRP-6; een groot deel van het klinisch onderzoek komt van Italiaanse universitaire centra.</w:t>
      </w:r>
    </w:p>
    <w:p>
      <w:pPr>
        <w:numPr>
          <w:ilvl w:val="0"/>
          <w:numId w:val="1167"/>
        </w:numPr>
        <w:pStyle w:val="Compact"/>
      </w:pPr>
      <w:r>
        <w:rPr>
          <w:bCs/>
          <w:b/>
        </w:rPr>
        <w:t xml:space="preserve">Werkingsprincipe:</w:t>
      </w:r>
      <w:r>
        <w:t xml:space="preserve"> </w:t>
      </w:r>
      <w:r>
        <w:t xml:space="preserve">agonist op de ghrelinereceptor (GHS-R1a); maakt groeihormoon, ACTH, cortisol en prolactine vrij. Daarnaast bindt hexareline aan de receptor CD36 in hartweefsel, via welke GH-onafhankelijke effecten op het hart worden vermoed (Mao 2014, PMID 25278975).</w:t>
      </w:r>
    </w:p>
    <w:p>
      <w:pPr>
        <w:numPr>
          <w:ilvl w:val="0"/>
          <w:numId w:val="1167"/>
        </w:numPr>
        <w:pStyle w:val="Compact"/>
      </w:pPr>
      <w:r>
        <w:rPr>
          <w:bCs/>
          <w:b/>
        </w:rPr>
        <w:t xml:space="preserve">Registratie EU:</w:t>
      </w:r>
      <w:r>
        <w:t xml:space="preserve"> </w:t>
      </w:r>
      <w:r>
        <w:t xml:space="preserve">nee.</w:t>
      </w:r>
      <w:r>
        <w:t xml:space="preserve"> </w:t>
      </w:r>
      <w:r>
        <w:rPr>
          <w:bCs/>
          <w:b/>
        </w:rPr>
        <w:t xml:space="preserve">Registratie VS:</w:t>
      </w:r>
      <w:r>
        <w:t xml:space="preserve"> </w:t>
      </w:r>
      <w:r>
        <w:t xml:space="preserve">nee.</w:t>
      </w:r>
    </w:p>
    <w:p>
      <w:pPr>
        <w:numPr>
          <w:ilvl w:val="0"/>
          <w:numId w:val="1167"/>
        </w:numPr>
        <w:pStyle w:val="Compact"/>
      </w:pPr>
      <w:r>
        <w:rPr>
          <w:bCs/>
          <w:b/>
        </w:rPr>
        <w:t xml:space="preserve">WADA:</w:t>
      </w:r>
      <w:r>
        <w:t xml:space="preserve"> </w:t>
      </w:r>
      <w:r>
        <w:t xml:space="preserve">verboden, groep S2 – hexareline wordt als groeihormoonvrijmakend peptide uitdrukkelijk genoemd.</w:t>
      </w:r>
    </w:p>
    <w:p>
      <w:pPr>
        <w:numPr>
          <w:ilvl w:val="0"/>
          <w:numId w:val="1167"/>
        </w:numPr>
        <w:pStyle w:val="Compact"/>
      </w:pPr>
      <w:r>
        <w:rPr>
          <w:bCs/>
          <w:b/>
        </w:rPr>
        <w:t xml:space="preserve">Bewijsniveau: C</w:t>
      </w:r>
      <w:r>
        <w:t xml:space="preserve"> </w:t>
      </w:r>
      <w:r>
        <w:t xml:space="preserve">– talrijke kleine studies, veel daarvan gerandomiseerd, maar vrijwel uitsluitend met enkele doses en hormonale of circulatiefysiologische meetwaarden; geen studie naar een klinisch eindpunt.</w:t>
      </w:r>
    </w:p>
    <w:bookmarkEnd w:id="535"/>
    <w:bookmarkStart w:id="536" w:name="hoe-het-zou-moeten-werken-29"/>
    <w:p>
      <w:pPr>
        <w:pStyle w:val="Heading3"/>
      </w:pPr>
      <w:r>
        <w:t xml:space="preserve">Hoe het zou moeten werken</w:t>
      </w:r>
    </w:p>
    <w:p>
      <w:pPr>
        <w:pStyle w:val="FirstParagraph"/>
      </w:pPr>
      <w:r>
        <w:t xml:space="preserve">Net als GHRP-6 en GHRP-2 bootst hexareline het maaghormoon ghreline na en zet zo de afgifte van groeihormoon in gang. De werking hangt af van een intacte verbinding tussen tussenhersenen en hypofyse: bij kinderen en volwassenen bij wie deze verbinding anatomisch onderbroken was, bleef de GH-respons uit of was die sterk verzwakt, bij een idiopathisch tekort was die daarentegen krachtig (Loche 1995, PMID 7673411).</w:t>
      </w:r>
    </w:p>
    <w:p>
      <w:pPr>
        <w:pStyle w:val="BodyText"/>
      </w:pPr>
      <w:r>
        <w:t xml:space="preserve">Het tweede, zelfstandige idee betreft het hart. Ghrelinereceptoren en het vangermolecuul CD36 komen ook in de hartspier voor. Hexareline zou daarom de pompkracht van het hart rechtstreeks kunnen verhogen – een mogelijke benadering bij hartfalen, los van het groeihormoon.</w:t>
      </w:r>
    </w:p>
    <w:bookmarkEnd w:id="536"/>
    <w:bookmarkStart w:id="540" w:name="studies-bij-mensen-29"/>
    <w:p>
      <w:pPr>
        <w:pStyle w:val="Heading3"/>
      </w:pPr>
      <w:r>
        <w:t xml:space="preserve">Studies bij mensen</w:t>
      </w:r>
    </w:p>
    <w:p>
      <w:pPr>
        <w:pStyle w:val="FirstParagraph"/>
      </w:pPr>
      <w:r>
        <w:rPr>
          <w:bCs/>
          <w:b/>
        </w:rPr>
        <w:t xml:space="preserve">Omvang van het onderzoek (zoekopdracht oktober 2026):</w:t>
      </w:r>
      <w:r>
        <w:t xml:space="preserve"> </w:t>
      </w:r>
      <w:r>
        <w:t xml:space="preserve">De geautomatiseerde zoekopdracht van dit boek vond</w:t>
      </w:r>
      <w:r>
        <w:t xml:space="preserve"> </w:t>
      </w:r>
      <w:r>
        <w:rPr>
          <w:bCs/>
          <w:b/>
        </w:rPr>
        <w:t xml:space="preserve">58</w:t>
      </w:r>
      <w:r>
        <w:t xml:space="preserve"> </w:t>
      </w:r>
      <w:r>
        <w:t xml:space="preserve">studies bij mensen in PubMed (</w:t>
      </w:r>
      <w:r>
        <w:rPr>
          <w:rStyle w:val="VerbatimChar"/>
        </w:rPr>
        <w:t xml:space="preserve">humanstudien_alle</w:t>
      </w:r>
      <w:r>
        <w:t xml:space="preserve">) en</w:t>
      </w:r>
      <w:r>
        <w:t xml:space="preserve"> </w:t>
      </w:r>
      <w:r>
        <w:rPr>
          <w:bCs/>
          <w:b/>
        </w:rPr>
        <w:t xml:space="preserve">geen</w:t>
      </w:r>
      <w:r>
        <w:t xml:space="preserve"> </w:t>
      </w:r>
      <w:r>
        <w:t xml:space="preserve">registratie bij ClinicalTrials.gov. De meeste studies dateren uit 1994 tot 2004 en onderzoeken met enkele doses hoe de hormoonrespons afhangt van leeftijd, geslacht, voeding, geneesmiddelen of ziekten. Enkele publicaties op de lijst gaan vooral over ghreline of GHRP-6 en gebruiken hexareline alleen ter vergelijking.</w:t>
      </w:r>
    </w:p>
    <w:bookmarkStart w:id="537" w:name="hormoonwerking-en-dosis"/>
    <w:p>
      <w:pPr>
        <w:pStyle w:val="Heading4"/>
      </w:pPr>
      <w:r>
        <w:t xml:space="preserve">Hormoonwerking en dosis</w:t>
      </w:r>
    </w:p>
    <w:p>
      <w:pPr>
        <w:pStyle w:val="FirstParagraph"/>
      </w:pPr>
      <w:r>
        <w:t xml:space="preserve">In een dubbelblinde, placebogecontroleerde studie met twaalf gezonde mannen steeg groeihormoon na intraveneuze toediening dosisafhankelijk, met een piek na ongeveer 30 minuten en terugkeer naar de uitgangswaarde binnen vier uur (Imbimbo 1994, PMID 7957536). Hexareline maakte daarbij ook prolactine en cortisol dosisafhankelijk vrij; gecombineerd met GHRH volstond een lage dosis hexareline voor een massale GH-afgifte zonder stijging van cortisol (Massoud 1996, PMID 8954038). De activering van de stresshormoon-as loopt kennelijk via de tussenhersenen; in een studie met 15 jonge mannen verhoogde hexareline ook kortstondig de eetlust (Korbonits 1999, PMID 10404825).</w:t>
      </w:r>
    </w:p>
    <w:bookmarkEnd w:id="537"/>
    <w:bookmarkStart w:id="538" w:name="Xea7cb78e311b481b523c53a3633a9ddd98f0596"/>
    <w:p>
      <w:pPr>
        <w:pStyle w:val="Heading4"/>
      </w:pPr>
      <w:r>
        <w:t xml:space="preserve">Langdurige toediening: de werking neemt af</w:t>
      </w:r>
    </w:p>
    <w:p>
      <w:pPr>
        <w:pStyle w:val="FirstParagraph"/>
      </w:pPr>
      <w:r>
        <w:t xml:space="preserve">Beslissend voor een therapie is of de werking bij herhaalde toediening aanhoudt. Bij volwassenen die 16 weken lang tweemaal daags hexareline onderhuids spoten, nam de GH-respons duidelijk af en herstelde die zich pas vier weken na het stoppen. IGF-1, lichaamsvet, spiermassa en botdichtheid veranderden niet significant (Rahim 1998, PMID 9589671). De cortisolrespons verzwakte in dezelfde studie eveneens tijdelijk (Rahim 1999, PMID 10341859).</w:t>
      </w:r>
    </w:p>
    <w:p>
      <w:pPr>
        <w:pStyle w:val="BodyText"/>
      </w:pPr>
      <w:r>
        <w:t xml:space="preserve">Bij kinderen met een kleine gestalte was het beeld iets gunstiger: met een neusspray steeg de groeisnelheid bij acht kinderen van 5,3 naar 8,3 cm per jaar, IGF-1 nam toe (Laron 1995, PMID 8548949). Een vervolgstudie met zeven kinderen liet zien dat de GH-respons van de hypofyse al na zeven dagen ongeveer gehalveerd was, maar dat de snellere groei toch aanhield (Klinger 1996, PMID 8766941).</w:t>
      </w:r>
    </w:p>
    <w:bookmarkEnd w:id="538"/>
    <w:bookmarkStart w:id="539" w:name="effecten-op-het-hart"/>
    <w:p>
      <w:pPr>
        <w:pStyle w:val="Heading4"/>
      </w:pPr>
      <w:r>
        <w:t xml:space="preserve">Effecten op het hart</w:t>
      </w:r>
    </w:p>
    <w:p>
      <w:pPr>
        <w:pStyle w:val="FirstParagraph"/>
      </w:pPr>
      <w:r>
        <w:t xml:space="preserve">Meerdere kleine studies van een Italiaanse onderzoeksgroep onderzochten het hart:</w:t>
      </w:r>
    </w:p>
    <w:p>
      <w:pPr>
        <w:numPr>
          <w:ilvl w:val="0"/>
          <w:numId w:val="1168"/>
        </w:numPr>
        <w:pStyle w:val="Compact"/>
      </w:pPr>
      <w:r>
        <w:t xml:space="preserve">Bij zeven mannen met groeihormoontekort en negen gezonde controlepersonen steeg de linkerventrikelejectiefractie (het aandeel bloed dat de linkerhartkamer per slag uitpompt) na een enkele dosis hexareline in beide groepen, hoewel de patiënten nauwelijks groeihormoon afgaven. De auteurs concluderen tot een GH-onafhankelijk effect (Bisi 1999, PMID 10528131).</w:t>
      </w:r>
    </w:p>
    <w:p>
      <w:pPr>
        <w:numPr>
          <w:ilvl w:val="0"/>
          <w:numId w:val="1168"/>
        </w:numPr>
        <w:pStyle w:val="Compact"/>
      </w:pPr>
      <w:r>
        <w:t xml:space="preserve">Bij patiënten met ernstige verwijde hartspierziekte (gedilateerde cardiomyopathie) bleef dit effect daarentegen uit (Broglio 2001, PMID 11322491).</w:t>
      </w:r>
    </w:p>
    <w:p>
      <w:pPr>
        <w:numPr>
          <w:ilvl w:val="0"/>
          <w:numId w:val="1168"/>
        </w:numPr>
        <w:pStyle w:val="Compact"/>
      </w:pPr>
      <w:r>
        <w:t xml:space="preserve">Bij 24 mannen met coronaire hartziekte tijdens een bypassoperatie verhoogde hexareline de ejectiefractie en het hartminuutvolume tot 90 minuten lang, terwijl GHRH, groeihormoon en placebo geen effect hadden (Broglio 2002, PMID 12144941).</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Deelnemers en opzet</w:t>
            </w:r>
          </w:p>
        </w:tc>
        <w:tc>
          <w:tcPr/>
          <w:p>
            <w:pPr>
              <w:pStyle w:val="Compact"/>
              <w:jc w:val="left"/>
            </w:pPr>
            <w:r>
              <w:t xml:space="preserve">Duur</w:t>
            </w:r>
          </w:p>
        </w:tc>
        <w:tc>
          <w:tcPr/>
          <w:p>
            <w:pPr>
              <w:pStyle w:val="Compact"/>
              <w:jc w:val="left"/>
            </w:pPr>
            <w:r>
              <w:t xml:space="preserve">Resultaat</w:t>
            </w:r>
          </w:p>
        </w:tc>
      </w:tr>
      <w:tr>
        <w:tc>
          <w:tcPr/>
          <w:p>
            <w:pPr>
              <w:pStyle w:val="Compact"/>
              <w:jc w:val="left"/>
            </w:pPr>
            <w:r>
              <w:t xml:space="preserve">Dosisbepaling (Imbimbo 1994), PMID 7957536</w:t>
            </w:r>
          </w:p>
        </w:tc>
        <w:tc>
          <w:tcPr/>
          <w:p>
            <w:pPr>
              <w:pStyle w:val="Compact"/>
              <w:jc w:val="left"/>
            </w:pPr>
            <w:r>
              <w:t xml:space="preserve">12 gezonde mannen, dubbelblind, placebo, oplopende doses</w:t>
            </w:r>
          </w:p>
        </w:tc>
        <w:tc>
          <w:tcPr/>
          <w:p>
            <w:pPr>
              <w:pStyle w:val="Compact"/>
              <w:jc w:val="left"/>
            </w:pPr>
            <w:r>
              <w:t xml:space="preserve">enkele doses</w:t>
            </w:r>
          </w:p>
        </w:tc>
        <w:tc>
          <w:tcPr/>
          <w:p>
            <w:pPr>
              <w:pStyle w:val="Compact"/>
              <w:jc w:val="left"/>
            </w:pPr>
            <w:r>
              <w:t xml:space="preserve">GH-piek na ca. 30 min, dosisafhankelijk</w:t>
            </w:r>
          </w:p>
        </w:tc>
      </w:tr>
      <w:tr>
        <w:tc>
          <w:tcPr/>
          <w:p>
            <w:pPr>
              <w:pStyle w:val="Compact"/>
              <w:jc w:val="left"/>
            </w:pPr>
            <w:r>
              <w:t xml:space="preserve">Langdurige toediening (Rahim 1998), PMID 9589671</w:t>
            </w:r>
          </w:p>
        </w:tc>
        <w:tc>
          <w:tcPr/>
          <w:p>
            <w:pPr>
              <w:pStyle w:val="Compact"/>
              <w:jc w:val="left"/>
            </w:pPr>
            <w:r>
              <w:t xml:space="preserve">volwassenen, zonder controlegroep</w:t>
            </w:r>
          </w:p>
        </w:tc>
        <w:tc>
          <w:tcPr/>
          <w:p>
            <w:pPr>
              <w:pStyle w:val="Compact"/>
              <w:jc w:val="left"/>
            </w:pPr>
            <w:r>
              <w:t xml:space="preserve">16 weken</w:t>
            </w:r>
          </w:p>
        </w:tc>
        <w:tc>
          <w:tcPr/>
          <w:p>
            <w:pPr>
              <w:pStyle w:val="Compact"/>
              <w:jc w:val="left"/>
            </w:pPr>
            <w:r>
              <w:t xml:space="preserve">GH-respons verzwakt; IGF-1 en lichaamssamenstelling onveranderd</w:t>
            </w:r>
          </w:p>
        </w:tc>
      </w:tr>
      <w:tr>
        <w:tc>
          <w:tcPr/>
          <w:p>
            <w:pPr>
              <w:pStyle w:val="Compact"/>
              <w:jc w:val="left"/>
            </w:pPr>
            <w:r>
              <w:t xml:space="preserve">Kinderen, neusspray (Laron 1995), PMID 8548949</w:t>
            </w:r>
          </w:p>
        </w:tc>
        <w:tc>
          <w:tcPr/>
          <w:p>
            <w:pPr>
              <w:pStyle w:val="Compact"/>
              <w:jc w:val="left"/>
            </w:pPr>
            <w:r>
              <w:t xml:space="preserve">8 kinderen met kleine gestalte, zonder controlegroep</w:t>
            </w:r>
          </w:p>
        </w:tc>
        <w:tc>
          <w:tcPr/>
          <w:p>
            <w:pPr>
              <w:pStyle w:val="Compact"/>
              <w:jc w:val="left"/>
            </w:pPr>
            <w:r>
              <w:t xml:space="preserve">tot 8 maanden</w:t>
            </w:r>
          </w:p>
        </w:tc>
        <w:tc>
          <w:tcPr/>
          <w:p>
            <w:pPr>
              <w:pStyle w:val="Compact"/>
              <w:jc w:val="left"/>
            </w:pPr>
            <w:r>
              <w:t xml:space="preserve">groei 5,3 → 8,3 cm/jaar</w:t>
            </w:r>
          </w:p>
        </w:tc>
      </w:tr>
      <w:tr>
        <w:tc>
          <w:tcPr/>
          <w:p>
            <w:pPr>
              <w:pStyle w:val="Compact"/>
              <w:jc w:val="left"/>
            </w:pPr>
            <w:r>
              <w:t xml:space="preserve">Hart, GH-tekort (Bisi 1999), PMID 10528131</w:t>
            </w:r>
          </w:p>
        </w:tc>
        <w:tc>
          <w:tcPr/>
          <w:p>
            <w:pPr>
              <w:pStyle w:val="Compact"/>
              <w:jc w:val="left"/>
            </w:pPr>
            <w:r>
              <w:t xml:space="preserve">7 mannen met GH-tekort, 9 gezonden</w:t>
            </w:r>
          </w:p>
        </w:tc>
        <w:tc>
          <w:tcPr/>
          <w:p>
            <w:pPr>
              <w:pStyle w:val="Compact"/>
              <w:jc w:val="left"/>
            </w:pPr>
            <w:r>
              <w:t xml:space="preserve">enkele dosis</w:t>
            </w:r>
          </w:p>
        </w:tc>
        <w:tc>
          <w:tcPr/>
          <w:p>
            <w:pPr>
              <w:pStyle w:val="Compact"/>
              <w:jc w:val="left"/>
            </w:pPr>
            <w:r>
              <w:t xml:space="preserve">ejectiefractie 50 → 57% resp. 63 → 70%</w:t>
            </w:r>
          </w:p>
        </w:tc>
      </w:tr>
      <w:tr>
        <w:tc>
          <w:tcPr/>
          <w:p>
            <w:pPr>
              <w:pStyle w:val="Compact"/>
              <w:jc w:val="left"/>
            </w:pPr>
            <w:r>
              <w:t xml:space="preserve">Hart, bypassoperatie (Broglio 2002), PMID 12144941</w:t>
            </w:r>
          </w:p>
        </w:tc>
        <w:tc>
          <w:tcPr/>
          <w:p>
            <w:pPr>
              <w:pStyle w:val="Compact"/>
              <w:jc w:val="left"/>
            </w:pPr>
            <w:r>
              <w:t xml:space="preserve">24 mannen met CHZ, vergelijking met GHRH, GH, placebo</w:t>
            </w:r>
          </w:p>
        </w:tc>
        <w:tc>
          <w:tcPr/>
          <w:p>
            <w:pPr>
              <w:pStyle w:val="Compact"/>
              <w:jc w:val="left"/>
            </w:pPr>
            <w:r>
              <w:t xml:space="preserve">enkele dosis</w:t>
            </w:r>
          </w:p>
        </w:tc>
        <w:tc>
          <w:tcPr/>
          <w:p>
            <w:pPr>
              <w:pStyle w:val="Compact"/>
              <w:jc w:val="left"/>
            </w:pPr>
            <w:r>
              <w:t xml:space="preserve">ejectiefractie en hartminuutvolume ↑</w:t>
            </w:r>
          </w:p>
        </w:tc>
      </w:tr>
    </w:tbl>
    <w:bookmarkEnd w:id="539"/>
    <w:bookmarkEnd w:id="540"/>
    <w:bookmarkStart w:id="541" w:name="dier--en-laboratoriumstudies-29"/>
    <w:p>
      <w:pPr>
        <w:pStyle w:val="Heading3"/>
      </w:pPr>
      <w:r>
        <w:t xml:space="preserve">Dier- en laboratoriumstudies</w:t>
      </w:r>
    </w:p>
    <w:p>
      <w:pPr>
        <w:numPr>
          <w:ilvl w:val="0"/>
          <w:numId w:val="1169"/>
        </w:numPr>
        <w:pStyle w:val="Compact"/>
      </w:pPr>
      <w:r>
        <w:rPr>
          <w:bCs/>
          <w:b/>
        </w:rPr>
        <w:t xml:space="preserve">Hartinfarct (ratten, muizen):</w:t>
      </w:r>
      <w:r>
        <w:t xml:space="preserve"> </w:t>
      </w:r>
      <w:r>
        <w:t xml:space="preserve">Bij ratten vier weken na een kunstmatig opgewekt hartinfarct verbeterde hexareline gedurende twee weken het slagvolume en verlaagde het de vaatweerstand, vergelijkbaar met groeihormoon (Tivesten 2000, PMID 10614623). Bij muizen na een hartinfarct bleef de pompfunctie behouden en nam de littekenvorming in de hartspier af (McDonald 2018, PMID 29756411).</w:t>
      </w:r>
    </w:p>
    <w:p>
      <w:pPr>
        <w:numPr>
          <w:ilvl w:val="0"/>
          <w:numId w:val="1169"/>
        </w:numPr>
        <w:pStyle w:val="Compact"/>
      </w:pPr>
      <w:r>
        <w:rPr>
          <w:bCs/>
          <w:b/>
        </w:rPr>
        <w:t xml:space="preserve">Mechanisme:</w:t>
      </w:r>
      <w:r>
        <w:t xml:space="preserve"> </w:t>
      </w:r>
      <w:r>
        <w:t xml:space="preserve">Een overzichtsartikel beschrijft CD36 als specifieke hartreceptor voor hexareline, die de beschermende effecten zou overbrengen (Mao 2014, PMID 25278975).</w:t>
      </w:r>
    </w:p>
    <w:bookmarkEnd w:id="541"/>
    <w:bookmarkStart w:id="542" w:name="risicos-en-bijwerkingen-29"/>
    <w:p>
      <w:pPr>
        <w:pStyle w:val="Heading3"/>
      </w:pPr>
      <w:r>
        <w:t xml:space="preserve">Risico’s en bijwerkingen</w:t>
      </w:r>
    </w:p>
    <w:p>
      <w:pPr>
        <w:pStyle w:val="FirstParagraph"/>
      </w:pPr>
      <w:r>
        <w:rPr>
          <w:bCs/>
          <w:b/>
        </w:rPr>
        <w:t xml:space="preserve">Aangetoond:</w:t>
      </w:r>
      <w:r>
        <w:t xml:space="preserve"> </w:t>
      </w:r>
      <w:r>
        <w:t xml:space="preserve">stijging van cortisol, ACTH en prolactine (Massoud 1996, PMID 8954038; Korbonits 1999, PMID 10404825); kortstondig verhoogde eetlust (Korbonits 1999, PMID 10404825); afnemende werking bij langdurige toediening (Rahim 1998, PMID 9589671; Klinger 1996, PMID 8766941). Ernstige bijwerkingen werden in de kleine studies niet gemeld; bij kinderen vonden de auteurs geen ongewenste effecten (Laron 1995, PMID 8548949).</w:t>
      </w:r>
    </w:p>
    <w:p>
      <w:pPr>
        <w:pStyle w:val="BodyText"/>
      </w:pPr>
      <w:r>
        <w:rPr>
          <w:bCs/>
          <w:b/>
        </w:rPr>
        <w:t xml:space="preserve">Onbekend:</w:t>
      </w:r>
      <w:r>
        <w:t xml:space="preserve"> </w:t>
      </w:r>
      <w:r>
        <w:t xml:space="preserve">langetermijngegevens over de veiligheid, vooral voor het hart, ontbreken. Dat een stof de pompkracht acuut verhoogt, zegt niets over de vraag of hij bij hartfalen op lange termijn nuttig of schadelijk is – dat zou alleen in eigen langetermijnstudies met klinische eindpunten te beantwoorden zijn, en die bestaan niet. Voor de vraag naar een kankerrisico bij blijvend verhoogd groeihormoon zie de inleiding tot deze groep en Deel IV.</w:t>
      </w:r>
    </w:p>
    <w:bookmarkEnd w:id="542"/>
    <w:bookmarkStart w:id="543" w:name="juridische-status-29"/>
    <w:p>
      <w:pPr>
        <w:pStyle w:val="Heading3"/>
      </w:pPr>
      <w:r>
        <w:t xml:space="preserve">Juridische status</w:t>
      </w:r>
    </w:p>
    <w:p>
      <w:pPr>
        <w:pStyle w:val="FirstParagraph"/>
      </w:pPr>
      <w:r>
        <w:rPr>
          <w:iCs/>
          <w:i/>
        </w:rPr>
        <w:t xml:space="preserve">Stand 2026, actuele situatie controleren.</w:t>
      </w:r>
    </w:p>
    <w:p>
      <w:pPr>
        <w:numPr>
          <w:ilvl w:val="0"/>
          <w:numId w:val="1170"/>
        </w:numPr>
        <w:pStyle w:val="Compact"/>
      </w:pPr>
      <w:r>
        <w:rPr>
          <w:bCs/>
          <w:b/>
        </w:rPr>
        <w:t xml:space="preserve">EU, Duitsland, Oostenrijk, VS:</w:t>
      </w:r>
      <w:r>
        <w:t xml:space="preserve"> </w:t>
      </w:r>
      <w:r>
        <w:t xml:space="preserve">geen toelating als geneesmiddel; verstrekking voor gebruik bij mensen is niet toegestaan.</w:t>
      </w:r>
    </w:p>
    <w:p>
      <w:pPr>
        <w:numPr>
          <w:ilvl w:val="0"/>
          <w:numId w:val="1170"/>
        </w:numPr>
        <w:pStyle w:val="Compact"/>
      </w:pPr>
      <w:r>
        <w:rPr>
          <w:bCs/>
          <w:b/>
        </w:rPr>
        <w:t xml:space="preserve">WADA:</w:t>
      </w:r>
      <w:r>
        <w:t xml:space="preserve"> </w:t>
      </w:r>
      <w:r>
        <w:t xml:space="preserve">verboden (S2). Hexareline wordt in het lichaam sterk afgebroken; afbraakproducten blijven na het verdwijnen van de uitgangsstof in de urine aantoonbaar (Semenistaya 2015, PMID 25869809).</w:t>
      </w:r>
    </w:p>
    <w:bookmarkEnd w:id="543"/>
    <w:bookmarkStart w:id="544" w:name="lopende-studies-en-vooruitzichten-29"/>
    <w:p>
      <w:pPr>
        <w:pStyle w:val="Heading3"/>
      </w:pPr>
      <w:r>
        <w:t xml:space="preserve">Lopende studies en vooruitzichten</w:t>
      </w:r>
    </w:p>
    <w:p>
      <w:pPr>
        <w:pStyle w:val="FirstParagraph"/>
      </w:pPr>
      <w:r>
        <w:t xml:space="preserve">Bij ClinicalTrials.gov staat in oktober 2026 geen studie met hexareline geregistreerd.</w:t>
      </w:r>
      <w:r>
        <w:t xml:space="preserve"> </w:t>
      </w:r>
      <w:r>
        <w:rPr>
          <w:iCs/>
          <w:i/>
        </w:rPr>
        <w:t xml:space="preserve">Inschatting van de auteur:</w:t>
      </w:r>
      <w:r>
        <w:t xml:space="preserve"> </w:t>
      </w:r>
      <w:r>
        <w:t xml:space="preserve">het hartonderzoek gaat door, maar alleen in diermodellen. Een klinische ontwikkeling zou een bedrijf vereisen dat de rechten bezit en studies financiert – zo’n bedrijf is momenteel niet in zicht.</w:t>
      </w:r>
    </w:p>
    <w:bookmarkEnd w:id="544"/>
    <w:bookmarkStart w:id="545" w:name="conclusie-29"/>
    <w:p>
      <w:pPr>
        <w:pStyle w:val="Heading3"/>
      </w:pPr>
      <w:r>
        <w:t xml:space="preserve">Conclusie</w:t>
      </w:r>
    </w:p>
    <w:p>
      <w:pPr>
        <w:pStyle w:val="FirstParagraph"/>
      </w:pPr>
      <w:r>
        <w:t xml:space="preserve">Hexareline maakt bij mensen krachtig groeihormoon vrij, maar ook stresshormonen en prolactine, en bij langdurige toediening neemt de werking duidelijk af; IGF-1 en lichaamssamenstelling veranderden in een studie van 16 weken niet. Interessant zijn kleine studies waarin een enkele dosis de pompkracht van het hart verhoogde, kennelijk los van het groeihormoon. Of daaruit ooit een nut voor mensen met hartaandoeningen voortkomt, is volledig onzeker; voor spieropbouw of verjonging is er geen bewijs.</w:t>
      </w:r>
    </w:p>
    <w:bookmarkEnd w:id="545"/>
    <w:bookmarkEnd w:id="546"/>
    <w:bookmarkStart w:id="559" w:name="macimoreline"/>
    <w:p>
      <w:pPr>
        <w:pStyle w:val="Heading2"/>
      </w:pPr>
      <w:r>
        <w:t xml:space="preserve">Macimoreline</w:t>
      </w:r>
    </w:p>
    <w:p>
      <w:pPr>
        <w:pStyle w:val="FirstParagraph"/>
      </w:pPr>
      <w:r>
        <w:t xml:space="preserve">Macimoreline is het meest nuchtere lid van deze groep – en juist daarom een goed tegenvoorbeeld voor de grijze-marktpeptiden. Het wordt niet voor behandeling gebruikt, maar als test: iemand drinkt een oplossing met macimoreline, daarna wordt meerdere keren bloed afgenomen. Stijgt het groeihormoon nauwelijks, dan wijst dat op een groeihormoontekort. Daarvoor is macimoreline in de VS en de EU toegelaten. Het is een voorbeeld van hoe een ghrelinemimeticum met zorgvuldige vergelijkende studies een echt geneesmiddel kan worden.</w:t>
      </w:r>
    </w:p>
    <w:bookmarkStart w:id="547" w:name="profiel-30"/>
    <w:p>
      <w:pPr>
        <w:pStyle w:val="Heading3"/>
      </w:pPr>
      <w:r>
        <w:t xml:space="preserve">Profiel</w:t>
      </w:r>
    </w:p>
    <w:p>
      <w:pPr>
        <w:numPr>
          <w:ilvl w:val="0"/>
          <w:numId w:val="1171"/>
        </w:numPr>
        <w:pStyle w:val="Compact"/>
      </w:pPr>
      <w:r>
        <w:rPr>
          <w:bCs/>
          <w:b/>
        </w:rPr>
        <w:t xml:space="preserve">Soort en structuur:</w:t>
      </w:r>
      <w:r>
        <w:t xml:space="preserve"> </w:t>
      </w:r>
      <w:r>
        <w:t xml:space="preserve">klein peptideachtig molecuul (peptidomimeticum) dat na inslikken werkzaam is (Piccoli 2007, PMID 17284637). Eerdere aanduidingen: EP01572, ARD-07, AEZS-130.</w:t>
      </w:r>
    </w:p>
    <w:p>
      <w:pPr>
        <w:numPr>
          <w:ilvl w:val="0"/>
          <w:numId w:val="1171"/>
        </w:numPr>
        <w:pStyle w:val="Compact"/>
      </w:pPr>
      <w:r>
        <w:rPr>
          <w:bCs/>
          <w:b/>
        </w:rPr>
        <w:t xml:space="preserve">Herkomst:</w:t>
      </w:r>
      <w:r>
        <w:t xml:space="preserve"> </w:t>
      </w:r>
      <w:r>
        <w:t xml:space="preserve">ontwikkeld uit het onderzoek naar oraal werkzame groeihormoonvrijmakers; toegelaten op aanvraag van Aeterna Zentaris.</w:t>
      </w:r>
    </w:p>
    <w:p>
      <w:pPr>
        <w:numPr>
          <w:ilvl w:val="0"/>
          <w:numId w:val="1171"/>
        </w:numPr>
        <w:pStyle w:val="Compact"/>
      </w:pPr>
      <w:r>
        <w:rPr>
          <w:bCs/>
          <w:b/>
        </w:rPr>
        <w:t xml:space="preserve">Werkingsprincipe:</w:t>
      </w:r>
      <w:r>
        <w:t xml:space="preserve"> </w:t>
      </w:r>
      <w:r>
        <w:t xml:space="preserve">agonist op de ghrelinereceptor (GHS-R1a); veroorzaakt eenmalig een afgifte van groeihormoon waarvan de hoogte het prestatievermogen van de hypofyse weerspiegelt.</w:t>
      </w:r>
    </w:p>
    <w:p>
      <w:pPr>
        <w:numPr>
          <w:ilvl w:val="0"/>
          <w:numId w:val="1171"/>
        </w:numPr>
        <w:pStyle w:val="Compact"/>
      </w:pPr>
      <w:r>
        <w:rPr>
          <w:bCs/>
          <w:b/>
        </w:rPr>
        <w:t xml:space="preserve">Registratie VS:</w:t>
      </w:r>
      <w:r>
        <w:t xml:space="preserve"> </w:t>
      </w:r>
      <w:r>
        <w:t xml:space="preserve">ja (Macrilen, sinds 2017) voor de diagnose van groeihormoontekort bij volwassenen.</w:t>
      </w:r>
      <w:r>
        <w:t xml:space="preserve"> </w:t>
      </w:r>
      <w:r>
        <w:rPr>
          <w:bCs/>
          <w:b/>
        </w:rPr>
        <w:t xml:space="preserve">Registratie EU:</w:t>
      </w:r>
      <w:r>
        <w:t xml:space="preserve"> </w:t>
      </w:r>
      <w:r>
        <w:t xml:space="preserve">ja (centraal toegelaten in 2019) voor dezelfde indicatie. Voor de actuele beschikbaarheid in afzonderlijke landen zie hieronder.</w:t>
      </w:r>
    </w:p>
    <w:p>
      <w:pPr>
        <w:numPr>
          <w:ilvl w:val="0"/>
          <w:numId w:val="1171"/>
        </w:numPr>
        <w:pStyle w:val="Compact"/>
      </w:pPr>
      <w:r>
        <w:rPr>
          <w:bCs/>
          <w:b/>
        </w:rPr>
        <w:t xml:space="preserve">WADA:</w:t>
      </w:r>
      <w:r>
        <w:t xml:space="preserve"> </w:t>
      </w:r>
      <w:r>
        <w:t xml:space="preserve">verboden, groep S2 (groeihormoonsecretagogen; macimoreline wordt uitdrukkelijk genoemd).</w:t>
      </w:r>
    </w:p>
    <w:p>
      <w:pPr>
        <w:numPr>
          <w:ilvl w:val="0"/>
          <w:numId w:val="1171"/>
        </w:numPr>
        <w:pStyle w:val="Compact"/>
      </w:pPr>
      <w:r>
        <w:rPr>
          <w:bCs/>
          <w:b/>
        </w:rPr>
        <w:t xml:space="preserve">Bewijsniveau: A</w:t>
      </w:r>
      <w:r>
        <w:t xml:space="preserve"> </w:t>
      </w:r>
      <w:r>
        <w:t xml:space="preserve">– twee fase 3-studies naar de diagnostische nauwkeurigheid, toelating in de VS en de EU. Beperking: het gaat om een diagnosticum, niet om een therapie.</w:t>
      </w:r>
    </w:p>
    <w:bookmarkEnd w:id="547"/>
    <w:bookmarkStart w:id="548" w:name="hoe-het-zou-moeten-werken-30"/>
    <w:p>
      <w:pPr>
        <w:pStyle w:val="Heading3"/>
      </w:pPr>
      <w:r>
        <w:t xml:space="preserve">Hoe het zou moeten werken</w:t>
      </w:r>
    </w:p>
    <w:p>
      <w:pPr>
        <w:pStyle w:val="FirstParagraph"/>
      </w:pPr>
      <w:r>
        <w:t xml:space="preserve">De diagnose van een groeihormoontekort bij volwassenen is lastig. Eén bloedwaarde volstaat niet, omdat groeihormoon in stoten wordt afgegeven. Er is een stimulatietest nodig: de hypofyse wordt gericht geprikkeld, en men meet hoeveel groeihormoon zij vrijmaakt.</w:t>
      </w:r>
    </w:p>
    <w:p>
      <w:pPr>
        <w:pStyle w:val="BodyText"/>
      </w:pPr>
      <w:r>
        <w:t xml:space="preserve">De referentietest is de insuline-hypoglykemietest (insulinetolerantietest, ITT). Daarbij wordt de bloedsuiker met insuline opzettelijk sterk verlaagd – dat is onaangenaam, vereist medisch toezicht en is bij hartziekten of epileptische aanvallen niet toegestaan. Macimoreline biedt een alternatief: het activeert de ghrelinereceptor, die rechtstreeks de afgifte van groeihormoon in gang zet, zonder de bloedsuiker te verlagen. Omdat het wordt ingeslikt, is ook geen infuus nodig.</w:t>
      </w:r>
    </w:p>
    <w:bookmarkEnd w:id="548"/>
    <w:bookmarkStart w:id="553" w:name="studies-bij-mensen-30"/>
    <w:p>
      <w:pPr>
        <w:pStyle w:val="Heading3"/>
      </w:pPr>
      <w:r>
        <w:t xml:space="preserve">Studies bij mensen</w:t>
      </w:r>
    </w:p>
    <w:p>
      <w:pPr>
        <w:pStyle w:val="FirstParagraph"/>
      </w:pPr>
      <w:r>
        <w:rPr>
          <w:bCs/>
          <w:b/>
        </w:rPr>
        <w:t xml:space="preserve">Omvang van het onderzoek (zoekopdracht oktober 2026):</w:t>
      </w:r>
      <w:r>
        <w:t xml:space="preserve"> </w:t>
      </w:r>
      <w:r>
        <w:t xml:space="preserve">De geautomatiseerde zoekopdracht van dit boek vond</w:t>
      </w:r>
      <w:r>
        <w:t xml:space="preserve"> </w:t>
      </w:r>
      <w:r>
        <w:rPr>
          <w:bCs/>
          <w:b/>
        </w:rPr>
        <w:t xml:space="preserve">4</w:t>
      </w:r>
      <w:r>
        <w:t xml:space="preserve"> </w:t>
      </w:r>
      <w:r>
        <w:t xml:space="preserve">studies bij mensen in PubMed (</w:t>
      </w:r>
      <w:r>
        <w:rPr>
          <w:rStyle w:val="VerbatimChar"/>
        </w:rPr>
        <w:t xml:space="preserve">humanstudien_alle</w:t>
      </w:r>
      <w:r>
        <w:t xml:space="preserve">) en</w:t>
      </w:r>
      <w:r>
        <w:t xml:space="preserve"> </w:t>
      </w:r>
      <w:r>
        <w:rPr>
          <w:bCs/>
          <w:b/>
        </w:rPr>
        <w:t xml:space="preserve">6</w:t>
      </w:r>
      <w:r>
        <w:t xml:space="preserve"> </w:t>
      </w:r>
      <w:r>
        <w:t xml:space="preserve">registraties bij ClinicalTrials.gov. Een gerichte aanvullende zoekopdracht leverde meer studies op, waaronder de eerste fase 3-studie, een studie bij kinderen, meerdere studies bij gezonde mensen en een analyse uit de praktijk.</w:t>
      </w:r>
    </w:p>
    <w:bookmarkStart w:id="549" w:name="vroege-farmacologie"/>
    <w:p>
      <w:pPr>
        <w:pStyle w:val="Heading4"/>
      </w:pPr>
      <w:r>
        <w:t xml:space="preserve">Vroege farmacologie</w:t>
      </w:r>
    </w:p>
    <w:p>
      <w:pPr>
        <w:pStyle w:val="FirstParagraph"/>
      </w:pPr>
      <w:r>
        <w:t xml:space="preserve">Al in 2007 toonde een studie met 36 gezonde mannen aan dat de stof (toen EP01572) na inslikken snel en dosisafhankelijk in het bloed terechtkomt en krachtig groeihormoon vrijmaakt (Piccoli 2007, PMID 17284637). In een gerandomiseerde fase 1-studie met 28 gezonde mensen lag de halfwaardetijd op 3,5 uur voor de twee lagere doses; de GH-piek trad op na 45 tot 60 minuten. ACTH, cortisol en prolactine stegen tijdelijk (Klaus 2020, PMID 32325373).</w:t>
      </w:r>
    </w:p>
    <w:bookmarkEnd w:id="549"/>
    <w:bookmarkStart w:id="550" w:name="de-registratiestudies-1"/>
    <w:p>
      <w:pPr>
        <w:pStyle w:val="Heading4"/>
      </w:pPr>
      <w:r>
        <w:t xml:space="preserve">De registratiestudies</w:t>
      </w:r>
    </w:p>
    <w:p>
      <w:pPr>
        <w:pStyle w:val="FirstParagraph"/>
      </w:pPr>
      <w:r>
        <w:rPr>
          <w:bCs/>
          <w:b/>
        </w:rPr>
        <w:t xml:space="preserve">Eerste fase 3-studie:</w:t>
      </w:r>
      <w:r>
        <w:t xml:space="preserve"> </w:t>
      </w:r>
      <w:r>
        <w:t xml:space="preserve">In een open multicentrische studie werd macimoreline vergeleken met de toen gangbare combinatietest van arginine en GHRH. Geanalyseerd werden 50 volwassenen met groeihormoontekort en 48 gezonde mensen. De GH-piek lag bij de patiënten gemiddeld op 2,36 ng/ml, bij de gezonde mensen op 17,71 ng/ml. Met een grenswaarde van 2,7 ng/ml bereikte de test een sensitiviteit van 82% en een specificiteit van 92%. Als enige ernstige, aan het middel gerelateerde bijwerking werd een symptoomloze verlenging van de QT-tijd op het ecg gemeld. Tijdens de studie werd het GHRH-preparaat (sermoreline) in de VS van de markt gehaald, zodat een deel van de deelnemers alleen met macimoreline werd getest (Garcia 2013, PMID 23559086).</w:t>
      </w:r>
    </w:p>
    <w:p>
      <w:pPr>
        <w:pStyle w:val="BodyText"/>
      </w:pPr>
      <w:r>
        <w:rPr>
          <w:bCs/>
          <w:b/>
        </w:rPr>
        <w:t xml:space="preserve">Tweede fase 3-studie (registratiegrondslag):</w:t>
      </w:r>
      <w:r>
        <w:t xml:space="preserve"> </w:t>
      </w:r>
      <w:r>
        <w:t xml:space="preserve">In een gerandomiseerde cross-overstudie kregen volwassenen met een hoge, middelmatige en lage waarschijnlijkheid van groeihormoontekort, en gezonde vergelijkingspersonen, zowel de macimorelinetest als de insulinetest. 99% van de macimorelinetests, maar slechts 82% van de insulinetests was evalueerbaar. Met de grenswaarden 2,8 ng/ml (macimoreline) en 5,1 ng/ml (ITT) bedroegen de sensitiviteit 87% en de specificiteit 96%; bij herhaling was het resultaat in 97% gelijk. Ernstige bijwerkingen door macimoreline traden niet op. Een uniforme grenswaarde van 5,1 ng/ml voor beide tests leverde in een achteraf uitgevoerde analyse 92% sensitiviteit bij 96% specificiteit op (Garcia 2018, PMID 29860473; NCT02558829). Verdere analyses toonden aan dat leeftijd, lichaamsgewicht en geslacht de nauwkeurigheid van de test niet wezenlijk beïnvloedden (Garcia 2021, PMID 33320108).</w:t>
      </w:r>
    </w:p>
    <w:bookmarkEnd w:id="550"/>
    <w:bookmarkStart w:id="551" w:name="ervaringen-uit-de-praktijk"/>
    <w:p>
      <w:pPr>
        <w:pStyle w:val="Heading4"/>
      </w:pPr>
      <w:r>
        <w:t xml:space="preserve">Ervaringen uit de praktijk</w:t>
      </w:r>
    </w:p>
    <w:p>
      <w:pPr>
        <w:pStyle w:val="FirstParagraph"/>
      </w:pPr>
      <w:r>
        <w:t xml:space="preserve">Een retrospectieve analyse van 37 patiënten van een kliniek vond dat met de in de VS toegelaten grenswaarde van 2,8 ng/ml 40,5%, met 5,1 ng/ml daarentegen 54,0% als groeihormoontekort werd ingedeeld. De afwijkende indelingen betroffen vooral personen met ernstig overgewicht en een lage voorafkans (Yadav 2026, PMID 41793495). Dat laat zien: de grenswaarde is niet triviaal, en bij ernstig overgewicht is voorzichtigheid bij de interpretatie geboden.</w:t>
      </w:r>
    </w:p>
    <w:bookmarkEnd w:id="551"/>
    <w:bookmarkStart w:id="552" w:name="kinderen-en-andere-toepassingen"/>
    <w:p>
      <w:pPr>
        <w:pStyle w:val="Heading4"/>
      </w:pPr>
      <w:r>
        <w:t xml:space="preserve">Kinderen en andere toepassingen</w:t>
      </w:r>
    </w:p>
    <w:p>
      <w:pPr>
        <w:numPr>
          <w:ilvl w:val="0"/>
          <w:numId w:val="1172"/>
        </w:numPr>
        <w:pStyle w:val="Compact"/>
      </w:pPr>
      <w:r>
        <w:rPr>
          <w:bCs/>
          <w:b/>
        </w:rPr>
        <w:t xml:space="preserve">Kinderen:</w:t>
      </w:r>
      <w:r>
        <w:t xml:space="preserve"> </w:t>
      </w:r>
      <w:r>
        <w:t xml:space="preserve">Een open dosisbepalingsstudie met 24 kinderen en jongeren met een vermoeden van groeihormoontekort vond geen aan macimoreline toe te schrijven bijwerkingen (Csákváry 2021, PMID 34438400). De daaropvolgende fase 3-studie DETECT met 101 kinderen (NCT04786873) werd in juni 2024 afgerond; resultaten zijn niet in het register opgenomen, en een publicatie heb ik in PubMed niet gevonden.</w:t>
      </w:r>
    </w:p>
    <w:p>
      <w:pPr>
        <w:numPr>
          <w:ilvl w:val="0"/>
          <w:numId w:val="1172"/>
        </w:numPr>
        <w:pStyle w:val="Compact"/>
      </w:pPr>
      <w:r>
        <w:rPr>
          <w:bCs/>
          <w:b/>
        </w:rPr>
        <w:t xml:space="preserve">Tumorcachexie:</w:t>
      </w:r>
      <w:r>
        <w:t xml:space="preserve"> </w:t>
      </w:r>
      <w:r>
        <w:t xml:space="preserve">In een pilotstudie met 15 kankerpatiënten met ziekelijk gewichtsverlies werd macimoreline gedurende een week goed verdragen; gewicht en kwaliteit van leven verbeterden in getallen, maar zonder significant verschil met placebo (Herodes 2023, PMID 36860137).</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Deelnemers en opzet</w:t>
            </w:r>
          </w:p>
        </w:tc>
        <w:tc>
          <w:tcPr/>
          <w:p>
            <w:pPr>
              <w:pStyle w:val="Compact"/>
              <w:jc w:val="left"/>
            </w:pPr>
            <w:r>
              <w:t xml:space="preserve">Duur</w:t>
            </w:r>
          </w:p>
        </w:tc>
        <w:tc>
          <w:tcPr/>
          <w:p>
            <w:pPr>
              <w:pStyle w:val="Compact"/>
              <w:jc w:val="left"/>
            </w:pPr>
            <w:r>
              <w:t xml:space="preserve">Resultaat</w:t>
            </w:r>
          </w:p>
        </w:tc>
      </w:tr>
      <w:tr>
        <w:tc>
          <w:tcPr/>
          <w:p>
            <w:pPr>
              <w:pStyle w:val="Compact"/>
              <w:jc w:val="left"/>
            </w:pPr>
            <w:r>
              <w:t xml:space="preserve">Fase 3, studie 1 (Garcia 2013), PMID 23559086</w:t>
            </w:r>
          </w:p>
        </w:tc>
        <w:tc>
          <w:tcPr/>
          <w:p>
            <w:pPr>
              <w:pStyle w:val="Compact"/>
              <w:jc w:val="left"/>
            </w:pPr>
            <w:r>
              <w:t xml:space="preserve">50 volwassenen met GH-tekort, 48 gezonden; vergelijking met arginine+GHRH</w:t>
            </w:r>
          </w:p>
        </w:tc>
        <w:tc>
          <w:tcPr/>
          <w:p>
            <w:pPr>
              <w:pStyle w:val="Compact"/>
              <w:jc w:val="left"/>
            </w:pPr>
            <w:r>
              <w:t xml:space="preserve">enkele test</w:t>
            </w:r>
          </w:p>
        </w:tc>
        <w:tc>
          <w:tcPr/>
          <w:p>
            <w:pPr>
              <w:pStyle w:val="Compact"/>
              <w:jc w:val="left"/>
            </w:pPr>
            <w:r>
              <w:t xml:space="preserve">sensitiviteit 82%, specificiteit 92%</w:t>
            </w:r>
          </w:p>
        </w:tc>
      </w:tr>
      <w:tr>
        <w:tc>
          <w:tcPr/>
          <w:p>
            <w:pPr>
              <w:pStyle w:val="Compact"/>
              <w:jc w:val="left"/>
            </w:pPr>
            <w:r>
              <w:t xml:space="preserve">Fase 3, studie 2 (Garcia 2018), PMID 29860473</w:t>
            </w:r>
          </w:p>
        </w:tc>
        <w:tc>
          <w:tcPr/>
          <w:p>
            <w:pPr>
              <w:pStyle w:val="Compact"/>
              <w:jc w:val="left"/>
            </w:pPr>
            <w:r>
              <w:t xml:space="preserve">volwassenen met verschillende voorafkans en gezonden; gerandomiseerde cross-overstudie tegen ITT</w:t>
            </w:r>
          </w:p>
        </w:tc>
        <w:tc>
          <w:tcPr/>
          <w:p>
            <w:pPr>
              <w:pStyle w:val="Compact"/>
              <w:jc w:val="left"/>
            </w:pPr>
            <w:r>
              <w:t xml:space="preserve">enkele tests</w:t>
            </w:r>
          </w:p>
        </w:tc>
        <w:tc>
          <w:tcPr/>
          <w:p>
            <w:pPr>
              <w:pStyle w:val="Compact"/>
              <w:jc w:val="left"/>
            </w:pPr>
            <w:r>
              <w:t xml:space="preserve">sensitiviteit 87%, specificiteit 96%; herhaalbaarheid 97%</w:t>
            </w:r>
          </w:p>
        </w:tc>
      </w:tr>
      <w:tr>
        <w:tc>
          <w:tcPr/>
          <w:p>
            <w:pPr>
              <w:pStyle w:val="Compact"/>
              <w:jc w:val="left"/>
            </w:pPr>
            <w:r>
              <w:t xml:space="preserve">QT-studie (Lissy 2021), PMID 32961034</w:t>
            </w:r>
          </w:p>
        </w:tc>
        <w:tc>
          <w:tcPr/>
          <w:p>
            <w:pPr>
              <w:pStyle w:val="Compact"/>
              <w:jc w:val="left"/>
            </w:pPr>
            <w:r>
              <w:t xml:space="preserve">60 gezonden, gerandomiseerd, placebo en moxifloxacine</w:t>
            </w:r>
          </w:p>
        </w:tc>
        <w:tc>
          <w:tcPr/>
          <w:p>
            <w:pPr>
              <w:pStyle w:val="Compact"/>
              <w:jc w:val="left"/>
            </w:pPr>
            <w:r>
              <w:t xml:space="preserve">enkele doses</w:t>
            </w:r>
          </w:p>
        </w:tc>
        <w:tc>
          <w:tcPr/>
          <w:p>
            <w:pPr>
              <w:pStyle w:val="Compact"/>
              <w:jc w:val="left"/>
            </w:pPr>
            <w:r>
              <w:t xml:space="preserve">QT-verlenging tot 9,61 ms bij te hoge dosis</w:t>
            </w:r>
          </w:p>
        </w:tc>
      </w:tr>
      <w:tr>
        <w:tc>
          <w:tcPr/>
          <w:p>
            <w:pPr>
              <w:pStyle w:val="Compact"/>
              <w:jc w:val="left"/>
            </w:pPr>
            <w:r>
              <w:t xml:space="preserve">Praktijkgegevens (Yadav 2026), PMID 41793495</w:t>
            </w:r>
          </w:p>
        </w:tc>
        <w:tc>
          <w:tcPr/>
          <w:p>
            <w:pPr>
              <w:pStyle w:val="Compact"/>
              <w:jc w:val="left"/>
            </w:pPr>
            <w:r>
              <w:t xml:space="preserve">37 personen, retrospectief</w:t>
            </w:r>
          </w:p>
        </w:tc>
        <w:tc>
          <w:tcPr/>
          <w:p>
            <w:pPr>
              <w:pStyle w:val="Compact"/>
              <w:jc w:val="left"/>
            </w:pPr>
            <w:r>
              <w:t xml:space="preserve">enkele test</w:t>
            </w:r>
          </w:p>
        </w:tc>
        <w:tc>
          <w:tcPr/>
          <w:p>
            <w:pPr>
              <w:pStyle w:val="Compact"/>
              <w:jc w:val="left"/>
            </w:pPr>
            <w:r>
              <w:t xml:space="preserve">grenswaarde beïnvloedt diagnose, vooral bij obesitas</w:t>
            </w:r>
          </w:p>
        </w:tc>
      </w:tr>
      <w:tr>
        <w:tc>
          <w:tcPr/>
          <w:p>
            <w:pPr>
              <w:pStyle w:val="Compact"/>
              <w:jc w:val="left"/>
            </w:pPr>
            <w:r>
              <w:t xml:space="preserve">Cachexie (Herodes 2023), PMID 36860137</w:t>
            </w:r>
          </w:p>
        </w:tc>
        <w:tc>
          <w:tcPr/>
          <w:p>
            <w:pPr>
              <w:pStyle w:val="Compact"/>
              <w:jc w:val="left"/>
            </w:pPr>
            <w:r>
              <w:t xml:space="preserve">15 kankerpatiënten, RCT-pilotstudie</w:t>
            </w:r>
          </w:p>
        </w:tc>
        <w:tc>
          <w:tcPr/>
          <w:p>
            <w:pPr>
              <w:pStyle w:val="Compact"/>
              <w:jc w:val="left"/>
            </w:pPr>
            <w:r>
              <w:t xml:space="preserve">1 week</w:t>
            </w:r>
          </w:p>
        </w:tc>
        <w:tc>
          <w:tcPr/>
          <w:p>
            <w:pPr>
              <w:pStyle w:val="Compact"/>
              <w:jc w:val="left"/>
            </w:pPr>
            <w:r>
              <w:t xml:space="preserve">goed verdragen, geen significant effect</w:t>
            </w:r>
          </w:p>
        </w:tc>
      </w:tr>
    </w:tbl>
    <w:bookmarkEnd w:id="552"/>
    <w:bookmarkEnd w:id="553"/>
    <w:bookmarkStart w:id="554" w:name="dier--en-laboratoriumstudies-30"/>
    <w:p>
      <w:pPr>
        <w:pStyle w:val="Heading3"/>
      </w:pPr>
      <w:r>
        <w:t xml:space="preserve">Dier- en laboratoriumstudies</w:t>
      </w:r>
    </w:p>
    <w:p>
      <w:pPr>
        <w:pStyle w:val="FirstParagraph"/>
      </w:pPr>
      <w:r>
        <w:t xml:space="preserve">Bij muizen met moeilijk behandelbare epilepsie verminderde macimoreline tijdens de tweewekelijkse behandeling het aantal en de duur van de aanvallen, maar veranderde het ziekteverloop niet (Buckinx 2021, PMID 34157194). Structuuronderzoek laat zien hoe macimoreline in de ghrelinereceptor bindt (Wang 2025, PMID 40542284). Voor de toegelaten toepassing zijn deze publicaties niet relevant.</w:t>
      </w:r>
    </w:p>
    <w:bookmarkEnd w:id="554"/>
    <w:bookmarkStart w:id="555" w:name="risicos-en-bijwerkingen-30"/>
    <w:p>
      <w:pPr>
        <w:pStyle w:val="Heading3"/>
      </w:pPr>
      <w:r>
        <w:t xml:space="preserve">Risico’s en bijwerkingen</w:t>
      </w:r>
    </w:p>
    <w:p>
      <w:pPr>
        <w:pStyle w:val="FirstParagraph"/>
      </w:pPr>
      <w:r>
        <w:rPr>
          <w:bCs/>
          <w:b/>
        </w:rPr>
        <w:t xml:space="preserve">Aangetoond:</w:t>
      </w:r>
      <w:r>
        <w:t xml:space="preserve"> </w:t>
      </w:r>
      <w:r>
        <w:t xml:space="preserve">macimoreline wordt slechts eenmaal per test ingenomen; de bijwerkingen zijn dienovereenkomstig beperkt. In de registratiestudie traden geen ernstige bijwerkingen door macimoreline op (Garcia 2018, PMID 29860473). ACTH, cortisol en prolactine stijgen tijdelijk (Klaus 2020, PMID 32325373).</w:t>
      </w:r>
    </w:p>
    <w:p>
      <w:pPr>
        <w:pStyle w:val="BodyText"/>
      </w:pPr>
      <w:r>
        <w:rPr>
          <w:bCs/>
          <w:b/>
        </w:rPr>
        <w:t xml:space="preserve">QT-verlenging:</w:t>
      </w:r>
      <w:r>
        <w:t xml:space="preserve"> </w:t>
      </w:r>
      <w:r>
        <w:t xml:space="preserve">in een grondige ecg-studie met 60 gezonde mensen verlengde een bewust te hoge (supratherapeutische) enkele dosis de QT-tijd – een maat voor het herstel van de elektrische prikkeling van het hart – gemiddeld met maximaal 9,61 milliseconden; de bovengrens van het betrouwbaarheidsinterval overschreed de regulatoire drempel van 10 milliseconden (Lissy 2021, PMID 32961034). Daarom is voorzichtigheid geboden bij mensen die andere QT-verlengende geneesmiddelen gebruiken. Details over contra-indicaties en interacties staan in de productinformatie; de test wordt door een arts uitgevoerd.</w:t>
      </w:r>
    </w:p>
    <w:p>
      <w:pPr>
        <w:pStyle w:val="BodyText"/>
      </w:pPr>
      <w:r>
        <w:rPr>
          <w:bCs/>
          <w:b/>
        </w:rPr>
        <w:t xml:space="preserve">Verkeerde diagnoses:</w:t>
      </w:r>
      <w:r>
        <w:t xml:space="preserve"> </w:t>
      </w:r>
      <w:r>
        <w:t xml:space="preserve">zoals elke stimulatietest kan ook de macimorelinetest fout-positieve en fout-negatieve resultaten geven, vooral bij ernstig overgewicht (Yadav 2026, PMID 41793495).</w:t>
      </w:r>
    </w:p>
    <w:p>
      <w:pPr>
        <w:pStyle w:val="BodyText"/>
      </w:pPr>
      <w:r>
        <w:t xml:space="preserve">Een kankerrisico is bij eenmalige toediening niet te verwachten; de discussie over blijvend verhoogd IGF-1 (zie de inleiding tot deze groep) betreft macimoreline daarom niet.</w:t>
      </w:r>
    </w:p>
    <w:bookmarkEnd w:id="555"/>
    <w:bookmarkStart w:id="556" w:name="juridische-status-30"/>
    <w:p>
      <w:pPr>
        <w:pStyle w:val="Heading3"/>
      </w:pPr>
      <w:r>
        <w:t xml:space="preserve">Juridische status</w:t>
      </w:r>
    </w:p>
    <w:p>
      <w:pPr>
        <w:pStyle w:val="FirstParagraph"/>
      </w:pPr>
      <w:r>
        <w:rPr>
          <w:iCs/>
          <w:i/>
        </w:rPr>
        <w:t xml:space="preserve">Stand 2026, actuele situatie controleren.</w:t>
      </w:r>
    </w:p>
    <w:p>
      <w:pPr>
        <w:numPr>
          <w:ilvl w:val="0"/>
          <w:numId w:val="1173"/>
        </w:numPr>
        <w:pStyle w:val="Compact"/>
      </w:pPr>
      <w:r>
        <w:rPr>
          <w:bCs/>
          <w:b/>
        </w:rPr>
        <w:t xml:space="preserve">EU:</w:t>
      </w:r>
      <w:r>
        <w:t xml:space="preserve"> </w:t>
      </w:r>
      <w:r>
        <w:t xml:space="preserve">centraal toegelaten voor de diagnose van groeihormoontekort bij volwassenen. Of het preparaat in Duitsland en Oostenrijk daadwerkelijk in de handel is, hangt af van de distributiebeslissingen van de vergunninghouder en moet actueel worden gecontroleerd.</w:t>
      </w:r>
    </w:p>
    <w:p>
      <w:pPr>
        <w:numPr>
          <w:ilvl w:val="0"/>
          <w:numId w:val="1173"/>
        </w:numPr>
        <w:pStyle w:val="Compact"/>
      </w:pPr>
      <w:r>
        <w:rPr>
          <w:bCs/>
          <w:b/>
        </w:rPr>
        <w:t xml:space="preserve">VS:</w:t>
      </w:r>
      <w:r>
        <w:t xml:space="preserve"> </w:t>
      </w:r>
      <w:r>
        <w:t xml:space="preserve">toegelaten (Macrilen) voor dezelfde indicatie; de distributierechten zijn de afgelopen jaren van eigenaar gewisseld.</w:t>
      </w:r>
    </w:p>
    <w:p>
      <w:pPr>
        <w:numPr>
          <w:ilvl w:val="0"/>
          <w:numId w:val="1173"/>
        </w:numPr>
        <w:pStyle w:val="Compact"/>
      </w:pPr>
      <w:r>
        <w:rPr>
          <w:bCs/>
          <w:b/>
        </w:rPr>
        <w:t xml:space="preserve">Gebruik:</w:t>
      </w:r>
      <w:r>
        <w:t xml:space="preserve"> </w:t>
      </w:r>
      <w:r>
        <w:t xml:space="preserve">uitsluitend als door een arts uitgevoerde functietest volgens de productinformatie; geen therapeutische toelating.</w:t>
      </w:r>
    </w:p>
    <w:p>
      <w:pPr>
        <w:numPr>
          <w:ilvl w:val="0"/>
          <w:numId w:val="1173"/>
        </w:numPr>
        <w:pStyle w:val="Compact"/>
      </w:pPr>
      <w:r>
        <w:rPr>
          <w:bCs/>
          <w:b/>
        </w:rPr>
        <w:t xml:space="preserve">WADA:</w:t>
      </w:r>
      <w:r>
        <w:t xml:space="preserve"> </w:t>
      </w:r>
      <w:r>
        <w:t xml:space="preserve">verboden (S2). Voor dopingcontroles zijn afbraakproducten van macimoreline en verwante ghrelinemimetica gekarakteriseerd (Lange 2021, PMID 33458843).</w:t>
      </w:r>
    </w:p>
    <w:bookmarkEnd w:id="556"/>
    <w:bookmarkStart w:id="557" w:name="lopende-studies-en-vooruitzichten-30"/>
    <w:p>
      <w:pPr>
        <w:pStyle w:val="Heading3"/>
      </w:pPr>
      <w:r>
        <w:t xml:space="preserve">Lopende studies en vooruitzichten</w:t>
      </w:r>
    </w:p>
    <w:p>
      <w:pPr>
        <w:pStyle w:val="FirstParagraph"/>
      </w:pPr>
      <w:r>
        <w:rPr>
          <w:iCs/>
          <w:i/>
        </w:rPr>
        <w:t xml:space="preserve">Vast staat:</w:t>
      </w:r>
      <w:r>
        <w:t xml:space="preserve"> </w:t>
      </w:r>
      <w:r>
        <w:t xml:space="preserve">de kinderstudie DETECT (NCT04786873) is afgerond; de resultaten worden nog verwacht. Een andere studie onderzocht hoe macimoreline het hormoon copeptine beïnvloedt (NCT03844217).</w:t>
      </w:r>
      <w:r>
        <w:t xml:space="preserve"> </w:t>
      </w:r>
      <w:r>
        <w:rPr>
          <w:iCs/>
          <w:i/>
        </w:rPr>
        <w:t xml:space="preserve">Inschatting van de auteur:</w:t>
      </w:r>
      <w:r>
        <w:t xml:space="preserve"> </w:t>
      </w:r>
      <w:r>
        <w:t xml:space="preserve">een uitbreiding van de toelating naar kinderen zou de logische volgende stap zijn, maar hangt af van het resultaat van de DETECT-studie. Een therapeutische toepassing, bijvoorbeeld bij cachexie, is op grond van de huidige gegevens niet in zicht.</w:t>
      </w:r>
    </w:p>
    <w:bookmarkEnd w:id="557"/>
    <w:bookmarkStart w:id="558" w:name="conclusie-30"/>
    <w:p>
      <w:pPr>
        <w:pStyle w:val="Heading3"/>
      </w:pPr>
      <w:r>
        <w:t xml:space="preserve">Conclusie</w:t>
      </w:r>
    </w:p>
    <w:p>
      <w:pPr>
        <w:pStyle w:val="FirstParagraph"/>
      </w:pPr>
      <w:r>
        <w:t xml:space="preserve">Macimoreline is een in de VS en de EU toegelaten diagnosticum: een eenmaal gedronken test herkent een groeihormoontekort bij volwassenen ongeveer even betrouwbaar als de belastende insulinetest, met 87% sensitiviteit en 96% specificiteit in de registratiestudie. De belangrijkste bekende bijwerking is een geringe verlenging van de QT-tijd bij een te hoge dosis. Voor behandeling, spieropbouw of „anti-aging” is macimoreline noch bedoeld noch onderzocht.</w:t>
      </w:r>
    </w:p>
    <w:bookmarkEnd w:id="558"/>
    <w:bookmarkEnd w:id="559"/>
    <w:bookmarkStart w:id="570" w:name="mecasermine-igf-1"/>
    <w:p>
      <w:pPr>
        <w:pStyle w:val="Heading2"/>
      </w:pPr>
      <w:r>
        <w:t xml:space="preserve">Mecasermine (IGF-1)</w:t>
      </w:r>
    </w:p>
    <w:p>
      <w:pPr>
        <w:pStyle w:val="FirstParagraph"/>
      </w:pPr>
      <w:r>
        <w:t xml:space="preserve">Mecasermine is met gentechnologie geproduceerd menselijk IGF-1 – dus de signaalstof via welke groeihormoon een groot deel van zijn werking uitoefent. Als geneesmiddel (Increlex) is het toegelaten voor een zeer zeldzame groep kinderen: kinderen van wie het lichaam weliswaar genoeg groeihormoon aanmaakt, maar er niet op reageert en daardoor nauwelijks IGF-1 produceert. Mecasermine is daarmee een zeldzaam voorbeeld van een toegelaten peptide uit deze groep – en tegelijk de werkzame stof waarbij de vraag naar hypoglykemie en kankerrisico door IGF-1 het duidelijkst speelt.</w:t>
      </w:r>
    </w:p>
    <w:bookmarkStart w:id="560" w:name="profiel-31"/>
    <w:p>
      <w:pPr>
        <w:pStyle w:val="Heading3"/>
      </w:pPr>
      <w:r>
        <w:t xml:space="preserve">Profiel</w:t>
      </w:r>
    </w:p>
    <w:p>
      <w:pPr>
        <w:numPr>
          <w:ilvl w:val="0"/>
          <w:numId w:val="1174"/>
        </w:numPr>
        <w:pStyle w:val="Compact"/>
      </w:pPr>
      <w:r>
        <w:rPr>
          <w:bCs/>
          <w:b/>
        </w:rPr>
        <w:t xml:space="preserve">Soort en structuur:</w:t>
      </w:r>
      <w:r>
        <w:t xml:space="preserve"> </w:t>
      </w:r>
      <w:r>
        <w:t xml:space="preserve">recombinant (met gentechnologie in bacteriën geproduceerd) menselijk IGF-1 van 70 aminozuren, identiek aan het lichaamseigen hormoon.</w:t>
      </w:r>
    </w:p>
    <w:p>
      <w:pPr>
        <w:numPr>
          <w:ilvl w:val="0"/>
          <w:numId w:val="1174"/>
        </w:numPr>
        <w:pStyle w:val="Compact"/>
      </w:pPr>
      <w:r>
        <w:rPr>
          <w:bCs/>
          <w:b/>
        </w:rPr>
        <w:t xml:space="preserve">Herkomst:</w:t>
      </w:r>
      <w:r>
        <w:t xml:space="preserve"> </w:t>
      </w:r>
      <w:r>
        <w:t xml:space="preserve">IGF-1 werd in de jaren zeventig beschreven als „somatomedine”; mecasermine werd ontwikkeld door Tercica en op de markt gebracht door Ipsen, inmiddels door een andere vergunninghouder (stand 2026, actuele situatie controleren).</w:t>
      </w:r>
    </w:p>
    <w:p>
      <w:pPr>
        <w:numPr>
          <w:ilvl w:val="0"/>
          <w:numId w:val="1174"/>
        </w:numPr>
        <w:pStyle w:val="Compact"/>
      </w:pPr>
      <w:r>
        <w:rPr>
          <w:bCs/>
          <w:b/>
        </w:rPr>
        <w:t xml:space="preserve">Werkingsprincipe:</w:t>
      </w:r>
      <w:r>
        <w:t xml:space="preserve"> </w:t>
      </w:r>
      <w:r>
        <w:t xml:space="preserve">bindt aan de IGF-1-receptor en vervangt het ontbrekende IGF-1 rechtstreeks; werkt groeibevorderend, opbouwend en – in hogere dosis – bloedsuikerverlagend, vergelijkbaar met insuline.</w:t>
      </w:r>
    </w:p>
    <w:p>
      <w:pPr>
        <w:numPr>
          <w:ilvl w:val="0"/>
          <w:numId w:val="1174"/>
        </w:numPr>
        <w:pStyle w:val="Compact"/>
      </w:pPr>
      <w:r>
        <w:rPr>
          <w:bCs/>
          <w:b/>
        </w:rPr>
        <w:t xml:space="preserve">Registratie EU:</w:t>
      </w:r>
      <w:r>
        <w:t xml:space="preserve"> </w:t>
      </w:r>
      <w:r>
        <w:t xml:space="preserve">ja (Increlex) voor de langdurige behandeling van groeistoornissen bij kinderen en jongeren met ernstig primair IGF-1-tekort.</w:t>
      </w:r>
      <w:r>
        <w:t xml:space="preserve"> </w:t>
      </w:r>
      <w:r>
        <w:rPr>
          <w:bCs/>
          <w:b/>
        </w:rPr>
        <w:t xml:space="preserve">Registratie VS:</w:t>
      </w:r>
      <w:r>
        <w:t xml:space="preserve"> </w:t>
      </w:r>
      <w:r>
        <w:t xml:space="preserve">ja (Increlex), zelfde indicatie.</w:t>
      </w:r>
    </w:p>
    <w:p>
      <w:pPr>
        <w:numPr>
          <w:ilvl w:val="0"/>
          <w:numId w:val="1174"/>
        </w:numPr>
        <w:pStyle w:val="Compact"/>
      </w:pPr>
      <w:r>
        <w:rPr>
          <w:bCs/>
          <w:b/>
        </w:rPr>
        <w:t xml:space="preserve">WADA:</w:t>
      </w:r>
      <w:r>
        <w:t xml:space="preserve"> </w:t>
      </w:r>
      <w:r>
        <w:t xml:space="preserve">verboden, groep S2 (IGF-1 en zijn analogen als groeifactoren).</w:t>
      </w:r>
    </w:p>
    <w:p>
      <w:pPr>
        <w:numPr>
          <w:ilvl w:val="0"/>
          <w:numId w:val="1174"/>
        </w:numPr>
        <w:pStyle w:val="Compact"/>
      </w:pPr>
      <w:r>
        <w:rPr>
          <w:bCs/>
          <w:b/>
        </w:rPr>
        <w:t xml:space="preserve">Bewijsniveau: A</w:t>
      </w:r>
      <w:r>
        <w:t xml:space="preserve"> </w:t>
      </w:r>
      <w:r>
        <w:t xml:space="preserve">– toegelaten in de EU en de VS. Beperking: vanwege de zeldzaamheid van de aandoening berust de toelating op open langetermijnstudies en registers, niet op grote gerandomiseerde studies. Gerandomiseerde studies bestaan voor andere toepassingen, bijvoorbeeld ALS (negatief).</w:t>
      </w:r>
    </w:p>
    <w:bookmarkEnd w:id="560"/>
    <w:bookmarkStart w:id="561" w:name="hoe-het-zou-moeten-werken-31"/>
    <w:p>
      <w:pPr>
        <w:pStyle w:val="Heading3"/>
      </w:pPr>
      <w:r>
        <w:t xml:space="preserve">Hoe het zou moeten werken</w:t>
      </w:r>
    </w:p>
    <w:p>
      <w:pPr>
        <w:pStyle w:val="FirstParagraph"/>
      </w:pPr>
      <w:r>
        <w:t xml:space="preserve">Groeihormoon uit de hypofyse werkt vooral op de lever, die daarop IGF-1 aanmaakt. IGF-1 laat vervolgens botten in de lengte groeien en bevordert de opbouw van spier- en ander weefsel. Bij sommige kinderen is deze keten onderbroken: hun groeihormoonreceptor werkt door een genetische verandering niet, of de signaaloverdracht is verstoord. Het klassieke voorbeeld is het syndroom van Laron. Deze kinderen hebben veel groeihormoon, maar nauwelijks IGF-1, en groeihormooninjecties helpen hen niet. Zonder behandeling bereiken ze als volwassene vaak maar 120 tot 130 cm (Saavedra 2026, PMID 42341624).</w:t>
      </w:r>
    </w:p>
    <w:p>
      <w:pPr>
        <w:pStyle w:val="BodyText"/>
      </w:pPr>
      <w:r>
        <w:t xml:space="preserve">Mecasermine slaat de defecte stap over en levert IGF-1 rechtstreeks. Omdat IGF-1 op insuline lijkt, kan het de bloedsuiker verlagen – de belangrijkste bijwerking.</w:t>
      </w:r>
    </w:p>
    <w:bookmarkEnd w:id="561"/>
    <w:bookmarkStart w:id="564" w:name="studies-bij-mensen-31"/>
    <w:p>
      <w:pPr>
        <w:pStyle w:val="Heading3"/>
      </w:pPr>
      <w:r>
        <w:t xml:space="preserve">Studies bij mensen</w:t>
      </w:r>
    </w:p>
    <w:p>
      <w:pPr>
        <w:pStyle w:val="FirstParagraph"/>
      </w:pPr>
      <w:r>
        <w:rPr>
          <w:bCs/>
          <w:b/>
        </w:rPr>
        <w:t xml:space="preserve">Omvang van het onderzoek (zoekopdracht oktober 2026):</w:t>
      </w:r>
      <w:r>
        <w:t xml:space="preserve"> </w:t>
      </w:r>
      <w:r>
        <w:t xml:space="preserve">De geautomatiseerde zoekopdracht van dit boek vond</w:t>
      </w:r>
      <w:r>
        <w:t xml:space="preserve"> </w:t>
      </w:r>
      <w:r>
        <w:rPr>
          <w:bCs/>
          <w:b/>
        </w:rPr>
        <w:t xml:space="preserve">21</w:t>
      </w:r>
      <w:r>
        <w:t xml:space="preserve"> </w:t>
      </w:r>
      <w:r>
        <w:t xml:space="preserve">studies bij mensen in PubMed (</w:t>
      </w:r>
      <w:r>
        <w:rPr>
          <w:rStyle w:val="VerbatimChar"/>
        </w:rPr>
        <w:t xml:space="preserve">humanstudien_alle</w:t>
      </w:r>
      <w:r>
        <w:t xml:space="preserve">) en</w:t>
      </w:r>
      <w:r>
        <w:t xml:space="preserve"> </w:t>
      </w:r>
      <w:r>
        <w:rPr>
          <w:bCs/>
          <w:b/>
        </w:rPr>
        <w:t xml:space="preserve">37</w:t>
      </w:r>
      <w:r>
        <w:t xml:space="preserve"> </w:t>
      </w:r>
      <w:r>
        <w:t xml:space="preserve">registraties bij ClinicalTrials.gov; enkele van deze registraties betreffen andere onderwerpen en komen alleen door de zoekterm naar voren. Daarnaast zijn er drie systematische reviews. Een gerichte aanvullende zoekopdracht leverde de belangrijke langetermijnstudies en registeranalyses voor de toegelaten indicatie op.</w:t>
      </w:r>
    </w:p>
    <w:bookmarkStart w:id="562" w:name="X174841f3ab71b5e629d52fa59d7b31361616996"/>
    <w:p>
      <w:pPr>
        <w:pStyle w:val="Heading4"/>
      </w:pPr>
      <w:r>
        <w:t xml:space="preserve">Ernstig primair IGF-1-tekort bij kinderen</w:t>
      </w:r>
    </w:p>
    <w:p>
      <w:pPr>
        <w:pStyle w:val="FirstParagraph"/>
      </w:pPr>
      <w:r>
        <w:t xml:space="preserve">De basis voor de toelating is een tot twaalf jaar lopende, overwegend open studie met 76 kinderen met IGF-1-tekort door groeihormoonresistentie. De groeisnelheid steeg van gemiddeld 2,8 cm per jaar vóór de behandeling naar 8,0 cm in het eerste behandeljaar; in de jaren daarna daalde ze, maar bleef tot acht jaar boven de uitgangswaarde. De meest voorkomende bijwerking was hypoglykemie (bij 49% van de kinderen, al was die ook vóór het begin van de therapie al waargenomen), gevolgd door veranderingen van het vetweefsel op de injectieplaats (32%) en vergroting van amandelen en neuspoliepen (22%) (Chernausek 2007, PMID 17192294).</w:t>
      </w:r>
    </w:p>
    <w:p>
      <w:pPr>
        <w:pStyle w:val="BodyText"/>
      </w:pPr>
      <w:r>
        <w:t xml:space="preserve">Sinds 2008 verzamelt een Europees, inmiddels wereldwijd register gegevens uit de praktijk (NCT00903110). Bij 138 eerder onbehandelde kinderen vóór de puberteit verbeterde de lichaamslengte in het eerste jaar; kinderen met het syndroom van Laron reageerden iets beter, bij de overige gold 56% als responder. 65,3% van de kinderen had ten minste één ongewenst effect, het vaakst hypoglykemie (Bang 2021, PMID 33434161). 102 kinderen en jongeren die hun bijna definitieve lichaamslengte al hadden bereikt, wonnen gemiddeld 0,9 standaarddeviaties aan lengte, bij een start van de behandeling vóór de puberteit 1,4. Bijna de helft van deze vroeg behandelde kinderen bereikte een lengte binnen het normale bereik, bij het syndroom van Laron slechts 10,5% (Ramon-Krauel 2026, PMID 40626687). Ernstige hypoglykemieën waren met 0,01 voorvallen per patiënt per behandeljaar zeldzaam; vooral kinderen met het syndroom van Laron of eerdere hypoglykemieën liepen risico (Bang 2023, PMID 37579214).</w:t>
      </w:r>
    </w:p>
    <w:bookmarkEnd w:id="562"/>
    <w:bookmarkStart w:id="563" w:name="andere-toepassingen-1"/>
    <w:p>
      <w:pPr>
        <w:pStyle w:val="Heading4"/>
      </w:pPr>
      <w:r>
        <w:t xml:space="preserve">Andere toepassingen</w:t>
      </w:r>
    </w:p>
    <w:p>
      <w:pPr>
        <w:numPr>
          <w:ilvl w:val="0"/>
          <w:numId w:val="1175"/>
        </w:numPr>
        <w:pStyle w:val="Compact"/>
      </w:pPr>
      <w:r>
        <w:rPr>
          <w:bCs/>
          <w:b/>
        </w:rPr>
        <w:t xml:space="preserve">ALS:</w:t>
      </w:r>
      <w:r>
        <w:t xml:space="preserve"> </w:t>
      </w:r>
      <w:r>
        <w:t xml:space="preserve">In een fase 3-studie met 330 mensen met amyotrofische laterale sclerose leverde IGF-1 over twee jaar geen verschil op met placebo – noch in spierkracht noch in overleving zonder tracheotomie (Sorenson 2008, PMID 19029516).</w:t>
      </w:r>
    </w:p>
    <w:p>
      <w:pPr>
        <w:numPr>
          <w:ilvl w:val="0"/>
          <w:numId w:val="1175"/>
        </w:numPr>
        <w:pStyle w:val="Compact"/>
      </w:pPr>
      <w:r>
        <w:rPr>
          <w:bCs/>
          <w:b/>
        </w:rPr>
        <w:t xml:space="preserve">Duchenne-spierdystrofie:</w:t>
      </w:r>
      <w:r>
        <w:t xml:space="preserve"> </w:t>
      </w:r>
      <w:r>
        <w:t xml:space="preserve">Bij 17 behandelde jongens tegenover 21 controles groeiden de jongens gedurende zes maanden sneller (6,5 vs. 3,3 cm per jaar), maar de loopafstand in de 6-minutentest veranderde niet (Rutter 2020, PMID 32108355).</w:t>
      </w:r>
    </w:p>
    <w:p>
      <w:pPr>
        <w:numPr>
          <w:ilvl w:val="0"/>
          <w:numId w:val="1175"/>
        </w:numPr>
        <w:pStyle w:val="Compact"/>
      </w:pPr>
      <w:r>
        <w:rPr>
          <w:bCs/>
          <w:b/>
        </w:rPr>
        <w:t xml:space="preserve">Syndroom van Rett:</w:t>
      </w:r>
      <w:r>
        <w:t xml:space="preserve"> </w:t>
      </w:r>
      <w:r>
        <w:t xml:space="preserve">Een systematische review beschrijft aanwijzingen voor behouden sociale en cognitieve vaardigheden, maar wisselende resultaten, en vraagt om grotere studies (Ribeiro 2025, PMID 41174329).</w:t>
      </w:r>
    </w:p>
    <w:p>
      <w:pPr>
        <w:numPr>
          <w:ilvl w:val="0"/>
          <w:numId w:val="1175"/>
        </w:numPr>
        <w:pStyle w:val="Compact"/>
      </w:pPr>
      <w:r>
        <w:rPr>
          <w:bCs/>
          <w:b/>
        </w:rPr>
        <w:t xml:space="preserve">Te vroeg geboren baby’s:</w:t>
      </w:r>
      <w:r>
        <w:t xml:space="preserve"> </w:t>
      </w:r>
      <w:r>
        <w:t xml:space="preserve">IGF-1 samen met zijn bindingseiwit IGFBP-3 voorkwam bij 121 extreem te vroeg geboren baby’s de netvliesaandoening van prematuren niet, maar verminderde ernstige bronchopulmonale dysplasie (21,3% vs. 44,9%). Fatale ernstige voorvallen traden op bij 19,7% van de behandelde kinderen en 11,7% van de controlekinderen (Ley 2019, PMID 30471715). Een vervolgstudie naar de longontwikkeling loopt (NCT03253263).</w:t>
      </w:r>
    </w:p>
    <w:p>
      <w:pPr>
        <w:numPr>
          <w:ilvl w:val="0"/>
          <w:numId w:val="1175"/>
        </w:numPr>
        <w:pStyle w:val="Compact"/>
      </w:pPr>
      <w:r>
        <w:rPr>
          <w:bCs/>
          <w:b/>
        </w:rPr>
        <w:t xml:space="preserve">Anorexia:</w:t>
      </w:r>
      <w:r>
        <w:t xml:space="preserve"> </w:t>
      </w:r>
      <w:r>
        <w:t xml:space="preserve">Bij 90 vrouwen met anorexia nervosa verhoogde een zesmaandelijkse behandeling met IGF-1, gevolgd door een botmiddel, de botdichtheid van de wervelkolom sterker dan placebo (Haines 2021, PMID 34355814).</w:t>
      </w:r>
    </w:p>
    <w:p>
      <w:pPr>
        <w:numPr>
          <w:ilvl w:val="0"/>
          <w:numId w:val="1175"/>
        </w:numPr>
        <w:pStyle w:val="Compact"/>
      </w:pPr>
      <w:r>
        <w:rPr>
          <w:bCs/>
          <w:b/>
        </w:rPr>
        <w:t xml:space="preserve">Volwassenen met het syndroom van Laron:</w:t>
      </w:r>
      <w:r>
        <w:t xml:space="preserve"> </w:t>
      </w:r>
      <w:r>
        <w:t xml:space="preserve">Bij tien volwassenen nam onder acht weken IGF-1 het vetpercentage af en de vetvrije massa toe (Mauras 2000, PMID 10999782).</w:t>
      </w:r>
    </w:p>
    <w:p>
      <w:pPr>
        <w:numPr>
          <w:ilvl w:val="0"/>
          <w:numId w:val="1175"/>
        </w:numPr>
        <w:pStyle w:val="Compact"/>
      </w:pPr>
      <w:r>
        <w:rPr>
          <w:bCs/>
          <w:b/>
        </w:rPr>
        <w:t xml:space="preserve">Sporters:</w:t>
      </w:r>
      <w:r>
        <w:t xml:space="preserve"> </w:t>
      </w:r>
      <w:r>
        <w:t xml:space="preserve">In een gerandomiseerde, dubbelblinde studie met 56 recreatiesporters gedurende 28 dagen veranderden onder IGF-1/IGFBP-3 bloedvetten en insulinewaarden (Guha 2021, PMID 33249593). Prestatiegegevens levert deze studie niet.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Deelnemers en opzet</w:t>
            </w:r>
          </w:p>
        </w:tc>
        <w:tc>
          <w:tcPr/>
          <w:p>
            <w:pPr>
              <w:pStyle w:val="Compact"/>
              <w:jc w:val="left"/>
            </w:pPr>
            <w:r>
              <w:t xml:space="preserve">Duur</w:t>
            </w:r>
          </w:p>
        </w:tc>
        <w:tc>
          <w:tcPr/>
          <w:p>
            <w:pPr>
              <w:pStyle w:val="Compact"/>
              <w:jc w:val="left"/>
            </w:pPr>
            <w:r>
              <w:t xml:space="preserve">Resultaat</w:t>
            </w:r>
          </w:p>
        </w:tc>
      </w:tr>
      <w:tr>
        <w:tc>
          <w:tcPr/>
          <w:p>
            <w:pPr>
              <w:pStyle w:val="Compact"/>
              <w:jc w:val="left"/>
            </w:pPr>
            <w:r>
              <w:t xml:space="preserve">Langetermijnstudie (Chernausek 2007), PMID 17192294</w:t>
            </w:r>
          </w:p>
        </w:tc>
        <w:tc>
          <w:tcPr/>
          <w:p>
            <w:pPr>
              <w:pStyle w:val="Compact"/>
              <w:jc w:val="left"/>
            </w:pPr>
            <w:r>
              <w:t xml:space="preserve">76 kinderen met GH-resistentie, overwegend open</w:t>
            </w:r>
          </w:p>
        </w:tc>
        <w:tc>
          <w:tcPr/>
          <w:p>
            <w:pPr>
              <w:pStyle w:val="Compact"/>
              <w:jc w:val="left"/>
            </w:pPr>
            <w:r>
              <w:t xml:space="preserve">tot 12 jaar</w:t>
            </w:r>
          </w:p>
        </w:tc>
        <w:tc>
          <w:tcPr/>
          <w:p>
            <w:pPr>
              <w:pStyle w:val="Compact"/>
              <w:jc w:val="left"/>
            </w:pPr>
            <w:r>
              <w:t xml:space="preserve">groei 2,8 → 8,0 cm/jaar in het 1e jaar; hypoglykemie bij 49%</w:t>
            </w:r>
          </w:p>
        </w:tc>
      </w:tr>
      <w:tr>
        <w:tc>
          <w:tcPr/>
          <w:p>
            <w:pPr>
              <w:pStyle w:val="Compact"/>
              <w:jc w:val="left"/>
            </w:pPr>
            <w:r>
              <w:t xml:space="preserve">Register (Bang 2021), PMID 33434161</w:t>
            </w:r>
          </w:p>
        </w:tc>
        <w:tc>
          <w:tcPr/>
          <w:p>
            <w:pPr>
              <w:pStyle w:val="Compact"/>
              <w:jc w:val="left"/>
            </w:pPr>
            <w:r>
              <w:t xml:space="preserve">242 kinderen, van wie 138 onbehandeld vóór de puberteit; observationeel</w:t>
            </w:r>
          </w:p>
        </w:tc>
        <w:tc>
          <w:tcPr/>
          <w:p>
            <w:pPr>
              <w:pStyle w:val="Compact"/>
              <w:jc w:val="left"/>
            </w:pPr>
            <w:r>
              <w:t xml:space="preserve">tot 5 jaar</w:t>
            </w:r>
          </w:p>
        </w:tc>
        <w:tc>
          <w:tcPr/>
          <w:p>
            <w:pPr>
              <w:pStyle w:val="Compact"/>
              <w:jc w:val="left"/>
            </w:pPr>
            <w:r>
              <w:t xml:space="preserve">lengtetoename; 65,3% met bijwerkingen</w:t>
            </w:r>
          </w:p>
        </w:tc>
      </w:tr>
      <w:tr>
        <w:tc>
          <w:tcPr/>
          <w:p>
            <w:pPr>
              <w:pStyle w:val="Compact"/>
              <w:jc w:val="left"/>
            </w:pPr>
            <w:r>
              <w:t xml:space="preserve">Register eindlengte (Ramon-Krauel 2026), PMID 40626687</w:t>
            </w:r>
          </w:p>
        </w:tc>
        <w:tc>
          <w:tcPr/>
          <w:p>
            <w:pPr>
              <w:pStyle w:val="Compact"/>
              <w:jc w:val="left"/>
            </w:pPr>
            <w:r>
              <w:t xml:space="preserve">102 jongeren met bijna bereikte eindlengte</w:t>
            </w:r>
          </w:p>
        </w:tc>
        <w:tc>
          <w:tcPr/>
          <w:p>
            <w:pPr>
              <w:pStyle w:val="Compact"/>
              <w:jc w:val="left"/>
            </w:pPr>
            <w:r>
              <w:t xml:space="preserve">mediaan 3,9 jaar</w:t>
            </w:r>
          </w:p>
        </w:tc>
        <w:tc>
          <w:tcPr/>
          <w:p>
            <w:pPr>
              <w:pStyle w:val="Compact"/>
              <w:jc w:val="left"/>
            </w:pPr>
            <w:r>
              <w:t xml:space="preserve">+0,9 SD (vroeg behandeld +1,4 SD)</w:t>
            </w:r>
          </w:p>
        </w:tc>
      </w:tr>
      <w:tr>
        <w:tc>
          <w:tcPr/>
          <w:p>
            <w:pPr>
              <w:pStyle w:val="Compact"/>
              <w:jc w:val="left"/>
            </w:pPr>
            <w:r>
              <w:t xml:space="preserve">ALS (Sorenson 2008), PMID 19029516</w:t>
            </w:r>
          </w:p>
        </w:tc>
        <w:tc>
          <w:tcPr/>
          <w:p>
            <w:pPr>
              <w:pStyle w:val="Compact"/>
              <w:jc w:val="left"/>
            </w:pPr>
            <w:r>
              <w:t xml:space="preserve">330 personen met ALS, RCT tegen placebo</w:t>
            </w:r>
          </w:p>
        </w:tc>
        <w:tc>
          <w:tcPr/>
          <w:p>
            <w:pPr>
              <w:pStyle w:val="Compact"/>
              <w:jc w:val="left"/>
            </w:pPr>
            <w:r>
              <w:t xml:space="preserve">2 jaar</w:t>
            </w:r>
          </w:p>
        </w:tc>
        <w:tc>
          <w:tcPr/>
          <w:p>
            <w:pPr>
              <w:pStyle w:val="Compact"/>
              <w:jc w:val="left"/>
            </w:pPr>
            <w:r>
              <w:t xml:space="preserve">geen nut</w:t>
            </w:r>
          </w:p>
        </w:tc>
      </w:tr>
      <w:tr>
        <w:tc>
          <w:tcPr/>
          <w:p>
            <w:pPr>
              <w:pStyle w:val="Compact"/>
              <w:jc w:val="left"/>
            </w:pPr>
            <w:r>
              <w:t xml:space="preserve">Te vroeg geboren baby’s (Ley 2019), PMID 30471715</w:t>
            </w:r>
          </w:p>
        </w:tc>
        <w:tc>
          <w:tcPr/>
          <w:p>
            <w:pPr>
              <w:pStyle w:val="Compact"/>
              <w:jc w:val="left"/>
            </w:pPr>
            <w:r>
              <w:t xml:space="preserve">121 extreem te vroeg geboren baby’s, RCT tegen standaardbehandeling</w:t>
            </w:r>
          </w:p>
        </w:tc>
        <w:tc>
          <w:tcPr/>
          <w:p>
            <w:pPr>
              <w:pStyle w:val="Compact"/>
              <w:jc w:val="left"/>
            </w:pPr>
            <w:r>
              <w:t xml:space="preserve">tot week 40</w:t>
            </w:r>
          </w:p>
        </w:tc>
        <w:tc>
          <w:tcPr/>
          <w:p>
            <w:pPr>
              <w:pStyle w:val="Compact"/>
              <w:jc w:val="left"/>
            </w:pPr>
            <w:r>
              <w:t xml:space="preserve">geen effect op netvlies; minder ernstige BPD</w:t>
            </w:r>
          </w:p>
        </w:tc>
      </w:tr>
    </w:tbl>
    <w:bookmarkEnd w:id="563"/>
    <w:bookmarkEnd w:id="564"/>
    <w:bookmarkStart w:id="565" w:name="dier--en-laboratoriumstudies-31"/>
    <w:p>
      <w:pPr>
        <w:pStyle w:val="Heading3"/>
      </w:pPr>
      <w:r>
        <w:t xml:space="preserve">Dier- en laboratoriumstudies</w:t>
      </w:r>
    </w:p>
    <w:p>
      <w:pPr>
        <w:pStyle w:val="FirstParagraph"/>
      </w:pPr>
      <w:r>
        <w:t xml:space="preserve">De effecten van IGF-1 op groei, spieren en stofwisseling zijn in dier- en celstudies zeer uitgebreid onderzocht en vormen de basis van de therapie. Belangrijk voor de veiligheidsvraag zijn celexperimenten met bloedserum van mensen met het syndroom van Laron: cellen die met dit IGF-1-arme serum werden behandeld en vervolgens aan oxidatieve stress werden blootgesteld, hadden minder DNA-breuken, en beschadigde cellen stierven vaker af (Guevara-Aguirre 2011, PMID 21325617). Voegde men IGF-1 aan het serum toe, dan verdwenen deze verschillen (Guevara-Aguirre 2015, PMID 25316432). IGF-1 houdt dus ook beschadigde cellen eerder in leven – een mogelijk mechanisme voor een kankerrisico.</w:t>
      </w:r>
    </w:p>
    <w:bookmarkEnd w:id="565"/>
    <w:bookmarkStart w:id="566" w:name="risicos-en-bijwerkingen-31"/>
    <w:p>
      <w:pPr>
        <w:pStyle w:val="Heading3"/>
      </w:pPr>
      <w:r>
        <w:t xml:space="preserve">Risico’s en bijwerkingen</w:t>
      </w:r>
    </w:p>
    <w:p>
      <w:pPr>
        <w:pStyle w:val="FirstParagraph"/>
      </w:pPr>
      <w:r>
        <w:rPr>
          <w:bCs/>
          <w:b/>
        </w:rPr>
        <w:t xml:space="preserve">Aangetoond:</w:t>
      </w:r>
    </w:p>
    <w:p>
      <w:pPr>
        <w:numPr>
          <w:ilvl w:val="0"/>
          <w:numId w:val="1176"/>
        </w:numPr>
        <w:pStyle w:val="Compact"/>
      </w:pPr>
      <w:r>
        <w:rPr>
          <w:bCs/>
          <w:b/>
        </w:rPr>
        <w:t xml:space="preserve">Hypoglykemie (te lage bloedsuiker)</w:t>
      </w:r>
      <w:r>
        <w:t xml:space="preserve"> </w:t>
      </w:r>
      <w:r>
        <w:t xml:space="preserve">– de meest voorkomende en belangrijkste bijwerking, vooral bij jonge kinderen, bij het syndroom van Laron en na eerdere hypoglykemieën (Chernausek 2007, PMID 17192294; Bang 2023, PMID 37579214). De productinformatie schrijft daarom een nauw tijdsverband met maaltijden voor; de details staan daarin zelf.</w:t>
      </w:r>
    </w:p>
    <w:p>
      <w:pPr>
        <w:numPr>
          <w:ilvl w:val="0"/>
          <w:numId w:val="1176"/>
        </w:numPr>
        <w:pStyle w:val="Compact"/>
      </w:pPr>
      <w:r>
        <w:rPr>
          <w:bCs/>
          <w:b/>
        </w:rPr>
        <w:t xml:space="preserve">Vergroting van amandelen en neuspoliepen</w:t>
      </w:r>
      <w:r>
        <w:t xml:space="preserve"> </w:t>
      </w:r>
      <w:r>
        <w:t xml:space="preserve">(22%) en veranderingen van het vetweefsel op de injectieplaats (32%) (Chernausek 2007, PMID 17192294).</w:t>
      </w:r>
    </w:p>
    <w:p>
      <w:pPr>
        <w:numPr>
          <w:ilvl w:val="0"/>
          <w:numId w:val="1176"/>
        </w:numPr>
        <w:pStyle w:val="Compact"/>
      </w:pPr>
      <w:r>
        <w:t xml:space="preserve">In de studie bij te vroeg geboren baby’s traden onder IGF-1/IGFBP-3 in aantallen meer fatale ernstige voorvallen op dan onder standaardbehandeling (Ley 2019, PMID 30471715); de studie was niet opgezet om dit verschil te beoordelen.</w:t>
      </w:r>
    </w:p>
    <w:p>
      <w:pPr>
        <w:pStyle w:val="FirstParagraph"/>
      </w:pPr>
      <w:r>
        <w:rPr>
          <w:bCs/>
          <w:b/>
        </w:rPr>
        <w:t xml:space="preserve">Kankerrisico – wat aangetoond is en wat niet:</w:t>
      </w:r>
    </w:p>
    <w:p>
      <w:pPr>
        <w:pStyle w:val="BodyText"/>
      </w:pPr>
      <w:r>
        <w:t xml:space="preserve">IGF-1 is een groei- en overlevingssignaal voor cellen. De zorg dat meer IGF-1 het kankerrisico verhoogt, is daarom biologisch plausibel en wordt door meerdere soorten bevindingen ondersteund:</w:t>
      </w:r>
    </w:p>
    <w:p>
      <w:pPr>
        <w:numPr>
          <w:ilvl w:val="0"/>
          <w:numId w:val="1177"/>
        </w:numPr>
        <w:pStyle w:val="Compact"/>
      </w:pPr>
      <w:r>
        <w:rPr>
          <w:iCs/>
          <w:i/>
        </w:rPr>
        <w:t xml:space="preserve">Observationele studies:</w:t>
      </w:r>
      <w:r>
        <w:t xml:space="preserve"> </w:t>
      </w:r>
      <w:r>
        <w:t xml:space="preserve">mensen met hogere IGF-1-spiegels in het bloed krijgen iets vaker prostaatkanker en borstkanker vóór de menopauze (Renehan 2004, PMID 15110491). In de UK Biobank ging elke verhoging met 5 nmol/l gepaard met een 11% hoger risico op borstkanker (Murphy 2020, PMID 32169310); vergelijkbare verbanden worden gezien voor darmkanker (Murphy 2020, PMID 31884074) en prostaatkanker (Watts 2023, PMID 35726641).</w:t>
      </w:r>
    </w:p>
    <w:p>
      <w:pPr>
        <w:numPr>
          <w:ilvl w:val="0"/>
          <w:numId w:val="1177"/>
        </w:numPr>
        <w:pStyle w:val="Compact"/>
      </w:pPr>
      <w:r>
        <w:rPr>
          <w:iCs/>
          <w:i/>
        </w:rPr>
        <w:t xml:space="preserve">Genetische analyses (mendeliaanse randomisatie):</w:t>
      </w:r>
      <w:r>
        <w:t xml:space="preserve"> </w:t>
      </w:r>
      <w:r>
        <w:t xml:space="preserve">ook mensen met genetisch bepaalde hogere IGF-1-spiegels krijgen iets vaker borst- en darmkanker – een aanwijzing dat het verband oorzakelijk zou kunnen zijn (Murphy 2020, PMID 32169310; Murphy 2020, PMID 31884074).</w:t>
      </w:r>
    </w:p>
    <w:p>
      <w:pPr>
        <w:numPr>
          <w:ilvl w:val="0"/>
          <w:numId w:val="1177"/>
        </w:numPr>
        <w:pStyle w:val="Compact"/>
      </w:pPr>
      <w:r>
        <w:rPr>
          <w:iCs/>
          <w:i/>
        </w:rPr>
        <w:t xml:space="preserve">Het tegenbeeld:</w:t>
      </w:r>
      <w:r>
        <w:t xml:space="preserve"> </w:t>
      </w:r>
      <w:r>
        <w:t xml:space="preserve">in een Ecuadoraanse groep met het syndroom van Laron, dus met levenslang IGF-1-tekort, trad gedurende 22 jaar observatie slechts één enkele, niet-fatale kanker op, tegenover 17% bij niet-aangedane familieleden (Guevara-Aguirre 2011, PMID 21325617).</w:t>
      </w:r>
    </w:p>
    <w:p>
      <w:pPr>
        <w:pStyle w:val="FirstParagraph"/>
      </w:pPr>
      <w:r>
        <w:t xml:space="preserve">Belangrijk is de orde van grootte: de gemeten risicoverhogingen bij van nature hoger IGF-1 zijn matig (afhankelijk van de vergelijking en de kankersoort meestal tussen ongeveer 5 en 65% relatief). Bij de kinderen voor wie mecasermine is toegelaten, wordt een ontbrekend hormoon vervangen, niet een normale spiegel verhoogd. Toch zijn na de markintroductie gevallen van goedaardige en kwaadaardige nieuwvormingen bij behandelde kinderen gemeld; de productinformatie in de EU en de VS werd daarop met overeenkomstige waarschuwingen aangevuld, en bij actieve of vermoede kanker mag mecasermine niet worden gebruikt (stand 2026, details zie actuele productinformatie). Of er een oorzakelijk verband bestaat, valt uit afzonderlijke meldingen niet op te helderen; het langetermijnregister (NCT00903110) moet daarover gegevens leveren.</w:t>
      </w:r>
    </w:p>
    <w:p>
      <w:pPr>
        <w:pStyle w:val="BodyText"/>
      </w:pPr>
      <w:r>
        <w:t xml:space="preserve">Voor volwassenen die IGF-1 zonder tekort gebruiken voor prestatieverbetering of „verjonging”, moeten deze overwegingen duidelijk serieuzer worden genomen: hier zou een normale spiegel blijvend worden verhoogd – precies de situatie die in de observationele studies met een hoger risico gepaard gaat. Uitvoerig wordt het onderwerp in Deel IV behandeld.</w:t>
      </w:r>
    </w:p>
    <w:bookmarkEnd w:id="566"/>
    <w:bookmarkStart w:id="567" w:name="juridische-status-31"/>
    <w:p>
      <w:pPr>
        <w:pStyle w:val="Heading3"/>
      </w:pPr>
      <w:r>
        <w:t xml:space="preserve">Juridische status</w:t>
      </w:r>
    </w:p>
    <w:p>
      <w:pPr>
        <w:pStyle w:val="FirstParagraph"/>
      </w:pPr>
      <w:r>
        <w:rPr>
          <w:iCs/>
          <w:i/>
        </w:rPr>
        <w:t xml:space="preserve">Stand 2026, actuele situatie controleren.</w:t>
      </w:r>
    </w:p>
    <w:p>
      <w:pPr>
        <w:numPr>
          <w:ilvl w:val="0"/>
          <w:numId w:val="1178"/>
        </w:numPr>
        <w:pStyle w:val="Compact"/>
      </w:pPr>
      <w:r>
        <w:rPr>
          <w:bCs/>
          <w:b/>
        </w:rPr>
        <w:t xml:space="preserve">EU, Duitsland, Oostenrijk:</w:t>
      </w:r>
      <w:r>
        <w:t xml:space="preserve"> </w:t>
      </w:r>
      <w:r>
        <w:t xml:space="preserve">toegelaten (Increlex) uitsluitend voor kinderen en jongeren met ernstig primair IGF-1-tekort; op recept, behandeling door artsen met ervaring in kinderendocrinologie volgens de productinformatie. De EU-toelating is gekoppeld aan de gegevensverzameling in het langetermijnregister (Saavedra 2026, PMID 42341624).</w:t>
      </w:r>
    </w:p>
    <w:p>
      <w:pPr>
        <w:numPr>
          <w:ilvl w:val="0"/>
          <w:numId w:val="1178"/>
        </w:numPr>
        <w:pStyle w:val="Compact"/>
      </w:pPr>
      <w:r>
        <w:rPr>
          <w:bCs/>
          <w:b/>
        </w:rPr>
        <w:t xml:space="preserve">VS:</w:t>
      </w:r>
      <w:r>
        <w:t xml:space="preserve"> </w:t>
      </w:r>
      <w:r>
        <w:t xml:space="preserve">toegelaten (Increlex) voor dezelfde indicatie.</w:t>
      </w:r>
    </w:p>
    <w:p>
      <w:pPr>
        <w:numPr>
          <w:ilvl w:val="0"/>
          <w:numId w:val="1178"/>
        </w:numPr>
        <w:pStyle w:val="Compact"/>
      </w:pPr>
      <w:r>
        <w:rPr>
          <w:bCs/>
          <w:b/>
        </w:rPr>
        <w:t xml:space="preserve">Andere toepassingen</w:t>
      </w:r>
      <w:r>
        <w:t xml:space="preserve"> </w:t>
      </w:r>
      <w:r>
        <w:t xml:space="preserve">(volwassenen, sport, anti-aging) zijn niet toegelaten.</w:t>
      </w:r>
    </w:p>
    <w:p>
      <w:pPr>
        <w:numPr>
          <w:ilvl w:val="0"/>
          <w:numId w:val="1178"/>
        </w:numPr>
        <w:pStyle w:val="Compact"/>
      </w:pPr>
      <w:r>
        <w:rPr>
          <w:bCs/>
          <w:b/>
        </w:rPr>
        <w:t xml:space="preserve">WADA:</w:t>
      </w:r>
      <w:r>
        <w:t xml:space="preserve"> </w:t>
      </w:r>
      <w:r>
        <w:t xml:space="preserve">verboden (S2). Voor de opsporing van IGF-1-misbruik worden markermethoden ontwikkeld, vergelijkbaar met de groeihormoontest (Guha 2013, PMID 23934394).</w:t>
      </w:r>
    </w:p>
    <w:bookmarkEnd w:id="567"/>
    <w:bookmarkStart w:id="568" w:name="lopende-studies-en-vooruitzichten-31"/>
    <w:p>
      <w:pPr>
        <w:pStyle w:val="Heading3"/>
      </w:pPr>
      <w:r>
        <w:t xml:space="preserve">Lopende studies en vooruitzichten</w:t>
      </w:r>
    </w:p>
    <w:p>
      <w:pPr>
        <w:pStyle w:val="FirstParagraph"/>
      </w:pPr>
      <w:r>
        <w:rPr>
          <w:iCs/>
          <w:i/>
        </w:rPr>
        <w:t xml:space="preserve">Vast staat:</w:t>
      </w:r>
      <w:r>
        <w:t xml:space="preserve"> </w:t>
      </w:r>
      <w:r>
        <w:t xml:space="preserve">het wereldwijde Increlex-register (NCT00903110) loopt volgens de registratie tot eind 2027. Een fase 2-studie met IGF-1/IGFBP-3 ter preventie van bronchopulmonale dysplasie bij extreem te vroeg geboren baby’s (NCT03253263, 295 kinderen) is actief, maar werft niet meer.</w:t>
      </w:r>
      <w:r>
        <w:t xml:space="preserve"> </w:t>
      </w:r>
      <w:r>
        <w:rPr>
          <w:iCs/>
          <w:i/>
        </w:rPr>
        <w:t xml:space="preserve">Inschatting van de auteur:</w:t>
      </w:r>
      <w:r>
        <w:t xml:space="preserve"> </w:t>
      </w:r>
      <w:r>
        <w:t xml:space="preserve">nieuwe toelatingen voor volwassenen zijn niet in zicht; de betekenis van mecasermine zal beperkt blijven tot zeldzame groeistoornissen en eventueel de neonatologie.</w:t>
      </w:r>
    </w:p>
    <w:bookmarkEnd w:id="568"/>
    <w:bookmarkStart w:id="569" w:name="conclusie-31"/>
    <w:p>
      <w:pPr>
        <w:pStyle w:val="Heading3"/>
      </w:pPr>
      <w:r>
        <w:t xml:space="preserve">Conclusie</w:t>
      </w:r>
    </w:p>
    <w:p>
      <w:pPr>
        <w:pStyle w:val="FirstParagraph"/>
      </w:pPr>
      <w:r>
        <w:t xml:space="preserve">Mecasermine vervangt het ontbrekende IGF-1 bij kinderen met ernstig primair IGF-1-tekort en verbetert hun groei duidelijk, vooral bij een vroege start van de behandeling. De meest voorkomende bijwerking is hypoglykemie; na meldingen van nieuwvormingen zijn de waarschuwingen aangescherpt. Bij andere toepassingen, zoals ALS, leverde IGF-1 geen nut op. Voor gezonde mensen is gebruik noch onderbouwd noch verantwoord, omdat blijvend verhoogd IGF-1 in grote observationele en genetische studies gepaard gaat met een iets hoger kankerrisico.</w:t>
      </w:r>
    </w:p>
    <w:bookmarkEnd w:id="569"/>
    <w:bookmarkEnd w:id="570"/>
    <w:bookmarkStart w:id="579" w:name="igf-1-lr3"/>
    <w:p>
      <w:pPr>
        <w:pStyle w:val="Heading2"/>
      </w:pPr>
      <w:r>
        <w:t xml:space="preserve">IGF-1 LR3</w:t>
      </w:r>
    </w:p>
    <w:p>
      <w:pPr>
        <w:pStyle w:val="FirstParagraph"/>
      </w:pPr>
      <w:r>
        <w:t xml:space="preserve">IGF-1 LR3 (voluit „Long-R3-IGF-I”) is geen geneesmiddel, maar een laboratoriumreagens. Het werd ontwikkeld om celkweken in de biotechnologie beter te laten groeien, en wordt gebruikt in dierproeven. Dat het op internet in flesjes voor injectie wordt verkocht, is een schoolvoorbeeld van de „research peptide”-markt: een stof die nooit voor mensen bedoeld was, nooit bij mensen is getest en waarvan de eigenschappen precies de risico’s versterken die bij het natuurlijke IGF-1 zorgen baren.</w:t>
      </w:r>
    </w:p>
    <w:bookmarkStart w:id="571" w:name="profiel-32"/>
    <w:p>
      <w:pPr>
        <w:pStyle w:val="Heading3"/>
      </w:pPr>
      <w:r>
        <w:t xml:space="preserve">Profiel</w:t>
      </w:r>
    </w:p>
    <w:p>
      <w:pPr>
        <w:numPr>
          <w:ilvl w:val="0"/>
          <w:numId w:val="1179"/>
        </w:numPr>
        <w:pStyle w:val="Compact"/>
      </w:pPr>
      <w:r>
        <w:rPr>
          <w:bCs/>
          <w:b/>
        </w:rPr>
        <w:t xml:space="preserve">Soort en structuur:</w:t>
      </w:r>
      <w:r>
        <w:t xml:space="preserve"> </w:t>
      </w:r>
      <w:r>
        <w:t xml:space="preserve">gewijzigd menselijk IGF-1: op positie 3 staat het aminozuur arginine („R3”), en aan het begin is een extra aminozuurketen toegevoegd („Long”). Beide verminderen de binding aan de IGF-bindingseiwitten sterk (Bastian 1993, PMID 7693845; Tomas 1993, PMID 7683875).</w:t>
      </w:r>
    </w:p>
    <w:p>
      <w:pPr>
        <w:numPr>
          <w:ilvl w:val="0"/>
          <w:numId w:val="1179"/>
        </w:numPr>
        <w:pStyle w:val="Compact"/>
      </w:pPr>
      <w:r>
        <w:rPr>
          <w:bCs/>
          <w:b/>
        </w:rPr>
        <w:t xml:space="preserve">Herkomst:</w:t>
      </w:r>
      <w:r>
        <w:t xml:space="preserve"> </w:t>
      </w:r>
      <w:r>
        <w:t xml:space="preserve">begin jaren negentig beschreven als onderzoeksinstrument; tegenwoordig commercieel verkrijgbaar als toevoeging aan voedingsmedia voor celkweek.</w:t>
      </w:r>
    </w:p>
    <w:p>
      <w:pPr>
        <w:numPr>
          <w:ilvl w:val="0"/>
          <w:numId w:val="1179"/>
        </w:numPr>
        <w:pStyle w:val="Compact"/>
      </w:pPr>
      <w:r>
        <w:rPr>
          <w:bCs/>
          <w:b/>
        </w:rPr>
        <w:t xml:space="preserve">Werkingsprincipe:</w:t>
      </w:r>
      <w:r>
        <w:t xml:space="preserve"> </w:t>
      </w:r>
      <w:r>
        <w:t xml:space="preserve">bindt net als IGF-1 aan de IGF-1-receptor; omdat het nauwelijks door bindingseiwitten wordt weggevangen, is het in het bloed overwegend vrij en daarmee direct werkzaam aanwezig.</w:t>
      </w:r>
    </w:p>
    <w:p>
      <w:pPr>
        <w:numPr>
          <w:ilvl w:val="0"/>
          <w:numId w:val="1179"/>
        </w:numPr>
        <w:pStyle w:val="Compact"/>
      </w:pPr>
      <w:r>
        <w:rPr>
          <w:bCs/>
          <w:b/>
        </w:rPr>
        <w:t xml:space="preserve">Registratie EU:</w:t>
      </w:r>
      <w:r>
        <w:t xml:space="preserve"> </w:t>
      </w:r>
      <w:r>
        <w:t xml:space="preserve">nee.</w:t>
      </w:r>
      <w:r>
        <w:t xml:space="preserve"> </w:t>
      </w:r>
      <w:r>
        <w:rPr>
          <w:bCs/>
          <w:b/>
        </w:rPr>
        <w:t xml:space="preserve">Registratie VS:</w:t>
      </w:r>
      <w:r>
        <w:t xml:space="preserve"> </w:t>
      </w:r>
      <w:r>
        <w:t xml:space="preserve">nee. Nergens als geneesmiddel toegelaten of ooit aangevraagd.</w:t>
      </w:r>
    </w:p>
    <w:p>
      <w:pPr>
        <w:numPr>
          <w:ilvl w:val="0"/>
          <w:numId w:val="1179"/>
        </w:numPr>
        <w:pStyle w:val="Compact"/>
      </w:pPr>
      <w:r>
        <w:rPr>
          <w:bCs/>
          <w:b/>
        </w:rPr>
        <w:t xml:space="preserve">WADA:</w:t>
      </w:r>
      <w:r>
        <w:t xml:space="preserve"> </w:t>
      </w:r>
      <w:r>
        <w:t xml:space="preserve">verboden, groep S2 (IGF-1-analogen als groeifactoren).</w:t>
      </w:r>
    </w:p>
    <w:p>
      <w:pPr>
        <w:numPr>
          <w:ilvl w:val="0"/>
          <w:numId w:val="1179"/>
        </w:numPr>
        <w:pStyle w:val="Compact"/>
      </w:pPr>
      <w:r>
        <w:rPr>
          <w:bCs/>
          <w:b/>
        </w:rPr>
        <w:t xml:space="preserve">Bewijsniveau: D</w:t>
      </w:r>
      <w:r>
        <w:t xml:space="preserve"> </w:t>
      </w:r>
      <w:r>
        <w:t xml:space="preserve">– niet één studie bij mensen; alleen dier- en laboratoriumstudies.</w:t>
      </w:r>
    </w:p>
    <w:bookmarkEnd w:id="571"/>
    <w:bookmarkStart w:id="572" w:name="hoe-het-zou-moeten-werken-32"/>
    <w:p>
      <w:pPr>
        <w:pStyle w:val="Heading3"/>
      </w:pPr>
      <w:r>
        <w:t xml:space="preserve">Hoe het zou moeten werken</w:t>
      </w:r>
    </w:p>
    <w:p>
      <w:pPr>
        <w:pStyle w:val="FirstParagraph"/>
      </w:pPr>
      <w:r>
        <w:t xml:space="preserve">In het bloed is bijna al het IGF-1 gekoppeld aan bindingseiwitten, vooral aan IGFBP-3. Deze eiwitten werken als een buffer: ze verlengen de levensduur van IGF-1, maar houden het ook weg van de cellen en dempen zo de werking ervan. In celexperimenten remde IGFBP-3 de activering van de IGF-1-receptor door IGF-1 en ook door Long-R3-IGF-I, doordat het de signaalstoffen wegvangt (Devi 2001, PMID 11735239).</w:t>
      </w:r>
    </w:p>
    <w:p>
      <w:pPr>
        <w:pStyle w:val="BodyText"/>
      </w:pPr>
      <w:r>
        <w:t xml:space="preserve">LR3 werd zo veranderd dat het grotendeels aan deze buffer ontsnapt. Bij ratten was het in het bloed overwegend als vrij peptide aanwezig en werd het – bij niet-drachtige dieren – ongeveer tien keer sneller uit het bloed verwijderd dan IGF-1 – het verdwijnt dus snel naar de weefsels (Bastian 1993, PMID 7693845). Bij diabetische ratten was het 2,5 tot 3 keer zo werkzaam als IGF-1 bij het herstellen van de groei (Tomas 1993, PMID 7683875). Op de grijze markt wordt daaruit de verwachting afgeleid dat LR3 bij mensen sterker spieren opbouwt dan natuurlijk IGF-1. Bewijs daarvoor is er niet.</w:t>
      </w:r>
    </w:p>
    <w:bookmarkEnd w:id="572"/>
    <w:bookmarkStart w:id="573" w:name="studies-bij-mensen-32"/>
    <w:p>
      <w:pPr>
        <w:pStyle w:val="Heading3"/>
      </w:pPr>
      <w:r>
        <w:t xml:space="preserve">Studies bij mensen</w:t>
      </w:r>
    </w:p>
    <w:p>
      <w:pPr>
        <w:pStyle w:val="FirstParagraph"/>
      </w:pPr>
      <w:r>
        <w:rPr>
          <w:bCs/>
          <w:b/>
        </w:rPr>
        <w:t xml:space="preserve">Omvang van het onderzoek (zoekopdracht oktober 2026):</w:t>
      </w:r>
      <w:r>
        <w:t xml:space="preserve"> </w:t>
      </w:r>
      <w:r>
        <w:t xml:space="preserve">De geautomatiseerde zoekopdracht van dit boek vond</w:t>
      </w:r>
      <w:r>
        <w:t xml:space="preserve"> </w:t>
      </w:r>
      <w:r>
        <w:rPr>
          <w:bCs/>
          <w:b/>
        </w:rPr>
        <w:t xml:space="preserve">geen</w:t>
      </w:r>
      <w:r>
        <w:t xml:space="preserve"> </w:t>
      </w:r>
      <w:r>
        <w:t xml:space="preserve">studie bij mensen in PubMed (</w:t>
      </w:r>
      <w:r>
        <w:rPr>
          <w:rStyle w:val="VerbatimChar"/>
        </w:rPr>
        <w:t xml:space="preserve">humanstudien_alle</w:t>
      </w:r>
      <w:r>
        <w:t xml:space="preserve">: 0) en</w:t>
      </w:r>
      <w:r>
        <w:t xml:space="preserve"> </w:t>
      </w:r>
      <w:r>
        <w:rPr>
          <w:bCs/>
          <w:b/>
        </w:rPr>
        <w:t xml:space="preserve">geen</w:t>
      </w:r>
      <w:r>
        <w:t xml:space="preserve"> </w:t>
      </w:r>
      <w:r>
        <w:t xml:space="preserve">registratie bij ClinicalTrials.gov. Ook een gerichte aanvullende zoekopdracht naar pilotstudies, casusbeschrijvingen van vergiftigingen of bijwerkingen leverde geen publicatie op waarin mensen IGF-1 LR3 hebben gekregen.</w:t>
      </w:r>
    </w:p>
    <w:p>
      <w:pPr>
        <w:pStyle w:val="BodyText"/>
      </w:pPr>
      <w:r>
        <w:t xml:space="preserve">Gevonden werden alleen:</w:t>
      </w:r>
    </w:p>
    <w:p>
      <w:pPr>
        <w:numPr>
          <w:ilvl w:val="0"/>
          <w:numId w:val="1180"/>
        </w:numPr>
        <w:pStyle w:val="Compact"/>
      </w:pPr>
      <w:r>
        <w:rPr>
          <w:bCs/>
          <w:b/>
        </w:rPr>
        <w:t xml:space="preserve">Analyses van grijze-marktproducten:</w:t>
      </w:r>
      <w:r>
        <w:t xml:space="preserve"> </w:t>
      </w:r>
      <w:r>
        <w:t xml:space="preserve">Een dopinglaboratorium vond in een injectieflacon van de zwarte markt Long-R3-IGF-I met een zogeheten His-tag – een aanhangsel van zes histidinebouwstenen dat bij de productie van laboratoriumeiwitten voor zuivering wordt gebruikt. De auteurs vermoeden dat het een bijproduct uit biochemisch onderzoek betrof, niet een voor injectie geproduceerd preparaat; de werking van deze variant bij mensen is volledig onbekend (Kohler 2010, PMID 20675162). Een andere onderzoeksgroep vond in zwartemarktproducten talrijke aanwijzingen voor inferieure, geoxideerde peptidevormen (Mongongu 2021, PMID 33587816).</w:t>
      </w:r>
    </w:p>
    <w:p>
      <w:pPr>
        <w:numPr>
          <w:ilvl w:val="0"/>
          <w:numId w:val="1180"/>
        </w:numPr>
        <w:pStyle w:val="Compact"/>
      </w:pPr>
      <w:r>
        <w:rPr>
          <w:bCs/>
          <w:b/>
        </w:rPr>
        <w:t xml:space="preserve">Overzichten over doping:</w:t>
      </w:r>
      <w:r>
        <w:t xml:space="preserve"> </w:t>
      </w:r>
      <w:r>
        <w:t xml:space="preserve">IGF-1 en zijn analogen worden op internet aangeprezen en zijn al jaren op de zwarte markt verkrijgbaar (Guha 2013, PMID 23934394).</w:t>
      </w:r>
    </w:p>
    <w:bookmarkEnd w:id="573"/>
    <w:bookmarkStart w:id="574" w:name="dier--en-laboratoriumstudies-32"/>
    <w:p>
      <w:pPr>
        <w:pStyle w:val="Heading3"/>
      </w:pPr>
      <w:r>
        <w:t xml:space="preserve">Dier- en laboratoriumstudies</w:t>
      </w:r>
    </w:p>
    <w:p>
      <w:pPr>
        <w:pStyle w:val="FirstParagraph"/>
      </w:pPr>
      <w:r>
        <w:t xml:space="preserve">Bijna al het onderzoek naar LR3 komt uit de landbouwhuisdier- en ontwikkelingsbiologie:</w:t>
      </w:r>
    </w:p>
    <w:p>
      <w:pPr>
        <w:numPr>
          <w:ilvl w:val="0"/>
          <w:numId w:val="1181"/>
        </w:numPr>
        <w:pStyle w:val="Compact"/>
      </w:pPr>
      <w:r>
        <w:rPr>
          <w:bCs/>
          <w:b/>
        </w:rPr>
        <w:t xml:space="preserve">Ratten:</w:t>
      </w:r>
      <w:r>
        <w:t xml:space="preserve"> </w:t>
      </w:r>
      <w:r>
        <w:t xml:space="preserve">snelle verdeling naar de weefsels, overwegend als vrij peptide (Bastian 1993, PMID 7693845); sterker groei-effect dan IGF-1 bij diabetische ratten, zonder de suikeruitscheiding in de urine te verlagen (Tomas 1993, PMID 7683875).</w:t>
      </w:r>
    </w:p>
    <w:p>
      <w:pPr>
        <w:numPr>
          <w:ilvl w:val="0"/>
          <w:numId w:val="1181"/>
        </w:numPr>
        <w:pStyle w:val="Compact"/>
      </w:pPr>
      <w:r>
        <w:rPr>
          <w:bCs/>
          <w:b/>
        </w:rPr>
        <w:t xml:space="preserve">Varkens:</w:t>
      </w:r>
      <w:r>
        <w:t xml:space="preserve"> </w:t>
      </w:r>
      <w:r>
        <w:t xml:space="preserve">Een infuus van vier dagen</w:t>
      </w:r>
      <w:r>
        <w:t xml:space="preserve"> </w:t>
      </w:r>
      <w:r>
        <w:rPr>
          <w:bCs/>
          <w:b/>
        </w:rPr>
        <w:t xml:space="preserve">verminderde</w:t>
      </w:r>
      <w:r>
        <w:t xml:space="preserve"> </w:t>
      </w:r>
      <w:r>
        <w:t xml:space="preserve">bij mestvarkens de gewichtstoename en de voeropname en onderdrukte de lichaamseigen spiegels van groeihormoon, IGF-1, IGFBP-3 en insuline (Dunaiski 1997, PMID 9488001).</w:t>
      </w:r>
    </w:p>
    <w:p>
      <w:pPr>
        <w:numPr>
          <w:ilvl w:val="0"/>
          <w:numId w:val="1181"/>
        </w:numPr>
        <w:pStyle w:val="Compact"/>
      </w:pPr>
      <w:r>
        <w:rPr>
          <w:bCs/>
          <w:b/>
        </w:rPr>
        <w:t xml:space="preserve">Cavia’s:</w:t>
      </w:r>
      <w:r>
        <w:t xml:space="preserve"> </w:t>
      </w:r>
      <w:r>
        <w:t xml:space="preserve">Organen zoals darm, nieren, milt en bijnieren werden zwaarder, maar de lichaamsgroei als geheel nam niet toe (Conlon 1995, PMID 7561636).</w:t>
      </w:r>
    </w:p>
    <w:p>
      <w:pPr>
        <w:numPr>
          <w:ilvl w:val="0"/>
          <w:numId w:val="1181"/>
        </w:numPr>
        <w:pStyle w:val="Compact"/>
      </w:pPr>
      <w:r>
        <w:rPr>
          <w:bCs/>
          <w:b/>
        </w:rPr>
        <w:t xml:space="preserve">Schapenfoetussen:</w:t>
      </w:r>
      <w:r>
        <w:t xml:space="preserve"> </w:t>
      </w:r>
      <w:r>
        <w:t xml:space="preserve">Bij normaal groeiende foetussen verlaagde LR3 de insulineafgifte; een kort infuus verminderde de insulinespiegels bij glucosebelasting met 66% (White 2023, PMID 37114757). Bij groeivertraagde foetussen verbeterde een behandeling van een week de groei niet (White 2025, PMID 39679943).</w:t>
      </w:r>
    </w:p>
    <w:p>
      <w:pPr>
        <w:numPr>
          <w:ilvl w:val="0"/>
          <w:numId w:val="1181"/>
        </w:numPr>
        <w:pStyle w:val="Compact"/>
      </w:pPr>
      <w:r>
        <w:rPr>
          <w:bCs/>
          <w:b/>
        </w:rPr>
        <w:t xml:space="preserve">Muizen:</w:t>
      </w:r>
      <w:r>
        <w:t xml:space="preserve"> </w:t>
      </w:r>
      <w:r>
        <w:t xml:space="preserve">In een alzheimermodel veranderde LR3 als neusspray de amyloïdafzettingen, maar voorkwam het geheugenverlies niet (Engel 2025, PMID 39610283).</w:t>
      </w:r>
    </w:p>
    <w:p>
      <w:pPr>
        <w:pStyle w:val="FirstParagraph"/>
      </w:pPr>
      <w:r>
        <w:t xml:space="preserve">De dierdata zijn tegenstrijdig: afhankelijk van de diersoort werkte LR3 groeibevorderend, werkingsloos of zelfs groeiremmend. Een vertaling naar de mens is niet mogelijk.</w:t>
      </w:r>
    </w:p>
    <w:bookmarkEnd w:id="574"/>
    <w:bookmarkStart w:id="575" w:name="risicos-en-bijwerkingen-32"/>
    <w:p>
      <w:pPr>
        <w:pStyle w:val="Heading3"/>
      </w:pPr>
      <w:r>
        <w:t xml:space="preserve">Risico’s en bijwerkingen</w:t>
      </w:r>
    </w:p>
    <w:p>
      <w:pPr>
        <w:pStyle w:val="FirstParagraph"/>
      </w:pPr>
      <w:r>
        <w:t xml:space="preserve">Omdat er geen studies bij mensen zijn, kunnen de risico’s alleen worden afgeleid uit de biologie en uit ervaringen met het natuurlijke IGF-1 (mecasermine). Deze afleidingen zijn</w:t>
      </w:r>
      <w:r>
        <w:t xml:space="preserve"> </w:t>
      </w:r>
      <w:r>
        <w:rPr>
          <w:bCs/>
          <w:b/>
        </w:rPr>
        <w:t xml:space="preserve">theoretisch</w:t>
      </w:r>
      <w:r>
        <w:t xml:space="preserve">, maar goed onderbouwd:</w:t>
      </w:r>
    </w:p>
    <w:p>
      <w:pPr>
        <w:numPr>
          <w:ilvl w:val="0"/>
          <w:numId w:val="1182"/>
        </w:numPr>
        <w:pStyle w:val="Compact"/>
      </w:pPr>
      <w:r>
        <w:rPr>
          <w:bCs/>
          <w:b/>
        </w:rPr>
        <w:t xml:space="preserve">Hypoglykemie (te lage bloedsuiker):</w:t>
      </w:r>
      <w:r>
        <w:t xml:space="preserve"> </w:t>
      </w:r>
      <w:r>
        <w:t xml:space="preserve">IGF-1 werkt in hogere dosis vergelijkbaar met insuline. Bij het toegelaten mecasermine is hypoglykemie de meest voorkomende bijwerking, hoewel daar de buffer van de bindingseiwitten grotendeels behouden blijft (Chernausek 2007, PMID 17192294). Een analoog dat gericht aan deze buffer ontsnapt, zou sterker en minder voorspelbaar kunnen werken. Bij mensen is dat niet gemeten. In de dierproeven daalden deels de insulinespiegels (Dunaiski 1997, PMID 9488001; White 2023, PMID 37114757), wat de regeling van de bloedsuiker bijkomend zou kunnen veranderen.</w:t>
      </w:r>
    </w:p>
    <w:p>
      <w:pPr>
        <w:numPr>
          <w:ilvl w:val="0"/>
          <w:numId w:val="1182"/>
        </w:numPr>
        <w:pStyle w:val="Compact"/>
      </w:pPr>
      <w:r>
        <w:rPr>
          <w:bCs/>
          <w:b/>
        </w:rPr>
        <w:t xml:space="preserve">Groei van organen en weefsel:</w:t>
      </w:r>
      <w:r>
        <w:t xml:space="preserve"> </w:t>
      </w:r>
      <w:r>
        <w:t xml:space="preserve">Bij cavia’s werden inwendige organen groter (Conlon 1995, PMID 7561636). Bij mensen is onduidelijk of iets vergelijkbaars gebeurt.</w:t>
      </w:r>
    </w:p>
    <w:p>
      <w:pPr>
        <w:numPr>
          <w:ilvl w:val="0"/>
          <w:numId w:val="1182"/>
        </w:numPr>
        <w:pStyle w:val="Compact"/>
      </w:pPr>
      <w:r>
        <w:rPr>
          <w:bCs/>
          <w:b/>
        </w:rPr>
        <w:t xml:space="preserve">Kankertheorie:</w:t>
      </w:r>
      <w:r>
        <w:t xml:space="preserve"> </w:t>
      </w:r>
      <w:r>
        <w:t xml:space="preserve">IGF-1 bevordert celdeling en celoverleving. Hogere IGF-1-spiegels gaan in grote observationele en genetische studies gepaard met een iets hoger risico op borst- en prostaatkanker (Renehan 2004, PMID 15110491; Murphy 2020, PMID 32169310; Watts 2023, PMID 35726641), en mensen met aangeboren IGF-1-tekort krijgen opvallend zelden kanker (Guevara-Aguirre 2011, PMID 21325617). Een analoog dat sterker en ongebufferd op de IGF-1-receptor werkt, versterkt precies deze signaalroute. Of dat bij mensen het kankerrisico meetbaar verhoogt, is niet onderzocht – en zal bij gebrek aan studies ook niet worden onderzocht. De zorg berust op plausibiliteit, niet op casusbeschrijvingen.</w:t>
      </w:r>
    </w:p>
    <w:p>
      <w:pPr>
        <w:numPr>
          <w:ilvl w:val="0"/>
          <w:numId w:val="1182"/>
        </w:numPr>
        <w:pStyle w:val="Compact"/>
      </w:pPr>
      <w:r>
        <w:rPr>
          <w:bCs/>
          <w:b/>
        </w:rPr>
        <w:t xml:space="preserve">Productkwaliteit:</w:t>
      </w:r>
      <w:r>
        <w:t xml:space="preserve"> </w:t>
      </w:r>
      <w:r>
        <w:t xml:space="preserve">De gevonden zwartemarktpreparaten bevatten laboratoriumvarianten met een zuiveringsaanhangsel en geoxideerde peptiden (Kohler 2010, PMID 20675162; Mongongu 2021, PMID 33587816). Daar komen de algemene risico’s van niet-steriele injecties bij. Reagentia voor celkweek vallen niet onder geneesmiddelencontrole.</w:t>
      </w:r>
    </w:p>
    <w:bookmarkEnd w:id="575"/>
    <w:bookmarkStart w:id="576" w:name="juridische-status-32"/>
    <w:p>
      <w:pPr>
        <w:pStyle w:val="Heading3"/>
      </w:pPr>
      <w:r>
        <w:t xml:space="preserve">Juridische status</w:t>
      </w:r>
    </w:p>
    <w:p>
      <w:pPr>
        <w:pStyle w:val="FirstParagraph"/>
      </w:pPr>
      <w:r>
        <w:rPr>
          <w:iCs/>
          <w:i/>
        </w:rPr>
        <w:t xml:space="preserve">Stand 2026, actuele situatie controleren.</w:t>
      </w:r>
    </w:p>
    <w:p>
      <w:pPr>
        <w:numPr>
          <w:ilvl w:val="0"/>
          <w:numId w:val="1183"/>
        </w:numPr>
        <w:pStyle w:val="Compact"/>
      </w:pPr>
      <w:r>
        <w:rPr>
          <w:bCs/>
          <w:b/>
        </w:rPr>
        <w:t xml:space="preserve">EU, Duitsland, Oostenrijk:</w:t>
      </w:r>
      <w:r>
        <w:t xml:space="preserve"> </w:t>
      </w:r>
      <w:r>
        <w:t xml:space="preserve">geen geneesmiddel, geen toelating, ook niet aangevraagd. Als laboratoriumreagens mag het voor onderzoek worden verkocht; verstrekking voor gebruik bij mensen is volgens de geneesmiddelenwetgeving niet toegestaan.</w:t>
      </w:r>
    </w:p>
    <w:p>
      <w:pPr>
        <w:numPr>
          <w:ilvl w:val="0"/>
          <w:numId w:val="1183"/>
        </w:numPr>
        <w:pStyle w:val="Compact"/>
      </w:pPr>
      <w:r>
        <w:rPr>
          <w:bCs/>
          <w:b/>
        </w:rPr>
        <w:t xml:space="preserve">VS:</w:t>
      </w:r>
      <w:r>
        <w:t xml:space="preserve"> </w:t>
      </w:r>
      <w:r>
        <w:t xml:space="preserve">geen toelating; verkoop alleen als onderzoekschemicalie.</w:t>
      </w:r>
    </w:p>
    <w:p>
      <w:pPr>
        <w:numPr>
          <w:ilvl w:val="0"/>
          <w:numId w:val="1183"/>
        </w:numPr>
        <w:pStyle w:val="Compact"/>
      </w:pPr>
      <w:r>
        <w:rPr>
          <w:bCs/>
          <w:b/>
        </w:rPr>
        <w:t xml:space="preserve">WADA:</w:t>
      </w:r>
      <w:r>
        <w:t xml:space="preserve"> </w:t>
      </w:r>
      <w:r>
        <w:t xml:space="preserve">verboden (S2). Er is een detectiemethode voor LR3 en verwante IGF-1-analogen in bloed ontwikkeld; bij ratten verdween onveranderd LR3 al na ongeveer 4 uur, afbraakproducten waren tot 16 uur aantoonbaar (Mongongu 2021, PMID 33587816).</w:t>
      </w:r>
    </w:p>
    <w:bookmarkEnd w:id="576"/>
    <w:bookmarkStart w:id="577" w:name="lopende-studies-en-vooruitzichten-32"/>
    <w:p>
      <w:pPr>
        <w:pStyle w:val="Heading3"/>
      </w:pPr>
      <w:r>
        <w:t xml:space="preserve">Lopende studies en vooruitzichten</w:t>
      </w:r>
    </w:p>
    <w:p>
      <w:pPr>
        <w:pStyle w:val="FirstParagraph"/>
      </w:pPr>
      <w:r>
        <w:t xml:space="preserve">Bij ClinicalTrials.gov staat in oktober 2026 geen studie met IGF-1 LR3 geregistreerd.</w:t>
      </w:r>
      <w:r>
        <w:t xml:space="preserve"> </w:t>
      </w:r>
      <w:r>
        <w:rPr>
          <w:iCs/>
          <w:i/>
        </w:rPr>
        <w:t xml:space="preserve">Inschatting van de auteur:</w:t>
      </w:r>
      <w:r>
        <w:t xml:space="preserve"> </w:t>
      </w:r>
      <w:r>
        <w:t xml:space="preserve">een ontwikkeling tot geneesmiddel is niet te verwachten. LR3 blijft een hulpmiddel voor celkweek en dieronderzoek.</w:t>
      </w:r>
    </w:p>
    <w:bookmarkEnd w:id="577"/>
    <w:bookmarkStart w:id="578" w:name="conclusie-32"/>
    <w:p>
      <w:pPr>
        <w:pStyle w:val="Heading3"/>
      </w:pPr>
      <w:r>
        <w:t xml:space="preserve">Conclusie</w:t>
      </w:r>
    </w:p>
    <w:p>
      <w:pPr>
        <w:pStyle w:val="FirstParagraph"/>
      </w:pPr>
      <w:r>
        <w:t xml:space="preserve">IGF-1 LR3 is een laboratoriumreagens dat nooit bij mensen is onderzocht. In dierproeven werkte het afhankelijk van de soort groeibevorderend, werkingsloos of zelfs groeiremmend. Zijn bijzondere eigenschap – de ontbrekende binding aan de bufferende bindingseiwitten – doet een hoger risico op hypoglykemie en een versterkte groeisignalering verwachten. Zwartemarktproducten bevatten aantoonbaar laboratoriumvarianten die nooit voor injectie bedoeld waren.</w:t>
      </w:r>
    </w:p>
    <w:bookmarkEnd w:id="578"/>
    <w:bookmarkEnd w:id="579"/>
    <w:bookmarkStart w:id="592" w:name="ibutamoren-mk-677"/>
    <w:p>
      <w:pPr>
        <w:pStyle w:val="Heading2"/>
      </w:pPr>
      <w:r>
        <w:t xml:space="preserve">Ibutamoren (MK-677)</w:t>
      </w:r>
    </w:p>
    <w:p>
      <w:pPr>
        <w:pStyle w:val="FirstParagraph"/>
      </w:pPr>
      <w:r>
        <w:rPr>
          <w:iCs/>
          <w:i/>
        </w:rPr>
        <w:t xml:space="preserve">Vergelijkingshoofdstuk:</w:t>
      </w:r>
      <w:r>
        <w:t xml:space="preserve"> </w:t>
      </w:r>
      <w:r>
        <w:t xml:space="preserve">ibutamoren is geen peptide. Het is een klein, synthetisch molecuul dat als tablet of vloeistof wordt ingeslikt – en juist daarom staat het in dit boek: ter vergelijking. Het werkt op dezelfde receptor als ipamoreline, GHRP-2 of hexareline, namelijk de ghrelinereceptor, en verhoogt groeihormoon en IGF-1 gedurende maanden. Ibutamoren werd in de jaren negentig en 2000 door het farmaceutische bedrijf Merck in meerdere grotere gerandomiseerde studies onderzocht. Deze studies laten vrij precies zien wat een langdurige stimulatie van de groeihormoon-as bij ouderen oplevert – en waar de risico’s liggen. Op de grijze markt wordt ibutamoren tegenwoordig meestal verkocht als „SARM-achtig supplement”.</w:t>
      </w:r>
    </w:p>
    <w:bookmarkStart w:id="580" w:name="profiel-33"/>
    <w:p>
      <w:pPr>
        <w:pStyle w:val="Heading3"/>
      </w:pPr>
      <w:r>
        <w:t xml:space="preserve">Profiel</w:t>
      </w:r>
    </w:p>
    <w:p>
      <w:pPr>
        <w:numPr>
          <w:ilvl w:val="0"/>
          <w:numId w:val="1184"/>
        </w:numPr>
        <w:pStyle w:val="Compact"/>
      </w:pPr>
      <w:r>
        <w:rPr>
          <w:bCs/>
          <w:b/>
        </w:rPr>
        <w:t xml:space="preserve">Soort en structuur:</w:t>
      </w:r>
      <w:r>
        <w:t xml:space="preserve"> </w:t>
      </w:r>
      <w:r>
        <w:t xml:space="preserve">klein synthetisch molecuul, geen peptide („non-peptide agonist”; Liu 2021, PMID 34737341); oraal werkzaam. Ontwikkelingsnamen MK-677 resp. MK-0677, tegenwoordig als LUM-201 in ontwikkeling (Bright 2022, PMID 35354138).</w:t>
      </w:r>
    </w:p>
    <w:p>
      <w:pPr>
        <w:numPr>
          <w:ilvl w:val="0"/>
          <w:numId w:val="1184"/>
        </w:numPr>
        <w:pStyle w:val="Compact"/>
      </w:pPr>
      <w:r>
        <w:rPr>
          <w:bCs/>
          <w:b/>
        </w:rPr>
        <w:t xml:space="preserve">Herkomst:</w:t>
      </w:r>
      <w:r>
        <w:t xml:space="preserve"> </w:t>
      </w:r>
      <w:r>
        <w:t xml:space="preserve">ontwikkeld door Merck (VS) in de jaren negentig als „peptidemimeticum” van de groeihormoonvrijmakende peptiden.</w:t>
      </w:r>
    </w:p>
    <w:p>
      <w:pPr>
        <w:numPr>
          <w:ilvl w:val="0"/>
          <w:numId w:val="1184"/>
        </w:numPr>
        <w:pStyle w:val="Compact"/>
      </w:pPr>
      <w:r>
        <w:rPr>
          <w:bCs/>
          <w:b/>
        </w:rPr>
        <w:t xml:space="preserve">Werkingsprincipe:</w:t>
      </w:r>
      <w:r>
        <w:t xml:space="preserve"> </w:t>
      </w:r>
      <w:r>
        <w:t xml:space="preserve">agonist op de ghrelinereceptor (GHS-R1a); versterkt de bestaande GH-pieken en verhoogt IGF-1 blijvend; verhoogt de eetlust.</w:t>
      </w:r>
    </w:p>
    <w:p>
      <w:pPr>
        <w:numPr>
          <w:ilvl w:val="0"/>
          <w:numId w:val="1184"/>
        </w:numPr>
        <w:pStyle w:val="Compact"/>
      </w:pPr>
      <w:r>
        <w:rPr>
          <w:bCs/>
          <w:b/>
        </w:rPr>
        <w:t xml:space="preserve">Registratie EU:</w:t>
      </w:r>
      <w:r>
        <w:t xml:space="preserve"> </w:t>
      </w:r>
      <w:r>
        <w:t xml:space="preserve">nee.</w:t>
      </w:r>
      <w:r>
        <w:t xml:space="preserve"> </w:t>
      </w:r>
      <w:r>
        <w:rPr>
          <w:bCs/>
          <w:b/>
        </w:rPr>
        <w:t xml:space="preserve">Registratie VS:</w:t>
      </w:r>
      <w:r>
        <w:t xml:space="preserve"> </w:t>
      </w:r>
      <w:r>
        <w:t xml:space="preserve">nee.</w:t>
      </w:r>
    </w:p>
    <w:p>
      <w:pPr>
        <w:numPr>
          <w:ilvl w:val="0"/>
          <w:numId w:val="1184"/>
        </w:numPr>
        <w:pStyle w:val="Compact"/>
      </w:pPr>
      <w:r>
        <w:rPr>
          <w:bCs/>
          <w:b/>
        </w:rPr>
        <w:t xml:space="preserve">WADA:</w:t>
      </w:r>
      <w:r>
        <w:t xml:space="preserve"> </w:t>
      </w:r>
      <w:r>
        <w:t xml:space="preserve">verboden, groep S2 (groeihormoonsecretagogen; ibutamoren wordt uitdrukkelijk genoemd).</w:t>
      </w:r>
    </w:p>
    <w:p>
      <w:pPr>
        <w:numPr>
          <w:ilvl w:val="0"/>
          <w:numId w:val="1184"/>
        </w:numPr>
        <w:pStyle w:val="Compact"/>
      </w:pPr>
      <w:r>
        <w:rPr>
          <w:bCs/>
          <w:b/>
        </w:rPr>
        <w:t xml:space="preserve">Bewijsniveau: B</w:t>
      </w:r>
      <w:r>
        <w:t xml:space="preserve"> </w:t>
      </w:r>
      <w:r>
        <w:t xml:space="preserve">– meerdere gerandomiseerde, placebogecontroleerde studies met maximaal 563 deelnemers, maar geen toelating en geen studie met een positief klinisch hoofdresultaat.</w:t>
      </w:r>
    </w:p>
    <w:bookmarkEnd w:id="580"/>
    <w:bookmarkStart w:id="581" w:name="hoe-het-zou-moeten-werken-33"/>
    <w:p>
      <w:pPr>
        <w:pStyle w:val="Heading3"/>
      </w:pPr>
      <w:r>
        <w:t xml:space="preserve">Hoe het zou moeten werken</w:t>
      </w:r>
    </w:p>
    <w:p>
      <w:pPr>
        <w:pStyle w:val="FirstParagraph"/>
      </w:pPr>
      <w:r>
        <w:t xml:space="preserve">Ibutamoren bootst ghreline na. Anders dan de peptiden uit de groep wordt het in de maag niet afgebroken en werkt het lang genoeg om met inname eenmaal per dag de afgifte van groeihormoon de klok rond te versterken. Bij gezonde ouderen verdubbelde het in een studie de gemiddelde 24-uursconcentratie van groeihormoon bij benadering; het aantal GH-pieken bleef gelijk, hun hoogte steeg. IGF-1 bereikte na vier weken waarden zoals bij jonge volwassenen (Chapman 1996, PMID 8954023).</w:t>
      </w:r>
    </w:p>
    <w:p>
      <w:pPr>
        <w:pStyle w:val="BodyText"/>
      </w:pPr>
      <w:r>
        <w:t xml:space="preserve">De hoop van Merck was daarmee de als „somatopauze” aangeduide afname van de groeihormoon-as op oudere leeftijd te compenseren: spierverlies (sarcopenie), kwetsbaarheid, botverlies en langzaam herstel na verwondingen.</w:t>
      </w:r>
    </w:p>
    <w:bookmarkEnd w:id="581"/>
    <w:bookmarkStart w:id="586" w:name="studies-bij-mensen-33"/>
    <w:p>
      <w:pPr>
        <w:pStyle w:val="Heading3"/>
      </w:pPr>
      <w:r>
        <w:t xml:space="preserve">Studies bij mensen</w:t>
      </w:r>
    </w:p>
    <w:p>
      <w:pPr>
        <w:pStyle w:val="FirstParagraph"/>
      </w:pPr>
      <w:r>
        <w:rPr>
          <w:bCs/>
          <w:b/>
        </w:rPr>
        <w:t xml:space="preserve">Omvang van het onderzoek (zoekopdracht oktober 2026):</w:t>
      </w:r>
      <w:r>
        <w:t xml:space="preserve"> </w:t>
      </w:r>
      <w:r>
        <w:t xml:space="preserve">De geautomatiseerde zoekopdracht van dit boek vond</w:t>
      </w:r>
      <w:r>
        <w:t xml:space="preserve"> </w:t>
      </w:r>
      <w:r>
        <w:rPr>
          <w:bCs/>
          <w:b/>
        </w:rPr>
        <w:t xml:space="preserve">19</w:t>
      </w:r>
      <w:r>
        <w:t xml:space="preserve"> </w:t>
      </w:r>
      <w:r>
        <w:t xml:space="preserve">studies bij mensen in PubMed (</w:t>
      </w:r>
      <w:r>
        <w:rPr>
          <w:rStyle w:val="VerbatimChar"/>
        </w:rPr>
        <w:t xml:space="preserve">humanstudien_alle</w:t>
      </w:r>
      <w:r>
        <w:t xml:space="preserve">) en</w:t>
      </w:r>
      <w:r>
        <w:t xml:space="preserve"> </w:t>
      </w:r>
      <w:r>
        <w:rPr>
          <w:bCs/>
          <w:b/>
        </w:rPr>
        <w:t xml:space="preserve">8</w:t>
      </w:r>
      <w:r>
        <w:t xml:space="preserve"> </w:t>
      </w:r>
      <w:r>
        <w:t xml:space="preserve">registraties bij ClinicalTrials.gov.</w:t>
      </w:r>
    </w:p>
    <w:bookmarkStart w:id="582" w:name="gezonde-oudere-volwassenen"/>
    <w:p>
      <w:pPr>
        <w:pStyle w:val="Heading4"/>
      </w:pPr>
      <w:r>
        <w:t xml:space="preserve">Gezonde oudere volwassenen</w:t>
      </w:r>
    </w:p>
    <w:p>
      <w:pPr>
        <w:pStyle w:val="FirstParagraph"/>
      </w:pPr>
      <w:r>
        <w:t xml:space="preserve">De belangrijkste studie liep twee jaar: 65 gezonde vrouwen en mannen tussen 60 en 81 jaar kregen dagelijks ibutamoren of placebo. Groeihormoon en IGF-1 stegen tot waarden van jonge volwassenen. De vetvrije massa nam onder ibutamoren met 1,1 kg toe, onder placebo met 0,5 kg af. Het buikvet veranderde niet, het lichaamsgewicht steeg met 2,7 kg (placebo: 0,8 kg), en het vet aan armen en benen nam sterker toe. De toename van de vetvrije massa leidde</w:t>
      </w:r>
      <w:r>
        <w:t xml:space="preserve"> </w:t>
      </w:r>
      <w:r>
        <w:rPr>
          <w:bCs/>
          <w:b/>
        </w:rPr>
        <w:t xml:space="preserve">niet</w:t>
      </w:r>
      <w:r>
        <w:t xml:space="preserve"> </w:t>
      </w:r>
      <w:r>
        <w:t xml:space="preserve">tot meer kracht of betere functie; de auteurs erkennen dat de studie daarvoor te klein was. De nuchtere glucose steeg gemiddeld met 0,3 mmol/l (5 mg/dl), de insulinegevoeligheid nam af. De meest voorkomende bijwerkingen waren een aanvankelijk toegenomen eetlust, lichte vochtophoping in de benen en spierpijn (Nass 2008, PMID 18981485).</w:t>
      </w:r>
    </w:p>
    <w:bookmarkEnd w:id="582"/>
    <w:bookmarkStart w:id="583" w:name="heupfractuur"/>
    <w:p>
      <w:pPr>
        <w:pStyle w:val="Heading4"/>
      </w:pPr>
      <w:r>
        <w:t xml:space="preserve">Heupfractuur</w:t>
      </w:r>
    </w:p>
    <w:p>
      <w:pPr>
        <w:pStyle w:val="FirstParagraph"/>
      </w:pPr>
      <w:r>
        <w:t xml:space="preserve">Twee studies onderzochten of ibutamoren ouderen na een heupfractuur helpt weer op de been te komen:</w:t>
      </w:r>
    </w:p>
    <w:p>
      <w:pPr>
        <w:numPr>
          <w:ilvl w:val="0"/>
          <w:numId w:val="1185"/>
        </w:numPr>
        <w:pStyle w:val="Compact"/>
      </w:pPr>
      <w:r>
        <w:t xml:space="preserve">In de eerste studie met 161 patiënten uit 13 centra steeg IGF-1 met 84% (placebo: 17%). Bij de functietests waren er deels gunstige tendensen, maar geen statistisch significante verschillen (Bach 2004, PMID 15066065).</w:t>
      </w:r>
    </w:p>
    <w:p>
      <w:pPr>
        <w:numPr>
          <w:ilvl w:val="0"/>
          <w:numId w:val="1185"/>
        </w:numPr>
        <w:pStyle w:val="Compact"/>
      </w:pPr>
      <w:r>
        <w:t xml:space="preserve">De tweede studie met 123 patiënten werd</w:t>
      </w:r>
      <w:r>
        <w:t xml:space="preserve"> </w:t>
      </w:r>
      <w:r>
        <w:rPr>
          <w:bCs/>
          <w:b/>
        </w:rPr>
        <w:t xml:space="preserve">voortijdig afgebroken, omdat bij een beperkt aantal behandelden hartfalen optrad</w:t>
      </w:r>
      <w:r>
        <w:t xml:space="preserve">. De loopsnelheid was licht verbeterd, de meeste andere functiematen niet; de auteurs beoordeelden het veiligheidsprofiel in deze patiëntengroep als ongunstig (Adunsky 2011, PMID 21067829).</w:t>
      </w:r>
    </w:p>
    <w:p>
      <w:pPr>
        <w:pStyle w:val="FirstParagraph"/>
      </w:pPr>
      <w:r>
        <w:t xml:space="preserve">Een andere Merck-registratie over sarcopenie na heupfractuur (NCT00128115, 83 personen) staat als afgebroken vermeld, zonder vermelding van redenen of resultaten.</w:t>
      </w:r>
    </w:p>
    <w:bookmarkEnd w:id="583"/>
    <w:bookmarkStart w:id="584" w:name="ziekte-van-alzheimer"/>
    <w:p>
      <w:pPr>
        <w:pStyle w:val="Heading4"/>
      </w:pPr>
      <w:r>
        <w:t xml:space="preserve">Ziekte van Alzheimer</w:t>
      </w:r>
    </w:p>
    <w:p>
      <w:pPr>
        <w:pStyle w:val="FirstParagraph"/>
      </w:pPr>
      <w:r>
        <w:t xml:space="preserve">In een grote studie kregen 563 mensen met lichte tot matige alzheimerdementie een jaar lang ibutamoren of placebo. IGF-1 steeg met 60,1% na zes weken en met 72,9% na twaalf maanden. Op geen van de vier schalen voor denkvermogen, dagelijks functioneren en totaalindruk verschilde het verloop van placebo (Sevigny 2008, PMID 19015485).</w:t>
      </w:r>
    </w:p>
    <w:bookmarkEnd w:id="584"/>
    <w:bookmarkStart w:id="585" w:name="andere-studies"/>
    <w:p>
      <w:pPr>
        <w:pStyle w:val="Heading4"/>
      </w:pPr>
      <w:r>
        <w:t xml:space="preserve">Andere studies</w:t>
      </w:r>
    </w:p>
    <w:p>
      <w:pPr>
        <w:numPr>
          <w:ilvl w:val="0"/>
          <w:numId w:val="1186"/>
        </w:numPr>
        <w:pStyle w:val="Compact"/>
      </w:pPr>
      <w:r>
        <w:rPr>
          <w:bCs/>
          <w:b/>
        </w:rPr>
        <w:t xml:space="preserve">Mannen met overgewicht:</w:t>
      </w:r>
      <w:r>
        <w:t xml:space="preserve"> </w:t>
      </w:r>
      <w:r>
        <w:t xml:space="preserve">Bij 24 mannen steeg gedurende acht weken de vetvrije massa, totaal vet en buikvet veranderden niet; in de glucosetolerantietest verslechterde de bloedsuikerregeling (Svensson 1998, PMID 9467542).</w:t>
      </w:r>
    </w:p>
    <w:p>
      <w:pPr>
        <w:numPr>
          <w:ilvl w:val="0"/>
          <w:numId w:val="1186"/>
        </w:numPr>
        <w:pStyle w:val="Compact"/>
      </w:pPr>
      <w:r>
        <w:rPr>
          <w:bCs/>
          <w:b/>
        </w:rPr>
        <w:t xml:space="preserve">Osteoporose:</w:t>
      </w:r>
      <w:r>
        <w:t xml:space="preserve"> </w:t>
      </w:r>
      <w:r>
        <w:t xml:space="preserve">Bij 292 vrouwen na de menopauze verhoogde ibutamoren samen met het botmiddel alendroninezuur de botdichtheid alleen aan de dijbeenhals sterker dan alendroninezuur alleen, niet aan de wervelkolom of de heup als geheel (Murphy 2001, PMID 11238495).</w:t>
      </w:r>
    </w:p>
    <w:p>
      <w:pPr>
        <w:numPr>
          <w:ilvl w:val="0"/>
          <w:numId w:val="1186"/>
        </w:numPr>
        <w:pStyle w:val="Compact"/>
      </w:pPr>
      <w:r>
        <w:rPr>
          <w:bCs/>
          <w:b/>
        </w:rPr>
        <w:t xml:space="preserve">Slaap:</w:t>
      </w:r>
      <w:r>
        <w:t xml:space="preserve"> </w:t>
      </w:r>
      <w:r>
        <w:t xml:space="preserve">In kleine studies met acht jonge en zes oudere personen werden de diepe slaap resp. de REM-slaap langer (Copinschi 1997, PMID 9349662).</w:t>
      </w:r>
    </w:p>
    <w:p>
      <w:pPr>
        <w:numPr>
          <w:ilvl w:val="0"/>
          <w:numId w:val="1186"/>
        </w:numPr>
        <w:pStyle w:val="Compact"/>
      </w:pPr>
      <w:r>
        <w:rPr>
          <w:bCs/>
          <w:b/>
        </w:rPr>
        <w:t xml:space="preserve">Dialyse:</w:t>
      </w:r>
      <w:r>
        <w:t xml:space="preserve"> </w:t>
      </w:r>
      <w:r>
        <w:t xml:space="preserve">Bij 22 dialysepatiënten steeg IGF-1 ten opzichte van placebo 65% sterker, zonder ernstige bijwerkingen (Campbell 2018, PMID 28340044).</w:t>
      </w:r>
    </w:p>
    <w:p>
      <w:pPr>
        <w:numPr>
          <w:ilvl w:val="0"/>
          <w:numId w:val="1186"/>
        </w:numPr>
        <w:pStyle w:val="Compact"/>
      </w:pPr>
      <w:r>
        <w:rPr>
          <w:bCs/>
          <w:b/>
        </w:rPr>
        <w:t xml:space="preserve">Kinderen met groeihormoontekort:</w:t>
      </w:r>
      <w:r>
        <w:t xml:space="preserve"> </w:t>
      </w:r>
      <w:r>
        <w:t xml:space="preserve">Al in 2001 verhoogde ibutamoren bij 18 kinderen groeihormoon en IGF-1 (Codner 2001, PMID 11452249). Onder de naam LUM-201 veroorzaakte het in een studie met 68 kinderen hogere GH-responsen dan de gangbare stimulatietests (Bright 2022, PMID 35354138).</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Deelnemers en opzet</w:t>
            </w:r>
          </w:p>
        </w:tc>
        <w:tc>
          <w:tcPr/>
          <w:p>
            <w:pPr>
              <w:pStyle w:val="Compact"/>
              <w:jc w:val="left"/>
            </w:pPr>
            <w:r>
              <w:t xml:space="preserve">Duur</w:t>
            </w:r>
          </w:p>
        </w:tc>
        <w:tc>
          <w:tcPr/>
          <w:p>
            <w:pPr>
              <w:pStyle w:val="Compact"/>
              <w:jc w:val="left"/>
            </w:pPr>
            <w:r>
              <w:t xml:space="preserve">Resultaat</w:t>
            </w:r>
          </w:p>
        </w:tc>
      </w:tr>
      <w:tr>
        <w:tc>
          <w:tcPr/>
          <w:p>
            <w:pPr>
              <w:pStyle w:val="Compact"/>
              <w:jc w:val="left"/>
            </w:pPr>
            <w:r>
              <w:t xml:space="preserve">Gezonde ouderen (Nass 2008), PMID 18981485</w:t>
            </w:r>
          </w:p>
        </w:tc>
        <w:tc>
          <w:tcPr/>
          <w:p>
            <w:pPr>
              <w:pStyle w:val="Compact"/>
              <w:jc w:val="left"/>
            </w:pPr>
            <w:r>
              <w:t xml:space="preserve">65 personen 60–81 jaar, RCT tegen placebo</w:t>
            </w:r>
          </w:p>
        </w:tc>
        <w:tc>
          <w:tcPr/>
          <w:p>
            <w:pPr>
              <w:pStyle w:val="Compact"/>
              <w:jc w:val="left"/>
            </w:pPr>
            <w:r>
              <w:t xml:space="preserve">2 jaar</w:t>
            </w:r>
          </w:p>
        </w:tc>
        <w:tc>
          <w:tcPr/>
          <w:p>
            <w:pPr>
              <w:pStyle w:val="Compact"/>
              <w:jc w:val="left"/>
            </w:pPr>
            <w:r>
              <w:t xml:space="preserve">vetvrije massa +1,1 vs. −0,5 kg; kracht en functie onveranderd; nuchtere glucose ↑</w:t>
            </w:r>
          </w:p>
        </w:tc>
      </w:tr>
      <w:tr>
        <w:tc>
          <w:tcPr/>
          <w:p>
            <w:pPr>
              <w:pStyle w:val="Compact"/>
              <w:jc w:val="left"/>
            </w:pPr>
            <w:r>
              <w:t xml:space="preserve">Heupfractuur 1 (Bach 2004), PMID 15066065</w:t>
            </w:r>
          </w:p>
        </w:tc>
        <w:tc>
          <w:tcPr/>
          <w:p>
            <w:pPr>
              <w:pStyle w:val="Compact"/>
              <w:jc w:val="left"/>
            </w:pPr>
            <w:r>
              <w:t xml:space="preserve">161 ouderen na heupfractuur, RCT</w:t>
            </w:r>
          </w:p>
        </w:tc>
        <w:tc>
          <w:tcPr/>
          <w:p>
            <w:pPr>
              <w:pStyle w:val="Compact"/>
              <w:jc w:val="left"/>
            </w:pPr>
            <w:r>
              <w:t xml:space="preserve">6 maanden</w:t>
            </w:r>
          </w:p>
        </w:tc>
        <w:tc>
          <w:tcPr/>
          <w:p>
            <w:pPr>
              <w:pStyle w:val="Compact"/>
              <w:jc w:val="left"/>
            </w:pPr>
            <w:r>
              <w:t xml:space="preserve">IGF-1 +84%; functie niet significant beter</w:t>
            </w:r>
          </w:p>
        </w:tc>
      </w:tr>
      <w:tr>
        <w:tc>
          <w:tcPr/>
          <w:p>
            <w:pPr>
              <w:pStyle w:val="Compact"/>
              <w:jc w:val="left"/>
            </w:pPr>
            <w:r>
              <w:t xml:space="preserve">Heupfractuur 2 (Adunsky 2011), PMID 21067829</w:t>
            </w:r>
          </w:p>
        </w:tc>
        <w:tc>
          <w:tcPr/>
          <w:p>
            <w:pPr>
              <w:pStyle w:val="Compact"/>
              <w:jc w:val="left"/>
            </w:pPr>
            <w:r>
              <w:t xml:space="preserve">123 ouderen na heupfractuur, RCT</w:t>
            </w:r>
          </w:p>
        </w:tc>
        <w:tc>
          <w:tcPr/>
          <w:p>
            <w:pPr>
              <w:pStyle w:val="Compact"/>
              <w:jc w:val="left"/>
            </w:pPr>
            <w:r>
              <w:t xml:space="preserve">gepland 24 weken</w:t>
            </w:r>
          </w:p>
        </w:tc>
        <w:tc>
          <w:tcPr/>
          <w:p>
            <w:pPr>
              <w:pStyle w:val="Compact"/>
              <w:jc w:val="left"/>
            </w:pPr>
            <w:r>
              <w:t xml:space="preserve">afgebroken wegens signaal van hartfalen</w:t>
            </w:r>
          </w:p>
        </w:tc>
      </w:tr>
      <w:tr>
        <w:tc>
          <w:tcPr/>
          <w:p>
            <w:pPr>
              <w:pStyle w:val="Compact"/>
              <w:jc w:val="left"/>
            </w:pPr>
            <w:r>
              <w:t xml:space="preserve">Alzheimer (Sevigny 2008), PMID 19015485</w:t>
            </w:r>
          </w:p>
        </w:tc>
        <w:tc>
          <w:tcPr/>
          <w:p>
            <w:pPr>
              <w:pStyle w:val="Compact"/>
              <w:jc w:val="left"/>
            </w:pPr>
            <w:r>
              <w:t xml:space="preserve">563 personen met alzheimer, RCT</w:t>
            </w:r>
          </w:p>
        </w:tc>
        <w:tc>
          <w:tcPr/>
          <w:p>
            <w:pPr>
              <w:pStyle w:val="Compact"/>
              <w:jc w:val="left"/>
            </w:pPr>
            <w:r>
              <w:t xml:space="preserve">12 maanden</w:t>
            </w:r>
          </w:p>
        </w:tc>
        <w:tc>
          <w:tcPr/>
          <w:p>
            <w:pPr>
              <w:pStyle w:val="Compact"/>
              <w:jc w:val="left"/>
            </w:pPr>
            <w:r>
              <w:t xml:space="preserve">IGF-1 +72,9%; geen effect op ziekteverloop</w:t>
            </w:r>
          </w:p>
        </w:tc>
      </w:tr>
      <w:tr>
        <w:tc>
          <w:tcPr/>
          <w:p>
            <w:pPr>
              <w:pStyle w:val="Compact"/>
              <w:jc w:val="left"/>
            </w:pPr>
            <w:r>
              <w:t xml:space="preserve">Osteoporose (Murphy 2001), PMID 11238495</w:t>
            </w:r>
          </w:p>
        </w:tc>
        <w:tc>
          <w:tcPr/>
          <w:p>
            <w:pPr>
              <w:pStyle w:val="Compact"/>
              <w:jc w:val="left"/>
            </w:pPr>
            <w:r>
              <w:t xml:space="preserve">292 vrouwen, RCT met alendroninezuur</w:t>
            </w:r>
          </w:p>
        </w:tc>
        <w:tc>
          <w:tcPr/>
          <w:p>
            <w:pPr>
              <w:pStyle w:val="Compact"/>
              <w:jc w:val="left"/>
            </w:pPr>
            <w:r>
              <w:t xml:space="preserve">12–18 maanden</w:t>
            </w:r>
          </w:p>
        </w:tc>
        <w:tc>
          <w:tcPr/>
          <w:p>
            <w:pPr>
              <w:pStyle w:val="Compact"/>
              <w:jc w:val="left"/>
            </w:pPr>
            <w:r>
              <w:t xml:space="preserve">alleen botdichtheid dijbeenhals iets hoger</w:t>
            </w:r>
          </w:p>
        </w:tc>
      </w:tr>
    </w:tbl>
    <w:bookmarkEnd w:id="585"/>
    <w:bookmarkEnd w:id="586"/>
    <w:bookmarkStart w:id="587" w:name="dier--en-laboratoriumstudies-33"/>
    <w:p>
      <w:pPr>
        <w:pStyle w:val="Heading3"/>
      </w:pPr>
      <w:r>
        <w:t xml:space="preserve">Dier- en laboratoriumstudies</w:t>
      </w:r>
    </w:p>
    <w:p>
      <w:pPr>
        <w:pStyle w:val="FirstParagraph"/>
      </w:pPr>
      <w:r>
        <w:t xml:space="preserve">Bij muizen met een alzheimermodel verminderde ibutamoren amyloïdafzettingen en het verlies van zenuwcellen in de hersenen (Jeong 2018, PMID 29912176) – een bevinding die zich in de grote alzheimerstudie bij mensen niet vertaalde in een klinisch nut. De structuur van de ghrelinereceptor met gebonden ibutamoren werd in 2021 opgehelderd (Liu 2021, PMID 34737341).</w:t>
      </w:r>
    </w:p>
    <w:bookmarkEnd w:id="587"/>
    <w:bookmarkStart w:id="588" w:name="risicos-en-bijwerkingen-33"/>
    <w:p>
      <w:pPr>
        <w:pStyle w:val="Heading3"/>
      </w:pPr>
      <w:r>
        <w:t xml:space="preserve">Risico’s en bijwerkingen</w:t>
      </w:r>
    </w:p>
    <w:p>
      <w:pPr>
        <w:pStyle w:val="FirstParagraph"/>
      </w:pPr>
      <w:r>
        <w:rPr>
          <w:bCs/>
          <w:b/>
        </w:rPr>
        <w:t xml:space="preserve">Aangetoond in gerandomiseerde studies:</w:t>
      </w:r>
    </w:p>
    <w:p>
      <w:pPr>
        <w:numPr>
          <w:ilvl w:val="0"/>
          <w:numId w:val="1187"/>
        </w:numPr>
        <w:pStyle w:val="Compact"/>
      </w:pPr>
      <w:r>
        <w:rPr>
          <w:bCs/>
          <w:b/>
        </w:rPr>
        <w:t xml:space="preserve">Signaal van hartfalen:</w:t>
      </w:r>
      <w:r>
        <w:t xml:space="preserve"> </w:t>
      </w:r>
      <w:r>
        <w:t xml:space="preserve">afbraak van een studie bij ouderen na een heupfractuur wegens gevallen van hartfalen (Adunsky 2011, PMID 21067829). Hoeveel gevallen het waren, vermeldt de samenvatting niet. Vochtophoping hoort bij de bekende effecten van verhoogde groeihormoonspiegels en belast een al beschadigd hart.</w:t>
      </w:r>
    </w:p>
    <w:p>
      <w:pPr>
        <w:numPr>
          <w:ilvl w:val="0"/>
          <w:numId w:val="1187"/>
        </w:numPr>
        <w:pStyle w:val="Compact"/>
      </w:pPr>
      <w:r>
        <w:rPr>
          <w:bCs/>
          <w:b/>
        </w:rPr>
        <w:t xml:space="preserve">Bloedsuiker:</w:t>
      </w:r>
      <w:r>
        <w:t xml:space="preserve"> </w:t>
      </w:r>
      <w:r>
        <w:t xml:space="preserve">stijging van de nuchtere glucose en verminderde insulinegevoeligheid (Nass 2008, PMID 18981485; Chapman 1996, PMID 8954023); verslechterde glucosetolerantie bij mannen met overgewicht (Svensson 1998, PMID 9467542).</w:t>
      </w:r>
    </w:p>
    <w:p>
      <w:pPr>
        <w:numPr>
          <w:ilvl w:val="0"/>
          <w:numId w:val="1187"/>
        </w:numPr>
        <w:pStyle w:val="Compact"/>
      </w:pPr>
      <w:r>
        <w:rPr>
          <w:bCs/>
          <w:b/>
        </w:rPr>
        <w:t xml:space="preserve">Gewichtstoename en eetlust:</w:t>
      </w:r>
      <w:r>
        <w:t xml:space="preserve"> </w:t>
      </w:r>
      <w:r>
        <w:t xml:space="preserve">meer lichaamsgewicht, meer vet aan armen en benen, toegenomen honger (Nass 2008, PMID 18981485).</w:t>
      </w:r>
    </w:p>
    <w:p>
      <w:pPr>
        <w:numPr>
          <w:ilvl w:val="0"/>
          <w:numId w:val="1187"/>
        </w:numPr>
        <w:pStyle w:val="Compact"/>
      </w:pPr>
      <w:r>
        <w:rPr>
          <w:bCs/>
          <w:b/>
        </w:rPr>
        <w:t xml:space="preserve">Vochtophoping en spierpijn</w:t>
      </w:r>
      <w:r>
        <w:t xml:space="preserve"> </w:t>
      </w:r>
      <w:r>
        <w:t xml:space="preserve">(Nass 2008, PMID 18981485).</w:t>
      </w:r>
    </w:p>
    <w:p>
      <w:pPr>
        <w:pStyle w:val="FirstParagraph"/>
      </w:pPr>
      <w:r>
        <w:rPr>
          <w:bCs/>
          <w:b/>
        </w:rPr>
        <w:t xml:space="preserve">Casusbeschrijvingen uit gebruik van grijze-marktproducten:</w:t>
      </w:r>
      <w:r>
        <w:t xml:space="preserve"> </w:t>
      </w:r>
      <w:r>
        <w:t xml:space="preserve">Een man van begin dertig ontwikkelde na twee maanden inname van MK-677 verhoogde leverwaarden, die na het stoppen normaliseerden (Cobani 2025, PMID 40675653). Een 40-jarige ontwikkelde borstgroei en een testosterontekort; zijn fitnesssupplementen bevatten naast MK-677 ook een SARM, cardarine en niet vermelde hormonen (Chong 2024, PMID 39145153).</w:t>
      </w:r>
    </w:p>
    <w:p>
      <w:pPr>
        <w:pStyle w:val="BodyText"/>
      </w:pPr>
      <w:r>
        <w:rPr>
          <w:bCs/>
          <w:b/>
        </w:rPr>
        <w:t xml:space="preserve">Kanker:</w:t>
      </w:r>
      <w:r>
        <w:t xml:space="preserve"> </w:t>
      </w:r>
      <w:r>
        <w:t xml:space="preserve">ibutamoren verhoogt IGF-1 gedurende maanden tot jaren tot het niveau van jonge volwassenen. In de studies werd geen kankersignaal gemeld, maar daarvoor waren ze noch groot noch lang genoeg. Een overzicht van GH-vrijmakers vraagt uitdrukkelijk om langetermijngegevens over kanker en sterfte (Sigalos 2018, PMID 28400207). Voor de algemene stand van de gegevens zie de inleiding tot deze groep en Deel IV.</w:t>
      </w:r>
    </w:p>
    <w:p>
      <w:pPr>
        <w:pStyle w:val="BodyText"/>
      </w:pPr>
      <w:r>
        <w:rPr>
          <w:bCs/>
          <w:b/>
        </w:rPr>
        <w:t xml:space="preserve">Kwaliteit op de grijze markt:</w:t>
      </w:r>
      <w:r>
        <w:t xml:space="preserve"> </w:t>
      </w:r>
      <w:r>
        <w:t xml:space="preserve">In een Amerikaanse analyse van 44 producten die op internet als SARM’s werden verkocht, bevatte 39% in plaats daarvan of daarnaast andere niet-toegelaten stoffen, waaronder ibutamoren; slechts 41% bevatte de aangegeven hoeveelheid van de werkzame stof (Van Wagoner 2017, PMID 29183075). Een Europese markttoezichtsstudie met 324 monsters uit 13 landen vond ibutamoren als meest voorkomende werkzame stof onder de onderzochte spieropbouwpreparaten; 24% van de producten werd gepresenteerd als voedingssupplement (Barrios 2025, PMID 40551438).</w:t>
      </w:r>
    </w:p>
    <w:bookmarkEnd w:id="588"/>
    <w:bookmarkStart w:id="589" w:name="juridische-status-33"/>
    <w:p>
      <w:pPr>
        <w:pStyle w:val="Heading3"/>
      </w:pPr>
      <w:r>
        <w:t xml:space="preserve">Juridische status</w:t>
      </w:r>
    </w:p>
    <w:p>
      <w:pPr>
        <w:pStyle w:val="FirstParagraph"/>
      </w:pPr>
      <w:r>
        <w:rPr>
          <w:iCs/>
          <w:i/>
        </w:rPr>
        <w:t xml:space="preserve">Stand 2026, actuele situatie controleren.</w:t>
      </w:r>
    </w:p>
    <w:p>
      <w:pPr>
        <w:numPr>
          <w:ilvl w:val="0"/>
          <w:numId w:val="1188"/>
        </w:numPr>
        <w:pStyle w:val="Compact"/>
      </w:pPr>
      <w:r>
        <w:rPr>
          <w:bCs/>
          <w:b/>
        </w:rPr>
        <w:t xml:space="preserve">EU, Duitsland, Oostenrijk:</w:t>
      </w:r>
      <w:r>
        <w:t xml:space="preserve"> </w:t>
      </w:r>
      <w:r>
        <w:t xml:space="preserve">geen toelating. Ibutamoren is een niet-toegelaten geneesmiddel; als voedingssupplement mag het niet in de handel worden gebracht. Wie het aanbiedt voor gebruik bij mensen, overtreedt de geneesmiddelenwetgeving.</w:t>
      </w:r>
    </w:p>
    <w:p>
      <w:pPr>
        <w:numPr>
          <w:ilvl w:val="0"/>
          <w:numId w:val="1188"/>
        </w:numPr>
        <w:pStyle w:val="Compact"/>
      </w:pPr>
      <w:r>
        <w:rPr>
          <w:bCs/>
          <w:b/>
        </w:rPr>
        <w:t xml:space="preserve">VS:</w:t>
      </w:r>
      <w:r>
        <w:t xml:space="preserve"> </w:t>
      </w:r>
      <w:r>
        <w:t xml:space="preserve">geen toelating; wordt desondanks verkocht als „research chemical” of in supplementen.</w:t>
      </w:r>
    </w:p>
    <w:p>
      <w:pPr>
        <w:numPr>
          <w:ilvl w:val="0"/>
          <w:numId w:val="1188"/>
        </w:numPr>
        <w:pStyle w:val="Compact"/>
      </w:pPr>
      <w:r>
        <w:rPr>
          <w:bCs/>
          <w:b/>
        </w:rPr>
        <w:t xml:space="preserve">WADA:</w:t>
      </w:r>
      <w:r>
        <w:t xml:space="preserve"> </w:t>
      </w:r>
      <w:r>
        <w:t xml:space="preserve">verboden (S2). Ook in de paardensport wordt het gecontroleerd, bijvoorbeeld via haaranalyses (Viljanto 2023, PMID 36354265).</w:t>
      </w:r>
    </w:p>
    <w:bookmarkEnd w:id="589"/>
    <w:bookmarkStart w:id="590" w:name="lopende-studies-en-vooruitzichten-33"/>
    <w:p>
      <w:pPr>
        <w:pStyle w:val="Heading3"/>
      </w:pPr>
      <w:r>
        <w:t xml:space="preserve">Lopende studies en vooruitzichten</w:t>
      </w:r>
    </w:p>
    <w:p>
      <w:pPr>
        <w:pStyle w:val="FirstParagraph"/>
      </w:pPr>
      <w:r>
        <w:rPr>
          <w:iCs/>
          <w:i/>
        </w:rPr>
        <w:t xml:space="preserve">Vast staat:</w:t>
      </w:r>
      <w:r>
        <w:t xml:space="preserve"> </w:t>
      </w:r>
      <w:r>
        <w:t xml:space="preserve">onder de naam LUM-201 wordt ibutamoren als tablet ontwikkeld voor kinderen met groeihormoontekort. Een fase 2-studie met 104 kinderen (NCT04614337) is afgerond; een fase 3-studie met gepland 150 kinderen werft sinds 2026 (NCT06948214), een langetermijnveiligheidsstudie is gepland (NCT07129759). Een andere fase 2-studie moet vanaf 2027 LUM-201 naast semaglutide onderzoeken bij ouderen met obesitas, om spierverlies tijdens het afvallen te beperken (NCT07754045).</w:t>
      </w:r>
    </w:p>
    <w:p>
      <w:pPr>
        <w:pStyle w:val="BodyText"/>
      </w:pPr>
      <w:r>
        <w:rPr>
          <w:iCs/>
          <w:i/>
        </w:rPr>
        <w:t xml:space="preserve">Inschatting van de auteur:</w:t>
      </w:r>
      <w:r>
        <w:t xml:space="preserve"> </w:t>
      </w:r>
      <w:r>
        <w:t xml:space="preserve">een toelating voor kinderen is op zijn vroegst denkbaar na afronding van de fase 3-studie, dus niet vóór het eind van de jaren 2020. Een toelating voor oudere volwassenen is na het signaal van hartfalen en het uitblijven van functieverbeteringen niet in zicht.</w:t>
      </w:r>
    </w:p>
    <w:bookmarkEnd w:id="590"/>
    <w:bookmarkStart w:id="591" w:name="conclusie-33"/>
    <w:p>
      <w:pPr>
        <w:pStyle w:val="Heading3"/>
      </w:pPr>
      <w:r>
        <w:t xml:space="preserve">Conclusie</w:t>
      </w:r>
    </w:p>
    <w:p>
      <w:pPr>
        <w:pStyle w:val="FirstParagraph"/>
      </w:pPr>
      <w:r>
        <w:t xml:space="preserve">Ibutamoren is het grondigst onderzochte oraal werkzame middel dat de groeihormoon-as langdurig stimuleert. De studies tonen het basispatroon van de hele groep: IGF-1 en vetvrije massa stijgen, maar kracht, functie en ziekteverloop – bij veroudering, heupfractuur en alzheimer – verbeterden niet. Wel stegen bloedsuiker en gewicht, en een studie bij ouderen werd wegens hartfalen afgebroken. Grijze-marktproducten met „MK-677” zijn vaak verkeerd gedeclareerd.</w:t>
      </w:r>
    </w:p>
    <w:bookmarkEnd w:id="591"/>
    <w:bookmarkEnd w:id="592"/>
    <w:bookmarkEnd w:id="593"/>
    <w:bookmarkStart w:id="738" w:name="deel-ii-d-hersenen-slaap-en-levensduur"/>
    <w:p>
      <w:pPr>
        <w:pStyle w:val="Heading1"/>
      </w:pPr>
      <w:r>
        <w:t xml:space="preserve">Deel II · D – Hersenen, slaap en levensduur</w:t>
      </w:r>
    </w:p>
    <w:p>
      <w:pPr>
        <w:pStyle w:val="FirstParagraph"/>
      </w:pPr>
      <w:r>
        <w:t xml:space="preserve">Nauwelijks een groep peptiden wordt op internet zo veelbelovend aangeprezen als deze: middelen voor meer concentratie en geheugen („nootropica”), voor diepere slaap, voor langere telomeren en „jongere mitochondriën”. Wat de twaalf werkzame stoffen in dit deel gemeen hebben, is dat ze zich richten op de hersenen, de celveroudering of de energiestofwisseling – en dat de kloof tussen belofte en bewijs hier bijzonder groot is.</w:t>
      </w:r>
    </w:p>
    <w:bookmarkStart w:id="594" w:name="wat-deze-peptiden-verbindt"/>
    <w:p>
      <w:pPr>
        <w:pStyle w:val="Heading3"/>
      </w:pPr>
      <w:r>
        <w:t xml:space="preserve">Wat deze peptiden verbindt</w:t>
      </w:r>
    </w:p>
    <w:p>
      <w:pPr>
        <w:pStyle w:val="FirstParagraph"/>
      </w:pPr>
      <w:r>
        <w:t xml:space="preserve">De groep laat zich grofweg in drie families indelen:</w:t>
      </w:r>
    </w:p>
    <w:p>
      <w:pPr>
        <w:numPr>
          <w:ilvl w:val="0"/>
          <w:numId w:val="1189"/>
        </w:numPr>
        <w:pStyle w:val="Compact"/>
      </w:pPr>
      <w:r>
        <w:rPr>
          <w:bCs/>
          <w:b/>
        </w:rPr>
        <w:t xml:space="preserve">Russische neuropeptiden en „bioregulatoren”:</w:t>
      </w:r>
      <w:r>
        <w:t xml:space="preserve"> </w:t>
      </w:r>
      <w:r>
        <w:t xml:space="preserve">Semax, Selank, DSIP, epitalon en pinealon komen uit het Sovjet- en Russische onderzoek. Cerebrolysin, een peptidemengsel uit varkenshersenen, komt uit Oostenrijk, maar wordt vooral in Oost-Europa en Azië gebruikt.</w:t>
      </w:r>
    </w:p>
    <w:p>
      <w:pPr>
        <w:numPr>
          <w:ilvl w:val="0"/>
          <w:numId w:val="1189"/>
        </w:numPr>
        <w:pStyle w:val="Compact"/>
      </w:pPr>
      <w:r>
        <w:rPr>
          <w:bCs/>
          <w:b/>
        </w:rPr>
        <w:t xml:space="preserve">Mitochondriale peptiden:</w:t>
      </w:r>
      <w:r>
        <w:t xml:space="preserve"> </w:t>
      </w:r>
      <w:r>
        <w:t xml:space="preserve">MOTS-c en humanine zijn lichaamseigen signaalstoffen die in het erfelijk materiaal van de mitochondriën zijn gecodeerd. SS-31 (elamipretide) is een kunstmatig peptide dat gericht aan het mitochondriënmembraan bindt.</w:t>
      </w:r>
    </w:p>
    <w:p>
      <w:pPr>
        <w:numPr>
          <w:ilvl w:val="0"/>
          <w:numId w:val="1189"/>
        </w:numPr>
        <w:pStyle w:val="Compact"/>
      </w:pPr>
      <w:r>
        <w:rPr>
          <w:bCs/>
          <w:b/>
        </w:rPr>
        <w:t xml:space="preserve">Experimentele „anti-aging”-moleculen:</w:t>
      </w:r>
      <w:r>
        <w:t xml:space="preserve"> </w:t>
      </w:r>
      <w:r>
        <w:t xml:space="preserve">Dihexa (een afgeleide van angiotensine IV) en FOXO4-DRI (een senolyticum dat verouderde cellen zou opruimen) zijn nooit bij mensen onderzocht. Glutathion ten slotte is een lichaamseigen tripeptide dat als voedingssupplement en infuus wordt verkocht.</w:t>
      </w:r>
    </w:p>
    <w:bookmarkEnd w:id="594"/>
    <w:bookmarkStart w:id="595" w:name="de-nootropica--en-longevityscene"/>
    <w:p>
      <w:pPr>
        <w:pStyle w:val="Heading3"/>
      </w:pPr>
      <w:r>
        <w:t xml:space="preserve">De nootropica- en longevityscene</w:t>
      </w:r>
    </w:p>
    <w:p>
      <w:pPr>
        <w:pStyle w:val="FirstParagraph"/>
      </w:pPr>
      <w:r>
        <w:t xml:space="preserve">Wie op internet naar deze stoffen zoekt, belandt al snel op fora, bij influencers en in „longevityklinieken”. Typerend zijn drie denkfouten die u in de volgende hoofdstukken steeds weer zult tegenkomen:</w:t>
      </w:r>
    </w:p>
    <w:p>
      <w:pPr>
        <w:numPr>
          <w:ilvl w:val="0"/>
          <w:numId w:val="1190"/>
        </w:numPr>
        <w:pStyle w:val="Compact"/>
      </w:pPr>
      <w:r>
        <w:rPr>
          <w:bCs/>
          <w:b/>
        </w:rPr>
        <w:t xml:space="preserve">Van dier naar mens:</w:t>
      </w:r>
      <w:r>
        <w:t xml:space="preserve"> </w:t>
      </w:r>
      <w:r>
        <w:t xml:space="preserve">Dat een peptide bij muizen het geheugen of de levensduur verbetert, zegt weinig over de vraag of het bij mensen werkt. In het onderzoek naar beroerte en alzheimer zijn honderden bij dieren succesvolle werkzame stoffen bij mensen mislukt.</w:t>
      </w:r>
    </w:p>
    <w:p>
      <w:pPr>
        <w:numPr>
          <w:ilvl w:val="0"/>
          <w:numId w:val="1190"/>
        </w:numPr>
        <w:pStyle w:val="Compact"/>
      </w:pPr>
      <w:r>
        <w:rPr>
          <w:bCs/>
          <w:b/>
        </w:rPr>
        <w:t xml:space="preserve">Van spiegel naar spuit:</w:t>
      </w:r>
      <w:r>
        <w:t xml:space="preserve"> </w:t>
      </w:r>
      <w:r>
        <w:t xml:space="preserve">Dat mensen met lage MOTS-c- of humaninespiegels vaker ziek zijn, bewijst niet dat toediening gezond maakt.</w:t>
      </w:r>
    </w:p>
    <w:p>
      <w:pPr>
        <w:numPr>
          <w:ilvl w:val="0"/>
          <w:numId w:val="1190"/>
        </w:numPr>
        <w:pStyle w:val="Compact"/>
      </w:pPr>
      <w:r>
        <w:rPr>
          <w:bCs/>
          <w:b/>
        </w:rPr>
        <w:t xml:space="preserve">Van mechanisme naar nut:</w:t>
      </w:r>
      <w:r>
        <w:t xml:space="preserve"> </w:t>
      </w:r>
      <w:r>
        <w:t xml:space="preserve">Een sluitend mechanisme – „beschermt de mitochondriën”, „verlengt telomeren” – is geen werkzaamheid. SS-31 is daarvan het beste voorbeeld: het werd in meerdere grote studies onderzocht en haalde bij hartinfarct, hartfalen en mitochondriale myopathie de primaire doelen niet.</w:t>
      </w:r>
    </w:p>
    <w:p>
      <w:pPr>
        <w:pStyle w:val="FirstParagraph"/>
      </w:pPr>
      <w:r>
        <w:t xml:space="preserve">Daarbij komt dat bijna al deze stoffen op de grijze markt als „research peptides” worden verkocht – zonder kwaliteitscontrole (zie Deel I en Deel IV).</w:t>
      </w:r>
    </w:p>
    <w:bookmarkEnd w:id="595"/>
    <w:bookmarkStart w:id="596" w:name="Xf55a8f5e27a82243beba41a29841039e04720f5"/>
    <w:p>
      <w:pPr>
        <w:pStyle w:val="Heading3"/>
      </w:pPr>
      <w:r>
        <w:t xml:space="preserve">Russisch peptideonderzoek en de publicaties daarover</w:t>
      </w:r>
    </w:p>
    <w:p>
      <w:pPr>
        <w:pStyle w:val="FirstParagraph"/>
      </w:pPr>
      <w:r>
        <w:t xml:space="preserve">Een groot deel van de literatuur over Semax, Selank, DSIP, epitalon en pinealon komt van een paar instituten in Moskou en Sint-Petersburg. Dat is geen reden om het onderzoek zonder meer af te wijzen – maar wel een reden voor voorzichtigheid:</w:t>
      </w:r>
    </w:p>
    <w:p>
      <w:pPr>
        <w:numPr>
          <w:ilvl w:val="0"/>
          <w:numId w:val="1191"/>
        </w:numPr>
        <w:pStyle w:val="Compact"/>
      </w:pPr>
      <w:r>
        <w:rPr>
          <w:bCs/>
          <w:b/>
        </w:rPr>
        <w:t xml:space="preserve">Toelating zonder internationale normen:</w:t>
      </w:r>
      <w:r>
        <w:t xml:space="preserve"> </w:t>
      </w:r>
      <w:r>
        <w:t xml:space="preserve">Sommige peptiden zijn in Rusland als geneesmiddel geregistreerd zonder dat grote, geblindeerde, vooraf geregistreerde studies zijn gepubliceerd zoals de EU of de VS die eisen.</w:t>
      </w:r>
    </w:p>
    <w:p>
      <w:pPr>
        <w:numPr>
          <w:ilvl w:val="0"/>
          <w:numId w:val="1191"/>
        </w:numPr>
        <w:pStyle w:val="Compact"/>
      </w:pPr>
      <w:r>
        <w:rPr>
          <w:bCs/>
          <w:b/>
        </w:rPr>
        <w:t xml:space="preserve">Kleine, ongecontroleerde studies:</w:t>
      </w:r>
      <w:r>
        <w:t xml:space="preserve"> </w:t>
      </w:r>
      <w:r>
        <w:t xml:space="preserve">Veel klinische publicaties hebben geen placebogroep, geen gerandomiseerde toewijzing of noemen in de samenvatting geen getallen.</w:t>
      </w:r>
    </w:p>
    <w:p>
      <w:pPr>
        <w:numPr>
          <w:ilvl w:val="0"/>
          <w:numId w:val="1191"/>
        </w:numPr>
        <w:pStyle w:val="Compact"/>
      </w:pPr>
      <w:r>
        <w:rPr>
          <w:bCs/>
          <w:b/>
        </w:rPr>
        <w:t xml:space="preserve">Taal en toegang:</w:t>
      </w:r>
      <w:r>
        <w:t xml:space="preserve"> </w:t>
      </w:r>
      <w:r>
        <w:t xml:space="preserve">Veel publicaties verschijnen alleen in het Russisch, vaak in tijdschriften waarin de auteursgroepen zelf veel publiceren.</w:t>
      </w:r>
    </w:p>
    <w:p>
      <w:pPr>
        <w:numPr>
          <w:ilvl w:val="0"/>
          <w:numId w:val="1191"/>
        </w:numPr>
        <w:pStyle w:val="Compact"/>
      </w:pPr>
      <w:r>
        <w:rPr>
          <w:bCs/>
          <w:b/>
        </w:rPr>
        <w:t xml:space="preserve">Ontbrekende herhaling:</w:t>
      </w:r>
      <w:r>
        <w:t xml:space="preserve"> </w:t>
      </w:r>
      <w:r>
        <w:t xml:space="preserve">Onafhankelijke groepen buiten Rusland hebben de resultaten zelden gecontroleerd – en als ze dat deden, dan vaak met ontnuchterend resultaat, zoals bij DSIP.</w:t>
      </w:r>
    </w:p>
    <w:p>
      <w:pPr>
        <w:numPr>
          <w:ilvl w:val="0"/>
          <w:numId w:val="1191"/>
        </w:numPr>
        <w:pStyle w:val="Compact"/>
      </w:pPr>
      <w:r>
        <w:rPr>
          <w:bCs/>
          <w:b/>
        </w:rPr>
        <w:t xml:space="preserve">Geen registraties:</w:t>
      </w:r>
      <w:r>
        <w:t xml:space="preserve"> </w:t>
      </w:r>
      <w:r>
        <w:t xml:space="preserve">Voor Semax, Selank, DSIP en pinealon is op ClinicalTrials.gov niet één studie te vinden.</w:t>
      </w:r>
    </w:p>
    <w:bookmarkEnd w:id="596"/>
    <w:bookmarkStart w:id="597" w:name="overzicht-2"/>
    <w:p>
      <w:pPr>
        <w:pStyle w:val="Heading3"/>
      </w:pPr>
      <w:r>
        <w:t xml:space="preserve">Overzicht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Peptide</w:t>
            </w:r>
          </w:p>
        </w:tc>
        <w:tc>
          <w:tcPr/>
          <w:p>
            <w:pPr>
              <w:pStyle w:val="Compact"/>
              <w:jc w:val="left"/>
            </w:pPr>
            <w:r>
              <w:t xml:space="preserve">Bewijs</w:t>
            </w:r>
          </w:p>
        </w:tc>
        <w:tc>
          <w:tcPr/>
          <w:p>
            <w:pPr>
              <w:pStyle w:val="Compact"/>
              <w:jc w:val="left"/>
            </w:pPr>
            <w:r>
              <w:t xml:space="preserve">Toelating</w:t>
            </w:r>
          </w:p>
        </w:tc>
        <w:tc>
          <w:tcPr/>
          <w:p>
            <w:pPr>
              <w:pStyle w:val="Compact"/>
              <w:jc w:val="left"/>
            </w:pPr>
            <w:r>
              <w:t xml:space="preserve">Kort</w:t>
            </w:r>
          </w:p>
        </w:tc>
      </w:tr>
      <w:tr>
        <w:tc>
          <w:tcPr/>
          <w:p>
            <w:pPr>
              <w:pStyle w:val="Compact"/>
              <w:jc w:val="left"/>
            </w:pPr>
            <w:r>
              <w:t xml:space="preserve">Semax</w:t>
            </w:r>
          </w:p>
        </w:tc>
        <w:tc>
          <w:tcPr/>
          <w:p>
            <w:pPr>
              <w:pStyle w:val="Compact"/>
              <w:jc w:val="left"/>
            </w:pPr>
            <w:r>
              <w:t xml:space="preserve">C</w:t>
            </w:r>
          </w:p>
        </w:tc>
        <w:tc>
          <w:tcPr/>
          <w:p>
            <w:pPr>
              <w:pStyle w:val="Compact"/>
              <w:jc w:val="left"/>
            </w:pPr>
            <w:r>
              <w:t xml:space="preserve">alleen Rusland</w:t>
            </w:r>
          </w:p>
        </w:tc>
        <w:tc>
          <w:tcPr/>
          <w:p>
            <w:pPr>
              <w:pStyle w:val="Compact"/>
              <w:jc w:val="left"/>
            </w:pPr>
            <w:r>
              <w:t xml:space="preserve">ACTH-fragment; kleine beroertestudies</w:t>
            </w:r>
          </w:p>
        </w:tc>
      </w:tr>
      <w:tr>
        <w:tc>
          <w:tcPr/>
          <w:p>
            <w:pPr>
              <w:pStyle w:val="Compact"/>
              <w:jc w:val="left"/>
            </w:pPr>
            <w:r>
              <w:t xml:space="preserve">Selank</w:t>
            </w:r>
          </w:p>
        </w:tc>
        <w:tc>
          <w:tcPr/>
          <w:p>
            <w:pPr>
              <w:pStyle w:val="Compact"/>
              <w:jc w:val="left"/>
            </w:pPr>
            <w:r>
              <w:t xml:space="preserve">C</w:t>
            </w:r>
          </w:p>
        </w:tc>
        <w:tc>
          <w:tcPr/>
          <w:p>
            <w:pPr>
              <w:pStyle w:val="Compact"/>
              <w:jc w:val="left"/>
            </w:pPr>
            <w:r>
              <w:t xml:space="preserve">alleen Rusland</w:t>
            </w:r>
          </w:p>
        </w:tc>
        <w:tc>
          <w:tcPr/>
          <w:p>
            <w:pPr>
              <w:pStyle w:val="Compact"/>
              <w:jc w:val="left"/>
            </w:pPr>
            <w:r>
              <w:t xml:space="preserve">angstremmer; geen placebostudies</w:t>
            </w:r>
          </w:p>
        </w:tc>
      </w:tr>
      <w:tr>
        <w:tc>
          <w:tcPr/>
          <w:p>
            <w:pPr>
              <w:pStyle w:val="Compact"/>
              <w:jc w:val="left"/>
            </w:pPr>
            <w:r>
              <w:t xml:space="preserve">Cerebrolysin</w:t>
            </w:r>
          </w:p>
        </w:tc>
        <w:tc>
          <w:tcPr/>
          <w:p>
            <w:pPr>
              <w:pStyle w:val="Compact"/>
              <w:jc w:val="left"/>
            </w:pPr>
            <w:r>
              <w:t xml:space="preserve">B</w:t>
            </w:r>
          </w:p>
        </w:tc>
        <w:tc>
          <w:tcPr/>
          <w:p>
            <w:pPr>
              <w:pStyle w:val="Compact"/>
              <w:jc w:val="left"/>
            </w:pPr>
            <w:r>
              <w:t xml:space="preserve">nationaal, o.a. Oostenrijk</w:t>
            </w:r>
          </w:p>
        </w:tc>
        <w:tc>
          <w:tcPr/>
          <w:p>
            <w:pPr>
              <w:pStyle w:val="Compact"/>
              <w:jc w:val="left"/>
            </w:pPr>
            <w:r>
              <w:t xml:space="preserve">veel RCT’s, Cochrane terughoudend</w:t>
            </w:r>
          </w:p>
        </w:tc>
      </w:tr>
      <w:tr>
        <w:tc>
          <w:tcPr/>
          <w:p>
            <w:pPr>
              <w:pStyle w:val="Compact"/>
              <w:jc w:val="left"/>
            </w:pPr>
            <w:r>
              <w:t xml:space="preserve">Dihexa</w:t>
            </w:r>
          </w:p>
        </w:tc>
        <w:tc>
          <w:tcPr/>
          <w:p>
            <w:pPr>
              <w:pStyle w:val="Compact"/>
              <w:jc w:val="left"/>
            </w:pPr>
            <w:r>
              <w:t xml:space="preserve">D</w:t>
            </w:r>
          </w:p>
        </w:tc>
        <w:tc>
          <w:tcPr/>
          <w:p>
            <w:pPr>
              <w:pStyle w:val="Compact"/>
              <w:jc w:val="left"/>
            </w:pPr>
            <w:r>
              <w:t xml:space="preserve">nee</w:t>
            </w:r>
          </w:p>
        </w:tc>
        <w:tc>
          <w:tcPr/>
          <w:p>
            <w:pPr>
              <w:pStyle w:val="Compact"/>
              <w:jc w:val="left"/>
            </w:pPr>
            <w:r>
              <w:t xml:space="preserve">alleen dierdata; kankervraag open</w:t>
            </w:r>
          </w:p>
        </w:tc>
      </w:tr>
      <w:tr>
        <w:tc>
          <w:tcPr/>
          <w:p>
            <w:pPr>
              <w:pStyle w:val="Compact"/>
              <w:jc w:val="left"/>
            </w:pPr>
            <w:r>
              <w:t xml:space="preserve">DSIP</w:t>
            </w:r>
          </w:p>
        </w:tc>
        <w:tc>
          <w:tcPr/>
          <w:p>
            <w:pPr>
              <w:pStyle w:val="Compact"/>
              <w:jc w:val="left"/>
            </w:pPr>
            <w:r>
              <w:t xml:space="preserve">C</w:t>
            </w:r>
          </w:p>
        </w:tc>
        <w:tc>
          <w:tcPr/>
          <w:p>
            <w:pPr>
              <w:pStyle w:val="Compact"/>
              <w:jc w:val="left"/>
            </w:pPr>
            <w:r>
              <w:t xml:space="preserve">nee</w:t>
            </w:r>
          </w:p>
        </w:tc>
        <w:tc>
          <w:tcPr/>
          <w:p>
            <w:pPr>
              <w:pStyle w:val="Compact"/>
              <w:jc w:val="left"/>
            </w:pPr>
            <w:r>
              <w:t xml:space="preserve">„slaappeptide” zonder bevestigd nut</w:t>
            </w:r>
          </w:p>
        </w:tc>
      </w:tr>
      <w:tr>
        <w:tc>
          <w:tcPr/>
          <w:p>
            <w:pPr>
              <w:pStyle w:val="Compact"/>
              <w:jc w:val="left"/>
            </w:pPr>
            <w:r>
              <w:t xml:space="preserve">Epitalon</w:t>
            </w:r>
          </w:p>
        </w:tc>
        <w:tc>
          <w:tcPr/>
          <w:p>
            <w:pPr>
              <w:pStyle w:val="Compact"/>
              <w:jc w:val="left"/>
            </w:pPr>
            <w:r>
              <w:t xml:space="preserve">C</w:t>
            </w:r>
          </w:p>
        </w:tc>
        <w:tc>
          <w:tcPr/>
          <w:p>
            <w:pPr>
              <w:pStyle w:val="Compact"/>
              <w:jc w:val="left"/>
            </w:pPr>
            <w:r>
              <w:t xml:space="preserve">nee</w:t>
            </w:r>
          </w:p>
        </w:tc>
        <w:tc>
          <w:tcPr/>
          <w:p>
            <w:pPr>
              <w:pStyle w:val="Compact"/>
              <w:jc w:val="left"/>
            </w:pPr>
            <w:r>
              <w:t xml:space="preserve">telomeerbelofte alleen in het lab</w:t>
            </w:r>
          </w:p>
        </w:tc>
      </w:tr>
      <w:tr>
        <w:tc>
          <w:tcPr/>
          <w:p>
            <w:pPr>
              <w:pStyle w:val="Compact"/>
              <w:jc w:val="left"/>
            </w:pPr>
            <w:r>
              <w:t xml:space="preserve">Pinealon</w:t>
            </w:r>
          </w:p>
        </w:tc>
        <w:tc>
          <w:tcPr/>
          <w:p>
            <w:pPr>
              <w:pStyle w:val="Compact"/>
              <w:jc w:val="left"/>
            </w:pPr>
            <w:r>
              <w:t xml:space="preserve">C</w:t>
            </w:r>
          </w:p>
        </w:tc>
        <w:tc>
          <w:tcPr/>
          <w:p>
            <w:pPr>
              <w:pStyle w:val="Compact"/>
              <w:jc w:val="left"/>
            </w:pPr>
            <w:r>
              <w:t xml:space="preserve">nee</w:t>
            </w:r>
          </w:p>
        </w:tc>
        <w:tc>
          <w:tcPr/>
          <w:p>
            <w:pPr>
              <w:pStyle w:val="Compact"/>
              <w:jc w:val="left"/>
            </w:pPr>
            <w:r>
              <w:t xml:space="preserve">kleine Russische observaties</w:t>
            </w:r>
          </w:p>
        </w:tc>
      </w:tr>
      <w:tr>
        <w:tc>
          <w:tcPr/>
          <w:p>
            <w:pPr>
              <w:pStyle w:val="Compact"/>
              <w:jc w:val="left"/>
            </w:pPr>
            <w:r>
              <w:t xml:space="preserve">MOTS-c</w:t>
            </w:r>
          </w:p>
        </w:tc>
        <w:tc>
          <w:tcPr/>
          <w:p>
            <w:pPr>
              <w:pStyle w:val="Compact"/>
              <w:jc w:val="left"/>
            </w:pPr>
            <w:r>
              <w:t xml:space="preserve">D</w:t>
            </w:r>
          </w:p>
        </w:tc>
        <w:tc>
          <w:tcPr/>
          <w:p>
            <w:pPr>
              <w:pStyle w:val="Compact"/>
              <w:jc w:val="left"/>
            </w:pPr>
            <w:r>
              <w:t xml:space="preserve">nee</w:t>
            </w:r>
          </w:p>
        </w:tc>
        <w:tc>
          <w:tcPr/>
          <w:p>
            <w:pPr>
              <w:pStyle w:val="Compact"/>
              <w:jc w:val="left"/>
            </w:pPr>
            <w:r>
              <w:t xml:space="preserve">muizen ja, mensen alleen spiegels</w:t>
            </w:r>
          </w:p>
        </w:tc>
      </w:tr>
      <w:tr>
        <w:tc>
          <w:tcPr/>
          <w:p>
            <w:pPr>
              <w:pStyle w:val="Compact"/>
              <w:jc w:val="left"/>
            </w:pPr>
            <w:r>
              <w:t xml:space="preserve">Humanine</w:t>
            </w:r>
          </w:p>
        </w:tc>
        <w:tc>
          <w:tcPr/>
          <w:p>
            <w:pPr>
              <w:pStyle w:val="Compact"/>
              <w:jc w:val="left"/>
            </w:pPr>
            <w:r>
              <w:t xml:space="preserve">D</w:t>
            </w:r>
          </w:p>
        </w:tc>
        <w:tc>
          <w:tcPr/>
          <w:p>
            <w:pPr>
              <w:pStyle w:val="Compact"/>
              <w:jc w:val="left"/>
            </w:pPr>
            <w:r>
              <w:t xml:space="preserve">nee</w:t>
            </w:r>
          </w:p>
        </w:tc>
        <w:tc>
          <w:tcPr/>
          <w:p>
            <w:pPr>
              <w:pStyle w:val="Compact"/>
              <w:jc w:val="left"/>
            </w:pPr>
            <w:r>
              <w:t xml:space="preserve">biomarker; bij dieren tumorbevorderend</w:t>
            </w:r>
          </w:p>
        </w:tc>
      </w:tr>
      <w:tr>
        <w:tc>
          <w:tcPr/>
          <w:p>
            <w:pPr>
              <w:pStyle w:val="Compact"/>
              <w:jc w:val="left"/>
            </w:pPr>
            <w:r>
              <w:t xml:space="preserve">SS-31 (elamipretide)</w:t>
            </w:r>
          </w:p>
        </w:tc>
        <w:tc>
          <w:tcPr/>
          <w:p>
            <w:pPr>
              <w:pStyle w:val="Compact"/>
              <w:jc w:val="left"/>
            </w:pPr>
            <w:r>
              <w:t xml:space="preserve">B</w:t>
            </w:r>
          </w:p>
        </w:tc>
        <w:tc>
          <w:tcPr/>
          <w:p>
            <w:pPr>
              <w:pStyle w:val="Compact"/>
              <w:jc w:val="left"/>
            </w:pPr>
            <w:r>
              <w:t xml:space="preserve">VS (syndroom van Barth)</w:t>
            </w:r>
          </w:p>
        </w:tc>
        <w:tc>
          <w:tcPr/>
          <w:p>
            <w:pPr>
              <w:pStyle w:val="Compact"/>
              <w:jc w:val="left"/>
            </w:pPr>
            <w:r>
              <w:t xml:space="preserve">grote studies meestal negatief</w:t>
            </w:r>
          </w:p>
        </w:tc>
      </w:tr>
      <w:tr>
        <w:tc>
          <w:tcPr/>
          <w:p>
            <w:pPr>
              <w:pStyle w:val="Compact"/>
              <w:jc w:val="left"/>
            </w:pPr>
            <w:r>
              <w:t xml:space="preserve">FOXO4-DRI</w:t>
            </w:r>
          </w:p>
        </w:tc>
        <w:tc>
          <w:tcPr/>
          <w:p>
            <w:pPr>
              <w:pStyle w:val="Compact"/>
              <w:jc w:val="left"/>
            </w:pPr>
            <w:r>
              <w:t xml:space="preserve">D</w:t>
            </w:r>
          </w:p>
        </w:tc>
        <w:tc>
          <w:tcPr/>
          <w:p>
            <w:pPr>
              <w:pStyle w:val="Compact"/>
              <w:jc w:val="left"/>
            </w:pPr>
            <w:r>
              <w:t xml:space="preserve">nee</w:t>
            </w:r>
          </w:p>
        </w:tc>
        <w:tc>
          <w:tcPr/>
          <w:p>
            <w:pPr>
              <w:pStyle w:val="Compact"/>
              <w:jc w:val="left"/>
            </w:pPr>
            <w:r>
              <w:t xml:space="preserve">senolyticum, alleen dierdata</w:t>
            </w:r>
          </w:p>
        </w:tc>
      </w:tr>
      <w:tr>
        <w:tc>
          <w:tcPr/>
          <w:p>
            <w:pPr>
              <w:pStyle w:val="Compact"/>
              <w:jc w:val="left"/>
            </w:pPr>
            <w:r>
              <w:t xml:space="preserve">Glutathion</w:t>
            </w:r>
          </w:p>
        </w:tc>
        <w:tc>
          <w:tcPr/>
          <w:p>
            <w:pPr>
              <w:pStyle w:val="Compact"/>
              <w:jc w:val="left"/>
            </w:pPr>
            <w:r>
              <w:t xml:space="preserve">B</w:t>
            </w:r>
          </w:p>
        </w:tc>
        <w:tc>
          <w:tcPr/>
          <w:p>
            <w:pPr>
              <w:pStyle w:val="Compact"/>
              <w:jc w:val="left"/>
            </w:pPr>
            <w:r>
              <w:t xml:space="preserve">voedingssupplement</w:t>
            </w:r>
          </w:p>
        </w:tc>
        <w:tc>
          <w:tcPr/>
          <w:p>
            <w:pPr>
              <w:pStyle w:val="Compact"/>
              <w:jc w:val="left"/>
            </w:pPr>
            <w:r>
              <w:t xml:space="preserve">infusen voor huidbleking riskant</w:t>
            </w:r>
          </w:p>
        </w:tc>
      </w:tr>
    </w:tbl>
    <w:bookmarkEnd w:id="597"/>
    <w:bookmarkStart w:id="598" w:name="leeswijzer-3"/>
    <w:p>
      <w:pPr>
        <w:pStyle w:val="Heading3"/>
      </w:pPr>
      <w:r>
        <w:t xml:space="preserve">Leeswijzer</w:t>
      </w:r>
    </w:p>
    <w:p>
      <w:pPr>
        <w:pStyle w:val="FirstParagraph"/>
      </w:pPr>
      <w:r>
        <w:t xml:space="preserve">De hoofdstukken volgen de uniforme opbouw van dit boek. Let in elk hoofdstuk vooral op de paragraaf „Studies bij mensen” en daarin op de omvang van het onderzoek: bij negen van de twaalf peptiden is er ofwel geen studie waarin mensen de werkzame stof kregen, ofwel alleen zeer kleine, methodologisch zwakke onderzoeken. De juridische status en de FDA-status zijn in 2026 meermaals veranderd; de gegevens geven de stand van oktober 2026 weer en moeten actueel worden gecontroleerd.</w:t>
      </w:r>
    </w:p>
    <w:bookmarkEnd w:id="598"/>
    <w:bookmarkStart w:id="610" w:name="semax"/>
    <w:p>
      <w:pPr>
        <w:pStyle w:val="Heading2"/>
      </w:pPr>
      <w:r>
        <w:t xml:space="preserve">Semax</w:t>
      </w:r>
    </w:p>
    <w:bookmarkStart w:id="599" w:name="profiel-34"/>
    <w:p>
      <w:pPr>
        <w:pStyle w:val="Heading3"/>
      </w:pPr>
      <w:r>
        <w:t xml:space="preserve">Profiel</w:t>
      </w:r>
    </w:p>
    <w:p>
      <w:pPr>
        <w:numPr>
          <w:ilvl w:val="0"/>
          <w:numId w:val="1192"/>
        </w:numPr>
        <w:pStyle w:val="Compact"/>
      </w:pPr>
      <w:r>
        <w:rPr>
          <w:bCs/>
          <w:b/>
        </w:rPr>
        <w:t xml:space="preserve">Soort en structuur:</w:t>
      </w:r>
      <w:r>
        <w:t xml:space="preserve"> </w:t>
      </w:r>
      <w:r>
        <w:t xml:space="preserve">synthetisch heptapeptide (zeven aminozuren: Met-Glu-His-Phe-Pro-Gly-Pro). De eerste vier bouwstenen komen overeen met een fragment van het stresshormoon ACTH (adrenocorticotroop hormoon, gedeelte 4–7); daaraan is het tripeptide Pro-Gly-Pro gekoppeld, dat de afbraak moet vertragen.</w:t>
      </w:r>
    </w:p>
    <w:p>
      <w:pPr>
        <w:numPr>
          <w:ilvl w:val="0"/>
          <w:numId w:val="1192"/>
        </w:numPr>
        <w:pStyle w:val="Compact"/>
      </w:pPr>
      <w:r>
        <w:rPr>
          <w:bCs/>
          <w:b/>
        </w:rPr>
        <w:t xml:space="preserve">Herkomst:</w:t>
      </w:r>
      <w:r>
        <w:t xml:space="preserve"> </w:t>
      </w:r>
      <w:r>
        <w:t xml:space="preserve">ontwikkeld vanaf de jaren tachtig aan het Instituut voor Moleculaire Genetica van de Russische Academie van Wetenschappen in Moskou.</w:t>
      </w:r>
    </w:p>
    <w:p>
      <w:pPr>
        <w:numPr>
          <w:ilvl w:val="0"/>
          <w:numId w:val="1192"/>
        </w:numPr>
        <w:pStyle w:val="Compact"/>
      </w:pPr>
      <w:r>
        <w:rPr>
          <w:bCs/>
          <w:b/>
        </w:rPr>
        <w:t xml:space="preserve">Werkingsprincipe:</w:t>
      </w:r>
      <w:r>
        <w:t xml:space="preserve"> </w:t>
      </w:r>
      <w:r>
        <w:t xml:space="preserve">zou de aanmaak van zenuwgroeifactoren (vooral BDNF) stimuleren en zenuwcellen bij zuurstoftekort beschermen; anders dan ACTH zet het de bijnier niet aan tot afgifte van cortisol. Het wordt toegediend als neusdruppels.</w:t>
      </w:r>
    </w:p>
    <w:p>
      <w:pPr>
        <w:numPr>
          <w:ilvl w:val="0"/>
          <w:numId w:val="1192"/>
        </w:numPr>
        <w:pStyle w:val="Compact"/>
      </w:pPr>
      <w:r>
        <w:rPr>
          <w:bCs/>
          <w:b/>
        </w:rPr>
        <w:t xml:space="preserve">Registratie EU:</w:t>
      </w:r>
      <w:r>
        <w:t xml:space="preserve"> </w:t>
      </w:r>
      <w:r>
        <w:t xml:space="preserve">nee.</w:t>
      </w:r>
    </w:p>
    <w:p>
      <w:pPr>
        <w:numPr>
          <w:ilvl w:val="0"/>
          <w:numId w:val="1192"/>
        </w:numPr>
        <w:pStyle w:val="Compact"/>
      </w:pPr>
      <w:r>
        <w:rPr>
          <w:bCs/>
          <w:b/>
        </w:rPr>
        <w:t xml:space="preserve">Registratie VS:</w:t>
      </w:r>
      <w:r>
        <w:t xml:space="preserve"> </w:t>
      </w:r>
      <w:r>
        <w:t xml:space="preserve">nee. Semax stond vanaf 2023 op de FDA-lijst van stoffen met mogelijke veiligheidsrisico’s voor apotheekbereidingen („categorie 2”), werd in april 2026 daarvan geschrapt en in juli 2026 door het adviescomité PCAC nipt aanbevolen voor opname in de lijst van toegestane grondstoffen voor bereidingen. Een toelating als geneesmiddel is dat niet.</w:t>
      </w:r>
    </w:p>
    <w:p>
      <w:pPr>
        <w:numPr>
          <w:ilvl w:val="0"/>
          <w:numId w:val="1192"/>
        </w:numPr>
        <w:pStyle w:val="Compact"/>
      </w:pPr>
      <w:r>
        <w:rPr>
          <w:bCs/>
          <w:b/>
        </w:rPr>
        <w:t xml:space="preserve">Rusland en enkele buurlanden:</w:t>
      </w:r>
      <w:r>
        <w:t xml:space="preserve"> </w:t>
      </w:r>
      <w:r>
        <w:t xml:space="preserve">als geneesmiddel geregistreerd (neusdruppels; 0,1%-oplossing als nootropicum, 1%-oplossing voor beroerte).</w:t>
      </w:r>
    </w:p>
    <w:p>
      <w:pPr>
        <w:numPr>
          <w:ilvl w:val="0"/>
          <w:numId w:val="1192"/>
        </w:numPr>
        <w:pStyle w:val="Compact"/>
      </w:pPr>
      <w:r>
        <w:rPr>
          <w:bCs/>
          <w:b/>
        </w:rPr>
        <w:t xml:space="preserve">WADA:</w:t>
      </w:r>
      <w:r>
        <w:t xml:space="preserve"> </w:t>
      </w:r>
      <w:r>
        <w:t xml:space="preserve">niet bij naam vermeld. Omdat Semax in Rusland is toegelaten, valt het niet eenduidig onder de verzamelcategorie S0 voor niet-toegelaten stoffen (stand 2026, actuele situatie controleren).</w:t>
      </w:r>
    </w:p>
    <w:p>
      <w:pPr>
        <w:numPr>
          <w:ilvl w:val="0"/>
          <w:numId w:val="1192"/>
        </w:numPr>
        <w:pStyle w:val="Compact"/>
      </w:pPr>
      <w:r>
        <w:rPr>
          <w:bCs/>
          <w:b/>
        </w:rPr>
        <w:t xml:space="preserve">Bewijsniveau:</w:t>
      </w:r>
      <w:r>
        <w:t xml:space="preserve"> </w:t>
      </w:r>
      <w:r>
        <w:rPr>
          <w:bCs/>
          <w:b/>
        </w:rPr>
        <w:t xml:space="preserve">C</w:t>
      </w:r>
      <w:r>
        <w:t xml:space="preserve"> </w:t>
      </w:r>
      <w:r>
        <w:t xml:space="preserve">– enkele kleine, overwegend niet-gerandomiseerde studies uit Russische centra.</w:t>
      </w:r>
    </w:p>
    <w:bookmarkEnd w:id="599"/>
    <w:bookmarkStart w:id="600" w:name="hoe-het-zou-moeten-werken-34"/>
    <w:p>
      <w:pPr>
        <w:pStyle w:val="Heading3"/>
      </w:pPr>
      <w:r>
        <w:t xml:space="preserve">Hoe het zou moeten werken</w:t>
      </w:r>
    </w:p>
    <w:p>
      <w:pPr>
        <w:pStyle w:val="FirstParagraph"/>
      </w:pPr>
      <w:r>
        <w:t xml:space="preserve">ACTH is een hormoon van de hypofyse dat de bijnier aanzet tot de aanmaak van cortisol. Al in de jaren zeventig viel op dat korte fragmenten van dit hormoon – zonder het effect op de bijnier – bij dieren aandacht en leren beïnvloeden. Zulke fragmenten worden in het lichaam echter binnen enkele minuten afgebroken. De ontwikkelaars van Semax verlengden daarom het fragment ACTH(4–7) met de sequentie Pro-Gly-Pro, die stabieler is tegen eiwitsplitsende enzymen.</w:t>
      </w:r>
    </w:p>
    <w:p>
      <w:pPr>
        <w:pStyle w:val="BodyText"/>
      </w:pPr>
      <w:r>
        <w:t xml:space="preserve">Voor het werkingsmechanisme steunen de ontwikkelaars vooral op dierdata:</w:t>
      </w:r>
    </w:p>
    <w:p>
      <w:pPr>
        <w:numPr>
          <w:ilvl w:val="0"/>
          <w:numId w:val="1193"/>
        </w:numPr>
        <w:pStyle w:val="Compact"/>
      </w:pPr>
      <w:r>
        <w:rPr>
          <w:bCs/>
          <w:b/>
        </w:rPr>
        <w:t xml:space="preserve">Zenuwgroeifactoren:</w:t>
      </w:r>
      <w:r>
        <w:t xml:space="preserve"> </w:t>
      </w:r>
      <w:r>
        <w:t xml:space="preserve">Bij ratten werden specifieke bindingsplaatsen voor gelabeld Semax gevonden in de basale voorhersenen; na toediening in de neus steeg daar binnen drie uur het gehalte aan BDNF (brain-derived neurotrophic factor), een eiwit dat het aanpassingsvermogen van zenuwverbindingen bevordert. In de kleine hersenen was dat niet het geval (Dolotov 2006, PMID 16635254).</w:t>
      </w:r>
    </w:p>
    <w:p>
      <w:pPr>
        <w:numPr>
          <w:ilvl w:val="0"/>
          <w:numId w:val="1193"/>
        </w:numPr>
        <w:pStyle w:val="Compact"/>
      </w:pPr>
      <w:r>
        <w:rPr>
          <w:bCs/>
          <w:b/>
        </w:rPr>
        <w:t xml:space="preserve">Genactiviteit na beroerte:</w:t>
      </w:r>
      <w:r>
        <w:t xml:space="preserve"> </w:t>
      </w:r>
      <w:r>
        <w:t xml:space="preserve">In een beroertemodel bij ratten veranderde Semax de activiteit van talrijke genen, vooral die van het immuunsysteem en van de vorming van bloedvaten (Medvedeva 2014, PMID 24661604).</w:t>
      </w:r>
    </w:p>
    <w:p>
      <w:pPr>
        <w:pStyle w:val="FirstParagraph"/>
      </w:pPr>
      <w:r>
        <w:t xml:space="preserve">Een eigen receptor voor Semax is niet geïdentificeerd. Of de bij ratten gemeten BDNF-stijgingen bij mensen in vergelijkbare vorm optreden en of ze voor een nut volstaan, is onzeker.</w:t>
      </w:r>
    </w:p>
    <w:bookmarkEnd w:id="600"/>
    <w:bookmarkStart w:id="604" w:name="studies-bij-mensen-34"/>
    <w:p>
      <w:pPr>
        <w:pStyle w:val="Heading3"/>
      </w:pPr>
      <w:r>
        <w:t xml:space="preserve">Studies bij mensen</w:t>
      </w:r>
    </w:p>
    <w:p>
      <w:pPr>
        <w:pStyle w:val="FirstParagraph"/>
      </w:pPr>
      <w:r>
        <w:rPr>
          <w:bCs/>
          <w:b/>
        </w:rPr>
        <w:t xml:space="preserve">Omvang van het onderzoek:</w:t>
      </w:r>
      <w:r>
        <w:t xml:space="preserve"> </w:t>
      </w:r>
      <w:r>
        <w:t xml:space="preserve">De geautomatiseerde PubMed-zoekopdracht (oktober 2026) leverde slechts 4 als studie bij mensen geclassificeerde publicaties op; in totaal vermeldt PubMed ongeveer 210 publicaties met „Semax” in titel of samenvatting, overwegend dier- en laboratoriumstudies. Op ClinicalTrials.gov is niet één studie geregistreerd. Bij een gerichte aanvullende zoekopdracht werden enkele andere kleine klinische publicaties gevonden. Vrijwel alle komen van Russische instellingen, veel uit de kring van de ontwikkelaars, en zijn alleen in het Russisch met een Engelse samenvatting verschenen.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Deelnemers en opzet</w:t>
            </w:r>
          </w:p>
        </w:tc>
        <w:tc>
          <w:tcPr/>
          <w:p>
            <w:pPr>
              <w:pStyle w:val="Compact"/>
              <w:jc w:val="left"/>
            </w:pPr>
            <w:r>
              <w:t xml:space="preserve">Duur</w:t>
            </w:r>
          </w:p>
        </w:tc>
        <w:tc>
          <w:tcPr/>
          <w:p>
            <w:pPr>
              <w:pStyle w:val="Compact"/>
              <w:jc w:val="left"/>
            </w:pPr>
            <w:r>
              <w:t xml:space="preserve">Resultaat</w:t>
            </w:r>
          </w:p>
        </w:tc>
      </w:tr>
      <w:tr>
        <w:tc>
          <w:tcPr/>
          <w:p>
            <w:pPr>
              <w:pStyle w:val="Compact"/>
              <w:jc w:val="left"/>
            </w:pPr>
            <w:r>
              <w:t xml:space="preserve">Gusev 1997, PMID 11517472</w:t>
            </w:r>
          </w:p>
        </w:tc>
        <w:tc>
          <w:tcPr/>
          <w:p>
            <w:pPr>
              <w:pStyle w:val="Compact"/>
              <w:jc w:val="left"/>
            </w:pPr>
            <w:r>
              <w:t xml:space="preserve">30 personen met acute ischemische beroerte, vergelijking met 80 personen onder standaardtherapie, niet gerandomiseerd</w:t>
            </w:r>
          </w:p>
        </w:tc>
        <w:tc>
          <w:tcPr/>
          <w:p>
            <w:pPr>
              <w:pStyle w:val="Compact"/>
              <w:jc w:val="left"/>
            </w:pPr>
            <w:r>
              <w:t xml:space="preserve">5–10 dagen behandeling</w:t>
            </w:r>
          </w:p>
        </w:tc>
        <w:tc>
          <w:tcPr/>
          <w:p>
            <w:pPr>
              <w:pStyle w:val="Compact"/>
              <w:jc w:val="left"/>
            </w:pPr>
            <w:r>
              <w:t xml:space="preserve">„zekere invloed” op de snelheid van herstel van neurologische uitval, geen effectgrootten in de samenvatting</w:t>
            </w:r>
          </w:p>
        </w:tc>
      </w:tr>
      <w:tr>
        <w:tc>
          <w:tcPr/>
          <w:p>
            <w:pPr>
              <w:pStyle w:val="Compact"/>
              <w:jc w:val="left"/>
            </w:pPr>
            <w:r>
              <w:t xml:space="preserve">Gusev 2005, PMID 15792140</w:t>
            </w:r>
          </w:p>
        </w:tc>
        <w:tc>
          <w:tcPr/>
          <w:p>
            <w:pPr>
              <w:pStyle w:val="Compact"/>
              <w:jc w:val="left"/>
            </w:pPr>
            <w:r>
              <w:t xml:space="preserve">187 personen met chronische doorbloedingsstoornis van de hersenen</w:t>
            </w:r>
          </w:p>
        </w:tc>
        <w:tc>
          <w:tcPr/>
          <w:p>
            <w:pPr>
              <w:pStyle w:val="Compact"/>
              <w:jc w:val="left"/>
            </w:pPr>
            <w:r>
              <w:t xml:space="preserve">niet vermeld</w:t>
            </w:r>
          </w:p>
        </w:tc>
        <w:tc>
          <w:tcPr/>
          <w:p>
            <w:pPr>
              <w:pStyle w:val="Compact"/>
              <w:jc w:val="left"/>
            </w:pPr>
            <w:r>
              <w:t xml:space="preserve">volgens de auteurs klinische verbetering en minder beroertes; opzet en getallen niet in de samenvatting</w:t>
            </w:r>
          </w:p>
        </w:tc>
      </w:tr>
      <w:tr>
        <w:tc>
          <w:tcPr/>
          <w:p>
            <w:pPr>
              <w:pStyle w:val="Compact"/>
              <w:jc w:val="left"/>
            </w:pPr>
            <w:r>
              <w:t xml:space="preserve">Gusev 2018, PMID 29798983</w:t>
            </w:r>
          </w:p>
        </w:tc>
        <w:tc>
          <w:tcPr/>
          <w:p>
            <w:pPr>
              <w:pStyle w:val="Compact"/>
              <w:jc w:val="left"/>
            </w:pPr>
            <w:r>
              <w:t xml:space="preserve">110 personen na een beroerte, vroege of late revalidatie, telkens met of zonder Semax</w:t>
            </w:r>
          </w:p>
        </w:tc>
        <w:tc>
          <w:tcPr/>
          <w:p>
            <w:pPr>
              <w:pStyle w:val="Compact"/>
              <w:jc w:val="left"/>
            </w:pPr>
            <w:r>
              <w:t xml:space="preserve">ongeveer 5 maanden</w:t>
            </w:r>
          </w:p>
        </w:tc>
        <w:tc>
          <w:tcPr/>
          <w:p>
            <w:pPr>
              <w:pStyle w:val="Compact"/>
              <w:jc w:val="left"/>
            </w:pPr>
            <w:r>
              <w:t xml:space="preserve">hogere BDNF-spiegel in het bloed, snellere verbetering op de Barthel-index</w:t>
            </w:r>
          </w:p>
        </w:tc>
      </w:tr>
      <w:tr>
        <w:tc>
          <w:tcPr/>
          <w:p>
            <w:pPr>
              <w:pStyle w:val="Compact"/>
              <w:jc w:val="left"/>
            </w:pPr>
            <w:r>
              <w:t xml:space="preserve">Serdiuk 2007, PMID 18379501</w:t>
            </w:r>
          </w:p>
        </w:tc>
        <w:tc>
          <w:tcPr/>
          <w:p>
            <w:pPr>
              <w:pStyle w:val="Compact"/>
              <w:jc w:val="left"/>
            </w:pPr>
            <w:r>
              <w:t xml:space="preserve">27 personen met motorneuronziekte (bijv. ALS), open</w:t>
            </w:r>
          </w:p>
        </w:tc>
        <w:tc>
          <w:tcPr/>
          <w:p>
            <w:pPr>
              <w:pStyle w:val="Compact"/>
              <w:jc w:val="left"/>
            </w:pPr>
            <w:r>
              <w:t xml:space="preserve">48 dagen</w:t>
            </w:r>
          </w:p>
        </w:tc>
        <w:tc>
          <w:tcPr/>
          <w:p>
            <w:pPr>
              <w:pStyle w:val="Compact"/>
              <w:jc w:val="left"/>
            </w:pPr>
            <w:r>
              <w:t xml:space="preserve">geen invloed op ziekteverloop en spierbevindingen; betere scores voor kwaliteit van leven</w:t>
            </w:r>
          </w:p>
        </w:tc>
      </w:tr>
      <w:tr>
        <w:tc>
          <w:tcPr/>
          <w:p>
            <w:pPr>
              <w:pStyle w:val="Compact"/>
              <w:jc w:val="left"/>
            </w:pPr>
            <w:r>
              <w:t xml:space="preserve">Polunin 2000, PMID 10741256</w:t>
            </w:r>
          </w:p>
        </w:tc>
        <w:tc>
          <w:tcPr/>
          <w:p>
            <w:pPr>
              <w:pStyle w:val="Compact"/>
              <w:jc w:val="left"/>
            </w:pPr>
            <w:r>
              <w:t xml:space="preserve">personen met aandoeningen van de oogzenuw, drie groepen incl. controle</w:t>
            </w:r>
          </w:p>
        </w:tc>
        <w:tc>
          <w:tcPr/>
          <w:p>
            <w:pPr>
              <w:pStyle w:val="Compact"/>
              <w:jc w:val="left"/>
            </w:pPr>
            <w:r>
              <w:t xml:space="preserve">niet vermeld</w:t>
            </w:r>
          </w:p>
        </w:tc>
        <w:tc>
          <w:tcPr/>
          <w:p>
            <w:pPr>
              <w:pStyle w:val="Compact"/>
              <w:jc w:val="left"/>
            </w:pPr>
            <w:r>
              <w:t xml:space="preserve">volgens de auteurs betere gezichtsscherpte en gezichtsveld; geen getallen in de samenvatting</w:t>
            </w:r>
          </w:p>
        </w:tc>
      </w:tr>
      <w:tr>
        <w:tc>
          <w:tcPr/>
          <w:p>
            <w:pPr>
              <w:pStyle w:val="Compact"/>
              <w:jc w:val="left"/>
            </w:pPr>
            <w:r>
              <w:t xml:space="preserve">Lebedeva 2018, PMID 30225715</w:t>
            </w:r>
          </w:p>
        </w:tc>
        <w:tc>
          <w:tcPr/>
          <w:p>
            <w:pPr>
              <w:pStyle w:val="Compact"/>
              <w:jc w:val="left"/>
            </w:pPr>
            <w:r>
              <w:t xml:space="preserve">24 gezonden, Semax (14) of placebo (10)</w:t>
            </w:r>
          </w:p>
        </w:tc>
        <w:tc>
          <w:tcPr/>
          <w:p>
            <w:pPr>
              <w:pStyle w:val="Compact"/>
              <w:jc w:val="left"/>
            </w:pPr>
            <w:r>
              <w:t xml:space="preserve">eenmalige toediening, meting na 20 minuten</w:t>
            </w:r>
          </w:p>
        </w:tc>
        <w:tc>
          <w:tcPr/>
          <w:p>
            <w:pPr>
              <w:pStyle w:val="Compact"/>
              <w:jc w:val="left"/>
            </w:pPr>
            <w:r>
              <w:t xml:space="preserve">veranderde activiteit van rustnetwerken op functionele MRI</w:t>
            </w:r>
          </w:p>
        </w:tc>
      </w:tr>
    </w:tbl>
    <w:bookmarkStart w:id="601" w:name="beroerte"/>
    <w:p>
      <w:pPr>
        <w:pStyle w:val="Heading4"/>
      </w:pPr>
      <w:r>
        <w:t xml:space="preserve">Beroerte</w:t>
      </w:r>
    </w:p>
    <w:p>
      <w:pPr>
        <w:pStyle w:val="FirstParagraph"/>
      </w:pPr>
      <w:r>
        <w:t xml:space="preserve">De beroerte is het belangrijkste toepassingsgebied waarvoor Semax in Rusland is geregistreerd. De basis daarvoor is dun. In de eerste klinische studie kregen 30 personen met een acute beroerte Semax naast de standaardbehandeling; als vergelijking dienden 80 personen die alleen de standaardbehandeling kregen. De groepen werden niet door loting ingedeeld. De auteurs melden een „zekere invloed” op het herstel van de uitvalsverschijnselen, vooral van de verlammingen (Gusev 1997, PMID 11517472). Een vervolgpublicatie van dezelfde groep onderzocht ontstekingssignaalstoffen in het bloed en was uitdrukkelijk een retrospectieve analyse (Miasoedova 1999, PMID 10358912).</w:t>
      </w:r>
    </w:p>
    <w:p>
      <w:pPr>
        <w:pStyle w:val="BodyText"/>
      </w:pPr>
      <w:r>
        <w:t xml:space="preserve">De tot nu toe grootste studie met 110 personen na een beroerte vergeleek vroege en late revalidatie, telkens met of zonder Semax. Onder Semax steeg de BDNF-spiegel in het bloedplasma en bleef deze tijdens de observatie verhoogd; de Barthel-index, een maat voor zelfstandigheid in het dagelijks leven, verbeterde sneller (Gusev 2018, PMID 29798983). De samenvatting vermeldt noch een gerandomiseerde toewijzing noch blindering, en de verschillen tussen de groepen worden niet als effectgrootte weergegeven. Als bewijs van nut volstaat dat niet.</w:t>
      </w:r>
    </w:p>
    <w:p>
      <w:pPr>
        <w:pStyle w:val="BodyText"/>
      </w:pPr>
      <w:r>
        <w:t xml:space="preserve">Ter vergelijking: van andere werkzame stoffen die „zenuwcellen zouden beschermen”, zijn bij beroerte in grote, geblindeerde internationale studies tot nu toe bijna alle mislukt. Zo’n studie bestaat voor Semax niet.</w:t>
      </w:r>
    </w:p>
    <w:bookmarkEnd w:id="601"/>
    <w:bookmarkStart w:id="602" w:name="andere-toepassingen-2"/>
    <w:p>
      <w:pPr>
        <w:pStyle w:val="Heading4"/>
      </w:pPr>
      <w:r>
        <w:t xml:space="preserve">Andere toepassingen</w:t>
      </w:r>
    </w:p>
    <w:p>
      <w:pPr>
        <w:numPr>
          <w:ilvl w:val="0"/>
          <w:numId w:val="1194"/>
        </w:numPr>
        <w:pStyle w:val="Compact"/>
      </w:pPr>
      <w:r>
        <w:rPr>
          <w:bCs/>
          <w:b/>
        </w:rPr>
        <w:t xml:space="preserve">Motorneuronziekten:</w:t>
      </w:r>
      <w:r>
        <w:t xml:space="preserve"> </w:t>
      </w:r>
      <w:r>
        <w:t xml:space="preserve">In een open studie met 27 personen veranderde Semax noch het verloop van de zenuwschade in het elektromyogram noch de klinische beoordelingsschalen. De scores voor kwaliteit van leven verbeterden, vooral stemming en motivatie, het sterkst op de tiende dag (Serdiuk 2007, PMID 18379501). Zonder placebogroep valt een verwachtingseffect niet uit te sluiten.</w:t>
      </w:r>
    </w:p>
    <w:p>
      <w:pPr>
        <w:numPr>
          <w:ilvl w:val="0"/>
          <w:numId w:val="1194"/>
        </w:numPr>
        <w:pStyle w:val="Compact"/>
      </w:pPr>
      <w:r>
        <w:rPr>
          <w:bCs/>
          <w:b/>
        </w:rPr>
        <w:t xml:space="preserve">Aandoeningen van de oogzenuw:</w:t>
      </w:r>
      <w:r>
        <w:t xml:space="preserve"> </w:t>
      </w:r>
      <w:r>
        <w:t xml:space="preserve">Een gecontroleerde studie meldt betere visuele functies bij aanvullende behandeling met Semax, zonder getallen in de samenvatting (Polunin 2000, PMID 10741256).</w:t>
      </w:r>
    </w:p>
    <w:p>
      <w:pPr>
        <w:numPr>
          <w:ilvl w:val="0"/>
          <w:numId w:val="1194"/>
        </w:numPr>
        <w:pStyle w:val="Compact"/>
      </w:pPr>
      <w:r>
        <w:rPr>
          <w:bCs/>
          <w:b/>
        </w:rPr>
        <w:t xml:space="preserve">Gevolgen van zuurstoftekort:</w:t>
      </w:r>
      <w:r>
        <w:t xml:space="preserve"> </w:t>
      </w:r>
      <w:r>
        <w:t xml:space="preserve">Bij 73 personen met hersenschade na zuurstoftekort beschrijven de auteurs een effect bij geheugenstoornissen. Bij sommigen traden na de toediening op het eeg episodes van aanvalsachtige activiteit op; de auteurs raden daarom aan de eerste toediening onder eeg-controle te geven (Alekseeva 1999, PMID 10199046).</w:t>
      </w:r>
    </w:p>
    <w:p>
      <w:pPr>
        <w:numPr>
          <w:ilvl w:val="0"/>
          <w:numId w:val="1194"/>
        </w:numPr>
        <w:pStyle w:val="Compact"/>
      </w:pPr>
      <w:r>
        <w:rPr>
          <w:bCs/>
          <w:b/>
        </w:rPr>
        <w:t xml:space="preserve">Maagzweer:</w:t>
      </w:r>
      <w:r>
        <w:t xml:space="preserve"> </w:t>
      </w:r>
      <w:r>
        <w:t xml:space="preserve">In een publicatie over therapieresistente maagzweren genazen na 14 dagen 89,5% van de zweren onder Semax naast de standaardtherapie, tegenover 30,8% in de controlegroep (Ivanikov 2002, PMID 12459874). Groepsgrootte en toewijzing vermeldt de samenvatting niet; de auteurs vragen zelf om verdere studies.</w:t>
      </w:r>
    </w:p>
    <w:bookmarkEnd w:id="602"/>
    <w:bookmarkStart w:id="603" w:name="gezonde-mensen-en-nootropicum"/>
    <w:p>
      <w:pPr>
        <w:pStyle w:val="Heading4"/>
      </w:pPr>
      <w:r>
        <w:t xml:space="preserve">Gezonde mensen en „nootropicum”</w:t>
      </w:r>
    </w:p>
    <w:p>
      <w:pPr>
        <w:pStyle w:val="FirstParagraph"/>
      </w:pPr>
      <w:r>
        <w:t xml:space="preserve">Op internet wordt Semax vooral aangeboden als middel om concentratie en geheugen bij gezonde mensen te verbeteren. Betrouwbare studies daarover ontbreken. Een overzichtsartikel van de ontwikkelaars uit de jaren negentig meldt dat Semax geheugen en aandacht van gezonde mannen „onder extreme omstandigheden” verbetert, maar noemt in de samenvatting geen studiegegevens (Asmarin 1997, PMID 9173745). Twee kleine beeldvormingsstudies bij gezonde mensen toonden na een eenmalige toediening veranderde activiteitspatronen op functionele MRI (Lebedeva 2018, PMID 30225715; Panikratova 2020, PMID 32342318, 52 gezonden met Semax, Selank of placebo). Veranderde hersenactiviteit in de scanner is echter geen bewijs van betere prestaties in het dagelijks leven.</w:t>
      </w:r>
    </w:p>
    <w:bookmarkEnd w:id="603"/>
    <w:bookmarkEnd w:id="604"/>
    <w:bookmarkStart w:id="605" w:name="dier--en-laboratoriumstudies-34"/>
    <w:p>
      <w:pPr>
        <w:pStyle w:val="Heading3"/>
      </w:pPr>
      <w:r>
        <w:t xml:space="preserve">Dier- en laboratoriumstudies</w:t>
      </w:r>
    </w:p>
    <w:p>
      <w:pPr>
        <w:pStyle w:val="FirstParagraph"/>
      </w:pPr>
      <w:r>
        <w:t xml:space="preserve">De preklinische literatuur is omvangrijk en komt eveneens overwegend uit Moskou:</w:t>
      </w:r>
    </w:p>
    <w:p>
      <w:pPr>
        <w:numPr>
          <w:ilvl w:val="0"/>
          <w:numId w:val="1195"/>
        </w:numPr>
        <w:pStyle w:val="Compact"/>
      </w:pPr>
      <w:r>
        <w:t xml:space="preserve">Bij ratten met een kunstmatig opgewekte beroerte veranderde Semax de activiteit van genen van het immuun- en vaatstelsel (Medvedeva 2014, PMID 24661604).</w:t>
      </w:r>
    </w:p>
    <w:p>
      <w:pPr>
        <w:numPr>
          <w:ilvl w:val="0"/>
          <w:numId w:val="1195"/>
        </w:numPr>
        <w:pStyle w:val="Compact"/>
      </w:pPr>
      <w:r>
        <w:t xml:space="preserve">Bij ratten bij wie het dopaminesysteem met het zenuwgif MPTP was beschadigd, verminderde Semax bewegings- en angststoornissen (Levitskaya 2004, PMID 15341218).</w:t>
      </w:r>
    </w:p>
    <w:p>
      <w:pPr>
        <w:numPr>
          <w:ilvl w:val="0"/>
          <w:numId w:val="1195"/>
        </w:numPr>
        <w:pStyle w:val="Compact"/>
      </w:pPr>
      <w:r>
        <w:t xml:space="preserve">Bij genetisch gemodificeerde muizen met alzheimerachtige afzettingen verbeterden Semax en een afgeleide stof het gedrag in geheugentests en verminderden ze het aantal amyloïdafzettingen (Radchenko 2025, PMID 41479572).</w:t>
      </w:r>
    </w:p>
    <w:p>
      <w:pPr>
        <w:numPr>
          <w:ilvl w:val="0"/>
          <w:numId w:val="1195"/>
        </w:numPr>
        <w:pStyle w:val="Compact"/>
      </w:pPr>
      <w:r>
        <w:t xml:space="preserve">In laboratoriumexperimenten bindt Semax koperionen, wat de vorming van schadelijke zuurstofradicalen door amyloïd-kopercomplexen dempte (Tomasello 2025, PMID 40496623).</w:t>
      </w:r>
    </w:p>
    <w:p>
      <w:pPr>
        <w:pStyle w:val="FirstParagraph"/>
      </w:pPr>
      <w:r>
        <w:t xml:space="preserve">Deze resultaten zijn dier- en laboratoriumbevindingen. Veel werkzame stoffen die in zulke modellen beschermden, faalden later bij mensen.</w:t>
      </w:r>
    </w:p>
    <w:bookmarkEnd w:id="605"/>
    <w:bookmarkStart w:id="606" w:name="risicos-en-bijwerkingen-34"/>
    <w:p>
      <w:pPr>
        <w:pStyle w:val="Heading3"/>
      </w:pPr>
      <w:r>
        <w:t xml:space="preserve">Risico’s en bijwerkingen</w:t>
      </w:r>
    </w:p>
    <w:p>
      <w:pPr>
        <w:pStyle w:val="FirstParagraph"/>
      </w:pPr>
      <w:r>
        <w:rPr>
          <w:bCs/>
          <w:b/>
        </w:rPr>
        <w:t xml:space="preserve">Aangetoond:</w:t>
      </w:r>
      <w:r>
        <w:t xml:space="preserve"> </w:t>
      </w:r>
      <w:r>
        <w:t xml:space="preserve">systematisch verzamelde veiligheidsgegevens uit grotere studies zijn er niet. De Russische publicaties beschrijven Semax als goed verdraagbaar, deels uitdrukkelijk ook bij ouderen (Gusev 2005, PMID 15792140). Een serieus te nemen signaal is de waarneming van aanvalsachtige eeg-veranderingen na toediening bij enkele personen met vooraf beschadigde hersenen (Alekseeva 1999, PMID 10199046).</w:t>
      </w:r>
    </w:p>
    <w:p>
      <w:pPr>
        <w:pStyle w:val="BodyText"/>
      </w:pPr>
      <w:r>
        <w:rPr>
          <w:bCs/>
          <w:b/>
        </w:rPr>
        <w:t xml:space="preserve">Theoretisch:</w:t>
      </w:r>
      <w:r>
        <w:t xml:space="preserve"> </w:t>
      </w:r>
      <w:r>
        <w:t xml:space="preserve">Semax zou groeifactoren en immuungenen beïnvloeden; de langetermijngevolgen van zulke ingrepen zijn niet onderzocht. Voor zwangerschap, borstvoeding, kinderen, epilepsie en psychische aandoeningen ontbreken gegevens.</w:t>
      </w:r>
    </w:p>
    <w:p>
      <w:pPr>
        <w:pStyle w:val="BodyText"/>
      </w:pPr>
      <w:r>
        <w:rPr>
          <w:bCs/>
          <w:b/>
        </w:rPr>
        <w:t xml:space="preserve">Grijze markt:</w:t>
      </w:r>
      <w:r>
        <w:t xml:space="preserve"> </w:t>
      </w:r>
      <w:r>
        <w:t xml:space="preserve">buiten Rusland wordt Semax meestal verkocht als „research peptide” of als zelfgemengde neusoplossing. Gehalte, zuiverheid en steriliteit van zulke producten zijn ongecontroleerd. Een laboratorium voor geneesmiddelencontrole identificeerde Semax en Selank in 2017 en 2018 in in beslag genomen, onbekende preparaten en stelde bij online onderzoek vast dat zulke „nootropische peptiden” vrij worden aangeboden als poeder voor injectie of als neusspray (Vanhee 2020, PMID 31667971). Meer daarover in Deel I en Deel IV.</w:t>
      </w:r>
    </w:p>
    <w:bookmarkEnd w:id="606"/>
    <w:bookmarkStart w:id="607" w:name="juridische-status-34"/>
    <w:p>
      <w:pPr>
        <w:pStyle w:val="Heading3"/>
      </w:pPr>
      <w:r>
        <w:t xml:space="preserve">Juridische status</w:t>
      </w:r>
    </w:p>
    <w:p>
      <w:pPr>
        <w:numPr>
          <w:ilvl w:val="0"/>
          <w:numId w:val="1196"/>
        </w:numPr>
        <w:pStyle w:val="Compact"/>
      </w:pPr>
      <w:r>
        <w:rPr>
          <w:bCs/>
          <w:b/>
        </w:rPr>
        <w:t xml:space="preserve">EU / Oostenrijk / Duitsland:</w:t>
      </w:r>
      <w:r>
        <w:t xml:space="preserve"> </w:t>
      </w:r>
      <w:r>
        <w:t xml:space="preserve">Semax is niet toegelaten. Als stof met een beoogd effect op lichaamsfuncties geldt het als geneesmiddel; verkoop en reclame zonder toelating zijn niet toegestaan. Invoer uit Rusland als geneesmiddel valt onder de regels voor individuele invoer (stand 2026, actuele situatie controleren).</w:t>
      </w:r>
    </w:p>
    <w:p>
      <w:pPr>
        <w:numPr>
          <w:ilvl w:val="0"/>
          <w:numId w:val="1196"/>
        </w:numPr>
        <w:pStyle w:val="Compact"/>
      </w:pPr>
      <w:r>
        <w:rPr>
          <w:bCs/>
          <w:b/>
        </w:rPr>
        <w:t xml:space="preserve">VS:</w:t>
      </w:r>
      <w:r>
        <w:t xml:space="preserve"> </w:t>
      </w:r>
      <w:r>
        <w:t xml:space="preserve">niet toegelaten. De FDA schrapte Semax in april 2026 van haar „categorie 2”-lijst; het adviescomité PCAC stemde in juli 2026 met 8 tegen 5 stemmen voor opname van Semax in de lijst van stoffen die apotheken voor bereidingen mogen gebruiken. De deskundigen van de FDA hadden dat afgeraden; de beslissing van de instantie was bij het afsluiten van de redactie nog niet genomen (stand oktober 2026, actuele situatie controleren).</w:t>
      </w:r>
    </w:p>
    <w:p>
      <w:pPr>
        <w:numPr>
          <w:ilvl w:val="0"/>
          <w:numId w:val="1196"/>
        </w:numPr>
        <w:pStyle w:val="Compact"/>
      </w:pPr>
      <w:r>
        <w:rPr>
          <w:bCs/>
          <w:b/>
        </w:rPr>
        <w:t xml:space="preserve">Rusland:</w:t>
      </w:r>
      <w:r>
        <w:t xml:space="preserve"> </w:t>
      </w:r>
      <w:r>
        <w:t xml:space="preserve">als geneesmiddel geregistreerd en in apotheken verkrijgbaar.</w:t>
      </w:r>
    </w:p>
    <w:p>
      <w:pPr>
        <w:numPr>
          <w:ilvl w:val="0"/>
          <w:numId w:val="1196"/>
        </w:numPr>
        <w:pStyle w:val="Compact"/>
      </w:pPr>
      <w:r>
        <w:rPr>
          <w:bCs/>
          <w:b/>
        </w:rPr>
        <w:t xml:space="preserve">Sport:</w:t>
      </w:r>
      <w:r>
        <w:t xml:space="preserve"> </w:t>
      </w:r>
      <w:r>
        <w:t xml:space="preserve">niet bij naam op de WADA-lijst (stand 2026, actuele situatie controleren).</w:t>
      </w:r>
    </w:p>
    <w:bookmarkEnd w:id="607"/>
    <w:bookmarkStart w:id="608" w:name="lopende-studies-en-vooruitzichten-34"/>
    <w:p>
      <w:pPr>
        <w:pStyle w:val="Heading3"/>
      </w:pPr>
      <w:r>
        <w:t xml:space="preserve">Lopende studies en vooruitzichten</w:t>
      </w:r>
    </w:p>
    <w:p>
      <w:pPr>
        <w:pStyle w:val="FirstParagraph"/>
      </w:pPr>
      <w:r>
        <w:rPr>
          <w:bCs/>
          <w:b/>
        </w:rPr>
        <w:t xml:space="preserve">Vast staat:</w:t>
      </w:r>
      <w:r>
        <w:t xml:space="preserve"> </w:t>
      </w:r>
      <w:r>
        <w:t xml:space="preserve">op ClinicalTrials.gov is geen studie met Semax geregistreerd (zoekopdracht oktober 2026). Het onderzoek in Rusland concentreert zich nog steeds op diermodellen, bijvoorbeeld naar genactiviteit na beroerte en naar alzheimermodellen.</w:t>
      </w:r>
    </w:p>
    <w:p>
      <w:pPr>
        <w:pStyle w:val="BodyText"/>
      </w:pPr>
      <w:r>
        <w:rPr>
          <w:bCs/>
          <w:b/>
        </w:rPr>
        <w:t xml:space="preserve">Inschatting:</w:t>
      </w:r>
      <w:r>
        <w:t xml:space="preserve"> </w:t>
      </w:r>
      <w:r>
        <w:t xml:space="preserve">zonder een voldoende grote, geblindeerde, internationaal geregistreerde studie zal Semax buiten Rusland nauwelijks een toelating bereiken. De discussie in de VS draait om apotheekbereidingen, niet om een bewijs van werkzaamheid.</w:t>
      </w:r>
    </w:p>
    <w:bookmarkEnd w:id="608"/>
    <w:bookmarkStart w:id="609" w:name="conclusie-34"/>
    <w:p>
      <w:pPr>
        <w:pStyle w:val="Heading3"/>
      </w:pPr>
      <w:r>
        <w:t xml:space="preserve">Conclusie</w:t>
      </w:r>
    </w:p>
    <w:p>
      <w:pPr>
        <w:pStyle w:val="FirstParagraph"/>
      </w:pPr>
      <w:r>
        <w:t xml:space="preserve">Semax is een in Rusland al decennia gebruikt peptide op basis van een ACTH-fragment, dat bij ratten zenuwgroeifactoren verhoogde. De studies bij mensen zijn klein, meestal niet gerandomiseerd en komen vrijwel uitsluitend uit de kring van de ontwikkelaars; bij beroerte melden ze sneller herstel en hogere BDNF-spiegels, zonder effectgrootten op internationaal niveau. Voor prestatieverbetering bij gezonde mensen zijn er geen zeggingskrachtige gegevens. De gegevens volstaan niet om een nut of de veiligheid op lange termijn te beoordelen.</w:t>
      </w:r>
    </w:p>
    <w:bookmarkEnd w:id="609"/>
    <w:bookmarkEnd w:id="610"/>
    <w:bookmarkStart w:id="621" w:name="selank"/>
    <w:p>
      <w:pPr>
        <w:pStyle w:val="Heading2"/>
      </w:pPr>
      <w:r>
        <w:t xml:space="preserve">Selank</w:t>
      </w:r>
    </w:p>
    <w:bookmarkStart w:id="611" w:name="profiel-35"/>
    <w:p>
      <w:pPr>
        <w:pStyle w:val="Heading3"/>
      </w:pPr>
      <w:r>
        <w:t xml:space="preserve">Profiel</w:t>
      </w:r>
    </w:p>
    <w:p>
      <w:pPr>
        <w:numPr>
          <w:ilvl w:val="0"/>
          <w:numId w:val="1197"/>
        </w:numPr>
        <w:pStyle w:val="Compact"/>
      </w:pPr>
      <w:r>
        <w:rPr>
          <w:bCs/>
          <w:b/>
        </w:rPr>
        <w:t xml:space="preserve">Soort en structuur:</w:t>
      </w:r>
      <w:r>
        <w:t xml:space="preserve"> </w:t>
      </w:r>
      <w:r>
        <w:t xml:space="preserve">synthetisch heptapeptide (Thr-Lys-Pro-Arg-Pro-Gly-Pro). De eerste vier aminozuren komen overeen met tuftsine, een lichaamseigen peptide dat van een antilichaamfragment wordt afgesplitst en immuuncellen stimuleert; daaraan is – net als bij Semax – de stabiliserende sequentie Pro-Gly-Pro gekoppeld.</w:t>
      </w:r>
    </w:p>
    <w:p>
      <w:pPr>
        <w:numPr>
          <w:ilvl w:val="0"/>
          <w:numId w:val="1197"/>
        </w:numPr>
        <w:pStyle w:val="Compact"/>
      </w:pPr>
      <w:r>
        <w:rPr>
          <w:bCs/>
          <w:b/>
        </w:rPr>
        <w:t xml:space="preserve">Herkomst:</w:t>
      </w:r>
      <w:r>
        <w:t xml:space="preserve"> </w:t>
      </w:r>
      <w:r>
        <w:t xml:space="preserve">ontwikkeld in Moskou aan het Instituut voor Moleculaire Genetica en het Zakusov-Instituut voor Farmacologie.</w:t>
      </w:r>
    </w:p>
    <w:p>
      <w:pPr>
        <w:numPr>
          <w:ilvl w:val="0"/>
          <w:numId w:val="1197"/>
        </w:numPr>
        <w:pStyle w:val="Compact"/>
      </w:pPr>
      <w:r>
        <w:rPr>
          <w:bCs/>
          <w:b/>
        </w:rPr>
        <w:t xml:space="preserve">Werkingsprincipe:</w:t>
      </w:r>
      <w:r>
        <w:t xml:space="preserve"> </w:t>
      </w:r>
      <w:r>
        <w:t xml:space="preserve">zou angstremmend werken zonder, zoals benzodiazepinen, slaperig of afhankelijk te maken. Besproken worden een remming van de afbraak van lichaamseigen enkefalinen (pijn- en stressdempende signaalstoffen), invloeden op het GABA-systeem en op immuunsignaalstoffen. Het wordt toegediend als neusdruppels.</w:t>
      </w:r>
    </w:p>
    <w:p>
      <w:pPr>
        <w:numPr>
          <w:ilvl w:val="0"/>
          <w:numId w:val="1197"/>
        </w:numPr>
        <w:pStyle w:val="Compact"/>
      </w:pPr>
      <w:r>
        <w:rPr>
          <w:bCs/>
          <w:b/>
        </w:rPr>
        <w:t xml:space="preserve">Registratie EU:</w:t>
      </w:r>
      <w:r>
        <w:t xml:space="preserve"> </w:t>
      </w:r>
      <w:r>
        <w:t xml:space="preserve">nee.</w:t>
      </w:r>
    </w:p>
    <w:p>
      <w:pPr>
        <w:numPr>
          <w:ilvl w:val="0"/>
          <w:numId w:val="1197"/>
        </w:numPr>
        <w:pStyle w:val="Compact"/>
      </w:pPr>
      <w:r>
        <w:rPr>
          <w:bCs/>
          <w:b/>
        </w:rPr>
        <w:t xml:space="preserve">Registratie VS:</w:t>
      </w:r>
      <w:r>
        <w:t xml:space="preserve"> </w:t>
      </w:r>
      <w:r>
        <w:t xml:space="preserve">nee. Selank stond in 2023 op de FDA-lijst „categorie 2” voor apotheekbereidingen; de actuele status is niet eenduidig gedocumenteerd (stand oktober 2026, actuele situatie controleren).</w:t>
      </w:r>
    </w:p>
    <w:p>
      <w:pPr>
        <w:numPr>
          <w:ilvl w:val="0"/>
          <w:numId w:val="1197"/>
        </w:numPr>
        <w:pStyle w:val="Compact"/>
      </w:pPr>
      <w:r>
        <w:rPr>
          <w:bCs/>
          <w:b/>
        </w:rPr>
        <w:t xml:space="preserve">Rusland:</w:t>
      </w:r>
      <w:r>
        <w:t xml:space="preserve"> </w:t>
      </w:r>
      <w:r>
        <w:t xml:space="preserve">als geneesmiddel (angstremmer) geregistreerd.</w:t>
      </w:r>
    </w:p>
    <w:p>
      <w:pPr>
        <w:numPr>
          <w:ilvl w:val="0"/>
          <w:numId w:val="1197"/>
        </w:numPr>
        <w:pStyle w:val="Compact"/>
      </w:pPr>
      <w:r>
        <w:rPr>
          <w:bCs/>
          <w:b/>
        </w:rPr>
        <w:t xml:space="preserve">WADA:</w:t>
      </w:r>
      <w:r>
        <w:t xml:space="preserve"> </w:t>
      </w:r>
      <w:r>
        <w:t xml:space="preserve">niet bij naam vermeld (stand 2026, actuele situatie controleren).</w:t>
      </w:r>
    </w:p>
    <w:p>
      <w:pPr>
        <w:numPr>
          <w:ilvl w:val="0"/>
          <w:numId w:val="1197"/>
        </w:numPr>
        <w:pStyle w:val="Compact"/>
      </w:pPr>
      <w:r>
        <w:rPr>
          <w:bCs/>
          <w:b/>
        </w:rPr>
        <w:t xml:space="preserve">Bewijsniveau:</w:t>
      </w:r>
      <w:r>
        <w:t xml:space="preserve"> </w:t>
      </w:r>
      <w:r>
        <w:rPr>
          <w:bCs/>
          <w:b/>
        </w:rPr>
        <w:t xml:space="preserve">C</w:t>
      </w:r>
      <w:r>
        <w:t xml:space="preserve"> </w:t>
      </w:r>
      <w:r>
        <w:t xml:space="preserve">– drie kleine vergelijkende studies uit Rusland, zonder placebocontrole en zonder registratie.</w:t>
      </w:r>
    </w:p>
    <w:bookmarkEnd w:id="611"/>
    <w:bookmarkStart w:id="612" w:name="hoe-het-zou-moeten-werken-35"/>
    <w:p>
      <w:pPr>
        <w:pStyle w:val="Heading3"/>
      </w:pPr>
      <w:r>
        <w:t xml:space="preserve">Hoe het zou moeten werken</w:t>
      </w:r>
    </w:p>
    <w:p>
      <w:pPr>
        <w:pStyle w:val="FirstParagraph"/>
      </w:pPr>
      <w:r>
        <w:t xml:space="preserve">Tuftsine is een kort peptide dat vreetcellen van het immuunsysteem activeert. In dierproeven bleek dat afgeleiden ervan ook het gedrag beïnvloeden. Selank is zo’n afgeleide, die door het gekoppelde Pro-Gly-Pro langer in het lichaam zou blijven.</w:t>
      </w:r>
    </w:p>
    <w:p>
      <w:pPr>
        <w:pStyle w:val="BodyText"/>
      </w:pPr>
      <w:r>
        <w:t xml:space="preserve">Voor het mechanisme zijn er meerdere hypothesen, die steunen op laboratorium- en dierdata:</w:t>
      </w:r>
    </w:p>
    <w:p>
      <w:pPr>
        <w:numPr>
          <w:ilvl w:val="0"/>
          <w:numId w:val="1198"/>
        </w:numPr>
        <w:pStyle w:val="Compact"/>
      </w:pPr>
      <w:r>
        <w:rPr>
          <w:bCs/>
          <w:b/>
        </w:rPr>
        <w:t xml:space="preserve">Enkefalinen:</w:t>
      </w:r>
      <w:r>
        <w:t xml:space="preserve"> </w:t>
      </w:r>
      <w:r>
        <w:t xml:space="preserve">In bloedserum remde Selank in de reageerbuis enzymen die enkefalinen afbreken. De onderzoekers vonden bovendien bij mensen met een gegeneraliseerde angststoornis een verkorte halfwaardetijd van enkefalinen in het bloed en concludeerden daaruit dat Selank via deze weg zou kunnen werken (Zozulya 2001, PMID 11550013).</w:t>
      </w:r>
    </w:p>
    <w:p>
      <w:pPr>
        <w:numPr>
          <w:ilvl w:val="0"/>
          <w:numId w:val="1198"/>
        </w:numPr>
        <w:pStyle w:val="Compact"/>
      </w:pPr>
      <w:r>
        <w:rPr>
          <w:bCs/>
          <w:b/>
        </w:rPr>
        <w:t xml:space="preserve">GABA-systeem:</w:t>
      </w:r>
      <w:r>
        <w:t xml:space="preserve"> </w:t>
      </w:r>
      <w:r>
        <w:t xml:space="preserve">Bij ratten veranderde Selank een uur na toediening de activiteit van 45 van 84 onderzochte genen van de zenuwoverdracht in de hersenschors, vergelijkbaar met de signaalstof GABA zelf. De auteurs vermoeden een beïnvloeding van het GABA-systeem, waarop ook benzodiazepinen aangrijpen (Volkova 2016, PMID 26924987).</w:t>
      </w:r>
    </w:p>
    <w:p>
      <w:pPr>
        <w:numPr>
          <w:ilvl w:val="0"/>
          <w:numId w:val="1198"/>
        </w:numPr>
        <w:pStyle w:val="Compact"/>
      </w:pPr>
      <w:r>
        <w:rPr>
          <w:bCs/>
          <w:b/>
        </w:rPr>
        <w:t xml:space="preserve">Immuunsysteem:</w:t>
      </w:r>
      <w:r>
        <w:t xml:space="preserve"> </w:t>
      </w:r>
      <w:r>
        <w:t xml:space="preserve">Bij ratten en muizen beïnvloedde Selank ontstekingsgenen; in celkweken en bij muizen vertoonde het effecten tegen influenzavirussen (Ershov 2009, PMID 19882898).</w:t>
      </w:r>
    </w:p>
    <w:p>
      <w:pPr>
        <w:pStyle w:val="FirstParagraph"/>
      </w:pPr>
      <w:r>
        <w:t xml:space="preserve">Hoeveel Selank na toediening in de neus bij mensen daadwerkelijk in de hersenen terechtkomt, is niet gepubliceerd.</w:t>
      </w:r>
    </w:p>
    <w:bookmarkEnd w:id="612"/>
    <w:bookmarkStart w:id="615" w:name="studies-bij-mensen-35"/>
    <w:p>
      <w:pPr>
        <w:pStyle w:val="Heading3"/>
      </w:pPr>
      <w:r>
        <w:t xml:space="preserve">Studies bij mensen</w:t>
      </w:r>
    </w:p>
    <w:p>
      <w:pPr>
        <w:pStyle w:val="FirstParagraph"/>
      </w:pPr>
      <w:r>
        <w:rPr>
          <w:bCs/>
          <w:b/>
        </w:rPr>
        <w:t xml:space="preserve">Omvang van het onderzoek:</w:t>
      </w:r>
      <w:r>
        <w:t xml:space="preserve"> </w:t>
      </w:r>
      <w:r>
        <w:t xml:space="preserve">De geautomatiseerde PubMed-zoekopdracht (oktober 2026) leverde 3 als studie bij mensen geclassificeerde publicaties op; in totaal vermeldt PubMed ongeveer 70 publicaties met „Selank” in titel of samenvatting, bijna allemaal dierproeven. De zoekopdracht op ClinicalTrials.gov leverde 2 treffers op – bij nadere controle betreffen beide andere methoden (hersenstimulatie) en geen Selank-studie. Er is dus geen geregistreerde klinische studie met Selank.</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Deelnemers en opzet</w:t>
            </w:r>
          </w:p>
        </w:tc>
        <w:tc>
          <w:tcPr/>
          <w:p>
            <w:pPr>
              <w:pStyle w:val="Compact"/>
              <w:jc w:val="left"/>
            </w:pPr>
            <w:r>
              <w:t xml:space="preserve">Duur</w:t>
            </w:r>
          </w:p>
        </w:tc>
        <w:tc>
          <w:tcPr/>
          <w:p>
            <w:pPr>
              <w:pStyle w:val="Compact"/>
              <w:jc w:val="left"/>
            </w:pPr>
            <w:r>
              <w:t xml:space="preserve">Resultaat</w:t>
            </w:r>
          </w:p>
        </w:tc>
      </w:tr>
      <w:tr>
        <w:tc>
          <w:tcPr/>
          <w:p>
            <w:pPr>
              <w:pStyle w:val="Compact"/>
              <w:jc w:val="left"/>
            </w:pPr>
            <w:r>
              <w:t xml:space="preserve">Zozulia 2008, PMID 18454096</w:t>
            </w:r>
          </w:p>
        </w:tc>
        <w:tc>
          <w:tcPr/>
          <w:p>
            <w:pPr>
              <w:pStyle w:val="Compact"/>
              <w:jc w:val="left"/>
            </w:pPr>
            <w:r>
              <w:t xml:space="preserve">62 personen met gegeneraliseerde angststoornis of neurasthenie; Selank (30) tegen medazepam (32)</w:t>
            </w:r>
          </w:p>
        </w:tc>
        <w:tc>
          <w:tcPr/>
          <w:p>
            <w:pPr>
              <w:pStyle w:val="Compact"/>
              <w:jc w:val="left"/>
            </w:pPr>
            <w:r>
              <w:t xml:space="preserve">niet in de samenvatting</w:t>
            </w:r>
          </w:p>
        </w:tc>
        <w:tc>
          <w:tcPr/>
          <w:p>
            <w:pPr>
              <w:pStyle w:val="Compact"/>
              <w:jc w:val="left"/>
            </w:pPr>
            <w:r>
              <w:t xml:space="preserve">angstremmend effect van beide middelen vergelijkbaar; onder Selank daarnaast „activerend”</w:t>
            </w:r>
          </w:p>
        </w:tc>
      </w:tr>
      <w:tr>
        <w:tc>
          <w:tcPr/>
          <w:p>
            <w:pPr>
              <w:pStyle w:val="Compact"/>
              <w:jc w:val="left"/>
            </w:pPr>
            <w:r>
              <w:t xml:space="preserve">Medvedev 2014, PMID 25176261</w:t>
            </w:r>
          </w:p>
        </w:tc>
        <w:tc>
          <w:tcPr/>
          <w:p>
            <w:pPr>
              <w:pStyle w:val="Compact"/>
              <w:jc w:val="left"/>
            </w:pPr>
            <w:r>
              <w:t xml:space="preserve">60 personen met angst- en somatoforme stoornissen; Selank tegen fenazepam</w:t>
            </w:r>
          </w:p>
        </w:tc>
        <w:tc>
          <w:tcPr/>
          <w:p>
            <w:pPr>
              <w:pStyle w:val="Compact"/>
              <w:jc w:val="left"/>
            </w:pPr>
            <w:r>
              <w:t xml:space="preserve">niet in de samenvatting</w:t>
            </w:r>
          </w:p>
        </w:tc>
        <w:tc>
          <w:tcPr/>
          <w:p>
            <w:pPr>
              <w:pStyle w:val="Compact"/>
              <w:jc w:val="left"/>
            </w:pPr>
            <w:r>
              <w:t xml:space="preserve">volgens de auteurs duidelijk angstremmend effect dat een week na het stoppen aanhield</w:t>
            </w:r>
          </w:p>
        </w:tc>
      </w:tr>
      <w:tr>
        <w:tc>
          <w:tcPr/>
          <w:p>
            <w:pPr>
              <w:pStyle w:val="Compact"/>
              <w:jc w:val="left"/>
            </w:pPr>
            <w:r>
              <w:t xml:space="preserve">Medvedev 2015, PMID 26356395</w:t>
            </w:r>
          </w:p>
        </w:tc>
        <w:tc>
          <w:tcPr/>
          <w:p>
            <w:pPr>
              <w:pStyle w:val="Compact"/>
              <w:jc w:val="left"/>
            </w:pPr>
            <w:r>
              <w:t xml:space="preserve">70 personen; fenazepam alleen (30) tegen fenazepam plus Selank (40)</w:t>
            </w:r>
          </w:p>
        </w:tc>
        <w:tc>
          <w:tcPr/>
          <w:p>
            <w:pPr>
              <w:pStyle w:val="Compact"/>
              <w:jc w:val="left"/>
            </w:pPr>
            <w:r>
              <w:t xml:space="preserve">niet in de samenvatting</w:t>
            </w:r>
          </w:p>
        </w:tc>
        <w:tc>
          <w:tcPr/>
          <w:p>
            <w:pPr>
              <w:pStyle w:val="Compact"/>
              <w:jc w:val="left"/>
            </w:pPr>
            <w:r>
              <w:t xml:space="preserve">sneller intreden van het effect en minder bijwerkingen van fenazepam in de combinatiegroep</w:t>
            </w:r>
          </w:p>
        </w:tc>
      </w:tr>
      <w:tr>
        <w:tc>
          <w:tcPr/>
          <w:p>
            <w:pPr>
              <w:pStyle w:val="Compact"/>
              <w:jc w:val="left"/>
            </w:pPr>
            <w:r>
              <w:t xml:space="preserve">Uchakina 2008, PMID 18577961</w:t>
            </w:r>
          </w:p>
        </w:tc>
        <w:tc>
          <w:tcPr/>
          <w:p>
            <w:pPr>
              <w:pStyle w:val="Compact"/>
              <w:jc w:val="left"/>
            </w:pPr>
            <w:r>
              <w:t xml:space="preserve">personen met angststoornis of neurasthenie</w:t>
            </w:r>
          </w:p>
        </w:tc>
        <w:tc>
          <w:tcPr/>
          <w:p>
            <w:pPr>
              <w:pStyle w:val="Compact"/>
              <w:jc w:val="left"/>
            </w:pPr>
            <w:r>
              <w:t xml:space="preserve">14 dagen</w:t>
            </w:r>
          </w:p>
        </w:tc>
        <w:tc>
          <w:tcPr/>
          <w:p>
            <w:pPr>
              <w:pStyle w:val="Compact"/>
              <w:jc w:val="left"/>
            </w:pPr>
            <w:r>
              <w:t xml:space="preserve">verschuivingen in het evenwicht van immuunsignaalstoffen in het bloed</w:t>
            </w:r>
          </w:p>
        </w:tc>
      </w:tr>
      <w:tr>
        <w:tc>
          <w:tcPr/>
          <w:p>
            <w:pPr>
              <w:pStyle w:val="Compact"/>
              <w:jc w:val="left"/>
            </w:pPr>
            <w:r>
              <w:t xml:space="preserve">Panikratova 2020, PMID 32342318</w:t>
            </w:r>
          </w:p>
        </w:tc>
        <w:tc>
          <w:tcPr/>
          <w:p>
            <w:pPr>
              <w:pStyle w:val="Compact"/>
              <w:jc w:val="left"/>
            </w:pPr>
            <w:r>
              <w:t xml:space="preserve">52 gezonden; Selank, Semax of placebo, eenmalige toediening</w:t>
            </w:r>
          </w:p>
        </w:tc>
        <w:tc>
          <w:tcPr/>
          <w:p>
            <w:pPr>
              <w:pStyle w:val="Compact"/>
              <w:jc w:val="left"/>
            </w:pPr>
            <w:r>
              <w:t xml:space="preserve">20 minuten</w:t>
            </w:r>
          </w:p>
        </w:tc>
        <w:tc>
          <w:tcPr/>
          <w:p>
            <w:pPr>
              <w:pStyle w:val="Compact"/>
              <w:jc w:val="left"/>
            </w:pPr>
            <w:r>
              <w:t xml:space="preserve">veranderde functionele verbindingen van de amygdala op MRI</w:t>
            </w:r>
          </w:p>
        </w:tc>
      </w:tr>
    </w:tbl>
    <w:bookmarkStart w:id="613" w:name="angststoornissen"/>
    <w:p>
      <w:pPr>
        <w:pStyle w:val="Heading4"/>
      </w:pPr>
      <w:r>
        <w:t xml:space="preserve">Angststoornissen</w:t>
      </w:r>
    </w:p>
    <w:p>
      <w:pPr>
        <w:pStyle w:val="FirstParagraph"/>
      </w:pPr>
      <w:r>
        <w:t xml:space="preserve">Alle drie klinische studies vergeleken Selank met benzodiazepinen – medazepam resp. het in Rusland veelgebruikte fenazepam. In de eerste studie met 62 personen was het angstremmende effect van Selank en medazepam op vragenlijstschalen (Hamilton, Zung, CGI) vergelijkbaar; Selank zou daarnaast tegen uitputting hebben gewerkt. De onderzoekers maten bovendien de halfwaardetijd van de signaalstof leu-enkefaline in het bloed, die onder Selank toenam (Zozulia 2008, PMID 18454096). In een tweede studie met 60 personen wordt een uitgesproken angstremmend en een licht geheugenbevorderend effect beschreven, dat een week na het einde van de behandeling aanhield (Medvedev 2014, PMID 25176261).</w:t>
      </w:r>
    </w:p>
    <w:p>
      <w:pPr>
        <w:pStyle w:val="BodyText"/>
      </w:pPr>
      <w:r>
        <w:t xml:space="preserve">De derde studie onderzocht Selank als aanvulling: 40 personen kregen fenazepam plus Selank, 30 alleen fenazepam. In de combinatiegroep trad het effect volgens de auteurs eerder in, en typische bijwerkingen van benzodiazepinen zoals aandachts- en geheugenstoornissen, vermoeidheid en seksuele stoornissen waren zeldzamer – ook na het stoppen van het kalmeringsmiddel (Medvedev 2015, PMID 26356395).</w:t>
      </w:r>
    </w:p>
    <w:p>
      <w:pPr>
        <w:pStyle w:val="BodyText"/>
      </w:pPr>
      <w:r>
        <w:t xml:space="preserve">Deze resultaten klinken bemoedigend, maar hebben duidelijke beperkingen:</w:t>
      </w:r>
    </w:p>
    <w:p>
      <w:pPr>
        <w:numPr>
          <w:ilvl w:val="0"/>
          <w:numId w:val="1199"/>
        </w:numPr>
        <w:pStyle w:val="Compact"/>
      </w:pPr>
      <w:r>
        <w:rPr>
          <w:bCs/>
          <w:b/>
        </w:rPr>
        <w:t xml:space="preserve">Geen placebo:</w:t>
      </w:r>
      <w:r>
        <w:t xml:space="preserve"> </w:t>
      </w:r>
      <w:r>
        <w:t xml:space="preserve">Bij angststoornissen verbeteren de klachten ook onder nepmiddelen vaak aanzienlijk. Zonder placebogroep valt niet te zeggen welk deel aan Selank toe te schrijven is.</w:t>
      </w:r>
    </w:p>
    <w:p>
      <w:pPr>
        <w:numPr>
          <w:ilvl w:val="0"/>
          <w:numId w:val="1199"/>
        </w:numPr>
        <w:pStyle w:val="Compact"/>
      </w:pPr>
      <w:r>
        <w:rPr>
          <w:bCs/>
          <w:b/>
        </w:rPr>
        <w:t xml:space="preserve">„Vergelijkbaar werkzaam” is geen bewijs:</w:t>
      </w:r>
      <w:r>
        <w:t xml:space="preserve"> </w:t>
      </w:r>
      <w:r>
        <w:t xml:space="preserve">Een bewijs van gelijkwaardigheid vereist vooraf vastgelegde grenzen en voldoende deelnemers. Geen van beide is in de samenvattingen te herkennen.</w:t>
      </w:r>
    </w:p>
    <w:p>
      <w:pPr>
        <w:numPr>
          <w:ilvl w:val="0"/>
          <w:numId w:val="1199"/>
        </w:numPr>
        <w:pStyle w:val="Compact"/>
      </w:pPr>
      <w:r>
        <w:rPr>
          <w:bCs/>
          <w:b/>
        </w:rPr>
        <w:t xml:space="preserve">Korte observatie, kleine groepen, geen registratie:</w:t>
      </w:r>
      <w:r>
        <w:t xml:space="preserve"> </w:t>
      </w:r>
      <w:r>
        <w:t xml:space="preserve">Alle studies komen uit Russische centra, zijn niet vooraf in een openbaar register aangemeld en werden in Russischtalige vaktijdschriften gepubliceerd.</w:t>
      </w:r>
    </w:p>
    <w:bookmarkEnd w:id="613"/>
    <w:bookmarkStart w:id="614" w:name="immuunsysteem-en-gezonde-mensen"/>
    <w:p>
      <w:pPr>
        <w:pStyle w:val="Heading4"/>
      </w:pPr>
      <w:r>
        <w:t xml:space="preserve">Immuunsysteem en gezonde mensen</w:t>
      </w:r>
    </w:p>
    <w:p>
      <w:pPr>
        <w:pStyle w:val="FirstParagraph"/>
      </w:pPr>
      <w:r>
        <w:t xml:space="preserve">Een publicatie beschrijft bij personen met angst- en uitputtingstoestanden na 14 dagen Selank veranderingen in immuunsignaalstoffen (Th1/Th2-evenwicht) in het bloed; in de reageerbuis onderdrukte Selank de aanmaak van de ontstekingssignaalstof IL-6 in bloedcellen van mensen met depressie (Uchakina 2008, PMID 18577961). Of dat klinisch van betekenis is, werd niet onderzocht. Bij gezonde mensen liet een kleine beeldvormingsstudie na eenmalige toediening veranderde verbindingen zien tussen de amygdala, een voor angst belangrijk hersengebied, en delen van de slaapkwab (Panikratova 2020, PMID 32342318). Studies naar concentratie of prestaties bij gezonde mensen – de belangrijkste belofte op internet – bestaan niet.</w:t>
      </w:r>
    </w:p>
    <w:bookmarkEnd w:id="614"/>
    <w:bookmarkEnd w:id="615"/>
    <w:bookmarkStart w:id="616" w:name="dier--en-laboratoriumstudies-35"/>
    <w:p>
      <w:pPr>
        <w:pStyle w:val="Heading3"/>
      </w:pPr>
      <w:r>
        <w:t xml:space="preserve">Dier- en laboratoriumstudies</w:t>
      </w:r>
    </w:p>
    <w:p>
      <w:pPr>
        <w:numPr>
          <w:ilvl w:val="0"/>
          <w:numId w:val="1200"/>
        </w:numPr>
        <w:pStyle w:val="Compact"/>
      </w:pPr>
      <w:r>
        <w:t xml:space="preserve">Bij ratten met 30 weken alcoholgebruik voorkwam Selank geheugen- en aandachtsstoornissen tijdens de ontwenning en beïnvloedde het het BDNF-gehalte in hippocampus en voorhoofdskwab (Kolik 2019, PMID 31625062).</w:t>
      </w:r>
    </w:p>
    <w:p>
      <w:pPr>
        <w:numPr>
          <w:ilvl w:val="0"/>
          <w:numId w:val="1200"/>
        </w:numPr>
        <w:pStyle w:val="Compact"/>
      </w:pPr>
      <w:r>
        <w:t xml:space="preserve">Bij ratten veranderde Selank de activiteit van talrijke genen van het GABA-systeem (Volkova 2016, PMID 26924987).</w:t>
      </w:r>
    </w:p>
    <w:p>
      <w:pPr>
        <w:numPr>
          <w:ilvl w:val="0"/>
          <w:numId w:val="1200"/>
        </w:numPr>
        <w:pStyle w:val="Compact"/>
      </w:pPr>
      <w:r>
        <w:t xml:space="preserve">In celkweken en bij muizen remde Selank influenzavirussen, het sterkst als het vóór de infectie werd gegeven (Ershov 2009, PMID 19882898).</w:t>
      </w:r>
    </w:p>
    <w:p>
      <w:pPr>
        <w:numPr>
          <w:ilvl w:val="0"/>
          <w:numId w:val="1200"/>
        </w:numPr>
        <w:pStyle w:val="Compact"/>
      </w:pPr>
      <w:r>
        <w:t xml:space="preserve">In andere publicaties van dezelfde onderzoeksgroepen worden effecten beschreven bij stress, ontwenning van morfine en alcohol en in parkinsonmodellen bij knaagdieren.</w:t>
      </w:r>
    </w:p>
    <w:p>
      <w:pPr>
        <w:pStyle w:val="FirstParagraph"/>
      </w:pPr>
      <w:r>
        <w:t xml:space="preserve">Deze bevindingen zijn dier- en laboratoriumbevindingen en komen grotendeels van een kleine kring onderzoeksgroepen.</w:t>
      </w:r>
    </w:p>
    <w:bookmarkEnd w:id="616"/>
    <w:bookmarkStart w:id="617" w:name="risicos-en-bijwerkingen-35"/>
    <w:p>
      <w:pPr>
        <w:pStyle w:val="Heading3"/>
      </w:pPr>
      <w:r>
        <w:t xml:space="preserve">Risico’s en bijwerkingen</w:t>
      </w:r>
    </w:p>
    <w:p>
      <w:pPr>
        <w:pStyle w:val="FirstParagraph"/>
      </w:pPr>
      <w:r>
        <w:rPr>
          <w:bCs/>
          <w:b/>
        </w:rPr>
        <w:t xml:space="preserve">Aangetoond:</w:t>
      </w:r>
      <w:r>
        <w:t xml:space="preserve"> </w:t>
      </w:r>
      <w:r>
        <w:t xml:space="preserve">in de kleine Russische studies wordt Selank als goed verdraagbaar beschreven; systematisch verzamelde percentages bijwerkingen noemen de samenvattingen niet. Langetermijngegevens en gegevens over afhankelijkheid of ontwenningsverschijnselen ontbreken.</w:t>
      </w:r>
    </w:p>
    <w:p>
      <w:pPr>
        <w:pStyle w:val="BodyText"/>
      </w:pPr>
      <w:r>
        <w:rPr>
          <w:bCs/>
          <w:b/>
        </w:rPr>
        <w:t xml:space="preserve">Theoretisch:</w:t>
      </w:r>
      <w:r>
        <w:t xml:space="preserve"> </w:t>
      </w:r>
      <w:r>
        <w:t xml:space="preserve">Selank zou op het immuun-, enkefaline- en GABA-systeem werken. Interacties met kalmeringsmiddelen, alcohol of antidepressiva zijn niet onderzocht; de Russische combinatiestudie laat in elk geval zien dat Selank samen met benzodiazepinen wordt gebruikt. Voor zwangerschap, borstvoeding en kinderen zijn er geen gegevens.</w:t>
      </w:r>
    </w:p>
    <w:p>
      <w:pPr>
        <w:pStyle w:val="BodyText"/>
      </w:pPr>
      <w:r>
        <w:rPr>
          <w:bCs/>
          <w:b/>
        </w:rPr>
        <w:t xml:space="preserve">Grijze markt:</w:t>
      </w:r>
      <w:r>
        <w:t xml:space="preserve"> </w:t>
      </w:r>
      <w:r>
        <w:t xml:space="preserve">buiten Rusland wordt Selank als „research peptide” verkocht als poeder voor injectie of als neusspray. Een Belgisch controlelaboratorium vond Selank in in beslag genomen onbekende preparaten (Vanhee 2020, PMID 31667971). Injectie is geen in studies onderzochte toedieningsweg; zuiverheid en gehalte van zulke producten zijn ongecontroleerd.</w:t>
      </w:r>
    </w:p>
    <w:p>
      <w:pPr>
        <w:pStyle w:val="BodyText"/>
      </w:pPr>
      <w:r>
        <w:rPr>
          <w:bCs/>
          <w:b/>
        </w:rPr>
        <w:t xml:space="preserve">Belangrijk:</w:t>
      </w:r>
      <w:r>
        <w:t xml:space="preserve"> </w:t>
      </w:r>
      <w:r>
        <w:t xml:space="preserve">angststoornissen zijn goed te behandelen – met psychotherapie en met toegelaten geneesmiddelen waarvan de werking in grote placebogecontroleerde studies is aangetoond. Een peptide van de grijze markt is daarvoor geen vervanging.</w:t>
      </w:r>
    </w:p>
    <w:bookmarkEnd w:id="617"/>
    <w:bookmarkStart w:id="618" w:name="juridische-status-35"/>
    <w:p>
      <w:pPr>
        <w:pStyle w:val="Heading3"/>
      </w:pPr>
      <w:r>
        <w:t xml:space="preserve">Juridische status</w:t>
      </w:r>
    </w:p>
    <w:p>
      <w:pPr>
        <w:numPr>
          <w:ilvl w:val="0"/>
          <w:numId w:val="1201"/>
        </w:numPr>
        <w:pStyle w:val="Compact"/>
      </w:pPr>
      <w:r>
        <w:rPr>
          <w:bCs/>
          <w:b/>
        </w:rPr>
        <w:t xml:space="preserve">EU / Oostenrijk / Duitsland:</w:t>
      </w:r>
      <w:r>
        <w:t xml:space="preserve"> </w:t>
      </w:r>
      <w:r>
        <w:t xml:space="preserve">niet toegelaten; als stof met farmacologische werking geldt Selank als geneesmiddel, in de handel brengen zonder toelating is niet toegestaan (stand 2026, actuele situatie controleren).</w:t>
      </w:r>
    </w:p>
    <w:p>
      <w:pPr>
        <w:numPr>
          <w:ilvl w:val="0"/>
          <w:numId w:val="1201"/>
        </w:numPr>
        <w:pStyle w:val="Compact"/>
      </w:pPr>
      <w:r>
        <w:rPr>
          <w:bCs/>
          <w:b/>
        </w:rPr>
        <w:t xml:space="preserve">VS:</w:t>
      </w:r>
      <w:r>
        <w:t xml:space="preserve"> </w:t>
      </w:r>
      <w:r>
        <w:t xml:space="preserve">niet toegelaten. Selank werd in 2023 opgenomen in de FDA-„categorie 2” voor grondstoffen voor bereidingen met veiligheidsbezwaren; later werd de nominatie volgens berichten ingetrokken. Selank behoorde niet tot de peptiden die het adviescomité PCAC in juli 2026 beoordeelde. Een toestemming voor apotheekbereidingen bestaat naar de huidige stand van kennis niet (stand oktober 2026, actuele situatie controleren).</w:t>
      </w:r>
    </w:p>
    <w:p>
      <w:pPr>
        <w:numPr>
          <w:ilvl w:val="0"/>
          <w:numId w:val="1201"/>
        </w:numPr>
        <w:pStyle w:val="Compact"/>
      </w:pPr>
      <w:r>
        <w:rPr>
          <w:bCs/>
          <w:b/>
        </w:rPr>
        <w:t xml:space="preserve">Rusland:</w:t>
      </w:r>
      <w:r>
        <w:t xml:space="preserve"> </w:t>
      </w:r>
      <w:r>
        <w:t xml:space="preserve">als geneesmiddel geregistreerd.</w:t>
      </w:r>
    </w:p>
    <w:p>
      <w:pPr>
        <w:numPr>
          <w:ilvl w:val="0"/>
          <w:numId w:val="1201"/>
        </w:numPr>
        <w:pStyle w:val="Compact"/>
      </w:pPr>
      <w:r>
        <w:rPr>
          <w:bCs/>
          <w:b/>
        </w:rPr>
        <w:t xml:space="preserve">Sport:</w:t>
      </w:r>
      <w:r>
        <w:t xml:space="preserve"> </w:t>
      </w:r>
      <w:r>
        <w:t xml:space="preserve">niet bij naam op de WADA-lijst (stand 2026, actuele situatie controleren).</w:t>
      </w:r>
    </w:p>
    <w:bookmarkEnd w:id="618"/>
    <w:bookmarkStart w:id="619" w:name="lopende-studies-en-vooruitzichten-35"/>
    <w:p>
      <w:pPr>
        <w:pStyle w:val="Heading3"/>
      </w:pPr>
      <w:r>
        <w:t xml:space="preserve">Lopende studies en vooruitzichten</w:t>
      </w:r>
    </w:p>
    <w:p>
      <w:pPr>
        <w:pStyle w:val="FirstParagraph"/>
      </w:pPr>
      <w:r>
        <w:rPr>
          <w:bCs/>
          <w:b/>
        </w:rPr>
        <w:t xml:space="preserve">Vast staat:</w:t>
      </w:r>
      <w:r>
        <w:t xml:space="preserve"> </w:t>
      </w:r>
      <w:r>
        <w:t xml:space="preserve">op ClinicalTrials.gov is geen studie met Selank geregistreerd (zoekopdracht oktober 2026).</w:t>
      </w:r>
    </w:p>
    <w:p>
      <w:pPr>
        <w:pStyle w:val="BodyText"/>
      </w:pPr>
      <w:r>
        <w:rPr>
          <w:bCs/>
          <w:b/>
        </w:rPr>
        <w:t xml:space="preserve">Inschatting:</w:t>
      </w:r>
      <w:r>
        <w:t xml:space="preserve"> </w:t>
      </w:r>
      <w:r>
        <w:t xml:space="preserve">Selank is een voorbeeld van een peptide dat in Rusland in de zorg terechtkwam zonder te voldoen aan de eisen aan studies die in de EU of de VS gelden. Een toelating buiten Rusland zou ten minste een grotere placebogecontroleerde studie bij angststoornissen vereisen; aanwijzingen daarvoor zijn er niet.</w:t>
      </w:r>
    </w:p>
    <w:bookmarkEnd w:id="619"/>
    <w:bookmarkStart w:id="620" w:name="conclusie-35"/>
    <w:p>
      <w:pPr>
        <w:pStyle w:val="Heading3"/>
      </w:pPr>
      <w:r>
        <w:t xml:space="preserve">Conclusie</w:t>
      </w:r>
    </w:p>
    <w:p>
      <w:pPr>
        <w:pStyle w:val="FirstParagraph"/>
      </w:pPr>
      <w:r>
        <w:t xml:space="preserve">Selank is een van tuftsine afgeleid peptide dat in Rusland als angstremmer is geregistreerd. Drie kleine Russische studies beschrijven een angstremmend effect vergelijkbaar met dat van benzodiazepinen, maar geen daarvan had een placebogroep of was vooraf geregistreerd. Hypothesen over het mechanisme via enkefalinen, GABA en het immuunsysteem berusten op laboratorium- en dierdata. De gegevens volstaan niet om werkzaamheid en veiligheid volgens de huidige maatstaven te beoordelen.</w:t>
      </w:r>
    </w:p>
    <w:bookmarkEnd w:id="620"/>
    <w:bookmarkEnd w:id="621"/>
    <w:bookmarkStart w:id="638" w:name="cerebrolysin"/>
    <w:p>
      <w:pPr>
        <w:pStyle w:val="Heading2"/>
      </w:pPr>
      <w:r>
        <w:t xml:space="preserve">Cerebrolysin</w:t>
      </w:r>
    </w:p>
    <w:bookmarkStart w:id="622" w:name="profiel-36"/>
    <w:p>
      <w:pPr>
        <w:pStyle w:val="Heading3"/>
      </w:pPr>
      <w:r>
        <w:t xml:space="preserve">Profiel</w:t>
      </w:r>
    </w:p>
    <w:p>
      <w:pPr>
        <w:numPr>
          <w:ilvl w:val="0"/>
          <w:numId w:val="1202"/>
        </w:numPr>
        <w:pStyle w:val="Compact"/>
      </w:pPr>
      <w:r>
        <w:rPr>
          <w:bCs/>
          <w:b/>
        </w:rPr>
        <w:t xml:space="preserve">Soort en structuur:</w:t>
      </w:r>
      <w:r>
        <w:t xml:space="preserve"> </w:t>
      </w:r>
      <w:r>
        <w:t xml:space="preserve">geen afzonderlijk peptide, maar een mengsel van korte peptiden en vrije aminozuren. Het wordt verkregen door enzymatische splitsing van gezuiverde eiwitten uit varkenshersenen. De exacte samenstelling is niet volledig beschreven; de fabrikant standaardiseert het preparaat via het productieproces en biologische tests.</w:t>
      </w:r>
    </w:p>
    <w:p>
      <w:pPr>
        <w:numPr>
          <w:ilvl w:val="0"/>
          <w:numId w:val="1202"/>
        </w:numPr>
        <w:pStyle w:val="Compact"/>
      </w:pPr>
      <w:r>
        <w:rPr>
          <w:bCs/>
          <w:b/>
        </w:rPr>
        <w:t xml:space="preserve">Herkomst:</w:t>
      </w:r>
      <w:r>
        <w:t xml:space="preserve"> </w:t>
      </w:r>
      <w:r>
        <w:t xml:space="preserve">al decennia geproduceerd door een Oostenrijks bedrijf (tegenwoordig EVER Neuro Pharma, Unterach am Attersee).</w:t>
      </w:r>
    </w:p>
    <w:p>
      <w:pPr>
        <w:numPr>
          <w:ilvl w:val="0"/>
          <w:numId w:val="1202"/>
        </w:numPr>
        <w:pStyle w:val="Compact"/>
      </w:pPr>
      <w:r>
        <w:rPr>
          <w:bCs/>
          <w:b/>
        </w:rPr>
        <w:t xml:space="preserve">Werkingsprincipe:</w:t>
      </w:r>
      <w:r>
        <w:t xml:space="preserve"> </w:t>
      </w:r>
      <w:r>
        <w:t xml:space="preserve">zou effecten van lichaamseigen zenuwgroeifactoren nabootsen – zenuwcellen beschermen (neuroprotectie) en herstel- en ombouwprocessen bevorderen (neuroregeneratie). Het wordt toegediend als infuus of injectie in een ader, meestal in kuren van 10 tot 21 dagen.</w:t>
      </w:r>
    </w:p>
    <w:p>
      <w:pPr>
        <w:numPr>
          <w:ilvl w:val="0"/>
          <w:numId w:val="1202"/>
        </w:numPr>
        <w:pStyle w:val="Compact"/>
      </w:pPr>
      <w:r>
        <w:rPr>
          <w:bCs/>
          <w:b/>
        </w:rPr>
        <w:t xml:space="preserve">Registratie EU:</w:t>
      </w:r>
      <w:r>
        <w:t xml:space="preserve"> </w:t>
      </w:r>
      <w:r>
        <w:t xml:space="preserve">geen centrale EU-toelating. Nationaal toegelaten in Oostenrijk en een reeks andere, vooral Midden- en Oost-Europese staten (afhankelijk van het land voor beroerte, traumatisch hersenletsel en dementie). In Duitsland is het naar onze kennis niet in de handel (stand 2026, actuele situatie controleren).</w:t>
      </w:r>
    </w:p>
    <w:p>
      <w:pPr>
        <w:numPr>
          <w:ilvl w:val="0"/>
          <w:numId w:val="1202"/>
        </w:numPr>
        <w:pStyle w:val="Compact"/>
      </w:pPr>
      <w:r>
        <w:rPr>
          <w:bCs/>
          <w:b/>
        </w:rPr>
        <w:t xml:space="preserve">Registratie VS:</w:t>
      </w:r>
      <w:r>
        <w:t xml:space="preserve"> </w:t>
      </w:r>
      <w:r>
        <w:t xml:space="preserve">nee.</w:t>
      </w:r>
    </w:p>
    <w:p>
      <w:pPr>
        <w:numPr>
          <w:ilvl w:val="0"/>
          <w:numId w:val="1202"/>
        </w:numPr>
        <w:pStyle w:val="Compact"/>
      </w:pPr>
      <w:r>
        <w:rPr>
          <w:bCs/>
          <w:b/>
        </w:rPr>
        <w:t xml:space="preserve">Andere landen:</w:t>
      </w:r>
      <w:r>
        <w:t xml:space="preserve"> </w:t>
      </w:r>
      <w:r>
        <w:t xml:space="preserve">breed gebruikt in Rusland, andere opvolgerstaten van de Sovjet-Unie, China en andere Aziatische landen.</w:t>
      </w:r>
    </w:p>
    <w:p>
      <w:pPr>
        <w:numPr>
          <w:ilvl w:val="0"/>
          <w:numId w:val="1202"/>
        </w:numPr>
        <w:pStyle w:val="Compact"/>
      </w:pPr>
      <w:r>
        <w:rPr>
          <w:bCs/>
          <w:b/>
        </w:rPr>
        <w:t xml:space="preserve">WADA:</w:t>
      </w:r>
      <w:r>
        <w:t xml:space="preserve"> </w:t>
      </w:r>
      <w:r>
        <w:t xml:space="preserve">niet vermeld (stand 2026, actuele situatie controleren).</w:t>
      </w:r>
    </w:p>
    <w:p>
      <w:pPr>
        <w:numPr>
          <w:ilvl w:val="0"/>
          <w:numId w:val="1202"/>
        </w:numPr>
        <w:pStyle w:val="Compact"/>
      </w:pPr>
      <w:r>
        <w:rPr>
          <w:bCs/>
          <w:b/>
        </w:rPr>
        <w:t xml:space="preserve">Bewijsniveau:</w:t>
      </w:r>
      <w:r>
        <w:t xml:space="preserve"> </w:t>
      </w:r>
      <w:r>
        <w:rPr>
          <w:bCs/>
          <w:b/>
        </w:rPr>
        <w:t xml:space="preserve">B</w:t>
      </w:r>
      <w:r>
        <w:t xml:space="preserve"> </w:t>
      </w:r>
      <w:r>
        <w:t xml:space="preserve">– talrijke gerandomiseerde, placebogecontroleerde studies, waaronder een grote met meer dan 1.000 deelnemers; de resultaten zijn echter wisselend, en de twee grote onafhankelijke Cochrane-reviews komen tot terughoudende beoordelingen.</w:t>
      </w:r>
    </w:p>
    <w:bookmarkEnd w:id="622"/>
    <w:bookmarkStart w:id="623" w:name="hoe-het-zou-moeten-werken-36"/>
    <w:p>
      <w:pPr>
        <w:pStyle w:val="Heading3"/>
      </w:pPr>
      <w:r>
        <w:t xml:space="preserve">Hoe het zou moeten werken</w:t>
      </w:r>
    </w:p>
    <w:p>
      <w:pPr>
        <w:pStyle w:val="FirstParagraph"/>
      </w:pPr>
      <w:r>
        <w:t xml:space="preserve">Zenuwgroeifactoren zoals BDNF, NGF of CNTF zijn eiwitten die zenuwcellen in leven houden, de uitgroei van nieuwe verbindingen stimuleren en de aanmaak van nieuwe zenuwcellen in bepaalde hersengebieden bevorderen. Als geneesmiddel zijn ze lastig: ze zijn groot, passeren de bloed-hersenbarrière nauwelijks en werken op veel plaatsen tegelijk.</w:t>
      </w:r>
    </w:p>
    <w:p>
      <w:pPr>
        <w:pStyle w:val="BodyText"/>
      </w:pPr>
      <w:r>
        <w:t xml:space="preserve">Cerebrolysin volgt een andere benadering. Uit eiwitten van varkenshersenen ontstaat door gecontroleerde splitsing een mengsel van kleine fragmenten. De fabrikant en met hem verbonden onderzoekers gaan ervan uit dat enkele van deze fragmenten vergelijkbare signalen opwekken als de lichaamseigen groeifactoren. Men spreekt daarom van een „multimodale” werkzame stof – dus een die veel routes tegelijk zou beïnvloeden.</w:t>
      </w:r>
    </w:p>
    <w:p>
      <w:pPr>
        <w:pStyle w:val="BodyText"/>
      </w:pPr>
      <w:r>
        <w:t xml:space="preserve">Voor lezers betekent dat twee dingen: ten eerste is het mechanisme vooral afgeleid uit dier- en celexperimenten. Ten tweede is bij een mengsel moeilijk te zeggen welk bestanddeel waarvoor verantwoordelijk is en hoeveel ervan daadwerkelijk in de hersenen terechtkomt.</w:t>
      </w:r>
    </w:p>
    <w:bookmarkEnd w:id="623"/>
    <w:bookmarkStart w:id="632" w:name="studies-bij-mensen-36"/>
    <w:p>
      <w:pPr>
        <w:pStyle w:val="Heading3"/>
      </w:pPr>
      <w:r>
        <w:t xml:space="preserve">Studies bij mensen</w:t>
      </w:r>
    </w:p>
    <w:p>
      <w:pPr>
        <w:pStyle w:val="FirstParagraph"/>
      </w:pPr>
      <w:r>
        <w:rPr>
          <w:bCs/>
          <w:b/>
        </w:rPr>
        <w:t xml:space="preserve">Omvang van het onderzoek:</w:t>
      </w:r>
      <w:r>
        <w:t xml:space="preserve"> </w:t>
      </w:r>
      <w:r>
        <w:t xml:space="preserve">De geautomatiseerde PubMed-zoekopdracht (oktober 2026) leverde 88 als studie bij mensen geclassificeerde publicaties op, plus 15 meta-analyses en systematische reviews (waaronder acht versies van Cochrane-reviews). Op ClinicalTrials.gov waren 43 studies geregistreerd, de meeste over beroerte, enkele over traumatisch hersenletsel, dementie, hersenbloeding, delier en – tijdens de pandemie – over reukverlies na COVID-19. Een groot deel van de studies werd door de fabrikant gefinancierd of ondersteund; veel kleinere publicaties komen uit Rusland, Roemenië, China en Iran.</w:t>
      </w:r>
    </w:p>
    <w:p>
      <w:pPr>
        <w:pStyle w:val="BodyText"/>
      </w:pPr>
      <w:r>
        <w:t xml:space="preserve">Een woord over de statistiek die in veel Cerebrolysin-studies wordt gebruikt: in plaats van één primair eindpunt toetsen ze vaak een combinatie van meerdere schalen met een zogeheten Mann-Whitney-schatter (MW). Die geeft de kans aan dat een willekeurig gekozen persoon uit de Cerebrolysin-groep beter scoort dan iemand uit de placebogroep. Een MW van 0,50 betekent geen verschil; waarden rond 0,56 gelden als klein, rond 0,64 als middelgroot en vanaf 0,71 als groot voordeel. Deze methode is toelaatbaar, maar maakt de resultaten moeilijker vergelijkbaar met andere beroertestudies, die meestal het aandeel personen zonder blijvende invaliditeit vermelden.</w:t>
      </w:r>
    </w:p>
    <w:bookmarkStart w:id="624" w:name="acute-ischemische-beroerte"/>
    <w:p>
      <w:pPr>
        <w:pStyle w:val="Heading4"/>
      </w:pPr>
      <w:r>
        <w:t xml:space="preserve">Acute ischemische beroerte</w:t>
      </w:r>
    </w:p>
    <w:p>
      <w:pPr>
        <w:pStyle w:val="FirstParagraph"/>
      </w:pPr>
      <w:r>
        <w:t xml:space="preserve">Bij een ischemische beroerte sluit een stolsel een bloedvat in de hersenen af. Gevestigde behandelingen zijn het oplossen van het stolsel met geneesmiddelen (trombolyse) en het verwijderen ervan met een katheter (trombectomie). „Neuroprotectieve” aanvullende middelen zouden het omliggende weefsel moeten beschermen – een benadering waarop wereldwijd tientallen werkzame stoffen in grote studies zijn gestrand.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Deelnemers en opzet</w:t>
            </w:r>
          </w:p>
        </w:tc>
        <w:tc>
          <w:tcPr/>
          <w:p>
            <w:pPr>
              <w:pStyle w:val="Compact"/>
              <w:jc w:val="left"/>
            </w:pPr>
            <w:r>
              <w:t xml:space="preserve">Duur</w:t>
            </w:r>
          </w:p>
        </w:tc>
        <w:tc>
          <w:tcPr/>
          <w:p>
            <w:pPr>
              <w:pStyle w:val="Compact"/>
              <w:jc w:val="left"/>
            </w:pPr>
            <w:r>
              <w:t xml:space="preserve">Resultaat</w:t>
            </w:r>
          </w:p>
        </w:tc>
      </w:tr>
      <w:tr>
        <w:tc>
          <w:tcPr/>
          <w:p>
            <w:pPr>
              <w:pStyle w:val="Compact"/>
              <w:jc w:val="left"/>
            </w:pPr>
            <w:r>
              <w:t xml:space="preserve">Ladurner 2005, PMID 15583955</w:t>
            </w:r>
          </w:p>
        </w:tc>
        <w:tc>
          <w:tcPr/>
          <w:p>
            <w:pPr>
              <w:pStyle w:val="Compact"/>
              <w:jc w:val="left"/>
            </w:pPr>
            <w:r>
              <w:t xml:space="preserve">146 personen, RCT tegen placebo, start binnen 24 u</w:t>
            </w:r>
          </w:p>
        </w:tc>
        <w:tc>
          <w:tcPr/>
          <w:p>
            <w:pPr>
              <w:pStyle w:val="Compact"/>
              <w:jc w:val="left"/>
            </w:pPr>
            <w:r>
              <w:t xml:space="preserve">90 dagen</w:t>
            </w:r>
          </w:p>
        </w:tc>
        <w:tc>
          <w:tcPr/>
          <w:p>
            <w:pPr>
              <w:pStyle w:val="Compact"/>
              <w:jc w:val="left"/>
            </w:pPr>
            <w:r>
              <w:t xml:space="preserve">geen verbetering op neurologische schaal, Barthel-index en totaalindruk; één cognitietest beter</w:t>
            </w:r>
          </w:p>
        </w:tc>
      </w:tr>
      <w:tr>
        <w:tc>
          <w:tcPr/>
          <w:p>
            <w:pPr>
              <w:pStyle w:val="Compact"/>
              <w:jc w:val="left"/>
            </w:pPr>
            <w:r>
              <w:t xml:space="preserve">CASTA (Heiss 2012), PMID 22282884</w:t>
            </w:r>
          </w:p>
        </w:tc>
        <w:tc>
          <w:tcPr/>
          <w:p>
            <w:pPr>
              <w:pStyle w:val="Compact"/>
              <w:jc w:val="left"/>
            </w:pPr>
            <w:r>
              <w:t xml:space="preserve">1.070 personen in Azië, dubbelblind tegen placebo, start binnen 12 u</w:t>
            </w:r>
          </w:p>
        </w:tc>
        <w:tc>
          <w:tcPr/>
          <w:p>
            <w:pPr>
              <w:pStyle w:val="Compact"/>
              <w:jc w:val="left"/>
            </w:pPr>
            <w:r>
              <w:t xml:space="preserve">90 dagen</w:t>
            </w:r>
          </w:p>
        </w:tc>
        <w:tc>
          <w:tcPr/>
          <w:p>
            <w:pPr>
              <w:pStyle w:val="Compact"/>
              <w:jc w:val="left"/>
            </w:pPr>
            <w:r>
              <w:t xml:space="preserve">primair eindpunt neutraal; achteraf geanalyseerde subgroep van ernstig getroffenen met trend in het voordeel van Cerebrolysin</w:t>
            </w:r>
          </w:p>
        </w:tc>
      </w:tr>
      <w:tr>
        <w:tc>
          <w:tcPr/>
          <w:p>
            <w:pPr>
              <w:pStyle w:val="Compact"/>
              <w:jc w:val="left"/>
            </w:pPr>
            <w:r>
              <w:t xml:space="preserve">Lang 2013, PMID 23009193</w:t>
            </w:r>
          </w:p>
        </w:tc>
        <w:tc>
          <w:tcPr/>
          <w:p>
            <w:pPr>
              <w:pStyle w:val="Compact"/>
              <w:jc w:val="left"/>
            </w:pPr>
            <w:r>
              <w:t xml:space="preserve">119 personen, aanvullend op trombolyse, dubbelblind</w:t>
            </w:r>
          </w:p>
        </w:tc>
        <w:tc>
          <w:tcPr/>
          <w:p>
            <w:pPr>
              <w:pStyle w:val="Compact"/>
              <w:jc w:val="left"/>
            </w:pPr>
            <w:r>
              <w:t xml:space="preserve">90 dagen</w:t>
            </w:r>
          </w:p>
        </w:tc>
        <w:tc>
          <w:tcPr/>
          <w:p>
            <w:pPr>
              <w:pStyle w:val="Compact"/>
              <w:jc w:val="left"/>
            </w:pPr>
            <w:r>
              <w:t xml:space="preserve">na tussentijdse analyse zonder nut op het primaire eindpunt afgebroken; vroege verbetering op de NIHSS vaker</w:t>
            </w:r>
          </w:p>
        </w:tc>
      </w:tr>
      <w:tr>
        <w:tc>
          <w:tcPr/>
          <w:p>
            <w:pPr>
              <w:pStyle w:val="Compact"/>
              <w:jc w:val="left"/>
            </w:pPr>
            <w:r>
              <w:t xml:space="preserve">CARS (Muresanu 2016), PMID 26564102</w:t>
            </w:r>
          </w:p>
        </w:tc>
        <w:tc>
          <w:tcPr/>
          <w:p>
            <w:pPr>
              <w:pStyle w:val="Compact"/>
              <w:jc w:val="left"/>
            </w:pPr>
            <w:r>
              <w:t xml:space="preserve">personen in vroege revalidatie, dubbelblind tegen placebo</w:t>
            </w:r>
          </w:p>
        </w:tc>
        <w:tc>
          <w:tcPr/>
          <w:p>
            <w:pPr>
              <w:pStyle w:val="Compact"/>
              <w:jc w:val="left"/>
            </w:pPr>
            <w:r>
              <w:t xml:space="preserve">90 dagen</w:t>
            </w:r>
          </w:p>
        </w:tc>
        <w:tc>
          <w:tcPr/>
          <w:p>
            <w:pPr>
              <w:pStyle w:val="Compact"/>
              <w:jc w:val="left"/>
            </w:pPr>
            <w:r>
              <w:t xml:space="preserve">armfunctie (ARAT) duidelijk beter: MW 0,71</w:t>
            </w:r>
          </w:p>
        </w:tc>
      </w:tr>
      <w:tr>
        <w:tc>
          <w:tcPr/>
          <w:p>
            <w:pPr>
              <w:pStyle w:val="Compact"/>
              <w:jc w:val="left"/>
            </w:pPr>
            <w:r>
              <w:t xml:space="preserve">Gharagozli 2017, PMID 29075343</w:t>
            </w:r>
          </w:p>
        </w:tc>
        <w:tc>
          <w:tcPr/>
          <w:p>
            <w:pPr>
              <w:pStyle w:val="Compact"/>
              <w:jc w:val="left"/>
            </w:pPr>
            <w:r>
              <w:t xml:space="preserve">100 personen, dubbelblind tegen placebo</w:t>
            </w:r>
          </w:p>
        </w:tc>
        <w:tc>
          <w:tcPr/>
          <w:p>
            <w:pPr>
              <w:pStyle w:val="Compact"/>
              <w:jc w:val="left"/>
            </w:pPr>
            <w:r>
              <w:t xml:space="preserve">30 dagen</w:t>
            </w:r>
          </w:p>
        </w:tc>
        <w:tc>
          <w:tcPr/>
          <w:p>
            <w:pPr>
              <w:pStyle w:val="Compact"/>
              <w:jc w:val="left"/>
            </w:pPr>
            <w:r>
              <w:t xml:space="preserve">NIHSS beter: MW 0,66</w:t>
            </w:r>
          </w:p>
        </w:tc>
      </w:tr>
      <w:tr>
        <w:tc>
          <w:tcPr/>
          <w:p>
            <w:pPr>
              <w:pStyle w:val="Compact"/>
              <w:jc w:val="left"/>
            </w:pPr>
            <w:r>
              <w:t xml:space="preserve">CEREHETIS (Khasanova 2023), PMID 36973684</w:t>
            </w:r>
          </w:p>
        </w:tc>
        <w:tc>
          <w:tcPr/>
          <w:p>
            <w:pPr>
              <w:pStyle w:val="Compact"/>
              <w:jc w:val="left"/>
            </w:pPr>
            <w:r>
              <w:t xml:space="preserve">341 personen met trombolyse, open gerandomiseerd</w:t>
            </w:r>
          </w:p>
        </w:tc>
        <w:tc>
          <w:tcPr/>
          <w:p>
            <w:pPr>
              <w:pStyle w:val="Compact"/>
              <w:jc w:val="left"/>
            </w:pPr>
            <w:r>
              <w:t xml:space="preserve">90 dagen</w:t>
            </w:r>
          </w:p>
        </w:tc>
        <w:tc>
          <w:tcPr/>
          <w:p>
            <w:pPr>
              <w:pStyle w:val="Compact"/>
              <w:jc w:val="left"/>
            </w:pPr>
            <w:r>
              <w:t xml:space="preserve">minder symptomatische bloedingen (OR 0,248); geen verschil in mRS na 90 dagen</w:t>
            </w:r>
          </w:p>
        </w:tc>
      </w:tr>
    </w:tbl>
    <w:p>
      <w:pPr>
        <w:pStyle w:val="BodyText"/>
      </w:pPr>
      <w:r>
        <w:rPr>
          <w:bCs/>
          <w:b/>
        </w:rPr>
        <w:t xml:space="preserve">CASTA – de grootste studie.</w:t>
      </w:r>
      <w:r>
        <w:t xml:space="preserve"> </w:t>
      </w:r>
      <w:r>
        <w:t xml:space="preserve">De</w:t>
      </w:r>
      <w:r>
        <w:t xml:space="preserve"> </w:t>
      </w:r>
      <w:r>
        <w:rPr>
          <w:iCs/>
          <w:i/>
        </w:rPr>
        <w:t xml:space="preserve">Cerebrolysin Acute Stroke Treatment in Asia</w:t>
      </w:r>
      <w:r>
        <w:t xml:space="preserve">-studie werd vooraf met studieprotocol gepubliceerd (Hong 2009, PMID 19765131) en is op ClinicalTrials.gov geregistreerd (NCT00868283). 1.070 personen met een acute beroerte kregen binnen twaalf uur tien dagen lang Cerebrolysin of zoutoplossing, telkens naast aspirine. Het vooraf vastgelegde primaire eindpunt – een combinatie van de gemodificeerde Rankinschaal (mRS, mate van invaliditeit), de Barthel-index (zelfstandigheid in het dagelijks leven) en de NIHSS (ernst van de neurologische uitval) na 90 dagen – liet</w:t>
      </w:r>
      <w:r>
        <w:t xml:space="preserve"> </w:t>
      </w:r>
      <w:r>
        <w:rPr>
          <w:bCs/>
          <w:b/>
        </w:rPr>
        <w:t xml:space="preserve">geen verschil</w:t>
      </w:r>
      <w:r>
        <w:t xml:space="preserve"> </w:t>
      </w:r>
      <w:r>
        <w:t xml:space="preserve">zien. In een achteraf uitgevoerde analyse van de ernstiger getroffenen (NIHSS boven 12) lag de sterfte na 90 dagen op 10,5% onder Cerebrolysin tegenover 20,2% onder placebo (Heiss 2012, PMID 22282884). De auteurs schrijven zelf dat deze bevinding in een volgende studie bevestigd zou moeten worden. Zo’n grote, gericht bij ernstige beroertes uitgevoerde bevestigingsstudie is tot op heden niet gepubliceerd.</w:t>
      </w:r>
    </w:p>
    <w:p>
      <w:pPr>
        <w:pStyle w:val="BodyText"/>
      </w:pPr>
      <w:r>
        <w:rPr>
          <w:bCs/>
          <w:b/>
        </w:rPr>
        <w:t xml:space="preserve">Samen met trombolyse.</w:t>
      </w:r>
      <w:r>
        <w:t xml:space="preserve"> </w:t>
      </w:r>
      <w:r>
        <w:t xml:space="preserve">In een studie met 119 personen werd een uur na de trombolyse met Cerebrolysin begonnen. Na de derde tussentijdse analyse bleek er op het primaire eindpunt (mRS na 90 dagen) geen voordeel, en de studie werd beëindigd. In de eerste 30 dagen verbeterden onder Cerebrolysin meer personen duidelijk op de NIHSS (Lang 2013, PMID 23009193). Dit patroon – vroege verbeteringen op neurologische schalen, maar geen duidelijk verschil in invaliditeit na drie maanden – keert in meerdere studies terug. De CEREHETIS-studie vond bij 341 personen minder symptomatische bloedingen na trombolyse, maar eveneens geen verschil in mRS na 90 dagen; ze was open, dus niet geblindeerd (Khasanova 2023, PMID 36973684).</w:t>
      </w:r>
    </w:p>
    <w:p>
      <w:pPr>
        <w:pStyle w:val="BodyText"/>
      </w:pPr>
      <w:r>
        <w:rPr>
          <w:bCs/>
          <w:b/>
        </w:rPr>
        <w:t xml:space="preserve">Trombectomie.</w:t>
      </w:r>
      <w:r>
        <w:t xml:space="preserve"> </w:t>
      </w:r>
      <w:r>
        <w:t xml:space="preserve">Een studie vergeleek 50 personen die na een katheterbehandeling Cerebrolysin kregen, met 50 eerder behandelde personen (historische controles). Na 90 dagen was 68% tegenover 44% functioneel onafhankelijk (mRS 0–2), secundaire hersenbloedingen kwamen minder vaak voor (Staszewski 2025, PMID 40325343). Zonder randomisatie en met vergelijking tegen eerdere patiënten is dat echter slechts een aanwijzing; de auteurs vragen zelf om gerandomiseerde studies.</w:t>
      </w:r>
    </w:p>
    <w:bookmarkEnd w:id="624"/>
    <w:bookmarkStart w:id="625" w:name="X6659452a3b6a5ed5ede83dde7cb22cd082a37f9"/>
    <w:p>
      <w:pPr>
        <w:pStyle w:val="Heading4"/>
      </w:pPr>
      <w:r>
        <w:t xml:space="preserve">Revalidatie na beroerte: CARS en vervolgstudies</w:t>
      </w:r>
    </w:p>
    <w:p>
      <w:pPr>
        <w:pStyle w:val="FirstParagraph"/>
      </w:pPr>
      <w:r>
        <w:t xml:space="preserve">Een tweede benadering grijpt niet in de eerste uren in, maar in de vroege revalidatie: Cerebrolysin zou de hersenen „leerbaarder” maken, terwijl tegelijk fysiotherapie plaatsvindt.</w:t>
      </w:r>
    </w:p>
    <w:p>
      <w:pPr>
        <w:pStyle w:val="BodyText"/>
      </w:pPr>
      <w:r>
        <w:t xml:space="preserve">De</w:t>
      </w:r>
      <w:r>
        <w:t xml:space="preserve"> </w:t>
      </w:r>
      <w:r>
        <w:rPr>
          <w:bCs/>
          <w:b/>
        </w:rPr>
        <w:t xml:space="preserve">CARS-studie</w:t>
      </w:r>
      <w:r>
        <w:t xml:space="preserve"> </w:t>
      </w:r>
      <w:r>
        <w:t xml:space="preserve">(</w:t>
      </w:r>
      <w:r>
        <w:rPr>
          <w:iCs/>
          <w:i/>
        </w:rPr>
        <w:t xml:space="preserve">Cerebrolysin and Recovery After Stroke</w:t>
      </w:r>
      <w:r>
        <w:t xml:space="preserve">) behandelde personen 24 tot 72 uur na de beroerte 21 dagen lang met Cerebrolysin of placebo, naast een gestandaardiseerd revalidatieprogramma. Op het primaire eindpunt, de Action Research Arm Test (ARAT) voor de armfunctie na 90 dagen, bleek een groot voordeel (MW 0,71; 95%-betrouwbaarheidsinterval 0,63–0,79); over twaalf schalen heen een klein tot middelgroot voordeel (MW 0,62) (Muresanu 2016, PMID 26564102). De auteurs noemen de studie uitdrukkelijk verkennend, met een relatief klein aantal deelnemers. Een vooraf geplande gezamenlijke analyse met de identiek opgezette studie CARS-2 (in totaal 442 personen) leverde voor de ARAT een MW van 0,62 op (Guekht 2017, PMID 28707130).</w:t>
      </w:r>
    </w:p>
    <w:p>
      <w:pPr>
        <w:pStyle w:val="BodyText"/>
      </w:pPr>
      <w:r>
        <w:t xml:space="preserve">Andere kleinere studies laten een gemengd beeld zien:</w:t>
      </w:r>
    </w:p>
    <w:p>
      <w:pPr>
        <w:numPr>
          <w:ilvl w:val="0"/>
          <w:numId w:val="1203"/>
        </w:numPr>
        <w:pStyle w:val="Compact"/>
      </w:pPr>
      <w:r>
        <w:t xml:space="preserve">Een studie met 60 personen vond grote voordelen op de NIHSS na 10 en 30 dagen (Stan 2017, PMID 29362596).</w:t>
      </w:r>
    </w:p>
    <w:p>
      <w:pPr>
        <w:numPr>
          <w:ilvl w:val="0"/>
          <w:numId w:val="1203"/>
        </w:numPr>
        <w:pStyle w:val="Compact"/>
      </w:pPr>
      <w:r>
        <w:t xml:space="preserve">Een studie met 70 personen vond</w:t>
      </w:r>
      <w:r>
        <w:t xml:space="preserve"> </w:t>
      </w:r>
      <w:r>
        <w:rPr>
          <w:bCs/>
          <w:b/>
        </w:rPr>
        <w:t xml:space="preserve">geen</w:t>
      </w:r>
      <w:r>
        <w:t xml:space="preserve"> </w:t>
      </w:r>
      <w:r>
        <w:t xml:space="preserve">verschil in de motoriek als geheel; alleen in de subgroep met ernstige verlamming scoorde Cerebrolysin beter (Chang 2016, PMID 26934986).</w:t>
      </w:r>
    </w:p>
    <w:p>
      <w:pPr>
        <w:numPr>
          <w:ilvl w:val="0"/>
          <w:numId w:val="1203"/>
        </w:numPr>
        <w:pStyle w:val="Compact"/>
      </w:pPr>
      <w:r>
        <w:t xml:space="preserve">De Roemeense ESCAS-pilotstudie bij taalstoornissen (niet-vloeiende afasie) met 132 personen combineerde Cerebrolysin met logopedie. Na 90 dagen verbeterde de taalfunctie op de Western Aphasia Battery met ongeveer 35,6 punten tegenover 20,8 punten onder placebo (Homberg 2025, PMID 39957612).</w:t>
      </w:r>
    </w:p>
    <w:p>
      <w:pPr>
        <w:pStyle w:val="FirstParagraph"/>
      </w:pPr>
      <w:r>
        <w:t xml:space="preserve">Een richtlijn van de European Academy of Neurology en de Europese Federatie van Neurorevalidatieverenigingen beval in 2021 op basis van een meta-analyse Cerebrolysin aan – naast het antidepressivum citalopram – ter ondersteuning van de vroege motorische revalidatie na een ischemische beroerte (Beghi 2021, PMID 34152062). Andere grote richtlijnen, bijvoorbeeld in de VS, bevatten zo’n aanbeveling niet.</w:t>
      </w:r>
    </w:p>
    <w:bookmarkEnd w:id="625"/>
    <w:bookmarkStart w:id="626" w:name="X021b433c383a4c6869261611a1e984318b7bf46"/>
    <w:p>
      <w:pPr>
        <w:pStyle w:val="Heading4"/>
      </w:pPr>
      <w:r>
        <w:t xml:space="preserve">De meta-analyses: twee lezingen van dezelfde gegevens</w:t>
      </w:r>
    </w:p>
    <w:p>
      <w:pPr>
        <w:pStyle w:val="FirstParagraph"/>
      </w:pPr>
      <w:r>
        <w:t xml:space="preserve">Bij Cerebrolysin lopen de samenvattingen uiteen – afhankelijk van wie ze heeft opgesteld en welke eindpunten centraal staan.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Overzicht</w:t>
            </w:r>
          </w:p>
        </w:tc>
        <w:tc>
          <w:tcPr/>
          <w:p>
            <w:pPr>
              <w:pStyle w:val="Compact"/>
              <w:jc w:val="left"/>
            </w:pPr>
            <w:r>
              <w:t xml:space="preserve">Opgenomen gegevens</w:t>
            </w:r>
          </w:p>
        </w:tc>
        <w:tc>
          <w:tcPr/>
          <w:p>
            <w:pPr>
              <w:pStyle w:val="Compact"/>
              <w:jc w:val="left"/>
            </w:pPr>
            <w:r>
              <w:t xml:space="preserve">Kernboodschap</w:t>
            </w:r>
          </w:p>
        </w:tc>
      </w:tr>
      <w:tr>
        <w:tc>
          <w:tcPr/>
          <w:p>
            <w:pPr>
              <w:pStyle w:val="Compact"/>
              <w:jc w:val="left"/>
            </w:pPr>
            <w:r>
              <w:t xml:space="preserve">Cochrane (Ziganshina 2023), PMID 37818733</w:t>
            </w:r>
          </w:p>
        </w:tc>
        <w:tc>
          <w:tcPr/>
          <w:p>
            <w:pPr>
              <w:pStyle w:val="Compact"/>
              <w:jc w:val="left"/>
            </w:pPr>
            <w:r>
              <w:t xml:space="preserve">7 RCT’s, 1.773 personen, start binnen 48 u</w:t>
            </w:r>
          </w:p>
        </w:tc>
        <w:tc>
          <w:tcPr/>
          <w:p>
            <w:pPr>
              <w:pStyle w:val="Compact"/>
              <w:jc w:val="left"/>
            </w:pPr>
            <w:r>
              <w:t xml:space="preserve">geen invloed op de sterfte (RR 0,96); meer niet-fatale ernstige bijwerkingen (RR 2,39)</w:t>
            </w:r>
          </w:p>
        </w:tc>
      </w:tr>
      <w:tr>
        <w:tc>
          <w:tcPr/>
          <w:p>
            <w:pPr>
              <w:pStyle w:val="Compact"/>
              <w:jc w:val="left"/>
            </w:pPr>
            <w:r>
              <w:t xml:space="preserve">Bornstein 2018, PMID 29248999</w:t>
            </w:r>
          </w:p>
        </w:tc>
        <w:tc>
          <w:tcPr/>
          <w:p>
            <w:pPr>
              <w:pStyle w:val="Compact"/>
              <w:jc w:val="left"/>
            </w:pPr>
            <w:r>
              <w:t xml:space="preserve">9 RCT’s, 1.879 personen</w:t>
            </w:r>
          </w:p>
        </w:tc>
        <w:tc>
          <w:tcPr/>
          <w:p>
            <w:pPr>
              <w:pStyle w:val="Compact"/>
              <w:jc w:val="left"/>
            </w:pPr>
            <w:r>
              <w:t xml:space="preserve">NIHSS na 30 dagen beter (MW 0,60); NNT 7,7 voor klinisch relevante verbetering</w:t>
            </w:r>
          </w:p>
        </w:tc>
      </w:tr>
      <w:tr>
        <w:tc>
          <w:tcPr/>
          <w:p>
            <w:pPr>
              <w:pStyle w:val="Compact"/>
              <w:jc w:val="left"/>
            </w:pPr>
            <w:r>
              <w:t xml:space="preserve">Zhang 2017, PMID 28656143</w:t>
            </w:r>
          </w:p>
        </w:tc>
        <w:tc>
          <w:tcPr/>
          <w:p>
            <w:pPr>
              <w:pStyle w:val="Compact"/>
              <w:jc w:val="left"/>
            </w:pPr>
            <w:r>
              <w:t xml:space="preserve">7 RCT’s, 1.779 personen</w:t>
            </w:r>
          </w:p>
        </w:tc>
        <w:tc>
          <w:tcPr/>
          <w:p>
            <w:pPr>
              <w:pStyle w:val="Compact"/>
              <w:jc w:val="left"/>
            </w:pPr>
            <w:r>
              <w:t xml:space="preserve">geen superioriteit op mRS en Barthel-index; veiligheid neutraal</w:t>
            </w:r>
          </w:p>
        </w:tc>
      </w:tr>
      <w:tr>
        <w:tc>
          <w:tcPr/>
          <w:p>
            <w:pPr>
              <w:pStyle w:val="Compact"/>
              <w:jc w:val="left"/>
            </w:pPr>
            <w:r>
              <w:t xml:space="preserve">Patel 2025, PMID 41018475</w:t>
            </w:r>
          </w:p>
        </w:tc>
        <w:tc>
          <w:tcPr/>
          <w:p>
            <w:pPr>
              <w:pStyle w:val="Compact"/>
              <w:jc w:val="left"/>
            </w:pPr>
            <w:r>
              <w:t xml:space="preserve">14 RCT’s, 2.884 personen</w:t>
            </w:r>
          </w:p>
        </w:tc>
        <w:tc>
          <w:tcPr/>
          <w:p>
            <w:pPr>
              <w:pStyle w:val="Compact"/>
              <w:jc w:val="left"/>
            </w:pPr>
            <w:r>
              <w:t xml:space="preserve">NIHSS-verbetering 1,39 punten groter; functionele onafhankelijkheid niet significant (RR 1,31)</w:t>
            </w:r>
          </w:p>
        </w:tc>
      </w:tr>
    </w:tbl>
    <w:p>
      <w:pPr>
        <w:pStyle w:val="BodyText"/>
      </w:pPr>
      <w:r>
        <w:t xml:space="preserve">Het</w:t>
      </w:r>
      <w:r>
        <w:t xml:space="preserve"> </w:t>
      </w:r>
      <w:r>
        <w:rPr>
          <w:bCs/>
          <w:b/>
        </w:rPr>
        <w:t xml:space="preserve">Cochrane-review</w:t>
      </w:r>
      <w:r>
        <w:t xml:space="preserve"> </w:t>
      </w:r>
      <w:r>
        <w:t xml:space="preserve">– een onafhankelijke, methodologisch strenge vorm van samenvatten – is sinds 2010 meermaals geactualiseerd. De versie van 2020 omvatte zeven gerandomiseerde studies met 1.601 personen en vond geen effect op de sterfte (RR 0,90; 95%-BI 0,61–1,32). Het totale aantal ernstige ongewenste voorvallen verschilde niet wezenlijk, maar het aantal personen met</w:t>
      </w:r>
      <w:r>
        <w:t xml:space="preserve"> </w:t>
      </w:r>
      <w:r>
        <w:rPr>
          <w:bCs/>
          <w:b/>
        </w:rPr>
        <w:t xml:space="preserve">niet-fatale</w:t>
      </w:r>
      <w:r>
        <w:t xml:space="preserve"> </w:t>
      </w:r>
      <w:r>
        <w:t xml:space="preserve">ernstige ongewenste voorvallen was onder Cerebrolysin hoger (RR 2,15; 95%-BI 1,01–4,55) (Ziganshina 2020, PMID 32662068). De actualisering van 2023 voegde een studie toe met het Russische preparaat uit runderhersenen Cortexin (in totaal 1.773 personen) en bevestigde deze conclusies: geen effect op de sterfte (RR 0,96), meer niet-fatale ernstige voorvallen (RR 2,39; 95%-BI 1,10–5,23), bij een behandelschema van tien dagen nog uitgesprokener (Ziganshina 2023, PMID 37818733). De Cochrane-auteurs beoordeelden het risico op vertekening van veel studies als onduidelijk of hoog en wezen erop dat de fabrikant meerdere van de grote studies had ondersteund. Belangrijk: geen van de opgenomen studies rapporteerde het vanuit patiëntperspectief beslissende eindpunt „overlijden of zorgafhankelijkheid” in de vorm die het review voorzag.</w:t>
      </w:r>
    </w:p>
    <w:p>
      <w:pPr>
        <w:pStyle w:val="BodyText"/>
      </w:pPr>
      <w:r>
        <w:t xml:space="preserve">De</w:t>
      </w:r>
      <w:r>
        <w:t xml:space="preserve"> </w:t>
      </w:r>
      <w:r>
        <w:rPr>
          <w:bCs/>
          <w:b/>
        </w:rPr>
        <w:t xml:space="preserve">meta-analyses die dicht bij de fabrikant staan</w:t>
      </w:r>
      <w:r>
        <w:t xml:space="preserve">, kijken daarentegen vooral naar de vroege neurologische verbetering op de NIHSS en vinden daar een matig voordeel (Bornstein 2018, PMID 29248999). Een veiligheidsmeta-analyse met twaalf studies en 2.202 personen vond geen significante verschillen met placebo in bijwerkingen (Strilciuc 2021, PMID 34959697) – in tegenstelling tot het Cochrane-signaal, dat echter op weinig voorvallen berust.</w:t>
      </w:r>
    </w:p>
    <w:p>
      <w:pPr>
        <w:pStyle w:val="BodyText"/>
      </w:pPr>
      <w:r>
        <w:t xml:space="preserve">Hoe valt dat samen te brengen? Het eerlijke antwoord luidt: Cerebrolysin verbetert in meerdere studies de neurologische schaalscores in de eerste weken. Of daaruit minder blijvende invaliditeit, minder zorgafhankelijkheid of een langer leven volgt, is niet aangetoond. Voor het signaal van niet-fatale ernstige bijwerkingen ontbreekt een sluitende verklaring; het berust op weinig voorvallen en is daarom onzeker, maar het werd in twee Cochrane-versies gevonden.</w:t>
      </w:r>
    </w:p>
    <w:bookmarkEnd w:id="626"/>
    <w:bookmarkStart w:id="627" w:name="registergegevens-uit-de-praktijk"/>
    <w:p>
      <w:pPr>
        <w:pStyle w:val="Heading4"/>
      </w:pPr>
      <w:r>
        <w:t xml:space="preserve">Registergegevens uit de praktijk</w:t>
      </w:r>
    </w:p>
    <w:p>
      <w:pPr>
        <w:pStyle w:val="FirstParagraph"/>
      </w:pPr>
      <w:r>
        <w:t xml:space="preserve">De fabrikant heeft daarnaast grote observationele studies gefinancierd. De registerstudie C-REGS2 omvatte in 16 landen 1.865 personen met een matig ernstige beroerte; geanalyseerd werden er 1.769 (1.021 met Cerebrolysin, 748 zonder). Na 90 dagen scoorde de Cerebrolysin-groep beter op de gemodificeerde Rankinschaal (MW 0,6157) (Vosko 2025, PMID 40851188; NCT03480698). De studie gebruikt geavanceerde statistische methoden om de groepen vergelijkbaar te maken. Ze blijft echter een observationele studie: wie in de praktijk Cerebrolysin krijgt, verschilt mogelijk in behandeling, ziekenhuis of land van wie het niet krijgt. Een randomisatie kan zij niet vervangen.</w:t>
      </w:r>
    </w:p>
    <w:bookmarkEnd w:id="627"/>
    <w:bookmarkStart w:id="628" w:name="X7ac0b2f04fe685b155aa69840d3ac2a7bbcfd96"/>
    <w:p>
      <w:pPr>
        <w:pStyle w:val="Heading4"/>
      </w:pPr>
      <w:r>
        <w:t xml:space="preserve">Hersenbloeding en subarachnoïdale bloeding</w:t>
      </w:r>
    </w:p>
    <w:p>
      <w:pPr>
        <w:pStyle w:val="FirstParagraph"/>
      </w:pPr>
      <w:r>
        <w:t xml:space="preserve">Bij hersenbloedingen vond een studie met 100 personen na 21 dagen geen significante verschillen, maar ook geen veiligheidsproblemen (Bajenaru 2010, PMID 20968198). Bij bloedingen uit een uitstulping van een hersenvat (aneurysmatische subarachnoïdale bloeding) liet een dubbelblinde pilotstudie met 50 personen na zes maanden geen verschil in functionele uitkomst zien (Woo 2020, PMID 33143640; NCT01787123). Een pilotstudie naar bloedingen in de hersenkwabben (CLINCH) is gepland of loopt (Kobayashi 2025, PMID 41180520).</w:t>
      </w:r>
    </w:p>
    <w:bookmarkEnd w:id="628"/>
    <w:bookmarkStart w:id="629" w:name="traumatisch-hersenletsel-captain"/>
    <w:p>
      <w:pPr>
        <w:pStyle w:val="Heading4"/>
      </w:pPr>
      <w:r>
        <w:t xml:space="preserve">Traumatisch hersenletsel: CAPTAIN</w:t>
      </w:r>
    </w:p>
    <w:p>
      <w:pPr>
        <w:pStyle w:val="FirstParagraph"/>
      </w:pPr>
      <w:r>
        <w:t xml:space="preserve">Bij matig tot ernstig traumatisch hersenletsel onderzochten twee studies Cerebrolysin naast de standaardbehandeling:</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Deelnemers en opzet</w:t>
            </w:r>
          </w:p>
        </w:tc>
        <w:tc>
          <w:tcPr/>
          <w:p>
            <w:pPr>
              <w:pStyle w:val="Compact"/>
              <w:jc w:val="left"/>
            </w:pPr>
            <w:r>
              <w:t xml:space="preserve">Duur</w:t>
            </w:r>
          </w:p>
        </w:tc>
        <w:tc>
          <w:tcPr/>
          <w:p>
            <w:pPr>
              <w:pStyle w:val="Compact"/>
              <w:jc w:val="left"/>
            </w:pPr>
            <w:r>
              <w:t xml:space="preserve">Resultaat</w:t>
            </w:r>
          </w:p>
        </w:tc>
      </w:tr>
      <w:tr>
        <w:tc>
          <w:tcPr/>
          <w:p>
            <w:pPr>
              <w:pStyle w:val="Compact"/>
              <w:jc w:val="left"/>
            </w:pPr>
            <w:r>
              <w:t xml:space="preserve">CAPTAIN I (Poon 2020), PMID 31494820</w:t>
            </w:r>
          </w:p>
        </w:tc>
        <w:tc>
          <w:tcPr/>
          <w:p>
            <w:pPr>
              <w:pStyle w:val="Compact"/>
              <w:jc w:val="left"/>
            </w:pPr>
            <w:r>
              <w:t xml:space="preserve">46 personen, dubbelblind tegen placebo, meerdere centra</w:t>
            </w:r>
          </w:p>
        </w:tc>
        <w:tc>
          <w:tcPr/>
          <w:p>
            <w:pPr>
              <w:pStyle w:val="Compact"/>
              <w:jc w:val="left"/>
            </w:pPr>
            <w:r>
              <w:t xml:space="preserve">90 dagen</w:t>
            </w:r>
          </w:p>
        </w:tc>
        <w:tc>
          <w:tcPr/>
          <w:p>
            <w:pPr>
              <w:pStyle w:val="Compact"/>
              <w:jc w:val="left"/>
            </w:pPr>
            <w:r>
              <w:t xml:space="preserve">primair eindpunt nipt niet gehaald (ITT: MW 0,63); in de per-protocolanalyse significant</w:t>
            </w:r>
          </w:p>
        </w:tc>
      </w:tr>
      <w:tr>
        <w:tc>
          <w:tcPr/>
          <w:p>
            <w:pPr>
              <w:pStyle w:val="Compact"/>
              <w:jc w:val="left"/>
            </w:pPr>
            <w:r>
              <w:t xml:space="preserve">CAPTAIN II (Muresanu 2020), PMID 31897941</w:t>
            </w:r>
          </w:p>
        </w:tc>
        <w:tc>
          <w:tcPr/>
          <w:p>
            <w:pPr>
              <w:pStyle w:val="Compact"/>
              <w:jc w:val="left"/>
            </w:pPr>
            <w:r>
              <w:t xml:space="preserve">142 personen (139 geanalyseerd), dubbelblind, één centrum</w:t>
            </w:r>
          </w:p>
        </w:tc>
        <w:tc>
          <w:tcPr/>
          <w:p>
            <w:pPr>
              <w:pStyle w:val="Compact"/>
              <w:jc w:val="left"/>
            </w:pPr>
            <w:r>
              <w:t xml:space="preserve">90 dagen</w:t>
            </w:r>
          </w:p>
        </w:tc>
        <w:tc>
          <w:tcPr/>
          <w:p>
            <w:pPr>
              <w:pStyle w:val="Compact"/>
              <w:jc w:val="left"/>
            </w:pPr>
            <w:r>
              <w:t xml:space="preserve">klein tot middelgroot voordeel in het gecombineerde eindpunt van 13 schalen (MW 0,59)</w:t>
            </w:r>
          </w:p>
        </w:tc>
      </w:tr>
      <w:tr>
        <w:tc>
          <w:tcPr/>
          <w:p>
            <w:pPr>
              <w:pStyle w:val="Compact"/>
              <w:jc w:val="left"/>
            </w:pPr>
            <w:r>
              <w:t xml:space="preserve">CAPTAIN-meta-analyse (Vester 2021), PMID 33620612</w:t>
            </w:r>
          </w:p>
        </w:tc>
        <w:tc>
          <w:tcPr/>
          <w:p>
            <w:pPr>
              <w:pStyle w:val="Compact"/>
              <w:jc w:val="left"/>
            </w:pPr>
            <w:r>
              <w:t xml:space="preserve">185 personen uit beide studies</w:t>
            </w:r>
          </w:p>
        </w:tc>
        <w:tc>
          <w:tcPr/>
          <w:p>
            <w:pPr>
              <w:pStyle w:val="Compact"/>
              <w:jc w:val="left"/>
            </w:pPr>
            <w:r>
              <w:t xml:space="preserve">90 dagen</w:t>
            </w:r>
          </w:p>
        </w:tc>
        <w:tc>
          <w:tcPr/>
          <w:p>
            <w:pPr>
              <w:pStyle w:val="Compact"/>
              <w:jc w:val="left"/>
            </w:pPr>
            <w:r>
              <w:t xml:space="preserve">MW 0,60 na 30 en 90 dagen</w:t>
            </w:r>
          </w:p>
        </w:tc>
      </w:tr>
    </w:tbl>
    <w:p>
      <w:pPr>
        <w:pStyle w:val="BodyText"/>
      </w:pPr>
      <w:r>
        <w:t xml:space="preserve">CAPTAIN I werd met slechts 46 deelnemers voortijdig beëindigd (NCT01606111, registerstatus „afgebroken”). Andere meta-analyses over traumatisch hersenletsel berusten overwegend op observationele studies en vonden betere waarden op de Glasgow Outcome Scale, maar geen invloed op de sterfte (Ghaffarpasand 2019, PMID 30643411; Jarosz 2023, PMID 36979317). Al met al wijzen de gegevens op een mogelijk klein voordeel; het aantal gerandomiseerd onderzochte personen is te klein voor een zekere uitspraak.</w:t>
      </w:r>
    </w:p>
    <w:bookmarkEnd w:id="629"/>
    <w:bookmarkStart w:id="630" w:name="dementie"/>
    <w:p>
      <w:pPr>
        <w:pStyle w:val="Heading4"/>
      </w:pPr>
      <w:r>
        <w:t xml:space="preserve">Dementie</w:t>
      </w:r>
    </w:p>
    <w:p>
      <w:pPr>
        <w:pStyle w:val="FirstParagraph"/>
      </w:pPr>
      <w:r>
        <w:rPr>
          <w:bCs/>
          <w:b/>
        </w:rPr>
        <w:t xml:space="preserve">Ziekte van Alzheimer.</w:t>
      </w:r>
      <w:r>
        <w:t xml:space="preserve"> </w:t>
      </w:r>
      <w:r>
        <w:t xml:space="preserve">In de jaren negentig en 2000 werden meerdere placebogecontroleerde studies uitgevoerd. In een studie met 192 personen was de klinische totaalindruk (CIBIC+) na twaalf weken onder Cerebrolysin beter (76% tegenover 57% „responders”); de groepen verschilden echter al bij aanvang in leeftijd en hallucinaties (Panisset 2002, PMID 12111446). In een studie met 197 personen was Cerebrolysin op de totaalindruk even werkzaam als het toegelaten alzheimermiddel donepezil; op cognitie, dagelijks functioneren en gedrag waren er geen significante verschillen tussen de groepen (Alvarez 2011, PMID 21679156). Een meta-analyse van zes studies vond een voordeel op de klinische totaalindruk na vier weken en zes maanden, op de cognitie echter alleen na vier weken, niet na zes maanden (Gauthier 2015, PMID 25832905). Aan deze meta-analyse werkten onderzoekers mee die met de fabrikant samenwerken.</w:t>
      </w:r>
    </w:p>
    <w:p>
      <w:pPr>
        <w:pStyle w:val="BodyText"/>
      </w:pPr>
      <w:r>
        <w:rPr>
          <w:bCs/>
          <w:b/>
        </w:rPr>
        <w:t xml:space="preserve">Vasculaire dementie.</w:t>
      </w:r>
      <w:r>
        <w:t xml:space="preserve"> </w:t>
      </w:r>
      <w:r>
        <w:t xml:space="preserve">De grootste studie met 242 personen meldde na 24 weken een verbetering op de ADAS-cog+ van 10,6 punten tegenover 4,4 punten onder placebo (Guekht 2011, PMID 20656516) – een voor dementiestudies ongewoon groot effect. Het Cochrane-review over vasculaire dementie vatte zes studies met 597 personen samen en vond voordelen voor cognitie en totaalindruk, maar beoordeelde de betrouwbaarheid van het bewijs als „zeer laag”. De auteurs schrijven dat mogelijke effecten te klein zouden kunnen zijn om klinisch van betekenis te zijn, en dat de bewijsbasis zwak is, hoewel Cerebrolysin verder wordt aangeprezen (Cui 2019, PMID 31710397).</w:t>
      </w:r>
    </w:p>
    <w:bookmarkEnd w:id="630"/>
    <w:bookmarkStart w:id="631" w:name="andere-toepassingen-3"/>
    <w:p>
      <w:pPr>
        <w:pStyle w:val="Heading4"/>
      </w:pPr>
      <w:r>
        <w:t xml:space="preserve">Andere toepassingen</w:t>
      </w:r>
    </w:p>
    <w:p>
      <w:pPr>
        <w:pStyle w:val="FirstParagraph"/>
      </w:pPr>
      <w:r>
        <w:t xml:space="preserve">Kleinere studies zijn er over ALS (20 personen, verbetering op de ALS-functieschaal na een maand; Firstenfeld 2023, PMID 38585517), te vroeg geboren baby’s, kinderen met cerebrale parese, reukverlies na COVID-19 en psychiatrische aandoeningen. Bij gezonde mannen veranderde Cerebrolysin in een kleine studie met 48 deelnemers eeg-patronen; bij het kortetermijngeheugen was er onder placebo een trend naar slechtere woordreproductie in de eerste uren, onder Cerebrolysin niet (Funke 1998, PMID 9700674). Voor gebruik als „nootropicum” bij gezonde mensen is er geen bewijs.</w:t>
      </w:r>
    </w:p>
    <w:bookmarkEnd w:id="631"/>
    <w:bookmarkEnd w:id="632"/>
    <w:bookmarkStart w:id="633" w:name="dier--en-laboratoriumstudies-36"/>
    <w:p>
      <w:pPr>
        <w:pStyle w:val="Heading3"/>
      </w:pPr>
      <w:r>
        <w:t xml:space="preserve">Dier- en laboratoriumstudies</w:t>
      </w:r>
    </w:p>
    <w:p>
      <w:pPr>
        <w:numPr>
          <w:ilvl w:val="0"/>
          <w:numId w:val="1204"/>
        </w:numPr>
        <w:pStyle w:val="Compact"/>
      </w:pPr>
      <w:r>
        <w:t xml:space="preserve">Bij ratten met een kunstmatig opgewekte beroerte verbeterde Cerebrolysin in een gerandomiseerde, geblindeerde dierstudie dosisafhankelijk het neurologisch herstel na 28 dagen (Zhang 2016, PMID 26763925).</w:t>
      </w:r>
    </w:p>
    <w:p>
      <w:pPr>
        <w:numPr>
          <w:ilvl w:val="0"/>
          <w:numId w:val="1204"/>
        </w:numPr>
        <w:pStyle w:val="Compact"/>
      </w:pPr>
      <w:r>
        <w:t xml:space="preserve">Bij ratten met licht hersenletsel verminderde Cerebrolysin axonschade en bevorderde het de aanmaak van nieuwe zenuwcellen in de hippocampus (Zhang 2019, PMID 30499355).</w:t>
      </w:r>
    </w:p>
    <w:p>
      <w:pPr>
        <w:numPr>
          <w:ilvl w:val="0"/>
          <w:numId w:val="1204"/>
        </w:numPr>
        <w:pStyle w:val="Compact"/>
      </w:pPr>
      <w:r>
        <w:t xml:space="preserve">In een muismodel van de erfelijke ziekte CADASIL verlengde Cerebrolysin de levensduur en verbeterde het het ruimtelijk geheugen, zonder de typische veranderingen van de witte stof te beïnvloeden (Kastberger 2024, PMID 38062874).</w:t>
      </w:r>
    </w:p>
    <w:p>
      <w:pPr>
        <w:pStyle w:val="FirstParagraph"/>
      </w:pPr>
      <w:r>
        <w:t xml:space="preserve">De preklinische studies komen voor een aanzienlijk deel uit samenwerkingen met de fabrikant. Goede dierresultaten hebben zich bij beroertemiddelen tot nu toe zelden vertaald in klinisch nut.</w:t>
      </w:r>
    </w:p>
    <w:bookmarkEnd w:id="633"/>
    <w:bookmarkStart w:id="634" w:name="risicos-en-bijwerkingen-36"/>
    <w:p>
      <w:pPr>
        <w:pStyle w:val="Heading3"/>
      </w:pPr>
      <w:r>
        <w:t xml:space="preserve">Risico’s en bijwerkingen</w:t>
      </w:r>
    </w:p>
    <w:p>
      <w:pPr>
        <w:pStyle w:val="FirstParagraph"/>
      </w:pPr>
      <w:r>
        <w:rPr>
          <w:bCs/>
          <w:b/>
        </w:rPr>
        <w:t xml:space="preserve">Aangetoond:</w:t>
      </w:r>
    </w:p>
    <w:p>
      <w:pPr>
        <w:numPr>
          <w:ilvl w:val="0"/>
          <w:numId w:val="1205"/>
        </w:numPr>
        <w:pStyle w:val="Compact"/>
      </w:pPr>
      <w:r>
        <w:t xml:space="preserve">In de studies kwamen bijwerkingen in totaal ongeveer even vaak voor als onder placebo. Genoemd worden onder meer hoofdpijn, duizeligheid en onrust (Panisset 2002, PMID 12111446).</w:t>
      </w:r>
    </w:p>
    <w:p>
      <w:pPr>
        <w:numPr>
          <w:ilvl w:val="0"/>
          <w:numId w:val="1205"/>
        </w:numPr>
        <w:pStyle w:val="Compact"/>
      </w:pPr>
      <w:r>
        <w:t xml:space="preserve">Het Cochrane-review over beroerte vond meer</w:t>
      </w:r>
      <w:r>
        <w:t xml:space="preserve"> </w:t>
      </w:r>
      <w:r>
        <w:rPr>
          <w:bCs/>
          <w:b/>
        </w:rPr>
        <w:t xml:space="preserve">niet-fatale ernstige ongewenste voorvallen</w:t>
      </w:r>
      <w:r>
        <w:t xml:space="preserve"> </w:t>
      </w:r>
      <w:r>
        <w:t xml:space="preserve">onder Cerebrolysin (RR 2,39; Ziganshina 2023, PMID 37818733), de veiligheidsmeta-analyse die dicht bij de fabrikant staat niet (Strilciuc 2021, PMID 34959697).</w:t>
      </w:r>
    </w:p>
    <w:p>
      <w:pPr>
        <w:numPr>
          <w:ilvl w:val="0"/>
          <w:numId w:val="1205"/>
        </w:numPr>
        <w:pStyle w:val="Compact"/>
      </w:pPr>
      <w:r>
        <w:rPr>
          <w:bCs/>
          <w:b/>
        </w:rPr>
        <w:t xml:space="preserve">Allergische reacties:</w:t>
      </w:r>
      <w:r>
        <w:t xml:space="preserve"> </w:t>
      </w:r>
      <w:r>
        <w:t xml:space="preserve">Een uitvoerig gedocumenteerde casusbeschrijving beschrijft een levensbedreigende anafylactische reactie bij een 85-jarige man na een Cerebrolysin-infuus; de auteurs benadrukken dat zulke gevallen zeldzaam, maar bij ernstig zieke personen van betekenis zijn (Trimmel 2024, PMID 39055722).</w:t>
      </w:r>
    </w:p>
    <w:p>
      <w:pPr>
        <w:pStyle w:val="FirstParagraph"/>
      </w:pPr>
      <w:r>
        <w:rPr>
          <w:bCs/>
          <w:b/>
        </w:rPr>
        <w:t xml:space="preserve">Theoretisch:</w:t>
      </w:r>
      <w:r>
        <w:t xml:space="preserve"> </w:t>
      </w:r>
      <w:r>
        <w:t xml:space="preserve">als preparaat uit dierlijk hersenweefsel is Cerebrolysin principieel verbonden met vragen over zuiverheid en overdraagbaarheid van ziekteverwekkers; productieproces en eisen van de autoriteiten moeten dit risico minimaliseren. Concrete gevallen van overdracht zijn in de hier geanalyseerde bronnen niet beschreven.</w:t>
      </w:r>
    </w:p>
    <w:p>
      <w:pPr>
        <w:pStyle w:val="BodyText"/>
      </w:pPr>
      <w:r>
        <w:rPr>
          <w:bCs/>
          <w:b/>
        </w:rPr>
        <w:t xml:space="preserve">Grijze markt:</w:t>
      </w:r>
      <w:r>
        <w:t xml:space="preserve"> </w:t>
      </w:r>
      <w:r>
        <w:t xml:space="preserve">op nootropicafora wordt Cerebrolysin besproken als „hersenbooster” en betrokken uit landen waar het beschikbaar is. Intraveneuze zelftoediening zonder medisch toezicht brengt het risico van ernstige allergische reacties met zich mee, waarvoor dan geen spoedeisende zorg beschikbaar is. Meer over grijze-marktproducten in Deel I en Deel IV.</w:t>
      </w:r>
    </w:p>
    <w:bookmarkEnd w:id="634"/>
    <w:bookmarkStart w:id="635" w:name="juridische-status-36"/>
    <w:p>
      <w:pPr>
        <w:pStyle w:val="Heading3"/>
      </w:pPr>
      <w:r>
        <w:t xml:space="preserve">Juridische status</w:t>
      </w:r>
    </w:p>
    <w:p>
      <w:pPr>
        <w:numPr>
          <w:ilvl w:val="0"/>
          <w:numId w:val="1206"/>
        </w:numPr>
        <w:pStyle w:val="Compact"/>
      </w:pPr>
      <w:r>
        <w:rPr>
          <w:bCs/>
          <w:b/>
        </w:rPr>
        <w:t xml:space="preserve">EU / Oostenrijk / Duitsland:</w:t>
      </w:r>
      <w:r>
        <w:t xml:space="preserve"> </w:t>
      </w:r>
      <w:r>
        <w:t xml:space="preserve">geen centrale EU-toelating. In Oostenrijk is Cerebrolysin als receptplichtig geneesmiddel nationaal toegelaten; indicaties en vergoeding volgen de Oostenrijkse productinformatie. Andere EU-staten hebben eigen nationale toelatingen. In Duitsland is Cerebrolysin naar onze kennis niet in de handel; verkrijging zou hoogstens mogelijk zijn als individuele invoer op medisch voorschrift (stand 2026, actuele situatie controleren).</w:t>
      </w:r>
    </w:p>
    <w:p>
      <w:pPr>
        <w:numPr>
          <w:ilvl w:val="0"/>
          <w:numId w:val="1206"/>
        </w:numPr>
        <w:pStyle w:val="Compact"/>
      </w:pPr>
      <w:r>
        <w:rPr>
          <w:bCs/>
          <w:b/>
        </w:rPr>
        <w:t xml:space="preserve">VS:</w:t>
      </w:r>
      <w:r>
        <w:t xml:space="preserve"> </w:t>
      </w:r>
      <w:r>
        <w:t xml:space="preserve">niet toegelaten.</w:t>
      </w:r>
    </w:p>
    <w:p>
      <w:pPr>
        <w:numPr>
          <w:ilvl w:val="0"/>
          <w:numId w:val="1206"/>
        </w:numPr>
        <w:pStyle w:val="Compact"/>
      </w:pPr>
      <w:r>
        <w:rPr>
          <w:bCs/>
          <w:b/>
        </w:rPr>
        <w:t xml:space="preserve">Sport:</w:t>
      </w:r>
      <w:r>
        <w:t xml:space="preserve"> </w:t>
      </w:r>
      <w:r>
        <w:t xml:space="preserve">niet op de WADA-lijst (stand 2026, actuele situatie controleren).</w:t>
      </w:r>
    </w:p>
    <w:p>
      <w:pPr>
        <w:numPr>
          <w:ilvl w:val="0"/>
          <w:numId w:val="1206"/>
        </w:numPr>
        <w:pStyle w:val="Compact"/>
      </w:pPr>
      <w:r>
        <w:t xml:space="preserve">Bij toegelaten gebruik geldt: zie de productinformatie en medische begeleiding.</w:t>
      </w:r>
    </w:p>
    <w:bookmarkEnd w:id="635"/>
    <w:bookmarkStart w:id="636" w:name="lopende-studies-en-vooruitzichten-36"/>
    <w:p>
      <w:pPr>
        <w:pStyle w:val="Heading3"/>
      </w:pPr>
      <w:r>
        <w:t xml:space="preserve">Lopende studies en vooruitzichten</w:t>
      </w:r>
    </w:p>
    <w:p>
      <w:pPr>
        <w:pStyle w:val="FirstParagraph"/>
      </w:pPr>
      <w:r>
        <w:rPr>
          <w:bCs/>
          <w:b/>
        </w:rPr>
        <w:t xml:space="preserve">Vast staat (geregistreerde studies, stand oktober 2026):</w:t>
      </w:r>
    </w:p>
    <w:p>
      <w:pPr>
        <w:numPr>
          <w:ilvl w:val="0"/>
          <w:numId w:val="1207"/>
        </w:numPr>
        <w:pStyle w:val="Compact"/>
      </w:pPr>
      <w:r>
        <w:rPr>
          <w:bCs/>
          <w:b/>
        </w:rPr>
        <w:t xml:space="preserve">CERebrolysin In CADASIL</w:t>
      </w:r>
      <w:r>
        <w:t xml:space="preserve"> </w:t>
      </w:r>
      <w:r>
        <w:t xml:space="preserve">(NCT05755997): fase 2-studie met 30 deelnemers bij de erfelijke vaatziekte CADASIL, actief, werving afgerond.</w:t>
      </w:r>
    </w:p>
    <w:p>
      <w:pPr>
        <w:numPr>
          <w:ilvl w:val="0"/>
          <w:numId w:val="1207"/>
        </w:numPr>
        <w:pStyle w:val="Compact"/>
      </w:pPr>
      <w:r>
        <w:rPr>
          <w:bCs/>
          <w:b/>
        </w:rPr>
        <w:t xml:space="preserve">Afasie na beroerte</w:t>
      </w:r>
      <w:r>
        <w:t xml:space="preserve"> </w:t>
      </w:r>
      <w:r>
        <w:t xml:space="preserve">(NCT06897176): gerandomiseerde, placebogecontroleerde studie met 40 deelnemers in Korea, werving loopt.</w:t>
      </w:r>
    </w:p>
    <w:p>
      <w:pPr>
        <w:numPr>
          <w:ilvl w:val="0"/>
          <w:numId w:val="1207"/>
        </w:numPr>
        <w:pStyle w:val="Compact"/>
      </w:pPr>
      <w:r>
        <w:rPr>
          <w:bCs/>
          <w:b/>
        </w:rPr>
        <w:t xml:space="preserve">Cerebrolysin na uitgebreide trombectomie</w:t>
      </w:r>
      <w:r>
        <w:t xml:space="preserve"> </w:t>
      </w:r>
      <w:r>
        <w:t xml:space="preserve">(NCT06339411): fase 2-studie met 100 geplande deelnemers in Taiwan, start 2026.</w:t>
      </w:r>
    </w:p>
    <w:p>
      <w:pPr>
        <w:numPr>
          <w:ilvl w:val="0"/>
          <w:numId w:val="1207"/>
        </w:numPr>
        <w:pStyle w:val="Compact"/>
      </w:pPr>
      <w:r>
        <w:t xml:space="preserve">Andere kleinere studies naar delier na hartoperaties en op de intensive care, naar hersenbloeding en naar vroege revalidatie zijn geregistreerd.</w:t>
      </w:r>
    </w:p>
    <w:p>
      <w:pPr>
        <w:pStyle w:val="FirstParagraph"/>
      </w:pPr>
      <w:r>
        <w:rPr>
          <w:bCs/>
          <w:b/>
        </w:rPr>
        <w:t xml:space="preserve">Inschatting:</w:t>
      </w:r>
      <w:r>
        <w:t xml:space="preserve"> </w:t>
      </w:r>
      <w:r>
        <w:t xml:space="preserve">geen van de geregistreerde studies is groot genoeg om de centrale open vraag te beantwoorden: vermindert Cerebrolysin blijvende invaliditeit of sterfte na een beroerte? Daarvoor zou een onafhankelijk uitgevoerde, voldoende grote studie nodig zijn met een duidelijk, vooraf vastgelegd primair eindpunt zoals de gemodificeerde Rankinschaal na 90 dagen. Zolang die ontbreekt, blijft de beoordeling verdeeld tussen „in Oost-Europa en Azië gevestigd” en „in het Westen onvoldoende aangetoond”.</w:t>
      </w:r>
    </w:p>
    <w:bookmarkEnd w:id="636"/>
    <w:bookmarkStart w:id="637" w:name="conclusie-36"/>
    <w:p>
      <w:pPr>
        <w:pStyle w:val="Heading3"/>
      </w:pPr>
      <w:r>
        <w:t xml:space="preserve">Conclusie</w:t>
      </w:r>
    </w:p>
    <w:p>
      <w:pPr>
        <w:pStyle w:val="FirstParagraph"/>
      </w:pPr>
      <w:r>
        <w:t xml:space="preserve">Cerebrolysin is een uit varkenshersenen gewonnen peptidemengsel dat in Oostenrijk en veel landen in Oost-Europa en Azië wordt gebruikt bij beroerte, traumatisch hersenletsel en dementie. Talrijke gerandomiseerde studies laten vroege verbeteringen op neurologische schalen zien, maar de grootste studie (CASTA) met meer dan 1.000 personen haalde haar primaire eindpunt niet. De onafhankelijke Cochrane-reviews vinden geen invloed op de sterfte, een signaal van meer niet-fatale ernstige bijwerkingen bij beroerte en slechts zeer onzekere voordelen bij vasculaire dementie. Analyses die dicht bij de fabrikant staan, komen tot duidelijk positievere resultaten. De gegevens volstaan niet om een klinisch betekenisvol langetermijnnut met zekerheid aan te tonen; als zelfbehandeling of „nootropicum” is Cerebrolysin ongeschikt.</w:t>
      </w:r>
    </w:p>
    <w:bookmarkEnd w:id="637"/>
    <w:bookmarkEnd w:id="638"/>
    <w:bookmarkStart w:id="648" w:name="dihexa"/>
    <w:p>
      <w:pPr>
        <w:pStyle w:val="Heading2"/>
      </w:pPr>
      <w:r>
        <w:t xml:space="preserve">Dihexa</w:t>
      </w:r>
    </w:p>
    <w:bookmarkStart w:id="639" w:name="profiel-37"/>
    <w:p>
      <w:pPr>
        <w:pStyle w:val="Heading3"/>
      </w:pPr>
      <w:r>
        <w:t xml:space="preserve">Profiel</w:t>
      </w:r>
    </w:p>
    <w:p>
      <w:pPr>
        <w:numPr>
          <w:ilvl w:val="0"/>
          <w:numId w:val="1208"/>
        </w:numPr>
        <w:pStyle w:val="Compact"/>
      </w:pPr>
      <w:r>
        <w:rPr>
          <w:bCs/>
          <w:b/>
        </w:rPr>
        <w:t xml:space="preserve">Soort en structuur:</w:t>
      </w:r>
      <w:r>
        <w:t xml:space="preserve"> </w:t>
      </w:r>
      <w:r>
        <w:t xml:space="preserve">chemisch gewijzigd minipeptide, afgeleid van angiotensine IV, een fragment van het bloeddrukregulerende hormoonsysteem. De kern bestaat uit twee aminozuren (tyrosine en isoleucine), aan beide uiteinden voorzien van vetzuurachtige ketens; chemische naam N-hexanoyl-Tyr-Ile-(6)-aminohexaanzuuramide, onderzoekscode PNB-0408.</w:t>
      </w:r>
    </w:p>
    <w:p>
      <w:pPr>
        <w:numPr>
          <w:ilvl w:val="0"/>
          <w:numId w:val="1208"/>
        </w:numPr>
        <w:pStyle w:val="Compact"/>
      </w:pPr>
      <w:r>
        <w:rPr>
          <w:bCs/>
          <w:b/>
        </w:rPr>
        <w:t xml:space="preserve">Herkomst:</w:t>
      </w:r>
      <w:r>
        <w:t xml:space="preserve"> </w:t>
      </w:r>
      <w:r>
        <w:t xml:space="preserve">ontwikkeld rond 2012 aan de Washington State University (VS).</w:t>
      </w:r>
    </w:p>
    <w:p>
      <w:pPr>
        <w:numPr>
          <w:ilvl w:val="0"/>
          <w:numId w:val="1208"/>
        </w:numPr>
        <w:pStyle w:val="Compact"/>
      </w:pPr>
      <w:r>
        <w:rPr>
          <w:bCs/>
          <w:b/>
        </w:rPr>
        <w:t xml:space="preserve">Werkingsprincipe:</w:t>
      </w:r>
      <w:r>
        <w:t xml:space="preserve"> </w:t>
      </w:r>
      <w:r>
        <w:t xml:space="preserve">zou het groeifactorsysteem HGF/c-Met versterken (HGF = hepatocytengroeifactor, c-Met = de receptor ervan) en zo de vorming van nieuwe zenuwverbindingen (synapsen) stimuleren.</w:t>
      </w:r>
    </w:p>
    <w:p>
      <w:pPr>
        <w:numPr>
          <w:ilvl w:val="0"/>
          <w:numId w:val="1208"/>
        </w:numPr>
        <w:pStyle w:val="Compact"/>
      </w:pPr>
      <w:r>
        <w:rPr>
          <w:bCs/>
          <w:b/>
        </w:rPr>
        <w:t xml:space="preserve">Registratie EU:</w:t>
      </w:r>
      <w:r>
        <w:t xml:space="preserve"> </w:t>
      </w:r>
      <w:r>
        <w:t xml:space="preserve">nee.</w:t>
      </w:r>
    </w:p>
    <w:p>
      <w:pPr>
        <w:numPr>
          <w:ilvl w:val="0"/>
          <w:numId w:val="1208"/>
        </w:numPr>
        <w:pStyle w:val="Compact"/>
      </w:pPr>
      <w:r>
        <w:rPr>
          <w:bCs/>
          <w:b/>
        </w:rPr>
        <w:t xml:space="preserve">Registratie VS:</w:t>
      </w:r>
      <w:r>
        <w:t xml:space="preserve"> </w:t>
      </w:r>
      <w:r>
        <w:t xml:space="preserve">nee. Dihexa stond vanaf 2023 in de FDA-„categorie 2” voor grondstoffen voor bereidingen met veiligheidsbezwaren; in april 2026 werd het daarvan geschrapt, een beoordeling door het adviescomité PCAC is aangekondigd voor een vergadering tot februari 2027 (stand oktober 2026, actuele situatie controleren).</w:t>
      </w:r>
    </w:p>
    <w:p>
      <w:pPr>
        <w:numPr>
          <w:ilvl w:val="0"/>
          <w:numId w:val="1208"/>
        </w:numPr>
        <w:pStyle w:val="Compact"/>
      </w:pPr>
      <w:r>
        <w:rPr>
          <w:bCs/>
          <w:b/>
        </w:rPr>
        <w:t xml:space="preserve">WADA:</w:t>
      </w:r>
      <w:r>
        <w:t xml:space="preserve"> </w:t>
      </w:r>
      <w:r>
        <w:t xml:space="preserve">niet bij naam vermeld; als nergens toegelaten stof valt dihexa naar onze inschatting onder de verzamelcategorie S0 „niet-toegelaten stoffen” (stand 2026, actuele situatie controleren).</w:t>
      </w:r>
    </w:p>
    <w:p>
      <w:pPr>
        <w:numPr>
          <w:ilvl w:val="0"/>
          <w:numId w:val="1208"/>
        </w:numPr>
        <w:pStyle w:val="Compact"/>
      </w:pPr>
      <w:r>
        <w:rPr>
          <w:bCs/>
          <w:b/>
        </w:rPr>
        <w:t xml:space="preserve">Bewijsniveau:</w:t>
      </w:r>
      <w:r>
        <w:t xml:space="preserve"> </w:t>
      </w:r>
      <w:r>
        <w:rPr>
          <w:bCs/>
          <w:b/>
        </w:rPr>
        <w:t xml:space="preserve">D</w:t>
      </w:r>
      <w:r>
        <w:t xml:space="preserve"> </w:t>
      </w:r>
      <w:r>
        <w:t xml:space="preserve">– niet één gepubliceerde studie bij mensen.</w:t>
      </w:r>
    </w:p>
    <w:bookmarkEnd w:id="639"/>
    <w:bookmarkStart w:id="640" w:name="hoe-het-zou-moeten-werken-37"/>
    <w:p>
      <w:pPr>
        <w:pStyle w:val="Heading3"/>
      </w:pPr>
      <w:r>
        <w:t xml:space="preserve">Hoe het zou moeten werken</w:t>
      </w:r>
    </w:p>
    <w:p>
      <w:pPr>
        <w:pStyle w:val="FirstParagraph"/>
      </w:pPr>
      <w:r>
        <w:t xml:space="preserve">Angiotensine IV is een kort peptide dat in het lichaam ontstaat uit het bloeddrukhormoon angiotensine II. Sinds de jaren negentig zagen onderzoekers dat angiotensine IV en verwante moleculen bij ratten leren en geheugen verbeteren als men ze rechtstreeks in de hersenen spuit. Voor een geneesmiddel was dat onbruikbaar: de peptiden werden snel afgebroken en kwamen noch vanuit de darm in het bloed noch over de bloed-hersenbarrière.</w:t>
      </w:r>
    </w:p>
    <w:p>
      <w:pPr>
        <w:pStyle w:val="BodyText"/>
      </w:pPr>
      <w:r>
        <w:t xml:space="preserve">De onderzoeksgroep rond Joseph Harding en John Wright in Washington verkortte het molecuul daarom tot zijn werkzame kern en voorzag het van chemische beschermgroepen. Het resultaat was dihexa: stabiel tegen afbraak, bij ratten via de mond werkzaam en in staat de hersenen te bereiken. Bij ratten met een door geneesmiddelen opgewekte geheugenstoornis en bij oude ratten verbeterde het de prestaties in het waterdoolhof en bevorderde het de synapsvorming in de hippocampus (McCoy 2013, PMID 23055539).</w:t>
      </w:r>
    </w:p>
    <w:p>
      <w:pPr>
        <w:pStyle w:val="BodyText"/>
      </w:pPr>
      <w:r>
        <w:t xml:space="preserve">Later vond dezelfde groep het vermoedelijke werkingsmechanisme: dihexa bindt aan de groeifactor HGF en versterkt diens signaal op de receptor c-Met. Werd het HGF-systeem in de hersenen van ratten geblokkeerd, dan verdween het geheugenbevorderende effect (Benoist 2014, PMID 25187433). Dit artikel werd in 2025 door het vaktijdschrift teruggetrokken (intrekkingsnotitie: PMID 40312093), evenals een ander fundamenteel artikel van dezelfde groep over angiotensine-IV-afgeleiden als HGF/c-Met-modulatoren (intrekkingsnotitie: PMID 40312092). Het beschreven werkingsmechanisme is daarmee niet meer betrouwbaar onderbouwd; de redenen voor de intrekking vermelden de PubMed-vermeldingen niet.</w:t>
      </w:r>
    </w:p>
    <w:p>
      <w:pPr>
        <w:pStyle w:val="BodyText"/>
      </w:pPr>
      <w:r>
        <w:t xml:space="preserve">Op internet wordt dihexa vaak beschreven als een stof die vele malen sterker zou werken dan de zenuwgroeifactor BDNF. Zulke vergelijkingen komen uit celkweekexperimenten en zeggen niets over de vraag of en hoe dihexa bij mensen werkt.</w:t>
      </w:r>
    </w:p>
    <w:bookmarkEnd w:id="640"/>
    <w:bookmarkStart w:id="642" w:name="studies-bij-mensen-37"/>
    <w:p>
      <w:pPr>
        <w:pStyle w:val="Heading3"/>
      </w:pPr>
      <w:r>
        <w:t xml:space="preserve">Studies bij mensen</w:t>
      </w:r>
    </w:p>
    <w:p>
      <w:pPr>
        <w:pStyle w:val="FirstParagraph"/>
      </w:pPr>
      <w:r>
        <w:rPr>
          <w:bCs/>
          <w:b/>
        </w:rPr>
        <w:t xml:space="preserve">Omvang van het onderzoek:</w:t>
      </w:r>
      <w:r>
        <w:t xml:space="preserve"> </w:t>
      </w:r>
      <w:r>
        <w:t xml:space="preserve">De geautomatiseerde PubMed-zoekopdracht (oktober 2026) leverde</w:t>
      </w:r>
      <w:r>
        <w:t xml:space="preserve"> </w:t>
      </w:r>
      <w:r>
        <w:rPr>
          <w:bCs/>
          <w:b/>
        </w:rPr>
        <w:t xml:space="preserve">geen</w:t>
      </w:r>
      <w:r>
        <w:t xml:space="preserve"> </w:t>
      </w:r>
      <w:r>
        <w:t xml:space="preserve">studie bij mensen met dihexa op; in totaal vermeldt PubMed slechts 18 publicaties met de zoekterm, waaronder meerdere zonder verband met de werkzame stof. Op ClinicalTrials.gov is geen studie geregistreerd. Ook een gerichte aanvullende zoekopdracht naar casusbeschrijvingen, vergiftigingen of analyses van grijze-marktproducten bleef zonder resultaat.</w:t>
      </w:r>
    </w:p>
    <w:p>
      <w:pPr>
        <w:pStyle w:val="BodyText"/>
      </w:pPr>
      <w:r>
        <w:t xml:space="preserve">Er zijn dus geen gegevens over werkzaamheid, verdraagbaarheid, werkingsduur of geschikte hoeveelheden bij mensen. Alles wat over een werking bij mensen wordt gemeld, komt uit ervaringsverhalen op fora.</w:t>
      </w:r>
    </w:p>
    <w:bookmarkStart w:id="641" w:name="Xdee4229e04152ca6f2f2352a2d672ebb6ebc725"/>
    <w:p>
      <w:pPr>
        <w:pStyle w:val="Heading4"/>
      </w:pPr>
      <w:r>
        <w:t xml:space="preserve">Een verwant middel in de kliniek: fosgonimeton</w:t>
      </w:r>
    </w:p>
    <w:p>
      <w:pPr>
        <w:pStyle w:val="FirstParagraph"/>
      </w:pPr>
      <w:r>
        <w:t xml:space="preserve">Leerzaam is het lot van een andere werkzame stof die uit dezelfde onderzoeksbenadering – de versterking van het HGF/c-Met-systeem – voortkwam. Het bedrijf Athira Pharma ontwikkelde fosgonimeton (ATH-1017), een chemisch ander molecuul dat eveneens HGF/c-Met positief zou beïnvloeden. Fosgonimeton werd – anders dan dihexa – in reguliere klinische studies onderzocht: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Deelnemers en opzet</w:t>
            </w:r>
          </w:p>
        </w:tc>
        <w:tc>
          <w:tcPr/>
          <w:p>
            <w:pPr>
              <w:pStyle w:val="Compact"/>
              <w:jc w:val="left"/>
            </w:pPr>
            <w:r>
              <w:t xml:space="preserve">Duur</w:t>
            </w:r>
          </w:p>
        </w:tc>
        <w:tc>
          <w:tcPr/>
          <w:p>
            <w:pPr>
              <w:pStyle w:val="Compact"/>
              <w:jc w:val="left"/>
            </w:pPr>
            <w:r>
              <w:t xml:space="preserve">Resultaat</w:t>
            </w:r>
          </w:p>
        </w:tc>
      </w:tr>
      <w:tr>
        <w:tc>
          <w:tcPr/>
          <w:p>
            <w:pPr>
              <w:pStyle w:val="Compact"/>
              <w:jc w:val="left"/>
            </w:pPr>
            <w:r>
              <w:t xml:space="preserve">Fase 1 (Hua 2022), PMID 35180125</w:t>
            </w:r>
          </w:p>
        </w:tc>
        <w:tc>
          <w:tcPr/>
          <w:p>
            <w:pPr>
              <w:pStyle w:val="Compact"/>
              <w:jc w:val="left"/>
            </w:pPr>
            <w:r>
              <w:t xml:space="preserve">88 personen (gezonden en 11 mensen met alzheimer), dubbelblind tegen placebo</w:t>
            </w:r>
          </w:p>
        </w:tc>
        <w:tc>
          <w:tcPr/>
          <w:p>
            <w:pPr>
              <w:pStyle w:val="Compact"/>
              <w:jc w:val="left"/>
            </w:pPr>
            <w:r>
              <w:t xml:space="preserve">tot 9 dagen</w:t>
            </w:r>
          </w:p>
        </w:tc>
        <w:tc>
          <w:tcPr/>
          <w:p>
            <w:pPr>
              <w:pStyle w:val="Compact"/>
              <w:jc w:val="left"/>
            </w:pPr>
            <w:r>
              <w:t xml:space="preserve">goed verdragen; veranderingen op het eeg als aanwijzing dat het de hersenen bereikt</w:t>
            </w:r>
          </w:p>
        </w:tc>
      </w:tr>
      <w:tr>
        <w:tc>
          <w:tcPr/>
          <w:p>
            <w:pPr>
              <w:pStyle w:val="Compact"/>
              <w:jc w:val="left"/>
            </w:pPr>
            <w:r>
              <w:t xml:space="preserve">LIFT-AD (Porsteinsson 2025), PMID 41393340</w:t>
            </w:r>
          </w:p>
        </w:tc>
        <w:tc>
          <w:tcPr/>
          <w:p>
            <w:pPr>
              <w:pStyle w:val="Compact"/>
              <w:jc w:val="left"/>
            </w:pPr>
            <w:r>
              <w:t xml:space="preserve">287 personen met lichte tot matige ziekte van Alzheimer in de hoofdanalyse, fase 2/3 tegen placebo</w:t>
            </w:r>
          </w:p>
        </w:tc>
        <w:tc>
          <w:tcPr/>
          <w:p>
            <w:pPr>
              <w:pStyle w:val="Compact"/>
              <w:jc w:val="left"/>
            </w:pPr>
            <w:r>
              <w:t xml:space="preserve">26 weken</w:t>
            </w:r>
          </w:p>
        </w:tc>
        <w:tc>
          <w:tcPr/>
          <w:p>
            <w:pPr>
              <w:pStyle w:val="Compact"/>
              <w:jc w:val="left"/>
            </w:pPr>
            <w:r>
              <w:t xml:space="preserve">primaire en secundaire eindpunten niet gehaald; meer stopzettingen wegens bijwerkingen (14,2% vs. 4,6%)</w:t>
            </w:r>
          </w:p>
        </w:tc>
      </w:tr>
    </w:tbl>
    <w:p>
      <w:pPr>
        <w:pStyle w:val="BodyText"/>
      </w:pPr>
      <w:r>
        <w:t xml:space="preserve">In LIFT-AD (NCT04488419) verschilde fosgonimeton noch op het gecombineerde primaire eindpunt noch op geheugen- of dagelijks-functionerenschalen significant van placebo. Ernstige ongewenste voorvallen waren in evenwicht (4,2% tegenover 6,9%), stopzettingen wegens bijwerkingen – vooral reacties op de injectieplaats – kwamen onder fosgonimeton vaker voor (Porsteinsson 2025, PMID 41393340). Een studie bij parkinsondementie en lewy-body-dementie werd voortijdig beëindigd (NCT04831281).</w:t>
      </w:r>
    </w:p>
    <w:p>
      <w:pPr>
        <w:pStyle w:val="BodyText"/>
      </w:pPr>
      <w:r>
        <w:t xml:space="preserve">Dat bewijst niet dat dihexa onwerkzaam zou zijn – het is een andere stof. Het laat wel zien hoe weinig geheugenverbeteringen bij ratten zich laten vertalen naar mensen met dementie.</w:t>
      </w:r>
    </w:p>
    <w:bookmarkEnd w:id="641"/>
    <w:bookmarkEnd w:id="642"/>
    <w:bookmarkStart w:id="643" w:name="dier--en-laboratoriumstudies-37"/>
    <w:p>
      <w:pPr>
        <w:pStyle w:val="Heading3"/>
      </w:pPr>
      <w:r>
        <w:t xml:space="preserve">Dier- en laboratoriumstudies</w:t>
      </w:r>
    </w:p>
    <w:p>
      <w:pPr>
        <w:numPr>
          <w:ilvl w:val="0"/>
          <w:numId w:val="1209"/>
        </w:numPr>
        <w:pStyle w:val="Compact"/>
      </w:pPr>
      <w:r>
        <w:t xml:space="preserve">Bij ratten met een geheugenstoornis door scopolamine en bij oude ratten verbeterde dihexa het ruimtelijk leren en bevorderde het de synapsvorming (McCoy 2013, PMID 23055539).</w:t>
      </w:r>
    </w:p>
    <w:p>
      <w:pPr>
        <w:numPr>
          <w:ilvl w:val="0"/>
          <w:numId w:val="1209"/>
        </w:numPr>
        <w:pStyle w:val="Compact"/>
      </w:pPr>
      <w:r>
        <w:t xml:space="preserve">Bij alzheimermodelmuizen (APP/PS1) verbeterde dihexa het leren in het waterdoolhof en verminderde het ontstekingskenmerken in de hersenen (Sun 2021, PMID 34827486).</w:t>
      </w:r>
    </w:p>
    <w:p>
      <w:pPr>
        <w:numPr>
          <w:ilvl w:val="0"/>
          <w:numId w:val="1209"/>
        </w:numPr>
        <w:pStyle w:val="Compact"/>
      </w:pPr>
      <w:r>
        <w:t xml:space="preserve">In een rattenmodel van de ziekte van Huntington beschermde dihexa</w:t>
      </w:r>
      <w:r>
        <w:t xml:space="preserve"> </w:t>
      </w:r>
      <w:r>
        <w:rPr>
          <w:bCs/>
          <w:b/>
        </w:rPr>
        <w:t xml:space="preserve">niet</w:t>
      </w:r>
      <w:r>
        <w:t xml:space="preserve"> </w:t>
      </w:r>
      <w:r>
        <w:t xml:space="preserve">tegen de uitvalsverschijnselen (Wells 2024, PMID 38489193).</w:t>
      </w:r>
    </w:p>
    <w:p>
      <w:pPr>
        <w:numPr>
          <w:ilvl w:val="0"/>
          <w:numId w:val="1209"/>
        </w:numPr>
        <w:pStyle w:val="Compact"/>
      </w:pPr>
      <w:r>
        <w:t xml:space="preserve">Bij zebravislarven beschermde dihexa zintuiglijke haarcellen tegen schade door bepaalde antibiotica (Uribe 2015, PMID 25674052).</w:t>
      </w:r>
    </w:p>
    <w:p>
      <w:pPr>
        <w:numPr>
          <w:ilvl w:val="0"/>
          <w:numId w:val="1209"/>
        </w:numPr>
        <w:pStyle w:val="Compact"/>
      </w:pPr>
      <w:r>
        <w:t xml:space="preserve">In het stamcelonderzoek wordt dihexa gebruikt als goedkope vervanging van groeifactoren bij de productie van levercelachtige cellen (Pan 2022, PMID 35410439) – een aanwijzing voor hoe breed het HGF-systeem in het lichaam werkt.</w:t>
      </w:r>
    </w:p>
    <w:p>
      <w:pPr>
        <w:pStyle w:val="FirstParagraph"/>
      </w:pPr>
      <w:r>
        <w:t xml:space="preserve">Een systematische review van angiotensine-IV-afgeleiden vond in acht van negen dierstudies naar geheugenstoornissen gunstige effecten, maar benadrukt dat de stoffen het best werkten wanneer ze rechtstreeks in de hersenen werden toegediend (Ho 2018, PMID 29733881).</w:t>
      </w:r>
    </w:p>
    <w:bookmarkEnd w:id="643"/>
    <w:bookmarkStart w:id="644" w:name="risicos-en-bijwerkingen-37"/>
    <w:p>
      <w:pPr>
        <w:pStyle w:val="Heading3"/>
      </w:pPr>
      <w:r>
        <w:t xml:space="preserve">Risico’s en bijwerkingen</w:t>
      </w:r>
    </w:p>
    <w:p>
      <w:pPr>
        <w:pStyle w:val="FirstParagraph"/>
      </w:pPr>
      <w:r>
        <w:rPr>
          <w:bCs/>
          <w:b/>
        </w:rPr>
        <w:t xml:space="preserve">Aangetoond:</w:t>
      </w:r>
      <w:r>
        <w:t xml:space="preserve"> </w:t>
      </w:r>
      <w:r>
        <w:t xml:space="preserve">er zijn geen gepubliceerde veiligheidsgegevens bij mensen – noch uit studies noch uit casusbeschrijvingen.</w:t>
      </w:r>
    </w:p>
    <w:p>
      <w:pPr>
        <w:pStyle w:val="BodyText"/>
      </w:pPr>
      <w:r>
        <w:rPr>
          <w:bCs/>
          <w:b/>
        </w:rPr>
        <w:t xml:space="preserve">Theoretisch – en serieus te nemen:</w:t>
      </w:r>
      <w:r>
        <w:t xml:space="preserve"> </w:t>
      </w:r>
      <w:r>
        <w:t xml:space="preserve">het HGF/c-Met-systeem is niet alleen belangrijk voor zenuwcellen. De activering van c-Met stimuleert celdeling, celmigratie en weefselombouw (Wright 2015, PMID 25649658). In het kankeronderzoek is c-Met bekend als aanjager van de groei en uitzaaiing van verschillende tumoren; meerdere toegelaten kankermiddelen blokkeren juist deze receptor. Een stof die dit signaal langdurig versterkt, zou theoretisch de groei van onopgemerkte tumoren kunnen bevorderen. Of dat bij dihexa het geval is, is nooit onderzocht – er zijn geen langetermijntoxiciteitsstudies in openbaar toegankelijke vorm. (Meer over groeisignalen en kankerrisico in Deel IV.)</w:t>
      </w:r>
    </w:p>
    <w:p>
      <w:pPr>
        <w:pStyle w:val="BodyText"/>
      </w:pPr>
      <w:r>
        <w:rPr>
          <w:bCs/>
          <w:b/>
        </w:rPr>
        <w:t xml:space="preserve">Grijze markt:</w:t>
      </w:r>
      <w:r>
        <w:t xml:space="preserve"> </w:t>
      </w:r>
      <w:r>
        <w:t xml:space="preserve">dihexa wordt online verkocht als poeder, capsules of oplossing, deels om in te nemen, deels om op de huid aan te brengen. Gehalte en zuiverheid zijn ongecontroleerd.</w:t>
      </w:r>
    </w:p>
    <w:bookmarkEnd w:id="644"/>
    <w:bookmarkStart w:id="645" w:name="juridische-status-37"/>
    <w:p>
      <w:pPr>
        <w:pStyle w:val="Heading3"/>
      </w:pPr>
      <w:r>
        <w:t xml:space="preserve">Juridische status</w:t>
      </w:r>
    </w:p>
    <w:p>
      <w:pPr>
        <w:numPr>
          <w:ilvl w:val="0"/>
          <w:numId w:val="1210"/>
        </w:numPr>
        <w:pStyle w:val="Compact"/>
      </w:pPr>
      <w:r>
        <w:rPr>
          <w:bCs/>
          <w:b/>
        </w:rPr>
        <w:t xml:space="preserve">EU / Oostenrijk / Duitsland:</w:t>
      </w:r>
      <w:r>
        <w:t xml:space="preserve"> </w:t>
      </w:r>
      <w:r>
        <w:t xml:space="preserve">niet toegelaten. Als stof met farmacologische werking geldt dihexa als geneesmiddel; verkoop voor gebruik bij mensen is niet toegestaan. De aanduiding „alleen voor onderzoeksdoeleinden” verandert daar niets aan (stand 2026, actuele situatie controleren).</w:t>
      </w:r>
    </w:p>
    <w:p>
      <w:pPr>
        <w:numPr>
          <w:ilvl w:val="0"/>
          <w:numId w:val="1210"/>
        </w:numPr>
        <w:pStyle w:val="Compact"/>
      </w:pPr>
      <w:r>
        <w:rPr>
          <w:bCs/>
          <w:b/>
        </w:rPr>
        <w:t xml:space="preserve">VS:</w:t>
      </w:r>
      <w:r>
        <w:t xml:space="preserve"> </w:t>
      </w:r>
      <w:r>
        <w:t xml:space="preserve">niet toegelaten. Sinds april 2026 niet meer in de FDA-„categorie 2”; over een mogelijke opname in de lijst van toegestane grondstoffen voor bereidingen heeft het adviescomité PCAC tot oktober 2026 nog niet beraadslaagd (stand oktober 2026, actuele situatie controleren).</w:t>
      </w:r>
    </w:p>
    <w:p>
      <w:pPr>
        <w:numPr>
          <w:ilvl w:val="0"/>
          <w:numId w:val="1210"/>
        </w:numPr>
        <w:pStyle w:val="Compact"/>
      </w:pPr>
      <w:r>
        <w:rPr>
          <w:bCs/>
          <w:b/>
        </w:rPr>
        <w:t xml:space="preserve">Sport:</w:t>
      </w:r>
      <w:r>
        <w:t xml:space="preserve"> </w:t>
      </w:r>
      <w:r>
        <w:t xml:space="preserve">valt als niet-toegelaten stof naar onze inschatting onder WADA-categorie S0 (stand 2026, actuele situatie controleren).</w:t>
      </w:r>
    </w:p>
    <w:bookmarkEnd w:id="645"/>
    <w:bookmarkStart w:id="646" w:name="lopende-studies-en-vooruitzichten-37"/>
    <w:p>
      <w:pPr>
        <w:pStyle w:val="Heading3"/>
      </w:pPr>
      <w:r>
        <w:t xml:space="preserve">Lopende studies en vooruitzichten</w:t>
      </w:r>
    </w:p>
    <w:p>
      <w:pPr>
        <w:pStyle w:val="FirstParagraph"/>
      </w:pPr>
      <w:r>
        <w:rPr>
          <w:bCs/>
          <w:b/>
        </w:rPr>
        <w:t xml:space="preserve">Vast staat:</w:t>
      </w:r>
      <w:r>
        <w:t xml:space="preserve"> </w:t>
      </w:r>
      <w:r>
        <w:t xml:space="preserve">voor dihexa is geen klinische studie geregistreerd (zoekopdracht oktober 2026). De verwante benadering fosgonimeton is in de alzheimerstudie LIFT-AD mislukt.</w:t>
      </w:r>
    </w:p>
    <w:p>
      <w:pPr>
        <w:pStyle w:val="BodyText"/>
      </w:pPr>
      <w:r>
        <w:rPr>
          <w:bCs/>
          <w:b/>
        </w:rPr>
        <w:t xml:space="preserve">Inschatting:</w:t>
      </w:r>
      <w:r>
        <w:t xml:space="preserve"> </w:t>
      </w:r>
      <w:r>
        <w:t xml:space="preserve">zonder toxiciteitsgegevens en een eerste studie bij mensen blijft dihexa een laboratoriumstof. Of de aangekondigde PCAC-beraadslaging in de VS daar iets aan verandert, is onzeker – die zou hoogstens apotheekbereidingen betreffen, niet het ontbrekende bewijs van werkzaamheid.</w:t>
      </w:r>
    </w:p>
    <w:bookmarkEnd w:id="646"/>
    <w:bookmarkStart w:id="647" w:name="conclusie-37"/>
    <w:p>
      <w:pPr>
        <w:pStyle w:val="Heading3"/>
      </w:pPr>
      <w:r>
        <w:t xml:space="preserve">Conclusie</w:t>
      </w:r>
    </w:p>
    <w:p>
      <w:pPr>
        <w:pStyle w:val="FirstParagraph"/>
      </w:pPr>
      <w:r>
        <w:t xml:space="preserve">Dihexa is een chemisch gestabiliseerde afgeleide van angiotensine IV die bij ratten en muizen leren en synapsvorming bevorderde, via het groeifactorsysteem HGF/c-Met. Bij mensen is het nooit onderzocht; een verwante werkzame stof (fosgonimeton) haalde in een alzheimerstudie met 287 personen geen enkel eindpunt. Omdat c-Met ook tumorgroei aandrijft, is er een plausibele, maar niet onderzochte zorg over kanker. De gegevens volstaan niet om enig nut of de veiligheid bij mensen te beoordelen.</w:t>
      </w:r>
    </w:p>
    <w:bookmarkEnd w:id="647"/>
    <w:bookmarkEnd w:id="648"/>
    <w:bookmarkStart w:id="660" w:name="dsip-delta-slaapinducerend-peptide"/>
    <w:p>
      <w:pPr>
        <w:pStyle w:val="Heading2"/>
      </w:pPr>
      <w:r>
        <w:t xml:space="preserve">DSIP (delta-slaapinducerend peptide)</w:t>
      </w:r>
    </w:p>
    <w:bookmarkStart w:id="649" w:name="profiel-38"/>
    <w:p>
      <w:pPr>
        <w:pStyle w:val="Heading3"/>
      </w:pPr>
      <w:r>
        <w:t xml:space="preserve">Profiel</w:t>
      </w:r>
    </w:p>
    <w:p>
      <w:pPr>
        <w:numPr>
          <w:ilvl w:val="0"/>
          <w:numId w:val="1211"/>
        </w:numPr>
        <w:pStyle w:val="Compact"/>
      </w:pPr>
      <w:r>
        <w:rPr>
          <w:bCs/>
          <w:b/>
        </w:rPr>
        <w:t xml:space="preserve">Soort en structuur:</w:t>
      </w:r>
      <w:r>
        <w:t xml:space="preserve"> </w:t>
      </w:r>
      <w:r>
        <w:t xml:space="preserve">nonapeptide van negen aminozuren (Trp-Ala-Gly-Gly-Asp-Ala-Ser-Gly-Glu); internationale generieke naam emideltide.</w:t>
      </w:r>
    </w:p>
    <w:p>
      <w:pPr>
        <w:numPr>
          <w:ilvl w:val="0"/>
          <w:numId w:val="1211"/>
        </w:numPr>
        <w:pStyle w:val="Compact"/>
      </w:pPr>
      <w:r>
        <w:rPr>
          <w:bCs/>
          <w:b/>
        </w:rPr>
        <w:t xml:space="preserve">Herkomst:</w:t>
      </w:r>
      <w:r>
        <w:t xml:space="preserve"> </w:t>
      </w:r>
      <w:r>
        <w:t xml:space="preserve">in 1977 door een onderzoeksgroep in Bazel geïsoleerd uit het hersenveneuze bloed van konijnen die door elektrische prikkeling in diepe slaap waren gebracht. Een gen, een voorlopereiwit of een receptor voor DSIP is tot op heden niet gevonden.</w:t>
      </w:r>
    </w:p>
    <w:p>
      <w:pPr>
        <w:numPr>
          <w:ilvl w:val="0"/>
          <w:numId w:val="1211"/>
        </w:numPr>
        <w:pStyle w:val="Compact"/>
      </w:pPr>
      <w:r>
        <w:rPr>
          <w:bCs/>
          <w:b/>
        </w:rPr>
        <w:t xml:space="preserve">Werkingsprincipe:</w:t>
      </w:r>
      <w:r>
        <w:t xml:space="preserve"> </w:t>
      </w:r>
      <w:r>
        <w:t xml:space="preserve">zou als lichaamseigen „slaapstof” de diepe slaap (deltaslaap met langzame eeg-golven) bevorderen; later werden invloeden op stresshormonen, pijn en ontwenningsverschijnselen vermoed.</w:t>
      </w:r>
    </w:p>
    <w:p>
      <w:pPr>
        <w:numPr>
          <w:ilvl w:val="0"/>
          <w:numId w:val="1211"/>
        </w:numPr>
        <w:pStyle w:val="Compact"/>
      </w:pPr>
      <w:r>
        <w:rPr>
          <w:bCs/>
          <w:b/>
        </w:rPr>
        <w:t xml:space="preserve">Registratie EU:</w:t>
      </w:r>
      <w:r>
        <w:t xml:space="preserve"> </w:t>
      </w:r>
      <w:r>
        <w:t xml:space="preserve">nee.</w:t>
      </w:r>
    </w:p>
    <w:p>
      <w:pPr>
        <w:numPr>
          <w:ilvl w:val="0"/>
          <w:numId w:val="1211"/>
        </w:numPr>
        <w:pStyle w:val="Compact"/>
      </w:pPr>
      <w:r>
        <w:rPr>
          <w:bCs/>
          <w:b/>
        </w:rPr>
        <w:t xml:space="preserve">Registratie VS:</w:t>
      </w:r>
      <w:r>
        <w:t xml:space="preserve"> </w:t>
      </w:r>
      <w:r>
        <w:t xml:space="preserve">nee. Emideltide werd in april 2026 van de FDA-„categorie 2” geschrapt; het adviescomité PCAC stemde in juli 2026 met 6 tegen 7 stemmen</w:t>
      </w:r>
      <w:r>
        <w:t xml:space="preserve"> </w:t>
      </w:r>
      <w:r>
        <w:rPr>
          <w:bCs/>
          <w:b/>
        </w:rPr>
        <w:t xml:space="preserve">tegen</w:t>
      </w:r>
      <w:r>
        <w:t xml:space="preserve"> </w:t>
      </w:r>
      <w:r>
        <w:t xml:space="preserve">opname in de lijst van toegestane grondstoffen voor bereidingen (stand oktober 2026, actuele situatie controleren).</w:t>
      </w:r>
    </w:p>
    <w:p>
      <w:pPr>
        <w:numPr>
          <w:ilvl w:val="0"/>
          <w:numId w:val="1211"/>
        </w:numPr>
        <w:pStyle w:val="Compact"/>
      </w:pPr>
      <w:r>
        <w:rPr>
          <w:bCs/>
          <w:b/>
        </w:rPr>
        <w:t xml:space="preserve">Rusland en buurlanden:</w:t>
      </w:r>
      <w:r>
        <w:t xml:space="preserve"> </w:t>
      </w:r>
      <w:r>
        <w:t xml:space="preserve">DSIP-preparaten (bijv. Deltaran, Deltalicin) werden daar in studies en in de praktijk gebruikt.</w:t>
      </w:r>
    </w:p>
    <w:p>
      <w:pPr>
        <w:numPr>
          <w:ilvl w:val="0"/>
          <w:numId w:val="1211"/>
        </w:numPr>
        <w:pStyle w:val="Compact"/>
      </w:pPr>
      <w:r>
        <w:rPr>
          <w:bCs/>
          <w:b/>
        </w:rPr>
        <w:t xml:space="preserve">WADA:</w:t>
      </w:r>
      <w:r>
        <w:t xml:space="preserve"> </w:t>
      </w:r>
      <w:r>
        <w:t xml:space="preserve">niet bij naam vermeld (stand 2026, actuele situatie controleren).</w:t>
      </w:r>
    </w:p>
    <w:p>
      <w:pPr>
        <w:numPr>
          <w:ilvl w:val="0"/>
          <w:numId w:val="1211"/>
        </w:numPr>
        <w:pStyle w:val="Compact"/>
      </w:pPr>
      <w:r>
        <w:rPr>
          <w:bCs/>
          <w:b/>
        </w:rPr>
        <w:t xml:space="preserve">Bewijsniveau:</w:t>
      </w:r>
      <w:r>
        <w:t xml:space="preserve"> </w:t>
      </w:r>
      <w:r>
        <w:rPr>
          <w:bCs/>
          <w:b/>
        </w:rPr>
        <w:t xml:space="preserve">C</w:t>
      </w:r>
      <w:r>
        <w:t xml:space="preserve"> </w:t>
      </w:r>
      <w:r>
        <w:t xml:space="preserve">– alleen zeer kleine, overwegend in de jaren tachtig uitgevoerde studies; de methodologisch beste daarvan vonden geen klinisch relevant nut.</w:t>
      </w:r>
    </w:p>
    <w:bookmarkEnd w:id="649"/>
    <w:bookmarkStart w:id="650" w:name="hoe-het-zou-moeten-werken-38"/>
    <w:p>
      <w:pPr>
        <w:pStyle w:val="Heading3"/>
      </w:pPr>
      <w:r>
        <w:t xml:space="preserve">Hoe het zou moeten werken</w:t>
      </w:r>
    </w:p>
    <w:p>
      <w:pPr>
        <w:pStyle w:val="FirstParagraph"/>
      </w:pPr>
      <w:r>
        <w:t xml:space="preserve">Het idee was eenvoudig en aantrekkelijk: als de hersenen tijdens de slaap een stof aan het bloed afgeven die bij andere dieren slaap opwekt, zou die een natuurlijk slaapmiddel kunnen zijn – zonder de nadelen van kalmeringsmiddelen. De onderzoekers in Bazel brachten bloed van slapende konijnen over op wakkere dieren en isoleerden daaruit het peptide dat zij voor het effect verantwoordelijk hielden (Monnier 1977, PMID 862769).</w:t>
      </w:r>
    </w:p>
    <w:p>
      <w:pPr>
        <w:pStyle w:val="BodyText"/>
      </w:pPr>
      <w:r>
        <w:t xml:space="preserve">De hoop is niet bevestigd. Een overzichtsartikel uit 2006 noemt DSIP een „nog altijd onopgelost raadsel”: het verband met de slaap zou „uiterst slecht gedocumenteerd” zijn, omdat noch het bijbehorende gen noch een receptor werd gevonden. In dierproeven bevorderden eerder bepaalde kunstmatige varianten de diepe slaap dan DSIP zelf. De auteurs vermoeden dat een tot nu toe onbekend, DSIP-achtig peptide verantwoordelijk zou kunnen zijn voor de waargenomen effecten (Kovalzon 2006, PMID 16539679).</w:t>
      </w:r>
    </w:p>
    <w:p>
      <w:pPr>
        <w:pStyle w:val="BodyText"/>
      </w:pPr>
      <w:r>
        <w:t xml:space="preserve">Andere vermoede effecten – op stresshormonen, pijnbeleving, het opioïdsysteem en antioxidatieve enzymen – komen overwegend uit dierproeven. Bij schapen passeerde gelabeld DSIP de barrière tussen bloed en hersenvocht in geringe tot matige mate (Zlokovic 1988, PMID 3420012).</w:t>
      </w:r>
    </w:p>
    <w:bookmarkEnd w:id="650"/>
    <w:bookmarkStart w:id="654" w:name="studies-bij-mensen-38"/>
    <w:p>
      <w:pPr>
        <w:pStyle w:val="Heading3"/>
      </w:pPr>
      <w:r>
        <w:t xml:space="preserve">Studies bij mensen</w:t>
      </w:r>
    </w:p>
    <w:p>
      <w:pPr>
        <w:pStyle w:val="FirstParagraph"/>
      </w:pPr>
      <w:r>
        <w:rPr>
          <w:bCs/>
          <w:b/>
        </w:rPr>
        <w:t xml:space="preserve">Omvang van het onderzoek:</w:t>
      </w:r>
      <w:r>
        <w:t xml:space="preserve"> </w:t>
      </w:r>
      <w:r>
        <w:t xml:space="preserve">De geautomatiseerde PubMed-zoekopdracht (oktober 2026) leverde 18 als studie bij mensen geclassificeerde publicaties op; een daarvan betreft bij nadere controle een ander onderwerp (wervelkolomchirurgie). Bijna alle dateren uit 1981 tot 1998 en hadden telkens tussen 1 en 16 deelnemers in placebogecontroleerde delen. Op ClinicalTrials.gov leverde de zoekopdracht één treffer op die geen betrekking heeft op DSIP; een geregistreerde DSIP-studie bestaat niet.</w:t>
      </w:r>
    </w:p>
    <w:bookmarkStart w:id="651" w:name="slaapstoornissen"/>
    <w:p>
      <w:pPr>
        <w:pStyle w:val="Heading4"/>
      </w:pPr>
      <w:r>
        <w:t xml:space="preserve">Slaapstoornissen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Deelnemers en opzet</w:t>
            </w:r>
          </w:p>
        </w:tc>
        <w:tc>
          <w:tcPr/>
          <w:p>
            <w:pPr>
              <w:pStyle w:val="Compact"/>
              <w:jc w:val="left"/>
            </w:pPr>
            <w:r>
              <w:t xml:space="preserve">Duur</w:t>
            </w:r>
          </w:p>
        </w:tc>
        <w:tc>
          <w:tcPr/>
          <w:p>
            <w:pPr>
              <w:pStyle w:val="Compact"/>
              <w:jc w:val="left"/>
            </w:pPr>
            <w:r>
              <w:t xml:space="preserve">Resultaat</w:t>
            </w:r>
          </w:p>
        </w:tc>
      </w:tr>
      <w:tr>
        <w:tc>
          <w:tcPr/>
          <w:p>
            <w:pPr>
              <w:pStyle w:val="Compact"/>
              <w:jc w:val="left"/>
            </w:pPr>
            <w:r>
              <w:t xml:space="preserve">Schneider-Helmert 1981, PMID 6895513</w:t>
            </w:r>
          </w:p>
        </w:tc>
        <w:tc>
          <w:tcPr/>
          <w:p>
            <w:pPr>
              <w:pStyle w:val="Compact"/>
              <w:jc w:val="left"/>
            </w:pPr>
            <w:r>
              <w:t xml:space="preserve">6 gezonden, dubbelblind, cross-over tegen placebo</w:t>
            </w:r>
          </w:p>
        </w:tc>
        <w:tc>
          <w:tcPr/>
          <w:p>
            <w:pPr>
              <w:pStyle w:val="Compact"/>
              <w:jc w:val="left"/>
            </w:pPr>
            <w:r>
              <w:t xml:space="preserve">eenmalig infuus</w:t>
            </w:r>
          </w:p>
        </w:tc>
        <w:tc>
          <w:tcPr/>
          <w:p>
            <w:pPr>
              <w:pStyle w:val="Compact"/>
              <w:jc w:val="left"/>
            </w:pPr>
            <w:r>
              <w:t xml:space="preserve">slaaptijd in 130 minuten 59% langer; geen klassieke sedatie</w:t>
            </w:r>
          </w:p>
        </w:tc>
      </w:tr>
      <w:tr>
        <w:tc>
          <w:tcPr/>
          <w:p>
            <w:pPr>
              <w:pStyle w:val="Compact"/>
              <w:jc w:val="left"/>
            </w:pPr>
            <w:r>
              <w:t xml:space="preserve">Schneider-Helmert 1981, PMID 7028502</w:t>
            </w:r>
          </w:p>
        </w:tc>
        <w:tc>
          <w:tcPr/>
          <w:p>
            <w:pPr>
              <w:pStyle w:val="Compact"/>
              <w:jc w:val="left"/>
            </w:pPr>
            <w:r>
              <w:t xml:space="preserve">6 personen met chronische slapeloosheid</w:t>
            </w:r>
          </w:p>
        </w:tc>
        <w:tc>
          <w:tcPr/>
          <w:p>
            <w:pPr>
              <w:pStyle w:val="Compact"/>
              <w:jc w:val="left"/>
            </w:pPr>
            <w:r>
              <w:t xml:space="preserve">eenmalige toediening</w:t>
            </w:r>
          </w:p>
        </w:tc>
        <w:tc>
          <w:tcPr/>
          <w:p>
            <w:pPr>
              <w:pStyle w:val="Compact"/>
              <w:jc w:val="left"/>
            </w:pPr>
            <w:r>
              <w:t xml:space="preserve">langere, minder onderbroken slaap</w:t>
            </w:r>
          </w:p>
        </w:tc>
      </w:tr>
      <w:tr>
        <w:tc>
          <w:tcPr/>
          <w:p>
            <w:pPr>
              <w:pStyle w:val="Compact"/>
              <w:jc w:val="left"/>
            </w:pPr>
            <w:r>
              <w:t xml:space="preserve">Schneider-Helmert 1987, PMID 3622582</w:t>
            </w:r>
          </w:p>
        </w:tc>
        <w:tc>
          <w:tcPr/>
          <w:p>
            <w:pPr>
              <w:pStyle w:val="Compact"/>
              <w:jc w:val="left"/>
            </w:pPr>
            <w:r>
              <w:t xml:space="preserve">14 personen met ernstige chronische slapeloosheid, dubbelblind tegen placebo</w:t>
            </w:r>
          </w:p>
        </w:tc>
        <w:tc>
          <w:tcPr/>
          <w:p>
            <w:pPr>
              <w:pStyle w:val="Compact"/>
              <w:jc w:val="left"/>
            </w:pPr>
            <w:r>
              <w:t xml:space="preserve">7 nachten</w:t>
            </w:r>
          </w:p>
        </w:tc>
        <w:tc>
          <w:tcPr/>
          <w:p>
            <w:pPr>
              <w:pStyle w:val="Compact"/>
              <w:jc w:val="left"/>
            </w:pPr>
            <w:r>
              <w:t xml:space="preserve">slaapefficiëntie en dagprestaties volgens de auteurs op het niveau van gezonden</w:t>
            </w:r>
          </w:p>
        </w:tc>
      </w:tr>
      <w:tr>
        <w:tc>
          <w:tcPr/>
          <w:p>
            <w:pPr>
              <w:pStyle w:val="Compact"/>
              <w:jc w:val="left"/>
            </w:pPr>
            <w:r>
              <w:t xml:space="preserve">Monti 1987, PMID 3583493</w:t>
            </w:r>
          </w:p>
        </w:tc>
        <w:tc>
          <w:tcPr/>
          <w:p>
            <w:pPr>
              <w:pStyle w:val="Compact"/>
              <w:jc w:val="left"/>
            </w:pPr>
            <w:r>
              <w:t xml:space="preserve">personen met chronische slapeloosheid, dubbelblind, cross-over</w:t>
            </w:r>
          </w:p>
        </w:tc>
        <w:tc>
          <w:tcPr/>
          <w:p>
            <w:pPr>
              <w:pStyle w:val="Compact"/>
              <w:jc w:val="left"/>
            </w:pPr>
            <w:r>
              <w:t xml:space="preserve">4 nachten</w:t>
            </w:r>
          </w:p>
        </w:tc>
        <w:tc>
          <w:tcPr/>
          <w:p>
            <w:pPr>
              <w:pStyle w:val="Compact"/>
              <w:jc w:val="left"/>
            </w:pPr>
            <w:r>
              <w:t xml:space="preserve">verbeteringen „van geringe klinische betekenis”; verschillen bestonden al vóór de behandeling</w:t>
            </w:r>
          </w:p>
        </w:tc>
      </w:tr>
      <w:tr>
        <w:tc>
          <w:tcPr/>
          <w:p>
            <w:pPr>
              <w:pStyle w:val="Compact"/>
              <w:jc w:val="left"/>
            </w:pPr>
            <w:r>
              <w:t xml:space="preserve">Bes 1992, PMID 1299794</w:t>
            </w:r>
          </w:p>
        </w:tc>
        <w:tc>
          <w:tcPr/>
          <w:p>
            <w:pPr>
              <w:pStyle w:val="Compact"/>
              <w:jc w:val="left"/>
            </w:pPr>
            <w:r>
              <w:t xml:space="preserve">16 personen met chronische slapeloosheid, dubbelblind tegen placebo</w:t>
            </w:r>
          </w:p>
        </w:tc>
        <w:tc>
          <w:tcPr/>
          <w:p>
            <w:pPr>
              <w:pStyle w:val="Compact"/>
              <w:jc w:val="left"/>
            </w:pPr>
            <w:r>
              <w:t xml:space="preserve">3 nachten</w:t>
            </w:r>
          </w:p>
        </w:tc>
        <w:tc>
          <w:tcPr/>
          <w:p>
            <w:pPr>
              <w:pStyle w:val="Compact"/>
              <w:jc w:val="left"/>
            </w:pPr>
            <w:r>
              <w:t xml:space="preserve">zwakke effecten, deels door toevalsschommelingen te verklaren; „geen groter therapeutisch nut”</w:t>
            </w:r>
          </w:p>
        </w:tc>
      </w:tr>
    </w:tbl>
    <w:p>
      <w:pPr>
        <w:pStyle w:val="BodyText"/>
      </w:pPr>
      <w:r>
        <w:t xml:space="preserve">De eerste studies kwamen vrijwel allemaal van één enkele onderzoeksgroep in Bazel en waren zonder uitzondering positief. Bij zes gezonde vrijwilligers verlengde een infuus ’s ochtends de slaaptijd in de ruim twee uur daarna met 59%, zonder dat de deelnemers in klassieke zin gesedeerd leken (Schneider-Helmert 1981, PMID 6895513). Bij 14 personen met ernstige slapeloosheid bereikten slaapefficiëntie en dagprestaties na zeven nachten volgens de auteurs het niveau van gezonde controlepersonen (Schneider-Helmert 1987, PMID 3622582).</w:t>
      </w:r>
    </w:p>
    <w:p>
      <w:pPr>
        <w:pStyle w:val="BodyText"/>
      </w:pPr>
      <w:r>
        <w:t xml:space="preserve">Onafhankelijke groepen konden dat niet bevestigen. Een studie vond weliswaar meer totale en NREM-slaap, maar de significante verschillen met placebo (NREM-slaap en slaapstadium 2) bestonden al vóór de behandeling; de auteurs beoordeelden de verbetering als klinisch weinig betekenisvol (Monti 1987, PMID 3583493). Een andere studie met 16 personen vond statistisch significante, maar zwakke effecten op slaapefficiëntie en inslaaptijd, die deels te verklaren waren door een toevallige verandering in de placebogroep; de subjectieve slaapkwaliteit veranderde niet. Haar conclusie: een kortdurende behandeling met DSIP heeft waarschijnlijk geen groter therapeutisch nut (Bes 1992, PMID 1299794).</w:t>
      </w:r>
    </w:p>
    <w:p>
      <w:pPr>
        <w:pStyle w:val="BodyText"/>
      </w:pPr>
      <w:r>
        <w:t xml:space="preserve">Dit patroon – enthousiaste eerste meldingen, ontnuchterende herhalingen – is typisch voor stoffen waarvan de werking op zeer kleine studies berust.</w:t>
      </w:r>
    </w:p>
    <w:bookmarkEnd w:id="651"/>
    <w:bookmarkStart w:id="652" w:name="ontwenning-pijn-en-andere-toepassingen"/>
    <w:p>
      <w:pPr>
        <w:pStyle w:val="Heading4"/>
      </w:pPr>
      <w:r>
        <w:t xml:space="preserve">Ontwenning, pijn en andere toepassingen</w:t>
      </w:r>
    </w:p>
    <w:p>
      <w:pPr>
        <w:pStyle w:val="FirstParagraph"/>
      </w:pPr>
      <w:r>
        <w:t xml:space="preserve">In de jaren tachtig werd DSIP gebruikt bij 107 opgenomen personen in ontwenning van alcohol of opiaten; volgens medische inschatting verdwenen de ontwenningsverschijnselen bij 97% van de opiaatverslaafden resp. 87% van de alcoholverslaafden of verbeterden ze duidelijk. Er was geen controlegroep, en een deel van de personen kon niet worden geanalyseerd (Dick 1984, PMID 6548969). Een latere open studie naar opioïdontgifting werd alleen gepubliceerd als korte mededeling zonder samenvatting (Backmund 1998, PMID 9617990). Andere afzonderlijke meldingen betreffen zeven personen met chronische pijn (Larbig 1984, PMID 6548970) en een man met narcolepsie (Schneider-Helmert 1984, PMID 6548968). Een studie onderzocht een DSIP-preparaat voor toediening in de neus (Deltalicin) bij diabetische netvliesaandoening, waarbij de elektrische prikkelresponsen van het netvlies verbeterden (Kresiun 2014, PMID 25739189).</w:t>
      </w:r>
    </w:p>
    <w:bookmarkEnd w:id="652"/>
    <w:bookmarkStart w:id="653" w:name="hormonen-en-narcose"/>
    <w:p>
      <w:pPr>
        <w:pStyle w:val="Heading4"/>
      </w:pPr>
      <w:r>
        <w:t xml:space="preserve">Hormonen en narcose</w:t>
      </w:r>
    </w:p>
    <w:p>
      <w:pPr>
        <w:pStyle w:val="FirstParagraph"/>
      </w:pPr>
      <w:r>
        <w:t xml:space="preserve">Meerdere kleine studies bij gezonde mensen onderzochten of DSIP stresshormonen beïnvloedt. Een studie met elf mannen vond na een injectie minder ACTH in het bloed, maar onveranderde cortisolwaarden (Bjartell 1989, PMID 2554357); een andere met in totaal 20 mannen vond geen invloed op ACTH en cortisol (Späth-Schwalbe 1995, PMID 7777652). Op groeihormoon en prolactine had DSIP bij vrouwen geen invloed (Giusti 1993, PMID 8475226).</w:t>
      </w:r>
    </w:p>
    <w:p>
      <w:pPr>
        <w:pStyle w:val="BodyText"/>
      </w:pPr>
      <w:r>
        <w:t xml:space="preserve">Opmerkelijk is een studie bij 24 vrouwen tijdens een narcose: in plaats van de narcose te verdiepen, zoals bij een „natuurlijke slaapstof” te verwachten zou zijn, verhoogde DSIP de hartfrequentie en verminderde het paradoxaal genoeg het deltaritme op het eeg (Pomfrett 2009, PMID 19142086).</w:t>
      </w:r>
    </w:p>
    <w:bookmarkEnd w:id="653"/>
    <w:bookmarkEnd w:id="654"/>
    <w:bookmarkStart w:id="655" w:name="dier--en-laboratoriumstudies-38"/>
    <w:p>
      <w:pPr>
        <w:pStyle w:val="Heading3"/>
      </w:pPr>
      <w:r>
        <w:t xml:space="preserve">Dier- en laboratoriumstudies</w:t>
      </w:r>
    </w:p>
    <w:p>
      <w:pPr>
        <w:numPr>
          <w:ilvl w:val="0"/>
          <w:numId w:val="1212"/>
        </w:numPr>
        <w:pStyle w:val="Compact"/>
      </w:pPr>
      <w:r>
        <w:t xml:space="preserve">Bij konijnen en ratten werden in vroege studies slaapbevorderende effecten beschreven, die echter niet consequent konden worden herhaald (Kovalzon 2006, PMID 16539679).</w:t>
      </w:r>
    </w:p>
    <w:p>
      <w:pPr>
        <w:numPr>
          <w:ilvl w:val="0"/>
          <w:numId w:val="1212"/>
        </w:numPr>
        <w:pStyle w:val="Compact"/>
      </w:pPr>
      <w:r>
        <w:t xml:space="preserve">Bij muizen leefden de oudste 10% van de dieren die levenslang een Russisch DSIP-preparaat kregen, 16% langer dan de controledieren; spontane tumoren traden later op (Voĭtenkov 2009, PMID 20405733). Deze publicatie komt uit de kring van de Russische gerontologie die ook epitalon onderzoekt (zie aldaar).</w:t>
      </w:r>
    </w:p>
    <w:p>
      <w:pPr>
        <w:numPr>
          <w:ilvl w:val="0"/>
          <w:numId w:val="1212"/>
        </w:numPr>
        <w:pStyle w:val="Compact"/>
      </w:pPr>
      <w:r>
        <w:t xml:space="preserve">Andere dierstudies beschrijven effecten op stressbestendigheid, pijnbeleving en antioxidatieve enzymen.</w:t>
      </w:r>
    </w:p>
    <w:bookmarkEnd w:id="655"/>
    <w:bookmarkStart w:id="656" w:name="risicos-en-bijwerkingen-38"/>
    <w:p>
      <w:pPr>
        <w:pStyle w:val="Heading3"/>
      </w:pPr>
      <w:r>
        <w:t xml:space="preserve">Risico’s en bijwerkingen</w:t>
      </w:r>
    </w:p>
    <w:p>
      <w:pPr>
        <w:pStyle w:val="FirstParagraph"/>
      </w:pPr>
      <w:r>
        <w:rPr>
          <w:bCs/>
          <w:b/>
        </w:rPr>
        <w:t xml:space="preserve">Aangetoond:</w:t>
      </w:r>
      <w:r>
        <w:t xml:space="preserve"> </w:t>
      </w:r>
      <w:r>
        <w:t xml:space="preserve">in de kleine studies werd DSIP als goed verdraagbaar beschreven; sporadisch trad hoofdpijn op (Dick 1984, PMID 6548969). Onder narcose verhoogde het de hartfrequentie en verminderde het de hartslagvariabiliteit (Pomfrett 2009, PMID 19142086). Systematische veiligheidsgegevens over meer dan enkele dagen zijn er niet.</w:t>
      </w:r>
    </w:p>
    <w:p>
      <w:pPr>
        <w:pStyle w:val="BodyText"/>
      </w:pPr>
      <w:r>
        <w:rPr>
          <w:bCs/>
          <w:b/>
        </w:rPr>
        <w:t xml:space="preserve">Theoretisch:</w:t>
      </w:r>
      <w:r>
        <w:t xml:space="preserve"> </w:t>
      </w:r>
      <w:r>
        <w:t xml:space="preserve">omdat noch de receptor noch de natuurlijke functie is opgehelderd, zijn werkingen en interacties – bijvoorbeeld met slaapmiddelen, alcohol of opioïden – nauwelijks te voorspellen.</w:t>
      </w:r>
    </w:p>
    <w:p>
      <w:pPr>
        <w:pStyle w:val="BodyText"/>
      </w:pPr>
      <w:r>
        <w:rPr>
          <w:bCs/>
          <w:b/>
        </w:rPr>
        <w:t xml:space="preserve">Grijze markt:</w:t>
      </w:r>
      <w:r>
        <w:t xml:space="preserve"> </w:t>
      </w:r>
      <w:r>
        <w:t xml:space="preserve">DSIP wordt online verkocht als poeder voor injectie en als slaapmiddel aangeprezen. De in de studies gebruikte preparaten werden via een infuus in de ader toegediend; gegevens over onderhuidse injectie ontbreken. Zuiverheid en gehalte van de grijze-marktproducten zijn ongecontroleerd.</w:t>
      </w:r>
    </w:p>
    <w:p>
      <w:pPr>
        <w:pStyle w:val="BodyText"/>
      </w:pPr>
      <w:r>
        <w:rPr>
          <w:bCs/>
          <w:b/>
        </w:rPr>
        <w:t xml:space="preserve">Belangrijk:</w:t>
      </w:r>
      <w:r>
        <w:t xml:space="preserve"> </w:t>
      </w:r>
      <w:r>
        <w:t xml:space="preserve">voor chronische slapeloosheid zijn er werkzame, goed onderzochte behandelingen, met voorop de cognitieve gedragstherapie bij insomnie.</w:t>
      </w:r>
    </w:p>
    <w:bookmarkEnd w:id="656"/>
    <w:bookmarkStart w:id="657" w:name="juridische-status-38"/>
    <w:p>
      <w:pPr>
        <w:pStyle w:val="Heading3"/>
      </w:pPr>
      <w:r>
        <w:t xml:space="preserve">Juridische status</w:t>
      </w:r>
    </w:p>
    <w:p>
      <w:pPr>
        <w:numPr>
          <w:ilvl w:val="0"/>
          <w:numId w:val="1213"/>
        </w:numPr>
        <w:pStyle w:val="Compact"/>
      </w:pPr>
      <w:r>
        <w:rPr>
          <w:bCs/>
          <w:b/>
        </w:rPr>
        <w:t xml:space="preserve">EU / Oostenrijk / Duitsland:</w:t>
      </w:r>
      <w:r>
        <w:t xml:space="preserve"> </w:t>
      </w:r>
      <w:r>
        <w:t xml:space="preserve">niet toegelaten; als stof met farmacologische werking geldt DSIP als geneesmiddel, verkoop voor gebruik bij mensen is niet toegestaan (stand 2026, actuele situatie controleren).</w:t>
      </w:r>
    </w:p>
    <w:p>
      <w:pPr>
        <w:numPr>
          <w:ilvl w:val="0"/>
          <w:numId w:val="1213"/>
        </w:numPr>
        <w:pStyle w:val="Compact"/>
      </w:pPr>
      <w:r>
        <w:rPr>
          <w:bCs/>
          <w:b/>
        </w:rPr>
        <w:t xml:space="preserve">VS:</w:t>
      </w:r>
      <w:r>
        <w:t xml:space="preserve"> </w:t>
      </w:r>
      <w:r>
        <w:t xml:space="preserve">niet toegelaten; het adviescomité PCAC sprak zich in juli 2026 nipt uit tegen toestemming voor apotheekbereidingen. De definitieve beslissing van de FDA was bij het afsluiten van de redactie nog niet genomen (stand oktober 2026, actuele situatie controleren).</w:t>
      </w:r>
    </w:p>
    <w:p>
      <w:pPr>
        <w:numPr>
          <w:ilvl w:val="0"/>
          <w:numId w:val="1213"/>
        </w:numPr>
        <w:pStyle w:val="Compact"/>
      </w:pPr>
      <w:r>
        <w:rPr>
          <w:bCs/>
          <w:b/>
        </w:rPr>
        <w:t xml:space="preserve">Sport:</w:t>
      </w:r>
      <w:r>
        <w:t xml:space="preserve"> </w:t>
      </w:r>
      <w:r>
        <w:t xml:space="preserve">niet bij naam op de WADA-lijst (stand 2026, actuele situatie controleren).</w:t>
      </w:r>
    </w:p>
    <w:bookmarkEnd w:id="657"/>
    <w:bookmarkStart w:id="658" w:name="lopende-studies-en-vooruitzichten-38"/>
    <w:p>
      <w:pPr>
        <w:pStyle w:val="Heading3"/>
      </w:pPr>
      <w:r>
        <w:t xml:space="preserve">Lopende studies en vooruitzichten</w:t>
      </w:r>
    </w:p>
    <w:p>
      <w:pPr>
        <w:pStyle w:val="FirstParagraph"/>
      </w:pPr>
      <w:r>
        <w:rPr>
          <w:bCs/>
          <w:b/>
        </w:rPr>
        <w:t xml:space="preserve">Vast staat:</w:t>
      </w:r>
      <w:r>
        <w:t xml:space="preserve"> </w:t>
      </w:r>
      <w:r>
        <w:t xml:space="preserve">op ClinicalTrials.gov is geen studie met DSIP geregistreerd (zoekopdracht oktober 2026). Sinds de jaren negentig zijn er vrijwel geen nieuwe klinische gegevens bijgekomen.</w:t>
      </w:r>
    </w:p>
    <w:p>
      <w:pPr>
        <w:pStyle w:val="BodyText"/>
      </w:pPr>
      <w:r>
        <w:rPr>
          <w:bCs/>
          <w:b/>
        </w:rPr>
        <w:t xml:space="preserve">Inschatting:</w:t>
      </w:r>
      <w:r>
        <w:t xml:space="preserve"> </w:t>
      </w:r>
      <w:r>
        <w:t xml:space="preserve">zonder duidelijkheid over receptor en natuurlijke functie en zonder moderne, voldoende grote slaapstudie valt niet te verwachten dat DSIP als geneesmiddel terugkeert.</w:t>
      </w:r>
    </w:p>
    <w:bookmarkEnd w:id="658"/>
    <w:bookmarkStart w:id="659" w:name="conclusie-38"/>
    <w:p>
      <w:pPr>
        <w:pStyle w:val="Heading3"/>
      </w:pPr>
      <w:r>
        <w:t xml:space="preserve">Conclusie</w:t>
      </w:r>
    </w:p>
    <w:p>
      <w:pPr>
        <w:pStyle w:val="FirstParagraph"/>
      </w:pPr>
      <w:r>
        <w:t xml:space="preserve">DSIP werd in 1977 ontdekt als mogelijke lichaamseigen „slaapstof”, maar gen, receptor en natuurlijke functie zijn tot op heden onbekend. Vroege studies van een groep in Bazel met telkens zes tot 14 personen meldden betere slaap; onafhankelijke placebogecontroleerde studies vonden slechts zwakke, klinisch weinig betekenisvolle effecten. Nieuwere gegevens bij mensen zijn er nauwelijks. De gegevens volstaan niet om DSIP als werkzaam of veilig slaapmiddel te beschouwen.</w:t>
      </w:r>
    </w:p>
    <w:bookmarkEnd w:id="659"/>
    <w:bookmarkEnd w:id="660"/>
    <w:bookmarkStart w:id="672" w:name="epitalon-epithalon"/>
    <w:p>
      <w:pPr>
        <w:pStyle w:val="Heading2"/>
      </w:pPr>
      <w:r>
        <w:t xml:space="preserve">Epitalon (epithalon)</w:t>
      </w:r>
    </w:p>
    <w:bookmarkStart w:id="661" w:name="profiel-39"/>
    <w:p>
      <w:pPr>
        <w:pStyle w:val="Heading3"/>
      </w:pPr>
      <w:r>
        <w:t xml:space="preserve">Profiel</w:t>
      </w:r>
    </w:p>
    <w:p>
      <w:pPr>
        <w:numPr>
          <w:ilvl w:val="0"/>
          <w:numId w:val="1214"/>
        </w:numPr>
        <w:pStyle w:val="Compact"/>
      </w:pPr>
      <w:r>
        <w:rPr>
          <w:bCs/>
          <w:b/>
        </w:rPr>
        <w:t xml:space="preserve">Soort en structuur:</w:t>
      </w:r>
      <w:r>
        <w:t xml:space="preserve"> </w:t>
      </w:r>
      <w:r>
        <w:t xml:space="preserve">synthetisch tetrapeptide van vier aminozuren: Ala-Glu-Asp-Gly (afgekort AEDG). Schrijfwijzen: epitalon, epithalon, epithalone.</w:t>
      </w:r>
    </w:p>
    <w:p>
      <w:pPr>
        <w:numPr>
          <w:ilvl w:val="0"/>
          <w:numId w:val="1214"/>
        </w:numPr>
        <w:pStyle w:val="Compact"/>
      </w:pPr>
      <w:r>
        <w:rPr>
          <w:bCs/>
          <w:b/>
        </w:rPr>
        <w:t xml:space="preserve">Herkomst:</w:t>
      </w:r>
      <w:r>
        <w:t xml:space="preserve"> </w:t>
      </w:r>
      <w:r>
        <w:t xml:space="preserve">ontwikkeld in de jaren tachtig en negentig aan het Instituut voor Bioregulatie en Gerontologie in Sint-Petersburg onder Vladimir Chavinson (in vakartikelen: Khavinson). De aminozuurvolgorde werd afgeleid uit de samenstelling van</w:t>
      </w:r>
      <w:r>
        <w:t xml:space="preserve"> </w:t>
      </w:r>
      <w:r>
        <w:rPr>
          <w:bCs/>
          <w:b/>
        </w:rPr>
        <w:t xml:space="preserve">epithalamine</w:t>
      </w:r>
      <w:r>
        <w:t xml:space="preserve">, een extract uit de pijnappelklier (epifyse) van runderen. Epitalon en epithalamine zijn chemisch verschillende stoffen.</w:t>
      </w:r>
    </w:p>
    <w:p>
      <w:pPr>
        <w:numPr>
          <w:ilvl w:val="0"/>
          <w:numId w:val="1214"/>
        </w:numPr>
        <w:pStyle w:val="Compact"/>
      </w:pPr>
      <w:r>
        <w:rPr>
          <w:bCs/>
          <w:b/>
        </w:rPr>
        <w:t xml:space="preserve">Werkingsprincipe:</w:t>
      </w:r>
      <w:r>
        <w:t xml:space="preserve"> </w:t>
      </w:r>
      <w:r>
        <w:t xml:space="preserve">zou als „peptidebioregulator” de functie van de pijnappelklier normaliseren, de aanmaak van melatonine op oudere leeftijd bevorderen en het enzym telomerase activeren, dat de uiteinden van de chromosomen (telomeren) verlengt.</w:t>
      </w:r>
    </w:p>
    <w:p>
      <w:pPr>
        <w:numPr>
          <w:ilvl w:val="0"/>
          <w:numId w:val="1214"/>
        </w:numPr>
        <w:pStyle w:val="Compact"/>
      </w:pPr>
      <w:r>
        <w:rPr>
          <w:bCs/>
          <w:b/>
        </w:rPr>
        <w:t xml:space="preserve">Registratie EU:</w:t>
      </w:r>
      <w:r>
        <w:t xml:space="preserve"> </w:t>
      </w:r>
      <w:r>
        <w:t xml:space="preserve">nee.</w:t>
      </w:r>
    </w:p>
    <w:p>
      <w:pPr>
        <w:numPr>
          <w:ilvl w:val="0"/>
          <w:numId w:val="1214"/>
        </w:numPr>
        <w:pStyle w:val="Compact"/>
      </w:pPr>
      <w:r>
        <w:rPr>
          <w:bCs/>
          <w:b/>
        </w:rPr>
        <w:t xml:space="preserve">Registratie VS:</w:t>
      </w:r>
      <w:r>
        <w:t xml:space="preserve"> </w:t>
      </w:r>
      <w:r>
        <w:t xml:space="preserve">nee. In april 2026 van de FDA-„categorie 2” geschrapt; het adviescomité PCAC stemde in juli 2026 met 7 tegen 4 stemmen voor opname in de lijst van toegestane grondstoffen voor bereidingen, tegen de aanbeveling van de deskundigen van de FDA in. Een toelating als geneesmiddel is dat niet (stand oktober 2026, actuele situatie controleren).</w:t>
      </w:r>
    </w:p>
    <w:p>
      <w:pPr>
        <w:numPr>
          <w:ilvl w:val="0"/>
          <w:numId w:val="1214"/>
        </w:numPr>
        <w:pStyle w:val="Compact"/>
      </w:pPr>
      <w:r>
        <w:rPr>
          <w:bCs/>
          <w:b/>
        </w:rPr>
        <w:t xml:space="preserve">WADA:</w:t>
      </w:r>
      <w:r>
        <w:t xml:space="preserve"> </w:t>
      </w:r>
      <w:r>
        <w:t xml:space="preserve">niet bij naam vermeld; als nergens als geneesmiddel toegelaten stof valt epitalon naar onze inschatting onder de verzamelcategorie S0 (stand 2026, actuele situatie controleren).</w:t>
      </w:r>
    </w:p>
    <w:p>
      <w:pPr>
        <w:numPr>
          <w:ilvl w:val="0"/>
          <w:numId w:val="1214"/>
        </w:numPr>
        <w:pStyle w:val="Compact"/>
      </w:pPr>
      <w:r>
        <w:rPr>
          <w:bCs/>
          <w:b/>
        </w:rPr>
        <w:t xml:space="preserve">Bewijsniveau:</w:t>
      </w:r>
      <w:r>
        <w:t xml:space="preserve"> </w:t>
      </w:r>
      <w:r>
        <w:rPr>
          <w:bCs/>
          <w:b/>
        </w:rPr>
        <w:t xml:space="preserve">C</w:t>
      </w:r>
      <w:r>
        <w:t xml:space="preserve"> </w:t>
      </w:r>
      <w:r>
        <w:t xml:space="preserve">– slechts één kleine gecontroleerde studie met het synthetische peptide bij mensen; de overige gegevens bij mensen betreffen het extract epithalamine of cellen in de reageerbuis.</w:t>
      </w:r>
    </w:p>
    <w:bookmarkEnd w:id="661"/>
    <w:bookmarkStart w:id="662" w:name="hoe-het-zou-moeten-werken-39"/>
    <w:p>
      <w:pPr>
        <w:pStyle w:val="Heading3"/>
      </w:pPr>
      <w:r>
        <w:t xml:space="preserve">Hoe het zou moeten werken</w:t>
      </w:r>
    </w:p>
    <w:p>
      <w:pPr>
        <w:pStyle w:val="FirstParagraph"/>
      </w:pPr>
      <w:r>
        <w:t xml:space="preserve">De pijnappelklier is een klein orgaan in de hersenen dat ’s nachts het hormoon melatonine aanmaakt en daarmee het dag-nachtritme mede stuurt. Op oudere leeftijd neemt de aanmaak van melatonine af. De groep in Sint-Petersburg ging ervan uit dat korte peptiden uit organen als „bioregulatoren” de functie van precies die organen kunnen herstellen – uit de pijnappelklier voor de pijnappelklier, uit de thymus voor het immuunsysteem (zie ook het hoofdstuk Thymaline en thymogen in Deel II · B).</w:t>
      </w:r>
    </w:p>
    <w:p>
      <w:pPr>
        <w:pStyle w:val="BodyText"/>
      </w:pPr>
      <w:r>
        <w:t xml:space="preserve">Voor epitalon worden meerdere mechanismen beschreven, bijna allemaal uit laboratorium- en dierproeven van de ontwikkelaarsgroep:</w:t>
      </w:r>
    </w:p>
    <w:p>
      <w:pPr>
        <w:numPr>
          <w:ilvl w:val="0"/>
          <w:numId w:val="1215"/>
        </w:numPr>
        <w:pStyle w:val="Compact"/>
      </w:pPr>
      <w:r>
        <w:rPr>
          <w:bCs/>
          <w:b/>
        </w:rPr>
        <w:t xml:space="preserve">Telomerase en telomeren:</w:t>
      </w:r>
      <w:r>
        <w:t xml:space="preserve"> </w:t>
      </w:r>
      <w:r>
        <w:t xml:space="preserve">Telomeren zijn beschermende eindstukken van de chromosomen die bij elke celdeling iets korter worden. Het enzym telomerase kan ze weer verlengen; in de meeste lichaamscellen is het uitgeschakeld. In kweken van menselijke fibroblasten (bindweefselcellen) van foetussen zou epitalon de telomerase hebben ingeschakeld en de telomeren hebben verlengd (Khavinson 2003, PMID 12937682).</w:t>
      </w:r>
    </w:p>
    <w:p>
      <w:pPr>
        <w:numPr>
          <w:ilvl w:val="0"/>
          <w:numId w:val="1215"/>
        </w:numPr>
        <w:pStyle w:val="Compact"/>
      </w:pPr>
      <w:r>
        <w:rPr>
          <w:bCs/>
          <w:b/>
        </w:rPr>
        <w:t xml:space="preserve">Chromatine en genen:</w:t>
      </w:r>
      <w:r>
        <w:t xml:space="preserve"> </w:t>
      </w:r>
      <w:r>
        <w:t xml:space="preserve">In lymfocyten van 76- tot 80-jarigen zou epitalon in de reageerbuis „verdicht” erfelijk materiaal weer hebben losgemaakt en stilgelegde genen hebben geactiveerd (Khavinson 2003, PMID 14647006). De groep postuleert dat korte peptiden rechtstreeks aan het DNA binden.</w:t>
      </w:r>
    </w:p>
    <w:p>
      <w:pPr>
        <w:numPr>
          <w:ilvl w:val="0"/>
          <w:numId w:val="1215"/>
        </w:numPr>
        <w:pStyle w:val="Compact"/>
      </w:pPr>
      <w:r>
        <w:rPr>
          <w:bCs/>
          <w:b/>
        </w:rPr>
        <w:t xml:space="preserve">Melatonine:</w:t>
      </w:r>
      <w:r>
        <w:t xml:space="preserve"> </w:t>
      </w:r>
      <w:r>
        <w:t xml:space="preserve">In celkweken en bij dieren beïnvloedde epitalon de aanmaak van melatonine.</w:t>
      </w:r>
    </w:p>
    <w:p>
      <w:pPr>
        <w:pStyle w:val="FirstParagraph"/>
      </w:pPr>
      <w:r>
        <w:t xml:space="preserve">Een overzichtsartikel uit 2025 vat samen dat ondanks 25 jaar onderzoek onduidelijk blijft of deze mechanismen de enige zijn, en dat er slechts weinig fundamentele fysisch-chemische en structurele onderzoeken van het peptide bestaan (Araj 2025, PMID 40141333).</w:t>
      </w:r>
    </w:p>
    <w:bookmarkEnd w:id="662"/>
    <w:bookmarkStart w:id="666" w:name="studies-bij-mensen-39"/>
    <w:p>
      <w:pPr>
        <w:pStyle w:val="Heading3"/>
      </w:pPr>
      <w:r>
        <w:t xml:space="preserve">Studies bij mensen</w:t>
      </w:r>
    </w:p>
    <w:p>
      <w:pPr>
        <w:pStyle w:val="FirstParagraph"/>
      </w:pPr>
      <w:r>
        <w:rPr>
          <w:bCs/>
          <w:b/>
        </w:rPr>
        <w:t xml:space="preserve">Omvang van het onderzoek:</w:t>
      </w:r>
      <w:r>
        <w:t xml:space="preserve"> </w:t>
      </w:r>
      <w:r>
        <w:t xml:space="preserve">De geautomatiseerde PubMed-zoekopdracht (oktober 2026) leverde slechts</w:t>
      </w:r>
      <w:r>
        <w:t xml:space="preserve"> </w:t>
      </w:r>
      <w:r>
        <w:rPr>
          <w:bCs/>
          <w:b/>
        </w:rPr>
        <w:t xml:space="preserve">één</w:t>
      </w:r>
      <w:r>
        <w:t xml:space="preserve"> </w:t>
      </w:r>
      <w:r>
        <w:t xml:space="preserve">als studie bij mensen geclassificeerde publicatie over epitalon op; in totaal vermeldt PubMed ongeveer 120 publicaties met de zoektermen, overwegend dier- en celstudies uit Sint-Petersburg. Op ClinicalTrials.gov is één studie geregistreerd (zie vooruitzichten). Een recente onafhankelijke review komt tot hetzelfde resultaat: de gegevens bij mensen over synthetisch epitalon beperken zich tot kleine fysiologische of biomarkerstudies en een oudere gecontroleerde studie bij retinitis pigmentosa; geen voldoende grote gerandomiseerde studie heeft een therapeutische werkzaamheid aangetoond (Jain 2026, PMID 42884164).</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Onderzochte stof en opzet</w:t>
            </w:r>
          </w:p>
        </w:tc>
        <w:tc>
          <w:tcPr/>
          <w:p>
            <w:pPr>
              <w:pStyle w:val="Compact"/>
              <w:jc w:val="left"/>
            </w:pPr>
            <w:r>
              <w:t xml:space="preserve">Deelnemers</w:t>
            </w:r>
          </w:p>
        </w:tc>
        <w:tc>
          <w:tcPr/>
          <w:p>
            <w:pPr>
              <w:pStyle w:val="Compact"/>
              <w:jc w:val="left"/>
            </w:pPr>
            <w:r>
              <w:t xml:space="preserve">Resultaat</w:t>
            </w:r>
          </w:p>
        </w:tc>
      </w:tr>
      <w:tr>
        <w:tc>
          <w:tcPr/>
          <w:p>
            <w:pPr>
              <w:pStyle w:val="Compact"/>
              <w:jc w:val="left"/>
            </w:pPr>
            <w:r>
              <w:t xml:space="preserve">Khavinson 2002, PMID 12195242</w:t>
            </w:r>
          </w:p>
        </w:tc>
        <w:tc>
          <w:tcPr/>
          <w:p>
            <w:pPr>
              <w:pStyle w:val="Compact"/>
              <w:jc w:val="left"/>
            </w:pPr>
            <w:r>
              <w:t xml:space="preserve">epitalon, gecontroleerde studie bij erfelijke netvliesdegeneratie (retinitis pigmentosa)</w:t>
            </w:r>
          </w:p>
        </w:tc>
        <w:tc>
          <w:tcPr/>
          <w:p>
            <w:pPr>
              <w:pStyle w:val="Compact"/>
              <w:jc w:val="left"/>
            </w:pPr>
            <w:r>
              <w:t xml:space="preserve">in de samenvatting niet vermeld</w:t>
            </w:r>
          </w:p>
        </w:tc>
        <w:tc>
          <w:tcPr/>
          <w:p>
            <w:pPr>
              <w:pStyle w:val="Compact"/>
              <w:jc w:val="left"/>
            </w:pPr>
            <w:r>
              <w:t xml:space="preserve">„positief klinisch effect in 90% van de gevallen”</w:t>
            </w:r>
          </w:p>
        </w:tc>
      </w:tr>
      <w:tr>
        <w:tc>
          <w:tcPr/>
          <w:p>
            <w:pPr>
              <w:pStyle w:val="Compact"/>
              <w:jc w:val="left"/>
            </w:pPr>
            <w:r>
              <w:t xml:space="preserve">Khavinson 2003, PMID 14523363</w:t>
            </w:r>
          </w:p>
        </w:tc>
        <w:tc>
          <w:tcPr/>
          <w:p>
            <w:pPr>
              <w:pStyle w:val="Compact"/>
              <w:jc w:val="left"/>
            </w:pPr>
            <w:r>
              <w:t xml:space="preserve">epithalamine (extract) en thymaline bij ouderen, controlegroep</w:t>
            </w:r>
          </w:p>
        </w:tc>
        <w:tc>
          <w:tcPr/>
          <w:p>
            <w:pPr>
              <w:pStyle w:val="Compact"/>
              <w:jc w:val="left"/>
            </w:pPr>
            <w:r>
              <w:t xml:space="preserve">266 personen, 6–8 jaar</w:t>
            </w:r>
          </w:p>
        </w:tc>
        <w:tc>
          <w:tcPr/>
          <w:p>
            <w:pPr>
              <w:pStyle w:val="Compact"/>
              <w:jc w:val="left"/>
            </w:pPr>
            <w:r>
              <w:t xml:space="preserve">volgens de auteurs 1,6- tot 1,8-voudig lagere sterfte onder epithalamine</w:t>
            </w:r>
          </w:p>
        </w:tc>
      </w:tr>
      <w:tr>
        <w:tc>
          <w:tcPr/>
          <w:p>
            <w:pPr>
              <w:pStyle w:val="Compact"/>
              <w:jc w:val="left"/>
            </w:pPr>
            <w:r>
              <w:t xml:space="preserve">Labunets 2004, PMID 15455130</w:t>
            </w:r>
          </w:p>
        </w:tc>
        <w:tc>
          <w:tcPr/>
          <w:p>
            <w:pPr>
              <w:pStyle w:val="Compact"/>
              <w:jc w:val="left"/>
            </w:pPr>
            <w:r>
              <w:t xml:space="preserve">epithalamine, kuur bij ouderen</w:t>
            </w:r>
          </w:p>
        </w:tc>
        <w:tc>
          <w:tcPr/>
          <w:p>
            <w:pPr>
              <w:pStyle w:val="Compact"/>
              <w:jc w:val="left"/>
            </w:pPr>
            <w:r>
              <w:t xml:space="preserve">in de samenvatting niet vermeld</w:t>
            </w:r>
          </w:p>
        </w:tc>
        <w:tc>
          <w:tcPr/>
          <w:p>
            <w:pPr>
              <w:pStyle w:val="Compact"/>
              <w:jc w:val="left"/>
            </w:pPr>
            <w:r>
              <w:t xml:space="preserve">melatonineritme en thymusfactor „jonger”</w:t>
            </w:r>
          </w:p>
        </w:tc>
      </w:tr>
      <w:tr>
        <w:tc>
          <w:tcPr/>
          <w:p>
            <w:pPr>
              <w:pStyle w:val="Compact"/>
              <w:jc w:val="left"/>
            </w:pPr>
            <w:r>
              <w:t xml:space="preserve">Khavinson 2019, PMID 31761987</w:t>
            </w:r>
          </w:p>
        </w:tc>
        <w:tc>
          <w:tcPr/>
          <w:p>
            <w:pPr>
              <w:pStyle w:val="Compact"/>
              <w:jc w:val="left"/>
            </w:pPr>
            <w:r>
              <w:t xml:space="preserve">AEDG in de reageerbuis op bloedcellen</w:t>
            </w:r>
          </w:p>
        </w:tc>
        <w:tc>
          <w:tcPr/>
          <w:p>
            <w:pPr>
              <w:pStyle w:val="Compact"/>
              <w:jc w:val="left"/>
            </w:pPr>
            <w:r>
              <w:t xml:space="preserve">11 mannen (celmonsters)</w:t>
            </w:r>
          </w:p>
        </w:tc>
        <w:tc>
          <w:tcPr/>
          <w:p>
            <w:pPr>
              <w:pStyle w:val="Compact"/>
              <w:jc w:val="left"/>
            </w:pPr>
            <w:r>
              <w:t xml:space="preserve">telomeerlengte in 5 gevallen langer, in 2 gevallen korter</w:t>
            </w:r>
          </w:p>
        </w:tc>
      </w:tr>
    </w:tbl>
    <w:bookmarkStart w:id="663" w:name="de-ene-studie-met-epitalon"/>
    <w:p>
      <w:pPr>
        <w:pStyle w:val="Heading4"/>
      </w:pPr>
      <w:r>
        <w:t xml:space="preserve">De ene studie met epitalon</w:t>
      </w:r>
    </w:p>
    <w:p>
      <w:pPr>
        <w:pStyle w:val="FirstParagraph"/>
      </w:pPr>
      <w:r>
        <w:t xml:space="preserve">In de enige klinische studie met synthetisch epitalon werden personen behandeld met retinitis pigmentosa, een erfelijke aandoening waarbij het netvlies stapsgewijs afsterft. De samenvatting meldt een „positief klinisch effect in 90% van de gevallen”, maar noemt noch het aantal deelnemers noch het criterium voor „positief” of de resultaten van de controlegroep (Khavinson 2002, PMID 12195242). Onafhankelijk bevestigd werd de bevinding niet; in de behandeling van retinitis pigmentosa speelt epitalon geen rol.</w:t>
      </w:r>
    </w:p>
    <w:bookmarkEnd w:id="663"/>
    <w:bookmarkStart w:id="664" w:name="de-levensduurstudie-met-epithalamine"/>
    <w:p>
      <w:pPr>
        <w:pStyle w:val="Heading4"/>
      </w:pPr>
      <w:r>
        <w:t xml:space="preserve">De levensduurstudie met epithalamine</w:t>
      </w:r>
    </w:p>
    <w:p>
      <w:pPr>
        <w:pStyle w:val="FirstParagraph"/>
      </w:pPr>
      <w:r>
        <w:t xml:space="preserve">De op internet meest geciteerde studie bij mensen – „pijnappelklierpeptiden verlengen het menselijk leven” – betreft niet epitalon, maar het dierlijke extract epithalamine. Onderzoekers uit Sint-Petersburg en Kiev volgden 266 ouderen zes tot acht jaar lang; in de eerste twee tot drie jaar kregen delen van de groep thymaline, epithalamine of beide. Volgens de samenvatting daalde de sterfte onder epithalamine 1,6- tot 1,8-voudig, onder de combinatie 2,5-voudig, en bij jaarlijkse combinatiebehandeling gedurende zes jaar zelfs 4,1-voudig (Khavinson 2003, PMID 14523363).</w:t>
      </w:r>
    </w:p>
    <w:p>
      <w:pPr>
        <w:pStyle w:val="BodyText"/>
      </w:pPr>
      <w:r>
        <w:t xml:space="preserve">Zulke effecten zouden uitzonderlijk zijn – groter dan bij bijna elke maatregel van de moderne geneeskunde. Des te belangrijker zijn de beperkingen:</w:t>
      </w:r>
    </w:p>
    <w:p>
      <w:pPr>
        <w:numPr>
          <w:ilvl w:val="0"/>
          <w:numId w:val="1216"/>
        </w:numPr>
        <w:pStyle w:val="Compact"/>
      </w:pPr>
      <w:r>
        <w:t xml:space="preserve">De samenvatting beschrijft noch een gerandomiseerde toewijzing noch blindering. Het is niet te zien hoe de controlegroep werd gekozen.</w:t>
      </w:r>
    </w:p>
    <w:p>
      <w:pPr>
        <w:numPr>
          <w:ilvl w:val="0"/>
          <w:numId w:val="1216"/>
        </w:numPr>
        <w:pStyle w:val="Compact"/>
      </w:pPr>
      <w:r>
        <w:t xml:space="preserve">De groepsgrootten van de afzonderlijke armen en absolute aantallen sterfgevallen worden niet vermeld.</w:t>
      </w:r>
    </w:p>
    <w:p>
      <w:pPr>
        <w:numPr>
          <w:ilvl w:val="0"/>
          <w:numId w:val="1216"/>
        </w:numPr>
        <w:pStyle w:val="Compact"/>
      </w:pPr>
      <w:r>
        <w:t xml:space="preserve">De studie werd nooit geregistreerd, en een onafhankelijke herhaling bestaat niet.</w:t>
      </w:r>
    </w:p>
    <w:p>
      <w:pPr>
        <w:numPr>
          <w:ilvl w:val="0"/>
          <w:numId w:val="1216"/>
        </w:numPr>
        <w:pStyle w:val="Compact"/>
      </w:pPr>
      <w:r>
        <w:t xml:space="preserve">De resultaten komen van de ontwikkelaars van de preparaten.</w:t>
      </w:r>
    </w:p>
    <w:p>
      <w:pPr>
        <w:pStyle w:val="FirstParagraph"/>
      </w:pPr>
      <w:r>
        <w:t xml:space="preserve">Bij niet-gerandomiseerde observaties kunnen al kleine verschillen tussen de groepen – bijvoorbeeld wie gezonder was of beter werd verzorgd – grote schijnbare effecten op de sterfte veroorzaken. Voor epitalon zelf valt uit deze studie sowieso niets af te leiden, omdat een andere stof werd onderzocht.</w:t>
      </w:r>
    </w:p>
    <w:bookmarkEnd w:id="664"/>
    <w:bookmarkStart w:id="665" w:name="de-telomeerclaim-gecontroleerd"/>
    <w:p>
      <w:pPr>
        <w:pStyle w:val="Heading4"/>
      </w:pPr>
      <w:r>
        <w:t xml:space="preserve">De telomeerclaim gecontroleerd</w:t>
      </w:r>
    </w:p>
    <w:p>
      <w:pPr>
        <w:pStyle w:val="FirstParagraph"/>
      </w:pPr>
      <w:r>
        <w:t xml:space="preserve">Op internet wordt epitalon vaak aangeprezen als middel dat „de telomeren verlengt” en daarmee „de biologische klok terugdraait”. Wat daarvan is aangetoond?</w:t>
      </w:r>
    </w:p>
    <w:p>
      <w:pPr>
        <w:numPr>
          <w:ilvl w:val="0"/>
          <w:numId w:val="1217"/>
        </w:numPr>
        <w:pStyle w:val="Compact"/>
      </w:pPr>
      <w:r>
        <w:rPr>
          <w:bCs/>
          <w:b/>
        </w:rPr>
        <w:t xml:space="preserve">Celkweek uit Sint-Petersburg:</w:t>
      </w:r>
      <w:r>
        <w:t xml:space="preserve"> </w:t>
      </w:r>
      <w:r>
        <w:t xml:space="preserve">In menselijke foetale fibroblasten wekte epitalon telomerase-activiteit en telomeerverlenging op (Khavinson 2003, PMID 12937682); in een vervolgpublicatie maakten behandelde cellen tien extra delingen boven hun gebruikelijke grens (Khavinson 2004, PMID 15455129). Beide publicaties zijn zeer beknopt, zonder gedetailleerde methoden in de samenvatting.</w:t>
      </w:r>
    </w:p>
    <w:p>
      <w:pPr>
        <w:numPr>
          <w:ilvl w:val="0"/>
          <w:numId w:val="1217"/>
        </w:numPr>
        <w:pStyle w:val="Compact"/>
      </w:pPr>
      <w:r>
        <w:rPr>
          <w:bCs/>
          <w:b/>
        </w:rPr>
        <w:t xml:space="preserve">Onafhankelijke celstudie:</w:t>
      </w:r>
      <w:r>
        <w:t xml:space="preserve"> </w:t>
      </w:r>
      <w:r>
        <w:t xml:space="preserve">Een onderzoeksgroep buiten Rusland vond in 2025 eveneens dosisafhankelijk langere telomeren in normale menselijke epitheel- en bindweefselcellen. In borstkankercellijnen werden de telomeren eveneens langer – daar via een alternatief mechanisme (ALT) dat typisch is voor kankercellen (Al-Dulaimi 2025, PMID 40908429).</w:t>
      </w:r>
    </w:p>
    <w:p>
      <w:pPr>
        <w:numPr>
          <w:ilvl w:val="0"/>
          <w:numId w:val="1217"/>
        </w:numPr>
        <w:pStyle w:val="Compact"/>
      </w:pPr>
      <w:r>
        <w:rPr>
          <w:bCs/>
          <w:b/>
        </w:rPr>
        <w:t xml:space="preserve">Bloedcellen van mensen in de reageerbuis:</w:t>
      </w:r>
      <w:r>
        <w:t xml:space="preserve"> </w:t>
      </w:r>
      <w:r>
        <w:t xml:space="preserve">Bij bloedcellen van elf mannen werden de telomeren na contact met het peptide in vijf gevallen langer, in twee gevallen korter; de auteurs duiden dat als „normalisering” (Khavinson 2019, PMID 31761987).</w:t>
      </w:r>
    </w:p>
    <w:p>
      <w:pPr>
        <w:numPr>
          <w:ilvl w:val="0"/>
          <w:numId w:val="1217"/>
        </w:numPr>
        <w:pStyle w:val="Compact"/>
      </w:pPr>
      <w:r>
        <w:rPr>
          <w:bCs/>
          <w:b/>
        </w:rPr>
        <w:t xml:space="preserve">Bij de levende mens:</w:t>
      </w:r>
      <w:r>
        <w:t xml:space="preserve"> </w:t>
      </w:r>
      <w:r>
        <w:t xml:space="preserve">Er is geen gepubliceerde gecontroleerde studie die heeft aangetoond dat epitalon de telomeerlengte in bloed of weefsel van mensen verandert – en al helemaal geen die een gezondheidsvoordeel van zo’n verandering aantoont.</w:t>
      </w:r>
    </w:p>
    <w:p>
      <w:pPr>
        <w:pStyle w:val="FirstParagraph"/>
      </w:pPr>
      <w:r>
        <w:t xml:space="preserve">Daarbij komt: de telomeerlengte hangt weliswaar samen met de leeftijd, maar is geen betrouwbare maat voor de „biologische klok” van een individu. En een blijvend geactiveerde telomerase is een kenmerk van de allermeeste kankersoorten. Het vermogen om telomeren te verlengen is daarom niet automatisch een voordeel (zie risico’s).</w:t>
      </w:r>
    </w:p>
    <w:bookmarkEnd w:id="665"/>
    <w:bookmarkEnd w:id="666"/>
    <w:bookmarkStart w:id="667" w:name="dier--en-laboratoriumstudies-39"/>
    <w:p>
      <w:pPr>
        <w:pStyle w:val="Heading3"/>
      </w:pPr>
      <w:r>
        <w:t xml:space="preserve">Dier- en laboratoriumstudies</w:t>
      </w:r>
    </w:p>
    <w:p>
      <w:pPr>
        <w:numPr>
          <w:ilvl w:val="0"/>
          <w:numId w:val="1218"/>
        </w:numPr>
        <w:pStyle w:val="Compact"/>
      </w:pPr>
      <w:r>
        <w:rPr>
          <w:bCs/>
          <w:b/>
        </w:rPr>
        <w:t xml:space="preserve">Levensduur bij muizen:</w:t>
      </w:r>
      <w:r>
        <w:t xml:space="preserve"> </w:t>
      </w:r>
      <w:r>
        <w:t xml:space="preserve">In de belangrijkste dierstudie kregen telkens 54 vrouwelijke muizen levenslang maandelijks epitalon of zoutoplossing. De</w:t>
      </w:r>
      <w:r>
        <w:t xml:space="preserve"> </w:t>
      </w:r>
      <w:r>
        <w:rPr>
          <w:bCs/>
          <w:b/>
        </w:rPr>
        <w:t xml:space="preserve">gemiddelde levensduur</w:t>
      </w:r>
      <w:r>
        <w:t xml:space="preserve"> </w:t>
      </w:r>
      <w:r>
        <w:t xml:space="preserve">verschilde</w:t>
      </w:r>
      <w:r>
        <w:t xml:space="preserve"> </w:t>
      </w:r>
      <w:r>
        <w:rPr>
          <w:bCs/>
          <w:b/>
        </w:rPr>
        <w:t xml:space="preserve">niet</w:t>
      </w:r>
      <w:r>
        <w:t xml:space="preserve">; alleen de laatste 10% van de overlevenden leefde 13,3% langer, de maximale levensduur lag 12,3% hoger. Het totale aantal spontane tumoren was gelijk, leukemieën kwamen minder vaak voor (Anisimov 2003, PMID 14501183).</w:t>
      </w:r>
    </w:p>
    <w:p>
      <w:pPr>
        <w:numPr>
          <w:ilvl w:val="0"/>
          <w:numId w:val="1218"/>
        </w:numPr>
        <w:pStyle w:val="Compact"/>
      </w:pPr>
      <w:r>
        <w:rPr>
          <w:bCs/>
          <w:b/>
        </w:rPr>
        <w:t xml:space="preserve">Fruitvliegen:</w:t>
      </w:r>
      <w:r>
        <w:t xml:space="preserve"> </w:t>
      </w:r>
      <w:r>
        <w:t xml:space="preserve">Ook bij fruitvliegen werd een langere levensduur gemeld (Khavinson 2000, PMID 11087911).</w:t>
      </w:r>
    </w:p>
    <w:p>
      <w:pPr>
        <w:numPr>
          <w:ilvl w:val="0"/>
          <w:numId w:val="1218"/>
        </w:numPr>
        <w:pStyle w:val="Compact"/>
      </w:pPr>
      <w:r>
        <w:rPr>
          <w:bCs/>
          <w:b/>
        </w:rPr>
        <w:t xml:space="preserve">Netvlies:</w:t>
      </w:r>
      <w:r>
        <w:t xml:space="preserve"> </w:t>
      </w:r>
      <w:r>
        <w:t xml:space="preserve">Bij ratten met erfelijke netvliesdegeneratie bleef de netvliesstructuur onder epitalon beter behouden (Khavinson 2003, PMID 12910293).</w:t>
      </w:r>
    </w:p>
    <w:p>
      <w:pPr>
        <w:numPr>
          <w:ilvl w:val="0"/>
          <w:numId w:val="1218"/>
        </w:numPr>
        <w:pStyle w:val="Compact"/>
      </w:pPr>
      <w:r>
        <w:rPr>
          <w:bCs/>
          <w:b/>
        </w:rPr>
        <w:t xml:space="preserve">Eicellen:</w:t>
      </w:r>
      <w:r>
        <w:t xml:space="preserve"> </w:t>
      </w:r>
      <w:r>
        <w:t xml:space="preserve">In kweken van verouderde eicellen van muizen verminderde epitalon schade door oxidatieve stress (Yue 2022, PMID 35413689).</w:t>
      </w:r>
    </w:p>
    <w:p>
      <w:pPr>
        <w:pStyle w:val="FirstParagraph"/>
      </w:pPr>
      <w:r>
        <w:t xml:space="preserve">Het overgrote deel van deze studies komt van de groep rond Chavinson en Anisimov, meestal in Russische tijdschriften of in tijdschriften waarin de groep zelf veel publiceerde. Onafhankelijke herhalingen zijn zeldzaam.</w:t>
      </w:r>
    </w:p>
    <w:bookmarkEnd w:id="667"/>
    <w:bookmarkStart w:id="668" w:name="risicos-en-bijwerkingen-39"/>
    <w:p>
      <w:pPr>
        <w:pStyle w:val="Heading3"/>
      </w:pPr>
      <w:r>
        <w:t xml:space="preserve">Risico’s en bijwerkingen</w:t>
      </w:r>
    </w:p>
    <w:p>
      <w:pPr>
        <w:pStyle w:val="FirstParagraph"/>
      </w:pPr>
      <w:r>
        <w:rPr>
          <w:bCs/>
          <w:b/>
        </w:rPr>
        <w:t xml:space="preserve">Aangetoond:</w:t>
      </w:r>
      <w:r>
        <w:t xml:space="preserve"> </w:t>
      </w:r>
      <w:r>
        <w:t xml:space="preserve">er zijn geen systematisch verzamelde veiligheidsgegevens over epitalon bij mensen.</w:t>
      </w:r>
    </w:p>
    <w:p>
      <w:pPr>
        <w:pStyle w:val="BodyText"/>
      </w:pPr>
      <w:r>
        <w:rPr>
          <w:bCs/>
          <w:b/>
        </w:rPr>
        <w:t xml:space="preserve">Theoretisch:</w:t>
      </w:r>
    </w:p>
    <w:p>
      <w:pPr>
        <w:numPr>
          <w:ilvl w:val="0"/>
          <w:numId w:val="1219"/>
        </w:numPr>
        <w:pStyle w:val="Compact"/>
      </w:pPr>
      <w:r>
        <w:rPr>
          <w:bCs/>
          <w:b/>
        </w:rPr>
        <w:t xml:space="preserve">Kanker:</w:t>
      </w:r>
      <w:r>
        <w:t xml:space="preserve"> </w:t>
      </w:r>
      <w:r>
        <w:t xml:space="preserve">telomerase-activering is een centraal kenmerk van kankercellen. Een stof die telomerase zou inschakelen, zou theoretisch de groei van al aanwezige, onopgemerkte kankercellen kunnen bevorderen. In de onafhankelijke celstudie werden ook de telomeren van borstkankercellen langer (Al-Dulaimi 2025, PMID 40908429). De muizenstudie vond geen toename van spontane tumoren (Anisimov 2003, PMID 14501183), maar dierdata laten zich niet vertalen naar decennia menselijk gebruik.</w:t>
      </w:r>
    </w:p>
    <w:p>
      <w:pPr>
        <w:numPr>
          <w:ilvl w:val="0"/>
          <w:numId w:val="1219"/>
        </w:numPr>
        <w:pStyle w:val="Compact"/>
      </w:pPr>
      <w:r>
        <w:rPr>
          <w:bCs/>
          <w:b/>
        </w:rPr>
        <w:t xml:space="preserve">Hormoonsysteem:</w:t>
      </w:r>
      <w:r>
        <w:t xml:space="preserve"> </w:t>
      </w:r>
      <w:r>
        <w:t xml:space="preserve">een invloed op melatonine en de pijnappelklier kan slaap en hormoonritmes veranderen; dat is bij mensen niet onderzocht.</w:t>
      </w:r>
    </w:p>
    <w:p>
      <w:pPr>
        <w:pStyle w:val="FirstParagraph"/>
      </w:pPr>
      <w:r>
        <w:rPr>
          <w:bCs/>
          <w:b/>
        </w:rPr>
        <w:t xml:space="preserve">Grijze markt:</w:t>
      </w:r>
      <w:r>
        <w:t xml:space="preserve"> </w:t>
      </w:r>
      <w:r>
        <w:t xml:space="preserve">epitalon behoort tot de meest verkochte „longevitypeptiden” en wordt aangeboden als poeder voor injectie of als neusspray. Zuiverheid, gehalte en steriliteit zijn ongecontroleerd. Een onafhankelijke review noemt onopgeloste vragen over productkwaliteit, immuunreacties en kankerrisico (Jain 2026, PMID 42884164).</w:t>
      </w:r>
    </w:p>
    <w:bookmarkEnd w:id="668"/>
    <w:bookmarkStart w:id="669" w:name="juridische-status-39"/>
    <w:p>
      <w:pPr>
        <w:pStyle w:val="Heading3"/>
      </w:pPr>
      <w:r>
        <w:t xml:space="preserve">Juridische status</w:t>
      </w:r>
    </w:p>
    <w:p>
      <w:pPr>
        <w:numPr>
          <w:ilvl w:val="0"/>
          <w:numId w:val="1220"/>
        </w:numPr>
        <w:pStyle w:val="Compact"/>
      </w:pPr>
      <w:r>
        <w:rPr>
          <w:bCs/>
          <w:b/>
        </w:rPr>
        <w:t xml:space="preserve">EU / Oostenrijk / Duitsland:</w:t>
      </w:r>
      <w:r>
        <w:t xml:space="preserve"> </w:t>
      </w:r>
      <w:r>
        <w:t xml:space="preserve">niet toegelaten; als stof met farmacologische werking geldt epitalon als geneesmiddel, verkoop voor gebruik bij mensen is niet toegestaan (stand 2026, actuele situatie controleren).</w:t>
      </w:r>
    </w:p>
    <w:p>
      <w:pPr>
        <w:numPr>
          <w:ilvl w:val="0"/>
          <w:numId w:val="1220"/>
        </w:numPr>
        <w:pStyle w:val="Compact"/>
      </w:pPr>
      <w:r>
        <w:rPr>
          <w:bCs/>
          <w:b/>
        </w:rPr>
        <w:t xml:space="preserve">VS:</w:t>
      </w:r>
      <w:r>
        <w:t xml:space="preserve"> </w:t>
      </w:r>
      <w:r>
        <w:t xml:space="preserve">niet toegelaten. Na het advies van het adviescomité PCAC in juli 2026 zou epitalon in de toekomst in apotheekbereidingen mogen worden gebruikt als de FDA dat advies volgt; de procedure was bij het afsluiten van de redactie niet afgerond (stand oktober 2026, actuele situatie controleren).</w:t>
      </w:r>
    </w:p>
    <w:p>
      <w:pPr>
        <w:numPr>
          <w:ilvl w:val="0"/>
          <w:numId w:val="1220"/>
        </w:numPr>
        <w:pStyle w:val="Compact"/>
      </w:pPr>
      <w:r>
        <w:rPr>
          <w:bCs/>
          <w:b/>
        </w:rPr>
        <w:t xml:space="preserve">Rusland:</w:t>
      </w:r>
      <w:r>
        <w:t xml:space="preserve"> </w:t>
      </w:r>
      <w:r>
        <w:t xml:space="preserve">in Rusland worden peptidebioregulatoren deels als voedingssupplement op de markt gebracht; epitalon zelf is daar naar onze kennis niet als geneesmiddel geregistreerd (actuele situatie controleren).</w:t>
      </w:r>
    </w:p>
    <w:p>
      <w:pPr>
        <w:numPr>
          <w:ilvl w:val="0"/>
          <w:numId w:val="1220"/>
        </w:numPr>
        <w:pStyle w:val="Compact"/>
      </w:pPr>
      <w:r>
        <w:rPr>
          <w:bCs/>
          <w:b/>
        </w:rPr>
        <w:t xml:space="preserve">Sport:</w:t>
      </w:r>
      <w:r>
        <w:t xml:space="preserve"> </w:t>
      </w:r>
      <w:r>
        <w:t xml:space="preserve">naar onze inschatting WADA-categorie S0 (stand 2026, actuele situatie controleren).</w:t>
      </w:r>
    </w:p>
    <w:bookmarkEnd w:id="669"/>
    <w:bookmarkStart w:id="670" w:name="lopende-studies-en-vooruitzichten-39"/>
    <w:p>
      <w:pPr>
        <w:pStyle w:val="Heading3"/>
      </w:pPr>
      <w:r>
        <w:t xml:space="preserve">Lopende studies en vooruitzichten</w:t>
      </w:r>
    </w:p>
    <w:p>
      <w:pPr>
        <w:pStyle w:val="FirstParagraph"/>
      </w:pPr>
      <w:r>
        <w:rPr>
          <w:bCs/>
          <w:b/>
        </w:rPr>
        <w:t xml:space="preserve">Vast staat:</w:t>
      </w:r>
      <w:r>
        <w:t xml:space="preserve"> </w:t>
      </w:r>
      <w:r>
        <w:t xml:space="preserve">op ClinicalTrials.gov is een vroege studie geregistreerd waarin „systemische en lokale” verjongingsmaatregelen met zogeheten verouderingsklokken (epigenetische meetmethoden) moeten worden beoordeeld; gepland zijn 48 deelnemers, start oktober 2026 (NCT07888595). Volgens de registratie is epitalon daar slechts een van vijf bestanddelen van een peptideserum dat op de huid wordt aangebracht; daarnaast worden geneesmiddelen en voedingssupplementen ingenomen. De studie heeft slechts één groep, geen blindering en geen placebocontrole. Ze kan daarom niets zeggen over de werking van epitalon zelf.</w:t>
      </w:r>
    </w:p>
    <w:p>
      <w:pPr>
        <w:pStyle w:val="BodyText"/>
      </w:pPr>
      <w:r>
        <w:rPr>
          <w:bCs/>
          <w:b/>
        </w:rPr>
        <w:t xml:space="preserve">Inschatting:</w:t>
      </w:r>
      <w:r>
        <w:t xml:space="preserve"> </w:t>
      </w:r>
      <w:r>
        <w:t xml:space="preserve">opname in de Amerikaanse lijst voor bereidingen zou de verspreiding vergroten zonder de gegevens te verbeteren. Beslissend zou een onafhankelijke, gerandomiseerde studie zijn die ten minste telomeerlengte, melatonine en veiligheidsparameters bij mensen over langere tijd meet.</w:t>
      </w:r>
    </w:p>
    <w:bookmarkEnd w:id="670"/>
    <w:bookmarkStart w:id="671" w:name="conclusie-39"/>
    <w:p>
      <w:pPr>
        <w:pStyle w:val="Heading3"/>
      </w:pPr>
      <w:r>
        <w:t xml:space="preserve">Conclusie</w:t>
      </w:r>
    </w:p>
    <w:p>
      <w:pPr>
        <w:pStyle w:val="FirstParagraph"/>
      </w:pPr>
      <w:r>
        <w:t xml:space="preserve">Epitalon is een synthetisch tetrapeptide uit Sint-Petersburg dat in celkweken telomerase activeerde en bij muizen de maximale, maar niet de gemiddelde levensduur verlengde. De vaak geciteerde studie over een langer leven betrof het runderextract epithalamine, was niet gerandomiseerd en werd nooit onafhankelijk herhaald. Dat epitalon bij mensen telomeren verlengt of de veroudering vertraagt, is niet aangetoond; de telomerase-activering roept bovendien een onopgehelderde kankervraag op. De gegevens volstaan niet om nut of veiligheid bij mensen te beoordelen.</w:t>
      </w:r>
    </w:p>
    <w:bookmarkEnd w:id="671"/>
    <w:bookmarkEnd w:id="672"/>
    <w:bookmarkStart w:id="681" w:name="pinealon"/>
    <w:p>
      <w:pPr>
        <w:pStyle w:val="Heading2"/>
      </w:pPr>
      <w:r>
        <w:t xml:space="preserve">Pinealon</w:t>
      </w:r>
    </w:p>
    <w:bookmarkStart w:id="673" w:name="profiel-40"/>
    <w:p>
      <w:pPr>
        <w:pStyle w:val="Heading3"/>
      </w:pPr>
      <w:r>
        <w:t xml:space="preserve">Profiel</w:t>
      </w:r>
    </w:p>
    <w:p>
      <w:pPr>
        <w:numPr>
          <w:ilvl w:val="0"/>
          <w:numId w:val="1221"/>
        </w:numPr>
        <w:pStyle w:val="Compact"/>
      </w:pPr>
      <w:r>
        <w:rPr>
          <w:bCs/>
          <w:b/>
        </w:rPr>
        <w:t xml:space="preserve">Soort en structuur:</w:t>
      </w:r>
      <w:r>
        <w:t xml:space="preserve"> </w:t>
      </w:r>
      <w:r>
        <w:t xml:space="preserve">synthetisch tripeptide van drie aminozuren: Glu-Asp-Arg (afgekort EDR).</w:t>
      </w:r>
    </w:p>
    <w:p>
      <w:pPr>
        <w:numPr>
          <w:ilvl w:val="0"/>
          <w:numId w:val="1221"/>
        </w:numPr>
        <w:pStyle w:val="Compact"/>
      </w:pPr>
      <w:r>
        <w:rPr>
          <w:bCs/>
          <w:b/>
        </w:rPr>
        <w:t xml:space="preserve">Herkomst:</w:t>
      </w:r>
      <w:r>
        <w:t xml:space="preserve"> </w:t>
      </w:r>
      <w:r>
        <w:t xml:space="preserve">ontwikkeld aan het Instituut voor Bioregulatie en Gerontologie in Sint-Petersburg (groep rond Vladimir Chavinson, die ook epitalon heeft ontwikkeld). De naam verwijst naar de pijnappelklier (glandula pinealis), hoewel het peptide vooral als beschermende stof voor zenuwcellen wordt beschreven.</w:t>
      </w:r>
    </w:p>
    <w:p>
      <w:pPr>
        <w:numPr>
          <w:ilvl w:val="0"/>
          <w:numId w:val="1221"/>
        </w:numPr>
        <w:pStyle w:val="Compact"/>
      </w:pPr>
      <w:r>
        <w:rPr>
          <w:bCs/>
          <w:b/>
        </w:rPr>
        <w:t xml:space="preserve">Werkingsprincipe:</w:t>
      </w:r>
      <w:r>
        <w:t xml:space="preserve"> </w:t>
      </w:r>
      <w:r>
        <w:t xml:space="preserve">zou als „korte peptidebioregulator” cellen en celkernen binnendringen, aan DNA of histonen binden en zo de activiteit beïnvloeden van genen die zenuwcellen beschermen tegen oxidatieve stress en celdood.</w:t>
      </w:r>
    </w:p>
    <w:p>
      <w:pPr>
        <w:numPr>
          <w:ilvl w:val="0"/>
          <w:numId w:val="1221"/>
        </w:numPr>
        <w:pStyle w:val="Compact"/>
      </w:pPr>
      <w:r>
        <w:rPr>
          <w:bCs/>
          <w:b/>
        </w:rPr>
        <w:t xml:space="preserve">Registratie EU:</w:t>
      </w:r>
      <w:r>
        <w:t xml:space="preserve"> </w:t>
      </w:r>
      <w:r>
        <w:t xml:space="preserve">nee.</w:t>
      </w:r>
    </w:p>
    <w:p>
      <w:pPr>
        <w:numPr>
          <w:ilvl w:val="0"/>
          <w:numId w:val="1221"/>
        </w:numPr>
        <w:pStyle w:val="Compact"/>
      </w:pPr>
      <w:r>
        <w:rPr>
          <w:bCs/>
          <w:b/>
        </w:rPr>
        <w:t xml:space="preserve">Registratie VS:</w:t>
      </w:r>
      <w:r>
        <w:t xml:space="preserve"> </w:t>
      </w:r>
      <w:r>
        <w:t xml:space="preserve">nee.</w:t>
      </w:r>
    </w:p>
    <w:p>
      <w:pPr>
        <w:numPr>
          <w:ilvl w:val="0"/>
          <w:numId w:val="1221"/>
        </w:numPr>
        <w:pStyle w:val="Compact"/>
      </w:pPr>
      <w:r>
        <w:rPr>
          <w:bCs/>
          <w:b/>
        </w:rPr>
        <w:t xml:space="preserve">Rusland:</w:t>
      </w:r>
      <w:r>
        <w:t xml:space="preserve"> </w:t>
      </w:r>
      <w:r>
        <w:t xml:space="preserve">op de markt gebracht als bestanddeel van zogeheten „cytogenen” in capsulevorm, dus eerder als voedingssupplement dan als getest geneesmiddel.</w:t>
      </w:r>
    </w:p>
    <w:p>
      <w:pPr>
        <w:numPr>
          <w:ilvl w:val="0"/>
          <w:numId w:val="1221"/>
        </w:numPr>
        <w:pStyle w:val="Compact"/>
      </w:pPr>
      <w:r>
        <w:rPr>
          <w:bCs/>
          <w:b/>
        </w:rPr>
        <w:t xml:space="preserve">WADA:</w:t>
      </w:r>
      <w:r>
        <w:t xml:space="preserve"> </w:t>
      </w:r>
      <w:r>
        <w:t xml:space="preserve">niet bij naam vermeld; een niet als geneesmiddel toegelaten werkzame stof kan onder de verzamelcategorie S0 vallen (stand 2026, actuele situatie controleren).</w:t>
      </w:r>
    </w:p>
    <w:p>
      <w:pPr>
        <w:numPr>
          <w:ilvl w:val="0"/>
          <w:numId w:val="1221"/>
        </w:numPr>
        <w:pStyle w:val="Compact"/>
      </w:pPr>
      <w:r>
        <w:rPr>
          <w:bCs/>
          <w:b/>
        </w:rPr>
        <w:t xml:space="preserve">Bewijsniveau:</w:t>
      </w:r>
      <w:r>
        <w:t xml:space="preserve"> </w:t>
      </w:r>
      <w:r>
        <w:rPr>
          <w:bCs/>
          <w:b/>
        </w:rPr>
        <w:t xml:space="preserve">C</w:t>
      </w:r>
      <w:r>
        <w:t xml:space="preserve"> </w:t>
      </w:r>
      <w:r>
        <w:t xml:space="preserve">– enkele kleine, niet-gerandomiseerde Russische observationele studies met surrogaatmaten zoals „biologische leeftijd”.</w:t>
      </w:r>
    </w:p>
    <w:bookmarkEnd w:id="673"/>
    <w:bookmarkStart w:id="674" w:name="hoe-het-zou-moeten-werken-40"/>
    <w:p>
      <w:pPr>
        <w:pStyle w:val="Heading3"/>
      </w:pPr>
      <w:r>
        <w:t xml:space="preserve">Hoe het zou moeten werken</w:t>
      </w:r>
    </w:p>
    <w:p>
      <w:pPr>
        <w:pStyle w:val="FirstParagraph"/>
      </w:pPr>
      <w:r>
        <w:t xml:space="preserve">Pinealon behoort tot een familie van zeer korte peptiden (twee tot vier aminozuren) die de groep in Sint-Petersburg „peptidebioregulatoren” noemt. De centrale hypothese luidt: zulke minipeptiden bereiken de celkern, binden daar aan bepaalde DNA-stukken en reguleren op die manier genen – vergelijkbaar met transcriptiefactoren, dus eiwitten die genen aan- en uitschakelen.</w:t>
      </w:r>
    </w:p>
    <w:p>
      <w:pPr>
        <w:pStyle w:val="BodyText"/>
      </w:pPr>
      <w:r>
        <w:t xml:space="preserve">Bewijs daarvoor komt uit het laboratorium:</w:t>
      </w:r>
    </w:p>
    <w:p>
      <w:pPr>
        <w:numPr>
          <w:ilvl w:val="0"/>
          <w:numId w:val="1222"/>
        </w:numPr>
        <w:pStyle w:val="Compact"/>
      </w:pPr>
      <w:r>
        <w:t xml:space="preserve">In kankercellen (HeLa) drongen fluorescent gelabelde pinealon-, epitalon- en verwante peptiden het cytoplasma, de celkern en de kernlichaampjes binnen; in de reageerbuis veranderden ze de fluorescentie van gelabelde DNA-stukken afhankelijk van hun sequentie (Fedoreyeva 2011, PMID 22117547).</w:t>
      </w:r>
    </w:p>
    <w:p>
      <w:pPr>
        <w:numPr>
          <w:ilvl w:val="0"/>
          <w:numId w:val="1222"/>
        </w:numPr>
        <w:pStyle w:val="Compact"/>
      </w:pPr>
      <w:r>
        <w:t xml:space="preserve">In zenuwcellen uit de kleine hersenen van ratten en in andere celkweken beperkte pinealon de ophoping van reactieve zuurstofverbindingen en verminderde het het afsterven van cellen (Khavinson 2011, PMID 21978084).</w:t>
      </w:r>
    </w:p>
    <w:p>
      <w:pPr>
        <w:pStyle w:val="FirstParagraph"/>
      </w:pPr>
      <w:r>
        <w:t xml:space="preserve">Een overzicht van de ontwikkelaars vat samen dat het EDR-peptide in cel- en dierproeven genen en eiwitten zou beïnvloeden die bij de ziekte van Alzheimer een rol spelen, zoals enzymen van de antioxidatieve afweer en celdoodsignalen (Khavinson 2020, PMID 33396470). Dat is een hypothese die door andere onderzoeksgroepen tot nu toe nauwelijks is getoetst. Uit de klassieke farmacologie is bovendien bekend dat zulke korte peptiden in het spijsverteringskanaal en in het bloed snel worden afgebroken; hoeveel onveranderd pinealon na inname van een capsule de zenuwcellen bereikt, is niet onderzocht.</w:t>
      </w:r>
    </w:p>
    <w:bookmarkEnd w:id="674"/>
    <w:bookmarkStart w:id="675" w:name="studies-bij-mensen-40"/>
    <w:p>
      <w:pPr>
        <w:pStyle w:val="Heading3"/>
      </w:pPr>
      <w:r>
        <w:t xml:space="preserve">Studies bij mensen</w:t>
      </w:r>
    </w:p>
    <w:p>
      <w:pPr>
        <w:pStyle w:val="FirstParagraph"/>
      </w:pPr>
      <w:r>
        <w:rPr>
          <w:bCs/>
          <w:b/>
        </w:rPr>
        <w:t xml:space="preserve">Omvang van het onderzoek:</w:t>
      </w:r>
      <w:r>
        <w:t xml:space="preserve"> </w:t>
      </w:r>
      <w:r>
        <w:t xml:space="preserve">De geautomatiseerde PubMed-zoekopdracht (oktober 2026) leverde</w:t>
      </w:r>
      <w:r>
        <w:t xml:space="preserve"> </w:t>
      </w:r>
      <w:r>
        <w:rPr>
          <w:bCs/>
          <w:b/>
        </w:rPr>
        <w:t xml:space="preserve">één</w:t>
      </w:r>
      <w:r>
        <w:t xml:space="preserve"> </w:t>
      </w:r>
      <w:r>
        <w:t xml:space="preserve">als studie bij mensen geclassificeerde publicatie op; in totaal vermeldt PubMed slechts 15 publicaties met „Pinealon” in titel of samenvatting. Op ClinicalTrials.gov is geen studie geregistreerd. Bij een aanvullende zoekopdracht werden drie andere kleine Russische publicaties met mensen gevonden, allemaal in het tijdschrift „Uspekhi Gerontologii” (Vorderingen in de gerontologie).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Deelnemers en opzet</w:t>
            </w:r>
          </w:p>
        </w:tc>
        <w:tc>
          <w:tcPr/>
          <w:p>
            <w:pPr>
              <w:pStyle w:val="Compact"/>
              <w:jc w:val="left"/>
            </w:pPr>
            <w:r>
              <w:t xml:space="preserve">Duur</w:t>
            </w:r>
          </w:p>
        </w:tc>
        <w:tc>
          <w:tcPr/>
          <w:p>
            <w:pPr>
              <w:pStyle w:val="Compact"/>
              <w:jc w:val="left"/>
            </w:pPr>
            <w:r>
              <w:t xml:space="preserve">Resultaat</w:t>
            </w:r>
          </w:p>
        </w:tc>
      </w:tr>
      <w:tr>
        <w:tc>
          <w:tcPr/>
          <w:p>
            <w:pPr>
              <w:pStyle w:val="Compact"/>
              <w:jc w:val="left"/>
            </w:pPr>
            <w:r>
              <w:t xml:space="preserve">Bashkireva 2012, PMID 23734521</w:t>
            </w:r>
          </w:p>
        </w:tc>
        <w:tc>
          <w:tcPr/>
          <w:p>
            <w:pPr>
              <w:pStyle w:val="Compact"/>
              <w:jc w:val="left"/>
            </w:pPr>
            <w:r>
              <w:t xml:space="preserve">150 vrachtwagenchauffeurs, 150 metaalarbeiders ter vergelijking; peptiden in subgroepen</w:t>
            </w:r>
          </w:p>
        </w:tc>
        <w:tc>
          <w:tcPr/>
          <w:p>
            <w:pPr>
              <w:pStyle w:val="Compact"/>
              <w:jc w:val="left"/>
            </w:pPr>
            <w:r>
              <w:t xml:space="preserve">niet vermeld</w:t>
            </w:r>
          </w:p>
        </w:tc>
        <w:tc>
          <w:tcPr/>
          <w:p>
            <w:pPr>
              <w:pStyle w:val="Compact"/>
              <w:jc w:val="left"/>
            </w:pPr>
            <w:r>
              <w:t xml:space="preserve">volgens de auteurs betere psycho-emotionele waarden, beste effect bij combinatie van twee peptiden</w:t>
            </w:r>
          </w:p>
        </w:tc>
      </w:tr>
      <w:tr>
        <w:tc>
          <w:tcPr/>
          <w:p>
            <w:pPr>
              <w:pStyle w:val="Compact"/>
              <w:jc w:val="left"/>
            </w:pPr>
            <w:r>
              <w:t xml:space="preserve">Nazimko 2012, PMID 22708445</w:t>
            </w:r>
          </w:p>
        </w:tc>
        <w:tc>
          <w:tcPr/>
          <w:p>
            <w:pPr>
              <w:pStyle w:val="Compact"/>
              <w:jc w:val="left"/>
            </w:pPr>
            <w:r>
              <w:t xml:space="preserve">teams van machinisten, pinealoncapsules</w:t>
            </w:r>
          </w:p>
        </w:tc>
        <w:tc>
          <w:tcPr/>
          <w:p>
            <w:pPr>
              <w:pStyle w:val="Compact"/>
              <w:jc w:val="left"/>
            </w:pPr>
            <w:r>
              <w:t xml:space="preserve">2 weken</w:t>
            </w:r>
          </w:p>
        </w:tc>
        <w:tc>
          <w:tcPr/>
          <w:p>
            <w:pPr>
              <w:pStyle w:val="Compact"/>
              <w:jc w:val="left"/>
            </w:pPr>
            <w:r>
              <w:t xml:space="preserve">volgens de auteurs betere „biologische leeftijd” en betere aanpassingsreacties</w:t>
            </w:r>
          </w:p>
        </w:tc>
      </w:tr>
      <w:tr>
        <w:tc>
          <w:tcPr/>
          <w:p>
            <w:pPr>
              <w:pStyle w:val="Compact"/>
              <w:jc w:val="left"/>
            </w:pPr>
            <w:r>
              <w:t xml:space="preserve">Meshchaninov 2015, PMID 26390612</w:t>
            </w:r>
          </w:p>
        </w:tc>
        <w:tc>
          <w:tcPr/>
          <w:p>
            <w:pPr>
              <w:pStyle w:val="Compact"/>
              <w:jc w:val="left"/>
            </w:pPr>
            <w:r>
              <w:t xml:space="preserve">32 personen (41–83 jaar) met multimorbiditeit en organisch psychosyndroom</w:t>
            </w:r>
          </w:p>
        </w:tc>
        <w:tc>
          <w:tcPr/>
          <w:p>
            <w:pPr>
              <w:pStyle w:val="Compact"/>
              <w:jc w:val="left"/>
            </w:pPr>
            <w:r>
              <w:t xml:space="preserve">niet vermeld</w:t>
            </w:r>
          </w:p>
        </w:tc>
        <w:tc>
          <w:tcPr/>
          <w:p>
            <w:pPr>
              <w:pStyle w:val="Compact"/>
              <w:jc w:val="left"/>
            </w:pPr>
            <w:r>
              <w:t xml:space="preserve">„anabool” effect; aanwijzingen voor oxiderende werking en remming van de bloedaanmaak</w:t>
            </w:r>
          </w:p>
        </w:tc>
      </w:tr>
      <w:tr>
        <w:tc>
          <w:tcPr/>
          <w:p>
            <w:pPr>
              <w:pStyle w:val="Compact"/>
              <w:jc w:val="left"/>
            </w:pPr>
            <w:r>
              <w:t xml:space="preserve">Myakotnykh 2016, PMID 28539017</w:t>
            </w:r>
          </w:p>
        </w:tc>
        <w:tc>
          <w:tcPr/>
          <w:p>
            <w:pPr>
              <w:pStyle w:val="Compact"/>
              <w:jc w:val="left"/>
            </w:pPr>
            <w:r>
              <w:t xml:space="preserve">110 personen, vergelijking van verschillende „anti-aging”-methoden</w:t>
            </w:r>
          </w:p>
        </w:tc>
        <w:tc>
          <w:tcPr/>
          <w:p>
            <w:pPr>
              <w:pStyle w:val="Compact"/>
              <w:jc w:val="left"/>
            </w:pPr>
            <w:r>
              <w:t xml:space="preserve">niet vermeld</w:t>
            </w:r>
          </w:p>
        </w:tc>
        <w:tc>
          <w:tcPr/>
          <w:p>
            <w:pPr>
              <w:pStyle w:val="Compact"/>
              <w:jc w:val="left"/>
            </w:pPr>
            <w:r>
              <w:t xml:space="preserve">sterkste effect op de „biologische leeftijd” bij combinatie van twee peptiden</w:t>
            </w:r>
          </w:p>
        </w:tc>
      </w:tr>
    </w:tbl>
    <w:p>
      <w:pPr>
        <w:pStyle w:val="BodyText"/>
      </w:pPr>
      <w:r>
        <w:t xml:space="preserve">Alle vier publicaties hebben gemeenschappelijke zwakke punten:</w:t>
      </w:r>
    </w:p>
    <w:p>
      <w:pPr>
        <w:numPr>
          <w:ilvl w:val="0"/>
          <w:numId w:val="1223"/>
        </w:numPr>
        <w:pStyle w:val="Compact"/>
      </w:pPr>
      <w:r>
        <w:rPr>
          <w:bCs/>
          <w:b/>
        </w:rPr>
        <w:t xml:space="preserve">Geen placebo, geen blindering, geen gerandomiseerde toewijzing</w:t>
      </w:r>
      <w:r>
        <w:t xml:space="preserve"> </w:t>
      </w:r>
      <w:r>
        <w:t xml:space="preserve">herkenbaar. Bij vragenlijsten over stemming en stressbelasting is het verwachtingseffect aanzienlijk.</w:t>
      </w:r>
    </w:p>
    <w:p>
      <w:pPr>
        <w:numPr>
          <w:ilvl w:val="0"/>
          <w:numId w:val="1223"/>
        </w:numPr>
        <w:pStyle w:val="Compact"/>
      </w:pPr>
      <w:r>
        <w:rPr>
          <w:bCs/>
          <w:b/>
        </w:rPr>
        <w:t xml:space="preserve">Surrogaatmaten in plaats van klinische eindpunten:</w:t>
      </w:r>
      <w:r>
        <w:t xml:space="preserve"> </w:t>
      </w:r>
      <w:r>
        <w:t xml:space="preserve">De „biologische leeftijd” wordt in de Russische gerontologie berekend uit een combinatie van metingen zoals bloeddruk, longfunctie, reactietijd en zelfrapportage. Het is geen internationaal gestandaardiseerde maat, en een verbetering betekent niet automatisch meer gezondheid of een langer leven.</w:t>
      </w:r>
    </w:p>
    <w:p>
      <w:pPr>
        <w:numPr>
          <w:ilvl w:val="0"/>
          <w:numId w:val="1223"/>
        </w:numPr>
        <w:pStyle w:val="Compact"/>
      </w:pPr>
      <w:r>
        <w:rPr>
          <w:bCs/>
          <w:b/>
        </w:rPr>
        <w:t xml:space="preserve">Combinaties:</w:t>
      </w:r>
      <w:r>
        <w:t xml:space="preserve"> </w:t>
      </w:r>
      <w:r>
        <w:t xml:space="preserve">In meerdere studies werd pinealon samen met het peptide vesugen (Lys-Glu-Asp) gegeven, zodat het effect niet aan één stof kan worden toegeschreven.</w:t>
      </w:r>
    </w:p>
    <w:p>
      <w:pPr>
        <w:numPr>
          <w:ilvl w:val="0"/>
          <w:numId w:val="1223"/>
        </w:numPr>
        <w:pStyle w:val="Compact"/>
      </w:pPr>
      <w:r>
        <w:rPr>
          <w:bCs/>
          <w:b/>
        </w:rPr>
        <w:t xml:space="preserve">Onduidelijke getallen:</w:t>
      </w:r>
      <w:r>
        <w:t xml:space="preserve"> </w:t>
      </w:r>
      <w:r>
        <w:t xml:space="preserve">De samenvattingen noemen nauwelijks effectgrootten.</w:t>
      </w:r>
    </w:p>
    <w:p>
      <w:pPr>
        <w:pStyle w:val="FirstParagraph"/>
      </w:pPr>
      <w:r>
        <w:t xml:space="preserve">Opmerkelijk is een bevinding die in de reclame niet voorkomt: in de studie met 32 ouderen zagen de auteurs onder pinealon en vesugen een</w:t>
      </w:r>
      <w:r>
        <w:t xml:space="preserve"> </w:t>
      </w:r>
      <w:r>
        <w:rPr>
          <w:bCs/>
          <w:b/>
        </w:rPr>
        <w:t xml:space="preserve">pro-oxidatieve</w:t>
      </w:r>
      <w:r>
        <w:t xml:space="preserve"> </w:t>
      </w:r>
      <w:r>
        <w:t xml:space="preserve">activiteit – dus het tegendeel van het beweerde antioxidatieve effect – en een afname van bloedvormende stamcellen (CD34+) in het bloed, die zij beschrijven als een duidelijke remming van de bloedaanmaak. Toch bevelen zij de peptiden aan voor de geriatrische praktijk (Meshchaninov 2015, PMID 26390612).</w:t>
      </w:r>
    </w:p>
    <w:bookmarkEnd w:id="675"/>
    <w:bookmarkStart w:id="676" w:name="dier--en-laboratoriumstudies-40"/>
    <w:p>
      <w:pPr>
        <w:pStyle w:val="Heading3"/>
      </w:pPr>
      <w:r>
        <w:t xml:space="preserve">Dier- en laboratoriumstudies</w:t>
      </w:r>
    </w:p>
    <w:p>
      <w:pPr>
        <w:numPr>
          <w:ilvl w:val="0"/>
          <w:numId w:val="1224"/>
        </w:numPr>
        <w:pStyle w:val="Compact"/>
      </w:pPr>
      <w:r>
        <w:t xml:space="preserve">Bij ratten van wie de moeders tijdens de zwangerschap door methioninerijk voer verhoogde homocysteïnewaarden hadden, verbeterde pinealon (gegeven aan de moeders) de oriëntatie en het leervermogen van de nakomelingen; hun zenuwcellen in de kleine hersenen waren beter bestand tegen oxidatieve stress (Arutjunyan 2012, PMID 22567179).</w:t>
      </w:r>
    </w:p>
    <w:p>
      <w:pPr>
        <w:numPr>
          <w:ilvl w:val="0"/>
          <w:numId w:val="1224"/>
        </w:numPr>
        <w:pStyle w:val="Compact"/>
      </w:pPr>
      <w:r>
        <w:t xml:space="preserve">Bij ratten van 18 maanden oud beïnvloedden pinealon en Cortexin (een Russisch preparaat uit hersenextract) bij zuurstoftekort en onderkoeling gedrag en signaalstoffen in de hersenen; Cortexin werkte daarbij sterker op radicaalprocessen en celdoodenzymen (Mendzheritsky 2015, PMID 28509493).</w:t>
      </w:r>
    </w:p>
    <w:p>
      <w:pPr>
        <w:numPr>
          <w:ilvl w:val="0"/>
          <w:numId w:val="1224"/>
        </w:numPr>
        <w:pStyle w:val="Compact"/>
      </w:pPr>
      <w:r>
        <w:t xml:space="preserve">In celkweken beschermde pinealon verschillende celtypen tegen oxidatieve stress (Khavinson 2011, PMID 21978084).</w:t>
      </w:r>
    </w:p>
    <w:p>
      <w:pPr>
        <w:pStyle w:val="FirstParagraph"/>
      </w:pPr>
      <w:r>
        <w:t xml:space="preserve">Bijna alle publicaties komen van de ontwikkelaarsgroep of samenwerkende Russische instituten.</w:t>
      </w:r>
    </w:p>
    <w:bookmarkEnd w:id="676"/>
    <w:bookmarkStart w:id="677" w:name="risicos-en-bijwerkingen-40"/>
    <w:p>
      <w:pPr>
        <w:pStyle w:val="Heading3"/>
      </w:pPr>
      <w:r>
        <w:t xml:space="preserve">Risico’s en bijwerkingen</w:t>
      </w:r>
    </w:p>
    <w:p>
      <w:pPr>
        <w:pStyle w:val="FirstParagraph"/>
      </w:pPr>
      <w:r>
        <w:rPr>
          <w:bCs/>
          <w:b/>
        </w:rPr>
        <w:t xml:space="preserve">Aangetoond:</w:t>
      </w:r>
      <w:r>
        <w:t xml:space="preserve"> </w:t>
      </w:r>
      <w:r>
        <w:t xml:space="preserve">systematische veiligheidsgegevens zijn er niet. De enige studie die laboratoriumwaarden uitvoeriger rapporteert, beschrijft een pro-oxidatieve activiteit en een afname van bloedvormende stamcellen in het bloed (Meshchaninov 2015, PMID 26390612). Wat dat betekent, is onduidelijk – maar het is een waarschuwingssignaal dat niet verder is onderzocht.</w:t>
      </w:r>
    </w:p>
    <w:p>
      <w:pPr>
        <w:pStyle w:val="BodyText"/>
      </w:pPr>
      <w:r>
        <w:rPr>
          <w:bCs/>
          <w:b/>
        </w:rPr>
        <w:t xml:space="preserve">Theoretisch:</w:t>
      </w:r>
      <w:r>
        <w:t xml:space="preserve"> </w:t>
      </w:r>
      <w:r>
        <w:t xml:space="preserve">als de hypothese van de ontwikkelaars klopt en pinealon daadwerkelijk aan DNA bindt en genen reguleert, zouden ook ongewenste genetische effecten denkbaar zijn. Onderzoek naar schade aan het erfelijk materiaal, kankerrisico of langetermijneffecten is er niet.</w:t>
      </w:r>
    </w:p>
    <w:p>
      <w:pPr>
        <w:pStyle w:val="BodyText"/>
      </w:pPr>
      <w:r>
        <w:rPr>
          <w:bCs/>
          <w:b/>
        </w:rPr>
        <w:t xml:space="preserve">Grijze markt:</w:t>
      </w:r>
      <w:r>
        <w:t xml:space="preserve"> </w:t>
      </w:r>
      <w:r>
        <w:t xml:space="preserve">pinealon wordt online aangeboden als capsule, neusspray of poeder voor injectie, meestal met beloften over geheugen, slaap en „hersenverjonging”. Gehalte en zuiverheid zijn ongecontroleerd.</w:t>
      </w:r>
    </w:p>
    <w:bookmarkEnd w:id="677"/>
    <w:bookmarkStart w:id="678" w:name="juridische-status-40"/>
    <w:p>
      <w:pPr>
        <w:pStyle w:val="Heading3"/>
      </w:pPr>
      <w:r>
        <w:t xml:space="preserve">Juridische status</w:t>
      </w:r>
    </w:p>
    <w:p>
      <w:pPr>
        <w:numPr>
          <w:ilvl w:val="0"/>
          <w:numId w:val="1225"/>
        </w:numPr>
        <w:pStyle w:val="Compact"/>
      </w:pPr>
      <w:r>
        <w:rPr>
          <w:bCs/>
          <w:b/>
        </w:rPr>
        <w:t xml:space="preserve">EU / Oostenrijk / Duitsland:</w:t>
      </w:r>
      <w:r>
        <w:t xml:space="preserve"> </w:t>
      </w:r>
      <w:r>
        <w:t xml:space="preserve">niet als geneesmiddel toegelaten. Verkoop als voedingssupplement zou alleen toegestaan zijn als de stof volgens de levensmiddelenwetgeving is toegelaten; als nieuwe, synthetische stof met beoogde farmacologische werking is dat naar onze inschatting niet het geval (stand 2026, actuele situatie controleren).</w:t>
      </w:r>
    </w:p>
    <w:p>
      <w:pPr>
        <w:numPr>
          <w:ilvl w:val="0"/>
          <w:numId w:val="1225"/>
        </w:numPr>
        <w:pStyle w:val="Compact"/>
      </w:pPr>
      <w:r>
        <w:rPr>
          <w:bCs/>
          <w:b/>
        </w:rPr>
        <w:t xml:space="preserve">VS:</w:t>
      </w:r>
      <w:r>
        <w:t xml:space="preserve"> </w:t>
      </w:r>
      <w:r>
        <w:t xml:space="preserve">niet toegelaten.</w:t>
      </w:r>
    </w:p>
    <w:p>
      <w:pPr>
        <w:numPr>
          <w:ilvl w:val="0"/>
          <w:numId w:val="1225"/>
        </w:numPr>
        <w:pStyle w:val="Compact"/>
      </w:pPr>
      <w:r>
        <w:rPr>
          <w:bCs/>
          <w:b/>
        </w:rPr>
        <w:t xml:space="preserve">Rusland:</w:t>
      </w:r>
      <w:r>
        <w:t xml:space="preserve"> </w:t>
      </w:r>
      <w:r>
        <w:t xml:space="preserve">in de handel als bestanddeel van peptidepreparaten die niet de toelatingsprocedure voor geneesmiddelen hebben doorlopen.</w:t>
      </w:r>
    </w:p>
    <w:p>
      <w:pPr>
        <w:numPr>
          <w:ilvl w:val="0"/>
          <w:numId w:val="1225"/>
        </w:numPr>
        <w:pStyle w:val="Compact"/>
      </w:pPr>
      <w:r>
        <w:rPr>
          <w:bCs/>
          <w:b/>
        </w:rPr>
        <w:t xml:space="preserve">Sport:</w:t>
      </w:r>
      <w:r>
        <w:t xml:space="preserve"> </w:t>
      </w:r>
      <w:r>
        <w:t xml:space="preserve">niet bij naam vermeld; mogelijke opname via WADA-categorie S0 (stand 2026, actuele situatie controleren).</w:t>
      </w:r>
    </w:p>
    <w:bookmarkEnd w:id="678"/>
    <w:bookmarkStart w:id="679" w:name="lopende-studies-en-vooruitzichten-40"/>
    <w:p>
      <w:pPr>
        <w:pStyle w:val="Heading3"/>
      </w:pPr>
      <w:r>
        <w:t xml:space="preserve">Lopende studies en vooruitzichten</w:t>
      </w:r>
    </w:p>
    <w:p>
      <w:pPr>
        <w:pStyle w:val="FirstParagraph"/>
      </w:pPr>
      <w:r>
        <w:rPr>
          <w:bCs/>
          <w:b/>
        </w:rPr>
        <w:t xml:space="preserve">Vast staat:</w:t>
      </w:r>
      <w:r>
        <w:t xml:space="preserve"> </w:t>
      </w:r>
      <w:r>
        <w:t xml:space="preserve">geen geregistreerde studie (zoekopdracht oktober 2026).</w:t>
      </w:r>
    </w:p>
    <w:p>
      <w:pPr>
        <w:pStyle w:val="BodyText"/>
      </w:pPr>
      <w:r>
        <w:rPr>
          <w:bCs/>
          <w:b/>
        </w:rPr>
        <w:t xml:space="preserve">Inschatting:</w:t>
      </w:r>
      <w:r>
        <w:t xml:space="preserve"> </w:t>
      </w:r>
      <w:r>
        <w:t xml:space="preserve">zolang het onderzoek beperkt blijft tot een kleine kring Russische instituten en er geen gerandomiseerde, placebogecontroleerde studies met klinische eindpunten worden uitgevoerd, blijft pinealon een laboratoriumconcept met een marketingbovenbouw.</w:t>
      </w:r>
    </w:p>
    <w:bookmarkEnd w:id="679"/>
    <w:bookmarkStart w:id="680" w:name="conclusie-40"/>
    <w:p>
      <w:pPr>
        <w:pStyle w:val="Heading3"/>
      </w:pPr>
      <w:r>
        <w:t xml:space="preserve">Conclusie</w:t>
      </w:r>
    </w:p>
    <w:p>
      <w:pPr>
        <w:pStyle w:val="FirstParagraph"/>
      </w:pPr>
      <w:r>
        <w:t xml:space="preserve">Pinealon is een synthetisch tripeptide uit Sint-Petersburg dat in celkweken en bij ratten zenuwcellen beschermde tegen oxidatieve stress; de ontwikkelaars vermoeden een rechtstreeks effect op genen. De weinige studies bij mensen zijn klein, ongecontroleerd en meten vooral een niet-gestandaardiseerde „biologische leeftijd”. Een daarvan vond zelfs aanwijzingen voor een pro-oxidatief effect en een remming van de bloedaanmaak. De gegevens volstaan niet om een nut of de veiligheid bij mensen te beoordelen.</w:t>
      </w:r>
    </w:p>
    <w:bookmarkEnd w:id="680"/>
    <w:bookmarkEnd w:id="681"/>
    <w:bookmarkStart w:id="692" w:name="mots-c"/>
    <w:p>
      <w:pPr>
        <w:pStyle w:val="Heading2"/>
      </w:pPr>
      <w:r>
        <w:t xml:space="preserve">MOTS-c</w:t>
      </w:r>
    </w:p>
    <w:bookmarkStart w:id="682" w:name="profiel-41"/>
    <w:p>
      <w:pPr>
        <w:pStyle w:val="Heading3"/>
      </w:pPr>
      <w:r>
        <w:t xml:space="preserve">Profiel</w:t>
      </w:r>
    </w:p>
    <w:p>
      <w:pPr>
        <w:numPr>
          <w:ilvl w:val="0"/>
          <w:numId w:val="1226"/>
        </w:numPr>
        <w:pStyle w:val="Compact"/>
      </w:pPr>
      <w:r>
        <w:rPr>
          <w:bCs/>
          <w:b/>
        </w:rPr>
        <w:t xml:space="preserve">Soort en structuur:</w:t>
      </w:r>
      <w:r>
        <w:t xml:space="preserve"> </w:t>
      </w:r>
      <w:r>
        <w:t xml:space="preserve">peptide van 16 aminozuren. De naam staat voor</w:t>
      </w:r>
      <w:r>
        <w:t xml:space="preserve"> </w:t>
      </w:r>
      <w:r>
        <w:rPr>
          <w:iCs/>
          <w:i/>
        </w:rPr>
        <w:t xml:space="preserve">mitochondrial open reading frame of the 12S rRNA-c</w:t>
      </w:r>
      <w:r>
        <w:t xml:space="preserve"> </w:t>
      </w:r>
      <w:r>
        <w:t xml:space="preserve">– het is niet in de celkern, maar in het erfelijk materiaal van de mitochondriën gecodeerd, de „energiecentrales” van de cel.</w:t>
      </w:r>
    </w:p>
    <w:p>
      <w:pPr>
        <w:numPr>
          <w:ilvl w:val="0"/>
          <w:numId w:val="1226"/>
        </w:numPr>
        <w:pStyle w:val="Compact"/>
      </w:pPr>
      <w:r>
        <w:rPr>
          <w:bCs/>
          <w:b/>
        </w:rPr>
        <w:t xml:space="preserve">Herkomst:</w:t>
      </w:r>
      <w:r>
        <w:t xml:space="preserve"> </w:t>
      </w:r>
      <w:r>
        <w:t xml:space="preserve">in 2015 beschreven door een onderzoeksgroep rond Pinchas Cohen aan de University of Southern California. Het lichaam maakt het zelf aan, vooral in de skeletspier.</w:t>
      </w:r>
    </w:p>
    <w:p>
      <w:pPr>
        <w:numPr>
          <w:ilvl w:val="0"/>
          <w:numId w:val="1226"/>
        </w:numPr>
        <w:pStyle w:val="Compact"/>
      </w:pPr>
      <w:r>
        <w:rPr>
          <w:bCs/>
          <w:b/>
        </w:rPr>
        <w:t xml:space="preserve">Werkingsprincipe:</w:t>
      </w:r>
      <w:r>
        <w:t xml:space="preserve"> </w:t>
      </w:r>
      <w:r>
        <w:t xml:space="preserve">geldt als „mitokine” – een signaalstof van de mitochondriën. Bij muizen activeerde het de energiesensor AMPK, verbeterde het de insulinegevoeligheid en het lichamelijk prestatievermogen; daarom wordt het besproken als „bewegingsnabootser” (exercise mimetic).</w:t>
      </w:r>
    </w:p>
    <w:p>
      <w:pPr>
        <w:numPr>
          <w:ilvl w:val="0"/>
          <w:numId w:val="1226"/>
        </w:numPr>
        <w:pStyle w:val="Compact"/>
      </w:pPr>
      <w:r>
        <w:rPr>
          <w:bCs/>
          <w:b/>
        </w:rPr>
        <w:t xml:space="preserve">Registratie EU:</w:t>
      </w:r>
      <w:r>
        <w:t xml:space="preserve"> </w:t>
      </w:r>
      <w:r>
        <w:t xml:space="preserve">nee.</w:t>
      </w:r>
    </w:p>
    <w:p>
      <w:pPr>
        <w:numPr>
          <w:ilvl w:val="0"/>
          <w:numId w:val="1226"/>
        </w:numPr>
        <w:pStyle w:val="Compact"/>
      </w:pPr>
      <w:r>
        <w:rPr>
          <w:bCs/>
          <w:b/>
        </w:rPr>
        <w:t xml:space="preserve">Registratie VS:</w:t>
      </w:r>
      <w:r>
        <w:t xml:space="preserve"> </w:t>
      </w:r>
      <w:r>
        <w:t xml:space="preserve">nee. In april 2026 van de FDA-„categorie 2” geschrapt; het adviescomité PCAC stemde in juli 2026 met 7 tegen 5 stemmen voor opname in de lijst van toegestane grondstoffen voor bereidingen (stand oktober 2026, actuele situatie controleren).</w:t>
      </w:r>
    </w:p>
    <w:p>
      <w:pPr>
        <w:numPr>
          <w:ilvl w:val="0"/>
          <w:numId w:val="1226"/>
        </w:numPr>
        <w:pStyle w:val="Compact"/>
      </w:pPr>
      <w:r>
        <w:rPr>
          <w:bCs/>
          <w:b/>
        </w:rPr>
        <w:t xml:space="preserve">WADA:</w:t>
      </w:r>
      <w:r>
        <w:t xml:space="preserve"> </w:t>
      </w:r>
      <w:r>
        <w:rPr>
          <w:bCs/>
          <w:b/>
        </w:rPr>
        <w:t xml:space="preserve">verboden</w:t>
      </w:r>
      <w:r>
        <w:t xml:space="preserve"> </w:t>
      </w:r>
      <w:r>
        <w:t xml:space="preserve">– uitdrukkelijk in categorie S4 (hormoon- en stofwisselingsmodulatoren) genoemd als voorbeeld van een AMPK-activator, binnen en buiten wedstrijden (stand 2026, actuele situatie controleren).</w:t>
      </w:r>
    </w:p>
    <w:p>
      <w:pPr>
        <w:numPr>
          <w:ilvl w:val="0"/>
          <w:numId w:val="1226"/>
        </w:numPr>
        <w:pStyle w:val="Compact"/>
      </w:pPr>
      <w:r>
        <w:rPr>
          <w:bCs/>
          <w:b/>
        </w:rPr>
        <w:t xml:space="preserve">Bewijsniveau:</w:t>
      </w:r>
      <w:r>
        <w:t xml:space="preserve"> </w:t>
      </w:r>
      <w:r>
        <w:rPr>
          <w:bCs/>
          <w:b/>
        </w:rPr>
        <w:t xml:space="preserve">D</w:t>
      </w:r>
      <w:r>
        <w:t xml:space="preserve"> </w:t>
      </w:r>
      <w:r>
        <w:t xml:space="preserve">voor toediening als werkzame stof – gepubliceerde resultaten van gecontroleerde studies bij mensen zijn er niet; bij mensen bestaan alleen observationele studies naar de lichaamseigen spiegels.</w:t>
      </w:r>
    </w:p>
    <w:bookmarkEnd w:id="682"/>
    <w:bookmarkStart w:id="683" w:name="hoe-het-zou-moeten-werken-41"/>
    <w:p>
      <w:pPr>
        <w:pStyle w:val="Heading3"/>
      </w:pPr>
      <w:r>
        <w:t xml:space="preserve">Hoe het zou moeten werken</w:t>
      </w:r>
    </w:p>
    <w:p>
      <w:pPr>
        <w:pStyle w:val="FirstParagraph"/>
      </w:pPr>
      <w:r>
        <w:t xml:space="preserve">Mitochondriën hebben een eigen, klein erfelijk materiaal. Lang gold dat als „bouwtekening” voor slechts 13 eiwitten van de energiewinning. Sinds het begin van de jaren 2000 werden daarin bovendien korte leesgedeelten ontdekt die kleine signaalpeptiden coderen – eerst humanine (zie volgend hoofdstuk), daarna MOTS-c.</w:t>
      </w:r>
    </w:p>
    <w:p>
      <w:pPr>
        <w:pStyle w:val="BodyText"/>
      </w:pPr>
      <w:r>
        <w:t xml:space="preserve">De eerste beschrijving liet bij muizen zien dat MOTS-c vooral op de skeletspier werkt: het remt een stofwisselingsroute (folaatcyclus en purinesynthese), waardoor de signaalstof AICAR zich ophoopt en het enzym AMPK wordt geactiveerd – dezelfde energiesensor waarop ook beweging en het diabetesmiddel metformine werken. Muizen die MOTS-c ingespoten kregen, ontwikkelden bij vetrijk voer minder overgewicht en minder insulineresistentie (Lee 2015, PMID 25738459). Onder stofwisselingsstress verplaatste MOTS-c zich in celkweken naar de celkern en beïnvloedde daar genen (Kim 2018, PMID 29983246).</w:t>
      </w:r>
    </w:p>
    <w:p>
      <w:pPr>
        <w:pStyle w:val="BodyText"/>
      </w:pPr>
      <w:r>
        <w:t xml:space="preserve">In een tweede grote publicatie verhoogde MOTS-c het lichamelijk prestatievermogen van jonge, middelbare en oude muizen; een pas op hoge leeftijd begonnen behandeling verbeterde het prestatievermogen en de „gezonde levensduur”. Bij mensen stegen de MOTS-c-spiegels in spier en bloed na lichamelijke inspanning (Reynolds 2021, PMID 33473109).</w:t>
      </w:r>
    </w:p>
    <w:p>
      <w:pPr>
        <w:pStyle w:val="BodyText"/>
      </w:pPr>
      <w:r>
        <w:t xml:space="preserve">Daaruit ontstond het beeld van MOTS-c als „sport in een spuitje”. Belangrijk is echter de volgorde: dat beweging MOTS-c verhoogt, betekent niet dat MOTS-c-injecties de effecten van beweging bij mensen nabootsen.</w:t>
      </w:r>
    </w:p>
    <w:bookmarkEnd w:id="683"/>
    <w:bookmarkStart w:id="686" w:name="studies-bij-mensen-41"/>
    <w:p>
      <w:pPr>
        <w:pStyle w:val="Heading3"/>
      </w:pPr>
      <w:r>
        <w:t xml:space="preserve">Studies bij mensen</w:t>
      </w:r>
    </w:p>
    <w:p>
      <w:pPr>
        <w:pStyle w:val="FirstParagraph"/>
      </w:pPr>
      <w:r>
        <w:rPr>
          <w:bCs/>
          <w:b/>
        </w:rPr>
        <w:t xml:space="preserve">Omvang van het onderzoek:</w:t>
      </w:r>
      <w:r>
        <w:t xml:space="preserve"> </w:t>
      </w:r>
      <w:r>
        <w:t xml:space="preserve">De geautomatiseerde PubMed-zoekopdracht (oktober 2026) leverde 5 als studie bij mensen geclassificeerde publicaties op; in geen daarvan werd MOTS-c toegediend. In totaal vermeldt PubMed ongeveer 260 publicaties met „MOTS-c”, overwegend dier- en celexperimenten en observationele studies naar de lichaamseigen bloedspiegels. Op ClinicalTrials.gov leverde de zoekopdracht 5 registraties op. Vier daarvan meten alleen spiegels of betreffen andere vraagstellingen. De vijfde, een zogenaamde fase 2-studie met MOTS-c bij prediabetes, komt van een sponsor onder wiens naam kennelijk fictieve voorbeeldregistraties in het register staan. Wij beschouwen hem daarom niet als echte studie en tellen hem niet mee; een geregistreerde studie met MOTS-c zelf als werkzame stof is daarmee niet aangetoond. Daarbij komt een afgeronde studie met de MOTS-c-afgeleide CB4211 (NCT03998514).</w:t>
      </w:r>
    </w:p>
    <w:p>
      <w:pPr>
        <w:pStyle w:val="BodyText"/>
      </w:pPr>
      <w:r>
        <w:t xml:space="preserve">Voor het begrip van dit hoofdstuk is één onderscheid essentieel:</w:t>
      </w:r>
    </w:p>
    <w:p>
      <w:pPr>
        <w:numPr>
          <w:ilvl w:val="0"/>
          <w:numId w:val="1227"/>
        </w:numPr>
        <w:pStyle w:val="Compact"/>
      </w:pPr>
      <w:r>
        <w:rPr>
          <w:bCs/>
          <w:b/>
        </w:rPr>
        <w:t xml:space="preserve">Observationele studies naar lichaamseigen spiegels:</w:t>
      </w:r>
      <w:r>
        <w:t xml:space="preserve"> </w:t>
      </w:r>
      <w:r>
        <w:t xml:space="preserve">Hier wordt gemeten hoeveel MOTS-c mensen in het bloed hebben, en dat wordt in verband gebracht met ziekten of gedrag.</w:t>
      </w:r>
    </w:p>
    <w:p>
      <w:pPr>
        <w:numPr>
          <w:ilvl w:val="0"/>
          <w:numId w:val="1227"/>
        </w:numPr>
        <w:pStyle w:val="Compact"/>
      </w:pPr>
      <w:r>
        <w:rPr>
          <w:bCs/>
          <w:b/>
        </w:rPr>
        <w:t xml:space="preserve">Studies waarin MOTS-c (of een afgeleide) als werkzame stof wordt gegeven:</w:t>
      </w:r>
      <w:r>
        <w:t xml:space="preserve"> </w:t>
      </w:r>
      <w:r>
        <w:t xml:space="preserve">Alleen die kunnen laten zien of toediening iets uithaalt.</w:t>
      </w:r>
    </w:p>
    <w:p>
      <w:pPr>
        <w:pStyle w:val="FirstParagraph"/>
      </w:pPr>
      <w:r>
        <w:t xml:space="preserve">Resultaten van de eerste soort worden op internet vaak zo voorgesteld alsof ze de werking van de tweede soort aantonen. Dat is een kortsluiting.</w:t>
      </w:r>
    </w:p>
    <w:bookmarkStart w:id="684" w:name="lichaamseigen-spiegels-observaties"/>
    <w:p>
      <w:pPr>
        <w:pStyle w:val="Heading4"/>
      </w:pPr>
      <w:r>
        <w:t xml:space="preserve">1. Lichaamseigen spiegels: observaties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Deelnemers en opzet</w:t>
            </w:r>
          </w:p>
        </w:tc>
        <w:tc>
          <w:tcPr/>
          <w:p>
            <w:pPr>
              <w:pStyle w:val="Compact"/>
              <w:jc w:val="left"/>
            </w:pPr>
            <w:r>
              <w:t xml:space="preserve">Duur</w:t>
            </w:r>
          </w:p>
        </w:tc>
        <w:tc>
          <w:tcPr/>
          <w:p>
            <w:pPr>
              <w:pStyle w:val="Compact"/>
              <w:jc w:val="left"/>
            </w:pPr>
            <w:r>
              <w:t xml:space="preserve">Resultaat</w:t>
            </w:r>
          </w:p>
        </w:tc>
      </w:tr>
      <w:tr>
        <w:tc>
          <w:tcPr/>
          <w:p>
            <w:pPr>
              <w:pStyle w:val="Compact"/>
              <w:jc w:val="left"/>
            </w:pPr>
            <w:r>
              <w:t xml:space="preserve">Du 2018, PMID 29691953</w:t>
            </w:r>
          </w:p>
        </w:tc>
        <w:tc>
          <w:tcPr/>
          <w:p>
            <w:pPr>
              <w:pStyle w:val="Compact"/>
              <w:jc w:val="left"/>
            </w:pPr>
            <w:r>
              <w:t xml:space="preserve">40 kinderen en jongeren met overgewicht, 57 controles, patiënt-controleonderzoek</w:t>
            </w:r>
          </w:p>
        </w:tc>
        <w:tc>
          <w:tcPr/>
          <w:p>
            <w:pPr>
              <w:pStyle w:val="Compact"/>
              <w:jc w:val="left"/>
            </w:pPr>
            <w:r>
              <w:t xml:space="preserve">dwarsdoorsnede</w:t>
            </w:r>
          </w:p>
        </w:tc>
        <w:tc>
          <w:tcPr/>
          <w:p>
            <w:pPr>
              <w:pStyle w:val="Compact"/>
              <w:jc w:val="left"/>
            </w:pPr>
            <w:r>
              <w:t xml:space="preserve">lagere spiegels bij jongens met overgewicht, niet bij meisjes</w:t>
            </w:r>
          </w:p>
        </w:tc>
      </w:tr>
      <w:tr>
        <w:tc>
          <w:tcPr/>
          <w:p>
            <w:pPr>
              <w:pStyle w:val="Compact"/>
              <w:jc w:val="left"/>
            </w:pPr>
            <w:r>
              <w:t xml:space="preserve">Kirik 2023, PMID 37750635</w:t>
            </w:r>
          </w:p>
        </w:tc>
        <w:tc>
          <w:tcPr/>
          <w:p>
            <w:pPr>
              <w:pStyle w:val="Compact"/>
              <w:jc w:val="left"/>
            </w:pPr>
            <w:r>
              <w:t xml:space="preserve">150 personen met leververvetting, 84 gezonden</w:t>
            </w:r>
          </w:p>
        </w:tc>
        <w:tc>
          <w:tcPr/>
          <w:p>
            <w:pPr>
              <w:pStyle w:val="Compact"/>
              <w:jc w:val="left"/>
            </w:pPr>
            <w:r>
              <w:t xml:space="preserve">dwarsdoorsnede</w:t>
            </w:r>
          </w:p>
        </w:tc>
        <w:tc>
          <w:tcPr/>
          <w:p>
            <w:pPr>
              <w:pStyle w:val="Compact"/>
              <w:jc w:val="left"/>
            </w:pPr>
            <w:r>
              <w:t xml:space="preserve">lagere spiegels bij leververvetting en metabool syndroom</w:t>
            </w:r>
          </w:p>
        </w:tc>
      </w:tr>
      <w:tr>
        <w:tc>
          <w:tcPr/>
          <w:p>
            <w:pPr>
              <w:pStyle w:val="Compact"/>
              <w:jc w:val="left"/>
            </w:pPr>
            <w:r>
              <w:t xml:space="preserve">Ikonomidis 2020, PMID 32052315</w:t>
            </w:r>
          </w:p>
        </w:tc>
        <w:tc>
          <w:tcPr/>
          <w:p>
            <w:pPr>
              <w:pStyle w:val="Compact"/>
              <w:jc w:val="left"/>
            </w:pPr>
            <w:r>
              <w:t xml:space="preserve">121 mensen met diabetes type 2 na een vaatingreep</w:t>
            </w:r>
          </w:p>
        </w:tc>
        <w:tc>
          <w:tcPr/>
          <w:p>
            <w:pPr>
              <w:pStyle w:val="Compact"/>
              <w:jc w:val="left"/>
            </w:pPr>
            <w:r>
              <w:t xml:space="preserve">2 jaar</w:t>
            </w:r>
          </w:p>
        </w:tc>
        <w:tc>
          <w:tcPr/>
          <w:p>
            <w:pPr>
              <w:pStyle w:val="Compact"/>
              <w:jc w:val="left"/>
            </w:pPr>
            <w:r>
              <w:t xml:space="preserve">laag MOTS-c (onder 167 ng/ml) voorspelde hart- en vaatincidenten (relatief risico 3,8)</w:t>
            </w:r>
          </w:p>
        </w:tc>
      </w:tr>
      <w:tr>
        <w:tc>
          <w:tcPr/>
          <w:p>
            <w:pPr>
              <w:pStyle w:val="Compact"/>
              <w:jc w:val="left"/>
            </w:pPr>
            <w:r>
              <w:t xml:space="preserve">von Walden 2021, PMID 34351816</w:t>
            </w:r>
          </w:p>
        </w:tc>
        <w:tc>
          <w:tcPr/>
          <w:p>
            <w:pPr>
              <w:pStyle w:val="Compact"/>
              <w:jc w:val="left"/>
            </w:pPr>
            <w:r>
              <w:t xml:space="preserve">30 personen, duur- of krachttraining of controle, gerandomiseerd</w:t>
            </w:r>
          </w:p>
        </w:tc>
        <w:tc>
          <w:tcPr/>
          <w:p>
            <w:pPr>
              <w:pStyle w:val="Compact"/>
              <w:jc w:val="left"/>
            </w:pPr>
            <w:r>
              <w:t xml:space="preserve">eenmalige inspanning</w:t>
            </w:r>
          </w:p>
        </w:tc>
        <w:tc>
          <w:tcPr/>
          <w:p>
            <w:pPr>
              <w:pStyle w:val="Compact"/>
              <w:jc w:val="left"/>
            </w:pPr>
            <w:r>
              <w:t xml:space="preserve">humanine steeg na duurinspanning, MOTS-c liet alleen een trend zien</w:t>
            </w:r>
          </w:p>
        </w:tc>
      </w:tr>
      <w:tr>
        <w:tc>
          <w:tcPr/>
          <w:p>
            <w:pPr>
              <w:pStyle w:val="Compact"/>
              <w:jc w:val="left"/>
            </w:pPr>
            <w:r>
              <w:t xml:space="preserve">Dieli-Conwright 2021, PMID 34413391</w:t>
            </w:r>
          </w:p>
        </w:tc>
        <w:tc>
          <w:tcPr/>
          <w:p>
            <w:pPr>
              <w:pStyle w:val="Compact"/>
              <w:jc w:val="left"/>
            </w:pPr>
            <w:r>
              <w:t xml:space="preserve">49 vrouwen na borstkanker, training of standaardzorg, gerandomiseerd</w:t>
            </w:r>
          </w:p>
        </w:tc>
        <w:tc>
          <w:tcPr/>
          <w:p>
            <w:pPr>
              <w:pStyle w:val="Compact"/>
              <w:jc w:val="left"/>
            </w:pPr>
            <w:r>
              <w:t xml:space="preserve">16 weken</w:t>
            </w:r>
          </w:p>
        </w:tc>
        <w:tc>
          <w:tcPr/>
          <w:p>
            <w:pPr>
              <w:pStyle w:val="Compact"/>
              <w:jc w:val="left"/>
            </w:pPr>
            <w:r>
              <w:t xml:space="preserve">stijging van MOTS-c bij niet-Hispanic witte vrouwen, niet bij Hispanic vrouwen</w:t>
            </w:r>
          </w:p>
        </w:tc>
      </w:tr>
      <w:tr>
        <w:tc>
          <w:tcPr/>
          <w:p>
            <w:pPr>
              <w:pStyle w:val="Compact"/>
              <w:jc w:val="left"/>
            </w:pPr>
            <w:r>
              <w:t xml:space="preserve">Elhusseiny 2025, PMID 40674654</w:t>
            </w:r>
          </w:p>
        </w:tc>
        <w:tc>
          <w:tcPr/>
          <w:p>
            <w:pPr>
              <w:pStyle w:val="Compact"/>
              <w:jc w:val="left"/>
            </w:pPr>
            <w:r>
              <w:t xml:space="preserve">19 actieve mannen met geïmmobiliseerd onderbeen, warmtebehandeling of schijnbehandeling</w:t>
            </w:r>
          </w:p>
        </w:tc>
        <w:tc>
          <w:tcPr/>
          <w:p>
            <w:pPr>
              <w:pStyle w:val="Compact"/>
              <w:jc w:val="left"/>
            </w:pPr>
            <w:r>
              <w:t xml:space="preserve">2 weken</w:t>
            </w:r>
          </w:p>
        </w:tc>
        <w:tc>
          <w:tcPr/>
          <w:p>
            <w:pPr>
              <w:pStyle w:val="Compact"/>
              <w:jc w:val="left"/>
            </w:pPr>
            <w:r>
              <w:t xml:space="preserve">warmte verhoogde MOTS-c in het bloed</w:t>
            </w:r>
          </w:p>
        </w:tc>
      </w:tr>
    </w:tbl>
    <w:p>
      <w:pPr>
        <w:pStyle w:val="BodyText"/>
      </w:pPr>
      <w:r>
        <w:t xml:space="preserve">Deze studies laten zien dat lage MOTS-c-spiegels vaak samengaan met overgewicht, insulineresistentie, leververvetting of vaatproblemen (Du 2018, PMID 29691953; Kirik 2023, PMID 37750635; Qin 2018, PMID 29242099) en dat beweging of warmte de spiegels kan verhogen. Wat ze</w:t>
      </w:r>
      <w:r>
        <w:t xml:space="preserve"> </w:t>
      </w:r>
      <w:r>
        <w:rPr>
          <w:bCs/>
          <w:b/>
        </w:rPr>
        <w:t xml:space="preserve">niet</w:t>
      </w:r>
      <w:r>
        <w:t xml:space="preserve"> </w:t>
      </w:r>
      <w:r>
        <w:t xml:space="preserve">laten zien: dat lage spiegels de aandoeningen veroorzaken, of dat toegediend MOTS-c ze voorkomt. Het kan net zo goed andersom zijn – de aandoening verlaagt de spiegel.</w:t>
      </w:r>
    </w:p>
    <w:p>
      <w:pPr>
        <w:pStyle w:val="BodyText"/>
      </w:pPr>
      <w:r>
        <w:t xml:space="preserve">Een ander probleem is de meting zelf. De studies gebruiken verschillende testmethoden (ELISA) waarvan de resultaten sterk uiteenlopen: bij kinderen lagen de gemiddelden rond 470 tot 560 ng/ml (Du 2018, PMID 29691953), in de diabetesstudie gold een waarde onder 167 ng/ml als laag (Ikonomidis 2020, PMID 32052315). In een studie bij borstkankerpatiënten veranderde zelfs metformine – dat op dezelfde energiesensor werkt – de met een in de handel verkrijgbare test gemeten spiegels niet (Cuyàs 2022, PMID 36490309).</w:t>
      </w:r>
    </w:p>
    <w:p>
      <w:pPr>
        <w:pStyle w:val="BodyText"/>
      </w:pPr>
      <w:r>
        <w:rPr>
          <w:bCs/>
          <w:b/>
        </w:rPr>
        <w:t xml:space="preserve">Genetische aanwijzingen:</w:t>
      </w:r>
      <w:r>
        <w:t xml:space="preserve"> </w:t>
      </w:r>
      <w:r>
        <w:t xml:space="preserve">Een alleen in Azië voorkomende variant in het mitochondriale erfelijk materiaal verandert een bouwsteen van MOTS-c (K14Q). In drie cohorten met samen 27.527 personen hadden mannen met deze variant vaker diabetes type 2, vooral als ze lichamelijk weinig actief waren. Bij muizen werkte de veranderde MOTS-c-vorm zwakker (Zempo 2021, PMID 33468709). Dat is een interessante aanwijzing dat MOTS-c bij mensen een rol in de stofwisseling zou kunnen spelen – maar geen bewijs voor het nut van toediening.</w:t>
      </w:r>
    </w:p>
    <w:bookmarkEnd w:id="684"/>
    <w:bookmarkStart w:id="685" w:name="toediening-als-werkzame-stof-cb4211"/>
    <w:p>
      <w:pPr>
        <w:pStyle w:val="Heading4"/>
      </w:pPr>
      <w:r>
        <w:t xml:space="preserve">2. Toediening als werkzame stof: CB4211</w:t>
      </w:r>
    </w:p>
    <w:p>
      <w:pPr>
        <w:pStyle w:val="FirstParagraph"/>
      </w:pPr>
      <w:r>
        <w:rPr>
          <w:bCs/>
          <w:b/>
        </w:rPr>
        <w:t xml:space="preserve">CB4211</w:t>
      </w:r>
      <w:r>
        <w:t xml:space="preserve"> </w:t>
      </w:r>
      <w:r>
        <w:t xml:space="preserve">is een door het bedrijf CohBar ontwikkelde afgeleide van MOTS-c. De fase 1a/1b-studie (NCT03998514) was gerandomiseerd, dubbelblind en placebogecontroleerd en omvatte 88 deelnemers: gezonde mensen kregen enkele resp. zeven dagen lang dagelijkse onderhuidse injecties, mensen met obesitas en leververvetting 28 dagen lang. Primaire eindpunten waren veiligheid en verdraagbaarheid; secundaire doelen waren onder meer levervet en lichaamsgewicht. De studie werd in april 2021 afgerond. In het register zijn geen resultaten opgenomen, en een publicatie in een vaktijdschrift was bij ons onderzoek niet te vinden. Het bedrijf meldde in 2021 per persbericht gunstige veranderingen van afzonderlijke lever- en bloedsuikerwaarden bij goede verdraagbaarheid; zulke mededelingen zijn niet onafhankelijk beoordeeld. Een verdere ontwikkeling in grotere studies is niet bekend.</w:t>
      </w:r>
    </w:p>
    <w:p>
      <w:pPr>
        <w:pStyle w:val="BodyText"/>
      </w:pPr>
      <w:r>
        <w:rPr>
          <w:bCs/>
          <w:b/>
        </w:rPr>
        <w:t xml:space="preserve">MOTS-c zelf</w:t>
      </w:r>
      <w:r>
        <w:t xml:space="preserve"> </w:t>
      </w:r>
      <w:r>
        <w:t xml:space="preserve">is volgens ons onderzoek tot nu toe in geen enkele gepubliceerde of betrouwbaar geregistreerde studie bij mensen als werkzame stof gegeven. Een registratie die zo’n fase 2-studie beschrijft, bleek twijfelachtig (zie hierboven).</w:t>
      </w:r>
    </w:p>
    <w:p>
      <w:pPr>
        <w:pStyle w:val="BodyText"/>
      </w:pPr>
      <w:r>
        <w:t xml:space="preserve">Tot die tijd geldt: er zijn</w:t>
      </w:r>
      <w:r>
        <w:t xml:space="preserve"> </w:t>
      </w:r>
      <w:r>
        <w:rPr>
          <w:bCs/>
          <w:b/>
        </w:rPr>
        <w:t xml:space="preserve">geen gepubliceerde gegevens</w:t>
      </w:r>
      <w:r>
        <w:t xml:space="preserve"> </w:t>
      </w:r>
      <w:r>
        <w:t xml:space="preserve">over de vraag of MOTS-c-injecties bij mensen de stofwisseling, de prestaties of de veroudering beïnvloeden.</w:t>
      </w:r>
    </w:p>
    <w:bookmarkEnd w:id="685"/>
    <w:bookmarkEnd w:id="686"/>
    <w:bookmarkStart w:id="687" w:name="dier--en-laboratoriumstudies-41"/>
    <w:p>
      <w:pPr>
        <w:pStyle w:val="Heading3"/>
      </w:pPr>
      <w:r>
        <w:t xml:space="preserve">Dier- en laboratoriumstudies</w:t>
      </w:r>
    </w:p>
    <w:p>
      <w:pPr>
        <w:pStyle w:val="FirstParagraph"/>
      </w:pPr>
      <w:r>
        <w:t xml:space="preserve">Het preklinische onderzoek is omvangrijk en groeit snel:</w:t>
      </w:r>
    </w:p>
    <w:p>
      <w:pPr>
        <w:numPr>
          <w:ilvl w:val="0"/>
          <w:numId w:val="1228"/>
        </w:numPr>
        <w:pStyle w:val="Compact"/>
      </w:pPr>
      <w:r>
        <w:rPr>
          <w:bCs/>
          <w:b/>
        </w:rPr>
        <w:t xml:space="preserve">Stofwisseling:</w:t>
      </w:r>
      <w:r>
        <w:t xml:space="preserve"> </w:t>
      </w:r>
      <w:r>
        <w:t xml:space="preserve">Bij muizen voorkwam MOTS-c voedingsgerelateerd overgewicht en insulineresistentie (Lee 2015, PMID 25738459).</w:t>
      </w:r>
    </w:p>
    <w:p>
      <w:pPr>
        <w:numPr>
          <w:ilvl w:val="0"/>
          <w:numId w:val="1228"/>
        </w:numPr>
        <w:pStyle w:val="Compact"/>
      </w:pPr>
      <w:r>
        <w:rPr>
          <w:bCs/>
          <w:b/>
        </w:rPr>
        <w:t xml:space="preserve">Spier:</w:t>
      </w:r>
      <w:r>
        <w:t xml:space="preserve"> </w:t>
      </w:r>
      <w:r>
        <w:t xml:space="preserve">MOTS-c verminderde bij muizen met overgewicht de spierafbraaksignaalstof myostatine; bij mensen bewogen MOTS-c- en myostatinespiegels in het bloed in tegengestelde richting (Kumagai 2021, PMID 33554779).</w:t>
      </w:r>
    </w:p>
    <w:p>
      <w:pPr>
        <w:numPr>
          <w:ilvl w:val="0"/>
          <w:numId w:val="1228"/>
        </w:numPr>
        <w:pStyle w:val="Compact"/>
      </w:pPr>
      <w:r>
        <w:rPr>
          <w:bCs/>
          <w:b/>
        </w:rPr>
        <w:t xml:space="preserve">Prestaties en leeftijd:</w:t>
      </w:r>
      <w:r>
        <w:t xml:space="preserve"> </w:t>
      </w:r>
      <w:r>
        <w:t xml:space="preserve">MOTS-c verhoogde het lichamelijk prestatievermogen van muizen van verschillende leeftijden (Reynolds 2021, PMID 33473109).</w:t>
      </w:r>
    </w:p>
    <w:p>
      <w:pPr>
        <w:numPr>
          <w:ilvl w:val="0"/>
          <w:numId w:val="1228"/>
        </w:numPr>
        <w:pStyle w:val="Compact"/>
      </w:pPr>
      <w:r>
        <w:rPr>
          <w:bCs/>
          <w:b/>
        </w:rPr>
        <w:t xml:space="preserve">Alvleesklier:</w:t>
      </w:r>
      <w:r>
        <w:t xml:space="preserve"> </w:t>
      </w:r>
      <w:r>
        <w:t xml:space="preserve">Bij muizen vertraagde MOTS-c de veroudering van insulineproducerende cellen en het begin van diabetes (Kong 2025, PMID 40855115).</w:t>
      </w:r>
    </w:p>
    <w:p>
      <w:pPr>
        <w:numPr>
          <w:ilvl w:val="0"/>
          <w:numId w:val="1228"/>
        </w:numPr>
        <w:pStyle w:val="Compact"/>
      </w:pPr>
      <w:r>
        <w:t xml:space="preserve">Talrijke andere publicaties, overwegend uit China, beschrijven beschermende effecten in modellen van long-, hart-, lever-, bot- en nierschade.</w:t>
      </w:r>
    </w:p>
    <w:p>
      <w:pPr>
        <w:pStyle w:val="FirstParagraph"/>
      </w:pPr>
      <w:r>
        <w:t xml:space="preserve">De overvloed aan positieve dierstudies valt op. Ze laat zien dat MOTS-c biologisch actief is; over werking en veiligheid bij mensen zegt ze weinig.</w:t>
      </w:r>
    </w:p>
    <w:bookmarkEnd w:id="687"/>
    <w:bookmarkStart w:id="688" w:name="risicos-en-bijwerkingen-41"/>
    <w:p>
      <w:pPr>
        <w:pStyle w:val="Heading3"/>
      </w:pPr>
      <w:r>
        <w:t xml:space="preserve">Risico’s en bijwerkingen</w:t>
      </w:r>
    </w:p>
    <w:p>
      <w:pPr>
        <w:pStyle w:val="FirstParagraph"/>
      </w:pPr>
      <w:r>
        <w:rPr>
          <w:bCs/>
          <w:b/>
        </w:rPr>
        <w:t xml:space="preserve">Aangetoond:</w:t>
      </w:r>
      <w:r>
        <w:t xml:space="preserve"> </w:t>
      </w:r>
      <w:r>
        <w:t xml:space="preserve">er zijn geen gepubliceerde veiligheidsgegevens over toediening van MOTS-c bij mensen.</w:t>
      </w:r>
    </w:p>
    <w:p>
      <w:pPr>
        <w:pStyle w:val="BodyText"/>
      </w:pPr>
      <w:r>
        <w:rPr>
          <w:bCs/>
          <w:b/>
        </w:rPr>
        <w:t xml:space="preserve">Theoretisch:</w:t>
      </w:r>
    </w:p>
    <w:p>
      <w:pPr>
        <w:numPr>
          <w:ilvl w:val="0"/>
          <w:numId w:val="1229"/>
        </w:numPr>
        <w:pStyle w:val="Compact"/>
      </w:pPr>
      <w:r>
        <w:rPr>
          <w:bCs/>
          <w:b/>
        </w:rPr>
        <w:t xml:space="preserve">Bloedsuiker:</w:t>
      </w:r>
      <w:r>
        <w:t xml:space="preserve"> </w:t>
      </w:r>
      <w:r>
        <w:t xml:space="preserve">een stof die de insulinegevoeligheid verhoogt, zou samen met diabetesmiddelen hypoglykemieën in de hand kunnen werken.</w:t>
      </w:r>
    </w:p>
    <w:p>
      <w:pPr>
        <w:numPr>
          <w:ilvl w:val="0"/>
          <w:numId w:val="1229"/>
        </w:numPr>
        <w:pStyle w:val="Compact"/>
      </w:pPr>
      <w:r>
        <w:rPr>
          <w:bCs/>
          <w:b/>
        </w:rPr>
        <w:t xml:space="preserve">Kanker:</w:t>
      </w:r>
      <w:r>
        <w:t xml:space="preserve"> </w:t>
      </w:r>
      <w:r>
        <w:t xml:space="preserve">in laboratoriumstudies remde MOTS-c eerder kankercellen: het remde de groei van eierstokkankercellen (Yin 2024, PMID 39321430) en maakte leverkankercellen onder zuurstoftekort gevoeliger voor geprogrammeerde celdood (Shen 2025, PMID 39581216). Of dat bij mensen geldt en hoe jarenlange toediening van een stofwisselingsactieve signaalstof uitwerkt, is niet onderzocht.</w:t>
      </w:r>
    </w:p>
    <w:p>
      <w:pPr>
        <w:numPr>
          <w:ilvl w:val="0"/>
          <w:numId w:val="1229"/>
        </w:numPr>
        <w:pStyle w:val="Compact"/>
      </w:pPr>
      <w:r>
        <w:rPr>
          <w:bCs/>
          <w:b/>
        </w:rPr>
        <w:t xml:space="preserve">Immuunreacties:</w:t>
      </w:r>
      <w:r>
        <w:t xml:space="preserve"> </w:t>
      </w:r>
      <w:r>
        <w:t xml:space="preserve">bij herhaalde injecties van een peptide kunnen antilichamen ontstaan; dat is voor MOTS-c niet onderzocht.</w:t>
      </w:r>
    </w:p>
    <w:p>
      <w:pPr>
        <w:pStyle w:val="FirstParagraph"/>
      </w:pPr>
      <w:r>
        <w:rPr>
          <w:bCs/>
          <w:b/>
        </w:rPr>
        <w:t xml:space="preserve">Grijze markt en sport:</w:t>
      </w:r>
      <w:r>
        <w:t xml:space="preserve"> </w:t>
      </w:r>
      <w:r>
        <w:t xml:space="preserve">MOTS-c behoort tot de populairste „longevity”- en fitnesspeptiden op internet en wordt verkocht als poeder voor injectie. Zuiverheid en gehalte zijn ongecontroleerd. Voor sporters is het gebruik uitdrukkelijk verboden (WADA S4).</w:t>
      </w:r>
    </w:p>
    <w:bookmarkEnd w:id="688"/>
    <w:bookmarkStart w:id="689" w:name="juridische-status-41"/>
    <w:p>
      <w:pPr>
        <w:pStyle w:val="Heading3"/>
      </w:pPr>
      <w:r>
        <w:t xml:space="preserve">Juridische status</w:t>
      </w:r>
    </w:p>
    <w:p>
      <w:pPr>
        <w:numPr>
          <w:ilvl w:val="0"/>
          <w:numId w:val="1230"/>
        </w:numPr>
        <w:pStyle w:val="Compact"/>
      </w:pPr>
      <w:r>
        <w:rPr>
          <w:bCs/>
          <w:b/>
        </w:rPr>
        <w:t xml:space="preserve">EU / Oostenrijk / Duitsland:</w:t>
      </w:r>
      <w:r>
        <w:t xml:space="preserve"> </w:t>
      </w:r>
      <w:r>
        <w:t xml:space="preserve">niet toegelaten; als stof met farmacologische werking geldt MOTS-c als geneesmiddel, verkoop voor gebruik bij mensen is niet toegestaan (stand 2026, actuele situatie controleren).</w:t>
      </w:r>
    </w:p>
    <w:p>
      <w:pPr>
        <w:numPr>
          <w:ilvl w:val="0"/>
          <w:numId w:val="1230"/>
        </w:numPr>
        <w:pStyle w:val="Compact"/>
      </w:pPr>
      <w:r>
        <w:rPr>
          <w:bCs/>
          <w:b/>
        </w:rPr>
        <w:t xml:space="preserve">VS:</w:t>
      </w:r>
      <w:r>
        <w:t xml:space="preserve"> </w:t>
      </w:r>
      <w:r>
        <w:t xml:space="preserve">niet toegelaten. Na het positieve PCAC-advies van juli 2026 zou MOTS-c in de toekomst in apotheekbereidingen mogen worden gebruikt, mits de FDA dat advies volgt; de beslissing was bij het afsluiten van de redactie nog niet genomen (stand oktober 2026, actuele situatie controleren).</w:t>
      </w:r>
    </w:p>
    <w:p>
      <w:pPr>
        <w:numPr>
          <w:ilvl w:val="0"/>
          <w:numId w:val="1230"/>
        </w:numPr>
        <w:pStyle w:val="Compact"/>
      </w:pPr>
      <w:r>
        <w:rPr>
          <w:bCs/>
          <w:b/>
        </w:rPr>
        <w:t xml:space="preserve">Sport:</w:t>
      </w:r>
      <w:r>
        <w:t xml:space="preserve"> </w:t>
      </w:r>
      <w:r>
        <w:t xml:space="preserve">verboden volgens de WADA-lijst, categorie S4 (stand 2026, actuele situatie controleren).</w:t>
      </w:r>
    </w:p>
    <w:bookmarkEnd w:id="689"/>
    <w:bookmarkStart w:id="690" w:name="lopende-studies-en-vooruitzichten-41"/>
    <w:p>
      <w:pPr>
        <w:pStyle w:val="Heading3"/>
      </w:pPr>
      <w:r>
        <w:t xml:space="preserve">Lopende studies en vooruitzichten</w:t>
      </w:r>
    </w:p>
    <w:p>
      <w:pPr>
        <w:pStyle w:val="FirstParagraph"/>
      </w:pPr>
      <w:r>
        <w:rPr>
          <w:bCs/>
          <w:b/>
        </w:rPr>
        <w:t xml:space="preserve">Vast staat (geregistreerde studies, stand oktober 2026):</w:t>
      </w:r>
    </w:p>
    <w:p>
      <w:pPr>
        <w:numPr>
          <w:ilvl w:val="0"/>
          <w:numId w:val="1231"/>
        </w:numPr>
        <w:pStyle w:val="Compact"/>
      </w:pPr>
      <w:r>
        <w:t xml:space="preserve">Een betrouwbaar geregistreerde studie waarin MOTS-c als werkzame stof wordt gegeven, bestaat niet.</w:t>
      </w:r>
    </w:p>
    <w:p>
      <w:pPr>
        <w:numPr>
          <w:ilvl w:val="0"/>
          <w:numId w:val="1231"/>
        </w:numPr>
        <w:pStyle w:val="Compact"/>
      </w:pPr>
      <w:r>
        <w:t xml:space="preserve">Meerdere observationele studies meten MOTS-c-spiegels, bijvoorbeeld bij niertransplantatie (NCT07678073) of bij diabetes onder verschillende geneesmiddelen (NCT03878706).</w:t>
      </w:r>
    </w:p>
    <w:p>
      <w:pPr>
        <w:pStyle w:val="FirstParagraph"/>
      </w:pPr>
      <w:r>
        <w:rPr>
          <w:bCs/>
          <w:b/>
        </w:rPr>
        <w:t xml:space="preserve">Inschatting:</w:t>
      </w:r>
      <w:r>
        <w:t xml:space="preserve"> </w:t>
      </w:r>
      <w:r>
        <w:t xml:space="preserve">de centrale vraag – verbetert toegediend MOTS-c bij mensen de insulinegevoeligheid? – is tot nu toe door niemand in een gepubliceerde studie onderzocht. Daarvoor zou eerst een gecontroleerde fase 1/2-studie met gepubliceerde resultaten nodig zijn. Tot dan berust elke uitspraak over een werking bij mensen op dierproeven en spiegelmetingen.</w:t>
      </w:r>
    </w:p>
    <w:bookmarkEnd w:id="690"/>
    <w:bookmarkStart w:id="691" w:name="conclusie-41"/>
    <w:p>
      <w:pPr>
        <w:pStyle w:val="Heading3"/>
      </w:pPr>
      <w:r>
        <w:t xml:space="preserve">Conclusie</w:t>
      </w:r>
    </w:p>
    <w:p>
      <w:pPr>
        <w:pStyle w:val="FirstParagraph"/>
      </w:pPr>
      <w:r>
        <w:t xml:space="preserve">MOTS-c is een lichaamseigen, in het mitochondriale erfelijk materiaal gecodeerd peptide dat bij muizen stofwisseling en prestatievermogen verbeterde en bij mensen na beweging stijgt. Observationele studies laten lagere spiegels zien bij overgewicht, leververvetting en vaatziekten, maar tonen geen oorzaak en geen nut van toediening aan. De enige afgeronde studie met een MOTS-c-afgeleide (CB4211) is niet in een vaktijdschrift gepubliceerd, en met MOTS-c zelf bestaat geen gepubliceerde studie bij mensen. De gegevens volstaan niet om nut of veiligheid bij mensen te beoordelen; in de sport is MOTS-c verboden.</w:t>
      </w:r>
    </w:p>
    <w:bookmarkEnd w:id="691"/>
    <w:bookmarkEnd w:id="692"/>
    <w:bookmarkStart w:id="703" w:name="humanine"/>
    <w:p>
      <w:pPr>
        <w:pStyle w:val="Heading2"/>
      </w:pPr>
      <w:r>
        <w:t xml:space="preserve">Humanine</w:t>
      </w:r>
    </w:p>
    <w:bookmarkStart w:id="693" w:name="profiel-42"/>
    <w:p>
      <w:pPr>
        <w:pStyle w:val="Heading3"/>
      </w:pPr>
      <w:r>
        <w:t xml:space="preserve">Profiel</w:t>
      </w:r>
    </w:p>
    <w:p>
      <w:pPr>
        <w:numPr>
          <w:ilvl w:val="0"/>
          <w:numId w:val="1232"/>
        </w:numPr>
        <w:pStyle w:val="Compact"/>
      </w:pPr>
      <w:r>
        <w:rPr>
          <w:bCs/>
          <w:b/>
        </w:rPr>
        <w:t xml:space="preserve">Soort en structuur:</w:t>
      </w:r>
      <w:r>
        <w:t xml:space="preserve"> </w:t>
      </w:r>
      <w:r>
        <w:t xml:space="preserve">lichaamseigen peptide van 24 aminozuren. Op de grijze markt en in het onderzoek wordt meestal de gewijzigde vorm</w:t>
      </w:r>
      <w:r>
        <w:t xml:space="preserve"> </w:t>
      </w:r>
      <w:r>
        <w:rPr>
          <w:bCs/>
          <w:b/>
        </w:rPr>
        <w:t xml:space="preserve">HNG</w:t>
      </w:r>
      <w:r>
        <w:t xml:space="preserve"> </w:t>
      </w:r>
      <w:r>
        <w:t xml:space="preserve">(humanine-G, ook S14G-humanine) gebruikt, waarbij op positie 14 serine door glycine is vervangen; die werkt in laboratoriumexperimenten duidelijk sterker.</w:t>
      </w:r>
    </w:p>
    <w:p>
      <w:pPr>
        <w:numPr>
          <w:ilvl w:val="0"/>
          <w:numId w:val="1232"/>
        </w:numPr>
        <w:pStyle w:val="Compact"/>
      </w:pPr>
      <w:r>
        <w:rPr>
          <w:bCs/>
          <w:b/>
        </w:rPr>
        <w:t xml:space="preserve">Herkomst:</w:t>
      </w:r>
      <w:r>
        <w:t xml:space="preserve"> </w:t>
      </w:r>
      <w:r>
        <w:t xml:space="preserve">in 2001 ontdekt door Japanse onderzoekers die in hersenweefsel van een mens met de ziekte van Alzheimer zochten naar factoren die zenuwcellen tegen afsterven beschermen – vandaar de naam. Het is gecodeerd in het erfelijk materiaal van de mitochondriën; vergelijkbare stukken bestaan ook in het erfelijk materiaal van de celkern.</w:t>
      </w:r>
    </w:p>
    <w:p>
      <w:pPr>
        <w:numPr>
          <w:ilvl w:val="0"/>
          <w:numId w:val="1232"/>
        </w:numPr>
        <w:pStyle w:val="Compact"/>
      </w:pPr>
      <w:r>
        <w:rPr>
          <w:bCs/>
          <w:b/>
        </w:rPr>
        <w:t xml:space="preserve">Werkingsprincipe:</w:t>
      </w:r>
      <w:r>
        <w:t xml:space="preserve"> </w:t>
      </w:r>
      <w:r>
        <w:t xml:space="preserve">„mitokine” (signaalstof van de mitochondriën) dat cellen zou beschermen tegen geprogrammeerde celdood. Het bindt onder meer aan een receptorcomplex van CNTF-receptor, WSX-1 en gp130 op het celoppervlak.</w:t>
      </w:r>
    </w:p>
    <w:p>
      <w:pPr>
        <w:numPr>
          <w:ilvl w:val="0"/>
          <w:numId w:val="1232"/>
        </w:numPr>
        <w:pStyle w:val="Compact"/>
      </w:pPr>
      <w:r>
        <w:rPr>
          <w:bCs/>
          <w:b/>
        </w:rPr>
        <w:t xml:space="preserve">Registratie EU:</w:t>
      </w:r>
      <w:r>
        <w:t xml:space="preserve"> </w:t>
      </w:r>
      <w:r>
        <w:t xml:space="preserve">nee.</w:t>
      </w:r>
    </w:p>
    <w:p>
      <w:pPr>
        <w:numPr>
          <w:ilvl w:val="0"/>
          <w:numId w:val="1232"/>
        </w:numPr>
        <w:pStyle w:val="Compact"/>
      </w:pPr>
      <w:r>
        <w:rPr>
          <w:bCs/>
          <w:b/>
        </w:rPr>
        <w:t xml:space="preserve">Registratie VS:</w:t>
      </w:r>
      <w:r>
        <w:t xml:space="preserve"> </w:t>
      </w:r>
      <w:r>
        <w:t xml:space="preserve">nee.</w:t>
      </w:r>
    </w:p>
    <w:p>
      <w:pPr>
        <w:numPr>
          <w:ilvl w:val="0"/>
          <w:numId w:val="1232"/>
        </w:numPr>
        <w:pStyle w:val="Compact"/>
      </w:pPr>
      <w:r>
        <w:rPr>
          <w:bCs/>
          <w:b/>
        </w:rPr>
        <w:t xml:space="preserve">WADA:</w:t>
      </w:r>
      <w:r>
        <w:t xml:space="preserve"> </w:t>
      </w:r>
      <w:r>
        <w:t xml:space="preserve">niet bij naam vermeld; als nergens toegelaten stof valt humanine resp. HNG naar onze inschatting onder de verzamelcategorie S0 (stand 2026, actuele situatie controleren).</w:t>
      </w:r>
    </w:p>
    <w:p>
      <w:pPr>
        <w:numPr>
          <w:ilvl w:val="0"/>
          <w:numId w:val="1232"/>
        </w:numPr>
        <w:pStyle w:val="Compact"/>
      </w:pPr>
      <w:r>
        <w:rPr>
          <w:bCs/>
          <w:b/>
        </w:rPr>
        <w:t xml:space="preserve">Bewijsniveau:</w:t>
      </w:r>
      <w:r>
        <w:t xml:space="preserve"> </w:t>
      </w:r>
      <w:r>
        <w:rPr>
          <w:bCs/>
          <w:b/>
        </w:rPr>
        <w:t xml:space="preserve">D</w:t>
      </w:r>
      <w:r>
        <w:t xml:space="preserve"> </w:t>
      </w:r>
      <w:r>
        <w:t xml:space="preserve">voor toediening als werkzame stof – niet één studie waarin mensen humanine of HNG kregen; bij mensen zijn er alleen metingen van de lichaamseigen spiegels.</w:t>
      </w:r>
    </w:p>
    <w:bookmarkEnd w:id="693"/>
    <w:bookmarkStart w:id="694" w:name="hoe-het-zou-moeten-werken-42"/>
    <w:p>
      <w:pPr>
        <w:pStyle w:val="Heading3"/>
      </w:pPr>
      <w:r>
        <w:t xml:space="preserve">Hoe het zou moeten werken</w:t>
      </w:r>
    </w:p>
    <w:p>
      <w:pPr>
        <w:pStyle w:val="FirstParagraph"/>
      </w:pPr>
      <w:r>
        <w:t xml:space="preserve">De ontdekkers zochten in 2001 in een genenbank uit hersenweefsel naar stukken die zenuwcellen beschermen tegen de giftige effecten van alzheimergenen. Ze vonden een kort peptide dat in celkweken zenuwcellen behoedde voor talrijke alzheimertypische beschadigingen – tegen amyloïd-bèta en tegen het effect van meerdere erfelijke alzheimermutaties, maar niet tegen andere gifstoffen zoals glutamaat of prionfragmenten (Hashimoto 2001, PMID 11717357). De variant HNG was daarbij werkzamer dan andere geteste beschermende factoren.</w:t>
      </w:r>
    </w:p>
    <w:p>
      <w:pPr>
        <w:pStyle w:val="BodyText"/>
      </w:pPr>
      <w:r>
        <w:t xml:space="preserve">Later toonde dezelfde groep aan dat humanine bindt aan een receptorcomplex dat behoort tot de familie van de cytokinereceptoren (CNTF-receptor, WSX-1 en gp130) en via het signaalmolecuul STAT3 werkt (Hashimoto 2009, PMID 19386761). Daarnaast beschrijven laboratoriumstudies bindingen aan eiwitten die de celdood sturen, en aan de bindingspartner van groeifactoren IGFBP-3.</w:t>
      </w:r>
    </w:p>
    <w:p>
      <w:pPr>
        <w:pStyle w:val="BodyText"/>
      </w:pPr>
      <w:r>
        <w:t xml:space="preserve">Een bijzonderheid: humanine wordt net als MOTS-c (zie vorig hoofdstuk) gecodeerd in het erfelijk materiaal van de mitochondriën. Deze „mitochondriale peptiden” gelden als een nieuw signaalniveau waarlangs mitochondriën met de rest van het lichaam communiceren (Miller 2022, PMID 35499074).</w:t>
      </w:r>
    </w:p>
    <w:bookmarkEnd w:id="694"/>
    <w:bookmarkStart w:id="697" w:name="studies-bij-mensen-42"/>
    <w:p>
      <w:pPr>
        <w:pStyle w:val="Heading3"/>
      </w:pPr>
      <w:r>
        <w:t xml:space="preserve">Studies bij mensen</w:t>
      </w:r>
    </w:p>
    <w:p>
      <w:pPr>
        <w:pStyle w:val="FirstParagraph"/>
      </w:pPr>
      <w:r>
        <w:rPr>
          <w:bCs/>
          <w:b/>
        </w:rPr>
        <w:t xml:space="preserve">Omvang van het onderzoek:</w:t>
      </w:r>
      <w:r>
        <w:t xml:space="preserve"> </w:t>
      </w:r>
      <w:r>
        <w:t xml:space="preserve">De geautomatiseerde PubMed-zoekopdracht (oktober 2026) leverde 8 als studie bij mensen geclassificeerde publicaties op; in geen daarvan werd humanine toegediend. Ze onderzoeken hoe de lichaamseigen spiegels veranderen door training, zuurstoftherapie of voedingssupplementen, of betreffen cellen van patiënten in het laboratorium. In totaal vermeldt PubMed ongeveer 550 publicaties over humanine. Op ClinicalTrials.gov zijn 3 studies geregistreerd, allemaal observationele studies naar humaninespiegels (bij hartoperaties, acuut nierfalen en niertransplantatie).</w:t>
      </w:r>
    </w:p>
    <w:bookmarkStart w:id="695" w:name="spiegels-en-leeftijd"/>
    <w:p>
      <w:pPr>
        <w:pStyle w:val="Heading4"/>
      </w:pPr>
      <w:r>
        <w:t xml:space="preserve">Spiegels en leeftijd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Deelnemers en opzet</w:t>
            </w:r>
          </w:p>
        </w:tc>
        <w:tc>
          <w:tcPr/>
          <w:p>
            <w:pPr>
              <w:pStyle w:val="Compact"/>
              <w:jc w:val="left"/>
            </w:pPr>
            <w:r>
              <w:t xml:space="preserve">Duur</w:t>
            </w:r>
          </w:p>
        </w:tc>
        <w:tc>
          <w:tcPr/>
          <w:p>
            <w:pPr>
              <w:pStyle w:val="Compact"/>
              <w:jc w:val="left"/>
            </w:pPr>
            <w:r>
              <w:t xml:space="preserve">Resultaat</w:t>
            </w:r>
          </w:p>
        </w:tc>
      </w:tr>
      <w:tr>
        <w:tc>
          <w:tcPr/>
          <w:p>
            <w:pPr>
              <w:pStyle w:val="Compact"/>
              <w:jc w:val="left"/>
            </w:pPr>
            <w:r>
              <w:t xml:space="preserve">Lee 2014, PMID 25040290</w:t>
            </w:r>
          </w:p>
        </w:tc>
        <w:tc>
          <w:tcPr/>
          <w:p>
            <w:pPr>
              <w:pStyle w:val="Compact"/>
              <w:jc w:val="left"/>
            </w:pPr>
            <w:r>
              <w:t xml:space="preserve">muizen en mensen, observatie en hormoontoediening</w:t>
            </w:r>
          </w:p>
        </w:tc>
        <w:tc>
          <w:tcPr/>
          <w:p>
            <w:pPr>
              <w:pStyle w:val="Compact"/>
              <w:jc w:val="left"/>
            </w:pPr>
            <w:r>
              <w:t xml:space="preserve">–</w:t>
            </w:r>
          </w:p>
        </w:tc>
        <w:tc>
          <w:tcPr/>
          <w:p>
            <w:pPr>
              <w:pStyle w:val="Compact"/>
              <w:jc w:val="left"/>
            </w:pPr>
            <w:r>
              <w:t xml:space="preserve">humaninespiegels dalen met de leeftijd; groeihormoon en IGF-1 verlaagden ze bij muizen en mensen</w:t>
            </w:r>
          </w:p>
        </w:tc>
      </w:tr>
      <w:tr>
        <w:tc>
          <w:tcPr/>
          <w:p>
            <w:pPr>
              <w:pStyle w:val="Compact"/>
              <w:jc w:val="left"/>
            </w:pPr>
            <w:r>
              <w:t xml:space="preserve">Yen 2020, PMID 32575074</w:t>
            </w:r>
          </w:p>
        </w:tc>
        <w:tc>
          <w:tcPr/>
          <w:p>
            <w:pPr>
              <w:pStyle w:val="Compact"/>
              <w:jc w:val="left"/>
            </w:pPr>
            <w:r>
              <w:t xml:space="preserve">kinderen van 100-jarigen en vergelijkingspersonen; diermodellen</w:t>
            </w:r>
          </w:p>
        </w:tc>
        <w:tc>
          <w:tcPr/>
          <w:p>
            <w:pPr>
              <w:pStyle w:val="Compact"/>
              <w:jc w:val="left"/>
            </w:pPr>
            <w:r>
              <w:t xml:space="preserve">dwarsdoorsnede</w:t>
            </w:r>
          </w:p>
        </w:tc>
        <w:tc>
          <w:tcPr/>
          <w:p>
            <w:pPr>
              <w:pStyle w:val="Compact"/>
              <w:jc w:val="left"/>
            </w:pPr>
            <w:r>
              <w:t xml:space="preserve">duidelijk hogere spiegels bij kinderen van 100-jarigen; lager bij alzheimer en MELAS</w:t>
            </w:r>
          </w:p>
        </w:tc>
      </w:tr>
      <w:tr>
        <w:tc>
          <w:tcPr/>
          <w:p>
            <w:pPr>
              <w:pStyle w:val="Compact"/>
              <w:jc w:val="left"/>
            </w:pPr>
            <w:r>
              <w:t xml:space="preserve">Miller 2024, PMID 38520065</w:t>
            </w:r>
          </w:p>
        </w:tc>
        <w:tc>
          <w:tcPr/>
          <w:p>
            <w:pPr>
              <w:pStyle w:val="Compact"/>
              <w:jc w:val="left"/>
            </w:pPr>
            <w:r>
              <w:t xml:space="preserve">100-jarigen met het alzheimerrisicogen APOE4; muismodel</w:t>
            </w:r>
          </w:p>
        </w:tc>
        <w:tc>
          <w:tcPr/>
          <w:p>
            <w:pPr>
              <w:pStyle w:val="Compact"/>
              <w:jc w:val="left"/>
            </w:pPr>
            <w:r>
              <w:t xml:space="preserve">genetische analyse</w:t>
            </w:r>
          </w:p>
        </w:tc>
        <w:tc>
          <w:tcPr/>
          <w:p>
            <w:pPr>
              <w:pStyle w:val="Compact"/>
              <w:jc w:val="left"/>
            </w:pPr>
            <w:r>
              <w:t xml:space="preserve">zeldzame humaninevariant P3S vaker bij langlevende APOE4-dragers</w:t>
            </w:r>
          </w:p>
        </w:tc>
      </w:tr>
      <w:tr>
        <w:tc>
          <w:tcPr/>
          <w:p>
            <w:pPr>
              <w:pStyle w:val="Compact"/>
              <w:jc w:val="left"/>
            </w:pPr>
            <w:r>
              <w:t xml:space="preserve">Gidlund 2016, PMID 27923980</w:t>
            </w:r>
          </w:p>
        </w:tc>
        <w:tc>
          <w:tcPr/>
          <w:p>
            <w:pPr>
              <w:pStyle w:val="Compact"/>
              <w:jc w:val="left"/>
            </w:pPr>
            <w:r>
              <w:t xml:space="preserve">55 mannen met verstoorde glucosestofwisseling, krachttraining, nordic walking of controle, gerandomiseerd</w:t>
            </w:r>
          </w:p>
        </w:tc>
        <w:tc>
          <w:tcPr/>
          <w:p>
            <w:pPr>
              <w:pStyle w:val="Compact"/>
              <w:jc w:val="left"/>
            </w:pPr>
            <w:r>
              <w:t xml:space="preserve">12 weken</w:t>
            </w:r>
          </w:p>
        </w:tc>
        <w:tc>
          <w:tcPr/>
          <w:p>
            <w:pPr>
              <w:pStyle w:val="Compact"/>
              <w:jc w:val="left"/>
            </w:pPr>
            <w:r>
              <w:t xml:space="preserve">humanine in de spier na krachttraining 35% hoger, in het bloed onveranderd</w:t>
            </w:r>
          </w:p>
        </w:tc>
      </w:tr>
      <w:tr>
        <w:tc>
          <w:tcPr/>
          <w:p>
            <w:pPr>
              <w:pStyle w:val="Compact"/>
              <w:jc w:val="left"/>
            </w:pPr>
            <w:r>
              <w:t xml:space="preserve">von Walden 2021, PMID 34351816</w:t>
            </w:r>
          </w:p>
        </w:tc>
        <w:tc>
          <w:tcPr/>
          <w:p>
            <w:pPr>
              <w:pStyle w:val="Compact"/>
              <w:jc w:val="left"/>
            </w:pPr>
            <w:r>
              <w:t xml:space="preserve">30 personen, één duur- of krachttraining of controle, gerandomiseerd</w:t>
            </w:r>
          </w:p>
        </w:tc>
        <w:tc>
          <w:tcPr/>
          <w:p>
            <w:pPr>
              <w:pStyle w:val="Compact"/>
              <w:jc w:val="left"/>
            </w:pPr>
            <w:r>
              <w:t xml:space="preserve">eenmalig</w:t>
            </w:r>
          </w:p>
        </w:tc>
        <w:tc>
          <w:tcPr/>
          <w:p>
            <w:pPr>
              <w:pStyle w:val="Compact"/>
              <w:jc w:val="left"/>
            </w:pPr>
            <w:r>
              <w:t xml:space="preserve">humanine in het bloed verhoogd na duurinspanning</w:t>
            </w:r>
          </w:p>
        </w:tc>
      </w:tr>
      <w:tr>
        <w:tc>
          <w:tcPr/>
          <w:p>
            <w:pPr>
              <w:pStyle w:val="Compact"/>
              <w:jc w:val="left"/>
            </w:pPr>
            <w:r>
              <w:t xml:space="preserve">Xu 2019, PMID 31134827</w:t>
            </w:r>
          </w:p>
        </w:tc>
        <w:tc>
          <w:tcPr/>
          <w:p>
            <w:pPr>
              <w:pStyle w:val="Compact"/>
              <w:jc w:val="left"/>
            </w:pPr>
            <w:r>
              <w:t xml:space="preserve">158 personen met vasculaire dementie, hyperbare zuurstoftherapie of standaard</w:t>
            </w:r>
          </w:p>
        </w:tc>
        <w:tc>
          <w:tcPr/>
          <w:p>
            <w:pPr>
              <w:pStyle w:val="Compact"/>
              <w:jc w:val="left"/>
            </w:pPr>
            <w:r>
              <w:t xml:space="preserve">12 weken</w:t>
            </w:r>
          </w:p>
        </w:tc>
        <w:tc>
          <w:tcPr/>
          <w:p>
            <w:pPr>
              <w:pStyle w:val="Compact"/>
              <w:jc w:val="left"/>
            </w:pPr>
            <w:r>
              <w:t xml:space="preserve">hogere humaninespiegels en MMSE-scores onder hyperbare therapie</w:t>
            </w:r>
          </w:p>
        </w:tc>
      </w:tr>
    </w:tbl>
    <w:p>
      <w:pPr>
        <w:pStyle w:val="BodyText"/>
      </w:pPr>
      <w:r>
        <w:t xml:space="preserve">De observaties leveren een samenhangend beeld op: humaninespiegels dalen met de leeftijd, zijn hoger bij kinderen van zeer oude mensen, lager bij sommige aandoeningen en stijgen door beweging. Interessant is het verband met het groeihormoonsysteem: groeihormoon en IGF-1 verlaagden de humaninespiegels bij muizen en mensen, en langlevende muizen met groeihormoontekort hadden verhoogde spiegels (Lee 2014, PMID 25040290). Dat is opmerkelijk, omdat op dezelfde grijze markt vaak groeihormoonvrijmakers worden aangeboden (zie Deel II · C).</w:t>
      </w:r>
    </w:p>
    <w:p>
      <w:pPr>
        <w:pStyle w:val="BodyText"/>
      </w:pPr>
      <w:r>
        <w:t xml:space="preserve">Maar ook hier geldt: een spiegel die samengaat met gezondheid, is geen bewijs dat toediening gezonder maakt. Humanine kan net zo goed een begeleidend kenmerk van gezonde mitochondriën zijn, zonder zelf de oorzaak te zijn.</w:t>
      </w:r>
    </w:p>
    <w:bookmarkEnd w:id="695"/>
    <w:bookmarkStart w:id="696" w:name="toediening-als-werkzame-stof"/>
    <w:p>
      <w:pPr>
        <w:pStyle w:val="Heading4"/>
      </w:pPr>
      <w:r>
        <w:t xml:space="preserve">Toediening als werkzame stof</w:t>
      </w:r>
    </w:p>
    <w:p>
      <w:pPr>
        <w:pStyle w:val="FirstParagraph"/>
      </w:pPr>
      <w:r>
        <w:t xml:space="preserve">Er is geen gepubliceerde studie en geen registratie waarin mensen humanine of HNG kregen (zoekopdracht oktober 2026). Ook casusbeschrijvingen van bijwerkingen na zelftoediening werden niet gevonden.</w:t>
      </w:r>
    </w:p>
    <w:bookmarkEnd w:id="696"/>
    <w:bookmarkEnd w:id="697"/>
    <w:bookmarkStart w:id="698" w:name="dier--en-laboratoriumstudies-42"/>
    <w:p>
      <w:pPr>
        <w:pStyle w:val="Heading3"/>
      </w:pPr>
      <w:r>
        <w:t xml:space="preserve">Dier- en laboratoriumstudies</w:t>
      </w:r>
    </w:p>
    <w:p>
      <w:pPr>
        <w:pStyle w:val="FirstParagraph"/>
      </w:pPr>
      <w:r>
        <w:t xml:space="preserve">De preklinische literatuur is omvangrijk:</w:t>
      </w:r>
    </w:p>
    <w:p>
      <w:pPr>
        <w:numPr>
          <w:ilvl w:val="0"/>
          <w:numId w:val="1233"/>
        </w:numPr>
        <w:pStyle w:val="Compact"/>
      </w:pPr>
      <w:r>
        <w:rPr>
          <w:bCs/>
          <w:b/>
        </w:rPr>
        <w:t xml:space="preserve">Levensduur:</w:t>
      </w:r>
      <w:r>
        <w:t xml:space="preserve"> </w:t>
      </w:r>
      <w:r>
        <w:t xml:space="preserve">Bij rondwormen verlengde een verhoogde aanmaak van humanine de levensduur; bij muizen van middelbare leeftijd verbeterde HNG stofwisselingswaarden en verlaagde het ontstekingsmarkers (Yen 2020, PMID 32575074).</w:t>
      </w:r>
    </w:p>
    <w:p>
      <w:pPr>
        <w:numPr>
          <w:ilvl w:val="0"/>
          <w:numId w:val="1233"/>
        </w:numPr>
        <w:pStyle w:val="Compact"/>
      </w:pPr>
      <w:r>
        <w:rPr>
          <w:bCs/>
          <w:b/>
        </w:rPr>
        <w:t xml:space="preserve">Hart:</w:t>
      </w:r>
      <w:r>
        <w:t xml:space="preserve"> </w:t>
      </w:r>
      <w:r>
        <w:t xml:space="preserve">Bij muizen verkleinde HNG na een kunstmatig opgewekt hartinfarct het infarct (Muzumdar 2010, PMID 20651283); een behandeling van 14 maanden van oude muizen verminderde de leeftijdsgebonden littekenvorming van de hartspier (Qin 2018, PMID 30004252).</w:t>
      </w:r>
    </w:p>
    <w:p>
      <w:pPr>
        <w:numPr>
          <w:ilvl w:val="0"/>
          <w:numId w:val="1233"/>
        </w:numPr>
        <w:pStyle w:val="Compact"/>
      </w:pPr>
      <w:r>
        <w:rPr>
          <w:bCs/>
          <w:b/>
        </w:rPr>
        <w:t xml:space="preserve">Alzheimermodellen:</w:t>
      </w:r>
      <w:r>
        <w:t xml:space="preserve"> </w:t>
      </w:r>
      <w:r>
        <w:t xml:space="preserve">De zeldzame variant P3S verminderde bij muizen met APOE4 de amyloïdafzettingen sterker dan normaal humanine (Miller 2024, PMID 38520065).</w:t>
      </w:r>
    </w:p>
    <w:p>
      <w:pPr>
        <w:numPr>
          <w:ilvl w:val="0"/>
          <w:numId w:val="1233"/>
        </w:numPr>
        <w:pStyle w:val="Compact"/>
      </w:pPr>
      <w:r>
        <w:rPr>
          <w:bCs/>
          <w:b/>
        </w:rPr>
        <w:t xml:space="preserve">Netvlies:</w:t>
      </w:r>
      <w:r>
        <w:t xml:space="preserve"> </w:t>
      </w:r>
      <w:r>
        <w:t xml:space="preserve">In celmodellen met mitochondriën van mensen met leeftijdsgebonden maculadegeneratie beschermde HNG tegen celschade (Nashine 2017, PMID 28726777).</w:t>
      </w:r>
    </w:p>
    <w:bookmarkEnd w:id="698"/>
    <w:bookmarkStart w:id="699" w:name="risicos-en-bijwerkingen-42"/>
    <w:p>
      <w:pPr>
        <w:pStyle w:val="Heading3"/>
      </w:pPr>
      <w:r>
        <w:t xml:space="preserve">Risico’s en bijwerkingen</w:t>
      </w:r>
    </w:p>
    <w:p>
      <w:pPr>
        <w:pStyle w:val="FirstParagraph"/>
      </w:pPr>
      <w:r>
        <w:rPr>
          <w:bCs/>
          <w:b/>
        </w:rPr>
        <w:t xml:space="preserve">Aangetoond:</w:t>
      </w:r>
      <w:r>
        <w:t xml:space="preserve"> </w:t>
      </w:r>
      <w:r>
        <w:t xml:space="preserve">er zijn geen veiligheidsgegevens over toediening bij mensen.</w:t>
      </w:r>
    </w:p>
    <w:p>
      <w:pPr>
        <w:pStyle w:val="BodyText"/>
      </w:pPr>
      <w:r>
        <w:rPr>
          <w:bCs/>
          <w:b/>
        </w:rPr>
        <w:t xml:space="preserve">Theoretisch – met concrete waarschuwingssignalen uit het laboratorium:</w:t>
      </w:r>
    </w:p>
    <w:p>
      <w:pPr>
        <w:numPr>
          <w:ilvl w:val="0"/>
          <w:numId w:val="1234"/>
        </w:numPr>
        <w:pStyle w:val="Compact"/>
      </w:pPr>
      <w:r>
        <w:rPr>
          <w:bCs/>
          <w:b/>
        </w:rPr>
        <w:t xml:space="preserve">Kanker:</w:t>
      </w:r>
      <w:r>
        <w:t xml:space="preserve"> </w:t>
      </w:r>
      <w:r>
        <w:t xml:space="preserve">humanine beschermt cellen tegen geprogrammeerde celdood – en dat geldt ook voor kankercellen. Bij muizen met triple-negatieve borstkanker verminderde toegediend humanine de celdood in de tumor, verzwakte het het effect van de chemotherapie en versnelde het de tumorgroei en longuitzaaiingen. In biopten van dit type borstkanker was humanine in verhoogde mate aantoonbaar. De auteurs raden uitdrukkelijk voorzichtigheid aan bij het gebruik van humanine tegen degeneratieve aandoeningen (Moreno Ayala 2020, PMID 32444831).</w:t>
      </w:r>
    </w:p>
    <w:p>
      <w:pPr>
        <w:numPr>
          <w:ilvl w:val="0"/>
          <w:numId w:val="1234"/>
        </w:numPr>
        <w:pStyle w:val="Compact"/>
      </w:pPr>
      <w:r>
        <w:rPr>
          <w:bCs/>
          <w:b/>
        </w:rPr>
        <w:t xml:space="preserve">Ontsteking bij verouderde cellen:</w:t>
      </w:r>
      <w:r>
        <w:t xml:space="preserve"> </w:t>
      </w:r>
      <w:r>
        <w:t xml:space="preserve">In celexperimenten versterkten humanine en MOTS-c de afgifte van ontstekingssignaalstoffen door verouderde („senescente”) cellen (Mendelsohn 2018, PMID 30058454).</w:t>
      </w:r>
    </w:p>
    <w:p>
      <w:pPr>
        <w:numPr>
          <w:ilvl w:val="0"/>
          <w:numId w:val="1234"/>
        </w:numPr>
        <w:pStyle w:val="Compact"/>
      </w:pPr>
      <w:r>
        <w:rPr>
          <w:bCs/>
          <w:b/>
        </w:rPr>
        <w:t xml:space="preserve">Immuunreacties:</w:t>
      </w:r>
      <w:r>
        <w:t xml:space="preserve"> </w:t>
      </w:r>
      <w:r>
        <w:t xml:space="preserve">bij herhaalde injectie van een peptide kunnen antilichamen ontstaan; niet onderzocht.</w:t>
      </w:r>
    </w:p>
    <w:p>
      <w:pPr>
        <w:pStyle w:val="FirstParagraph"/>
      </w:pPr>
      <w:r>
        <w:rPr>
          <w:bCs/>
          <w:b/>
        </w:rPr>
        <w:t xml:space="preserve">Grijze markt:</w:t>
      </w:r>
      <w:r>
        <w:t xml:space="preserve"> </w:t>
      </w:r>
      <w:r>
        <w:t xml:space="preserve">humanine en HNG worden als „longevitypeptiden” voor injectie aangeboden. Gehalte, zuiverheid en steriliteit zijn ongecontroleerd.</w:t>
      </w:r>
    </w:p>
    <w:bookmarkEnd w:id="699"/>
    <w:bookmarkStart w:id="700" w:name="juridische-status-42"/>
    <w:p>
      <w:pPr>
        <w:pStyle w:val="Heading3"/>
      </w:pPr>
      <w:r>
        <w:t xml:space="preserve">Juridische status</w:t>
      </w:r>
    </w:p>
    <w:p>
      <w:pPr>
        <w:numPr>
          <w:ilvl w:val="0"/>
          <w:numId w:val="1235"/>
        </w:numPr>
        <w:pStyle w:val="Compact"/>
      </w:pPr>
      <w:r>
        <w:rPr>
          <w:bCs/>
          <w:b/>
        </w:rPr>
        <w:t xml:space="preserve">EU / Oostenrijk / Duitsland:</w:t>
      </w:r>
      <w:r>
        <w:t xml:space="preserve"> </w:t>
      </w:r>
      <w:r>
        <w:t xml:space="preserve">niet toegelaten; als stof met farmacologische werking geldt humanine als geneesmiddel, verkoop voor gebruik bij mensen is niet toegestaan (stand 2026, actuele situatie controleren).</w:t>
      </w:r>
    </w:p>
    <w:p>
      <w:pPr>
        <w:numPr>
          <w:ilvl w:val="0"/>
          <w:numId w:val="1235"/>
        </w:numPr>
        <w:pStyle w:val="Compact"/>
      </w:pPr>
      <w:r>
        <w:rPr>
          <w:bCs/>
          <w:b/>
        </w:rPr>
        <w:t xml:space="preserve">VS:</w:t>
      </w:r>
      <w:r>
        <w:t xml:space="preserve"> </w:t>
      </w:r>
      <w:r>
        <w:t xml:space="preserve">niet toegelaten.</w:t>
      </w:r>
    </w:p>
    <w:p>
      <w:pPr>
        <w:numPr>
          <w:ilvl w:val="0"/>
          <w:numId w:val="1235"/>
        </w:numPr>
        <w:pStyle w:val="Compact"/>
      </w:pPr>
      <w:r>
        <w:rPr>
          <w:bCs/>
          <w:b/>
        </w:rPr>
        <w:t xml:space="preserve">Sport:</w:t>
      </w:r>
      <w:r>
        <w:t xml:space="preserve"> </w:t>
      </w:r>
      <w:r>
        <w:t xml:space="preserve">naar onze inschatting WADA-categorie S0 (stand 2026, actuele situatie controleren).</w:t>
      </w:r>
    </w:p>
    <w:bookmarkEnd w:id="700"/>
    <w:bookmarkStart w:id="701" w:name="lopende-studies-en-vooruitzichten-42"/>
    <w:p>
      <w:pPr>
        <w:pStyle w:val="Heading3"/>
      </w:pPr>
      <w:r>
        <w:t xml:space="preserve">Lopende studies en vooruitzichten</w:t>
      </w:r>
    </w:p>
    <w:p>
      <w:pPr>
        <w:pStyle w:val="FirstParagraph"/>
      </w:pPr>
      <w:r>
        <w:rPr>
          <w:bCs/>
          <w:b/>
        </w:rPr>
        <w:t xml:space="preserve">Vast staat:</w:t>
      </w:r>
      <w:r>
        <w:t xml:space="preserve"> </w:t>
      </w:r>
      <w:r>
        <w:t xml:space="preserve">geregistreerd zijn alleen observationele studies naar humaninespiegels, bijvoorbeeld na hartoperaties (NCT03431844, 106 deelnemers, afgerond) en bij niertransplantatie (NCT07678073). Een studie naar toediening van humanine bestaat niet.</w:t>
      </w:r>
    </w:p>
    <w:p>
      <w:pPr>
        <w:pStyle w:val="BodyText"/>
      </w:pPr>
      <w:r>
        <w:rPr>
          <w:bCs/>
          <w:b/>
        </w:rPr>
        <w:t xml:space="preserve">Inschatting:</w:t>
      </w:r>
      <w:r>
        <w:t xml:space="preserve"> </w:t>
      </w:r>
      <w:r>
        <w:t xml:space="preserve">humanine is een wetenschappelijk boeiend signaalpeptide en een mogelijke biomarker van veroudering. Of het ooit als geneesmiddel wordt onderzocht, is onzeker; de kankerbevindingen uit het diermodel zouden vóór elk gebruik bij mensen zorgvuldig moeten worden opgehelderd.</w:t>
      </w:r>
    </w:p>
    <w:bookmarkEnd w:id="701"/>
    <w:bookmarkStart w:id="702" w:name="conclusie-42"/>
    <w:p>
      <w:pPr>
        <w:pStyle w:val="Heading3"/>
      </w:pPr>
      <w:r>
        <w:t xml:space="preserve">Conclusie</w:t>
      </w:r>
    </w:p>
    <w:p>
      <w:pPr>
        <w:pStyle w:val="FirstParagraph"/>
      </w:pPr>
      <w:r>
        <w:t xml:space="preserve">Humanine is een lichaamseigen, mitochondriaal peptide dat in 2001 werd ontdekt als beschermende factor voor zenuwcellen. De spiegels dalen met de leeftijd, zijn hoger bij kinderen van 100-jarigen en stijgen door beweging; in dierproeven beschermde de variant HNG hart, hersenen en stofwisseling. Bij mensen is humanine nooit als werkzame stof gegeven, en bij muizen bevorderde het de groei van borstkanker. De gegevens volstaan niet om nut of veiligheid van toediening te beoordelen.</w:t>
      </w:r>
    </w:p>
    <w:bookmarkEnd w:id="702"/>
    <w:bookmarkEnd w:id="703"/>
    <w:bookmarkStart w:id="715" w:name="ss-31-elamipretide"/>
    <w:p>
      <w:pPr>
        <w:pStyle w:val="Heading2"/>
      </w:pPr>
      <w:r>
        <w:t xml:space="preserve">SS-31 (elamipretide)</w:t>
      </w:r>
    </w:p>
    <w:bookmarkStart w:id="704" w:name="profiel-43"/>
    <w:p>
      <w:pPr>
        <w:pStyle w:val="Heading3"/>
      </w:pPr>
      <w:r>
        <w:t xml:space="preserve">Profiel</w:t>
      </w:r>
    </w:p>
    <w:p>
      <w:pPr>
        <w:numPr>
          <w:ilvl w:val="0"/>
          <w:numId w:val="1236"/>
        </w:numPr>
        <w:pStyle w:val="Compact"/>
      </w:pPr>
      <w:r>
        <w:rPr>
          <w:bCs/>
          <w:b/>
        </w:rPr>
        <w:t xml:space="preserve">Soort en structuur:</w:t>
      </w:r>
      <w:r>
        <w:t xml:space="preserve"> </w:t>
      </w:r>
      <w:r>
        <w:t xml:space="preserve">synthetisch tetrapeptide van vier bouwstenen (D-arginine, dimethyltyrosine, lysine, fenylalanine), dat door een ongebruikelijke volgorde van positief geladen en ringvormige aminozuren celmembranen passeert. Onderzoeksaanduidingen SS-31, MTP-131 en Bendavia; werkzame stof elamipretide; handelsnaam Forzinity.</w:t>
      </w:r>
    </w:p>
    <w:p>
      <w:pPr>
        <w:numPr>
          <w:ilvl w:val="0"/>
          <w:numId w:val="1236"/>
        </w:numPr>
        <w:pStyle w:val="Compact"/>
      </w:pPr>
      <w:r>
        <w:rPr>
          <w:bCs/>
          <w:b/>
        </w:rPr>
        <w:t xml:space="preserve">Herkomst:</w:t>
      </w:r>
      <w:r>
        <w:t xml:space="preserve"> </w:t>
      </w:r>
      <w:r>
        <w:t xml:space="preserve">ontwikkeld door Hazel Szeto en Peter Schiller (vandaar „SS”-peptiden), klinisch verder ontwikkeld door het Amerikaanse bedrijf Stealth BioTherapeutics.</w:t>
      </w:r>
    </w:p>
    <w:p>
      <w:pPr>
        <w:numPr>
          <w:ilvl w:val="0"/>
          <w:numId w:val="1236"/>
        </w:numPr>
        <w:pStyle w:val="Compact"/>
      </w:pPr>
      <w:r>
        <w:rPr>
          <w:bCs/>
          <w:b/>
        </w:rPr>
        <w:t xml:space="preserve">Werkingsprincipe:</w:t>
      </w:r>
      <w:r>
        <w:t xml:space="preserve"> </w:t>
      </w:r>
      <w:r>
        <w:t xml:space="preserve">hoopt zich op aan het binnenmembraan van de mitochondriën en bindt daar aan cardiolipine, een vet dat onmisbaar is voor de energiewinning. Het zou de ademhalingsketen stabiliseren en schadelijke oxidatie beperken.</w:t>
      </w:r>
    </w:p>
    <w:p>
      <w:pPr>
        <w:numPr>
          <w:ilvl w:val="0"/>
          <w:numId w:val="1236"/>
        </w:numPr>
        <w:pStyle w:val="Compact"/>
      </w:pPr>
      <w:r>
        <w:rPr>
          <w:bCs/>
          <w:b/>
        </w:rPr>
        <w:t xml:space="preserve">Registratie EU:</w:t>
      </w:r>
      <w:r>
        <w:t xml:space="preserve"> </w:t>
      </w:r>
      <w:r>
        <w:t xml:space="preserve">nee (stand 2026, actuele situatie controleren).</w:t>
      </w:r>
    </w:p>
    <w:p>
      <w:pPr>
        <w:numPr>
          <w:ilvl w:val="0"/>
          <w:numId w:val="1236"/>
        </w:numPr>
        <w:pStyle w:val="Compact"/>
      </w:pPr>
      <w:r>
        <w:rPr>
          <w:bCs/>
          <w:b/>
        </w:rPr>
        <w:t xml:space="preserve">Registratie VS:</w:t>
      </w:r>
      <w:r>
        <w:t xml:space="preserve"> </w:t>
      </w:r>
      <w:r>
        <w:t xml:space="preserve">ja – in september 2025</w:t>
      </w:r>
      <w:r>
        <w:t xml:space="preserve"> </w:t>
      </w:r>
      <w:r>
        <w:rPr>
          <w:bCs/>
          <w:b/>
        </w:rPr>
        <w:t xml:space="preserve">versnelde toelating</w:t>
      </w:r>
      <w:r>
        <w:t xml:space="preserve"> </w:t>
      </w:r>
      <w:r>
        <w:t xml:space="preserve">(accelerated approval) als Forzinity voor het verbeteren van de spierkracht bij het syndroom van Barth voor volwassenen en kinderen vanaf 30 kg lichaamsgewicht. De toelating is gebonden aan een bevestigingsstudie.</w:t>
      </w:r>
    </w:p>
    <w:p>
      <w:pPr>
        <w:numPr>
          <w:ilvl w:val="0"/>
          <w:numId w:val="1236"/>
        </w:numPr>
        <w:pStyle w:val="Compact"/>
      </w:pPr>
      <w:r>
        <w:rPr>
          <w:bCs/>
          <w:b/>
        </w:rPr>
        <w:t xml:space="preserve">WADA:</w:t>
      </w:r>
      <w:r>
        <w:t xml:space="preserve"> </w:t>
      </w:r>
      <w:r>
        <w:t xml:space="preserve">niet bij naam vermeld (stand 2026, actuele situatie controleren).</w:t>
      </w:r>
    </w:p>
    <w:p>
      <w:pPr>
        <w:numPr>
          <w:ilvl w:val="0"/>
          <w:numId w:val="1236"/>
        </w:numPr>
        <w:pStyle w:val="Compact"/>
      </w:pPr>
      <w:r>
        <w:rPr>
          <w:bCs/>
          <w:b/>
        </w:rPr>
        <w:t xml:space="preserve">Bewijsniveau:</w:t>
      </w:r>
      <w:r>
        <w:t xml:space="preserve"> </w:t>
      </w:r>
      <w:r>
        <w:rPr>
          <w:bCs/>
          <w:b/>
        </w:rPr>
        <w:t xml:space="preserve">B</w:t>
      </w:r>
      <w:r>
        <w:t xml:space="preserve"> </w:t>
      </w:r>
      <w:r>
        <w:t xml:space="preserve">– talrijke gerandomiseerde studies, waaronder een fase 3-studie met 218 deelnemers; de meeste grote studies haalden echter hun primaire eindpunt niet, en de toelating berust op een zeer kleine studie bij een uiterst zeldzame aandoening.</w:t>
      </w:r>
    </w:p>
    <w:bookmarkEnd w:id="704"/>
    <w:bookmarkStart w:id="705" w:name="hoe-het-zou-moeten-werken-43"/>
    <w:p>
      <w:pPr>
        <w:pStyle w:val="Heading3"/>
      </w:pPr>
      <w:r>
        <w:t xml:space="preserve">Hoe het zou moeten werken</w:t>
      </w:r>
    </w:p>
    <w:p>
      <w:pPr>
        <w:pStyle w:val="FirstParagraph"/>
      </w:pPr>
      <w:r>
        <w:t xml:space="preserve">Mitochondriën winnen energie via een keten van eiwitcomplexen in hun binnenmembraan. Om deze complexen goed te laten samenwerken, is cardiolipine nodig – een bijzonder vet dat alleen in dit membraan voorkomt. Wordt cardiolipine beschadigd of ontbreekt het, dan werkt de ademhalingsketen slechter, en het eiwit cytochroom c kan van een elektronendrager veranderen in een schadelijk enzym (een peroxidase).</w:t>
      </w:r>
    </w:p>
    <w:p>
      <w:pPr>
        <w:pStyle w:val="BodyText"/>
      </w:pPr>
      <w:r>
        <w:t xml:space="preserve">SS-31 bindt volgens zijn ontwikkelaarster via elektrische en waterafstotende krachten selectief aan cardiolipine, voorkomt deze omzetting van cytochroom c en beschermt zo de structuur van de mitochondriën (Szeto 2014, PMID 24117165). Het principe is in veel diermodellen van hart-, nier-, spier- en oogaandoeningen onderzocht.</w:t>
      </w:r>
    </w:p>
    <w:p>
      <w:pPr>
        <w:pStyle w:val="BodyText"/>
      </w:pPr>
      <w:r>
        <w:t xml:space="preserve">Het duidelijkst is het verband bij het</w:t>
      </w:r>
      <w:r>
        <w:t xml:space="preserve"> </w:t>
      </w:r>
      <w:r>
        <w:rPr>
          <w:bCs/>
          <w:b/>
        </w:rPr>
        <w:t xml:space="preserve">syndroom van Barth</w:t>
      </w:r>
      <w:r>
        <w:t xml:space="preserve">: bij deze zeer zeldzame, X-gebonden erfelijke aandoening, die bijna alleen jongens en mannen treft, is het gen</w:t>
      </w:r>
      <w:r>
        <w:t xml:space="preserve"> </w:t>
      </w:r>
      <w:r>
        <w:rPr>
          <w:iCs/>
          <w:i/>
        </w:rPr>
        <w:t xml:space="preserve">TAZ</w:t>
      </w:r>
      <w:r>
        <w:t xml:space="preserve"> </w:t>
      </w:r>
      <w:r>
        <w:t xml:space="preserve">defect, dat nodig is voor de ombouw van cardiolipine. Patiënten hebben hartspierzwakte, spierzwakte, sterke vermoeibaarheid en een verminderd aantal van bepaalde witte bloedcellen. Een werkzame stof die gericht op cardiolipine aangrijpt, ligt hier biologisch bijzonder voor de hand.</w:t>
      </w:r>
    </w:p>
    <w:bookmarkEnd w:id="705"/>
    <w:bookmarkStart w:id="709" w:name="studies-bij-mensen-43"/>
    <w:p>
      <w:pPr>
        <w:pStyle w:val="Heading3"/>
      </w:pPr>
      <w:r>
        <w:t xml:space="preserve">Studies bij mensen</w:t>
      </w:r>
    </w:p>
    <w:p>
      <w:pPr>
        <w:pStyle w:val="FirstParagraph"/>
      </w:pPr>
      <w:r>
        <w:rPr>
          <w:bCs/>
          <w:b/>
        </w:rPr>
        <w:t xml:space="preserve">Omvang van het onderzoek:</w:t>
      </w:r>
      <w:r>
        <w:t xml:space="preserve"> </w:t>
      </w:r>
      <w:r>
        <w:t xml:space="preserve">De geautomatiseerde PubMed-zoekopdracht (oktober 2026) leverde 19 als studie bij mensen geclassificeerde publicaties op; vier daarvan betreffen bij nadere controle andere werkzame stoffen (de afkorting „SS-31” komt ook elders voor). Op ClinicalTrials.gov waren 21 studies geregistreerd, bijna allemaal van de fabrikant, over het syndroom van Barth, mitochondriale myopathieën, hartfalen, hartinfarct, nierarteriestenose, droge maculadegeneratie en oogaandoeningen. Elamipretide is daarmee het best onderzochte peptide van dit deel.</w:t>
      </w:r>
    </w:p>
    <w:bookmarkStart w:id="706" w:name="X0917eba8c114c82d624c20242b5f6db7382cbdc"/>
    <w:p>
      <w:pPr>
        <w:pStyle w:val="Heading4"/>
      </w:pPr>
      <w:r>
        <w:t xml:space="preserve">Syndroom van Barth: TAZPOWER en de toelating</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Deelnemers en opzet</w:t>
            </w:r>
          </w:p>
        </w:tc>
        <w:tc>
          <w:tcPr/>
          <w:p>
            <w:pPr>
              <w:pStyle w:val="Compact"/>
              <w:jc w:val="left"/>
            </w:pPr>
            <w:r>
              <w:t xml:space="preserve">Duur</w:t>
            </w:r>
          </w:p>
        </w:tc>
        <w:tc>
          <w:tcPr/>
          <w:p>
            <w:pPr>
              <w:pStyle w:val="Compact"/>
              <w:jc w:val="left"/>
            </w:pPr>
            <w:r>
              <w:t xml:space="preserve">Resultaat</w:t>
            </w:r>
          </w:p>
        </w:tc>
      </w:tr>
      <w:tr>
        <w:tc>
          <w:tcPr/>
          <w:p>
            <w:pPr>
              <w:pStyle w:val="Compact"/>
              <w:jc w:val="left"/>
            </w:pPr>
            <w:r>
              <w:t xml:space="preserve">TAZPOWER deel 1 (Reid Thompson 2021), PMID 33077895</w:t>
            </w:r>
          </w:p>
        </w:tc>
        <w:tc>
          <w:tcPr/>
          <w:p>
            <w:pPr>
              <w:pStyle w:val="Compact"/>
              <w:jc w:val="left"/>
            </w:pPr>
            <w:r>
              <w:t xml:space="preserve">12 personen, dubbelblind, cross-over tegen placebo</w:t>
            </w:r>
          </w:p>
        </w:tc>
        <w:tc>
          <w:tcPr/>
          <w:p>
            <w:pPr>
              <w:pStyle w:val="Compact"/>
              <w:jc w:val="left"/>
            </w:pPr>
            <w:r>
              <w:t xml:space="preserve">telkens 12 weken</w:t>
            </w:r>
          </w:p>
        </w:tc>
        <w:tc>
          <w:tcPr/>
          <w:p>
            <w:pPr>
              <w:pStyle w:val="Compact"/>
              <w:jc w:val="left"/>
            </w:pPr>
            <w:r>
              <w:t xml:space="preserve">beide primaire eindpunten (6-minutenlooptest, symptoomschaal) niet gehaald</w:t>
            </w:r>
          </w:p>
        </w:tc>
      </w:tr>
      <w:tr>
        <w:tc>
          <w:tcPr/>
          <w:p>
            <w:pPr>
              <w:pStyle w:val="Compact"/>
              <w:jc w:val="left"/>
            </w:pPr>
            <w:r>
              <w:t xml:space="preserve">TAZPOWER open verlenging, PMID 33077895</w:t>
            </w:r>
          </w:p>
        </w:tc>
        <w:tc>
          <w:tcPr/>
          <w:p>
            <w:pPr>
              <w:pStyle w:val="Compact"/>
              <w:jc w:val="left"/>
            </w:pPr>
            <w:r>
              <w:t xml:space="preserve">10 personen, allen met elamipretide</w:t>
            </w:r>
          </w:p>
        </w:tc>
        <w:tc>
          <w:tcPr/>
          <w:p>
            <w:pPr>
              <w:pStyle w:val="Compact"/>
              <w:jc w:val="left"/>
            </w:pPr>
            <w:r>
              <w:t xml:space="preserve">36 weken</w:t>
            </w:r>
          </w:p>
        </w:tc>
        <w:tc>
          <w:tcPr/>
          <w:p>
            <w:pPr>
              <w:pStyle w:val="Compact"/>
              <w:jc w:val="left"/>
            </w:pPr>
            <w:r>
              <w:t xml:space="preserve">loopafstand +95,9 m, symptoomschaal −2,1 punten</w:t>
            </w:r>
          </w:p>
        </w:tc>
      </w:tr>
      <w:tr>
        <w:tc>
          <w:tcPr/>
          <w:p>
            <w:pPr>
              <w:pStyle w:val="Compact"/>
              <w:jc w:val="left"/>
            </w:pPr>
            <w:r>
              <w:t xml:space="preserve">Verlenging tot 168 weken (Thompson 2024), PMID 38602181</w:t>
            </w:r>
          </w:p>
        </w:tc>
        <w:tc>
          <w:tcPr/>
          <w:p>
            <w:pPr>
              <w:pStyle w:val="Compact"/>
              <w:jc w:val="left"/>
            </w:pPr>
            <w:r>
              <w:t xml:space="preserve">10 geïncludeerd, 8 tot week 168</w:t>
            </w:r>
          </w:p>
        </w:tc>
        <w:tc>
          <w:tcPr/>
          <w:p>
            <w:pPr>
              <w:pStyle w:val="Compact"/>
              <w:jc w:val="left"/>
            </w:pPr>
            <w:r>
              <w:t xml:space="preserve">168 weken</w:t>
            </w:r>
          </w:p>
        </w:tc>
        <w:tc>
          <w:tcPr/>
          <w:p>
            <w:pPr>
              <w:pStyle w:val="Compact"/>
              <w:jc w:val="left"/>
            </w:pPr>
            <w:r>
              <w:t xml:space="preserve">loopafstand cumulatief +96,1 m; hartvolumes verbeterd</w:t>
            </w:r>
          </w:p>
        </w:tc>
      </w:tr>
      <w:tr>
        <w:tc>
          <w:tcPr/>
          <w:p>
            <w:pPr>
              <w:pStyle w:val="Compact"/>
              <w:jc w:val="left"/>
            </w:pPr>
            <w:r>
              <w:t xml:space="preserve">Vergelijking met natuurlijk beloop (Hornby 2022), PMID 36056411</w:t>
            </w:r>
          </w:p>
        </w:tc>
        <w:tc>
          <w:tcPr/>
          <w:p>
            <w:pPr>
              <w:pStyle w:val="Compact"/>
              <w:jc w:val="left"/>
            </w:pPr>
            <w:r>
              <w:t xml:space="preserve">8 behandelde vs. 19 onbehandelde personen uit ziekteregister</w:t>
            </w:r>
          </w:p>
        </w:tc>
        <w:tc>
          <w:tcPr/>
          <w:p>
            <w:pPr>
              <w:pStyle w:val="Compact"/>
              <w:jc w:val="left"/>
            </w:pPr>
            <w:r>
              <w:t xml:space="preserve">64–76 weken</w:t>
            </w:r>
          </w:p>
        </w:tc>
        <w:tc>
          <w:tcPr/>
          <w:p>
            <w:pPr>
              <w:pStyle w:val="Compact"/>
              <w:jc w:val="left"/>
            </w:pPr>
            <w:r>
              <w:t xml:space="preserve">verschil in looptest 79,7 resp. 91,0 m in het voordeel van elamipretide</w:t>
            </w:r>
          </w:p>
        </w:tc>
      </w:tr>
    </w:tbl>
    <w:p>
      <w:pPr>
        <w:pStyle w:val="BodyText"/>
      </w:pPr>
      <w:r>
        <w:t xml:space="preserve">De geschiedenis van de toelating laat exemplarisch zien hoe bij extreem zeldzame ziekten wordt beslist:</w:t>
      </w:r>
    </w:p>
    <w:p>
      <w:pPr>
        <w:pStyle w:val="BodyText"/>
      </w:pPr>
      <w:r>
        <w:rPr>
          <w:bCs/>
          <w:b/>
        </w:rPr>
        <w:t xml:space="preserve">Het gecontroleerde deel mislukte.</w:t>
      </w:r>
      <w:r>
        <w:t xml:space="preserve"> </w:t>
      </w:r>
      <w:r>
        <w:t xml:space="preserve">In TAZPOWER (NCT03098797) kregen twaalf personen met het syndroom van Barth twaalf weken lang dagelijks elamipretide onderhuids of placebo, en daarna telkens het andere. In dit geblindeerde deel werd noch op de 6-minutenlooptest noch op de symptoomschaal een significant verschil bereikt (Reid Thompson 2021, PMID 33077895).</w:t>
      </w:r>
    </w:p>
    <w:p>
      <w:pPr>
        <w:pStyle w:val="BodyText"/>
      </w:pPr>
      <w:r>
        <w:rPr>
          <w:bCs/>
          <w:b/>
        </w:rPr>
        <w:t xml:space="preserve">De open verlenging was positief.</w:t>
      </w:r>
      <w:r>
        <w:t xml:space="preserve"> </w:t>
      </w:r>
      <w:r>
        <w:t xml:space="preserve">Tien personen zetten de behandeling open voort. Na 36 weken liepen zij gemiddeld 95,9 m verder dan aan het begin; ook de strekkracht van de knie en afzonderlijke hartparameters verbeterden (Reid Thompson 2021, PMID 33077895). De verbetering hield aan tot week 168; acht personen bereikten dat tijdstip (Thompson 2024, PMID 38602181). Zonder controlegroep valt echter niet te scheiden welk deel aan het geneesmiddel en welk aan gewenning aan de test, motivatie of toeval is toe te schrijven.</w:t>
      </w:r>
    </w:p>
    <w:p>
      <w:pPr>
        <w:pStyle w:val="BodyText"/>
      </w:pPr>
      <w:r>
        <w:rPr>
          <w:bCs/>
          <w:b/>
        </w:rPr>
        <w:t xml:space="preserve">Vergelijking met een registercontrole.</w:t>
      </w:r>
      <w:r>
        <w:t xml:space="preserve"> </w:t>
      </w:r>
      <w:r>
        <w:t xml:space="preserve">Om dat op te helderen, vergeleek een andere studie acht behandelde personen met 19 onbehandelde uit een observatie van het ziekteverloop. Het voordeel in de looptest bedroeg na 64 weken 79,7 m (Hornby 2022, PMID 36056411). Zulke „historische controles” zijn bij zeldzame ziekten vaak de enige mogelijkheid, maar gelden als duidelijk zwakker dan een randomisatie.</w:t>
      </w:r>
    </w:p>
    <w:p>
      <w:pPr>
        <w:pStyle w:val="BodyText"/>
      </w:pPr>
      <w:r>
        <w:rPr>
          <w:bCs/>
          <w:b/>
        </w:rPr>
        <w:t xml:space="preserve">Het FDA-besluit van 2025.</w:t>
      </w:r>
      <w:r>
        <w:t xml:space="preserve"> </w:t>
      </w:r>
      <w:r>
        <w:t xml:space="preserve">De Amerikaanse geneesmiddelenautoriteit wees de aanvraag in mei 2025 eerst af (Complete Response Letter). In september 2025 verleende zij vervolgens een</w:t>
      </w:r>
      <w:r>
        <w:t xml:space="preserve"> </w:t>
      </w:r>
      <w:r>
        <w:rPr>
          <w:bCs/>
          <w:b/>
        </w:rPr>
        <w:t xml:space="preserve">versnelde toelating</w:t>
      </w:r>
      <w:r>
        <w:t xml:space="preserve"> </w:t>
      </w:r>
      <w:r>
        <w:t xml:space="preserve">voor elamipretide (Forzinity) voor het verbeteren van de spierkracht bij het syndroom van Barth voor patiënten vanaf 30 kg – als eerste ziektespecifieke behandeling van deze aandoening (Shirley 2026, PMID 41335372). Grondslag was de verbetering van de strekkracht van de knie, die de autoriteit beschouwt als surrogaatmaat die een klinisch nut „redelijkerwijs waarschijnlijk” maakt. Een versnelde toelating verplicht de fabrikant tot een bevestigingsstudie; blijft het nut daarin uit, dan kan de toelating worden ingetrokken. Een dergelijke studie met 48 geplande deelnemers werft sinds juli 2026 (NCT07531251).</w:t>
      </w:r>
    </w:p>
    <w:bookmarkEnd w:id="706"/>
    <w:bookmarkStart w:id="707" w:name="X12a95a74e8d8c8724c0d32a71f929619c0e950e"/>
    <w:p>
      <w:pPr>
        <w:pStyle w:val="Heading4"/>
      </w:pPr>
      <w:r>
        <w:t xml:space="preserve">Primaire mitochondriale myopathie: MMPOWER-3</w:t>
      </w:r>
    </w:p>
    <w:p>
      <w:pPr>
        <w:pStyle w:val="FirstParagraph"/>
      </w:pPr>
      <w:r>
        <w:t xml:space="preserve">Mitochondriale myopathieën zijn erfelijke aandoeningen waarbij de energiewinning in de spieren is verstoord; patiënten lijden aan spierzwakte en sterke vermoeibaarheid.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Deelnemers en opzet</w:t>
            </w:r>
          </w:p>
        </w:tc>
        <w:tc>
          <w:tcPr/>
          <w:p>
            <w:pPr>
              <w:pStyle w:val="Compact"/>
              <w:jc w:val="left"/>
            </w:pPr>
            <w:r>
              <w:t xml:space="preserve">Duur</w:t>
            </w:r>
          </w:p>
        </w:tc>
        <w:tc>
          <w:tcPr/>
          <w:p>
            <w:pPr>
              <w:pStyle w:val="Compact"/>
              <w:jc w:val="left"/>
            </w:pPr>
            <w:r>
              <w:t xml:space="preserve">Resultaat</w:t>
            </w:r>
          </w:p>
        </w:tc>
      </w:tr>
      <w:tr>
        <w:tc>
          <w:tcPr/>
          <w:p>
            <w:pPr>
              <w:pStyle w:val="Compact"/>
              <w:jc w:val="left"/>
            </w:pPr>
            <w:r>
              <w:t xml:space="preserve">MMPOWER (Karaa 2018), PMID 29500292</w:t>
            </w:r>
          </w:p>
        </w:tc>
        <w:tc>
          <w:tcPr/>
          <w:p>
            <w:pPr>
              <w:pStyle w:val="Compact"/>
              <w:jc w:val="left"/>
            </w:pPr>
            <w:r>
              <w:t xml:space="preserve">36 personen, infuus in oplopende dosis tegen placebo</w:t>
            </w:r>
          </w:p>
        </w:tc>
        <w:tc>
          <w:tcPr/>
          <w:p>
            <w:pPr>
              <w:pStyle w:val="Compact"/>
              <w:jc w:val="left"/>
            </w:pPr>
            <w:r>
              <w:t xml:space="preserve">5 dagen</w:t>
            </w:r>
          </w:p>
        </w:tc>
        <w:tc>
          <w:tcPr/>
          <w:p>
            <w:pPr>
              <w:pStyle w:val="Compact"/>
              <w:jc w:val="left"/>
            </w:pPr>
            <w:r>
              <w:t xml:space="preserve">hoogste dosis +64,5 m in looptest vs. +20,4 m (p = 0,053)</w:t>
            </w:r>
          </w:p>
        </w:tc>
      </w:tr>
      <w:tr>
        <w:tc>
          <w:tcPr/>
          <w:p>
            <w:pPr>
              <w:pStyle w:val="Compact"/>
              <w:jc w:val="left"/>
            </w:pPr>
            <w:r>
              <w:t xml:space="preserve">MMPOWER-2 (Karaa 2020), PMID 32096613</w:t>
            </w:r>
          </w:p>
        </w:tc>
        <w:tc>
          <w:tcPr/>
          <w:p>
            <w:pPr>
              <w:pStyle w:val="Compact"/>
              <w:jc w:val="left"/>
            </w:pPr>
            <w:r>
              <w:t xml:space="preserve">30 personen, cross-over tegen placebo</w:t>
            </w:r>
          </w:p>
        </w:tc>
        <w:tc>
          <w:tcPr/>
          <w:p>
            <w:pPr>
              <w:pStyle w:val="Compact"/>
              <w:jc w:val="left"/>
            </w:pPr>
            <w:r>
              <w:t xml:space="preserve">telkens 4 weken</w:t>
            </w:r>
          </w:p>
        </w:tc>
        <w:tc>
          <w:tcPr/>
          <w:p>
            <w:pPr>
              <w:pStyle w:val="Compact"/>
              <w:jc w:val="left"/>
            </w:pPr>
            <w:r>
              <w:t xml:space="preserve">looptest +19,8 m (niet significant); minder vermoeidheid</w:t>
            </w:r>
          </w:p>
        </w:tc>
      </w:tr>
      <w:tr>
        <w:tc>
          <w:tcPr/>
          <w:p>
            <w:pPr>
              <w:pStyle w:val="Compact"/>
              <w:jc w:val="left"/>
            </w:pPr>
            <w:r>
              <w:t xml:space="preserve">MMPOWER-3 (Karaa 2023), PMID 37268435</w:t>
            </w:r>
          </w:p>
        </w:tc>
        <w:tc>
          <w:tcPr/>
          <w:p>
            <w:pPr>
              <w:pStyle w:val="Compact"/>
              <w:jc w:val="left"/>
            </w:pPr>
            <w:r>
              <w:t xml:space="preserve">218 personen, fase 3 tegen placebo</w:t>
            </w:r>
          </w:p>
        </w:tc>
        <w:tc>
          <w:tcPr/>
          <w:p>
            <w:pPr>
              <w:pStyle w:val="Compact"/>
              <w:jc w:val="left"/>
            </w:pPr>
            <w:r>
              <w:t xml:space="preserve">24 weken</w:t>
            </w:r>
          </w:p>
        </w:tc>
        <w:tc>
          <w:tcPr/>
          <w:p>
            <w:pPr>
              <w:pStyle w:val="Compact"/>
              <w:jc w:val="left"/>
            </w:pPr>
            <w:r>
              <w:t xml:space="preserve">beide primaire eindpunten niet gehaald; looptest −3,2 m verschil</w:t>
            </w:r>
          </w:p>
        </w:tc>
      </w:tr>
    </w:tbl>
    <w:p>
      <w:pPr>
        <w:pStyle w:val="BodyText"/>
      </w:pPr>
      <w:r>
        <w:t xml:space="preserve">Na bemoedigende kleine studies moest</w:t>
      </w:r>
      <w:r>
        <w:t xml:space="preserve"> </w:t>
      </w:r>
      <w:r>
        <w:rPr>
          <w:bCs/>
          <w:b/>
        </w:rPr>
        <w:t xml:space="preserve">MMPOWER-3</w:t>
      </w:r>
      <w:r>
        <w:t xml:space="preserve"> </w:t>
      </w:r>
      <w:r>
        <w:t xml:space="preserve">(NCT03323749) de werkzaamheid aantonen. 218 volwassenen met genetisch bevestigde mitochondriale myopathie kregen 24 weken lang elamipretide of placebo. De studie haalde beide primaire eindpunten niet: op de 6-minutenlooptest lag het verschil op −3,2 m (95%-BI −18,7 tot 12,3), op de vermoeidheidsschaal was er eveneens geen verschil. De verdraagbaarheid was goed (Karaa 2023, PMID 37268435). De auteurs beschouwen dit als bewijs van de hoogste klasse dat elamipretide loopafstand en vermoeidheid in deze groep niet verbetert.</w:t>
      </w:r>
    </w:p>
    <w:p>
      <w:pPr>
        <w:pStyle w:val="BodyText"/>
      </w:pPr>
      <w:r>
        <w:t xml:space="preserve">Een achteraf uitgevoerde analyse vond aanwijzingen voor een nut in een subgroep: personen met defecten in genen van de celkern die nodig zijn voor de vermenigvuldiging van het mitochondriale DNA (zoals</w:t>
      </w:r>
      <w:r>
        <w:t xml:space="preserve"> </w:t>
      </w:r>
      <w:r>
        <w:rPr>
          <w:iCs/>
          <w:i/>
        </w:rPr>
        <w:t xml:space="preserve">POLG</w:t>
      </w:r>
      <w:r>
        <w:t xml:space="preserve"> </w:t>
      </w:r>
      <w:r>
        <w:t xml:space="preserve">en</w:t>
      </w:r>
      <w:r>
        <w:t xml:space="preserve"> </w:t>
      </w:r>
      <w:r>
        <w:rPr>
          <w:iCs/>
          <w:i/>
        </w:rPr>
        <w:t xml:space="preserve">TWNK</w:t>
      </w:r>
      <w:r>
        <w:t xml:space="preserve">) liepen onder elamipretide 25,2 m verder tegenover 2,0 m onder placebo (p = 0,06) (Karaa 2024, PMID 39574155). Achteraf uitgevoerde subgroepanalyses leveren hypothesen op, geen bewijs. Op die basis werd de fase 3-studie NuPOWER (NCT05162768) met 102 deelnemers uitgevoerd; volgens het register is ze sinds december 2024 afgerond, resultaten waren bij ons onderzoek niet gepubliceerd.</w:t>
      </w:r>
    </w:p>
    <w:bookmarkEnd w:id="707"/>
    <w:bookmarkStart w:id="708" w:name="hart-nier-oog-en-veroudering"/>
    <w:p>
      <w:pPr>
        <w:pStyle w:val="Heading4"/>
      </w:pPr>
      <w:r>
        <w:t xml:space="preserve">Hart, nier, oog en veroudering</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Deelnemers en opzet</w:t>
            </w:r>
          </w:p>
        </w:tc>
        <w:tc>
          <w:tcPr/>
          <w:p>
            <w:pPr>
              <w:pStyle w:val="Compact"/>
              <w:jc w:val="left"/>
            </w:pPr>
            <w:r>
              <w:t xml:space="preserve">Duur</w:t>
            </w:r>
          </w:p>
        </w:tc>
        <w:tc>
          <w:tcPr/>
          <w:p>
            <w:pPr>
              <w:pStyle w:val="Compact"/>
              <w:jc w:val="left"/>
            </w:pPr>
            <w:r>
              <w:t xml:space="preserve">Resultaat</w:t>
            </w:r>
          </w:p>
        </w:tc>
      </w:tr>
      <w:tr>
        <w:tc>
          <w:tcPr/>
          <w:p>
            <w:pPr>
              <w:pStyle w:val="Compact"/>
              <w:jc w:val="left"/>
            </w:pPr>
            <w:r>
              <w:t xml:space="preserve">EMBRACE STEMI (Gibson 2016), PMID 26586786</w:t>
            </w:r>
          </w:p>
        </w:tc>
        <w:tc>
          <w:tcPr/>
          <w:p>
            <w:pPr>
              <w:pStyle w:val="Compact"/>
              <w:jc w:val="left"/>
            </w:pPr>
            <w:r>
              <w:t xml:space="preserve">personen met eerste voorwandinfarct, infuus tijdens katheterbehandeling, dubbelblind</w:t>
            </w:r>
          </w:p>
        </w:tc>
        <w:tc>
          <w:tcPr/>
          <w:p>
            <w:pPr>
              <w:pStyle w:val="Compact"/>
              <w:jc w:val="left"/>
            </w:pPr>
            <w:r>
              <w:t xml:space="preserve">72 uur</w:t>
            </w:r>
          </w:p>
        </w:tc>
        <w:tc>
          <w:tcPr/>
          <w:p>
            <w:pPr>
              <w:pStyle w:val="Compact"/>
              <w:jc w:val="left"/>
            </w:pPr>
            <w:r>
              <w:t xml:space="preserve">infarctgrootte niet verminderd</w:t>
            </w:r>
          </w:p>
        </w:tc>
      </w:tr>
      <w:tr>
        <w:tc>
          <w:tcPr/>
          <w:p>
            <w:pPr>
              <w:pStyle w:val="Compact"/>
              <w:jc w:val="left"/>
            </w:pPr>
            <w:r>
              <w:t xml:space="preserve">PROGRESS-HF (Butler 2020), PMID 32068002</w:t>
            </w:r>
          </w:p>
        </w:tc>
        <w:tc>
          <w:tcPr/>
          <w:p>
            <w:pPr>
              <w:pStyle w:val="Compact"/>
              <w:jc w:val="left"/>
            </w:pPr>
            <w:r>
              <w:t xml:space="preserve">71 personen met hartfalen (HFrEF), tegen placebo</w:t>
            </w:r>
          </w:p>
        </w:tc>
        <w:tc>
          <w:tcPr/>
          <w:p>
            <w:pPr>
              <w:pStyle w:val="Compact"/>
              <w:jc w:val="left"/>
            </w:pPr>
            <w:r>
              <w:t xml:space="preserve">4 weken</w:t>
            </w:r>
          </w:p>
        </w:tc>
        <w:tc>
          <w:tcPr/>
          <w:p>
            <w:pPr>
              <w:pStyle w:val="Compact"/>
              <w:jc w:val="left"/>
            </w:pPr>
            <w:r>
              <w:t xml:space="preserve">geen verbetering van de hartvolumes</w:t>
            </w:r>
          </w:p>
        </w:tc>
      </w:tr>
      <w:tr>
        <w:tc>
          <w:tcPr/>
          <w:p>
            <w:pPr>
              <w:pStyle w:val="Compact"/>
              <w:jc w:val="left"/>
            </w:pPr>
            <w:r>
              <w:t xml:space="preserve">Daubert 2017, PMID 29217757</w:t>
            </w:r>
          </w:p>
        </w:tc>
        <w:tc>
          <w:tcPr/>
          <w:p>
            <w:pPr>
              <w:pStyle w:val="Compact"/>
              <w:jc w:val="left"/>
            </w:pPr>
            <w:r>
              <w:t xml:space="preserve">36 personen met hartfalen, eenmalig infuus</w:t>
            </w:r>
          </w:p>
        </w:tc>
        <w:tc>
          <w:tcPr/>
          <w:p>
            <w:pPr>
              <w:pStyle w:val="Compact"/>
              <w:jc w:val="left"/>
            </w:pPr>
            <w:r>
              <w:t xml:space="preserve">24 uur</w:t>
            </w:r>
          </w:p>
        </w:tc>
        <w:tc>
          <w:tcPr/>
          <w:p>
            <w:pPr>
              <w:pStyle w:val="Compact"/>
              <w:jc w:val="left"/>
            </w:pPr>
            <w:r>
              <w:t xml:space="preserve">kortstondig kleinere hartvolumes bij hoogste dosis</w:t>
            </w:r>
          </w:p>
        </w:tc>
      </w:tr>
      <w:tr>
        <w:tc>
          <w:tcPr/>
          <w:p>
            <w:pPr>
              <w:pStyle w:val="Compact"/>
              <w:jc w:val="left"/>
            </w:pPr>
            <w:r>
              <w:t xml:space="preserve">Saad 2017, PMID 28916603</w:t>
            </w:r>
          </w:p>
        </w:tc>
        <w:tc>
          <w:tcPr/>
          <w:p>
            <w:pPr>
              <w:pStyle w:val="Compact"/>
              <w:jc w:val="left"/>
            </w:pPr>
            <w:r>
              <w:t xml:space="preserve">14 personen met nierarterievernauwing bij stentbehandeling</w:t>
            </w:r>
          </w:p>
        </w:tc>
        <w:tc>
          <w:tcPr/>
          <w:p>
            <w:pPr>
              <w:pStyle w:val="Compact"/>
              <w:jc w:val="left"/>
            </w:pPr>
            <w:r>
              <w:t xml:space="preserve">3 maanden</w:t>
            </w:r>
          </w:p>
        </w:tc>
        <w:tc>
          <w:tcPr/>
          <w:p>
            <w:pPr>
              <w:pStyle w:val="Compact"/>
              <w:jc w:val="left"/>
            </w:pPr>
            <w:r>
              <w:t xml:space="preserve">minder zuurstoftekort, betere doorbloeding van de nier (pilotstudie)</w:t>
            </w:r>
          </w:p>
        </w:tc>
      </w:tr>
      <w:tr>
        <w:tc>
          <w:tcPr/>
          <w:p>
            <w:pPr>
              <w:pStyle w:val="Compact"/>
              <w:jc w:val="left"/>
            </w:pPr>
            <w:r>
              <w:t xml:space="preserve">ReCLAIM-2 (Ehlers 2025), PMID 39605874</w:t>
            </w:r>
          </w:p>
        </w:tc>
        <w:tc>
          <w:tcPr/>
          <w:p>
            <w:pPr>
              <w:pStyle w:val="Compact"/>
              <w:jc w:val="left"/>
            </w:pPr>
            <w:r>
              <w:t xml:space="preserve">176 personen met droge maculadegeneratie, tegen placebo</w:t>
            </w:r>
          </w:p>
        </w:tc>
        <w:tc>
          <w:tcPr/>
          <w:p>
            <w:pPr>
              <w:pStyle w:val="Compact"/>
              <w:jc w:val="left"/>
            </w:pPr>
            <w:r>
              <w:t xml:space="preserve">48 weken</w:t>
            </w:r>
          </w:p>
        </w:tc>
        <w:tc>
          <w:tcPr/>
          <w:p>
            <w:pPr>
              <w:pStyle w:val="Compact"/>
              <w:jc w:val="left"/>
            </w:pPr>
            <w:r>
              <w:t xml:space="preserve">primaire eindpunten niet gehaald; langzamer verlies van fotoreceptorstructuren (secundair eindpunt)</w:t>
            </w:r>
          </w:p>
        </w:tc>
      </w:tr>
      <w:tr>
        <w:tc>
          <w:tcPr/>
          <w:p>
            <w:pPr>
              <w:pStyle w:val="Compact"/>
              <w:jc w:val="left"/>
            </w:pPr>
            <w:r>
              <w:t xml:space="preserve">Roshanravan 2021, PMID 34264994</w:t>
            </w:r>
          </w:p>
        </w:tc>
        <w:tc>
          <w:tcPr/>
          <w:p>
            <w:pPr>
              <w:pStyle w:val="Compact"/>
              <w:jc w:val="left"/>
            </w:pPr>
            <w:r>
              <w:t xml:space="preserve">39 gezonde ouderen, eenmalig infuus tegen placebo</w:t>
            </w:r>
          </w:p>
        </w:tc>
        <w:tc>
          <w:tcPr/>
          <w:p>
            <w:pPr>
              <w:pStyle w:val="Compact"/>
              <w:jc w:val="left"/>
            </w:pPr>
            <w:r>
              <w:t xml:space="preserve">7 dagen</w:t>
            </w:r>
          </w:p>
        </w:tc>
        <w:tc>
          <w:tcPr/>
          <w:p>
            <w:pPr>
              <w:pStyle w:val="Compact"/>
              <w:jc w:val="left"/>
            </w:pPr>
            <w:r>
              <w:t xml:space="preserve">kortstondig hogere energiecapaciteit in een handspier, maar geen betere weerstand tegen vermoeidheid</w:t>
            </w:r>
          </w:p>
        </w:tc>
      </w:tr>
    </w:tbl>
    <w:p>
      <w:pPr>
        <w:pStyle w:val="BodyText"/>
      </w:pPr>
      <w:r>
        <w:t xml:space="preserve">Het patroon valt op: bij</w:t>
      </w:r>
      <w:r>
        <w:t xml:space="preserve"> </w:t>
      </w:r>
      <w:r>
        <w:rPr>
          <w:bCs/>
          <w:b/>
        </w:rPr>
        <w:t xml:space="preserve">hartinfarct</w:t>
      </w:r>
      <w:r>
        <w:t xml:space="preserve"> </w:t>
      </w:r>
      <w:r>
        <w:t xml:space="preserve">en</w:t>
      </w:r>
      <w:r>
        <w:t xml:space="preserve"> </w:t>
      </w:r>
      <w:r>
        <w:rPr>
          <w:bCs/>
          <w:b/>
        </w:rPr>
        <w:t xml:space="preserve">hartfalen</w:t>
      </w:r>
      <w:r>
        <w:t xml:space="preserve"> </w:t>
      </w:r>
      <w:r>
        <w:t xml:space="preserve">lieten de grotere gecontroleerde studies geen nut zien (Gibson 2016, PMID 26586786; Butler 2020, PMID 32068002). Bij</w:t>
      </w:r>
      <w:r>
        <w:t xml:space="preserve"> </w:t>
      </w:r>
      <w:r>
        <w:rPr>
          <w:bCs/>
          <w:b/>
        </w:rPr>
        <w:t xml:space="preserve">droge maculadegeneratie</w:t>
      </w:r>
      <w:r>
        <w:t xml:space="preserve">, een veelvoorkomende oorzaak van verlies van gezichtsvermogen op oudere leeftijd, haalde ReCLAIM-2 beide primaire eindpunten niet (gezichtsscherpte bij weinig licht en groei van het beschadigde netvliesoppervlak); een vooraf vastgelegd secundair eindpunt – het verlies van de fotoreceptorlaag – verliep onder elamipretide langzamer (Ehlers 2025, PMID 39605874). Deze meetwaarde dient nu als primair eindpunt van de lopende fase 3-studie ReNEW (NCT06373731).</w:t>
      </w:r>
    </w:p>
    <w:p>
      <w:pPr>
        <w:pStyle w:val="BodyText"/>
      </w:pPr>
      <w:r>
        <w:t xml:space="preserve">Interessant voor de longevityscene is de studie bij ouderen: één infuus verhoogde direct daarna de energiecapaciteit van een handspier; na zeven dagen was het effect verdwenen, en het uithoudingsvermogen van de spier verbeterde niet (Roshanravan 2021, PMID 34264994). Daaruit valt geen „anti-aging”-nut af te leiden.</w:t>
      </w:r>
    </w:p>
    <w:bookmarkEnd w:id="708"/>
    <w:bookmarkEnd w:id="709"/>
    <w:bookmarkStart w:id="710" w:name="dier--en-laboratoriumstudies-43"/>
    <w:p>
      <w:pPr>
        <w:pStyle w:val="Heading3"/>
      </w:pPr>
      <w:r>
        <w:t xml:space="preserve">Dier- en laboratoriumstudies</w:t>
      </w:r>
    </w:p>
    <w:p>
      <w:pPr>
        <w:pStyle w:val="FirstParagraph"/>
      </w:pPr>
      <w:r>
        <w:t xml:space="preserve">In diermodellen zijn gunstige effecten beschreven bij hartfalen, nierschade, spierzwakte, oog- en zenuwaandoeningen (Szeto 2014, PMID 24117165). Bij honden met gevorderd hartfalen verbeterde een langdurige behandeling de pompfunctie en de functie van de mitochondriën (Sabbah 2016, PMID 26839394). In een rattenmodel van hartfalen met behouden pompfunctie verbeterde elamipretide weliswaar de energiestofwisseling van de hartspier, maar niet de hartfunctie (Schauer 2026, PMID 41596703). Deze discrepantie tussen betere energiestofwisseling en ontbrekend klinisch nut weerspiegelt zich in de studies bij mensen.</w:t>
      </w:r>
    </w:p>
    <w:bookmarkEnd w:id="710"/>
    <w:bookmarkStart w:id="711" w:name="risicos-en-bijwerkingen-43"/>
    <w:p>
      <w:pPr>
        <w:pStyle w:val="Heading3"/>
      </w:pPr>
      <w:r>
        <w:t xml:space="preserve">Risico’s en bijwerkingen</w:t>
      </w:r>
    </w:p>
    <w:p>
      <w:pPr>
        <w:pStyle w:val="FirstParagraph"/>
      </w:pPr>
      <w:r>
        <w:rPr>
          <w:bCs/>
          <w:b/>
        </w:rPr>
        <w:t xml:space="preserve">Aangetoond:</w:t>
      </w:r>
    </w:p>
    <w:p>
      <w:pPr>
        <w:numPr>
          <w:ilvl w:val="0"/>
          <w:numId w:val="1237"/>
        </w:numPr>
        <w:pStyle w:val="Compact"/>
      </w:pPr>
      <w:r>
        <w:t xml:space="preserve">De meest voorkomende bijwerkingen zijn</w:t>
      </w:r>
      <w:r>
        <w:t xml:space="preserve"> </w:t>
      </w:r>
      <w:r>
        <w:rPr>
          <w:bCs/>
          <w:b/>
        </w:rPr>
        <w:t xml:space="preserve">reacties op de injectieplaats</w:t>
      </w:r>
      <w:r>
        <w:t xml:space="preserve"> </w:t>
      </w:r>
      <w:r>
        <w:t xml:space="preserve">(jeuk, pijn, blauwe plekken, roodheid). In MMPOWER-2 traden ze op bij 80% van de behandelden, meestal licht (Karaa 2020, PMID 32096613). In ReCLAIM-2 meldde 86% onder elamipretide en 71% onder placebo enig ongewenst voorval (Ehlers 2025, PMID 39605874).</w:t>
      </w:r>
    </w:p>
    <w:p>
      <w:pPr>
        <w:numPr>
          <w:ilvl w:val="0"/>
          <w:numId w:val="1237"/>
        </w:numPr>
        <w:pStyle w:val="Compact"/>
      </w:pPr>
      <w:r>
        <w:t xml:space="preserve">Ernstige bijwerkingen kwamen in de studies niet vaker voor; in MMPOWER-3 waren de voorvallen overwegend licht tot matig (Karaa 2023, PMID 37268435).</w:t>
      </w:r>
    </w:p>
    <w:p>
      <w:pPr>
        <w:numPr>
          <w:ilvl w:val="0"/>
          <w:numId w:val="1237"/>
        </w:numPr>
        <w:pStyle w:val="Compact"/>
      </w:pPr>
      <w:r>
        <w:t xml:space="preserve">Langetermijngegevens zijn er alleen voor enkele personen met het syndroom van Barth over ruim drie jaar (Thompson 2024, PMID 38602181).</w:t>
      </w:r>
    </w:p>
    <w:p>
      <w:pPr>
        <w:pStyle w:val="FirstParagraph"/>
      </w:pPr>
      <w:r>
        <w:rPr>
          <w:bCs/>
          <w:b/>
        </w:rPr>
        <w:t xml:space="preserve">Theoretisch:</w:t>
      </w:r>
      <w:r>
        <w:t xml:space="preserve"> </w:t>
      </w:r>
      <w:r>
        <w:t xml:space="preserve">een werkzame stof die langdurig ingrijpt in de mitochondriën van alle lichaamscellen, zou bij jarenlang gebruik door gezonde mensen onbekende effecten kunnen hebben; daarover zijn geen gegevens.</w:t>
      </w:r>
    </w:p>
    <w:p>
      <w:pPr>
        <w:pStyle w:val="BodyText"/>
      </w:pPr>
      <w:r>
        <w:rPr>
          <w:bCs/>
          <w:b/>
        </w:rPr>
        <w:t xml:space="preserve">Grijze markt:</w:t>
      </w:r>
      <w:r>
        <w:t xml:space="preserve"> </w:t>
      </w:r>
      <w:r>
        <w:t xml:space="preserve">„SS-31” wordt online verkocht als poeder voor injectie voor „mitochondriale verjonging”. Deze producten zijn niet het toegelaten geneesmiddel; gehalte en zuiverheid zijn ongecontroleerd. Voor gezonde mensen is geen nut aangetoond.</w:t>
      </w:r>
    </w:p>
    <w:bookmarkEnd w:id="711"/>
    <w:bookmarkStart w:id="712" w:name="juridische-status-43"/>
    <w:p>
      <w:pPr>
        <w:pStyle w:val="Heading3"/>
      </w:pPr>
      <w:r>
        <w:t xml:space="preserve">Juridische status</w:t>
      </w:r>
    </w:p>
    <w:p>
      <w:pPr>
        <w:numPr>
          <w:ilvl w:val="0"/>
          <w:numId w:val="1238"/>
        </w:numPr>
        <w:pStyle w:val="Compact"/>
      </w:pPr>
      <w:r>
        <w:rPr>
          <w:bCs/>
          <w:b/>
        </w:rPr>
        <w:t xml:space="preserve">EU / Oostenrijk / Duitsland:</w:t>
      </w:r>
      <w:r>
        <w:t xml:space="preserve"> </w:t>
      </w:r>
      <w:r>
        <w:t xml:space="preserve">niet toegelaten. Elamipretide is een geneesmiddel; gebruik is alleen mogelijk in het kader van studies of compassionate-useprogramma’s (stand 2026, actuele situatie controleren).</w:t>
      </w:r>
    </w:p>
    <w:p>
      <w:pPr>
        <w:numPr>
          <w:ilvl w:val="0"/>
          <w:numId w:val="1238"/>
        </w:numPr>
        <w:pStyle w:val="Compact"/>
      </w:pPr>
      <w:r>
        <w:rPr>
          <w:bCs/>
          <w:b/>
        </w:rPr>
        <w:t xml:space="preserve">VS:</w:t>
      </w:r>
      <w:r>
        <w:t xml:space="preserve"> </w:t>
      </w:r>
      <w:r>
        <w:t xml:space="preserve">versneld toegelaten (Forzinity, september 2025) alleen voor het syndroom van Barth vanaf 30 kg lichaamsgewicht; zie de productinformatie en medische begeleiding. Voor andere aandoeningen is er een compassionate-useprogramma (NCT04689360).</w:t>
      </w:r>
    </w:p>
    <w:p>
      <w:pPr>
        <w:numPr>
          <w:ilvl w:val="0"/>
          <w:numId w:val="1238"/>
        </w:numPr>
        <w:pStyle w:val="Compact"/>
      </w:pPr>
      <w:r>
        <w:rPr>
          <w:bCs/>
          <w:b/>
        </w:rPr>
        <w:t xml:space="preserve">Sport:</w:t>
      </w:r>
      <w:r>
        <w:t xml:space="preserve"> </w:t>
      </w:r>
      <w:r>
        <w:t xml:space="preserve">niet bij naam op de WADA-lijst (stand 2026, actuele situatie controleren).</w:t>
      </w:r>
    </w:p>
    <w:bookmarkEnd w:id="712"/>
    <w:bookmarkStart w:id="713" w:name="lopende-studies-en-vooruitzichten-43"/>
    <w:p>
      <w:pPr>
        <w:pStyle w:val="Heading3"/>
      </w:pPr>
      <w:r>
        <w:t xml:space="preserve">Lopende studies en vooruitzichten</w:t>
      </w:r>
    </w:p>
    <w:p>
      <w:pPr>
        <w:pStyle w:val="FirstParagraph"/>
      </w:pPr>
      <w:r>
        <w:rPr>
          <w:bCs/>
          <w:b/>
        </w:rPr>
        <w:t xml:space="preserve">Vast staat (geregistreerde studies, stand oktober 2026):</w:t>
      </w:r>
    </w:p>
    <w:p>
      <w:pPr>
        <w:numPr>
          <w:ilvl w:val="0"/>
          <w:numId w:val="1239"/>
        </w:numPr>
        <w:pStyle w:val="Compact"/>
      </w:pPr>
      <w:r>
        <w:rPr>
          <w:bCs/>
          <w:b/>
        </w:rPr>
        <w:t xml:space="preserve">ReNEW</w:t>
      </w:r>
      <w:r>
        <w:t xml:space="preserve"> </w:t>
      </w:r>
      <w:r>
        <w:t xml:space="preserve">(NCT06373731): fase 3 bij droge maculadegeneratie, 313 deelnemers, werving afgerond, gepland einde 2027.</w:t>
      </w:r>
    </w:p>
    <w:p>
      <w:pPr>
        <w:numPr>
          <w:ilvl w:val="0"/>
          <w:numId w:val="1239"/>
        </w:numPr>
        <w:pStyle w:val="Compact"/>
      </w:pPr>
      <w:r>
        <w:rPr>
          <w:bCs/>
          <w:b/>
        </w:rPr>
        <w:t xml:space="preserve">4TAZPower</w:t>
      </w:r>
      <w:r>
        <w:t xml:space="preserve"> </w:t>
      </w:r>
      <w:r>
        <w:t xml:space="preserve">(NCT07531251): bevestigingsstudie bij het syndroom van Barth met 48 geplande deelnemers, werving loopt.</w:t>
      </w:r>
    </w:p>
    <w:p>
      <w:pPr>
        <w:numPr>
          <w:ilvl w:val="0"/>
          <w:numId w:val="1239"/>
        </w:numPr>
        <w:pStyle w:val="Compact"/>
      </w:pPr>
      <w:r>
        <w:rPr>
          <w:bCs/>
          <w:b/>
        </w:rPr>
        <w:t xml:space="preserve">NuPOWER</w:t>
      </w:r>
      <w:r>
        <w:t xml:space="preserve"> </w:t>
      </w:r>
      <w:r>
        <w:t xml:space="preserve">(NCT05162768): fase 3 bij mitochondriale aandoening door mutaties in het kern-DNA, 102 deelnemers, afgerond; resultaten nog niet bekend.</w:t>
      </w:r>
    </w:p>
    <w:p>
      <w:pPr>
        <w:numPr>
          <w:ilvl w:val="0"/>
          <w:numId w:val="1239"/>
        </w:numPr>
        <w:pStyle w:val="Compact"/>
      </w:pPr>
      <w:r>
        <w:t xml:space="preserve">Een kleine fase 2-studie bij gezonde ouderen onderzoekt het lichamelijk functioneren (NCT07275424).</w:t>
      </w:r>
    </w:p>
    <w:p>
      <w:pPr>
        <w:pStyle w:val="FirstParagraph"/>
      </w:pPr>
      <w:r>
        <w:rPr>
          <w:bCs/>
          <w:b/>
        </w:rPr>
        <w:t xml:space="preserve">Inschatting:</w:t>
      </w:r>
      <w:r>
        <w:t xml:space="preserve"> </w:t>
      </w:r>
      <w:r>
        <w:t xml:space="preserve">of elamipretide buiten het syndroom van Barth een plaats vindt, wordt beslist door ReNEW en NuPOWER. De ervaring uit MMPOWER-3, EMBRACE en PROGRESS-HF maant tot voorzichtigheid: een overtuigend mechanisme garandeert geen klinisch nut.</w:t>
      </w:r>
    </w:p>
    <w:bookmarkEnd w:id="713"/>
    <w:bookmarkStart w:id="714" w:name="conclusie-43"/>
    <w:p>
      <w:pPr>
        <w:pStyle w:val="Heading3"/>
      </w:pPr>
      <w:r>
        <w:t xml:space="preserve">Conclusie</w:t>
      </w:r>
    </w:p>
    <w:p>
      <w:pPr>
        <w:pStyle w:val="FirstParagraph"/>
      </w:pPr>
      <w:r>
        <w:t xml:space="preserve">Elamipretide (SS-31) is een tetrapeptide dat aan cardiolipine in de mitochondriën bindt en in 2025 als eerste mitochondriale geneesmiddel in de VS een versnelde toelating kreeg voor het zeer zeldzame syndroom van Barth – op basis van een studie met twaalf personen, waarvan het gecontroleerde deel de primaire eindpunten niet haalde, en van open langetermijngegevens. In grotere gerandomiseerde studies bij mitochondriale myopathie, hartinfarct, hartfalen en maculadegeneratie werden de primaire eindpunten niet bereikt. Het geneesmiddel wordt goed verdragen; vooral reacties op de injectieplaats komen vaak voor. Voor gezonde mensen of als „anti-aging”-middel is er geen aangetoond nut.</w:t>
      </w:r>
    </w:p>
    <w:bookmarkEnd w:id="714"/>
    <w:bookmarkEnd w:id="715"/>
    <w:bookmarkStart w:id="725" w:name="foxo4-dri"/>
    <w:p>
      <w:pPr>
        <w:pStyle w:val="Heading2"/>
      </w:pPr>
      <w:r>
        <w:t xml:space="preserve">FOXO4-DRI</w:t>
      </w:r>
    </w:p>
    <w:bookmarkStart w:id="716" w:name="profiel-44"/>
    <w:p>
      <w:pPr>
        <w:pStyle w:val="Heading3"/>
      </w:pPr>
      <w:r>
        <w:t xml:space="preserve">Profiel</w:t>
      </w:r>
    </w:p>
    <w:p>
      <w:pPr>
        <w:numPr>
          <w:ilvl w:val="0"/>
          <w:numId w:val="1240"/>
        </w:numPr>
        <w:pStyle w:val="Compact"/>
      </w:pPr>
      <w:r>
        <w:rPr>
          <w:bCs/>
          <w:b/>
        </w:rPr>
        <w:t xml:space="preserve">Soort en structuur:</w:t>
      </w:r>
      <w:r>
        <w:t xml:space="preserve"> </w:t>
      </w:r>
      <w:r>
        <w:t xml:space="preserve">relatief lang synthetisch peptide, afgeleid van een gedeelte van het eiwit FOXO4. „DRI” staat voor</w:t>
      </w:r>
      <w:r>
        <w:t xml:space="preserve"> </w:t>
      </w:r>
      <w:r>
        <w:rPr>
          <w:iCs/>
          <w:i/>
        </w:rPr>
        <w:t xml:space="preserve">D-retro-inverso</w:t>
      </w:r>
      <w:r>
        <w:t xml:space="preserve">: het peptide is opgebouwd uit spiegelbeeldige D-aminozuren in omgekeerde volgorde. Daardoor wordt het door lichaamseigen enzymen nauwelijks afgebroken. Een gekoppeld, positief geladen gedeelte (afgeleid van een viruseiwit) moet het in cellen binnensluizen.</w:t>
      </w:r>
    </w:p>
    <w:p>
      <w:pPr>
        <w:numPr>
          <w:ilvl w:val="0"/>
          <w:numId w:val="1240"/>
        </w:numPr>
        <w:pStyle w:val="Compact"/>
      </w:pPr>
      <w:r>
        <w:rPr>
          <w:bCs/>
          <w:b/>
        </w:rPr>
        <w:t xml:space="preserve">Herkomst:</w:t>
      </w:r>
      <w:r>
        <w:t xml:space="preserve"> </w:t>
      </w:r>
      <w:r>
        <w:t xml:space="preserve">in 2017 gepresenteerd door een Nederlandse onderzoeksgroep rond Peter de Keizer (Erasmus MC Rotterdam).</w:t>
      </w:r>
    </w:p>
    <w:p>
      <w:pPr>
        <w:numPr>
          <w:ilvl w:val="0"/>
          <w:numId w:val="1240"/>
        </w:numPr>
        <w:pStyle w:val="Compact"/>
      </w:pPr>
      <w:r>
        <w:rPr>
          <w:bCs/>
          <w:b/>
        </w:rPr>
        <w:t xml:space="preserve">Werkingsprincipe:</w:t>
      </w:r>
      <w:r>
        <w:t xml:space="preserve"> </w:t>
      </w:r>
      <w:r>
        <w:rPr>
          <w:bCs/>
          <w:b/>
        </w:rPr>
        <w:t xml:space="preserve">senolyticum</w:t>
      </w:r>
      <w:r>
        <w:t xml:space="preserve"> </w:t>
      </w:r>
      <w:r>
        <w:t xml:space="preserve">– een stof die gericht verouderde, zogeheten senescente cellen in geprogrammeerde celdood zou drijven, door de binding tussen FOXO4 en het beschermende eiwit p53 te verstoren.</w:t>
      </w:r>
    </w:p>
    <w:p>
      <w:pPr>
        <w:numPr>
          <w:ilvl w:val="0"/>
          <w:numId w:val="1240"/>
        </w:numPr>
        <w:pStyle w:val="Compact"/>
      </w:pPr>
      <w:r>
        <w:rPr>
          <w:bCs/>
          <w:b/>
        </w:rPr>
        <w:t xml:space="preserve">Registratie EU:</w:t>
      </w:r>
      <w:r>
        <w:t xml:space="preserve"> </w:t>
      </w:r>
      <w:r>
        <w:t xml:space="preserve">nee.</w:t>
      </w:r>
    </w:p>
    <w:p>
      <w:pPr>
        <w:numPr>
          <w:ilvl w:val="0"/>
          <w:numId w:val="1240"/>
        </w:numPr>
        <w:pStyle w:val="Compact"/>
      </w:pPr>
      <w:r>
        <w:rPr>
          <w:bCs/>
          <w:b/>
        </w:rPr>
        <w:t xml:space="preserve">Registratie VS:</w:t>
      </w:r>
      <w:r>
        <w:t xml:space="preserve"> </w:t>
      </w:r>
      <w:r>
        <w:t xml:space="preserve">nee.</w:t>
      </w:r>
    </w:p>
    <w:p>
      <w:pPr>
        <w:numPr>
          <w:ilvl w:val="0"/>
          <w:numId w:val="1240"/>
        </w:numPr>
        <w:pStyle w:val="Compact"/>
      </w:pPr>
      <w:r>
        <w:rPr>
          <w:bCs/>
          <w:b/>
        </w:rPr>
        <w:t xml:space="preserve">WADA:</w:t>
      </w:r>
      <w:r>
        <w:t xml:space="preserve"> </w:t>
      </w:r>
      <w:r>
        <w:t xml:space="preserve">niet bij naam vermeld; als nergens toegelaten stof valt FOXO4-DRI naar onze inschatting onder de verzamelcategorie S0 (stand 2026, actuele situatie controleren).</w:t>
      </w:r>
    </w:p>
    <w:p>
      <w:pPr>
        <w:numPr>
          <w:ilvl w:val="0"/>
          <w:numId w:val="1240"/>
        </w:numPr>
        <w:pStyle w:val="Compact"/>
      </w:pPr>
      <w:r>
        <w:rPr>
          <w:bCs/>
          <w:b/>
        </w:rPr>
        <w:t xml:space="preserve">Bewijsniveau:</w:t>
      </w:r>
      <w:r>
        <w:t xml:space="preserve"> </w:t>
      </w:r>
      <w:r>
        <w:rPr>
          <w:bCs/>
          <w:b/>
        </w:rPr>
        <w:t xml:space="preserve">D</w:t>
      </w:r>
      <w:r>
        <w:t xml:space="preserve"> </w:t>
      </w:r>
      <w:r>
        <w:t xml:space="preserve">– uitsluitend dier- en laboratoriumstudies.</w:t>
      </w:r>
    </w:p>
    <w:bookmarkEnd w:id="716"/>
    <w:bookmarkStart w:id="718" w:name="hoe-het-zou-moeten-werken-44"/>
    <w:p>
      <w:pPr>
        <w:pStyle w:val="Heading3"/>
      </w:pPr>
      <w:r>
        <w:t xml:space="preserve">Hoe het zou moeten werken</w:t>
      </w:r>
    </w:p>
    <w:p>
      <w:pPr>
        <w:pStyle w:val="FirstParagraph"/>
      </w:pPr>
      <w:r>
        <w:rPr>
          <w:bCs/>
          <w:b/>
        </w:rPr>
        <w:t xml:space="preserve">Senescente cellen</w:t>
      </w:r>
      <w:r>
        <w:t xml:space="preserve"> </w:t>
      </w:r>
      <w:r>
        <w:t xml:space="preserve">zijn cellen die zich na schade – bijvoorbeeld door straling, chemotherapie, oxidatieve stress of gewoon door veel delingen – niet meer delen, maar ook niet afsterven. Ze blijven in het weefsel achter en geven een mengsel af van ontstekingssignaalstoffen en weefselafbrekende enzymen, dat men SASP noemt (</w:t>
      </w:r>
      <w:r>
        <w:rPr>
          <w:iCs/>
          <w:i/>
        </w:rPr>
        <w:t xml:space="preserve">senescence-associated secretory phenotype</w:t>
      </w:r>
      <w:r>
        <w:t xml:space="preserve">). Met de leeftijd nemen ze in veel organen toe. Bij muizen bij wie zulke cellen genetisch gericht werden verwijderd, werden verschillende verouderingsverschijnselen vertraagd. Daaruit ontstond het idee van</w:t>
      </w:r>
      <w:r>
        <w:t xml:space="preserve"> </w:t>
      </w:r>
      <w:r>
        <w:rPr>
          <w:bCs/>
          <w:b/>
        </w:rPr>
        <w:t xml:space="preserve">senolytica</w:t>
      </w:r>
      <w:r>
        <w:t xml:space="preserve">: geneesmiddelen die senescente cellen opruimen.</w:t>
      </w:r>
    </w:p>
    <w:p>
      <w:pPr>
        <w:pStyle w:val="BodyText"/>
      </w:pPr>
      <w:r>
        <w:t xml:space="preserve">Senescente cellen overleven onder meer doordat ze zelfmoordprogramma’s onderdrukken. De Rotterdamse groep ontdekte dat het eiwit FOXO4 daarbij een sleutelrol speelt: het houdt het eiwit p53, dat anders de celdood zou inleiden, in de celkern vast. Het peptide FOXO4-DRI verstoort deze binding; p53 wordt uit de kern verdreven, en de senescente cel sterft. Gezonde, normaal delende cellen zouden daarvan grotendeels gespaard blijven (Baar 2017, PMID 28340339). Structuuronderzoek uit 2025 bevestigde dat FOXO4-DRI bindt aan een ongeordend gedeelte van p53 – waarbij ook het celbinnensluizende gedeelte van het peptide aan de binding deelneemt (Bourgeois 2025, PMID 40593617).</w:t>
      </w:r>
    </w:p>
    <w:bookmarkStart w:id="717" w:name="senolytica-bij-mensen-de-context"/>
    <w:p>
      <w:pPr>
        <w:pStyle w:val="Heading4"/>
      </w:pPr>
      <w:r>
        <w:t xml:space="preserve">Senolytica bij mensen: de context</w:t>
      </w:r>
    </w:p>
    <w:p>
      <w:pPr>
        <w:pStyle w:val="FirstParagraph"/>
      </w:pPr>
      <w:r>
        <w:t xml:space="preserve">FOXO4-DRI zelf is nooit bij mensen getest. Voor de inordening helpt een blik op andere senolytica die al klinisch zijn onderzocht – vooral de combinatie van het kankermiddel dasatinib en de plantenstof quercetine (kort D+Q):</w:t>
      </w:r>
    </w:p>
    <w:p>
      <w:pPr>
        <w:numPr>
          <w:ilvl w:val="0"/>
          <w:numId w:val="1241"/>
        </w:numPr>
        <w:pStyle w:val="Compact"/>
      </w:pPr>
      <w:r>
        <w:t xml:space="preserve">In een eerste open pilotstudie met 14 personen met idiopathische longfibrose verbeterden loopafstand en loopsnelheid, maar de longfunctie niet; er trad één ernstig ongewenst voorval op (Justice 2019, PMID 30616998).</w:t>
      </w:r>
    </w:p>
    <w:p>
      <w:pPr>
        <w:numPr>
          <w:ilvl w:val="0"/>
          <w:numId w:val="1241"/>
        </w:numPr>
        <w:pStyle w:val="Compact"/>
      </w:pPr>
      <w:r>
        <w:t xml:space="preserve">In een gerandomiseerde fase 2-studie met 60 vrouwen na de menopauze verlaagde D+Q de marker voor botafbraak niet (primair eindpunt niet gehaald); alleen in een achteraf bekeken subgroep met veel senescente cellen werden gunstige effecten gezien (Farr 2024, PMID 38956196).</w:t>
      </w:r>
    </w:p>
    <w:p>
      <w:pPr>
        <w:pStyle w:val="FirstParagraph"/>
      </w:pPr>
      <w:r>
        <w:t xml:space="preserve">Het klinische onderzoek naar senolytica staat dus nog aan het begin, en de eerste gecontroleerde resultaten vallen terughoudend uit. Dat is de achtergrond waartegen FOXO4-DRI op internet als „verjongingspeptide” wordt verkocht.</w:t>
      </w:r>
    </w:p>
    <w:bookmarkEnd w:id="717"/>
    <w:bookmarkEnd w:id="718"/>
    <w:bookmarkStart w:id="719" w:name="studies-bij-mensen-44"/>
    <w:p>
      <w:pPr>
        <w:pStyle w:val="Heading3"/>
      </w:pPr>
      <w:r>
        <w:t xml:space="preserve">Studies bij mensen</w:t>
      </w:r>
    </w:p>
    <w:p>
      <w:pPr>
        <w:pStyle w:val="FirstParagraph"/>
      </w:pPr>
      <w:r>
        <w:rPr>
          <w:bCs/>
          <w:b/>
        </w:rPr>
        <w:t xml:space="preserve">Omvang van het onderzoek:</w:t>
      </w:r>
      <w:r>
        <w:t xml:space="preserve"> </w:t>
      </w:r>
      <w:r>
        <w:t xml:space="preserve">De geautomatiseerde PubMed-zoekopdracht (oktober 2026) leverde</w:t>
      </w:r>
      <w:r>
        <w:t xml:space="preserve"> </w:t>
      </w:r>
      <w:r>
        <w:rPr>
          <w:bCs/>
          <w:b/>
        </w:rPr>
        <w:t xml:space="preserve">geen</w:t>
      </w:r>
      <w:r>
        <w:t xml:space="preserve"> </w:t>
      </w:r>
      <w:r>
        <w:t xml:space="preserve">studie bij mensen met FOXO4-DRI op; in totaal vermeldt PubMed ongeveer 20 publicaties met de term. Op ClinicalTrials.gov is geen studie geregistreerd. Ook casusbeschrijvingen van gebruik bij mensen of analyses van grijze-marktproducten werden niet gevonden.</w:t>
      </w:r>
    </w:p>
    <w:p>
      <w:pPr>
        <w:pStyle w:val="BodyText"/>
      </w:pPr>
      <w:r>
        <w:t xml:space="preserve">Het dichtst bij de mens komt een laboratoriumstudie met menselijke kraakbeencellen: bij cellen die voor een kraakbeentransplantatie in het laboratorium waren vermeerderd, verwijderde FOXO4-DRI meer dan de helft van de sterk vermeerderde (en daardoor vaker senescente) cellen, maar het verbeterde het vermogen om nieuw kraakbeen te vormen niet (Huang 2021, PMID 33996787).</w:t>
      </w:r>
    </w:p>
    <w:bookmarkEnd w:id="719"/>
    <w:bookmarkStart w:id="720" w:name="dier--en-laboratoriumstudies-44"/>
    <w:p>
      <w:pPr>
        <w:pStyle w:val="Heading3"/>
      </w:pPr>
      <w:r>
        <w:t xml:space="preserve">Dier- en laboratoriumstudies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Studie</w:t>
            </w:r>
          </w:p>
        </w:tc>
        <w:tc>
          <w:tcPr/>
          <w:p>
            <w:pPr>
              <w:pStyle w:val="Compact"/>
              <w:jc w:val="left"/>
            </w:pPr>
            <w:r>
              <w:t xml:space="preserve">Model</w:t>
            </w:r>
          </w:p>
        </w:tc>
        <w:tc>
          <w:tcPr/>
          <w:p>
            <w:pPr>
              <w:pStyle w:val="Compact"/>
              <w:jc w:val="left"/>
            </w:pPr>
            <w:r>
              <w:t xml:space="preserve">Resultaat</w:t>
            </w:r>
          </w:p>
        </w:tc>
      </w:tr>
      <w:tr>
        <w:tc>
          <w:tcPr/>
          <w:p>
            <w:pPr>
              <w:pStyle w:val="Compact"/>
              <w:jc w:val="left"/>
            </w:pPr>
            <w:r>
              <w:t xml:space="preserve">Baar 2017, PMID 28340339</w:t>
            </w:r>
          </w:p>
        </w:tc>
        <w:tc>
          <w:tcPr/>
          <w:p>
            <w:pPr>
              <w:pStyle w:val="Compact"/>
              <w:jc w:val="left"/>
            </w:pPr>
            <w:r>
              <w:t xml:space="preserve">snel verouderende en natuurlijk verouderde muizen; schade door chemotherapie</w:t>
            </w:r>
          </w:p>
        </w:tc>
        <w:tc>
          <w:tcPr/>
          <w:p>
            <w:pPr>
              <w:pStyle w:val="Compact"/>
              <w:jc w:val="left"/>
            </w:pPr>
            <w:r>
              <w:t xml:space="preserve">betere fitheid, dichtere vacht, betere nierfunctie; bescherming tegen schade door doxorubicine</w:t>
            </w:r>
          </w:p>
        </w:tc>
      </w:tr>
      <w:tr>
        <w:tc>
          <w:tcPr/>
          <w:p>
            <w:pPr>
              <w:pStyle w:val="Compact"/>
              <w:jc w:val="left"/>
            </w:pPr>
            <w:r>
              <w:t xml:space="preserve">Zhang 2020, PMID 31959736</w:t>
            </w:r>
          </w:p>
        </w:tc>
        <w:tc>
          <w:tcPr/>
          <w:p>
            <w:pPr>
              <w:pStyle w:val="Compact"/>
              <w:jc w:val="left"/>
            </w:pPr>
            <w:r>
              <w:t xml:space="preserve">natuurlijk verouderde muizen</w:t>
            </w:r>
          </w:p>
        </w:tc>
        <w:tc>
          <w:tcPr/>
          <w:p>
            <w:pPr>
              <w:pStyle w:val="Compact"/>
              <w:jc w:val="left"/>
            </w:pPr>
            <w:r>
              <w:t xml:space="preserve">testosteronaanmaak in de testikels verbeterd</w:t>
            </w:r>
          </w:p>
        </w:tc>
      </w:tr>
      <w:tr>
        <w:tc>
          <w:tcPr/>
          <w:p>
            <w:pPr>
              <w:pStyle w:val="Compact"/>
              <w:jc w:val="left"/>
            </w:pPr>
            <w:r>
              <w:t xml:space="preserve">Han 2022, PMID 35510614</w:t>
            </w:r>
          </w:p>
        </w:tc>
        <w:tc>
          <w:tcPr/>
          <w:p>
            <w:pPr>
              <w:pStyle w:val="Compact"/>
              <w:jc w:val="left"/>
            </w:pPr>
            <w:r>
              <w:t xml:space="preserve">longfibrose bij muizen</w:t>
            </w:r>
          </w:p>
        </w:tc>
        <w:tc>
          <w:tcPr/>
          <w:p>
            <w:pPr>
              <w:pStyle w:val="Compact"/>
              <w:jc w:val="left"/>
            </w:pPr>
            <w:r>
              <w:t xml:space="preserve">minder littekenvorming</w:t>
            </w:r>
          </w:p>
        </w:tc>
      </w:tr>
      <w:tr>
        <w:tc>
          <w:tcPr/>
          <w:p>
            <w:pPr>
              <w:pStyle w:val="Compact"/>
              <w:jc w:val="left"/>
            </w:pPr>
            <w:r>
              <w:t xml:space="preserve">Kong 2025, PMID 39994346</w:t>
            </w:r>
          </w:p>
        </w:tc>
        <w:tc>
          <w:tcPr/>
          <w:p>
            <w:pPr>
              <w:pStyle w:val="Compact"/>
              <w:jc w:val="left"/>
            </w:pPr>
            <w:r>
              <w:t xml:space="preserve">keloïdweefsel (overmatige littekens) in het laboratorium</w:t>
            </w:r>
          </w:p>
        </w:tc>
        <w:tc>
          <w:tcPr/>
          <w:p>
            <w:pPr>
              <w:pStyle w:val="Compact"/>
              <w:jc w:val="left"/>
            </w:pPr>
            <w:r>
              <w:t xml:space="preserve">meer celdood van senescente bindweefselcellen</w:t>
            </w:r>
          </w:p>
        </w:tc>
      </w:tr>
      <w:tr>
        <w:tc>
          <w:tcPr/>
          <w:p>
            <w:pPr>
              <w:pStyle w:val="Compact"/>
              <w:jc w:val="left"/>
            </w:pPr>
            <w:r>
              <w:t xml:space="preserve">Born 2023, PMID 36515093</w:t>
            </w:r>
          </w:p>
        </w:tc>
        <w:tc>
          <w:tcPr/>
          <w:p>
            <w:pPr>
              <w:pStyle w:val="Compact"/>
              <w:jc w:val="left"/>
            </w:pPr>
            <w:r>
              <w:t xml:space="preserve">modellen van pulmonale hypertensie bij muizen en ratten</w:t>
            </w:r>
          </w:p>
        </w:tc>
        <w:tc>
          <w:tcPr/>
          <w:p>
            <w:pPr>
              <w:pStyle w:val="Compact"/>
              <w:jc w:val="left"/>
            </w:pPr>
            <w:r>
              <w:t xml:space="preserve">verwijdering van senescente cellen, ook met FOXO4-DRI,</w:t>
            </w:r>
            <w:r>
              <w:t xml:space="preserve"> </w:t>
            </w:r>
            <w:r>
              <w:rPr>
                <w:bCs/>
                <w:b/>
              </w:rPr>
              <w:t xml:space="preserve">verslechterde</w:t>
            </w:r>
            <w:r>
              <w:t xml:space="preserve"> </w:t>
            </w:r>
            <w:r>
              <w:t xml:space="preserve">de longcirculatie</w:t>
            </w:r>
          </w:p>
        </w:tc>
      </w:tr>
    </w:tbl>
    <w:p>
      <w:pPr>
        <w:pStyle w:val="BodyText"/>
      </w:pPr>
      <w:r>
        <w:t xml:space="preserve">De eerste beschrijving trok veel aandacht: bij snel verouderende muizen en bij natuurlijk verouderde dieren verbeterden lichamelijke fitheid, vachtbeeld en nierfunctie (Baar 2017, PMID 28340339). Latere publicaties van andere groepen, overwegend uit China, beschreven effecten op testikels, longen en huid.</w:t>
      </w:r>
    </w:p>
    <w:p>
      <w:pPr>
        <w:pStyle w:val="BodyText"/>
      </w:pPr>
      <w:r>
        <w:t xml:space="preserve">Een belangrijke tegenbevinding komt uit het cardiovasculaire onderzoek: in modellen van pulmonale hypertensie verslechterde het opruimen van senescente cellen – zowel genetisch als met de senolytica ABT263 of FOXO4-DRI – de druk in de longcirculatie en leidde het tot verlies van endotheelcellen van de longvaten. De auteurs concluderen dat senolytica de longvaten zouden kunnen schaden (Born 2023, PMID 36515093). Dat laat zien: senescente cellen zijn niet alleen „oude ballast”, maar kunnen in sommige weefsels ook stabiliserende taken hebben.</w:t>
      </w:r>
    </w:p>
    <w:bookmarkEnd w:id="720"/>
    <w:bookmarkStart w:id="721" w:name="risicos-en-bijwerkingen-44"/>
    <w:p>
      <w:pPr>
        <w:pStyle w:val="Heading3"/>
      </w:pPr>
      <w:r>
        <w:t xml:space="preserve">Risico’s en bijwerkingen</w:t>
      </w:r>
    </w:p>
    <w:p>
      <w:pPr>
        <w:pStyle w:val="FirstParagraph"/>
      </w:pPr>
      <w:r>
        <w:rPr>
          <w:bCs/>
          <w:b/>
        </w:rPr>
        <w:t xml:space="preserve">Aangetoond:</w:t>
      </w:r>
      <w:r>
        <w:t xml:space="preserve"> </w:t>
      </w:r>
      <w:r>
        <w:t xml:space="preserve">geen gegevens bij mensen.</w:t>
      </w:r>
    </w:p>
    <w:p>
      <w:pPr>
        <w:pStyle w:val="BodyText"/>
      </w:pPr>
      <w:r>
        <w:rPr>
          <w:bCs/>
          <w:b/>
        </w:rPr>
        <w:t xml:space="preserve">Theoretisch – en deels ondersteund door dierdata:</w:t>
      </w:r>
    </w:p>
    <w:p>
      <w:pPr>
        <w:numPr>
          <w:ilvl w:val="0"/>
          <w:numId w:val="1242"/>
        </w:numPr>
        <w:pStyle w:val="Compact"/>
      </w:pPr>
      <w:r>
        <w:rPr>
          <w:bCs/>
          <w:b/>
        </w:rPr>
        <w:t xml:space="preserve">Bloedvaten en longen:</w:t>
      </w:r>
      <w:r>
        <w:t xml:space="preserve"> </w:t>
      </w:r>
      <w:r>
        <w:t xml:space="preserve">in het diermodel verslechterde FOXO4-DRI een bestaande pulmonale hypertensie (Born 2023, PMID 36515093).</w:t>
      </w:r>
    </w:p>
    <w:p>
      <w:pPr>
        <w:numPr>
          <w:ilvl w:val="0"/>
          <w:numId w:val="1242"/>
        </w:numPr>
        <w:pStyle w:val="Compact"/>
      </w:pPr>
      <w:r>
        <w:rPr>
          <w:bCs/>
          <w:b/>
        </w:rPr>
        <w:t xml:space="preserve">p53 en kanker:</w:t>
      </w:r>
      <w:r>
        <w:t xml:space="preserve"> </w:t>
      </w:r>
      <w:r>
        <w:t xml:space="preserve">p53 is een van de belangrijkste tumoronderdrukkers van het lichaam. FOXO4-DRI verandert gericht waar p53 zich in de cel bevindt. Welke gevolgen dat op lange termijn heeft voor de afweer tegen kanker, is niet onderzocht. De ontwikkelaars zien het principe omgekeerd ook als benadering voor kankertherapie (Bourgeois 2025, PMID 40593617).</w:t>
      </w:r>
    </w:p>
    <w:p>
      <w:pPr>
        <w:numPr>
          <w:ilvl w:val="0"/>
          <w:numId w:val="1242"/>
        </w:numPr>
        <w:pStyle w:val="Compact"/>
      </w:pPr>
      <w:r>
        <w:rPr>
          <w:bCs/>
          <w:b/>
        </w:rPr>
        <w:t xml:space="preserve">Wondgenezing en weefselherstel:</w:t>
      </w:r>
      <w:r>
        <w:t xml:space="preserve"> </w:t>
      </w:r>
      <w:r>
        <w:t xml:space="preserve">senescente cellen dragen ook bij aan wondgenezing en weefselombouw; het opruimen ervan kan deze processen verstoren.</w:t>
      </w:r>
    </w:p>
    <w:p>
      <w:pPr>
        <w:numPr>
          <w:ilvl w:val="0"/>
          <w:numId w:val="1242"/>
        </w:numPr>
        <w:pStyle w:val="Compact"/>
      </w:pPr>
      <w:r>
        <w:rPr>
          <w:bCs/>
          <w:b/>
        </w:rPr>
        <w:t xml:space="preserve">Immuunreacties:</w:t>
      </w:r>
      <w:r>
        <w:t xml:space="preserve"> </w:t>
      </w:r>
      <w:r>
        <w:t xml:space="preserve">het peptide bevat een gedeelte van een viruseiwit en is relatief groot; immuunreacties bij herhaalde toediening zijn denkbaar, maar niet onderzocht.</w:t>
      </w:r>
    </w:p>
    <w:p>
      <w:pPr>
        <w:pStyle w:val="FirstParagraph"/>
      </w:pPr>
      <w:r>
        <w:rPr>
          <w:bCs/>
          <w:b/>
        </w:rPr>
        <w:t xml:space="preserve">Grijze markt:</w:t>
      </w:r>
      <w:r>
        <w:t xml:space="preserve"> </w:t>
      </w:r>
      <w:r>
        <w:t xml:space="preserve">FOXO4-DRI wordt online aangeboden als „senolyticum” voor injectie, vaak tegen hoge prijzen. De productie van een lang peptide uit D-aminozuren is veeleisend; of verkochte producten werkelijk de juiste sequentie en zuiverheid hebben, is ongecontroleerd.</w:t>
      </w:r>
    </w:p>
    <w:bookmarkEnd w:id="721"/>
    <w:bookmarkStart w:id="722" w:name="juridische-status-44"/>
    <w:p>
      <w:pPr>
        <w:pStyle w:val="Heading3"/>
      </w:pPr>
      <w:r>
        <w:t xml:space="preserve">Juridische status</w:t>
      </w:r>
    </w:p>
    <w:p>
      <w:pPr>
        <w:numPr>
          <w:ilvl w:val="0"/>
          <w:numId w:val="1243"/>
        </w:numPr>
        <w:pStyle w:val="Compact"/>
      </w:pPr>
      <w:r>
        <w:rPr>
          <w:bCs/>
          <w:b/>
        </w:rPr>
        <w:t xml:space="preserve">EU / Oostenrijk / Duitsland:</w:t>
      </w:r>
      <w:r>
        <w:t xml:space="preserve"> </w:t>
      </w:r>
      <w:r>
        <w:t xml:space="preserve">niet toegelaten; als stof met farmacologische werking geldt FOXO4-DRI als geneesmiddel, verkoop voor gebruik bij mensen is niet toegestaan (stand 2026, actuele situatie controleren).</w:t>
      </w:r>
    </w:p>
    <w:p>
      <w:pPr>
        <w:numPr>
          <w:ilvl w:val="0"/>
          <w:numId w:val="1243"/>
        </w:numPr>
        <w:pStyle w:val="Compact"/>
      </w:pPr>
      <w:r>
        <w:rPr>
          <w:bCs/>
          <w:b/>
        </w:rPr>
        <w:t xml:space="preserve">VS:</w:t>
      </w:r>
      <w:r>
        <w:t xml:space="preserve"> </w:t>
      </w:r>
      <w:r>
        <w:t xml:space="preserve">niet toegelaten.</w:t>
      </w:r>
    </w:p>
    <w:p>
      <w:pPr>
        <w:numPr>
          <w:ilvl w:val="0"/>
          <w:numId w:val="1243"/>
        </w:numPr>
        <w:pStyle w:val="Compact"/>
      </w:pPr>
      <w:r>
        <w:rPr>
          <w:bCs/>
          <w:b/>
        </w:rPr>
        <w:t xml:space="preserve">Sport:</w:t>
      </w:r>
      <w:r>
        <w:t xml:space="preserve"> </w:t>
      </w:r>
      <w:r>
        <w:t xml:space="preserve">naar onze inschatting WADA-categorie S0 (stand 2026, actuele situatie controleren).</w:t>
      </w:r>
    </w:p>
    <w:bookmarkEnd w:id="722"/>
    <w:bookmarkStart w:id="723" w:name="lopende-studies-en-vooruitzichten-44"/>
    <w:p>
      <w:pPr>
        <w:pStyle w:val="Heading3"/>
      </w:pPr>
      <w:r>
        <w:t xml:space="preserve">Lopende studies en vooruitzichten</w:t>
      </w:r>
    </w:p>
    <w:p>
      <w:pPr>
        <w:pStyle w:val="FirstParagraph"/>
      </w:pPr>
      <w:r>
        <w:rPr>
          <w:bCs/>
          <w:b/>
        </w:rPr>
        <w:t xml:space="preserve">Vast staat:</w:t>
      </w:r>
      <w:r>
        <w:t xml:space="preserve"> </w:t>
      </w:r>
      <w:r>
        <w:t xml:space="preserve">geen geregistreerde klinische studie met FOXO4-DRI (zoekopdracht oktober 2026). De ontwikkelaarsgroep werkt aan verdere ontwikkelingen van het principe; klinische studies met senolytica lopen vooral met andere werkzame stoffen.</w:t>
      </w:r>
    </w:p>
    <w:p>
      <w:pPr>
        <w:pStyle w:val="BodyText"/>
      </w:pPr>
      <w:r>
        <w:rPr>
          <w:bCs/>
          <w:b/>
        </w:rPr>
        <w:t xml:space="preserve">Inschatting:</w:t>
      </w:r>
      <w:r>
        <w:t xml:space="preserve"> </w:t>
      </w:r>
      <w:r>
        <w:t xml:space="preserve">het onderzoek naar senolytica is een van de boeiendste gebieden van het verouderingsonderzoek, maar de eerste gecontroleerde studies bij mensen waren ontnuchterend. Voor FOXO4-DRI zouden eerst systematische toxiciteitsstudies en een eerste voorzichtige studie bij mensen nodig zijn – bij voorkeur bij een duidelijk omschreven aandoening, niet als algemene „anti-aging”.</w:t>
      </w:r>
    </w:p>
    <w:bookmarkEnd w:id="723"/>
    <w:bookmarkStart w:id="724" w:name="conclusie-44"/>
    <w:p>
      <w:pPr>
        <w:pStyle w:val="Heading3"/>
      </w:pPr>
      <w:r>
        <w:t xml:space="preserve">Conclusie</w:t>
      </w:r>
    </w:p>
    <w:p>
      <w:pPr>
        <w:pStyle w:val="FirstParagraph"/>
      </w:pPr>
      <w:r>
        <w:t xml:space="preserve">FOXO4-DRI is een kunstmatig peptide dat in celkweken en bij muizen gericht senescente cellen opruimde en bij verouderde dieren fitheid, vacht en nierfunctie verbeterde. Bij mensen is het nooit onderzocht. In diermodellen van pulmonale hypertensie verslechterde het opruimen van senescente cellen met FOXO4-DRI het ziekteverloop, en de ingreep in het kankerbeschermende eiwit p53 roept open vragen op. De gegevens volstaan niet om nut of veiligheid bij mensen te beoordelen.</w:t>
      </w:r>
    </w:p>
    <w:bookmarkEnd w:id="724"/>
    <w:bookmarkEnd w:id="725"/>
    <w:bookmarkStart w:id="737" w:name="glutathion"/>
    <w:p>
      <w:pPr>
        <w:pStyle w:val="Heading2"/>
      </w:pPr>
      <w:r>
        <w:t xml:space="preserve">Glutathion</w:t>
      </w:r>
    </w:p>
    <w:bookmarkStart w:id="726" w:name="profiel-45"/>
    <w:p>
      <w:pPr>
        <w:pStyle w:val="Heading3"/>
      </w:pPr>
      <w:r>
        <w:t xml:space="preserve">Profiel</w:t>
      </w:r>
    </w:p>
    <w:p>
      <w:pPr>
        <w:numPr>
          <w:ilvl w:val="0"/>
          <w:numId w:val="1244"/>
        </w:numPr>
        <w:pStyle w:val="Compact"/>
      </w:pPr>
      <w:r>
        <w:rPr>
          <w:bCs/>
          <w:b/>
        </w:rPr>
        <w:t xml:space="preserve">Soort en structuur:</w:t>
      </w:r>
      <w:r>
        <w:t xml:space="preserve"> </w:t>
      </w:r>
      <w:r>
        <w:t xml:space="preserve">tripeptide van drie aminozuren – glutaminezuur, cysteïne en glycine (γ-glutamyl-cysteïnyl-glycine, afgekort GSH). De gereduceerde vorm (GSH) is de actieve; bij de afweer tegen oxidatie worden twee moleculen verbonden tot geoxideerd glutathion (GSSG).</w:t>
      </w:r>
    </w:p>
    <w:p>
      <w:pPr>
        <w:numPr>
          <w:ilvl w:val="0"/>
          <w:numId w:val="1244"/>
        </w:numPr>
        <w:pStyle w:val="Compact"/>
      </w:pPr>
      <w:r>
        <w:rPr>
          <w:bCs/>
          <w:b/>
        </w:rPr>
        <w:t xml:space="preserve">Herkomst:</w:t>
      </w:r>
      <w:r>
        <w:t xml:space="preserve"> </w:t>
      </w:r>
      <w:r>
        <w:t xml:space="preserve">wordt door vrijwel alle lichaamscellen zelf aangemaakt, bijzonder veel in de lever. Als preparaat wordt het meestal geproduceerd door fermentatie met gisten.</w:t>
      </w:r>
    </w:p>
    <w:p>
      <w:pPr>
        <w:numPr>
          <w:ilvl w:val="0"/>
          <w:numId w:val="1244"/>
        </w:numPr>
        <w:pStyle w:val="Compact"/>
      </w:pPr>
      <w:r>
        <w:rPr>
          <w:bCs/>
          <w:b/>
        </w:rPr>
        <w:t xml:space="preserve">Werkingsprincipe:</w:t>
      </w:r>
      <w:r>
        <w:t xml:space="preserve"> </w:t>
      </w:r>
      <w:r>
        <w:t xml:space="preserve">belangrijkste lichaamseigen beschermende stof tegen oxidatie in cellen; betrokken bij de ontgifting van geneesmiddelen en schadelijke stoffen (bijvoorbeeld bij de afbraak van paracetamol) en bij de regulering van immuuncellen. In de huid verschuift het de pigmentvorming van het donkere naar het lichtere melanine.</w:t>
      </w:r>
    </w:p>
    <w:p>
      <w:pPr>
        <w:numPr>
          <w:ilvl w:val="0"/>
          <w:numId w:val="1244"/>
        </w:numPr>
        <w:pStyle w:val="Compact"/>
      </w:pPr>
      <w:r>
        <w:rPr>
          <w:bCs/>
          <w:b/>
        </w:rPr>
        <w:t xml:space="preserve">Registratie EU:</w:t>
      </w:r>
      <w:r>
        <w:t xml:space="preserve"> </w:t>
      </w:r>
      <w:r>
        <w:t xml:space="preserve">als voedingssupplement breed in de handel; als geneesmiddel voor injectie alleen in afzonderlijke landen voor nauw omschreven toepassingen, niet voor huidbleking (stand 2026, actuele situatie controleren).</w:t>
      </w:r>
    </w:p>
    <w:p>
      <w:pPr>
        <w:numPr>
          <w:ilvl w:val="0"/>
          <w:numId w:val="1244"/>
        </w:numPr>
        <w:pStyle w:val="Compact"/>
      </w:pPr>
      <w:r>
        <w:rPr>
          <w:bCs/>
          <w:b/>
        </w:rPr>
        <w:t xml:space="preserve">Registratie VS:</w:t>
      </w:r>
      <w:r>
        <w:t xml:space="preserve"> </w:t>
      </w:r>
      <w:r>
        <w:t xml:space="preserve">geen door de FDA toegelaten glutathiongeneesmiddel; verkrijgbaar als voedingssupplement en als apotheekbereiding.</w:t>
      </w:r>
    </w:p>
    <w:p>
      <w:pPr>
        <w:numPr>
          <w:ilvl w:val="0"/>
          <w:numId w:val="1244"/>
        </w:numPr>
        <w:pStyle w:val="Compact"/>
      </w:pPr>
      <w:r>
        <w:rPr>
          <w:bCs/>
          <w:b/>
        </w:rPr>
        <w:t xml:space="preserve">WADA:</w:t>
      </w:r>
      <w:r>
        <w:t xml:space="preserve"> </w:t>
      </w:r>
      <w:r>
        <w:t xml:space="preserve">glutathion zelf is niet verboden. Infusen of injecties van meer dan 100 ml binnen twaalf uur vallen echter onder de verboden methoden (M2), behalve in het kader van een ziekenhuisbehandeling of onderzoek (stand 2026, actuele situatie controleren).</w:t>
      </w:r>
    </w:p>
    <w:p>
      <w:pPr>
        <w:numPr>
          <w:ilvl w:val="0"/>
          <w:numId w:val="1244"/>
        </w:numPr>
        <w:pStyle w:val="Compact"/>
      </w:pPr>
      <w:r>
        <w:rPr>
          <w:bCs/>
          <w:b/>
        </w:rPr>
        <w:t xml:space="preserve">Bewijsniveau:</w:t>
      </w:r>
      <w:r>
        <w:t xml:space="preserve"> </w:t>
      </w:r>
      <w:r>
        <w:rPr>
          <w:bCs/>
          <w:b/>
        </w:rPr>
        <w:t xml:space="preserve">B</w:t>
      </w:r>
      <w:r>
        <w:t xml:space="preserve"> </w:t>
      </w:r>
      <w:r>
        <w:t xml:space="preserve">– talrijke gerandomiseerde, overwegend kleine studies met wisselende resultaten; geen toelating op basis van grote eindpuntstudies.</w:t>
      </w:r>
    </w:p>
    <w:bookmarkEnd w:id="726"/>
    <w:bookmarkStart w:id="727" w:name="hoe-het-zou-moeten-werken-45"/>
    <w:p>
      <w:pPr>
        <w:pStyle w:val="Heading3"/>
      </w:pPr>
      <w:r>
        <w:t xml:space="preserve">Hoe het zou moeten werken</w:t>
      </w:r>
    </w:p>
    <w:p>
      <w:pPr>
        <w:pStyle w:val="FirstParagraph"/>
      </w:pPr>
      <w:r>
        <w:t xml:space="preserve">Glutathion is een heel gewoon bestanddeel van elke cel. Het vangt reactieve zuurstofverbindingen weg, helpt enzymen bij de ontgifting en houdt andere beschermende stoffen zoals vitamine C en E in hun actieve vorm. Bij veel aandoeningen – zoals diabetes, leverziekten, hiv, parkinson – en met het ouder worden zijn de glutathionspiegels in bloed of weefsel lager. Daaruit ontstond het voor de hand liggende idee glutathion van buitenaf toe te dienen.</w:t>
      </w:r>
    </w:p>
    <w:p>
      <w:pPr>
        <w:pStyle w:val="BodyText"/>
      </w:pPr>
      <w:r>
        <w:t xml:space="preserve">Dat is om drie redenen moeilijker dan het klinkt:</w:t>
      </w:r>
    </w:p>
    <w:p>
      <w:pPr>
        <w:numPr>
          <w:ilvl w:val="0"/>
          <w:numId w:val="1245"/>
        </w:numPr>
        <w:pStyle w:val="Compact"/>
      </w:pPr>
      <w:r>
        <w:rPr>
          <w:bCs/>
          <w:b/>
        </w:rPr>
        <w:t xml:space="preserve">Vertering:</w:t>
      </w:r>
      <w:r>
        <w:t xml:space="preserve"> </w:t>
      </w:r>
      <w:r>
        <w:t xml:space="preserve">Als peptide wordt glutathion in de darm gedeeltelijk afgebroken; lang gold het daarom als nauwelijks werkzaam bij inslikken.</w:t>
      </w:r>
    </w:p>
    <w:p>
      <w:pPr>
        <w:numPr>
          <w:ilvl w:val="0"/>
          <w:numId w:val="1245"/>
        </w:numPr>
        <w:pStyle w:val="Compact"/>
      </w:pPr>
      <w:r>
        <w:rPr>
          <w:bCs/>
          <w:b/>
        </w:rPr>
        <w:t xml:space="preserve">Opname in cellen:</w:t>
      </w:r>
      <w:r>
        <w:t xml:space="preserve"> </w:t>
      </w:r>
      <w:r>
        <w:t xml:space="preserve">Glutathion wordt overwegend</w:t>
      </w:r>
      <w:r>
        <w:t xml:space="preserve"> </w:t>
      </w:r>
      <w:r>
        <w:rPr>
          <w:iCs/>
          <w:i/>
        </w:rPr>
        <w:t xml:space="preserve">in</w:t>
      </w:r>
      <w:r>
        <w:t xml:space="preserve"> </w:t>
      </w:r>
      <w:r>
        <w:t xml:space="preserve">de cellen aangemaakt; vanuit het bloed komt het er slechts beperkt in.</w:t>
      </w:r>
    </w:p>
    <w:p>
      <w:pPr>
        <w:numPr>
          <w:ilvl w:val="0"/>
          <w:numId w:val="1245"/>
        </w:numPr>
        <w:pStyle w:val="Compact"/>
      </w:pPr>
      <w:r>
        <w:rPr>
          <w:bCs/>
          <w:b/>
        </w:rPr>
        <w:t xml:space="preserve">Korte verblijfsduur:</w:t>
      </w:r>
      <w:r>
        <w:t xml:space="preserve"> </w:t>
      </w:r>
      <w:r>
        <w:t xml:space="preserve">Via een infuus toegediend glutathion wordt in het bloed snel afgebroken.</w:t>
      </w:r>
    </w:p>
    <w:p>
      <w:pPr>
        <w:pStyle w:val="FirstParagraph"/>
      </w:pPr>
      <w:r>
        <w:t xml:space="preserve">Daarom worden verschillende toedieningsvormen aangeboden: capsules en tabletten,</w:t>
      </w:r>
      <w:r>
        <w:t xml:space="preserve"> </w:t>
      </w:r>
      <w:r>
        <w:rPr>
          <w:bCs/>
          <w:b/>
        </w:rPr>
        <w:t xml:space="preserve">liposomaal</w:t>
      </w:r>
      <w:r>
        <w:t xml:space="preserve"> </w:t>
      </w:r>
      <w:r>
        <w:t xml:space="preserve">glutathion (verpakt in vetblaasjes), zuigtabletten en films voor het mondslijmvlies, neusspray, crèmes – en</w:t>
      </w:r>
      <w:r>
        <w:t xml:space="preserve"> </w:t>
      </w:r>
      <w:r>
        <w:rPr>
          <w:bCs/>
          <w:b/>
        </w:rPr>
        <w:t xml:space="preserve">infusen</w:t>
      </w:r>
      <w:r>
        <w:t xml:space="preserve"> </w:t>
      </w:r>
      <w:r>
        <w:t xml:space="preserve">in een ader. Daarnaast zijn er voorlopers zoals N-acetylcysteïne (NAC) of glycine plus NAC, die het lichaam voor de eigen aanmaak gebruikt; die zijn geen onderwerp van dit hoofdstuk.</w:t>
      </w:r>
    </w:p>
    <w:p>
      <w:pPr>
        <w:pStyle w:val="BodyText"/>
      </w:pPr>
      <w:r>
        <w:t xml:space="preserve">Voor huidbleking wordt een ander mechanisme aangenomen: glutathion remt in laboratoriumexperimenten het enzym tyrosinase en stuurt de pigmentvorming van donker eumelanine naar lichter feomelanine.</w:t>
      </w:r>
    </w:p>
    <w:bookmarkEnd w:id="727"/>
    <w:bookmarkStart w:id="731" w:name="studies-bij-mensen-45"/>
    <w:p>
      <w:pPr>
        <w:pStyle w:val="Heading3"/>
      </w:pPr>
      <w:r>
        <w:t xml:space="preserve">Studies bij mensen</w:t>
      </w:r>
    </w:p>
    <w:p>
      <w:pPr>
        <w:pStyle w:val="FirstParagraph"/>
      </w:pPr>
      <w:r>
        <w:rPr>
          <w:bCs/>
          <w:b/>
        </w:rPr>
        <w:t xml:space="preserve">Omvang van het onderzoek:</w:t>
      </w:r>
      <w:r>
        <w:t xml:space="preserve"> </w:t>
      </w:r>
      <w:r>
        <w:t xml:space="preserve">De geautomatiseerde PubMed-zoekopdracht (oktober 2026) leverde 161 als studie bij mensen geclassificeerde publicaties op, plus 15 overzichten en meta-analyses. Op ClinicalTrials.gov waren 273 studies geregistreerd. Beide getallen overschatten de directe gegevens aanzienlijk: veel treffers meten alleen glutathion als laboratoriumwaarde (bijvoorbeeld onder seleen, vitamines, sport of NAC) of betreffen het enzym glutathion-S-transferase. Studies waarin glutathion zelf werd gegeven, zijn een minderheid – maar toch enkele tientallen.</w:t>
      </w:r>
    </w:p>
    <w:bookmarkStart w:id="728" w:name="komt-ingeslikt-glutathion-überhaupt-aan"/>
    <w:p>
      <w:pPr>
        <w:pStyle w:val="Heading4"/>
      </w:pPr>
      <w:r>
        <w:t xml:space="preserve">Komt ingeslikt glutathion überhaupt aan?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Deelnemers en opzet</w:t>
            </w:r>
          </w:p>
        </w:tc>
        <w:tc>
          <w:tcPr/>
          <w:p>
            <w:pPr>
              <w:pStyle w:val="Compact"/>
              <w:jc w:val="left"/>
            </w:pPr>
            <w:r>
              <w:t xml:space="preserve">Duur</w:t>
            </w:r>
          </w:p>
        </w:tc>
        <w:tc>
          <w:tcPr/>
          <w:p>
            <w:pPr>
              <w:pStyle w:val="Compact"/>
              <w:jc w:val="left"/>
            </w:pPr>
            <w:r>
              <w:t xml:space="preserve">Resultaat</w:t>
            </w:r>
          </w:p>
        </w:tc>
      </w:tr>
      <w:tr>
        <w:tc>
          <w:tcPr/>
          <w:p>
            <w:pPr>
              <w:pStyle w:val="Compact"/>
              <w:jc w:val="left"/>
            </w:pPr>
            <w:r>
              <w:t xml:space="preserve">Allen 2011, PMID 21875351</w:t>
            </w:r>
          </w:p>
        </w:tc>
        <w:tc>
          <w:tcPr/>
          <w:p>
            <w:pPr>
              <w:pStyle w:val="Compact"/>
              <w:jc w:val="left"/>
            </w:pPr>
            <w:r>
              <w:t xml:space="preserve">40 gezonden, capsules tegen placebo, dubbelblind</w:t>
            </w:r>
          </w:p>
        </w:tc>
        <w:tc>
          <w:tcPr/>
          <w:p>
            <w:pPr>
              <w:pStyle w:val="Compact"/>
              <w:jc w:val="left"/>
            </w:pPr>
            <w:r>
              <w:t xml:space="preserve">4 weken</w:t>
            </w:r>
          </w:p>
        </w:tc>
        <w:tc>
          <w:tcPr/>
          <w:p>
            <w:pPr>
              <w:pStyle w:val="Compact"/>
              <w:jc w:val="left"/>
            </w:pPr>
            <w:r>
              <w:t xml:space="preserve">geen verandering van glutathionspiegels of oxidatiemarkers</w:t>
            </w:r>
          </w:p>
        </w:tc>
      </w:tr>
      <w:tr>
        <w:tc>
          <w:tcPr/>
          <w:p>
            <w:pPr>
              <w:pStyle w:val="Compact"/>
              <w:jc w:val="left"/>
            </w:pPr>
            <w:r>
              <w:t xml:space="preserve">Richie 2015, PMID 24791752</w:t>
            </w:r>
          </w:p>
        </w:tc>
        <w:tc>
          <w:tcPr/>
          <w:p>
            <w:pPr>
              <w:pStyle w:val="Compact"/>
              <w:jc w:val="left"/>
            </w:pPr>
            <w:r>
              <w:t xml:space="preserve">54 gezonden, twee doses tegen placebo, dubbelblind</w:t>
            </w:r>
          </w:p>
        </w:tc>
        <w:tc>
          <w:tcPr/>
          <w:p>
            <w:pPr>
              <w:pStyle w:val="Compact"/>
              <w:jc w:val="left"/>
            </w:pPr>
            <w:r>
              <w:t xml:space="preserve">6 maanden</w:t>
            </w:r>
          </w:p>
        </w:tc>
        <w:tc>
          <w:tcPr/>
          <w:p>
            <w:pPr>
              <w:pStyle w:val="Compact"/>
              <w:jc w:val="left"/>
            </w:pPr>
            <w:r>
              <w:t xml:space="preserve">spiegels in bloedcellen en plasma 30–35% hoger (hoge dosis); na stoppen terug</w:t>
            </w:r>
          </w:p>
        </w:tc>
      </w:tr>
      <w:tr>
        <w:tc>
          <w:tcPr/>
          <w:p>
            <w:pPr>
              <w:pStyle w:val="Compact"/>
              <w:jc w:val="left"/>
            </w:pPr>
            <w:r>
              <w:t xml:space="preserve">Sinha 2018, PMID 28853742</w:t>
            </w:r>
          </w:p>
        </w:tc>
        <w:tc>
          <w:tcPr/>
          <w:p>
            <w:pPr>
              <w:pStyle w:val="Compact"/>
              <w:jc w:val="left"/>
            </w:pPr>
            <w:r>
              <w:t xml:space="preserve">12 gezonden, liposomaal glutathion, zonder placebo</w:t>
            </w:r>
          </w:p>
        </w:tc>
        <w:tc>
          <w:tcPr/>
          <w:p>
            <w:pPr>
              <w:pStyle w:val="Compact"/>
              <w:jc w:val="left"/>
            </w:pPr>
            <w:r>
              <w:t xml:space="preserve">4 weken</w:t>
            </w:r>
          </w:p>
        </w:tc>
        <w:tc>
          <w:tcPr/>
          <w:p>
            <w:pPr>
              <w:pStyle w:val="Compact"/>
              <w:jc w:val="left"/>
            </w:pPr>
            <w:r>
              <w:t xml:space="preserve">spiegels in volbloed tot 40% hoger, in immuuncellen tot 100%</w:t>
            </w:r>
          </w:p>
        </w:tc>
      </w:tr>
      <w:tr>
        <w:tc>
          <w:tcPr/>
          <w:p>
            <w:pPr>
              <w:pStyle w:val="Compact"/>
              <w:jc w:val="left"/>
            </w:pPr>
            <w:r>
              <w:t xml:space="preserve">Schmitt 2015, PMID 26262996</w:t>
            </w:r>
          </w:p>
        </w:tc>
        <w:tc>
          <w:tcPr/>
          <w:p>
            <w:pPr>
              <w:pStyle w:val="Compact"/>
              <w:jc w:val="left"/>
            </w:pPr>
            <w:r>
              <w:t xml:space="preserve">20 personen met metabool syndroom, cross-over: capsule, sublinguale vorm, NAC</w:t>
            </w:r>
          </w:p>
        </w:tc>
        <w:tc>
          <w:tcPr/>
          <w:p>
            <w:pPr>
              <w:pStyle w:val="Compact"/>
              <w:jc w:val="left"/>
            </w:pPr>
            <w:r>
              <w:t xml:space="preserve">telkens 3 weken</w:t>
            </w:r>
          </w:p>
        </w:tc>
        <w:tc>
          <w:tcPr/>
          <w:p>
            <w:pPr>
              <w:pStyle w:val="Compact"/>
              <w:jc w:val="left"/>
            </w:pPr>
            <w:r>
              <w:t xml:space="preserve">sublinguale vorm verhoogde plasmaspiegels sterker dan capsules</w:t>
            </w:r>
          </w:p>
        </w:tc>
      </w:tr>
      <w:tr>
        <w:tc>
          <w:tcPr/>
          <w:p>
            <w:pPr>
              <w:pStyle w:val="Compact"/>
              <w:jc w:val="left"/>
            </w:pPr>
            <w:r>
              <w:t xml:space="preserve">Jung 2026, PMID 42392376</w:t>
            </w:r>
          </w:p>
        </w:tc>
        <w:tc>
          <w:tcPr/>
          <w:p>
            <w:pPr>
              <w:pStyle w:val="Compact"/>
              <w:jc w:val="left"/>
            </w:pPr>
            <w:r>
              <w:t xml:space="preserve">gezonden, film om in de mond op te lossen tegen tablet</w:t>
            </w:r>
          </w:p>
        </w:tc>
        <w:tc>
          <w:tcPr/>
          <w:p>
            <w:pPr>
              <w:pStyle w:val="Compact"/>
              <w:jc w:val="left"/>
            </w:pPr>
            <w:r>
              <w:t xml:space="preserve">enkele dosis en 4 weken</w:t>
            </w:r>
          </w:p>
        </w:tc>
        <w:tc>
          <w:tcPr/>
          <w:p>
            <w:pPr>
              <w:pStyle w:val="Compact"/>
              <w:jc w:val="left"/>
            </w:pPr>
            <w:r>
              <w:t xml:space="preserve">beide vormen verhoogden bloedspiegels; geen verandering van oxidatiemarkers</w:t>
            </w:r>
          </w:p>
        </w:tc>
      </w:tr>
    </w:tbl>
    <w:p>
      <w:pPr>
        <w:pStyle w:val="BodyText"/>
      </w:pPr>
      <w:r>
        <w:t xml:space="preserve">De vraag was lang omstreden. Een korte studie met 40 gezonde mensen vond na vier weken geen enkele verandering (Allen 2011, PMID 21875351). Een langere, eveneens dubbelblinde studie met 54 gezonde mensen vond daarentegen na zes maanden dosisafhankelijk hogere glutathionspiegels in bloed, bloedcellen en mondslijmvlies; een maand na het stoppen waren de waarden weer op het uitgangsniveau (Richie 2015, PMID 24791752). Een kleine pilotstudie zonder placebogroep meldde voor liposomaal glutathion al na een tot twee weken stijgingen (Sinha 2018, PMID 28853742).</w:t>
      </w:r>
    </w:p>
    <w:p>
      <w:pPr>
        <w:pStyle w:val="BodyText"/>
      </w:pPr>
      <w:r>
        <w:t xml:space="preserve">Samengevat: ingeslikt glutathion kan de spiegels in het bloed meetbaar verhogen, vermoedelijk afhankelijk van dosis, duur en toedieningsvorm. Of hogere spiegels in het bloed ook tot gezondheidsvoordeel leiden, is een andere vraag.</w:t>
      </w:r>
    </w:p>
    <w:bookmarkEnd w:id="728"/>
    <w:bookmarkStart w:id="729" w:name="ziektegerelateerde-studies"/>
    <w:p>
      <w:pPr>
        <w:pStyle w:val="Heading4"/>
      </w:pPr>
      <w:r>
        <w:t xml:space="preserve">Ziektegerelateerde studies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Deelnemers en opzet</w:t>
            </w:r>
          </w:p>
        </w:tc>
        <w:tc>
          <w:tcPr/>
          <w:p>
            <w:pPr>
              <w:pStyle w:val="Compact"/>
              <w:jc w:val="left"/>
            </w:pPr>
            <w:r>
              <w:t xml:space="preserve">Duur</w:t>
            </w:r>
          </w:p>
        </w:tc>
        <w:tc>
          <w:tcPr/>
          <w:p>
            <w:pPr>
              <w:pStyle w:val="Compact"/>
              <w:jc w:val="left"/>
            </w:pPr>
            <w:r>
              <w:t xml:space="preserve">Resultaat</w:t>
            </w:r>
          </w:p>
        </w:tc>
      </w:tr>
      <w:tr>
        <w:tc>
          <w:tcPr/>
          <w:p>
            <w:pPr>
              <w:pStyle w:val="Compact"/>
              <w:jc w:val="left"/>
            </w:pPr>
            <w:r>
              <w:t xml:space="preserve">Leal 2014, PMID 24619793</w:t>
            </w:r>
          </w:p>
        </w:tc>
        <w:tc>
          <w:tcPr/>
          <w:p>
            <w:pPr>
              <w:pStyle w:val="Compact"/>
              <w:jc w:val="left"/>
            </w:pPr>
            <w:r>
              <w:t xml:space="preserve">185 kankerpatiënten onder paclitaxel/carboplatine, infuus tegen placebo, fase 3</w:t>
            </w:r>
          </w:p>
        </w:tc>
        <w:tc>
          <w:tcPr/>
          <w:p>
            <w:pPr>
              <w:pStyle w:val="Compact"/>
              <w:jc w:val="left"/>
            </w:pPr>
            <w:r>
              <w:t xml:space="preserve">duur van de chemotherapie</w:t>
            </w:r>
          </w:p>
        </w:tc>
        <w:tc>
          <w:tcPr/>
          <w:p>
            <w:pPr>
              <w:pStyle w:val="Compact"/>
              <w:jc w:val="left"/>
            </w:pPr>
            <w:r>
              <w:rPr>
                <w:bCs/>
                <w:b/>
              </w:rPr>
              <w:t xml:space="preserve">geen</w:t>
            </w:r>
            <w:r>
              <w:t xml:space="preserve"> </w:t>
            </w:r>
            <w:r>
              <w:t xml:space="preserve">vermindering van zenuwschade door chemotherapie</w:t>
            </w:r>
          </w:p>
        </w:tc>
      </w:tr>
      <w:tr>
        <w:tc>
          <w:tcPr/>
          <w:p>
            <w:pPr>
              <w:pStyle w:val="Compact"/>
              <w:jc w:val="left"/>
            </w:pPr>
            <w:r>
              <w:t xml:space="preserve">Hauser 2009, PMID 19230029</w:t>
            </w:r>
          </w:p>
        </w:tc>
        <w:tc>
          <w:tcPr/>
          <w:p>
            <w:pPr>
              <w:pStyle w:val="Compact"/>
              <w:jc w:val="left"/>
            </w:pPr>
            <w:r>
              <w:t xml:space="preserve">21 personen met parkinson, infuus tegen placebo</w:t>
            </w:r>
          </w:p>
        </w:tc>
        <w:tc>
          <w:tcPr/>
          <w:p>
            <w:pPr>
              <w:pStyle w:val="Compact"/>
              <w:jc w:val="left"/>
            </w:pPr>
            <w:r>
              <w:t xml:space="preserve">4 weken</w:t>
            </w:r>
          </w:p>
        </w:tc>
        <w:tc>
          <w:tcPr/>
          <w:p>
            <w:pPr>
              <w:pStyle w:val="Compact"/>
              <w:jc w:val="left"/>
            </w:pPr>
            <w:r>
              <w:t xml:space="preserve">geen significant verschil op de parkinsonschaal</w:t>
            </w:r>
          </w:p>
        </w:tc>
      </w:tr>
      <w:tr>
        <w:tc>
          <w:tcPr/>
          <w:p>
            <w:pPr>
              <w:pStyle w:val="Compact"/>
              <w:jc w:val="left"/>
            </w:pPr>
            <w:r>
              <w:t xml:space="preserve">Mischley 2017, PMID 28436395</w:t>
            </w:r>
          </w:p>
        </w:tc>
        <w:tc>
          <w:tcPr/>
          <w:p>
            <w:pPr>
              <w:pStyle w:val="Compact"/>
              <w:jc w:val="left"/>
            </w:pPr>
            <w:r>
              <w:t xml:space="preserve">45 personen met parkinson, neusspray in twee doses tegen placebo</w:t>
            </w:r>
          </w:p>
        </w:tc>
        <w:tc>
          <w:tcPr/>
          <w:p>
            <w:pPr>
              <w:pStyle w:val="Compact"/>
              <w:jc w:val="left"/>
            </w:pPr>
            <w:r>
              <w:t xml:space="preserve">3 maanden</w:t>
            </w:r>
          </w:p>
        </w:tc>
        <w:tc>
          <w:tcPr/>
          <w:p>
            <w:pPr>
              <w:pStyle w:val="Compact"/>
              <w:jc w:val="left"/>
            </w:pPr>
            <w:r>
              <w:t xml:space="preserve">alle groepen verbeterden, glutathion niet beter dan placebo</w:t>
            </w:r>
          </w:p>
        </w:tc>
      </w:tr>
      <w:tr>
        <w:tc>
          <w:tcPr/>
          <w:p>
            <w:pPr>
              <w:pStyle w:val="Compact"/>
              <w:jc w:val="left"/>
            </w:pPr>
            <w:r>
              <w:t xml:space="preserve">Bozic 2020, PMID 32960827</w:t>
            </w:r>
          </w:p>
        </w:tc>
        <w:tc>
          <w:tcPr/>
          <w:p>
            <w:pPr>
              <w:pStyle w:val="Compact"/>
              <w:jc w:val="left"/>
            </w:pPr>
            <w:r>
              <w:t xml:space="preserve">58 kinderen met cystische fibrose, capsules tegen placebo</w:t>
            </w:r>
          </w:p>
        </w:tc>
        <w:tc>
          <w:tcPr/>
          <w:p>
            <w:pPr>
              <w:pStyle w:val="Compact"/>
              <w:jc w:val="left"/>
            </w:pPr>
            <w:r>
              <w:t xml:space="preserve">24 weken</w:t>
            </w:r>
          </w:p>
        </w:tc>
        <w:tc>
          <w:tcPr/>
          <w:p>
            <w:pPr>
              <w:pStyle w:val="Compact"/>
              <w:jc w:val="left"/>
            </w:pPr>
            <w:r>
              <w:t xml:space="preserve">geen effect op groei en ontstekingsmarkers</w:t>
            </w:r>
          </w:p>
        </w:tc>
      </w:tr>
      <w:tr>
        <w:tc>
          <w:tcPr/>
          <w:p>
            <w:pPr>
              <w:pStyle w:val="Compact"/>
              <w:jc w:val="left"/>
            </w:pPr>
            <w:r>
              <w:t xml:space="preserve">Søndergård 2021, PMID 33740389</w:t>
            </w:r>
          </w:p>
        </w:tc>
        <w:tc>
          <w:tcPr/>
          <w:p>
            <w:pPr>
              <w:pStyle w:val="Compact"/>
              <w:jc w:val="left"/>
            </w:pPr>
            <w:r>
              <w:t xml:space="preserve">20 mannen met overgewicht met en zonder diabetes type 2, tegen placebo</w:t>
            </w:r>
          </w:p>
        </w:tc>
        <w:tc>
          <w:tcPr/>
          <w:p>
            <w:pPr>
              <w:pStyle w:val="Compact"/>
              <w:jc w:val="left"/>
            </w:pPr>
            <w:r>
              <w:t xml:space="preserve">3 weken</w:t>
            </w:r>
          </w:p>
        </w:tc>
        <w:tc>
          <w:tcPr/>
          <w:p>
            <w:pPr>
              <w:pStyle w:val="Compact"/>
              <w:jc w:val="left"/>
            </w:pPr>
            <w:r>
              <w:t xml:space="preserve">insulinegevoeligheid verbeterd; oxidatiemarkers onveranderd</w:t>
            </w:r>
          </w:p>
        </w:tc>
      </w:tr>
      <w:tr>
        <w:tc>
          <w:tcPr/>
          <w:p>
            <w:pPr>
              <w:pStyle w:val="Compact"/>
              <w:jc w:val="left"/>
            </w:pPr>
            <w:r>
              <w:t xml:space="preserve">Honda 2017, PMID 28789631</w:t>
            </w:r>
          </w:p>
        </w:tc>
        <w:tc>
          <w:tcPr/>
          <w:p>
            <w:pPr>
              <w:pStyle w:val="Compact"/>
              <w:jc w:val="left"/>
            </w:pPr>
            <w:r>
              <w:t xml:space="preserve">34 personen met leververvetting, open, zonder controlegroep</w:t>
            </w:r>
          </w:p>
        </w:tc>
        <w:tc>
          <w:tcPr/>
          <w:p>
            <w:pPr>
              <w:pStyle w:val="Compact"/>
              <w:jc w:val="left"/>
            </w:pPr>
            <w:r>
              <w:t xml:space="preserve">4 maanden</w:t>
            </w:r>
          </w:p>
        </w:tc>
        <w:tc>
          <w:tcPr/>
          <w:p>
            <w:pPr>
              <w:pStyle w:val="Compact"/>
              <w:jc w:val="left"/>
            </w:pPr>
            <w:r>
              <w:t xml:space="preserve">leverwaarde ALT gedaald</w:t>
            </w:r>
          </w:p>
        </w:tc>
      </w:tr>
      <w:tr>
        <w:tc>
          <w:tcPr/>
          <w:p>
            <w:pPr>
              <w:pStyle w:val="Compact"/>
              <w:jc w:val="left"/>
            </w:pPr>
            <w:r>
              <w:t xml:space="preserve">Arrivi 2023, PMID 36083043</w:t>
            </w:r>
          </w:p>
        </w:tc>
        <w:tc>
          <w:tcPr/>
          <w:p>
            <w:pPr>
              <w:pStyle w:val="Compact"/>
              <w:jc w:val="left"/>
            </w:pPr>
            <w:r>
              <w:t xml:space="preserve">100 personen met hartinfarct, infuus tegen placebo (secundaire analyse)</w:t>
            </w:r>
          </w:p>
        </w:tc>
        <w:tc>
          <w:tcPr/>
          <w:p>
            <w:pPr>
              <w:pStyle w:val="Compact"/>
              <w:jc w:val="left"/>
            </w:pPr>
            <w:r>
              <w:t xml:space="preserve">ziekenhuisopname</w:t>
            </w:r>
          </w:p>
        </w:tc>
        <w:tc>
          <w:tcPr/>
          <w:p>
            <w:pPr>
              <w:pStyle w:val="Compact"/>
              <w:jc w:val="left"/>
            </w:pPr>
            <w:r>
              <w:t xml:space="preserve">ziekenhuisopname 8,6 in plaats van 10,8 dagen</w:t>
            </w:r>
          </w:p>
        </w:tc>
      </w:tr>
    </w:tbl>
    <w:p>
      <w:pPr>
        <w:pStyle w:val="BodyText"/>
      </w:pPr>
      <w:r>
        <w:t xml:space="preserve">Het beeld is ontnuchterend: de grootste en methodologisch sterkste studie – een fase 3-studie met 185 kankerpatiënten – vond geen bescherming tegen zenuwschade door chemotherapie; op afzonderlijke secundaire doelen scoorde placebo zelfs beter (Leal 2014, PMID 24619793). Bij parkinson was glutathion noch als infuus (Hauser 2009, PMID 19230029) noch als neusspray beter dan placebo; in de neussprayestudie ontwikkelde één persoon onder de hogere dosis een hartspieraandoening (Mischley 2017, PMID 28436395). Bij kinderen met cystische fibrose bleef de groei onbeïnvloed (Bozic 2020, PMID 32960827).</w:t>
      </w:r>
    </w:p>
    <w:p>
      <w:pPr>
        <w:pStyle w:val="BodyText"/>
      </w:pPr>
      <w:r>
        <w:t xml:space="preserve">Positieve signalen komen uit kleine studies: bij 20 mannen met overgewicht verbeterde na drie weken de insulinegevoeligheid (Søndergård 2021, PMID 33740389); bij leververvetting daalden in een ongecontroleerde studie de leverwaarden (Honda 2017, PMID 28789631); na een hartinfarct was de ziekenhuisopname in een secundaire analyse korter (Arrivi 2023, PMID 36083043). Geen van deze bevindingen is tot nu toe in een grotere studie bevestigd.</w:t>
      </w:r>
    </w:p>
    <w:bookmarkEnd w:id="729"/>
    <w:bookmarkStart w:id="730" w:name="huidbleking-oraal-lokaal-intraveneus"/>
    <w:p>
      <w:pPr>
        <w:pStyle w:val="Heading4"/>
      </w:pPr>
      <w:r>
        <w:t xml:space="preserve">Huidbleking: oraal, lokaal, intraveneus</w:t>
      </w:r>
    </w:p>
    <w:p>
      <w:pPr>
        <w:pStyle w:val="FirstParagraph"/>
      </w:pPr>
      <w:r>
        <w:t xml:space="preserve">In delen van Azië, Afrika en in toenemende mate ook in Europa wordt glutathion vooral als „huidbleker” op de markt gebracht – in capsules, crèmes en in de vorm van infusen in schoonheidsklinieken.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Deelnemers en opzet</w:t>
            </w:r>
          </w:p>
        </w:tc>
        <w:tc>
          <w:tcPr/>
          <w:p>
            <w:pPr>
              <w:pStyle w:val="Compact"/>
              <w:jc w:val="left"/>
            </w:pPr>
            <w:r>
              <w:t xml:space="preserve">Duur</w:t>
            </w:r>
          </w:p>
        </w:tc>
        <w:tc>
          <w:tcPr/>
          <w:p>
            <w:pPr>
              <w:pStyle w:val="Compact"/>
              <w:jc w:val="left"/>
            </w:pPr>
            <w:r>
              <w:t xml:space="preserve">Resultaat</w:t>
            </w:r>
          </w:p>
        </w:tc>
      </w:tr>
      <w:tr>
        <w:tc>
          <w:tcPr/>
          <w:p>
            <w:pPr>
              <w:pStyle w:val="Compact"/>
              <w:jc w:val="left"/>
            </w:pPr>
            <w:r>
              <w:t xml:space="preserve">Arjinpathana 2012, PMID 20524875</w:t>
            </w:r>
          </w:p>
        </w:tc>
        <w:tc>
          <w:tcPr/>
          <w:p>
            <w:pPr>
              <w:pStyle w:val="Compact"/>
              <w:jc w:val="left"/>
            </w:pPr>
            <w:r>
              <w:t xml:space="preserve">60 geneeskundestudenten in Thailand, capsules tegen placebo</w:t>
            </w:r>
          </w:p>
        </w:tc>
        <w:tc>
          <w:tcPr/>
          <w:p>
            <w:pPr>
              <w:pStyle w:val="Compact"/>
              <w:jc w:val="left"/>
            </w:pPr>
            <w:r>
              <w:t xml:space="preserve">4 weken</w:t>
            </w:r>
          </w:p>
        </w:tc>
        <w:tc>
          <w:tcPr/>
          <w:p>
            <w:pPr>
              <w:pStyle w:val="Compact"/>
              <w:jc w:val="left"/>
            </w:pPr>
            <w:r>
              <w:t xml:space="preserve">melanine-index op 2 van 6 meetplaatsen sterker verlaagd</w:t>
            </w:r>
          </w:p>
        </w:tc>
      </w:tr>
      <w:tr>
        <w:tc>
          <w:tcPr/>
          <w:p>
            <w:pPr>
              <w:pStyle w:val="Compact"/>
              <w:jc w:val="left"/>
            </w:pPr>
            <w:r>
              <w:t xml:space="preserve">Weschawalit 2017, PMID 28490897</w:t>
            </w:r>
          </w:p>
        </w:tc>
        <w:tc>
          <w:tcPr/>
          <w:p>
            <w:pPr>
              <w:pStyle w:val="Compact"/>
              <w:jc w:val="left"/>
            </w:pPr>
            <w:r>
              <w:t xml:space="preserve">gezonde vrouwen, gereduceerd of geoxideerd glutathion tegen placebo</w:t>
            </w:r>
          </w:p>
        </w:tc>
        <w:tc>
          <w:tcPr/>
          <w:p>
            <w:pPr>
              <w:pStyle w:val="Compact"/>
              <w:jc w:val="left"/>
            </w:pPr>
            <w:r>
              <w:t xml:space="preserve">12 weken</w:t>
            </w:r>
          </w:p>
        </w:tc>
        <w:tc>
          <w:tcPr/>
          <w:p>
            <w:pPr>
              <w:pStyle w:val="Compact"/>
              <w:jc w:val="left"/>
            </w:pPr>
            <w:r>
              <w:t xml:space="preserve">melanine-index neigend lager; deels minder rimpels</w:t>
            </w:r>
          </w:p>
        </w:tc>
      </w:tr>
      <w:tr>
        <w:tc>
          <w:tcPr/>
          <w:p>
            <w:pPr>
              <w:pStyle w:val="Compact"/>
              <w:jc w:val="left"/>
            </w:pPr>
            <w:r>
              <w:t xml:space="preserve">Handog 2016, PMID 26148180</w:t>
            </w:r>
          </w:p>
        </w:tc>
        <w:tc>
          <w:tcPr/>
          <w:p>
            <w:pPr>
              <w:pStyle w:val="Compact"/>
              <w:jc w:val="left"/>
            </w:pPr>
            <w:r>
              <w:t xml:space="preserve">30 vrouwen op de Filipijnen, zuigtablet, zonder controlegroep</w:t>
            </w:r>
          </w:p>
        </w:tc>
        <w:tc>
          <w:tcPr/>
          <w:p>
            <w:pPr>
              <w:pStyle w:val="Compact"/>
              <w:jc w:val="left"/>
            </w:pPr>
            <w:r>
              <w:t xml:space="preserve">8 weken</w:t>
            </w:r>
          </w:p>
        </w:tc>
        <w:tc>
          <w:tcPr/>
          <w:p>
            <w:pPr>
              <w:pStyle w:val="Compact"/>
              <w:jc w:val="left"/>
            </w:pPr>
            <w:r>
              <w:t xml:space="preserve">melanine-index gedaald</w:t>
            </w:r>
          </w:p>
        </w:tc>
      </w:tr>
      <w:tr>
        <w:tc>
          <w:tcPr/>
          <w:p>
            <w:pPr>
              <w:pStyle w:val="Compact"/>
              <w:jc w:val="left"/>
            </w:pPr>
            <w:r>
              <w:t xml:space="preserve">Wahab 2021, PMID 33871071</w:t>
            </w:r>
          </w:p>
        </w:tc>
        <w:tc>
          <w:tcPr/>
          <w:p>
            <w:pPr>
              <w:pStyle w:val="Compact"/>
              <w:jc w:val="left"/>
            </w:pPr>
            <w:r>
              <w:t xml:space="preserve">46 personen, combinatie crème en capsule tegen placebo</w:t>
            </w:r>
          </w:p>
        </w:tc>
        <w:tc>
          <w:tcPr/>
          <w:p>
            <w:pPr>
              <w:pStyle w:val="Compact"/>
              <w:jc w:val="left"/>
            </w:pPr>
            <w:r>
              <w:t xml:space="preserve">8 weken</w:t>
            </w:r>
          </w:p>
        </w:tc>
        <w:tc>
          <w:tcPr/>
          <w:p>
            <w:pPr>
              <w:pStyle w:val="Compact"/>
              <w:jc w:val="left"/>
            </w:pPr>
            <w:r>
              <w:t xml:space="preserve">combinatie mogelijk werkzamer dan afzonderlijk gebruik</w:t>
            </w:r>
          </w:p>
        </w:tc>
      </w:tr>
    </w:tbl>
    <w:p>
      <w:pPr>
        <w:pStyle w:val="BodyText"/>
      </w:pPr>
      <w:r>
        <w:rPr>
          <w:bCs/>
          <w:b/>
        </w:rPr>
        <w:t xml:space="preserve">Oraal en lokaal:</w:t>
      </w:r>
      <w:r>
        <w:t xml:space="preserve"> </w:t>
      </w:r>
      <w:r>
        <w:t xml:space="preserve">meerdere kleine gerandomiseerde studies laten een lichte verlichting zien, vooral op aan de zon blootgestelde plaatsen. In de eerste studie was het effect slechts op twee van zes meetplaatsen statistisch significant (Arjinpathana 2012, PMID 20524875). Een systematische review concludeerde in 2019 dat het bewijs vanwege de kwaliteit van de studies en tegenstrijdige bevindingen „nog niet eenduidig” is (Dilokthornsakul 2019, PMID 30895708). Een recentere review beoordeelt crèmes en capsules als matig werkzaam, met effecten die na het stoppen niet aanhouden (Sarkar 2025, PMID 39444151).</w:t>
      </w:r>
    </w:p>
    <w:p>
      <w:pPr>
        <w:pStyle w:val="BodyText"/>
      </w:pPr>
      <w:r>
        <w:rPr>
          <w:bCs/>
          <w:b/>
        </w:rPr>
        <w:t xml:space="preserve">Intraveneus:</w:t>
      </w:r>
      <w:r>
        <w:t xml:space="preserve"> </w:t>
      </w:r>
      <w:r>
        <w:t xml:space="preserve">voor infusen voor huidbleking is er volgens dezelfde review slechts één placebogecontroleerde studie, die geen significant verschil vond (37,5% tegenover 18,7%, p = 0,054). De auteurs achten intraveneus glutathion voor huidbleking wegens ontbrekende werkzaamheid en bijwerkingen</w:t>
      </w:r>
      <w:r>
        <w:t xml:space="preserve"> </w:t>
      </w:r>
      <w:r>
        <w:rPr>
          <w:bCs/>
          <w:b/>
        </w:rPr>
        <w:t xml:space="preserve">gecontra-indiceerd</w:t>
      </w:r>
      <w:r>
        <w:t xml:space="preserve">, dus niet verantwoord (Sarkar 2025, PMID 39444151). Een Zuid-Afrikaans overzicht vond niet één studie naar de veiligheid van herhaalde infusen bij welke toepassing dan ook (Davids 2016, PMID 27499402). In het British Medical Journal werd de praktijk bekritiseerd als „onethisch bleken” (Dadzie 2016, PMID 27581922).</w:t>
      </w:r>
    </w:p>
    <w:bookmarkEnd w:id="730"/>
    <w:bookmarkEnd w:id="731"/>
    <w:bookmarkStart w:id="732" w:name="dier--en-laboratoriumstudies-45"/>
    <w:p>
      <w:pPr>
        <w:pStyle w:val="Heading3"/>
      </w:pPr>
      <w:r>
        <w:t xml:space="preserve">Dier- en laboratoriumstudies</w:t>
      </w:r>
    </w:p>
    <w:p>
      <w:pPr>
        <w:pStyle w:val="FirstParagraph"/>
      </w:pPr>
      <w:r>
        <w:t xml:space="preserve">Het laboratoriumonderzoek naar glutathion is enorm omvangrijk en betreft bijna elk gebied van de celbiologie. Relevant voor dit boek is vooral dat in cel- en dierproeven glutathion of de voorlopers ervan beschermden tegen oxidatieve schade, toxiciteit van geneesmiddelen en ontstekingsreacties – effecten die in de klinische studies bij mensen slechts gedeeltelijk en meestal zwak terug te vinden zijn.</w:t>
      </w:r>
    </w:p>
    <w:bookmarkEnd w:id="732"/>
    <w:bookmarkStart w:id="733" w:name="risicos-en-bijwerkingen-45"/>
    <w:p>
      <w:pPr>
        <w:pStyle w:val="Heading3"/>
      </w:pPr>
      <w:r>
        <w:t xml:space="preserve">Risico’s en bijwerkingen</w:t>
      </w:r>
    </w:p>
    <w:p>
      <w:pPr>
        <w:pStyle w:val="FirstParagraph"/>
      </w:pPr>
      <w:r>
        <w:rPr>
          <w:bCs/>
          <w:b/>
        </w:rPr>
        <w:t xml:space="preserve">Orale inname:</w:t>
      </w:r>
      <w:r>
        <w:t xml:space="preserve"> </w:t>
      </w:r>
      <w:r>
        <w:t xml:space="preserve">in de studies goed verdragen; sporadisch worden maag-darmklachten gemeld. Langetermijngegevens over meer dan zes maanden ontbreken grotendeels.</w:t>
      </w:r>
    </w:p>
    <w:p>
      <w:pPr>
        <w:pStyle w:val="BodyText"/>
      </w:pPr>
      <w:r>
        <w:rPr>
          <w:bCs/>
          <w:b/>
        </w:rPr>
        <w:t xml:space="preserve">Neusspray:</w:t>
      </w:r>
      <w:r>
        <w:t xml:space="preserve"> </w:t>
      </w:r>
      <w:r>
        <w:t xml:space="preserve">in een parkinsonstudie trad bij één persoon onder de hogere dosis een hartspieraandoening op; een verband is niet aangetoond (Mischley 2017, PMID 28436395).</w:t>
      </w:r>
    </w:p>
    <w:p>
      <w:pPr>
        <w:pStyle w:val="BodyText"/>
      </w:pPr>
      <w:r>
        <w:rPr>
          <w:bCs/>
          <w:b/>
        </w:rPr>
        <w:t xml:space="preserve">Infusen – de eigenlijke risico’s:</w:t>
      </w:r>
    </w:p>
    <w:p>
      <w:pPr>
        <w:numPr>
          <w:ilvl w:val="0"/>
          <w:numId w:val="1246"/>
        </w:numPr>
        <w:pStyle w:val="Compact"/>
      </w:pPr>
      <w:r>
        <w:rPr>
          <w:bCs/>
          <w:b/>
        </w:rPr>
        <w:t xml:space="preserve">Verontreinigde bereidingen:</w:t>
      </w:r>
      <w:r>
        <w:t xml:space="preserve"> </w:t>
      </w:r>
      <w:r>
        <w:t xml:space="preserve">de Amerikaanse geneesmiddelenautoriteit FDA waarschuwde apotheken in 2019 om geen glutathion van een bepaalde groothandel voor infusen te gebruiken, nadat patiënten na infusen misselijkheid, braken en kortademigheid hadden ontwikkeld en verhoogde endotoxinewaarden (bestanddelen van bacteriën die koorts en shock kunnen veroorzaken) waren gemeten. In augustus 2026 riep de FDA apotheken opnieuw op geen glutathion van voedingssupplementkwaliteit voor injecties te gebruiken; na infusen uit een bepaalde batch was het tot koorts, koude rillingen, shockachtige toestanden en ziekenhuisopnames gekomen.</w:t>
      </w:r>
    </w:p>
    <w:p>
      <w:pPr>
        <w:numPr>
          <w:ilvl w:val="0"/>
          <w:numId w:val="1246"/>
        </w:numPr>
        <w:pStyle w:val="Compact"/>
      </w:pPr>
      <w:r>
        <w:rPr>
          <w:bCs/>
          <w:b/>
        </w:rPr>
        <w:t xml:space="preserve">Waarschuwingen van autoriteiten over huidbleking:</w:t>
      </w:r>
      <w:r>
        <w:t xml:space="preserve"> </w:t>
      </w:r>
      <w:r>
        <w:t xml:space="preserve">de Filipijnse geneesmiddelenautoriteit waarschuwde in 2011 en 2019 tegen glutathioninjecties voor huidbleking; zij noemde bijwerkingen van huiduitslag tot de levensbedreigende huidreacties stevens-johnsonsyndroom en toxische epidermale necrolyse, en risico’s door ondeskundige injecties zoals bloedvergiftiging en overdracht van infecties. Ook de Amerikaanse FDA waarschuwde consumenten dat er geen injectiepreparaten voor huidbleking zijn toegelaten en dat zulke producten onbekende, schadelijke bestanddelen kunnen bevatten.</w:t>
      </w:r>
    </w:p>
    <w:p>
      <w:pPr>
        <w:numPr>
          <w:ilvl w:val="0"/>
          <w:numId w:val="1246"/>
        </w:numPr>
        <w:pStyle w:val="Compact"/>
      </w:pPr>
      <w:r>
        <w:rPr>
          <w:bCs/>
          <w:b/>
        </w:rPr>
        <w:t xml:space="preserve">Huidkanker (theoretisch):</w:t>
      </w:r>
      <w:r>
        <w:t xml:space="preserve"> </w:t>
      </w:r>
      <w:r>
        <w:t xml:space="preserve">de verschuiving van donker naar licht melanine zou de natuurlijke zonbescherming van de huid kunnen verminderen (Davids 2016, PMID 27499402).</w:t>
      </w:r>
    </w:p>
    <w:p>
      <w:pPr>
        <w:pStyle w:val="FirstParagraph"/>
      </w:pPr>
      <w:r>
        <w:rPr>
          <w:bCs/>
          <w:b/>
        </w:rPr>
        <w:t xml:space="preserve">Interacties:</w:t>
      </w:r>
      <w:r>
        <w:t xml:space="preserve"> </w:t>
      </w:r>
      <w:r>
        <w:t xml:space="preserve">in een kankerstudie werd glutathion vóór de chemotherapie gegeven; de tijd tot progressie van de ziekte verschilde daar niet van placebo (Leal 2014, PMID 24619793). Principieel wordt besproken of antioxidanten het effect van sommige kankertherapieën zouden kunnen verzwakken. Wie onder behandeling is voor kanker, zou glutathion alleen na overleg met het behandelteam moeten innemen.</w:t>
      </w:r>
    </w:p>
    <w:bookmarkEnd w:id="733"/>
    <w:bookmarkStart w:id="734" w:name="juridische-status-45"/>
    <w:p>
      <w:pPr>
        <w:pStyle w:val="Heading3"/>
      </w:pPr>
      <w:r>
        <w:t xml:space="preserve">Juridische status</w:t>
      </w:r>
    </w:p>
    <w:p>
      <w:pPr>
        <w:numPr>
          <w:ilvl w:val="0"/>
          <w:numId w:val="1247"/>
        </w:numPr>
        <w:pStyle w:val="Compact"/>
      </w:pPr>
      <w:r>
        <w:rPr>
          <w:bCs/>
          <w:b/>
        </w:rPr>
        <w:t xml:space="preserve">EU / Oostenrijk / Duitsland:</w:t>
      </w:r>
      <w:r>
        <w:t xml:space="preserve"> </w:t>
      </w:r>
      <w:r>
        <w:t xml:space="preserve">glutathion wordt als voedingssupplement in capsules en poeders verkocht; gezondheidsbeweringen in reclame zijn zonder toegelaten health claims niet toegestaan. Infusen en injecties zijn geneesmiddelen; preparaten voor huidbleking per infuus zijn niet toegelaten. In afzonderlijke landen (naar onze kennis bijvoorbeeld Italië) zijn er toegelaten glutathioninjecties voor specifieke medische toepassingen; details staan in de betreffende productinformatie (stand 2026, actuele situatie controleren).</w:t>
      </w:r>
    </w:p>
    <w:p>
      <w:pPr>
        <w:numPr>
          <w:ilvl w:val="0"/>
          <w:numId w:val="1247"/>
        </w:numPr>
        <w:pStyle w:val="Compact"/>
      </w:pPr>
      <w:r>
        <w:rPr>
          <w:bCs/>
          <w:b/>
        </w:rPr>
        <w:t xml:space="preserve">VS:</w:t>
      </w:r>
      <w:r>
        <w:t xml:space="preserve"> </w:t>
      </w:r>
      <w:r>
        <w:t xml:space="preserve">geen toegelaten glutathiongeneesmiddel; voedingssupplementen zijn toegestaan, infusen worden als apotheekbereiding gemaakt en vallen onder de FDA-voorschriften voor steriele bereidingen.</w:t>
      </w:r>
    </w:p>
    <w:p>
      <w:pPr>
        <w:numPr>
          <w:ilvl w:val="0"/>
          <w:numId w:val="1247"/>
        </w:numPr>
        <w:pStyle w:val="Compact"/>
      </w:pPr>
      <w:r>
        <w:rPr>
          <w:bCs/>
          <w:b/>
        </w:rPr>
        <w:t xml:space="preserve">Sport:</w:t>
      </w:r>
      <w:r>
        <w:t xml:space="preserve"> </w:t>
      </w:r>
      <w:r>
        <w:t xml:space="preserve">glutathion is niet verboden; infusen van meer dan 100 ml in twaalf uur vallen buiten ziekenhuisbehandelingen onder WADA-methode M2 (stand 2026, actuele situatie controleren).</w:t>
      </w:r>
    </w:p>
    <w:bookmarkEnd w:id="734"/>
    <w:bookmarkStart w:id="735" w:name="lopende-studies-en-vooruitzichten-45"/>
    <w:p>
      <w:pPr>
        <w:pStyle w:val="Heading3"/>
      </w:pPr>
      <w:r>
        <w:t xml:space="preserve">Lopende studies en vooruitzichten</w:t>
      </w:r>
    </w:p>
    <w:p>
      <w:pPr>
        <w:pStyle w:val="FirstParagraph"/>
      </w:pPr>
      <w:r>
        <w:rPr>
          <w:bCs/>
          <w:b/>
        </w:rPr>
        <w:t xml:space="preserve">Vast staat (geregistreerde studies, stand oktober 2026):</w:t>
      </w:r>
    </w:p>
    <w:p>
      <w:pPr>
        <w:numPr>
          <w:ilvl w:val="0"/>
          <w:numId w:val="1248"/>
        </w:numPr>
        <w:pStyle w:val="Compact"/>
      </w:pPr>
      <w:r>
        <w:t xml:space="preserve">Een fase 1-studie in China onderzoekt glutathion naast immunotherapie en chemotherapie bij gevorderde longkanker (NCT06896422, 80 geplande deelnemers).</w:t>
      </w:r>
    </w:p>
    <w:p>
      <w:pPr>
        <w:numPr>
          <w:ilvl w:val="0"/>
          <w:numId w:val="1248"/>
        </w:numPr>
        <w:pStyle w:val="Compact"/>
      </w:pPr>
      <w:r>
        <w:t xml:space="preserve">Een studie naar door glutathion ondersteunde microneedling bij melasma (pigmentvlekken) is geregistreerd (NCT07448415).</w:t>
      </w:r>
    </w:p>
    <w:p>
      <w:pPr>
        <w:numPr>
          <w:ilvl w:val="0"/>
          <w:numId w:val="1248"/>
        </w:numPr>
        <w:pStyle w:val="Compact"/>
      </w:pPr>
      <w:r>
        <w:t xml:space="preserve">Meerdere kleine studies onderzoeken nieuwe toedieningsvormen (liposomaal, micellair) en herstel na sport, vaak gefinancierd door fabrikanten.</w:t>
      </w:r>
    </w:p>
    <w:p>
      <w:pPr>
        <w:pStyle w:val="FirstParagraph"/>
      </w:pPr>
      <w:r>
        <w:rPr>
          <w:bCs/>
          <w:b/>
        </w:rPr>
        <w:t xml:space="preserve">Inschatting:</w:t>
      </w:r>
      <w:r>
        <w:t xml:space="preserve"> </w:t>
      </w:r>
      <w:r>
        <w:t xml:space="preserve">de belangrijkste open vraag is niet meer of glutathion wordt opgenomen, maar of hogere spiegels klinisch iets opleveren. De grote studies tot nu toe pleiten eerder van niet. Bij infusen voor huidbleking of als „wellness-drip” wegen de risico’s zwaarder dan een niet-aangetoond nut.</w:t>
      </w:r>
    </w:p>
    <w:bookmarkEnd w:id="735"/>
    <w:bookmarkStart w:id="736" w:name="conclusie-45"/>
    <w:p>
      <w:pPr>
        <w:pStyle w:val="Heading3"/>
      </w:pPr>
      <w:r>
        <w:t xml:space="preserve">Conclusie</w:t>
      </w:r>
    </w:p>
    <w:p>
      <w:pPr>
        <w:pStyle w:val="FirstParagraph"/>
      </w:pPr>
      <w:r>
        <w:t xml:space="preserve">Glutathion is het belangrijkste lichaamseigen beschermende peptide tegen oxidatie; als capsule ingenomen kan het bij langere inname de bloedspiegels meetbaar verhogen. Klinisch lieten de grotere studies echter geen nut zien – noch tegen zenuwschade door chemotherapie noch bij parkinson of cystische fibrose; positieve aanwijzingen komen uit kleine studies. Capsules en crèmes maakten de huid in kleine studies licht en tijdelijk lichter. Infusen voor huidbleking zijn niet aantoonbaar werkzaam, niet toegelaten, en meerdere autoriteiten hebben er uitdrukkelijk voor gewaarschuwd vanwege ernstige bijwerkingen en verontreinigde preparaten.</w:t>
      </w:r>
    </w:p>
    <w:bookmarkEnd w:id="736"/>
    <w:bookmarkEnd w:id="737"/>
    <w:bookmarkEnd w:id="738"/>
    <w:bookmarkStart w:id="853" w:name="X2d3e7f947b6ed94474c7b82423b9a406b6683fd"/>
    <w:p>
      <w:pPr>
        <w:pStyle w:val="Heading1"/>
      </w:pPr>
      <w:r>
        <w:t xml:space="preserve">Deel II · E – Hormonen, seksualiteit en pigmentatie</w:t>
      </w:r>
    </w:p>
    <w:p>
      <w:pPr>
        <w:pStyle w:val="FirstParagraph"/>
      </w:pPr>
      <w:r>
        <w:t xml:space="preserve">De zes peptiden in deze groep werken op heel verschillende dingen in: huidskleur, seksueel verlangen, vruchtbaarheid en sociaal gedrag. Wat ze gemeen hebben, is dat ze lichaamseigen signaalroutes van de hersenen en de hormoonklieren nabootsen, die nauw met elkaar verweven zijn. Drie ervan behoren tot één familie, het melanocortinesysteem; drie andere sturen de hormonale as van de voortplanting aan of zijn daarmee verbonden.</w:t>
      </w:r>
    </w:p>
    <w:bookmarkStart w:id="739" w:name="het-melanocortinesysteem"/>
    <w:p>
      <w:pPr>
        <w:pStyle w:val="Heading3"/>
      </w:pPr>
      <w:r>
        <w:t xml:space="preserve">Het melanocortinesysteem</w:t>
      </w:r>
    </w:p>
    <w:p>
      <w:pPr>
        <w:pStyle w:val="FirstParagraph"/>
      </w:pPr>
      <w:r>
        <w:t xml:space="preserve">Aan het begin staat een groot voorlopereiwit met de naam pro-opiomelanocortine (POMC). Enzymen knippen daaruit verschillende kleinere peptiden, waaronder het stresshormoon ACTH en de melanocytstimulerende hormonen (MSH), vooral alfa-MSH. Deze boodschapperstoffen heten samen melanocortinen. Ze werken via vijf receptoren, MC1R tot en met MC5R, die in verschillende weefsels zitten:</w:t>
      </w:r>
    </w:p>
    <w:p>
      <w:pPr>
        <w:numPr>
          <w:ilvl w:val="0"/>
          <w:numId w:val="1249"/>
        </w:numPr>
        <w:pStyle w:val="Compact"/>
      </w:pPr>
      <w:r>
        <w:rPr>
          <w:bCs/>
          <w:b/>
        </w:rPr>
        <w:t xml:space="preserve">MC1R</w:t>
      </w:r>
      <w:r>
        <w:t xml:space="preserve"> </w:t>
      </w:r>
      <w:r>
        <w:t xml:space="preserve">op de pigmentcellen van de huid bepaalt of deze donker, beschermend eumelanine aanmaken. Mensen met rood haar en een lichte huid dragen vaak minder werkzame varianten van deze receptor.</w:t>
      </w:r>
    </w:p>
    <w:p>
      <w:pPr>
        <w:numPr>
          <w:ilvl w:val="0"/>
          <w:numId w:val="1249"/>
        </w:numPr>
        <w:pStyle w:val="Compact"/>
      </w:pPr>
      <w:r>
        <w:rPr>
          <w:bCs/>
          <w:b/>
        </w:rPr>
        <w:t xml:space="preserve">MC2R</w:t>
      </w:r>
      <w:r>
        <w:t xml:space="preserve"> </w:t>
      </w:r>
      <w:r>
        <w:t xml:space="preserve">in de bijnier is de receptor voor ACTH en regelt de aanmaak van cortisol.</w:t>
      </w:r>
    </w:p>
    <w:p>
      <w:pPr>
        <w:numPr>
          <w:ilvl w:val="0"/>
          <w:numId w:val="1249"/>
        </w:numPr>
        <w:pStyle w:val="Compact"/>
      </w:pPr>
      <w:r>
        <w:rPr>
          <w:bCs/>
          <w:b/>
        </w:rPr>
        <w:t xml:space="preserve">MC3R en MC4R</w:t>
      </w:r>
      <w:r>
        <w:t xml:space="preserve"> </w:t>
      </w:r>
      <w:r>
        <w:t xml:space="preserve">in de hersenen beïnvloeden eetlust, energieverbruik en – zoals bij toeval bleek – seksuele opwinding. Defecten in MC4R zijn de meest voorkomende genetische oorzaak van ernstige obesitas.</w:t>
      </w:r>
    </w:p>
    <w:p>
      <w:pPr>
        <w:numPr>
          <w:ilvl w:val="0"/>
          <w:numId w:val="1249"/>
        </w:numPr>
        <w:pStyle w:val="Compact"/>
      </w:pPr>
      <w:r>
        <w:rPr>
          <w:bCs/>
          <w:b/>
        </w:rPr>
        <w:t xml:space="preserve">MC5R</w:t>
      </w:r>
      <w:r>
        <w:t xml:space="preserve"> </w:t>
      </w:r>
      <w:r>
        <w:t xml:space="preserve">werkt onder meer op talgklieren en andere klieren.</w:t>
      </w:r>
    </w:p>
    <w:p>
      <w:pPr>
        <w:pStyle w:val="FirstParagraph"/>
      </w:pPr>
      <w:r>
        <w:t xml:space="preserve">De geschiedenis van de drie melanocortinepeptiden in dit deel begint aan de Universiteit van Arizona. Daar ontwikkelden onderzoekers in de jaren 1980 en 1990 twee gestabiliseerde varianten van alfa-MSH om bruining zonder zon op te wekken: het lineaire melanotan I en het ringvormige melanotan II (Hadley 2006, PMID 16412534). Bij proeven met melanotan II meldden mannen spontane erecties – de ontdekking dat melanocortinen in de hersenen de seksuele functie beïnvloeden (Hadley 2005, PMID 15996790).</w:t>
      </w:r>
    </w:p>
    <w:p>
      <w:pPr>
        <w:pStyle w:val="BodyText"/>
      </w:pPr>
      <w:r>
        <w:t xml:space="preserve">Uit dit begin ontstonden drie wegen:</w:t>
      </w:r>
    </w:p>
    <w:p>
      <w:pPr>
        <w:numPr>
          <w:ilvl w:val="0"/>
          <w:numId w:val="1250"/>
        </w:numPr>
        <w:pStyle w:val="Compact"/>
      </w:pPr>
      <w:r>
        <w:rPr>
          <w:bCs/>
          <w:b/>
        </w:rPr>
        <w:t xml:space="preserve">Melanotan I</w:t>
      </w:r>
      <w:r>
        <w:t xml:space="preserve"> </w:t>
      </w:r>
      <w:r>
        <w:t xml:space="preserve">werd onder de naam</w:t>
      </w:r>
      <w:r>
        <w:t xml:space="preserve"> </w:t>
      </w:r>
      <w:r>
        <w:rPr>
          <w:bCs/>
          <w:b/>
        </w:rPr>
        <w:t xml:space="preserve">afamelanotide</w:t>
      </w:r>
      <w:r>
        <w:t xml:space="preserve"> </w:t>
      </w:r>
      <w:r>
        <w:t xml:space="preserve">doorontwikkeld tot een implantaat tegen een zeldzame, pijnlijke lichtgevoeligheid en is in de EU en de VS geregistreerd.</w:t>
      </w:r>
    </w:p>
    <w:p>
      <w:pPr>
        <w:numPr>
          <w:ilvl w:val="0"/>
          <w:numId w:val="1250"/>
        </w:numPr>
        <w:pStyle w:val="Compact"/>
      </w:pPr>
      <w:r>
        <w:rPr>
          <w:bCs/>
          <w:b/>
        </w:rPr>
        <w:t xml:space="preserve">Melanotan II</w:t>
      </w:r>
      <w:r>
        <w:t xml:space="preserve"> </w:t>
      </w:r>
      <w:r>
        <w:t xml:space="preserve">werd nooit geregistreerd, maar is als „bruiningsspuit” wijdverbreid op de grijze markt.</w:t>
      </w:r>
    </w:p>
    <w:p>
      <w:pPr>
        <w:numPr>
          <w:ilvl w:val="0"/>
          <w:numId w:val="1250"/>
        </w:numPr>
        <w:pStyle w:val="Compact"/>
      </w:pPr>
      <w:r>
        <w:rPr>
          <w:bCs/>
          <w:b/>
        </w:rPr>
        <w:t xml:space="preserve">Bremelanotide</w:t>
      </w:r>
      <w:r>
        <w:t xml:space="preserve">, een variant van melanotan II, is in de VS geregistreerd tegen een gering seksueel verlangen bij vrouwen.</w:t>
      </w:r>
    </w:p>
    <w:p>
      <w:pPr>
        <w:pStyle w:val="FirstParagraph"/>
      </w:pPr>
      <w:r>
        <w:t xml:space="preserve">Een vierde melanocortinemiddel, setmelanotide, richt zich specifiek op MC4R en wordt gebruikt bij zeldzame genetische vormen van obesitas; het wordt behandeld in Deel II · A. Hoe selectiever een middel één receptor aanspreekt, hoe gerichter het werkt. Melanotan II spreekt bijna alle receptoren aan en verenigt daardoor bruining, misselijkheid, verlies van eetlust en erecties in één molecuul.</w:t>
      </w:r>
    </w:p>
    <w:bookmarkEnd w:id="739"/>
    <w:bookmarkStart w:id="740" w:name="de-hormonale-as-van-de-voortplanting"/>
    <w:p>
      <w:pPr>
        <w:pStyle w:val="Heading3"/>
      </w:pPr>
      <w:r>
        <w:t xml:space="preserve">De hormonale as van de voortplanting</w:t>
      </w:r>
    </w:p>
    <w:p>
      <w:pPr>
        <w:pStyle w:val="FirstParagraph"/>
      </w:pPr>
      <w:r>
        <w:t xml:space="preserve">De drie andere peptiden in dit deel grijpen aan op de as die puberteit, cyclus en vruchtbaarheid aanstuurt.</w:t>
      </w:r>
      <w:r>
        <w:t xml:space="preserve"> </w:t>
      </w:r>
      <w:r>
        <w:rPr>
          <w:bCs/>
          <w:b/>
        </w:rPr>
        <w:t xml:space="preserve">Kisspeptine</w:t>
      </w:r>
      <w:r>
        <w:t xml:space="preserve"> </w:t>
      </w:r>
      <w:r>
        <w:t xml:space="preserve">schakelt in de hypothalamus de GnRH-zenuwcellen in.</w:t>
      </w:r>
      <w:r>
        <w:t xml:space="preserve"> </w:t>
      </w:r>
      <w:r>
        <w:rPr>
          <w:bCs/>
          <w:b/>
        </w:rPr>
        <w:t xml:space="preserve">Gonadoreline</w:t>
      </w:r>
      <w:r>
        <w:t xml:space="preserve"> </w:t>
      </w:r>
      <w:r>
        <w:t xml:space="preserve">is de synthetische vorm van GnRH zelf, dat in pulsen de hypofyse aanzet tot afgifte van LH en FSH. Beide laten een gemeenschappelijk principe zien: in het juiste ritme toegediend activeren ze de as; als aanhoudende prikkel remmen ze die af.</w:t>
      </w:r>
      <w:r>
        <w:t xml:space="preserve"> </w:t>
      </w:r>
      <w:r>
        <w:rPr>
          <w:bCs/>
          <w:b/>
        </w:rPr>
        <w:t xml:space="preserve">Oxytocine</w:t>
      </w:r>
      <w:r>
        <w:t xml:space="preserve"> </w:t>
      </w:r>
      <w:r>
        <w:t xml:space="preserve">ten slotte komt uit dezelfde hersengebieden, stuurt bevalling en borstvoeding aan en wordt al twintig jaar als neusspray voor sociaal gedrag onderzocht – met ontnuchterende resultaten.</w:t>
      </w:r>
    </w:p>
    <w:bookmarkEnd w:id="740"/>
    <w:bookmarkStart w:id="741" w:name="overzicht-3"/>
    <w:p>
      <w:pPr>
        <w:pStyle w:val="Heading3"/>
      </w:pPr>
      <w:r>
        <w:t xml:space="preserve">Overzicht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Peptide</w:t>
            </w:r>
          </w:p>
        </w:tc>
        <w:tc>
          <w:tcPr/>
          <w:p>
            <w:pPr>
              <w:pStyle w:val="Compact"/>
              <w:jc w:val="left"/>
            </w:pPr>
            <w:r>
              <w:t xml:space="preserve">Bewijs</w:t>
            </w:r>
          </w:p>
        </w:tc>
        <w:tc>
          <w:tcPr/>
          <w:p>
            <w:pPr>
              <w:pStyle w:val="Compact"/>
              <w:jc w:val="left"/>
            </w:pPr>
            <w:r>
              <w:t xml:space="preserve">Registratie</w:t>
            </w:r>
          </w:p>
        </w:tc>
        <w:tc>
          <w:tcPr/>
          <w:p>
            <w:pPr>
              <w:pStyle w:val="Compact"/>
              <w:jc w:val="left"/>
            </w:pPr>
            <w:r>
              <w:t xml:space="preserve">Kort</w:t>
            </w:r>
          </w:p>
        </w:tc>
      </w:tr>
      <w:tr>
        <w:tc>
          <w:tcPr/>
          <w:p>
            <w:pPr>
              <w:pStyle w:val="Compact"/>
              <w:jc w:val="left"/>
            </w:pPr>
            <w:r>
              <w:t xml:space="preserve">Bremelanotide (PT-141)</w:t>
            </w:r>
          </w:p>
        </w:tc>
        <w:tc>
          <w:tcPr/>
          <w:p>
            <w:pPr>
              <w:pStyle w:val="Compact"/>
              <w:jc w:val="left"/>
            </w:pPr>
            <w:r>
              <w:t xml:space="preserve">A</w:t>
            </w:r>
          </w:p>
        </w:tc>
        <w:tc>
          <w:tcPr/>
          <w:p>
            <w:pPr>
              <w:pStyle w:val="Compact"/>
              <w:jc w:val="left"/>
            </w:pPr>
            <w:r>
              <w:t xml:space="preserve">VS (Vyleesi), niet EU</w:t>
            </w:r>
          </w:p>
        </w:tc>
        <w:tc>
          <w:tcPr/>
          <w:p>
            <w:pPr>
              <w:pStyle w:val="Compact"/>
              <w:jc w:val="left"/>
            </w:pPr>
            <w:r>
              <w:t xml:space="preserve">Zin bij vrouwen met HSDD; klein effect, veel misselijkheid</w:t>
            </w:r>
          </w:p>
        </w:tc>
      </w:tr>
      <w:tr>
        <w:tc>
          <w:tcPr/>
          <w:p>
            <w:pPr>
              <w:pStyle w:val="Compact"/>
              <w:jc w:val="left"/>
            </w:pPr>
            <w:r>
              <w:t xml:space="preserve">Melanotan II</w:t>
            </w:r>
          </w:p>
        </w:tc>
        <w:tc>
          <w:tcPr/>
          <w:p>
            <w:pPr>
              <w:pStyle w:val="Compact"/>
              <w:jc w:val="left"/>
            </w:pPr>
            <w:r>
              <w:t xml:space="preserve">C</w:t>
            </w:r>
          </w:p>
        </w:tc>
        <w:tc>
          <w:tcPr/>
          <w:p>
            <w:pPr>
              <w:pStyle w:val="Compact"/>
              <w:jc w:val="left"/>
            </w:pPr>
            <w:r>
              <w:t xml:space="preserve">geen</w:t>
            </w:r>
          </w:p>
        </w:tc>
        <w:tc>
          <w:tcPr/>
          <w:p>
            <w:pPr>
              <w:pStyle w:val="Compact"/>
              <w:jc w:val="left"/>
            </w:pPr>
            <w:r>
              <w:t xml:space="preserve">Bruining via grijze markt; casusbeschrijvingen over moedervlekken en priapisme</w:t>
            </w:r>
          </w:p>
        </w:tc>
      </w:tr>
      <w:tr>
        <w:tc>
          <w:tcPr/>
          <w:p>
            <w:pPr>
              <w:pStyle w:val="Compact"/>
              <w:jc w:val="left"/>
            </w:pPr>
            <w:r>
              <w:t xml:space="preserve">Afamelanotide</w:t>
            </w:r>
          </w:p>
        </w:tc>
        <w:tc>
          <w:tcPr/>
          <w:p>
            <w:pPr>
              <w:pStyle w:val="Compact"/>
              <w:jc w:val="left"/>
            </w:pPr>
            <w:r>
              <w:t xml:space="preserve">A</w:t>
            </w:r>
          </w:p>
        </w:tc>
        <w:tc>
          <w:tcPr/>
          <w:p>
            <w:pPr>
              <w:pStyle w:val="Compact"/>
              <w:jc w:val="left"/>
            </w:pPr>
            <w:r>
              <w:t xml:space="preserve">EU en VS (Scenesse)</w:t>
            </w:r>
          </w:p>
        </w:tc>
        <w:tc>
          <w:tcPr/>
          <w:p>
            <w:pPr>
              <w:pStyle w:val="Compact"/>
              <w:jc w:val="left"/>
            </w:pPr>
            <w:r>
              <w:t xml:space="preserve">Lichtbescherming bij EPP; vitiligo in onderzoek</w:t>
            </w:r>
          </w:p>
        </w:tc>
      </w:tr>
      <w:tr>
        <w:tc>
          <w:tcPr/>
          <w:p>
            <w:pPr>
              <w:pStyle w:val="Compact"/>
              <w:jc w:val="left"/>
            </w:pPr>
            <w:r>
              <w:t xml:space="preserve">Kisspeptine</w:t>
            </w:r>
          </w:p>
        </w:tc>
        <w:tc>
          <w:tcPr/>
          <w:p>
            <w:pPr>
              <w:pStyle w:val="Compact"/>
              <w:jc w:val="left"/>
            </w:pPr>
            <w:r>
              <w:t xml:space="preserve">B</w:t>
            </w:r>
          </w:p>
        </w:tc>
        <w:tc>
          <w:tcPr/>
          <w:p>
            <w:pPr>
              <w:pStyle w:val="Compact"/>
              <w:jc w:val="left"/>
            </w:pPr>
            <w:r>
              <w:t xml:space="preserve">geen</w:t>
            </w:r>
          </w:p>
        </w:tc>
        <w:tc>
          <w:tcPr/>
          <w:p>
            <w:pPr>
              <w:pStyle w:val="Compact"/>
              <w:jc w:val="left"/>
            </w:pPr>
            <w:r>
              <w:t xml:space="preserve">Eicelrijping bij ivf, hormoontests; onderzoek</w:t>
            </w:r>
          </w:p>
        </w:tc>
      </w:tr>
      <w:tr>
        <w:tc>
          <w:tcPr/>
          <w:p>
            <w:pPr>
              <w:pStyle w:val="Compact"/>
              <w:jc w:val="left"/>
            </w:pPr>
            <w:r>
              <w:t xml:space="preserve">Oxytocine (neusspray)</w:t>
            </w:r>
          </w:p>
        </w:tc>
        <w:tc>
          <w:tcPr/>
          <w:p>
            <w:pPr>
              <w:pStyle w:val="Compact"/>
              <w:jc w:val="left"/>
            </w:pPr>
            <w:r>
              <w:t xml:space="preserve">B</w:t>
            </w:r>
          </w:p>
        </w:tc>
        <w:tc>
          <w:tcPr/>
          <w:p>
            <w:pPr>
              <w:pStyle w:val="Compact"/>
              <w:jc w:val="left"/>
            </w:pPr>
            <w:r>
              <w:t xml:space="preserve">alleen als infuus (verloskunde)</w:t>
            </w:r>
          </w:p>
        </w:tc>
        <w:tc>
          <w:tcPr/>
          <w:p>
            <w:pPr>
              <w:pStyle w:val="Compact"/>
              <w:jc w:val="left"/>
            </w:pPr>
            <w:r>
              <w:t xml:space="preserve">Autisme en vertrouwen: grote studies negatief</w:t>
            </w:r>
          </w:p>
        </w:tc>
      </w:tr>
      <w:tr>
        <w:tc>
          <w:tcPr/>
          <w:p>
            <w:pPr>
              <w:pStyle w:val="Compact"/>
              <w:jc w:val="left"/>
            </w:pPr>
            <w:r>
              <w:t xml:space="preserve">Gonadoreline</w:t>
            </w:r>
          </w:p>
        </w:tc>
        <w:tc>
          <w:tcPr/>
          <w:p>
            <w:pPr>
              <w:pStyle w:val="Compact"/>
              <w:jc w:val="left"/>
            </w:pPr>
            <w:r>
              <w:t xml:space="preserve">B</w:t>
            </w:r>
          </w:p>
        </w:tc>
        <w:tc>
          <w:tcPr/>
          <w:p>
            <w:pPr>
              <w:pStyle w:val="Compact"/>
              <w:jc w:val="left"/>
            </w:pPr>
            <w:r>
              <w:t xml:space="preserve">nationaal (EU), niet meer in de VS</w:t>
            </w:r>
          </w:p>
        </w:tc>
        <w:tc>
          <w:tcPr/>
          <w:p>
            <w:pPr>
              <w:pStyle w:val="Compact"/>
              <w:jc w:val="left"/>
            </w:pPr>
            <w:r>
              <w:t xml:space="preserve">GnRH-test en pomp bij kinderwens; dopingverbod</w:t>
            </w:r>
          </w:p>
        </w:tc>
      </w:tr>
    </w:tbl>
    <w:p>
      <w:pPr>
        <w:pStyle w:val="BodyText"/>
      </w:pPr>
      <w:r>
        <w:t xml:space="preserve">De registratiegegevens geven de stand van 2026 weer en moeten actueel worden gecontroleerd.</w:t>
      </w:r>
    </w:p>
    <w:bookmarkEnd w:id="741"/>
    <w:bookmarkStart w:id="742" w:name="leeswijzer-4"/>
    <w:p>
      <w:pPr>
        <w:pStyle w:val="Heading3"/>
      </w:pPr>
      <w:r>
        <w:t xml:space="preserve">Leeswijzer</w:t>
      </w:r>
    </w:p>
    <w:p>
      <w:pPr>
        <w:pStyle w:val="FirstParagraph"/>
      </w:pPr>
      <w:r>
        <w:t xml:space="preserve">Wie geïnteresseerd is in bruiningsmiddelen, kan het best de hoofdstukken over melanotan II en afamelanotide samen lezen: ze laten zien hoe verschillend hetzelfde basisidee kan uitpakken – de ene keer als getest geneesmiddel in een gespecialiseerde polikliniek, de andere keer als ongetest poeder van internet. Voor het thema seksualiteit loont de vergelijking van bremelanotide, kisspeptine en oxytocine; alle drie laten zien hoe sterk placebo-effecten op dit gebied zijn. Kisspeptine en gonadoreline verklaren samen de hormonale as van de vruchtbaarheid. Algemene informatie over producten van de grijze markt staat in Deel I, de risico’s in vergelijking in Deel IV.</w:t>
      </w:r>
    </w:p>
    <w:bookmarkEnd w:id="742"/>
    <w:bookmarkStart w:id="760" w:name="bremelanotide-pt-141"/>
    <w:p>
      <w:pPr>
        <w:pStyle w:val="Heading2"/>
      </w:pPr>
      <w:r>
        <w:t xml:space="preserve">Bremelanotide (PT-141)</w:t>
      </w:r>
    </w:p>
    <w:bookmarkStart w:id="743" w:name="profiel-46"/>
    <w:p>
      <w:pPr>
        <w:pStyle w:val="Heading3"/>
      </w:pPr>
      <w:r>
        <w:t xml:space="preserve">Profiel</w:t>
      </w:r>
    </w:p>
    <w:p>
      <w:pPr>
        <w:numPr>
          <w:ilvl w:val="0"/>
          <w:numId w:val="1251"/>
        </w:numPr>
        <w:pStyle w:val="Compact"/>
      </w:pPr>
      <w:r>
        <w:rPr>
          <w:bCs/>
          <w:b/>
        </w:rPr>
        <w:t xml:space="preserve">Soort/structuur:</w:t>
      </w:r>
      <w:r>
        <w:t xml:space="preserve"> </w:t>
      </w:r>
      <w:r>
        <w:t xml:space="preserve">ringvormig (cyclisch) peptide van zeven aminozuren, synthetisch vervaardigd. Het is afgeleid van het lichaamseigen hormoon alfa-MSH (alfa-melanocytstimulerend hormoon) en is nauw verwant aan melanotan II (hoofdstuk 2E02). In de literatuur heet het ook PT-141.</w:t>
      </w:r>
    </w:p>
    <w:p>
      <w:pPr>
        <w:numPr>
          <w:ilvl w:val="0"/>
          <w:numId w:val="1251"/>
        </w:numPr>
        <w:pStyle w:val="Compact"/>
      </w:pPr>
      <w:r>
        <w:rPr>
          <w:bCs/>
          <w:b/>
        </w:rPr>
        <w:t xml:space="preserve">Herkomst:</w:t>
      </w:r>
      <w:r>
        <w:t xml:space="preserve"> </w:t>
      </w:r>
      <w:r>
        <w:t xml:space="preserve">ontstaan uit de ontwikkeling van melanotan II aan de Universiteit van Arizona; doorontwikkeld door het bedrijf Palatin Technologies (Hadley 2006, PMID 16412534).</w:t>
      </w:r>
    </w:p>
    <w:p>
      <w:pPr>
        <w:numPr>
          <w:ilvl w:val="0"/>
          <w:numId w:val="1251"/>
        </w:numPr>
        <w:pStyle w:val="Compact"/>
      </w:pPr>
      <w:r>
        <w:rPr>
          <w:bCs/>
          <w:b/>
        </w:rPr>
        <w:t xml:space="preserve">Werkingsprincipe:</w:t>
      </w:r>
      <w:r>
        <w:t xml:space="preserve"> </w:t>
      </w:r>
      <w:r>
        <w:t xml:space="preserve">agonist van melanocortinereceptoren, vooral MC4R in de hersenen. Het werkt niet op de bloedvaten van de geslachtsorganen zoals sildenafil, maar op hersengebieden die bij seksueel verlangen betrokken zijn.</w:t>
      </w:r>
    </w:p>
    <w:p>
      <w:pPr>
        <w:numPr>
          <w:ilvl w:val="0"/>
          <w:numId w:val="1251"/>
        </w:numPr>
        <w:pStyle w:val="Compact"/>
      </w:pPr>
      <w:r>
        <w:rPr>
          <w:bCs/>
          <w:b/>
        </w:rPr>
        <w:t xml:space="preserve">Toedieningsvorm:</w:t>
      </w:r>
      <w:r>
        <w:t xml:space="preserve"> </w:t>
      </w:r>
      <w:r>
        <w:t xml:space="preserve">voorgevulde pen (auto-injector) voor toediening onder de huid naar behoefte, ongeveer 45 minuten vóór seksuele activiteit. Vroege studies gebruikten een neusspray.</w:t>
      </w:r>
    </w:p>
    <w:p>
      <w:pPr>
        <w:numPr>
          <w:ilvl w:val="0"/>
          <w:numId w:val="1251"/>
        </w:numPr>
        <w:pStyle w:val="Compact"/>
      </w:pPr>
      <w:r>
        <w:rPr>
          <w:bCs/>
          <w:b/>
        </w:rPr>
        <w:t xml:space="preserve">Registratie EU:</w:t>
      </w:r>
      <w:r>
        <w:t xml:space="preserve"> </w:t>
      </w:r>
      <w:r>
        <w:t xml:space="preserve">nee.</w:t>
      </w:r>
    </w:p>
    <w:p>
      <w:pPr>
        <w:numPr>
          <w:ilvl w:val="0"/>
          <w:numId w:val="1251"/>
        </w:numPr>
        <w:pStyle w:val="Compact"/>
      </w:pPr>
      <w:r>
        <w:rPr>
          <w:bCs/>
          <w:b/>
        </w:rPr>
        <w:t xml:space="preserve">Registratie VS:</w:t>
      </w:r>
      <w:r>
        <w:t xml:space="preserve"> </w:t>
      </w:r>
      <w:r>
        <w:t xml:space="preserve">ja, sinds 2019 als Vyleesi voor vrouwen vóór de menopauze met een verworven, gegeneraliseerde stoornis van het seksueel verlangen (hypoactieve seksuele verlangenstoornis, HSDD) (Dhillon 2019, PMID 31429064). Gebruik alleen op voorschrift van een arts en volgens de productinformatie.</w:t>
      </w:r>
    </w:p>
    <w:p>
      <w:pPr>
        <w:numPr>
          <w:ilvl w:val="0"/>
          <w:numId w:val="1251"/>
        </w:numPr>
        <w:pStyle w:val="Compact"/>
      </w:pPr>
      <w:r>
        <w:rPr>
          <w:bCs/>
          <w:b/>
        </w:rPr>
        <w:t xml:space="preserve">WADA:</w:t>
      </w:r>
      <w:r>
        <w:t xml:space="preserve"> </w:t>
      </w:r>
      <w:r>
        <w:t xml:space="preserve">niet bij naam vermeld (stand 2026, actuele situatie controleren).</w:t>
      </w:r>
    </w:p>
    <w:p>
      <w:pPr>
        <w:numPr>
          <w:ilvl w:val="0"/>
          <w:numId w:val="1251"/>
        </w:numPr>
        <w:pStyle w:val="Compact"/>
      </w:pPr>
      <w:r>
        <w:rPr>
          <w:bCs/>
          <w:b/>
        </w:rPr>
        <w:t xml:space="preserve">Bewijsniveau:</w:t>
      </w:r>
      <w:r>
        <w:t xml:space="preserve"> </w:t>
      </w:r>
      <w:r>
        <w:rPr>
          <w:bCs/>
          <w:b/>
        </w:rPr>
        <w:t xml:space="preserve">A</w:t>
      </w:r>
      <w:r>
        <w:t xml:space="preserve"> </w:t>
      </w:r>
      <w:r>
        <w:t xml:space="preserve">– twee grote gerandomiseerde fase 3-studies met samen meer dan 1.200 deelneemsters, registratie in de VS. Het klinische nut is echter klein en omstreden (zie hieronder).</w:t>
      </w:r>
    </w:p>
    <w:bookmarkEnd w:id="743"/>
    <w:bookmarkStart w:id="744" w:name="hoe-het-zou-moeten-werken-46"/>
    <w:p>
      <w:pPr>
        <w:pStyle w:val="Heading3"/>
      </w:pPr>
      <w:r>
        <w:t xml:space="preserve">Hoe het zou moeten werken</w:t>
      </w:r>
    </w:p>
    <w:p>
      <w:pPr>
        <w:pStyle w:val="FirstParagraph"/>
      </w:pPr>
      <w:r>
        <w:t xml:space="preserve">Het melanocortinesysteem is een netwerk van boodschapperstoffen en vijf receptoren (MC1R tot en met MC5R), dat in de inleiding van dit deel nader wordt beschreven. Voor bremelanotide is vooral de receptor MC4R belangrijk. Die zit onder meer in de hypothalamus, een stuurcentrum in de tussenhersenen, en beïnvloedt daar eetlust, energieverbruik en – zoals bij toeval bleek – seksuele opwinding.</w:t>
      </w:r>
    </w:p>
    <w:p>
      <w:pPr>
        <w:pStyle w:val="BodyText"/>
      </w:pPr>
      <w:r>
        <w:t xml:space="preserve">De ontdekking was een bijproduct van het bruiningsonderzoek: mannen die in de jaren 1990 melanotan II kregen om de huid te bruinen, meldden spontane erecties (Hadley 2005, PMID 15996790). Bremelanotide is een licht gewijzigde vorm van dit molecuul. Het activeert meerdere melanocortinereceptoren, maar bij de gebruikte doses is MC4R de belangrijkste (Pfaus 2022, PMID 33455598). Helemaal zonder effect op de huid is het echter niet – dat verklaart de waargenomen pigmentvlekken.</w:t>
      </w:r>
    </w:p>
    <w:p>
      <w:pPr>
        <w:pStyle w:val="BodyText"/>
      </w:pPr>
      <w:r>
        <w:t xml:space="preserve">Hoe de activering van MC4R het seksueel verlangen precies beïnvloedt, is slechts gedeeltelijk begrepen. Dierproeven wijzen erop dat bremelanotide in een bepaald gebied van de hypothalamus (de mediale preoptische area) de afgifte van de boodschapperstof dopamine stimuleert, die seksueel verlangen bevordert (Pfaus 2022, PMID 33455598). Een Britse studie met functionele magnetische resonantie-imaging (fMRI) bij 31 vrouwen met HSDD vond onder een MC4R-agonist veranderde activiteit in hersengebieden die erotische prikkels verwerken (Thurston 2022, PMID 36189794). De auteurs interpreteren dat als verminderde zelfobservatie en verhoogde ontvankelijkheid voor erotische prikkels – een interpretatie, geen bewezen verklaring.</w:t>
      </w:r>
    </w:p>
    <w:p>
      <w:pPr>
        <w:pStyle w:val="BodyText"/>
      </w:pPr>
      <w:r>
        <w:t xml:space="preserve">Belangrijk voor het begrip: de registratie is niet gericht op „meer zin” bij gezonde mensen, maar op een omschreven diagnose. HSDD betekent een aanhoudend gering seksueel verlangen dat lijdensdruk veroorzaakt en niet wordt verklaard door een andere aandoening, medicijnen of relatieproblemen.</w:t>
      </w:r>
    </w:p>
    <w:bookmarkEnd w:id="744"/>
    <w:bookmarkStart w:id="751" w:name="studies-bij-mensen-46"/>
    <w:p>
      <w:pPr>
        <w:pStyle w:val="Heading3"/>
      </w:pPr>
      <w:r>
        <w:t xml:space="preserve">Studies bij mensen</w:t>
      </w:r>
    </w:p>
    <w:p>
      <w:pPr>
        <w:pStyle w:val="FirstParagraph"/>
      </w:pPr>
      <w:r>
        <w:rPr>
          <w:bCs/>
          <w:b/>
        </w:rPr>
        <w:t xml:space="preserve">Omvang van het onderzoek (zoekopdracht oktober 2026):</w:t>
      </w:r>
      <w:r>
        <w:t xml:space="preserve"> </w:t>
      </w:r>
      <w:r>
        <w:t xml:space="preserve">De geautomatiseerde zoekopdracht van dit boek vond</w:t>
      </w:r>
      <w:r>
        <w:t xml:space="preserve"> </w:t>
      </w:r>
      <w:r>
        <w:rPr>
          <w:bCs/>
          <w:b/>
        </w:rPr>
        <w:t xml:space="preserve">16</w:t>
      </w:r>
      <w:r>
        <w:t xml:space="preserve"> </w:t>
      </w:r>
      <w:r>
        <w:t xml:space="preserve">studies bij mensen in PubMed (</w:t>
      </w:r>
      <w:r>
        <w:rPr>
          <w:rStyle w:val="VerbatimChar"/>
        </w:rPr>
        <w:t xml:space="preserve">humanstudien_alle</w:t>
      </w:r>
      <w:r>
        <w:t xml:space="preserve">) en</w:t>
      </w:r>
      <w:r>
        <w:t xml:space="preserve"> </w:t>
      </w:r>
      <w:r>
        <w:rPr>
          <w:bCs/>
          <w:b/>
        </w:rPr>
        <w:t xml:space="preserve">10</w:t>
      </w:r>
      <w:r>
        <w:t xml:space="preserve"> </w:t>
      </w:r>
      <w:r>
        <w:t xml:space="preserve">registraties bij ClinicalTrials.gov. Daarnaast zijn er meerdere overzichtsartikelen en meta-analyses. Voor de beoordeling zijn vooral de twee registratiestudies RECONNECT, hun verlenging en de veiligheidsanalyse van het gehele ontwikkelingsprogramma van belang.</w:t>
      </w:r>
    </w:p>
    <w:bookmarkStart w:id="745" w:name="vroege-studies-bij-mannen"/>
    <w:p>
      <w:pPr>
        <w:pStyle w:val="Heading4"/>
      </w:pPr>
      <w:r>
        <w:t xml:space="preserve">Vroege studies bij mannen</w:t>
      </w:r>
    </w:p>
    <w:p>
      <w:pPr>
        <w:pStyle w:val="FirstParagraph"/>
      </w:pPr>
      <w:r>
        <w:t xml:space="preserve">Bremelanotide werd eerst ontwikkeld als middel tegen erectiestoornissen. In fase 1-studies met neusspray (Diamond 2004, PMID 14963471) en injectie (Rosen 2004, PMID 14999221) wekte het bij gezonde mannen en bij mannen met een erectiestoornis meetbare erecties op, ook bij mannen die onvoldoende op Viagra reageerden. In een kleine studie met 19 patiënten versterkte een lage dosis bremelanotide het effect van een lage dosis sildenafil (Diamond 2005, PMID 15833522).</w:t>
      </w:r>
    </w:p>
    <w:p>
      <w:pPr>
        <w:pStyle w:val="BodyText"/>
      </w:pPr>
      <w:r>
        <w:t xml:space="preserve">Een studie met 342 mannen bij wie sildenafil niet had gewerkt, rapporteerde een positief resultaat bij 33,5% onder bremelanotide-neusspray tegenover 8,5% onder placebo (Safarinejad 2008, PMID 18206919). Dit artikel moet met voorzichtigheid worden gelezen: een tweede bremelanotidestudie van dezelfde eerste auteur bij vrouwen werd door het vaktijdschrift teruggetrokken, omdat methoden en resultaten niet controleerbaar waren (Safarinejad 2008, PMID 18179455); ook andere artikelen van deze auteur werden teruggetrokken.</w:t>
      </w:r>
    </w:p>
    <w:p>
      <w:pPr>
        <w:pStyle w:val="BodyText"/>
      </w:pPr>
      <w:r>
        <w:t xml:space="preserve">De ontwikkeling van de neusspray werd gestaakt nadat in studies bloeddrukstijgingen waren opgevallen. Het bedrijf stapte over op de injectie en op vrouwen als doelgroep.</w:t>
      </w:r>
    </w:p>
    <w:bookmarkEnd w:id="745"/>
    <w:bookmarkStart w:id="746" w:name="dosisbepaling-bij-vrouwen"/>
    <w:p>
      <w:pPr>
        <w:pStyle w:val="Heading4"/>
      </w:pPr>
      <w:r>
        <w:t xml:space="preserve">Dosisbepaling bij vrouwen</w:t>
      </w:r>
    </w:p>
    <w:p>
      <w:pPr>
        <w:pStyle w:val="FirstParagraph"/>
      </w:pPr>
      <w:r>
        <w:t xml:space="preserve">Een eerste kleine laboratoriumstudie met 18 vrouwen met een opwindingsstoornis liet na een eenmalige toediening vaker matig tot sterk verlangen zien dan na placebo, maar geen meetbare verandering in de doorbloeding van de vagina bij het bekijken van erotische films (Diamond 2006, PMID 16839319).</w:t>
      </w:r>
    </w:p>
    <w:p>
      <w:pPr>
        <w:pStyle w:val="BodyText"/>
      </w:pPr>
      <w:r>
        <w:t xml:space="preserve">De beslissende fase 2b-studie (Clayton 2016, PMID 27181790; NCT01382719) testte drie doseringen tegen placebo gedurende twaalf weken bij vrouwen vóór de menopauze. Er werden 327 deelneemsters geanalyseerd. Bij de twee hogere doses samen steeg het aantal „bevredigende seksuele gebeurtenissen” met 0,7 per maand tegenover 0,2 onder placebo. Op de vragenlijst FSFI (Female Sexual Function Index, een score voor seksueel functioneren) bedroeg de stijging 3,6 tegenover 1,9 punten. Een achteraf uitgevoerde analyse legde vast vanaf welke verandering een effect als klinisch relevant geldt; deze drempels werden daarna voor de fase 3-studies overgenomen (Althof 2019, PMID 31277966).</w:t>
      </w:r>
    </w:p>
    <w:bookmarkEnd w:id="746"/>
    <w:bookmarkStart w:id="747" w:name="de-registratiestudies-reconnect"/>
    <w:p>
      <w:pPr>
        <w:pStyle w:val="Heading4"/>
      </w:pPr>
      <w:r>
        <w:t xml:space="preserve">De registratiestudies RECONNECT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Deelnemers en opzet</w:t>
            </w:r>
          </w:p>
        </w:tc>
        <w:tc>
          <w:tcPr/>
          <w:p>
            <w:pPr>
              <w:pStyle w:val="Compact"/>
              <w:jc w:val="left"/>
            </w:pPr>
            <w:r>
              <w:t xml:space="preserve">Duur</w:t>
            </w:r>
          </w:p>
        </w:tc>
        <w:tc>
          <w:tcPr/>
          <w:p>
            <w:pPr>
              <w:pStyle w:val="Compact"/>
              <w:jc w:val="left"/>
            </w:pPr>
            <w:r>
              <w:t xml:space="preserve">Resultaat</w:t>
            </w:r>
          </w:p>
        </w:tc>
      </w:tr>
      <w:tr>
        <w:tc>
          <w:tcPr/>
          <w:p>
            <w:pPr>
              <w:pStyle w:val="Compact"/>
              <w:jc w:val="left"/>
            </w:pPr>
            <w:r>
              <w:t xml:space="preserve">RECONNECT 301 en 302 (Kingsberg 2019), PMID 31599840</w:t>
            </w:r>
          </w:p>
        </w:tc>
        <w:tc>
          <w:tcPr/>
          <w:p>
            <w:pPr>
              <w:pStyle w:val="Compact"/>
              <w:jc w:val="left"/>
            </w:pPr>
            <w:r>
              <w:t xml:space="preserve">1.267 vrouwen vóór de menopauze met HSDD, twee RCT’s tegen placebo, gebruik naar behoefte</w:t>
            </w:r>
          </w:p>
        </w:tc>
        <w:tc>
          <w:tcPr/>
          <w:p>
            <w:pPr>
              <w:pStyle w:val="Compact"/>
              <w:jc w:val="left"/>
            </w:pPr>
            <w:r>
              <w:t xml:space="preserve">24 weken</w:t>
            </w:r>
          </w:p>
        </w:tc>
        <w:tc>
          <w:tcPr/>
          <w:p>
            <w:pPr>
              <w:pStyle w:val="Compact"/>
              <w:jc w:val="left"/>
            </w:pPr>
            <w:r>
              <w:t xml:space="preserve">Verlangen (FSFI-Desire) +0,35 punten meer dan placebo; lijdensdruk −0,33 punten sterker verlaagd</w:t>
            </w:r>
          </w:p>
        </w:tc>
      </w:tr>
      <w:tr>
        <w:tc>
          <w:tcPr/>
          <w:p>
            <w:pPr>
              <w:pStyle w:val="Compact"/>
              <w:jc w:val="left"/>
            </w:pPr>
            <w:r>
              <w:t xml:space="preserve">Open verlenging (Simon 2019), PMID 31599847</w:t>
            </w:r>
          </w:p>
        </w:tc>
        <w:tc>
          <w:tcPr/>
          <w:p>
            <w:pPr>
              <w:pStyle w:val="Compact"/>
              <w:jc w:val="left"/>
            </w:pPr>
            <w:r>
              <w:t xml:space="preserve">684 vrouwen uit beide studies, allen met bremelanotide</w:t>
            </w:r>
          </w:p>
        </w:tc>
        <w:tc>
          <w:tcPr/>
          <w:p>
            <w:pPr>
              <w:pStyle w:val="Compact"/>
              <w:jc w:val="left"/>
            </w:pPr>
            <w:r>
              <w:t xml:space="preserve">52 weken</w:t>
            </w:r>
          </w:p>
        </w:tc>
        <w:tc>
          <w:tcPr/>
          <w:p>
            <w:pPr>
              <w:pStyle w:val="Compact"/>
              <w:jc w:val="left"/>
            </w:pPr>
            <w:r>
              <w:t xml:space="preserve">272 voltooiden de verlenging; geen nieuwe veiligheidssignalen</w:t>
            </w:r>
          </w:p>
        </w:tc>
      </w:tr>
      <w:tr>
        <w:tc>
          <w:tcPr/>
          <w:p>
            <w:pPr>
              <w:pStyle w:val="Compact"/>
              <w:jc w:val="left"/>
            </w:pPr>
            <w:r>
              <w:t xml:space="preserve">Subgroepanalyse (Simon 2022), PMID 35230162</w:t>
            </w:r>
          </w:p>
        </w:tc>
        <w:tc>
          <w:tcPr/>
          <w:p>
            <w:pPr>
              <w:pStyle w:val="Compact"/>
              <w:jc w:val="left"/>
            </w:pPr>
            <w:r>
              <w:t xml:space="preserve">1.202 vrouwen uit beide studies</w:t>
            </w:r>
          </w:p>
        </w:tc>
        <w:tc>
          <w:tcPr/>
          <w:p>
            <w:pPr>
              <w:pStyle w:val="Compact"/>
              <w:jc w:val="left"/>
            </w:pPr>
            <w:r>
              <w:t xml:space="preserve">24 weken</w:t>
            </w:r>
          </w:p>
        </w:tc>
        <w:tc>
          <w:tcPr/>
          <w:p>
            <w:pPr>
              <w:pStyle w:val="Compact"/>
              <w:jc w:val="left"/>
            </w:pPr>
            <w:r>
              <w:t xml:space="preserve">Effect in bijna alle leeftijds-, gewichts- en hormoonsubgroepen vergelijkbaar</w:t>
            </w:r>
          </w:p>
        </w:tc>
      </w:tr>
      <w:tr>
        <w:tc>
          <w:tcPr/>
          <w:p>
            <w:pPr>
              <w:pStyle w:val="Compact"/>
              <w:jc w:val="left"/>
            </w:pPr>
            <w:r>
              <w:t xml:space="preserve">Veiligheidsanalyse (Clayton 2022), PMID 35147466</w:t>
            </w:r>
          </w:p>
        </w:tc>
        <w:tc>
          <w:tcPr/>
          <w:p>
            <w:pPr>
              <w:pStyle w:val="Compact"/>
              <w:jc w:val="left"/>
            </w:pPr>
            <w:r>
              <w:t xml:space="preserve">circa 3.500 personen in 43 studies</w:t>
            </w:r>
          </w:p>
        </w:tc>
        <w:tc>
          <w:tcPr/>
          <w:p>
            <w:pPr>
              <w:pStyle w:val="Compact"/>
              <w:jc w:val="left"/>
            </w:pPr>
            <w:r>
              <w:t xml:space="preserve">tot 18 maanden</w:t>
            </w:r>
          </w:p>
        </w:tc>
        <w:tc>
          <w:tcPr/>
          <w:p>
            <w:pPr>
              <w:pStyle w:val="Compact"/>
              <w:jc w:val="left"/>
            </w:pPr>
            <w:r>
              <w:t xml:space="preserve">Misselijkheid 40,0% vs. 1,3%, opvliegers 20,3% vs. 1,3%</w:t>
            </w:r>
          </w:p>
        </w:tc>
      </w:tr>
    </w:tbl>
    <w:p>
      <w:pPr>
        <w:pStyle w:val="BodyText"/>
      </w:pPr>
      <w:r>
        <w:t xml:space="preserve">De twee identieke studies 301 en 302 (NCT02333071, NCT02338960) liepen in 2015 en 2016, overwegend in de VS. De deelneemsters spoten zichzelf naar behoefte vóór seksuele activiteit 1,75 mg bremelanotide of placebo in met een auto-injector. Er werden twee primaire uitkomstmaten gemeten: het seksueel verlangen (Desire-domein van de FSFI, schaal van 1,2 tot 6) en de lijdensdruk door gering verlangen (één vraag uit de vragenlijst FSDS-DAO, schaal 0 tot 4).</w:t>
      </w:r>
    </w:p>
    <w:p>
      <w:pPr>
        <w:pStyle w:val="BodyText"/>
      </w:pPr>
      <w:r>
        <w:t xml:space="preserve">Beide studies haalden hun primaire doelen. In de gezamenlijke analyse steeg het verlangen 0,35 punten meer dan onder placebo, en daalde de lijdensdruk 0,33 punten meer (Kingsberg 2019, PMID 31599840). Deze cijfers zijn statistisch eenduidig, maar klein: op een schaal tot 6 betekent een derde punt een bescheiden verschil. Ook onder placebo verbeterden de waarden duidelijk – een bekend patroon in de seksuele geneeskunde.</w:t>
      </w:r>
    </w:p>
    <w:p>
      <w:pPr>
        <w:pStyle w:val="BodyText"/>
      </w:pPr>
      <w:r>
        <w:t xml:space="preserve">In exitinterviews met 242 deelneemsters die nog niet wisten wat ze hadden gekregen, beschreven vrouwen onder bremelanotide vaker lichamelijke opwinding en meer verlangen; onder placebo noemden ze eerder betere communicatie in de relatie (Koochaki 2021, PMID 33538638).</w:t>
      </w:r>
    </w:p>
    <w:bookmarkEnd w:id="747"/>
    <w:bookmarkStart w:id="748" w:name="de-kritiek-op-de-registratiestudies"/>
    <w:p>
      <w:pPr>
        <w:pStyle w:val="Heading4"/>
      </w:pPr>
      <w:r>
        <w:t xml:space="preserve">De kritiek op de registratiestudies</w:t>
      </w:r>
    </w:p>
    <w:p>
      <w:pPr>
        <w:pStyle w:val="FirstParagraph"/>
      </w:pPr>
      <w:r>
        <w:t xml:space="preserve">Een onafhankelijke heranalyse op basis van de documenten die bij de Amerikaanse geneesmiddelenautoriteit FDA waren ingediend, kwam tot een ander eindoordeel (Spielmans 2021, PMID 33678061). De auteur bevestigt de kleine effecten, maar bekritiseert dat ongeveer 73% van de in het studieprotocol voorziene uitkomsten niet werd gepubliceerd. Twee bevindingen ontbraken in de hoofdpublicatie:</w:t>
      </w:r>
    </w:p>
    <w:p>
      <w:pPr>
        <w:numPr>
          <w:ilvl w:val="0"/>
          <w:numId w:val="1252"/>
        </w:numPr>
        <w:pStyle w:val="Compact"/>
      </w:pPr>
      <w:r>
        <w:t xml:space="preserve">Stoppen wegens bijwerkingen kwam onder bremelanotide duidelijk vaker voor (odds ratio 11,98). Rekenkundig stopte ongeveer één op de zes behandelde vrouwen wegens bijwerkingen die onder placebo niet zou zijn gestopt.</w:t>
      </w:r>
    </w:p>
    <w:p>
      <w:pPr>
        <w:numPr>
          <w:ilvl w:val="0"/>
          <w:numId w:val="1252"/>
        </w:numPr>
        <w:pStyle w:val="Compact"/>
      </w:pPr>
      <w:r>
        <w:t xml:space="preserve">Wie de studie voltooide en daarna overstapte naar de open verlenging, kwam vaker uit de placebogroep. Ook de veiligheidsanalyse van de fabrikant noemt deze cijfers: 70% van de bremelanotidegroep tegenover 87% van de placebogroep ging over naar de verlenging (Clayton 2022, PMID 35147466).</w:t>
      </w:r>
    </w:p>
    <w:p>
      <w:pPr>
        <w:pStyle w:val="FirstParagraph"/>
      </w:pPr>
      <w:r>
        <w:t xml:space="preserve">Spielmans concludeert dat het middel voor de meeste vrouwen niet nuttig is. Dat is een scherp geformuleerde individuele mening, die echter berust op gegevens die ook de fabrikant heeft gepubliceerd.</w:t>
      </w:r>
    </w:p>
    <w:bookmarkEnd w:id="748"/>
    <w:bookmarkStart w:id="749" w:name="meta-analyses-1"/>
    <w:p>
      <w:pPr>
        <w:pStyle w:val="Heading4"/>
      </w:pPr>
      <w:r>
        <w:t xml:space="preserve">Meta-analyses</w:t>
      </w:r>
    </w:p>
    <w:p>
      <w:pPr>
        <w:pStyle w:val="FirstParagraph"/>
      </w:pPr>
      <w:r>
        <w:t xml:space="preserve">Een meta-analyse van geneesmiddelen tegen seksuele disfuncties bij vrouwen (waaronder bremelanotide, flibanserine en intranasale oxytocine) vond dat ongeveer 67,7% van de verbetering in de behandelgroepen ook onder placebo optrad (Weinberger 2018, PMID 29995725). Een recentere meta-analyse bevestigt voor bremelanotide kleine verbeteringen in verlangen en opwinding en een vermindering van de lijdensdruk, zonder vergelijking met psychotherapie (Toledo 2026, PMID 40543759). Een overzicht van de bij ClinicalTrials.gov afgeronde studies bekritiseert uiteenlopende uitkomstmaten en onvolledige rapportage (Ashour 2026, PMID 42254382).</w:t>
      </w:r>
    </w:p>
    <w:bookmarkEnd w:id="749"/>
    <w:bookmarkStart w:id="750" w:name="overige-vraagstellingen"/>
    <w:p>
      <w:pPr>
        <w:pStyle w:val="Heading4"/>
      </w:pPr>
      <w:r>
        <w:t xml:space="preserve">Overige vraagstellingen</w:t>
      </w:r>
    </w:p>
    <w:p>
      <w:pPr>
        <w:numPr>
          <w:ilvl w:val="0"/>
          <w:numId w:val="1253"/>
        </w:numPr>
        <w:pStyle w:val="Compact"/>
      </w:pPr>
      <w:r>
        <w:rPr>
          <w:bCs/>
          <w:b/>
        </w:rPr>
        <w:t xml:space="preserve">Alcohol:</w:t>
      </w:r>
      <w:r>
        <w:t xml:space="preserve"> </w:t>
      </w:r>
      <w:r>
        <w:t xml:space="preserve">in een fase 1-studie met 24 gezonde personen traden bij gelijktijdig alcoholgebruik geen relevante interacties op (Clayton 2017, PMID 28189361).</w:t>
      </w:r>
    </w:p>
    <w:p>
      <w:pPr>
        <w:numPr>
          <w:ilvl w:val="0"/>
          <w:numId w:val="1253"/>
        </w:numPr>
        <w:pStyle w:val="Compact"/>
      </w:pPr>
      <w:r>
        <w:rPr>
          <w:bCs/>
          <w:b/>
        </w:rPr>
        <w:t xml:space="preserve">Gewicht:</w:t>
      </w:r>
      <w:r>
        <w:t xml:space="preserve"> </w:t>
      </w:r>
      <w:r>
        <w:t xml:space="preserve">omdat MC4R ook de eetlust stuurt, werd bremelanotide getest bij vrouwen met obesitas. In twee kleine fase 1-studies daalde de calorie-inname met ongeveer 400 kcal per dag; na 16 dagen lag het gewicht 1,3 kg onder dat van de placebogroep (Spana 2022, PMID 35170192). Dit zijn kortetermijngegevens zonder uitspraak over een langdurige behandeling.</w:t>
      </w:r>
    </w:p>
    <w:p>
      <w:pPr>
        <w:numPr>
          <w:ilvl w:val="0"/>
          <w:numId w:val="1253"/>
        </w:numPr>
        <w:pStyle w:val="Compact"/>
      </w:pPr>
      <w:r>
        <w:rPr>
          <w:bCs/>
          <w:b/>
        </w:rPr>
        <w:t xml:space="preserve">Hersenen:</w:t>
      </w:r>
      <w:r>
        <w:t xml:space="preserve"> </w:t>
      </w:r>
      <w:r>
        <w:t xml:space="preserve">de al genoemde fMRI-studie (Thurston 2022, PMID 36189794; NCT04179734) is een van de weinige studies die niet door de fabrikant werden geleid.</w:t>
      </w:r>
    </w:p>
    <w:bookmarkEnd w:id="750"/>
    <w:bookmarkEnd w:id="751"/>
    <w:bookmarkStart w:id="752" w:name="dier--en-laboratoriumstudies-46"/>
    <w:p>
      <w:pPr>
        <w:pStyle w:val="Heading3"/>
      </w:pPr>
      <w:r>
        <w:t xml:space="preserve">Dier- en laboratoriumstudies</w:t>
      </w:r>
    </w:p>
    <w:p>
      <w:pPr>
        <w:pStyle w:val="FirstParagraph"/>
      </w:pPr>
      <w:r>
        <w:t xml:space="preserve">Het dieronderzoek naar bremelanotide is grotendeels bij ratten gedaan. Een overzichtsartikel vat het zo samen: bremelanotide activeert MC4R op zenuwcellen in de hypothalamus, die daarop meer dopamine afgeven; bij vrouwelijke ratten nam gedrag toe waarmee vrouwtjes seksuele interesse tonen (Pfaus 2022, PMID 33455598). Het overzicht is afkomstig van onderzoekers met banden met de ontwikkeling van het middel.</w:t>
      </w:r>
    </w:p>
    <w:p>
      <w:pPr>
        <w:pStyle w:val="BodyText"/>
      </w:pPr>
      <w:r>
        <w:t xml:space="preserve">Een onafhankelijke studie bij vrouwelijke hamsters kwam tot een ontnuchterend resultaat: bremelanotide veranderde noch de receptoren in het beloningssysteem, noch versterkte het de „beloningswaarde” van seksuele ontmoetingen in een gedragstest (Borland 2025, PMID 39793696). De auteurs concluderen dat het middel niet via het klassieke beloningscircuit werkt. Hoe het precies werkt, blijft dus open.</w:t>
      </w:r>
    </w:p>
    <w:p>
      <w:pPr>
        <w:pStyle w:val="BodyText"/>
      </w:pPr>
      <w:r>
        <w:t xml:space="preserve">In celkweken remde bremelanotide de groei van glioblastoomcellen, een type hersentumor (Suzuki 2024, PMID 39197897). Dat is een zuivere laboratoriumbevinding zonder klinische betekenis.</w:t>
      </w:r>
    </w:p>
    <w:bookmarkEnd w:id="752"/>
    <w:bookmarkStart w:id="756" w:name="risicos-en-bijwerkingen-46"/>
    <w:p>
      <w:pPr>
        <w:pStyle w:val="Heading3"/>
      </w:pPr>
      <w:r>
        <w:t xml:space="preserve">Risico’s en bijwerkingen</w:t>
      </w:r>
    </w:p>
    <w:bookmarkStart w:id="753" w:name="aangetoond-7"/>
    <w:p>
      <w:pPr>
        <w:pStyle w:val="Heading4"/>
      </w:pPr>
      <w:r>
        <w:t xml:space="preserve">Aangetoond</w:t>
      </w:r>
    </w:p>
    <w:p>
      <w:pPr>
        <w:numPr>
          <w:ilvl w:val="0"/>
          <w:numId w:val="1254"/>
        </w:numPr>
        <w:pStyle w:val="Compact"/>
      </w:pPr>
      <w:r>
        <w:rPr>
          <w:bCs/>
          <w:b/>
        </w:rPr>
        <w:t xml:space="preserve">Misselijkheid:</w:t>
      </w:r>
      <w:r>
        <w:t xml:space="preserve"> </w:t>
      </w:r>
      <w:r>
        <w:t xml:space="preserve">de meest voorkomende bijwerking. In de fase 3-studies trof ze 40,0% tegenover 1,3% onder placebo en was ze de meest voorkomende reden om te stoppen (Clayton 2022, PMID 35147466). Een aparte studie met 228 gezonde vrouwen onderzocht of het middel tegen misselijkheid ondansetron preventief helpt (NCT03973047).</w:t>
      </w:r>
    </w:p>
    <w:p>
      <w:pPr>
        <w:numPr>
          <w:ilvl w:val="0"/>
          <w:numId w:val="1254"/>
        </w:numPr>
        <w:pStyle w:val="Compact"/>
      </w:pPr>
      <w:r>
        <w:rPr>
          <w:bCs/>
          <w:b/>
        </w:rPr>
        <w:t xml:space="preserve">Opvliegers (flushing)</w:t>
      </w:r>
      <w:r>
        <w:t xml:space="preserve"> </w:t>
      </w:r>
      <w:r>
        <w:t xml:space="preserve">bij 20,3%,</w:t>
      </w:r>
      <w:r>
        <w:t xml:space="preserve"> </w:t>
      </w:r>
      <w:r>
        <w:rPr>
          <w:bCs/>
          <w:b/>
        </w:rPr>
        <w:t xml:space="preserve">hoofdpijn</w:t>
      </w:r>
      <w:r>
        <w:t xml:space="preserve"> </w:t>
      </w:r>
      <w:r>
        <w:t xml:space="preserve">bij 11,3%,</w:t>
      </w:r>
      <w:r>
        <w:t xml:space="preserve"> </w:t>
      </w:r>
      <w:r>
        <w:rPr>
          <w:bCs/>
          <w:b/>
        </w:rPr>
        <w:t xml:space="preserve">reacties op de injectieplaats</w:t>
      </w:r>
      <w:r>
        <w:t xml:space="preserve"> </w:t>
      </w:r>
      <w:r>
        <w:t xml:space="preserve">bij 5,4% (tegenover 1,3%, 1,9% en 0,5% onder placebo).</w:t>
      </w:r>
    </w:p>
    <w:p>
      <w:pPr>
        <w:numPr>
          <w:ilvl w:val="0"/>
          <w:numId w:val="1254"/>
        </w:numPr>
        <w:pStyle w:val="Compact"/>
      </w:pPr>
      <w:r>
        <w:rPr>
          <w:bCs/>
          <w:b/>
        </w:rPr>
        <w:t xml:space="preserve">Bloeddruk:</w:t>
      </w:r>
      <w:r>
        <w:t xml:space="preserve"> </w:t>
      </w:r>
      <w:r>
        <w:t xml:space="preserve">in een studie met 24-uursmeting bij 397 vrouwen steeg de bovendruk na toediening tijdelijk met 2,4 tot 3,2 mmHg; de pieken duurden meestal minder dan 15 minuten. Tegelijk daalde de hartslag met ongeveer 4,6 slagen per minuut (White 2017, PMID 27977473). De productinformatie raadt het gebruik daarom af bij ongecontroleerde hoge bloeddruk of bekende hart- en vaatziekte.</w:t>
      </w:r>
    </w:p>
    <w:p>
      <w:pPr>
        <w:numPr>
          <w:ilvl w:val="0"/>
          <w:numId w:val="1254"/>
        </w:numPr>
        <w:pStyle w:val="Compact"/>
      </w:pPr>
      <w:r>
        <w:rPr>
          <w:bCs/>
          <w:b/>
        </w:rPr>
        <w:t xml:space="preserve">Pigmentvlekken:</w:t>
      </w:r>
      <w:r>
        <w:t xml:space="preserve"> </w:t>
      </w:r>
      <w:r>
        <w:t xml:space="preserve">bij gebruik volgens de productinformatie zeldzaam. Werd bremelanotide echter op maximaal 16 opeenvolgende dagen gegeven, dan ontwikkelde meer dan een derde van de deelnemers omschreven donkere vlekken (Clayton 2022, PMID 35147466) – een aanwijzing voor de restwerking op de pigmentreceptor.</w:t>
      </w:r>
    </w:p>
    <w:p>
      <w:pPr>
        <w:numPr>
          <w:ilvl w:val="0"/>
          <w:numId w:val="1254"/>
        </w:numPr>
        <w:pStyle w:val="Compact"/>
      </w:pPr>
      <w:r>
        <w:rPr>
          <w:bCs/>
          <w:b/>
        </w:rPr>
        <w:t xml:space="preserve">Interacties:</w:t>
      </w:r>
      <w:r>
        <w:t xml:space="preserve"> </w:t>
      </w:r>
      <w:r>
        <w:t xml:space="preserve">bremelanotide vertraagt kortstondig de maaglediging en verlaagde in studies de bloedspiegels van indometacine en naltrexon (Clayton 2022, PMID 35147466).</w:t>
      </w:r>
    </w:p>
    <w:bookmarkEnd w:id="753"/>
    <w:bookmarkStart w:id="754" w:name="open"/>
    <w:p>
      <w:pPr>
        <w:pStyle w:val="Heading4"/>
      </w:pPr>
      <w:r>
        <w:t xml:space="preserve">Open</w:t>
      </w:r>
    </w:p>
    <w:p>
      <w:pPr>
        <w:pStyle w:val="FirstParagraph"/>
      </w:pPr>
      <w:r>
        <w:t xml:space="preserve">Voor de zwangerschap zijn onvoldoende gegevens beschikbaar. Een kleine studie meet momenteel de overgang naar de moedermelk (NCT06867835). Langetermijngegevens van meer dan 18 maanden ontbreken.</w:t>
      </w:r>
    </w:p>
    <w:bookmarkEnd w:id="754"/>
    <w:bookmarkStart w:id="755" w:name="grijze-markt-1"/>
    <w:p>
      <w:pPr>
        <w:pStyle w:val="Heading4"/>
      </w:pPr>
      <w:r>
        <w:t xml:space="preserve">Grijze markt</w:t>
      </w:r>
    </w:p>
    <w:p>
      <w:pPr>
        <w:pStyle w:val="FirstParagraph"/>
      </w:pPr>
      <w:r>
        <w:t xml:space="preserve">Onder de naam „PT-141” wordt bremelanotide op internet aangeboden als poeder voor zelfinjectie, vaak naast melanotan II. Forensische laboratoria identificeerden beide stoffen in door de politie in beslag genomen monsters uit de bodybuildingwereld (Mestria 2021, PMID 33245851). Voor zulke producten gelden dezelfde risico’s als bij andere peptiden van de grijze markt (Deel I, hoofdstuk „De grijze markt”): onbekende zuiverheid, verkeerde hoeveelheden, verontreinigingen, niet-steriele productie. Van de bremelanotide-neusspray is bekend dat die sterker op de bloeddruk werkte; neussprays van de grijze markt zijn niet getest.</w:t>
      </w:r>
    </w:p>
    <w:bookmarkEnd w:id="755"/>
    <w:bookmarkEnd w:id="756"/>
    <w:bookmarkStart w:id="757" w:name="juridische-status-46"/>
    <w:p>
      <w:pPr>
        <w:pStyle w:val="Heading3"/>
      </w:pPr>
      <w:r>
        <w:t xml:space="preserve">Juridische status</w:t>
      </w:r>
    </w:p>
    <w:p>
      <w:pPr>
        <w:pStyle w:val="FirstParagraph"/>
      </w:pPr>
      <w:r>
        <w:rPr>
          <w:iCs/>
          <w:i/>
        </w:rPr>
        <w:t xml:space="preserve">Stand 2026, actuele situatie controleren.</w:t>
      </w:r>
    </w:p>
    <w:p>
      <w:pPr>
        <w:numPr>
          <w:ilvl w:val="0"/>
          <w:numId w:val="1255"/>
        </w:numPr>
        <w:pStyle w:val="Compact"/>
      </w:pPr>
      <w:r>
        <w:rPr>
          <w:bCs/>
          <w:b/>
        </w:rPr>
        <w:t xml:space="preserve">EU:</w:t>
      </w:r>
      <w:r>
        <w:t xml:space="preserve"> </w:t>
      </w:r>
      <w:r>
        <w:t xml:space="preserve">geen registratie, en ook geen lopende registratieprocedure bekend. Verkoop voor gebruik bij mensen is in de EU niet toegestaan.</w:t>
      </w:r>
    </w:p>
    <w:p>
      <w:pPr>
        <w:numPr>
          <w:ilvl w:val="0"/>
          <w:numId w:val="1255"/>
        </w:numPr>
        <w:pStyle w:val="Compact"/>
      </w:pPr>
      <w:r>
        <w:rPr>
          <w:bCs/>
          <w:b/>
        </w:rPr>
        <w:t xml:space="preserve">Duitsland en Oostenrijk:</w:t>
      </w:r>
      <w:r>
        <w:t xml:space="preserve"> </w:t>
      </w:r>
      <w:r>
        <w:t xml:space="preserve">geen registratie. Een individuele invoer van een in de VS geregistreerd geneesmiddel op voorschrift van een arts is juridisch in beperkte mate mogelijk; producten van de grijze markt vallen daar niet onder.</w:t>
      </w:r>
    </w:p>
    <w:p>
      <w:pPr>
        <w:numPr>
          <w:ilvl w:val="0"/>
          <w:numId w:val="1255"/>
        </w:numPr>
        <w:pStyle w:val="Compact"/>
      </w:pPr>
      <w:r>
        <w:rPr>
          <w:bCs/>
          <w:b/>
        </w:rPr>
        <w:t xml:space="preserve">VS:</w:t>
      </w:r>
      <w:r>
        <w:t xml:space="preserve"> </w:t>
      </w:r>
      <w:r>
        <w:t xml:space="preserve">geregistreerd sinds juni 2019 (Vyleesi) voor vrouwen vóór de menopauze met verworven, gegeneraliseerde HSDD. Niet geregistreerd voor mannen, voor vrouwen na de menopauze of voor het vergroten van de zin bij gezonde mensen. De handelsrechten wisselden meerdere keren van eigenaar; volgens registervermeldingen is inmiddels het bedrijf Cosette Pharmaceuticals verantwoordelijk.</w:t>
      </w:r>
    </w:p>
    <w:p>
      <w:pPr>
        <w:numPr>
          <w:ilvl w:val="0"/>
          <w:numId w:val="1255"/>
        </w:numPr>
        <w:pStyle w:val="Compact"/>
      </w:pPr>
      <w:r>
        <w:rPr>
          <w:bCs/>
          <w:b/>
        </w:rPr>
        <w:t xml:space="preserve">Andere landen:</w:t>
      </w:r>
      <w:r>
        <w:t xml:space="preserve"> </w:t>
      </w:r>
      <w:r>
        <w:t xml:space="preserve">in Zuid-Korea liep een overbruggingsstudie met 193 vrouwen voor een registratie aldaar (NCT04943068).</w:t>
      </w:r>
    </w:p>
    <w:p>
      <w:pPr>
        <w:numPr>
          <w:ilvl w:val="0"/>
          <w:numId w:val="1255"/>
        </w:numPr>
        <w:pStyle w:val="Compact"/>
      </w:pPr>
      <w:r>
        <w:rPr>
          <w:bCs/>
          <w:b/>
        </w:rPr>
        <w:t xml:space="preserve">WADA:</w:t>
      </w:r>
      <w:r>
        <w:t xml:space="preserve"> </w:t>
      </w:r>
      <w:r>
        <w:t xml:space="preserve">niet bij naam vermeld. Controleer de actuele verboden lijst.</w:t>
      </w:r>
    </w:p>
    <w:bookmarkEnd w:id="757"/>
    <w:bookmarkStart w:id="758" w:name="lopende-studies-en-vooruitzichten-46"/>
    <w:p>
      <w:pPr>
        <w:pStyle w:val="Heading3"/>
      </w:pPr>
      <w:r>
        <w:t xml:space="preserve">Lopende studies en vooruitzichten</w:t>
      </w:r>
    </w:p>
    <w:p>
      <w:pPr>
        <w:pStyle w:val="FirstParagraph"/>
      </w:pPr>
      <w:r>
        <w:rPr>
          <w:bCs/>
          <w:b/>
        </w:rPr>
        <w:t xml:space="preserve">Zeker (geregistreerde studies):</w:t>
      </w:r>
    </w:p>
    <w:p>
      <w:pPr>
        <w:numPr>
          <w:ilvl w:val="0"/>
          <w:numId w:val="1256"/>
        </w:numPr>
        <w:pStyle w:val="Compact"/>
      </w:pPr>
      <w:r>
        <w:t xml:space="preserve">Een fase 2-studie met 108 personen test bremelanotide als aanvulling op tirzepatide bij obesitas (NCT06565611). De achtergrond is het eetlustremmende effect via MC4R. Gepubliceerde, peer-reviewed resultaten stonden bij het afsluiten van de redactie niet in PubMed.</w:t>
      </w:r>
    </w:p>
    <w:p>
      <w:pPr>
        <w:numPr>
          <w:ilvl w:val="0"/>
          <w:numId w:val="1256"/>
        </w:numPr>
        <w:pStyle w:val="Compact"/>
      </w:pPr>
      <w:r>
        <w:t xml:space="preserve">Een kleine open fase 2-studie met 16 personen bij diabetische nierziekte is afgerond (NCT05709444), eveneens zonder gepubliceerd resultaat in PubMed.</w:t>
      </w:r>
    </w:p>
    <w:p>
      <w:pPr>
        <w:numPr>
          <w:ilvl w:val="0"/>
          <w:numId w:val="1256"/>
        </w:numPr>
        <w:pStyle w:val="Compact"/>
      </w:pPr>
      <w:r>
        <w:t xml:space="preserve">De borstvoedingsstudie (NCT06867835) met 10 vrouwen werd in 2025 afgerond.</w:t>
      </w:r>
    </w:p>
    <w:p>
      <w:pPr>
        <w:pStyle w:val="FirstParagraph"/>
      </w:pPr>
      <w:r>
        <w:rPr>
          <w:bCs/>
          <w:b/>
        </w:rPr>
        <w:t xml:space="preserve">Inschatting van de auteur:</w:t>
      </w:r>
      <w:r>
        <w:t xml:space="preserve"> </w:t>
      </w:r>
      <w:r>
        <w:t xml:space="preserve">voor registratie in Europa ontbreekt naar de huidige stand de commerciële interesse; een aanvraag is niet bekend. Interessanter is de rol van MC4R in het obesitasonderzoek, waar met setmelanotide (hoofdstuk in Deel II · A) al een MC4R-agonist voor zeldzame genetische vormen is geregistreerd. Of bremelanotide hier een niche vindt, hangt af van de nog uitstaande studieresultaten.</w:t>
      </w:r>
    </w:p>
    <w:bookmarkEnd w:id="758"/>
    <w:bookmarkStart w:id="759" w:name="conclusie-46"/>
    <w:p>
      <w:pPr>
        <w:pStyle w:val="Heading3"/>
      </w:pPr>
      <w:r>
        <w:t xml:space="preserve">Conclusie</w:t>
      </w:r>
    </w:p>
    <w:p>
      <w:pPr>
        <w:pStyle w:val="FirstParagraph"/>
      </w:pPr>
      <w:r>
        <w:t xml:space="preserve">Bremelanotide is het enige geregistreerde geneesmiddel dat via het melanocortinesysteem in de hersenen op het seksueel verlangen gericht is – zij het alleen in de VS en alleen voor een nauw omschreven groep vrouwen. In twee grote fase 3-studies verbeterden verlangen en lijdensdruk statistisch eenduidig, maar in kleine mate en bij een groot placebo-effect. Misselijkheid treft bijna de helft van de gebruiksters en leidt vaak tot stoppen; kortstondige bloeddrukstijgingen vragen om voorzichtigheid bij cardiovasculaire risico’s. Producten van de grijze markt onder de naam „PT-141” zijn niet getest, en voor mannen of mensen zonder diagnose ontbreekt elk bewijs dat voor registratie zou volstaan.</w:t>
      </w:r>
    </w:p>
    <w:bookmarkEnd w:id="759"/>
    <w:bookmarkEnd w:id="760"/>
    <w:bookmarkStart w:id="776" w:name="melanotan-ii"/>
    <w:p>
      <w:pPr>
        <w:pStyle w:val="Heading2"/>
      </w:pPr>
      <w:r>
        <w:t xml:space="preserve">Melanotan II</w:t>
      </w:r>
    </w:p>
    <w:bookmarkStart w:id="761" w:name="profiel-47"/>
    <w:p>
      <w:pPr>
        <w:pStyle w:val="Heading3"/>
      </w:pPr>
      <w:r>
        <w:t xml:space="preserve">Profiel</w:t>
      </w:r>
    </w:p>
    <w:p>
      <w:pPr>
        <w:numPr>
          <w:ilvl w:val="0"/>
          <w:numId w:val="1257"/>
        </w:numPr>
        <w:pStyle w:val="Compact"/>
      </w:pPr>
      <w:r>
        <w:rPr>
          <w:bCs/>
          <w:b/>
        </w:rPr>
        <w:t xml:space="preserve">Soort/structuur:</w:t>
      </w:r>
      <w:r>
        <w:t xml:space="preserve"> </w:t>
      </w:r>
      <w:r>
        <w:t xml:space="preserve">ringvormig (cyclisch) peptide van zeven aminozuren, een ingekorte en chemisch gestabiliseerde variant van het lichaamseigen hormoon alfa-MSH. De ringstructuur beschermt tegen snelle afbraak en maakt het molecuul duidelijk werkzamer dan het natuurlijke voorbeeld (Dorr 1996, PMID 8637402).</w:t>
      </w:r>
    </w:p>
    <w:p>
      <w:pPr>
        <w:numPr>
          <w:ilvl w:val="0"/>
          <w:numId w:val="1257"/>
        </w:numPr>
        <w:pStyle w:val="Compact"/>
      </w:pPr>
      <w:r>
        <w:rPr>
          <w:bCs/>
          <w:b/>
        </w:rPr>
        <w:t xml:space="preserve">Herkomst:</w:t>
      </w:r>
      <w:r>
        <w:t xml:space="preserve"> </w:t>
      </w:r>
      <w:r>
        <w:t xml:space="preserve">eind jaren 1980 en begin jaren 1990 ontwikkeld aan de Universiteit van Arizona in Tucson, oorspronkelijk met als doel bruining zonder zon op te wekken en zo huidkanker te voorkomen (Hadley 2006, PMID 16412534).</w:t>
      </w:r>
    </w:p>
    <w:p>
      <w:pPr>
        <w:numPr>
          <w:ilvl w:val="0"/>
          <w:numId w:val="1257"/>
        </w:numPr>
        <w:pStyle w:val="Compact"/>
      </w:pPr>
      <w:r>
        <w:rPr>
          <w:bCs/>
          <w:b/>
        </w:rPr>
        <w:t xml:space="preserve">Werkingsprincipe:</w:t>
      </w:r>
      <w:r>
        <w:t xml:space="preserve"> </w:t>
      </w:r>
      <w:r>
        <w:t xml:space="preserve">niet-selectieve agonist van melanocortinereceptoren: MC1R (pigmentvorming in de huid), MC3R en MC4R (eetlust, seksuele functie) en andere.</w:t>
      </w:r>
    </w:p>
    <w:p>
      <w:pPr>
        <w:numPr>
          <w:ilvl w:val="0"/>
          <w:numId w:val="1257"/>
        </w:numPr>
        <w:pStyle w:val="Compact"/>
      </w:pPr>
      <w:r>
        <w:rPr>
          <w:bCs/>
          <w:b/>
        </w:rPr>
        <w:t xml:space="preserve">Registratie EU:</w:t>
      </w:r>
      <w:r>
        <w:t xml:space="preserve"> </w:t>
      </w:r>
      <w:r>
        <w:t xml:space="preserve">nee.</w:t>
      </w:r>
    </w:p>
    <w:p>
      <w:pPr>
        <w:numPr>
          <w:ilvl w:val="0"/>
          <w:numId w:val="1257"/>
        </w:numPr>
        <w:pStyle w:val="Compact"/>
      </w:pPr>
      <w:r>
        <w:rPr>
          <w:bCs/>
          <w:b/>
        </w:rPr>
        <w:t xml:space="preserve">Registratie VS:</w:t>
      </w:r>
      <w:r>
        <w:t xml:space="preserve"> </w:t>
      </w:r>
      <w:r>
        <w:t xml:space="preserve">nee.</w:t>
      </w:r>
    </w:p>
    <w:p>
      <w:pPr>
        <w:numPr>
          <w:ilvl w:val="0"/>
          <w:numId w:val="1257"/>
        </w:numPr>
        <w:pStyle w:val="Compact"/>
      </w:pPr>
      <w:r>
        <w:rPr>
          <w:bCs/>
          <w:b/>
        </w:rPr>
        <w:t xml:space="preserve">WADA:</w:t>
      </w:r>
      <w:r>
        <w:t xml:space="preserve"> </w:t>
      </w:r>
      <w:r>
        <w:t xml:space="preserve">niet bij naam genoemd; als nergens geregistreerde werkzame stof valt het onder groep S0 (niet-goedgekeurde substanties) en is het daarmee altijd verboden (stand 2026, actuele situatie controleren).</w:t>
      </w:r>
    </w:p>
    <w:p>
      <w:pPr>
        <w:numPr>
          <w:ilvl w:val="0"/>
          <w:numId w:val="1257"/>
        </w:numPr>
        <w:pStyle w:val="Compact"/>
      </w:pPr>
      <w:r>
        <w:rPr>
          <w:bCs/>
          <w:b/>
        </w:rPr>
        <w:t xml:space="preserve">Bewijsniveau:</w:t>
      </w:r>
      <w:r>
        <w:t xml:space="preserve"> </w:t>
      </w:r>
      <w:r>
        <w:rPr>
          <w:bCs/>
          <w:b/>
        </w:rPr>
        <w:t xml:space="preserve">C</w:t>
      </w:r>
      <w:r>
        <w:t xml:space="preserve"> </w:t>
      </w:r>
      <w:r>
        <w:t xml:space="preserve">– alleen zeer kleine pilotstudies uit de jaren 1990 met in totaal ongeveer twee dozijn deelnemers, aangevuld met talrijke casusbeschrijvingen over bijwerkingen bij ongecontroleerd eigen gebruik.</w:t>
      </w:r>
    </w:p>
    <w:bookmarkEnd w:id="761"/>
    <w:bookmarkStart w:id="762" w:name="hoe-het-zou-moeten-werken-47"/>
    <w:p>
      <w:pPr>
        <w:pStyle w:val="Heading3"/>
      </w:pPr>
      <w:r>
        <w:t xml:space="preserve">Hoe het zou moeten werken</w:t>
      </w:r>
    </w:p>
    <w:p>
      <w:pPr>
        <w:pStyle w:val="FirstParagraph"/>
      </w:pPr>
      <w:r>
        <w:t xml:space="preserve">De huid wordt bruin wanneer pigmentcellen (melanocyten) meer melanine aanmaken. Het signaal daarvoor komt onder meer van het hormoon alfa-MSH, dat bindt aan de receptor MC1R op de pigmentcellen. Na zonnebaden stijgt de aanmaak van alfa-MSH in de huid en schakelen de pigmentcellen over op het donkere, beschermende eumelanine.</w:t>
      </w:r>
    </w:p>
    <w:p>
      <w:pPr>
        <w:pStyle w:val="BodyText"/>
      </w:pPr>
      <w:r>
        <w:t xml:space="preserve">Melanotan II bootst dit signaal na – zonder dat uv-straling eerst de huid hoeft te beschadigen. Dat was het oorspronkelijke idee: een „bruine kleur uit de spuit” die tegen zonnebrand beschermt. Het probleem: melanotan II bindt niet alleen aan MC1R, maar ook aan de receptoren MC3R en MC4R in de hersenen. Die sturen eetlust, energieverbruik en seksuele opwinding aan. Daar komen de typische bijkomende effecten vandaan: misselijkheid, gapen en strekken, verminderde eetlust en spontane erecties.</w:t>
      </w:r>
    </w:p>
    <w:p>
      <w:pPr>
        <w:pStyle w:val="BodyText"/>
      </w:pPr>
      <w:r>
        <w:t xml:space="preserve">Uit het onderzoek naar deze „bijwerking” kwamen twee andere werkzame stoffen voort die, in tegenstelling tot melanotan II, klinisch verder werden ontwikkeld:</w:t>
      </w:r>
    </w:p>
    <w:p>
      <w:pPr>
        <w:numPr>
          <w:ilvl w:val="0"/>
          <w:numId w:val="1258"/>
        </w:numPr>
        <w:pStyle w:val="Compact"/>
      </w:pPr>
      <w:r>
        <w:rPr>
          <w:bCs/>
          <w:b/>
        </w:rPr>
        <w:t xml:space="preserve">Afamelanotide</w:t>
      </w:r>
      <w:r>
        <w:t xml:space="preserve">, vroeger melanotan I genoemd, is een lineair, langer molecuul dat bij voorkeur op de huid werkt en als implantaat is geregistreerd voor een zeldzame lichtziekte (hoofdstuk 2E03).</w:t>
      </w:r>
    </w:p>
    <w:p>
      <w:pPr>
        <w:numPr>
          <w:ilvl w:val="0"/>
          <w:numId w:val="1258"/>
        </w:numPr>
        <w:pStyle w:val="Compact"/>
      </w:pPr>
      <w:r>
        <w:rPr>
          <w:bCs/>
          <w:b/>
        </w:rPr>
        <w:t xml:space="preserve">Bremelanotide</w:t>
      </w:r>
      <w:r>
        <w:t xml:space="preserve"> </w:t>
      </w:r>
      <w:r>
        <w:t xml:space="preserve">(PT-141) is een licht gewijzigde vorm van melanotan II, die in de VS is geregistreerd voor de behandeling van gering seksueel verlangen bij vrouwen (hoofdstuk 2E01).</w:t>
      </w:r>
    </w:p>
    <w:p>
      <w:pPr>
        <w:pStyle w:val="FirstParagraph"/>
      </w:pPr>
      <w:r>
        <w:t xml:space="preserve">Op internet worden deze namen vaak door elkaar gebruikt. „Melanotan” zonder toevoeging kan afhankelijk van de aanbieder het ene of het andere betekenen – of iets heel anders (Langan 2011, PMID 21547334).</w:t>
      </w:r>
    </w:p>
    <w:bookmarkEnd w:id="762"/>
    <w:bookmarkStart w:id="766" w:name="studies-bij-mensen-47"/>
    <w:p>
      <w:pPr>
        <w:pStyle w:val="Heading3"/>
      </w:pPr>
      <w:r>
        <w:t xml:space="preserve">Studies bij mensen</w:t>
      </w:r>
    </w:p>
    <w:p>
      <w:pPr>
        <w:pStyle w:val="FirstParagraph"/>
      </w:pPr>
      <w:r>
        <w:rPr>
          <w:bCs/>
          <w:b/>
        </w:rPr>
        <w:t xml:space="preserve">Omvang van het onderzoek (zoekopdracht oktober 2026):</w:t>
      </w:r>
      <w:r>
        <w:t xml:space="preserve"> </w:t>
      </w:r>
      <w:r>
        <w:t xml:space="preserve">De geautomatiseerde zoekopdracht van dit boek vond</w:t>
      </w:r>
      <w:r>
        <w:t xml:space="preserve"> </w:t>
      </w:r>
      <w:r>
        <w:rPr>
          <w:bCs/>
          <w:b/>
        </w:rPr>
        <w:t xml:space="preserve">8</w:t>
      </w:r>
      <w:r>
        <w:t xml:space="preserve"> </w:t>
      </w:r>
      <w:r>
        <w:t xml:space="preserve">studies bij mensen in PubMed (</w:t>
      </w:r>
      <w:r>
        <w:rPr>
          <w:rStyle w:val="VerbatimChar"/>
        </w:rPr>
        <w:t xml:space="preserve">humanstudien_alle</w:t>
      </w:r>
      <w:r>
        <w:t xml:space="preserve">) en één enkele registratie bij ClinicalTrials.gov, die bij controle niet betrouwbaar bleek (zie vooruitzichten) – er zijn dus</w:t>
      </w:r>
      <w:r>
        <w:t xml:space="preserve"> </w:t>
      </w:r>
      <w:r>
        <w:rPr>
          <w:bCs/>
          <w:b/>
        </w:rPr>
        <w:t xml:space="preserve">0</w:t>
      </w:r>
      <w:r>
        <w:t xml:space="preserve"> </w:t>
      </w:r>
      <w:r>
        <w:t xml:space="preserve">betrouwbare geregistreerde studies. Ook het PubMed-getal misleidt: vier van de acht studies onderzochten melanotan I, dus het latere afamelanotide, en niet melanotan II. Over melanotan II zelf bestaan slechts drie kleine oorspronkelijke studies en een samenvatting van dezelfde onderzoeksgroep. Veel uitgebreider is de literatuur over bijwerkingen: casusbeschrijvingen, casusreeksen, analyses van internetfora en laboratoriumonderzoek van producten van de grijze markt.</w:t>
      </w:r>
    </w:p>
    <w:bookmarkStart w:id="763" w:name="de-klinische-studies-uit-de-jaren-1990"/>
    <w:p>
      <w:pPr>
        <w:pStyle w:val="Heading4"/>
      </w:pPr>
      <w:r>
        <w:t xml:space="preserve">De klinische studies uit de jaren 1990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Deelnemers en opzet</w:t>
            </w:r>
          </w:p>
        </w:tc>
        <w:tc>
          <w:tcPr/>
          <w:p>
            <w:pPr>
              <w:pStyle w:val="Compact"/>
              <w:jc w:val="left"/>
            </w:pPr>
            <w:r>
              <w:t xml:space="preserve">Duur</w:t>
            </w:r>
          </w:p>
        </w:tc>
        <w:tc>
          <w:tcPr/>
          <w:p>
            <w:pPr>
              <w:pStyle w:val="Compact"/>
              <w:jc w:val="left"/>
            </w:pPr>
            <w:r>
              <w:t xml:space="preserve">Resultaat</w:t>
            </w:r>
          </w:p>
        </w:tc>
      </w:tr>
      <w:tr>
        <w:tc>
          <w:tcPr/>
          <w:p>
            <w:pPr>
              <w:pStyle w:val="Compact"/>
              <w:jc w:val="left"/>
            </w:pPr>
            <w:r>
              <w:t xml:space="preserve">Dorr 1996, PMID 8637402</w:t>
            </w:r>
          </w:p>
        </w:tc>
        <w:tc>
          <w:tcPr/>
          <w:p>
            <w:pPr>
              <w:pStyle w:val="Compact"/>
              <w:jc w:val="left"/>
            </w:pPr>
            <w:r>
              <w:t xml:space="preserve">3 gezonde mannen, enkelblind, afwisselend werkzame stof en zoutoplossing</w:t>
            </w:r>
          </w:p>
        </w:tc>
        <w:tc>
          <w:tcPr/>
          <w:p>
            <w:pPr>
              <w:pStyle w:val="Compact"/>
              <w:jc w:val="left"/>
            </w:pPr>
            <w:r>
              <w:t xml:space="preserve">2 weken</w:t>
            </w:r>
          </w:p>
        </w:tc>
        <w:tc>
          <w:tcPr/>
          <w:p>
            <w:pPr>
              <w:pStyle w:val="Compact"/>
              <w:jc w:val="left"/>
            </w:pPr>
            <w:r>
              <w:t xml:space="preserve">Bruining van gezicht, bovenlichaam en billen bij 2 van 3; spontane erecties; misselijkheid, vermoeidheid</w:t>
            </w:r>
          </w:p>
        </w:tc>
      </w:tr>
      <w:tr>
        <w:tc>
          <w:tcPr/>
          <w:p>
            <w:pPr>
              <w:pStyle w:val="Compact"/>
              <w:jc w:val="left"/>
            </w:pPr>
            <w:r>
              <w:t xml:space="preserve">Wessells 1998, PMID 9679884</w:t>
            </w:r>
          </w:p>
        </w:tc>
        <w:tc>
          <w:tcPr/>
          <w:p>
            <w:pPr>
              <w:pStyle w:val="Compact"/>
              <w:jc w:val="left"/>
            </w:pPr>
            <w:r>
              <w:t xml:space="preserve">10 mannen met psychisch bepaalde erectiestoornis, dubbelblinde cross-overstudie tegen placebo</w:t>
            </w:r>
          </w:p>
        </w:tc>
        <w:tc>
          <w:tcPr/>
          <w:p>
            <w:pPr>
              <w:pStyle w:val="Compact"/>
              <w:jc w:val="left"/>
            </w:pPr>
            <w:r>
              <w:t xml:space="preserve">Eenmalige doses</w:t>
            </w:r>
          </w:p>
        </w:tc>
        <w:tc>
          <w:tcPr/>
          <w:p>
            <w:pPr>
              <w:pStyle w:val="Compact"/>
              <w:jc w:val="left"/>
            </w:pPr>
            <w:r>
              <w:t xml:space="preserve">Erecties bij 8 van 10; duur van hoge stijfheid 38,0 vs. 3,0 minuten</w:t>
            </w:r>
          </w:p>
        </w:tc>
      </w:tr>
      <w:tr>
        <w:tc>
          <w:tcPr/>
          <w:p>
            <w:pPr>
              <w:pStyle w:val="Compact"/>
              <w:jc w:val="left"/>
            </w:pPr>
            <w:r>
              <w:t xml:space="preserve">Wessells 2000, PMID 11018622</w:t>
            </w:r>
          </w:p>
        </w:tc>
        <w:tc>
          <w:tcPr/>
          <w:p>
            <w:pPr>
              <w:pStyle w:val="Compact"/>
              <w:jc w:val="left"/>
            </w:pPr>
            <w:r>
              <w:t xml:space="preserve">10 mannen met organisch bepaalde erectiestoornis, dubbelblinde cross-overstudie</w:t>
            </w:r>
          </w:p>
        </w:tc>
        <w:tc>
          <w:tcPr/>
          <w:p>
            <w:pPr>
              <w:pStyle w:val="Compact"/>
              <w:jc w:val="left"/>
            </w:pPr>
            <w:r>
              <w:t xml:space="preserve">Eenmalige doses</w:t>
            </w:r>
          </w:p>
        </w:tc>
        <w:tc>
          <w:tcPr/>
          <w:p>
            <w:pPr>
              <w:pStyle w:val="Compact"/>
              <w:jc w:val="left"/>
            </w:pPr>
            <w:r>
              <w:t xml:space="preserve">Erecties na 12 van 19 injecties vs. 1 van 21 placebodoses; 4 van 19 injecties met sterke misselijkheid</w:t>
            </w:r>
          </w:p>
        </w:tc>
      </w:tr>
      <w:tr>
        <w:tc>
          <w:tcPr/>
          <w:p>
            <w:pPr>
              <w:pStyle w:val="Compact"/>
              <w:jc w:val="left"/>
            </w:pPr>
            <w:r>
              <w:t xml:space="preserve">Wessells 2000 (samenvatting), PMID 11035391</w:t>
            </w:r>
          </w:p>
        </w:tc>
        <w:tc>
          <w:tcPr/>
          <w:p>
            <w:pPr>
              <w:pStyle w:val="Compact"/>
              <w:jc w:val="left"/>
            </w:pPr>
            <w:r>
              <w:t xml:space="preserve">beide studies samen, 20 mannen</w:t>
            </w:r>
          </w:p>
        </w:tc>
        <w:tc>
          <w:tcPr/>
          <w:p>
            <w:pPr>
              <w:pStyle w:val="Compact"/>
              <w:jc w:val="left"/>
            </w:pPr>
            <w:r>
              <w:t xml:space="preserve">Eenmalige doses</w:t>
            </w:r>
          </w:p>
        </w:tc>
        <w:tc>
          <w:tcPr/>
          <w:p>
            <w:pPr>
              <w:pStyle w:val="Compact"/>
              <w:jc w:val="left"/>
            </w:pPr>
            <w:r>
              <w:t xml:space="preserve">Erecties zonder seksuele prikkels bij 17 van 20; meer verlangen na 68% vs. 19% van de doses</w:t>
            </w:r>
          </w:p>
        </w:tc>
      </w:tr>
    </w:tbl>
    <w:p>
      <w:pPr>
        <w:pStyle w:val="BodyText"/>
      </w:pPr>
      <w:r>
        <w:t xml:space="preserve">De eerste studie bij mensen (Dorr 1996, PMID 8637402) was een pilotstudie met slechts drie mannen. Al hier verschenen alle effecten die gebruikers later op internet beschrijven: twee van de drie mannen werden zichtbaar bruin, lichte misselijkheid trad op bij de meeste dosisniveaus, één kreeg sterkere vermoeidheid. Een „strek- en gaapcomplex” ging gepaard met spontane erecties, die afhankelijk van de dosis één tot vijf uur lang telkens terugkwamen.</w:t>
      </w:r>
    </w:p>
    <w:p>
      <w:pPr>
        <w:pStyle w:val="BodyText"/>
      </w:pPr>
      <w:r>
        <w:t xml:space="preserve">De onderzoeksgroep rond de uroloog Hunter Wessells volgde daarna het erectie-effect. In twee kleine cross-overstudies (elke deelnemer kreeg in willekeurige volgorde werkzame stof en placebo) wekte melanotan II bij de meerderheid van de mannen met een erectiestoornis erecties op, ook zonder seksuele prikkels (Wessells 1998, PMID 9679884; Wessells 2000, PMID 11018622). In de samenvatting van beide studies meldden de mannen na 68% van de melanotandoses een verhoogd verlangen, na placebo bij 19%. Bij 12,9% trad sterke misselijkheid op (Wessells 2000, PMID 11035391).</w:t>
      </w:r>
    </w:p>
    <w:p>
      <w:pPr>
        <w:pStyle w:val="BodyText"/>
      </w:pPr>
      <w:r>
        <w:t xml:space="preserve">Daarna eindigde het klinisch onderzoek naar melanotan II. De ontwikkeling stapte over op bremelanotide, dat als neusspray en later als injectie werd getest. Over bruining van de huid bij gezonde mensen bestaat geen enkele gecontroleerde studie met melanotan II.</w:t>
      </w:r>
    </w:p>
    <w:bookmarkEnd w:id="763"/>
    <w:bookmarkStart w:id="764" w:name="de-studies-over-melanotan-i"/>
    <w:p>
      <w:pPr>
        <w:pStyle w:val="Heading4"/>
      </w:pPr>
      <w:r>
        <w:t xml:space="preserve">De studies over melanotan I</w:t>
      </w:r>
    </w:p>
    <w:p>
      <w:pPr>
        <w:pStyle w:val="FirstParagraph"/>
      </w:pPr>
      <w:r>
        <w:t xml:space="preserve">Ter plaatsing: de overige studies uit de databasezoekopdracht betreffen melanotan I. Daarin vormden vrijwilligers na injecties meer eumelanine, in de huid van de onderarm bijna twee keer zoveel als daarvoor (Dorr 2000, PMID 11045725). In combinatie met zonlicht werd de bruine kleur sterker en hield ze langer aan (Dorr 2004, PMID 15262693). Deze resultaten horen bij de geschiedenis van afamelanotide en kunnen niet worden overgedragen op melanotan II, dat sterker in de hersenen werkt.</w:t>
      </w:r>
    </w:p>
    <w:bookmarkEnd w:id="764"/>
    <w:bookmarkStart w:id="765" w:name="wie-melanotan-ii-gebruikt"/>
    <w:p>
      <w:pPr>
        <w:pStyle w:val="Heading4"/>
      </w:pPr>
      <w:r>
        <w:t xml:space="preserve">Wie melanotan II gebruikt</w:t>
      </w:r>
    </w:p>
    <w:p>
      <w:pPr>
        <w:pStyle w:val="FirstParagraph"/>
      </w:pPr>
      <w:r>
        <w:t xml:space="preserve">Omdat melanotan II nooit is geregistreerd, komt bijna alle kennis over het huidige gebruik uit waarnemingen buiten studies. Al in 2009 beschreven Britse deskundigen in het British Medical Journal de verspreiding van melanotan I en II onder de algemene bevolking (Evans-Brown 2009, PMID 19224885). Een systematisch overzicht rekende melanotan tot de vaak geïnjecteerde middelen voor lichaams- en prestatieoptimalisatie, naast anabole steroïden en groeihormoon (Brennan 2017, PMID 26806443).</w:t>
      </w:r>
    </w:p>
    <w:p>
      <w:pPr>
        <w:pStyle w:val="BodyText"/>
      </w:pPr>
      <w:r>
        <w:t xml:space="preserve">Een analyse van Britse en Ierse internetfora uit 2016 en 2017 beoordeelde 623 berichten van 205 personen (Gilhooley 2021, PMID 34464955). Als motieven noemden de gebruikers vooral een gebruinde teint vóór vakanties en vóór bodybuildingwedstrijden. De fora lieten desinformatie zien, zelf bedachte doseringsschema’s, de combinatie met zonnebanken en andere riskante praktijken. Een online-enquête onder gebruikers beschrijft hoe gemakkelijk de stof te verkrijgen was (Callaghan 2018, PMID 30142729).</w:t>
      </w:r>
    </w:p>
    <w:p>
      <w:pPr>
        <w:pStyle w:val="BodyText"/>
      </w:pPr>
      <w:r>
        <w:t xml:space="preserve">In de afgelopen jaren is de reclame steeds meer verschoven naar sociale media zoals TikTok, waar melanotan als „Barbie Drug” wordt aangeprezen. Meerdere dermatologische vaktijdschriften hebben zulke inhoud geanalyseerd en waarschuwen tegen het bagatelliseren ervan (Orr 2025, PMID 38808957; Herlihy 2025, PMID 39148422; Sidhu 2026, PMID 41559011).</w:t>
      </w:r>
    </w:p>
    <w:bookmarkEnd w:id="765"/>
    <w:bookmarkEnd w:id="766"/>
    <w:bookmarkStart w:id="767" w:name="dier--en-laboratoriumstudies-47"/>
    <w:p>
      <w:pPr>
        <w:pStyle w:val="Heading3"/>
      </w:pPr>
      <w:r>
        <w:t xml:space="preserve">Dier- en laboratoriumstudies</w:t>
      </w:r>
    </w:p>
    <w:p>
      <w:pPr>
        <w:pStyle w:val="FirstParagraph"/>
      </w:pPr>
      <w:r>
        <w:t xml:space="preserve">Melanotan II is in het fundamenteel onderzoek een standaardinstrument om melanocortinereceptoren te activeren. Dierproeven zijn daarom talrijk, maar beantwoorden meestal vragen uit het hersenonderzoek en gaan niet over de veiligheid bij mensen:</w:t>
      </w:r>
    </w:p>
    <w:p>
      <w:pPr>
        <w:numPr>
          <w:ilvl w:val="0"/>
          <w:numId w:val="1259"/>
        </w:numPr>
        <w:pStyle w:val="Compact"/>
      </w:pPr>
      <w:r>
        <w:rPr>
          <w:bCs/>
          <w:b/>
        </w:rPr>
        <w:t xml:space="preserve">Gewicht en vet:</w:t>
      </w:r>
      <w:r>
        <w:t xml:space="preserve"> </w:t>
      </w:r>
      <w:r>
        <w:t xml:space="preserve">bij muizen en ratten met overgewicht op een vetrijk dieet verlaagde melanotan II het gewicht en de vetmassa, vooral via een lagere voedselinname (Strader 2007, PMID 17567964).</w:t>
      </w:r>
    </w:p>
    <w:p>
      <w:pPr>
        <w:numPr>
          <w:ilvl w:val="0"/>
          <w:numId w:val="1259"/>
        </w:numPr>
        <w:pStyle w:val="Compact"/>
      </w:pPr>
      <w:r>
        <w:rPr>
          <w:bCs/>
          <w:b/>
        </w:rPr>
        <w:t xml:space="preserve">Lichaamstemperatuur:</w:t>
      </w:r>
      <w:r>
        <w:t xml:space="preserve"> </w:t>
      </w:r>
      <w:r>
        <w:t xml:space="preserve">bij muizen veroorzaakte het een tijdelijke sterke onderkoeling, gemedieerd door mestcellen en histamine (Jain 2018, PMID 29812984).</w:t>
      </w:r>
    </w:p>
    <w:p>
      <w:pPr>
        <w:numPr>
          <w:ilvl w:val="0"/>
          <w:numId w:val="1259"/>
        </w:numPr>
        <w:pStyle w:val="Compact"/>
      </w:pPr>
      <w:r>
        <w:rPr>
          <w:bCs/>
          <w:b/>
        </w:rPr>
        <w:t xml:space="preserve">Sociaal gedrag:</w:t>
      </w:r>
      <w:r>
        <w:t xml:space="preserve"> </w:t>
      </w:r>
      <w:r>
        <w:t xml:space="preserve">in een muismodel voor autisme verbeterde een toediening van een week de maten voor sociaal gedrag (Minakova 2019, PMID 30629642). De vermoede route loopt via een activering van het oxytocinesysteem (hoofdstuk 2E05).</w:t>
      </w:r>
    </w:p>
    <w:p>
      <w:pPr>
        <w:pStyle w:val="FirstParagraph"/>
      </w:pPr>
      <w:r>
        <w:t xml:space="preserve">Geen van deze resultaten is bij mensen bevestigd.</w:t>
      </w:r>
    </w:p>
    <w:bookmarkEnd w:id="767"/>
    <w:bookmarkStart w:id="772" w:name="risicos-en-bijwerkingen-47"/>
    <w:p>
      <w:pPr>
        <w:pStyle w:val="Heading3"/>
      </w:pPr>
      <w:r>
        <w:t xml:space="preserve">Risico’s en bijwerkingen</w:t>
      </w:r>
    </w:p>
    <w:p>
      <w:pPr>
        <w:pStyle w:val="FirstParagraph"/>
      </w:pPr>
      <w:r>
        <w:t xml:space="preserve">De risico’s van melanotan II zijn in drie groepen in te delen: de te verwachten effecten via de melanocortinereceptoren, de huidveranderingen met de open vraag naar huidkanker, en ernstige afzonderlijke gevallen.</w:t>
      </w:r>
    </w:p>
    <w:bookmarkStart w:id="768" w:name="te-verwachten-effecten"/>
    <w:p>
      <w:pPr>
        <w:pStyle w:val="Heading4"/>
      </w:pPr>
      <w:r>
        <w:t xml:space="preserve">Te verwachten effecten</w:t>
      </w:r>
    </w:p>
    <w:p>
      <w:pPr>
        <w:pStyle w:val="FirstParagraph"/>
      </w:pPr>
      <w:r>
        <w:t xml:space="preserve">Misselijkheid, roodheid van het gezicht, gapen en strekken, verlies van eetlust, vermoeidheid en spontane erecties traden al in de studies op (Dorr 1996, PMID 8637402; Wessells 2000, PMID 11035391). De pigmentatie betreft niet alleen de huid: casusbeschrijvingen beschrijven dwarslopende donkere strepen in de vingernagels (Paurobally 2013, PMID 22182016) en pigmentveranderingen van het mondslijmvlies (Bonchev 2026, PMID 41752902). Paradoxaal genoeg zijn ook lichte, ontkleurde vlekken beschreven (Ume 2026, PMID 42212476).</w:t>
      </w:r>
    </w:p>
    <w:bookmarkEnd w:id="768"/>
    <w:bookmarkStart w:id="769" w:name="moedervlekken-en-melanoom"/>
    <w:p>
      <w:pPr>
        <w:pStyle w:val="Heading4"/>
      </w:pPr>
      <w:r>
        <w:t xml:space="preserve">Moedervlekken en melanoom</w:t>
      </w:r>
    </w:p>
    <w:p>
      <w:pPr>
        <w:pStyle w:val="FirstParagraph"/>
      </w:pPr>
      <w:r>
        <w:t xml:space="preserve">Dit is de zorg die dermatologen het meest bezighoudt. Melanotan II stimuleert alle pigmentcellen, ook die in bestaande moedervlekken (naevi). Meerdere casusbeschrijvingen beschrijven:</w:t>
      </w:r>
    </w:p>
    <w:p>
      <w:pPr>
        <w:numPr>
          <w:ilvl w:val="0"/>
          <w:numId w:val="1260"/>
        </w:numPr>
        <w:pStyle w:val="Compact"/>
      </w:pPr>
      <w:r>
        <w:rPr>
          <w:bCs/>
          <w:b/>
        </w:rPr>
        <w:t xml:space="preserve">nieuw ontstane moedervlekken in groten getale</w:t>
      </w:r>
      <w:r>
        <w:t xml:space="preserve"> </w:t>
      </w:r>
      <w:r>
        <w:t xml:space="preserve">(eruptieve naevi) na melanotaninjecties (Cousen 2009, PMID 19575725; Thestrup-Pedersen 2011, PMID 21453640), deels met een opvallend, atypisch uiterlijk (Reid 2013, PMID 23914578);</w:t>
      </w:r>
    </w:p>
    <w:p>
      <w:pPr>
        <w:numPr>
          <w:ilvl w:val="0"/>
          <w:numId w:val="1260"/>
        </w:numPr>
        <w:pStyle w:val="Compact"/>
      </w:pPr>
      <w:r>
        <w:rPr>
          <w:bCs/>
          <w:b/>
        </w:rPr>
        <w:t xml:space="preserve">donkerder wordende en veranderende bestaande moedervlekken</w:t>
      </w:r>
      <w:r>
        <w:t xml:space="preserve">;</w:t>
      </w:r>
    </w:p>
    <w:p>
      <w:pPr>
        <w:numPr>
          <w:ilvl w:val="0"/>
          <w:numId w:val="1260"/>
        </w:numPr>
        <w:pStyle w:val="Compact"/>
      </w:pPr>
      <w:r>
        <w:rPr>
          <w:bCs/>
          <w:b/>
        </w:rPr>
        <w:t xml:space="preserve">melanomen</w:t>
      </w:r>
      <w:r>
        <w:t xml:space="preserve">, dus zwarte huidkanker, tijdens of kort na het gebruik (Paurobally 2011, PMID 21564053; Ong 2012, PMID 22724573). Een 20-jarige vrouw met een lichte huid ontwikkelde drie maanden na een zelfbehandeling van drie tot vier weken, gecombineerd met zonnebankbezoeken, een melanoom op de bil (Hjuler 2014, PMID 24355990). Een in 2025 gepubliceerd geval beschrijft een melanoom van het mondslijmvlies bij een 22-jarige die een melanotan II-neusspray had gebruikt (Yassin Alsabbagh 2025, PMID 40210573).</w:t>
      </w:r>
    </w:p>
    <w:p>
      <w:pPr>
        <w:pStyle w:val="FirstParagraph"/>
      </w:pPr>
      <w:r>
        <w:t xml:space="preserve">Een overzicht van alle gepubliceerde gevallen van plotseling ontstane moedervlekken (179 personen) vond onder de uitlokkende factoren naast immunosuppressie en chemotherapie ook melanotan; 16% van de gevallen had ten minste één dysplastische, dus opvallend veranderde moedervlek (Burian 2019, PMID 31119650).</w:t>
      </w:r>
    </w:p>
    <w:p>
      <w:pPr>
        <w:pStyle w:val="BodyText"/>
      </w:pPr>
      <w:r>
        <w:rPr>
          <w:bCs/>
          <w:b/>
        </w:rPr>
        <w:t xml:space="preserve">Wat deze gegevens betekenen:</w:t>
      </w:r>
      <w:r>
        <w:t xml:space="preserve"> </w:t>
      </w:r>
      <w:r>
        <w:t xml:space="preserve">casusbeschrijvingen bewijzen geen oorzakelijk verband. Veel betrokkenen gebruikten tegelijk zonnebanken of zonden intensief, wat het melanoomrisico onafhankelijk verhoogt. Een overzicht concludeert dat een verband niet sluitend is aangetoond, maar dat de opeenstapeling reden tot voorzichtigheid geeft (Habbema 2017, PMID 28266027). Omdat melanotan II nooit systematisch is onderzocht, kan niemand zeggen hoe hoog een mogelijk risico is. Ter vergelijking: voor het verwante, geregistreerde afamelanotide liet een onderzoek met dermatoscopie alleen tijdelijke veranderingen van de moedervlekken zien zonder aanwijzingen voor kwaadaardige ontaarding (hoofdstuk 2E03) – deze gegevens gelden echter niet voor melanotan II.</w:t>
      </w:r>
    </w:p>
    <w:bookmarkEnd w:id="769"/>
    <w:bookmarkStart w:id="770" w:name="ernstige-afzonderlijke-gevallen"/>
    <w:p>
      <w:pPr>
        <w:pStyle w:val="Heading4"/>
      </w:pPr>
      <w:r>
        <w:t xml:space="preserve">Ernstige afzonderlijke gevallen</w:t>
      </w:r>
    </w:p>
    <w:p>
      <w:pPr>
        <w:numPr>
          <w:ilvl w:val="0"/>
          <w:numId w:val="1261"/>
        </w:numPr>
        <w:pStyle w:val="Compact"/>
      </w:pPr>
      <w:r>
        <w:rPr>
          <w:bCs/>
          <w:b/>
        </w:rPr>
        <w:t xml:space="preserve">Priapisme:</w:t>
      </w:r>
      <w:r>
        <w:t xml:space="preserve"> </w:t>
      </w:r>
      <w:r>
        <w:t xml:space="preserve">pijnlijke aanhoudende erectie, een urologisch spoedgeval. Meerdere casusbeschrijvingen beschrijven dit na melanotaninjecties (Devlin 2013, PMID 23537392; Dreyer 2019, PMID 30796078). In één geval moest operatief worden ontlast (Mallory 2021, PMID 33460908); in een ander geval was het erectievermogen vier weken later nog niet hersteld (Dreyer 2019, PMID 30796078).</w:t>
      </w:r>
    </w:p>
    <w:p>
      <w:pPr>
        <w:numPr>
          <w:ilvl w:val="0"/>
          <w:numId w:val="1261"/>
        </w:numPr>
        <w:pStyle w:val="Compact"/>
      </w:pPr>
      <w:r>
        <w:rPr>
          <w:bCs/>
          <w:b/>
        </w:rPr>
        <w:t xml:space="preserve">Spierafbraak en nierschade:</w:t>
      </w:r>
      <w:r>
        <w:t xml:space="preserve"> </w:t>
      </w:r>
      <w:r>
        <w:t xml:space="preserve">een 39-jarige man spoot naar eigen zeggen zesmaal de aanbevolen starthoeveelheid in. Hij ontwikkelde hartkloppingen, onrust en een ernstige spierafbraak (rabdomyolyse) met een stijging van het spierenzym CK tot 17.773 IU/L en tijdelijke nierschade; de stof werd in het laboratorium bevestigd als melanotan II (Nelson 2012, PMID 23121206).</w:t>
      </w:r>
    </w:p>
    <w:p>
      <w:pPr>
        <w:numPr>
          <w:ilvl w:val="0"/>
          <w:numId w:val="1261"/>
        </w:numPr>
        <w:pStyle w:val="Compact"/>
      </w:pPr>
      <w:r>
        <w:rPr>
          <w:bCs/>
          <w:b/>
        </w:rPr>
        <w:t xml:space="preserve">Nierinfarct:</w:t>
      </w:r>
      <w:r>
        <w:t xml:space="preserve"> </w:t>
      </w:r>
      <w:r>
        <w:t xml:space="preserve">een casusbeschrijving met literatuuroverzicht vermoedt melanotan II als oorzaak van een afsluiting van niervaten (Peters 2020, PMID 31953620).</w:t>
      </w:r>
    </w:p>
    <w:p>
      <w:pPr>
        <w:numPr>
          <w:ilvl w:val="0"/>
          <w:numId w:val="1261"/>
        </w:numPr>
        <w:pStyle w:val="Compact"/>
      </w:pPr>
      <w:r>
        <w:rPr>
          <w:bCs/>
          <w:b/>
        </w:rPr>
        <w:t xml:space="preserve">Hersenzwelling:</w:t>
      </w:r>
      <w:r>
        <w:t xml:space="preserve"> </w:t>
      </w:r>
      <w:r>
        <w:t xml:space="preserve">een casusbeschrijving beschrijft een posterieur reversibel encefalopathiesyndroom (PRES), een zwelling in het achterhoofdsgebied van de hersenen, in samenhang met melanotan (Kaski 2013, PMID 23648958).</w:t>
      </w:r>
    </w:p>
    <w:p>
      <w:pPr>
        <w:numPr>
          <w:ilvl w:val="0"/>
          <w:numId w:val="1261"/>
        </w:numPr>
        <w:pStyle w:val="Compact"/>
      </w:pPr>
      <w:r>
        <w:rPr>
          <w:bCs/>
          <w:b/>
        </w:rPr>
        <w:t xml:space="preserve">Huidontsteking:</w:t>
      </w:r>
      <w:r>
        <w:t xml:space="preserve"> </w:t>
      </w:r>
      <w:r>
        <w:t xml:space="preserve">ook een pyoderma gangraenosum, een ernstige zwerende huidaandoening, is beschreven (Dickson 2025, PMID 41487785).</w:t>
      </w:r>
    </w:p>
    <w:bookmarkEnd w:id="770"/>
    <w:bookmarkStart w:id="771" w:name="risicos-van-de-grijze-markt-1"/>
    <w:p>
      <w:pPr>
        <w:pStyle w:val="Heading4"/>
      </w:pPr>
      <w:r>
        <w:t xml:space="preserve">Risico’s van de grijze markt</w:t>
      </w:r>
    </w:p>
    <w:p>
      <w:pPr>
        <w:pStyle w:val="FirstParagraph"/>
      </w:pPr>
      <w:r>
        <w:t xml:space="preserve">Een laboratorium kocht flesjes melanotan II bij drie webwinkels. Alle beloofden 10 mg per flesje; in werkelijkheid bevatten ze tussen 4,32 en 8,84 mg. In producten van twee winkels werd 4,1 tot 5,9% onbekende verontreinigingen gevonden (Breindahl 2015, PMID 24771717). Een forensisch laboratorium bepaalde in een in beslag genomen monster een zuiverheid van 30% (Deville 2024, PMID 39302005). Daarbij komen de risico’s van niet-steriele bereiding en gedeelde naalden, waar deskundigen uitdrukkelijk op wijzen (Gilhooley 2021, PMID 34464955). Meer over zuiverheid en vervalsingen op de grijze markt staat in Deel I en Deel IV.</w:t>
      </w:r>
    </w:p>
    <w:bookmarkEnd w:id="771"/>
    <w:bookmarkEnd w:id="772"/>
    <w:bookmarkStart w:id="773" w:name="juridische-status-47"/>
    <w:p>
      <w:pPr>
        <w:pStyle w:val="Heading3"/>
      </w:pPr>
      <w:r>
        <w:t xml:space="preserve">Juridische status</w:t>
      </w:r>
    </w:p>
    <w:p>
      <w:pPr>
        <w:pStyle w:val="FirstParagraph"/>
      </w:pPr>
      <w:r>
        <w:rPr>
          <w:iCs/>
          <w:i/>
        </w:rPr>
        <w:t xml:space="preserve">Stand 2026, actuele situatie controleren.</w:t>
      </w:r>
    </w:p>
    <w:p>
      <w:pPr>
        <w:numPr>
          <w:ilvl w:val="0"/>
          <w:numId w:val="1262"/>
        </w:numPr>
        <w:pStyle w:val="Compact"/>
      </w:pPr>
      <w:r>
        <w:rPr>
          <w:bCs/>
          <w:b/>
        </w:rPr>
        <w:t xml:space="preserve">EU:</w:t>
      </w:r>
      <w:r>
        <w:t xml:space="preserve"> </w:t>
      </w:r>
      <w:r>
        <w:t xml:space="preserve">melanotan II is in geen enkele lidstaat geregistreerd. Omdat het wordt aangeboden voor gebruik bij mensen met effect op lichaamsfuncties, geldt het juridisch als geneesmiddel; productie, invoer en verkoop zonder registratie zijn verboden. Het opschrift „alleen voor onderzoeksdoeleinden” verandert daar niets aan.</w:t>
      </w:r>
    </w:p>
    <w:p>
      <w:pPr>
        <w:numPr>
          <w:ilvl w:val="0"/>
          <w:numId w:val="1262"/>
        </w:numPr>
        <w:pStyle w:val="Compact"/>
      </w:pPr>
      <w:r>
        <w:rPr>
          <w:bCs/>
          <w:b/>
        </w:rPr>
        <w:t xml:space="preserve">Duitsland en Oostenrijk:</w:t>
      </w:r>
      <w:r>
        <w:t xml:space="preserve"> </w:t>
      </w:r>
      <w:r>
        <w:t xml:space="preserve">niet geregistreerd. Verstrekking voor gebruik bij mensen is in strijd met de respectieve geneesmiddelenwet. Autoriteiten en douane nemen zendingen in beslag.</w:t>
      </w:r>
    </w:p>
    <w:p>
      <w:pPr>
        <w:numPr>
          <w:ilvl w:val="0"/>
          <w:numId w:val="1262"/>
        </w:numPr>
        <w:pStyle w:val="Compact"/>
      </w:pPr>
      <w:r>
        <w:rPr>
          <w:bCs/>
          <w:b/>
        </w:rPr>
        <w:t xml:space="preserve">Waarschuwingen van autoriteiten:</w:t>
      </w:r>
      <w:r>
        <w:t xml:space="preserve"> </w:t>
      </w:r>
      <w:r>
        <w:t xml:space="preserve">meerdere nationale geneesmiddelen- en gezondheidsautoriteiten hebben gewaarschuwd voor melanotan I en II (Habbema 2017, PMID 28266027). Naar weten van de auteur behoorden de autoriteiten in het Verenigd Koninkrijk en Ierland vanaf 2008 tot de eersten; later volgden andere Europese landen en Australië. In het Verenigd Koninkrijk is de verkoop uitdrukkelijk illegaal (Yassin Alsabbagh 2025, PMID 40210573).</w:t>
      </w:r>
    </w:p>
    <w:p>
      <w:pPr>
        <w:numPr>
          <w:ilvl w:val="0"/>
          <w:numId w:val="1262"/>
        </w:numPr>
        <w:pStyle w:val="Compact"/>
      </w:pPr>
      <w:r>
        <w:rPr>
          <w:bCs/>
          <w:b/>
        </w:rPr>
        <w:t xml:space="preserve">VS:</w:t>
      </w:r>
      <w:r>
        <w:t xml:space="preserve"> </w:t>
      </w:r>
      <w:r>
        <w:t xml:space="preserve">geen FDA-registratie; de verkoop als geneesmiddel voor gebruik bij mensen is niet toegestaan.</w:t>
      </w:r>
    </w:p>
    <w:p>
      <w:pPr>
        <w:numPr>
          <w:ilvl w:val="0"/>
          <w:numId w:val="1262"/>
        </w:numPr>
        <w:pStyle w:val="Compact"/>
      </w:pPr>
      <w:r>
        <w:rPr>
          <w:bCs/>
          <w:b/>
        </w:rPr>
        <w:t xml:space="preserve">WADA:</w:t>
      </w:r>
      <w:r>
        <w:t xml:space="preserve"> </w:t>
      </w:r>
      <w:r>
        <w:t xml:space="preserve">verboden als niet-goedgekeurde substantie (S0).</w:t>
      </w:r>
    </w:p>
    <w:bookmarkEnd w:id="773"/>
    <w:bookmarkStart w:id="774" w:name="lopende-studies-en-vooruitzichten-47"/>
    <w:p>
      <w:pPr>
        <w:pStyle w:val="Heading3"/>
      </w:pPr>
      <w:r>
        <w:t xml:space="preserve">Lopende studies en vooruitzichten</w:t>
      </w:r>
    </w:p>
    <w:p>
      <w:pPr>
        <w:pStyle w:val="FirstParagraph"/>
      </w:pPr>
      <w:r>
        <w:rPr>
          <w:bCs/>
          <w:b/>
        </w:rPr>
        <w:t xml:space="preserve">Zeker (geregistreerde studies):</w:t>
      </w:r>
      <w:r>
        <w:t xml:space="preserve"> </w:t>
      </w:r>
      <w:r>
        <w:t xml:space="preserve">geen. Bij ClinicalTrials.gov stond weliswaar een registratie over melanotan II bij vitiligo; de sponsor van deze registratie heeft echter ook registraties ingediend die zichzelf als fictief omschrijven. De registratie wordt daarom hier niet als echte studie meegeteld. Dat laat terloops zien: ook een registratie in een register is geen bewijs dat een studie daadwerkelijk plaatsvindt.</w:t>
      </w:r>
    </w:p>
    <w:p>
      <w:pPr>
        <w:pStyle w:val="BodyText"/>
      </w:pPr>
      <w:r>
        <w:rPr>
          <w:bCs/>
          <w:b/>
        </w:rPr>
        <w:t xml:space="preserve">Inschatting van de auteur:</w:t>
      </w:r>
      <w:r>
        <w:t xml:space="preserve"> </w:t>
      </w:r>
      <w:r>
        <w:t xml:space="preserve">voor een registratie als bruiningsmiddel bij gezonde mensen bestaat geen realistische weg: het nut is cosmetisch, de bijwerkingen via de hersenen zijn uitgesproken, en de vraag naar moedervlekken en melanoom zou in grote, langdurige studies moeten worden opgehelderd. Medisch zinvolle toepassingen van melanocortine-agonisten worden nagestreefd met selectievere moleculen – afamelanotide voor de huid, bremelanotide en setmelanotide voor de hersenen. De populariteit op sociale media zal het aantal casusbeschrijvingen waarschijnlijk verder doen stijgen.</w:t>
      </w:r>
    </w:p>
    <w:bookmarkEnd w:id="774"/>
    <w:bookmarkStart w:id="775" w:name="conclusie-47"/>
    <w:p>
      <w:pPr>
        <w:pStyle w:val="Heading3"/>
      </w:pPr>
      <w:r>
        <w:t xml:space="preserve">Conclusie</w:t>
      </w:r>
    </w:p>
    <w:p>
      <w:pPr>
        <w:pStyle w:val="FirstParagraph"/>
      </w:pPr>
      <w:r>
        <w:t xml:space="preserve">Melanotan II is een onderzoekspeptide uit de jaren 1990 dat slechts bij ongeveer twee dozijn mensen in kleine studies is getest en nooit een registratie heeft gekregen. Het maakt de huid bruin, maar veroorzaakt via receptoren in de hersenen regelmatig misselijkheid en spontane erecties. Casusbeschrijvingen beschrijven nieuwe en veranderde moedervlekken, melanomen, priapisme en spierafbraak; een oorzakelijk verband met huidkanker is niet bewezen, maar ook niet uitgesloten. Producten van de grijze markt bevatten bij laboratoriumanalyses minder werkzame stof dan aangegeven en onbekende verontreinigingen. De gegevens zijn onvoldoende om melanotan II als veilig te bestempelen.</w:t>
      </w:r>
    </w:p>
    <w:bookmarkEnd w:id="775"/>
    <w:bookmarkEnd w:id="776"/>
    <w:bookmarkStart w:id="794" w:name="afamelanotide"/>
    <w:p>
      <w:pPr>
        <w:pStyle w:val="Heading2"/>
      </w:pPr>
      <w:r>
        <w:t xml:space="preserve">Afamelanotide</w:t>
      </w:r>
    </w:p>
    <w:bookmarkStart w:id="777" w:name="profiel-48"/>
    <w:p>
      <w:pPr>
        <w:pStyle w:val="Heading3"/>
      </w:pPr>
      <w:r>
        <w:t xml:space="preserve">Profiel</w:t>
      </w:r>
    </w:p>
    <w:p>
      <w:pPr>
        <w:numPr>
          <w:ilvl w:val="0"/>
          <w:numId w:val="1263"/>
        </w:numPr>
        <w:pStyle w:val="Compact"/>
      </w:pPr>
      <w:r>
        <w:rPr>
          <w:bCs/>
          <w:b/>
        </w:rPr>
        <w:t xml:space="preserve">Soort/structuur:</w:t>
      </w:r>
      <w:r>
        <w:t xml:space="preserve"> </w:t>
      </w:r>
      <w:r>
        <w:t xml:space="preserve">lineair peptide van 13 aminozuren. Het komt overeen met het lichaamseigen hormoon alfa-MSH, waarin twee bouwstenen zijn vervangen (op positie 4 norleucine, op positie 7 de spiegelbeeldige D-vorm van fenylalanine). Deze wijzigingen maken het stabieler en werkzamer. Vroegere namen: melanotan I, MT-I, NDP-MSH, CUV1647.</w:t>
      </w:r>
    </w:p>
    <w:p>
      <w:pPr>
        <w:numPr>
          <w:ilvl w:val="0"/>
          <w:numId w:val="1263"/>
        </w:numPr>
        <w:pStyle w:val="Compact"/>
      </w:pPr>
      <w:r>
        <w:rPr>
          <w:bCs/>
          <w:b/>
        </w:rPr>
        <w:t xml:space="preserve">Herkomst:</w:t>
      </w:r>
      <w:r>
        <w:t xml:space="preserve"> </w:t>
      </w:r>
      <w:r>
        <w:t xml:space="preserve">ontwikkeld aan de Universiteit van Arizona samen met melanotan II (Hadley 2006, PMID 16412534); later door het Australische bedrijf Clinuvel doorontwikkeld tot geneesmiddel.</w:t>
      </w:r>
    </w:p>
    <w:p>
      <w:pPr>
        <w:numPr>
          <w:ilvl w:val="0"/>
          <w:numId w:val="1263"/>
        </w:numPr>
        <w:pStyle w:val="Compact"/>
      </w:pPr>
      <w:r>
        <w:rPr>
          <w:bCs/>
          <w:b/>
        </w:rPr>
        <w:t xml:space="preserve">Werkingsprincipe:</w:t>
      </w:r>
      <w:r>
        <w:t xml:space="preserve"> </w:t>
      </w:r>
      <w:r>
        <w:t xml:space="preserve">agonist van de melanocortine-1-receptor (MC1R) van de pigmentcellen. Het stimuleert de aanmaak van het donkere, lichtbeschermende pigment eumelanine – zonder voorafgaande uv-straling.</w:t>
      </w:r>
    </w:p>
    <w:p>
      <w:pPr>
        <w:numPr>
          <w:ilvl w:val="0"/>
          <w:numId w:val="1263"/>
        </w:numPr>
        <w:pStyle w:val="Compact"/>
      </w:pPr>
      <w:r>
        <w:rPr>
          <w:bCs/>
          <w:b/>
        </w:rPr>
        <w:t xml:space="preserve">Toedieningsvorm:</w:t>
      </w:r>
      <w:r>
        <w:t xml:space="preserve"> </w:t>
      </w:r>
      <w:r>
        <w:t xml:space="preserve">klein, vanzelf oplossend implantaat (16 mg) dat onder de huid wordt geplaatst en de werkzame stof gedurende weken afgeeft. Het wordt in gespecialiseerde centra geplaatst.</w:t>
      </w:r>
    </w:p>
    <w:p>
      <w:pPr>
        <w:numPr>
          <w:ilvl w:val="0"/>
          <w:numId w:val="1263"/>
        </w:numPr>
        <w:pStyle w:val="Compact"/>
      </w:pPr>
      <w:r>
        <w:rPr>
          <w:bCs/>
          <w:b/>
        </w:rPr>
        <w:t xml:space="preserve">Registratie EU:</w:t>
      </w:r>
      <w:r>
        <w:t xml:space="preserve"> </w:t>
      </w:r>
      <w:r>
        <w:t xml:space="preserve">ja, sinds 2014 (Scenesse) ter voorkoming van lichtschade bij volwassenen met erytropoëtische protoporfyrie (EPP). De registratie was aan voorwaarden gebonden, onder meer een veiligheidsstudie na registratie en een patiëntenregister (Homey 2025, PMID 40082741).</w:t>
      </w:r>
    </w:p>
    <w:p>
      <w:pPr>
        <w:numPr>
          <w:ilvl w:val="0"/>
          <w:numId w:val="1263"/>
        </w:numPr>
        <w:pStyle w:val="Compact"/>
      </w:pPr>
      <w:r>
        <w:rPr>
          <w:bCs/>
          <w:b/>
        </w:rPr>
        <w:t xml:space="preserve">Registratie VS:</w:t>
      </w:r>
      <w:r>
        <w:t xml:space="preserve"> </w:t>
      </w:r>
      <w:r>
        <w:t xml:space="preserve">ja, sinds 2019 voor volwassenen met EPP.</w:t>
      </w:r>
    </w:p>
    <w:p>
      <w:pPr>
        <w:numPr>
          <w:ilvl w:val="0"/>
          <w:numId w:val="1263"/>
        </w:numPr>
        <w:pStyle w:val="Compact"/>
      </w:pPr>
      <w:r>
        <w:rPr>
          <w:bCs/>
          <w:b/>
        </w:rPr>
        <w:t xml:space="preserve">WADA:</w:t>
      </w:r>
      <w:r>
        <w:t xml:space="preserve"> </w:t>
      </w:r>
      <w:r>
        <w:t xml:space="preserve">niet vermeld (stand 2026, actuele situatie controleren).</w:t>
      </w:r>
    </w:p>
    <w:p>
      <w:pPr>
        <w:numPr>
          <w:ilvl w:val="0"/>
          <w:numId w:val="1263"/>
        </w:numPr>
        <w:pStyle w:val="Compact"/>
      </w:pPr>
      <w:r>
        <w:rPr>
          <w:bCs/>
          <w:b/>
        </w:rPr>
        <w:t xml:space="preserve">Bewijsniveau:</w:t>
      </w:r>
      <w:r>
        <w:t xml:space="preserve"> </w:t>
      </w:r>
      <w:r>
        <w:rPr>
          <w:bCs/>
          <w:b/>
        </w:rPr>
        <w:t xml:space="preserve">A</w:t>
      </w:r>
      <w:r>
        <w:t xml:space="preserve"> </w:t>
      </w:r>
      <w:r>
        <w:t xml:space="preserve">– registratie in EU en VS op basis van twee gerandomiseerde, placebogecontroleerde studies, aangevuld met meerdere langetermijncohorten. Door de zeldzaamheid van de aandoening zijn de studies kleiner dan bij volksziekten.</w:t>
      </w:r>
    </w:p>
    <w:bookmarkEnd w:id="777"/>
    <w:bookmarkStart w:id="778" w:name="hoe-het-zou-moeten-werken-48"/>
    <w:p>
      <w:pPr>
        <w:pStyle w:val="Heading3"/>
      </w:pPr>
      <w:r>
        <w:t xml:space="preserve">Hoe het zou moeten werken</w:t>
      </w:r>
    </w:p>
    <w:p>
      <w:pPr>
        <w:pStyle w:val="FirstParagraph"/>
      </w:pPr>
      <w:r>
        <w:t xml:space="preserve">Erytropoëtische protoporfyrie (EPP) is een zeldzame erfelijke ziekte. In Europa is ten minste één op de 140.000 personen getroffen (Homey 2025, PMID 40082741). Door een enzymdefect in de aanmaak van de rode bloedkleurstof hoopt een voorstadium, protoporfyrine IX, zich op in bloed en huid. Deze stof wordt door zichtbaar licht geactiveerd en beschadigt dan weefsel en kleine bloedvaten van de huid.</w:t>
      </w:r>
    </w:p>
    <w:p>
      <w:pPr>
        <w:pStyle w:val="BodyText"/>
      </w:pPr>
      <w:r>
        <w:t xml:space="preserve">Het gevolg zijn brandende, vaak dagenlang aanhoudende pijnen na enkele minuten in het zonlicht – vaak zonder zichtbare huidveranderingen. Patiënten mijden van kindsbeen af het daglicht. Gewone zonnebescherming helpt nauwelijks, omdat vooral zichtbaar licht en niet uv-straling de reactie uitlokt. Een deel van de patiënten ontwikkelt bovendien leverschade, omdat het overtollige protoporfyrine via de gal wordt uitgescheiden (Minder 2023, PMID 37109595).</w:t>
      </w:r>
    </w:p>
    <w:p>
      <w:pPr>
        <w:pStyle w:val="BodyText"/>
      </w:pPr>
      <w:r>
        <w:t xml:space="preserve">Afamelanotide grijpt niet aan op de oorzaak, maar op de huid: het maakt die bruiner, en het extra eumelanine vangt een deel van het licht op voordat het het protoporfyrine bereikt. Laboratoriumproeven wijzen bovendien op ontstekingsremmende en antioxidatieve effecten. Hoeveel daarvan bij mensen een rol speelt, is onduidelijk.</w:t>
      </w:r>
    </w:p>
    <w:p>
      <w:pPr>
        <w:pStyle w:val="BodyText"/>
      </w:pPr>
      <w:r>
        <w:t xml:space="preserve">Anders dan melanotan II (hoofdstuk 2E02) werkt afamelanotide overwegend op de pigmentreceptor MC1R en slechts weinig op de receptoren in de hersenen. Daarom komen misselijkheid en seksuele bijeffecten duidelijk minder vaak voor.</w:t>
      </w:r>
    </w:p>
    <w:bookmarkEnd w:id="778"/>
    <w:bookmarkStart w:id="785" w:name="studies-bij-mensen-48"/>
    <w:p>
      <w:pPr>
        <w:pStyle w:val="Heading3"/>
      </w:pPr>
      <w:r>
        <w:t xml:space="preserve">Studies bij mensen</w:t>
      </w:r>
    </w:p>
    <w:p>
      <w:pPr>
        <w:pStyle w:val="FirstParagraph"/>
      </w:pPr>
      <w:r>
        <w:rPr>
          <w:bCs/>
          <w:b/>
        </w:rPr>
        <w:t xml:space="preserve">Omvang van het onderzoek (zoekopdracht oktober 2026):</w:t>
      </w:r>
      <w:r>
        <w:t xml:space="preserve"> </w:t>
      </w:r>
      <w:r>
        <w:t xml:space="preserve">De geautomatiseerde zoekopdracht van dit boek vond</w:t>
      </w:r>
      <w:r>
        <w:t xml:space="preserve"> </w:t>
      </w:r>
      <w:r>
        <w:rPr>
          <w:bCs/>
          <w:b/>
        </w:rPr>
        <w:t xml:space="preserve">10</w:t>
      </w:r>
      <w:r>
        <w:t xml:space="preserve"> </w:t>
      </w:r>
      <w:r>
        <w:t xml:space="preserve">studies bij mensen in PubMed (</w:t>
      </w:r>
      <w:r>
        <w:rPr>
          <w:rStyle w:val="VerbatimChar"/>
        </w:rPr>
        <w:t xml:space="preserve">humanstudien_alle</w:t>
      </w:r>
      <w:r>
        <w:t xml:space="preserve">) en</w:t>
      </w:r>
      <w:r>
        <w:t xml:space="preserve"> </w:t>
      </w:r>
      <w:r>
        <w:rPr>
          <w:bCs/>
          <w:b/>
        </w:rPr>
        <w:t xml:space="preserve">23</w:t>
      </w:r>
      <w:r>
        <w:t xml:space="preserve"> </w:t>
      </w:r>
      <w:r>
        <w:t xml:space="preserve">registraties bij ClinicalTrials.gov. De zoekopdracht omvat echter alleen de naam „afamelanotide”; oudere studies onder de naam melanotan I of NDP-MSH en meerdere cohortstudies zijn daarin niet opgenomen en worden hier aanvullend besproken.</w:t>
      </w:r>
    </w:p>
    <w:bookmarkStart w:id="779" w:name="Xac35460b691cf1df7860dd2b59d01dd08bb3a71"/>
    <w:p>
      <w:pPr>
        <w:pStyle w:val="Heading4"/>
      </w:pPr>
      <w:r>
        <w:t xml:space="preserve">Voorgeschiedenis: melanotan I bij gezonde mensen</w:t>
      </w:r>
    </w:p>
    <w:p>
      <w:pPr>
        <w:pStyle w:val="FirstParagraph"/>
      </w:pPr>
      <w:r>
        <w:t xml:space="preserve">In de jaren 1990 en begin jaren 2000 kregen gezonde vrijwilligers in Arizona dagelijkse injecties. Hun huid werd donkerder in het gezicht, aan de hals en op de onderarmen; het eumelaninegehalte van de huid van de onderarm steeg gemiddeld met 98% (Dorr 2000, PMID 11045725). In combinatie met zonlicht werd de huid sterker en langer bruin, en de deelnemers zonder werkzame stof hadden 50% meer zontijd nodig voor dezelfde bruine kleur (Dorr 2004, PMID 15262693). In een studie met 77 personen met een lichte huid was het effect bij dragers van bepaalde MC1R-genvarianten – dus bij mensen met een bijzonder zongevoelige huid – zelfs sterker (Fitzgerald 2006, PMID 16293341). Het plan om er een bescherming tegen huidkanker voor de algemene bevolking van te maken, werd niet verder gevolgd.</w:t>
      </w:r>
    </w:p>
    <w:bookmarkEnd w:id="779"/>
    <w:bookmarkStart w:id="780" w:name="de-registratiestudies-bij-epp"/>
    <w:p>
      <w:pPr>
        <w:pStyle w:val="Heading4"/>
      </w:pPr>
      <w:r>
        <w:t xml:space="preserve">De registratiestudies bij EPP</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Deelnemers en opzet</w:t>
            </w:r>
          </w:p>
        </w:tc>
        <w:tc>
          <w:tcPr/>
          <w:p>
            <w:pPr>
              <w:pStyle w:val="Compact"/>
              <w:jc w:val="left"/>
            </w:pPr>
            <w:r>
              <w:t xml:space="preserve">Duur</w:t>
            </w:r>
          </w:p>
        </w:tc>
        <w:tc>
          <w:tcPr/>
          <w:p>
            <w:pPr>
              <w:pStyle w:val="Compact"/>
              <w:jc w:val="left"/>
            </w:pPr>
            <w:r>
              <w:t xml:space="preserve">Resultaat</w:t>
            </w:r>
          </w:p>
        </w:tc>
      </w:tr>
      <w:tr>
        <w:tc>
          <w:tcPr/>
          <w:p>
            <w:pPr>
              <w:pStyle w:val="Compact"/>
              <w:jc w:val="left"/>
            </w:pPr>
            <w:r>
              <w:t xml:space="preserve">Harms 2009, PMID 19656325</w:t>
            </w:r>
          </w:p>
        </w:tc>
        <w:tc>
          <w:tcPr/>
          <w:p>
            <w:pPr>
              <w:pStyle w:val="Compact"/>
              <w:jc w:val="left"/>
            </w:pPr>
            <w:r>
              <w:t xml:space="preserve">5 personen met EPP, open pilotstudie</w:t>
            </w:r>
          </w:p>
        </w:tc>
        <w:tc>
          <w:tcPr/>
          <w:p>
            <w:pPr>
              <w:pStyle w:val="Compact"/>
              <w:jc w:val="left"/>
            </w:pPr>
            <w:r>
              <w:t xml:space="preserve">120 dagen</w:t>
            </w:r>
          </w:p>
        </w:tc>
        <w:tc>
          <w:tcPr/>
          <w:p>
            <w:pPr>
              <w:pStyle w:val="Compact"/>
              <w:jc w:val="left"/>
            </w:pPr>
            <w:r>
              <w:t xml:space="preserve">Tolerantie voor licht duidelijk verhoogd</w:t>
            </w:r>
          </w:p>
        </w:tc>
      </w:tr>
      <w:tr>
        <w:tc>
          <w:tcPr/>
          <w:p>
            <w:pPr>
              <w:pStyle w:val="Compact"/>
              <w:jc w:val="left"/>
            </w:pPr>
            <w:r>
              <w:t xml:space="preserve">EU-studie (Langendonk 2015), PMID 26132941</w:t>
            </w:r>
          </w:p>
        </w:tc>
        <w:tc>
          <w:tcPr/>
          <w:p>
            <w:pPr>
              <w:pStyle w:val="Compact"/>
              <w:jc w:val="left"/>
            </w:pPr>
            <w:r>
              <w:t xml:space="preserve">74 personen, RCT tegen placebo-implantaat</w:t>
            </w:r>
          </w:p>
        </w:tc>
        <w:tc>
          <w:tcPr/>
          <w:p>
            <w:pPr>
              <w:pStyle w:val="Compact"/>
              <w:jc w:val="left"/>
            </w:pPr>
            <w:r>
              <w:t xml:space="preserve">9 maanden</w:t>
            </w:r>
          </w:p>
        </w:tc>
        <w:tc>
          <w:tcPr/>
          <w:p>
            <w:pPr>
              <w:pStyle w:val="Compact"/>
              <w:jc w:val="left"/>
            </w:pPr>
            <w:r>
              <w:t xml:space="preserve">pijnvrije tijd in direct zonlicht mediaan 6,0 vs. 0,8 uur; 77 vs. 146 lichtreacties</w:t>
            </w:r>
          </w:p>
        </w:tc>
      </w:tr>
      <w:tr>
        <w:tc>
          <w:tcPr/>
          <w:p>
            <w:pPr>
              <w:pStyle w:val="Compact"/>
              <w:jc w:val="left"/>
            </w:pPr>
            <w:r>
              <w:t xml:space="preserve">VS-studie (Langendonk 2015), PMID 26132941</w:t>
            </w:r>
          </w:p>
        </w:tc>
        <w:tc>
          <w:tcPr/>
          <w:p>
            <w:pPr>
              <w:pStyle w:val="Compact"/>
              <w:jc w:val="left"/>
            </w:pPr>
            <w:r>
              <w:t xml:space="preserve">94 personen, RCT tegen placebo-implantaat</w:t>
            </w:r>
          </w:p>
        </w:tc>
        <w:tc>
          <w:tcPr/>
          <w:p>
            <w:pPr>
              <w:pStyle w:val="Compact"/>
              <w:jc w:val="left"/>
            </w:pPr>
            <w:r>
              <w:t xml:space="preserve">6 maanden</w:t>
            </w:r>
          </w:p>
        </w:tc>
        <w:tc>
          <w:tcPr/>
          <w:p>
            <w:pPr>
              <w:pStyle w:val="Compact"/>
              <w:jc w:val="left"/>
            </w:pPr>
            <w:r>
              <w:t xml:space="preserve">pijnvrije tijd in direct zonlicht mediaan 69,4 vs. 40,8 uur</w:t>
            </w:r>
          </w:p>
        </w:tc>
      </w:tr>
      <w:tr>
        <w:tc>
          <w:tcPr/>
          <w:p>
            <w:pPr>
              <w:pStyle w:val="Compact"/>
              <w:jc w:val="left"/>
            </w:pPr>
            <w:r>
              <w:t xml:space="preserve">Systematisch overzicht (Heerfordt 2023), PMID 36525819</w:t>
            </w:r>
          </w:p>
        </w:tc>
        <w:tc>
          <w:tcPr/>
          <w:p>
            <w:pPr>
              <w:pStyle w:val="Compact"/>
              <w:jc w:val="left"/>
            </w:pPr>
            <w:r>
              <w:t xml:space="preserve">40 studies over 18 behandelingen bij EPP</w:t>
            </w:r>
          </w:p>
        </w:tc>
        <w:tc>
          <w:tcPr/>
          <w:p>
            <w:pPr>
              <w:pStyle w:val="Compact"/>
              <w:jc w:val="left"/>
            </w:pPr>
            <w:r>
              <w:t xml:space="preserve">–</w:t>
            </w:r>
          </w:p>
        </w:tc>
        <w:tc>
          <w:tcPr/>
          <w:p>
            <w:pPr>
              <w:pStyle w:val="Compact"/>
              <w:jc w:val="left"/>
            </w:pPr>
            <w:r>
              <w:t xml:space="preserve">matig positief effect voor afamelanotide en minerale zonnebescherming; geen effect voor bètacaroteen e.a.</w:t>
            </w:r>
          </w:p>
        </w:tc>
      </w:tr>
    </w:tbl>
    <w:p>
      <w:pPr>
        <w:pStyle w:val="BodyText"/>
      </w:pPr>
      <w:r>
        <w:t xml:space="preserve">In de eerste pilotstudie kregen vijf patiënten twee implantaten met een tussenpoos van 60 dagen. Daarna verdroegen ze in een gestandaardiseerde lichttest duidelijk meer licht, en de melaninedichtheid van de huid steeg (Harms 2009, PMID 19656325).</w:t>
      </w:r>
    </w:p>
    <w:p>
      <w:pPr>
        <w:pStyle w:val="BodyText"/>
      </w:pPr>
      <w:r>
        <w:t xml:space="preserve">De registratie berust op twee dubbelblinde studies die samen in het New England Journal of Medicine werden gepubliceerd (Langendonk 2015, PMID 26132941; NCT00979745, NCT01605136). Elke 60 dagen kregen de deelnemers een implantaat met afamelanotide of een schijnimplantaat. De primaire uitkomstmaat was het aantal uren in direct zonlicht zonder pijn, dat de deelnemers in een dagboek bijhielden.</w:t>
      </w:r>
    </w:p>
    <w:p>
      <w:pPr>
        <w:pStyle w:val="BodyText"/>
      </w:pPr>
      <w:r>
        <w:t xml:space="preserve">Beide studies lieten een voordeel voor afamelanotide zien, en in beide verbeterde de kwaliteit van leven. De absolute cijfers zijn echter ontnuchterend: in de Europese studie brachten de deelnemers over negen maanden mediaan zes uur pijnvrij in direct zonlicht door, onder placebo nog geen uur. Dat de waarden zo laag zijn, ligt ook aan de ziekte zelf: wie jarenlang pijn heeft ervaren, blijft de zon mijden, ook als hij die beter verdraagt. Zo’n dagboekmeting hangt bovendien sterk af van weer en seizoen, wat de studies moeilijk vergelijkbaar maakt (Heerfordt 2023, PMID 36525819).</w:t>
      </w:r>
    </w:p>
    <w:bookmarkEnd w:id="780"/>
    <w:bookmarkStart w:id="781" w:name="langetermijngegevens-uit-de-praktijk"/>
    <w:p>
      <w:pPr>
        <w:pStyle w:val="Heading4"/>
      </w:pPr>
      <w:r>
        <w:t xml:space="preserve">Langetermijngegevens uit de praktijk</w:t>
      </w:r>
    </w:p>
    <w:p>
      <w:pPr>
        <w:pStyle w:val="FirstParagraph"/>
      </w:pPr>
      <w:r>
        <w:t xml:space="preserve">Omdat de registratiestudies kort en klein waren, zijn waarnemingen uit de routinezorg bijzonder belangrijk.</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Deelnemers en opzet</w:t>
            </w:r>
          </w:p>
        </w:tc>
        <w:tc>
          <w:tcPr/>
          <w:p>
            <w:pPr>
              <w:pStyle w:val="Compact"/>
              <w:jc w:val="left"/>
            </w:pPr>
            <w:r>
              <w:t xml:space="preserve">Duur</w:t>
            </w:r>
          </w:p>
        </w:tc>
        <w:tc>
          <w:tcPr/>
          <w:p>
            <w:pPr>
              <w:pStyle w:val="Compact"/>
              <w:jc w:val="left"/>
            </w:pPr>
            <w:r>
              <w:t xml:space="preserve">Resultaat</w:t>
            </w:r>
          </w:p>
        </w:tc>
      </w:tr>
      <w:tr>
        <w:tc>
          <w:tcPr/>
          <w:p>
            <w:pPr>
              <w:pStyle w:val="Compact"/>
              <w:jc w:val="left"/>
            </w:pPr>
            <w:r>
              <w:t xml:space="preserve">Biolcati 2015, PMID 25494545</w:t>
            </w:r>
          </w:p>
        </w:tc>
        <w:tc>
          <w:tcPr/>
          <w:p>
            <w:pPr>
              <w:pStyle w:val="Compact"/>
              <w:jc w:val="left"/>
            </w:pPr>
            <w:r>
              <w:t xml:space="preserve">115 personen in Rome en Zürich, 1.023 implantaten, observationele studie</w:t>
            </w:r>
          </w:p>
        </w:tc>
        <w:tc>
          <w:tcPr/>
          <w:p>
            <w:pPr>
              <w:pStyle w:val="Compact"/>
              <w:jc w:val="left"/>
            </w:pPr>
            <w:r>
              <w:t xml:space="preserve">tot 8 jaar</w:t>
            </w:r>
          </w:p>
        </w:tc>
        <w:tc>
          <w:tcPr/>
          <w:p>
            <w:pPr>
              <w:pStyle w:val="Compact"/>
              <w:jc w:val="left"/>
            </w:pPr>
            <w:r>
              <w:t xml:space="preserve">Kwaliteit van leven van 31% naar 74% van de maximale waarde</w:t>
            </w:r>
          </w:p>
        </w:tc>
      </w:tr>
      <w:tr>
        <w:tc>
          <w:tcPr/>
          <w:p>
            <w:pPr>
              <w:pStyle w:val="Compact"/>
              <w:jc w:val="left"/>
            </w:pPr>
            <w:r>
              <w:t xml:space="preserve">Wensink 2020, PMID 32186677</w:t>
            </w:r>
          </w:p>
        </w:tc>
        <w:tc>
          <w:tcPr/>
          <w:p>
            <w:pPr>
              <w:pStyle w:val="Compact"/>
              <w:jc w:val="left"/>
            </w:pPr>
            <w:r>
              <w:t xml:space="preserve">117 personen in Rotterdam, prospectief cohort</w:t>
            </w:r>
          </w:p>
        </w:tc>
        <w:tc>
          <w:tcPr/>
          <w:p>
            <w:pPr>
              <w:pStyle w:val="Compact"/>
              <w:jc w:val="left"/>
            </w:pPr>
            <w:r>
              <w:t xml:space="preserve">mediaan 2 jaar</w:t>
            </w:r>
          </w:p>
        </w:tc>
        <w:tc>
          <w:tcPr/>
          <w:p>
            <w:pPr>
              <w:pStyle w:val="Compact"/>
              <w:jc w:val="left"/>
            </w:pPr>
            <w:r>
              <w:t xml:space="preserve">6,1 uur per week meer buiten; 98% zette de behandeling voort</w:t>
            </w:r>
          </w:p>
        </w:tc>
      </w:tr>
      <w:tr>
        <w:tc>
          <w:tcPr/>
          <w:p>
            <w:pPr>
              <w:pStyle w:val="Compact"/>
              <w:jc w:val="left"/>
            </w:pPr>
            <w:r>
              <w:t xml:space="preserve">Homey 2025, PMID 40082741</w:t>
            </w:r>
          </w:p>
        </w:tc>
        <w:tc>
          <w:tcPr/>
          <w:p>
            <w:pPr>
              <w:pStyle w:val="Compact"/>
              <w:jc w:val="left"/>
            </w:pPr>
            <w:r>
              <w:t xml:space="preserve">200 personen in Duitsland, veiligheidsstudie na registratie</w:t>
            </w:r>
          </w:p>
        </w:tc>
        <w:tc>
          <w:tcPr/>
          <w:p>
            <w:pPr>
              <w:pStyle w:val="Compact"/>
              <w:jc w:val="left"/>
            </w:pPr>
            <w:r>
              <w:t xml:space="preserve">lopend</w:t>
            </w:r>
          </w:p>
        </w:tc>
        <w:tc>
          <w:tcPr/>
          <w:p>
            <w:pPr>
              <w:pStyle w:val="Compact"/>
              <w:jc w:val="left"/>
            </w:pPr>
            <w:r>
              <w:t xml:space="preserve">Kwaliteit van leven significant beter; 91,0% zette de behandeling voort</w:t>
            </w:r>
          </w:p>
        </w:tc>
      </w:tr>
      <w:tr>
        <w:tc>
          <w:tcPr/>
          <w:p>
            <w:pPr>
              <w:pStyle w:val="Compact"/>
              <w:jc w:val="left"/>
            </w:pPr>
            <w:r>
              <w:t xml:space="preserve">Seidl-Philipp 2026, PMID 41793078</w:t>
            </w:r>
          </w:p>
        </w:tc>
        <w:tc>
          <w:tcPr/>
          <w:p>
            <w:pPr>
              <w:pStyle w:val="Compact"/>
              <w:jc w:val="left"/>
            </w:pPr>
            <w:r>
              <w:t xml:space="preserve">20 personen in Oostenrijk</w:t>
            </w:r>
          </w:p>
        </w:tc>
        <w:tc>
          <w:tcPr/>
          <w:p>
            <w:pPr>
              <w:pStyle w:val="Compact"/>
              <w:jc w:val="left"/>
            </w:pPr>
            <w:r>
              <w:t xml:space="preserve">2023</w:t>
            </w:r>
          </w:p>
        </w:tc>
        <w:tc>
          <w:tcPr/>
          <w:p>
            <w:pPr>
              <w:pStyle w:val="Compact"/>
              <w:jc w:val="left"/>
            </w:pPr>
            <w:r>
              <w:t xml:space="preserve">Lichttolerantie mediaan 15 naar 250 minuten; lichtreacties bij 88% vs. 33%</w:t>
            </w:r>
          </w:p>
        </w:tc>
      </w:tr>
    </w:tbl>
    <w:p>
      <w:pPr>
        <w:pStyle w:val="BodyText"/>
      </w:pPr>
      <w:r>
        <w:t xml:space="preserve">De Italiaans-Zwitserse observationele studie omvatte behandelingen sinds 2006. Slechts drie personen gaven aan dat het effect niet aan hun verwachtingen voldeed; 23% onderbrak om andere redenen, bijvoorbeeld wegens zwangerschap of kosten (Biolcati 2015, PMID 25494545). In het Nederlandse cohort werden lichtreacties minder pijnlijk, maar hun aantal en duur veranderden niet significant (Wensink 2020, PMID 32186677). De Oostenrijkse analyse van alle 20 in 2023 behandelde personen laat bijzonder duidelijke verbeteringen van de kwaliteit van leven zien (Seidl-Philipp 2026, PMID 41793078).</w:t>
      </w:r>
    </w:p>
    <w:p>
      <w:pPr>
        <w:pStyle w:val="BodyText"/>
      </w:pPr>
      <w:r>
        <w:t xml:space="preserve">Deze cohorten hebben geen controlegroep. Wie goed reageert, blijft eerder in behandeling, en de verwachting van een duur geneesmiddel beïnvloedt wat mensen zelf rapporteren. De zonder uitzondering hoge percentages voortzetting bij een behandeling die elke twee maanden een doktersbezoek vereist, zijn toch een opmerkelijk signaal.</w:t>
      </w:r>
    </w:p>
    <w:bookmarkEnd w:id="781"/>
    <w:bookmarkStart w:id="782" w:name="verdere-waarnemingen-bij-epp"/>
    <w:p>
      <w:pPr>
        <w:pStyle w:val="Heading4"/>
      </w:pPr>
      <w:r>
        <w:t xml:space="preserve">Verdere waarnemingen bij EPP</w:t>
      </w:r>
    </w:p>
    <w:p>
      <w:pPr>
        <w:numPr>
          <w:ilvl w:val="0"/>
          <w:numId w:val="1264"/>
        </w:numPr>
        <w:pStyle w:val="Compact"/>
      </w:pPr>
      <w:r>
        <w:rPr>
          <w:bCs/>
          <w:b/>
        </w:rPr>
        <w:t xml:space="preserve">Lever:</w:t>
      </w:r>
      <w:r>
        <w:t xml:space="preserve"> </w:t>
      </w:r>
      <w:r>
        <w:t xml:space="preserve">in een Zwitserse analyse van 70 behandelden met bijna 3.000 leverwaarden daalden de leverwaarde ALAT en het bilirubine naarmate er in het voorgaande jaar meer implantaten waren geplaatst (Minder 2023, PMID 37109595). Dit is een verband uit observationele gegevens, geen bewijs van leverbescherming.</w:t>
      </w:r>
    </w:p>
    <w:p>
      <w:pPr>
        <w:numPr>
          <w:ilvl w:val="0"/>
          <w:numId w:val="1264"/>
        </w:numPr>
        <w:pStyle w:val="Compact"/>
      </w:pPr>
      <w:r>
        <w:rPr>
          <w:bCs/>
          <w:b/>
        </w:rPr>
        <w:t xml:space="preserve">Vitamine D:</w:t>
      </w:r>
      <w:r>
        <w:t xml:space="preserve"> </w:t>
      </w:r>
      <w:r>
        <w:t xml:space="preserve">afamelanotide veranderde de vitamine D-spiegel niet. In een studie met 230 personen bleef een tekort bij 71,8% bestaan; alleen toediening van vitamine D3 verhoogde de waarden (Kluijver 2024, PMID 38634774).</w:t>
      </w:r>
    </w:p>
    <w:p>
      <w:pPr>
        <w:numPr>
          <w:ilvl w:val="0"/>
          <w:numId w:val="1264"/>
        </w:numPr>
        <w:pStyle w:val="Compact"/>
      </w:pPr>
      <w:r>
        <w:rPr>
          <w:bCs/>
          <w:b/>
        </w:rPr>
        <w:t xml:space="preserve">Antistoffen:</w:t>
      </w:r>
      <w:r>
        <w:t xml:space="preserve"> </w:t>
      </w:r>
      <w:r>
        <w:t xml:space="preserve">bij 23 van 26 personen werden gedurende maximaal zes jaar geen antistoffen tegen de werkzame stof gevormd; drie hadden al vóór de behandeling meetbare antistoffen, die niet veranderden (Lengweiler 2015, PMID 25402764).</w:t>
      </w:r>
    </w:p>
    <w:bookmarkEnd w:id="782"/>
    <w:bookmarkStart w:id="783" w:name="vitiligo"/>
    <w:p>
      <w:pPr>
        <w:pStyle w:val="Heading4"/>
      </w:pPr>
      <w:r>
        <w:t xml:space="preserve">Vitiligo</w:t>
      </w:r>
    </w:p>
    <w:p>
      <w:pPr>
        <w:pStyle w:val="FirstParagraph"/>
      </w:pPr>
      <w:r>
        <w:t xml:space="preserve">Bij vitiligo vernietigt het immuunsysteem pigmentcellen; er ontstaan lichte vlekken. De standaardbehandeling is lichttherapie met smalband-UVB. Afamelanotide zou de resterende pigmentcellen extra moeten stimuleren.</w:t>
      </w:r>
    </w:p>
    <w:p>
      <w:pPr>
        <w:pStyle w:val="BodyText"/>
      </w:pPr>
      <w:r>
        <w:t xml:space="preserve">Na een casusreeks met vier personen (Grimes 2013, PMID 23407924) volgde een gerandomiseerde studie met 55 deelnemers (Lim 2015, PMID 25230094; NCT01430195). De combinatie van lichttherapie en maandelijkse implantaten leidde sneller tot nieuwe pigmentatie dan lichttherapie alleen. Na 168 dagen was in de combinatiearm 48,64% van het oppervlak gerepigmenteerd, onder lichttherapie alleen 33,26%. Het voordeel was vooral te zien bij donkerdere huidtypen (IV tot VI). Een nadeel waar deskundigen op wijzen: ook de gezonde huid wordt donkerder, zodat het contrast met de lichte vlekken aanvankelijk kan toenemen (Passeron 2015, PMID 25607635). Een studie bij Aziatische patiënten werd eveneens gepubliceerd (Toh 2020, PMID 31987791).</w:t>
      </w:r>
    </w:p>
    <w:bookmarkEnd w:id="783"/>
    <w:bookmarkStart w:id="784" w:name="andere-toepassingen-in-pilotstudies"/>
    <w:p>
      <w:pPr>
        <w:pStyle w:val="Heading4"/>
      </w:pPr>
      <w:r>
        <w:t xml:space="preserve">Andere toepassingen in pilotstudies</w:t>
      </w:r>
    </w:p>
    <w:p>
      <w:pPr>
        <w:pStyle w:val="FirstParagraph"/>
      </w:pPr>
      <w:r>
        <w:t xml:space="preserve">De volgende resultaten komen uit zeer kleine, meestal open studies en moeten als hypothesen worden opgevat:</w:t>
      </w:r>
    </w:p>
    <w:p>
      <w:pPr>
        <w:numPr>
          <w:ilvl w:val="0"/>
          <w:numId w:val="1265"/>
        </w:numPr>
        <w:pStyle w:val="Compact"/>
      </w:pPr>
      <w:r>
        <w:rPr>
          <w:bCs/>
          <w:b/>
        </w:rPr>
        <w:t xml:space="preserve">Zonne-urticaria</w:t>
      </w:r>
      <w:r>
        <w:t xml:space="preserve"> </w:t>
      </w:r>
      <w:r>
        <w:t xml:space="preserve">(netelroos door licht): bij 5 personen na één implantaat minder kwaddelvorming (Haylett 2011, PMID 20969564).</w:t>
      </w:r>
    </w:p>
    <w:p>
      <w:pPr>
        <w:numPr>
          <w:ilvl w:val="0"/>
          <w:numId w:val="1265"/>
        </w:numPr>
        <w:pStyle w:val="Compact"/>
      </w:pPr>
      <w:r>
        <w:rPr>
          <w:bCs/>
          <w:b/>
        </w:rPr>
        <w:t xml:space="preserve">Acne:</w:t>
      </w:r>
      <w:r>
        <w:t xml:space="preserve"> </w:t>
      </w:r>
      <w:r>
        <w:t xml:space="preserve">bij 3 personen minder ontstoken laesies (Böhm 2014, PMID 22845050).</w:t>
      </w:r>
    </w:p>
    <w:p>
      <w:pPr>
        <w:numPr>
          <w:ilvl w:val="0"/>
          <w:numId w:val="1265"/>
        </w:numPr>
        <w:pStyle w:val="Compact"/>
      </w:pPr>
      <w:r>
        <w:rPr>
          <w:bCs/>
          <w:b/>
        </w:rPr>
        <w:t xml:space="preserve">Ziekte van Hailey-Hailey</w:t>
      </w:r>
      <w:r>
        <w:t xml:space="preserve"> </w:t>
      </w:r>
      <w:r>
        <w:t xml:space="preserve">(erfelijke blaarziekte): genezing van de huidlaesies bij 2 personen (Biolcati 2014, PMID 24256215).</w:t>
      </w:r>
    </w:p>
    <w:p>
      <w:pPr>
        <w:numPr>
          <w:ilvl w:val="0"/>
          <w:numId w:val="1265"/>
        </w:numPr>
        <w:pStyle w:val="Compact"/>
      </w:pPr>
      <w:r>
        <w:rPr>
          <w:bCs/>
          <w:b/>
        </w:rPr>
        <w:t xml:space="preserve">Beroerte:</w:t>
      </w:r>
      <w:r>
        <w:t xml:space="preserve"> </w:t>
      </w:r>
      <w:r>
        <w:t xml:space="preserve">in een open haalbaarheidsstudie met 6 personen was de toediening uitvoerbaar; één persoon overleed aan een nieuwe beroerte, die de onderzoekers niet aan het middel toeschreven (Stanislaus 2023, PMID 37496004).</w:t>
      </w:r>
    </w:p>
    <w:p>
      <w:pPr>
        <w:numPr>
          <w:ilvl w:val="0"/>
          <w:numId w:val="1265"/>
        </w:numPr>
        <w:pStyle w:val="Compact"/>
      </w:pPr>
      <w:r>
        <w:rPr>
          <w:bCs/>
          <w:b/>
        </w:rPr>
        <w:t xml:space="preserve">Gezonde huid:</w:t>
      </w:r>
      <w:r>
        <w:t xml:space="preserve"> </w:t>
      </w:r>
      <w:r>
        <w:t xml:space="preserve">bij 9 gezonde vrijwilligers was de roodheid van de huid na uv-bestraling zes dagen na het implantaat geringer (Griffin 2026, PMID 42678656).</w:t>
      </w:r>
    </w:p>
    <w:bookmarkEnd w:id="784"/>
    <w:bookmarkEnd w:id="785"/>
    <w:bookmarkStart w:id="786" w:name="dier--en-laboratoriumstudies-48"/>
    <w:p>
      <w:pPr>
        <w:pStyle w:val="Heading3"/>
      </w:pPr>
      <w:r>
        <w:t xml:space="preserve">Dier- en laboratoriumstudies</w:t>
      </w:r>
    </w:p>
    <w:p>
      <w:pPr>
        <w:pStyle w:val="FirstParagraph"/>
      </w:pPr>
      <w:r>
        <w:t xml:space="preserve">In celkweken heeft afamelanotide antioxidatieve effecten. In huidcellen van mensen met de ziekte van Hailey-Hailey activeerde het de beschermende factor Nrf2 en herstelde het de verstoorde celdeling gedeeltelijk (Biolcati 2014, PMID 24256215). Onderzoek naar stabiliteit en afbraakproducten van de werkzame stof betreft de geneesmiddelkwaliteit (Chawathe 2026, PMID 41547183). Voor de beoordeling bij mensen spelen dierlijke gegevens tegenwoordig een ondergeschikte rol, omdat de klinische gegevens zeggingskrachtiger zijn.</w:t>
      </w:r>
    </w:p>
    <w:bookmarkEnd w:id="786"/>
    <w:bookmarkStart w:id="790" w:name="risicos-en-bijwerkingen-48"/>
    <w:p>
      <w:pPr>
        <w:pStyle w:val="Heading3"/>
      </w:pPr>
      <w:r>
        <w:t xml:space="preserve">Risico’s en bijwerkingen</w:t>
      </w:r>
    </w:p>
    <w:bookmarkStart w:id="787" w:name="aangetoond-8"/>
    <w:p>
      <w:pPr>
        <w:pStyle w:val="Heading4"/>
      </w:pPr>
      <w:r>
        <w:t xml:space="preserve">Aangetoond</w:t>
      </w:r>
    </w:p>
    <w:p>
      <w:pPr>
        <w:numPr>
          <w:ilvl w:val="0"/>
          <w:numId w:val="1266"/>
        </w:numPr>
        <w:pStyle w:val="Compact"/>
      </w:pPr>
      <w:r>
        <w:rPr>
          <w:bCs/>
          <w:b/>
        </w:rPr>
        <w:t xml:space="preserve">Vaak voorkomende, meestal lichte bijwerkingen:</w:t>
      </w:r>
      <w:r>
        <w:t xml:space="preserve"> </w:t>
      </w:r>
      <w:r>
        <w:t xml:space="preserve">misselijkheid, hoofdpijn, vermoeidheid en reacties op de plaats waar het implantaat is ingebracht (Langendonk 2015, PMID 26132941; Wensink 2020, PMID 32186677; Biolcati 2015, PMID 25494545). Ernstige ongewenste voorvallen werden in de registratiestudies niet aan de werkzame stof toegeschreven.</w:t>
      </w:r>
    </w:p>
    <w:p>
      <w:pPr>
        <w:numPr>
          <w:ilvl w:val="0"/>
          <w:numId w:val="1266"/>
        </w:numPr>
        <w:pStyle w:val="Compact"/>
      </w:pPr>
      <w:r>
        <w:rPr>
          <w:bCs/>
          <w:b/>
        </w:rPr>
        <w:t xml:space="preserve">Donkerdere huid en moedervlekken:</w:t>
      </w:r>
      <w:r>
        <w:t xml:space="preserve"> </w:t>
      </w:r>
      <w:r>
        <w:t xml:space="preserve">de bruining is het beoogde effect. Moedervlekken en sproeten worden ook donkerder. In een studie met 15 personen en 103 moedervlekken waren onder de dermatoscoop tijdelijke veranderingen te zien, die na een jaar waren teruggelopen; nieuwe moedervlekken of aanwijzingen voor kwaadaardigheid traden niet op (Arisi 2021, PMID 33721252). De productinformatie voorziet in regelmatige huidcontroles.</w:t>
      </w:r>
    </w:p>
    <w:p>
      <w:pPr>
        <w:numPr>
          <w:ilvl w:val="0"/>
          <w:numId w:val="1266"/>
        </w:numPr>
        <w:pStyle w:val="Compact"/>
      </w:pPr>
      <w:r>
        <w:rPr>
          <w:bCs/>
          <w:b/>
        </w:rPr>
        <w:t xml:space="preserve">Pigmentveranderingen van het mondslijmvlies</w:t>
      </w:r>
      <w:r>
        <w:t xml:space="preserve"> </w:t>
      </w:r>
      <w:r>
        <w:t xml:space="preserve">zijn beschreven (de Baat 2020, PMID 32459219; het overzicht mengt echter bevindingen over het geregistreerde implantaat met bevindingen over melanotan van de grijze markt), evenals een geval van schijnbare ontkleuring bij gelijktijdig constitutioneel eczeem (von Bartenwerffer 2011, PMID 21597671).</w:t>
      </w:r>
    </w:p>
    <w:p>
      <w:pPr>
        <w:numPr>
          <w:ilvl w:val="0"/>
          <w:numId w:val="1266"/>
        </w:numPr>
        <w:pStyle w:val="Compact"/>
      </w:pPr>
      <w:r>
        <w:rPr>
          <w:bCs/>
          <w:b/>
        </w:rPr>
        <w:t xml:space="preserve">Geen effect op vitamine D:</w:t>
      </w:r>
      <w:r>
        <w:t xml:space="preserve"> </w:t>
      </w:r>
      <w:r>
        <w:t xml:space="preserve">zie hierboven (Kluijver 2024, PMID 38634774).</w:t>
      </w:r>
    </w:p>
    <w:bookmarkEnd w:id="787"/>
    <w:bookmarkStart w:id="788" w:name="open-1"/>
    <w:p>
      <w:pPr>
        <w:pStyle w:val="Heading4"/>
      </w:pPr>
      <w:r>
        <w:t xml:space="preserve">Open</w:t>
      </w:r>
    </w:p>
    <w:p>
      <w:pPr>
        <w:pStyle w:val="FirstParagraph"/>
      </w:pPr>
      <w:r>
        <w:t xml:space="preserve">Gegevens over zwangerschap ontbreken grotendeels; in de praktijk wordt de behandeling onderbroken. Voor kinderen en jongeren is afamelanotide niet geregistreerd (Barman-Aksözen 2026, PMID 41885813), hoewel EPP meestal in de vroege kindertijd begint. Enkele behandelingen van kinderen buiten de registratie zijn als casusbeschrijvingen gepubliceerd (Minder 2026, PMID 41542313). Of de tientallen jaren durende stimulatie van de pigmentcellen het risico op huidkanker beïnvloedt, valt met de tot nu toe beschikbare observatieperioden niet definitief te zeggen.</w:t>
      </w:r>
    </w:p>
    <w:bookmarkEnd w:id="788"/>
    <w:bookmarkStart w:id="789" w:name="onderscheid-met-de-grijze-markt"/>
    <w:p>
      <w:pPr>
        <w:pStyle w:val="Heading4"/>
      </w:pPr>
      <w:r>
        <w:t xml:space="preserve">Onderscheid met de grijze markt</w:t>
      </w:r>
    </w:p>
    <w:p>
      <w:pPr>
        <w:pStyle w:val="FirstParagraph"/>
      </w:pPr>
      <w:r>
        <w:t xml:space="preserve">Op internet wordt „melanotan I” aangeboden als bruiningsmiddel. Zulke producten hebben met het geregistreerde implantaat alleen de naam van de werkzame stof gemeen: ze worden verkocht als poeder voor zelfinjectie, zuiverheid en gehalte zijn niet gecontroleerd, en er is geen medische controle van de huid. De veiligheidsgegevens uit de EPP-behandeling kunnen daar niet op worden overgedragen (Habbema 2017, PMID 28266027).</w:t>
      </w:r>
    </w:p>
    <w:bookmarkEnd w:id="789"/>
    <w:bookmarkEnd w:id="790"/>
    <w:bookmarkStart w:id="791" w:name="juridische-status-48"/>
    <w:p>
      <w:pPr>
        <w:pStyle w:val="Heading3"/>
      </w:pPr>
      <w:r>
        <w:t xml:space="preserve">Juridische status</w:t>
      </w:r>
    </w:p>
    <w:p>
      <w:pPr>
        <w:pStyle w:val="FirstParagraph"/>
      </w:pPr>
      <w:r>
        <w:rPr>
          <w:iCs/>
          <w:i/>
        </w:rPr>
        <w:t xml:space="preserve">Stand 2026, actuele situatie controleren.</w:t>
      </w:r>
    </w:p>
    <w:p>
      <w:pPr>
        <w:numPr>
          <w:ilvl w:val="0"/>
          <w:numId w:val="1267"/>
        </w:numPr>
        <w:pStyle w:val="Compact"/>
      </w:pPr>
      <w:r>
        <w:rPr>
          <w:bCs/>
          <w:b/>
        </w:rPr>
        <w:t xml:space="preserve">EU:</w:t>
      </w:r>
      <w:r>
        <w:t xml:space="preserve"> </w:t>
      </w:r>
      <w:r>
        <w:t xml:space="preserve">centraal geregistreerd sinds 2014 als weesgeneesmiddel (Scenesse) voor volwassenen met EPP. De behandeling vindt plaats in gespecialiseerde centra; een veiligheidsstudie en een Europees register maken deel uit van de voorwaarden (Homey 2025, PMID 40082741).</w:t>
      </w:r>
    </w:p>
    <w:p>
      <w:pPr>
        <w:numPr>
          <w:ilvl w:val="0"/>
          <w:numId w:val="1267"/>
        </w:numPr>
        <w:pStyle w:val="Compact"/>
      </w:pPr>
      <w:r>
        <w:rPr>
          <w:bCs/>
          <w:b/>
        </w:rPr>
        <w:t xml:space="preserve">Duitsland en Oostenrijk:</w:t>
      </w:r>
      <w:r>
        <w:t xml:space="preserve"> </w:t>
      </w:r>
      <w:r>
        <w:t xml:space="preserve">beschikbaar via gespecialiseerde porfyrie- en dermatologische klinieken; vergoeding moet per geval worden geregeld. Uit beide landen zijn behandelcohorten gepubliceerd (Homey 2025, PMID 40082741; Seidl-Philipp 2026, PMID 41793078).</w:t>
      </w:r>
    </w:p>
    <w:p>
      <w:pPr>
        <w:numPr>
          <w:ilvl w:val="0"/>
          <w:numId w:val="1267"/>
        </w:numPr>
        <w:pStyle w:val="Compact"/>
      </w:pPr>
      <w:r>
        <w:rPr>
          <w:bCs/>
          <w:b/>
        </w:rPr>
        <w:t xml:space="preserve">VS:</w:t>
      </w:r>
      <w:r>
        <w:t xml:space="preserve"> </w:t>
      </w:r>
      <w:r>
        <w:t xml:space="preserve">geregistreerd sinds 2019 voor volwassenen met EPP en lichtreacties.</w:t>
      </w:r>
    </w:p>
    <w:p>
      <w:pPr>
        <w:numPr>
          <w:ilvl w:val="0"/>
          <w:numId w:val="1267"/>
        </w:numPr>
        <w:pStyle w:val="Compact"/>
      </w:pPr>
      <w:r>
        <w:rPr>
          <w:bCs/>
          <w:b/>
        </w:rPr>
        <w:t xml:space="preserve">Kosten:</w:t>
      </w:r>
      <w:r>
        <w:t xml:space="preserve"> </w:t>
      </w:r>
      <w:r>
        <w:t xml:space="preserve">afamelanotide behoort tot de dure geneesmiddelen voor zeldzame ziekten. In Engeland wees de beoordelingsinstantie NICE de financiering af – als tot nu toe enige therapie in haar programma voor zeer zeldzame ziekten. Patiëntenvertegenwoordigers bekritiseren de daarbij gebruikte berekening (Barman-Aksözen 2024, PMID 38791830).</w:t>
      </w:r>
    </w:p>
    <w:p>
      <w:pPr>
        <w:numPr>
          <w:ilvl w:val="0"/>
          <w:numId w:val="1267"/>
        </w:numPr>
        <w:pStyle w:val="Compact"/>
      </w:pPr>
      <w:r>
        <w:rPr>
          <w:bCs/>
          <w:b/>
        </w:rPr>
        <w:t xml:space="preserve">WADA:</w:t>
      </w:r>
      <w:r>
        <w:t xml:space="preserve"> </w:t>
      </w:r>
      <w:r>
        <w:t xml:space="preserve">niet vermeld.</w:t>
      </w:r>
    </w:p>
    <w:bookmarkEnd w:id="791"/>
    <w:bookmarkStart w:id="792" w:name="lopende-studies-en-vooruitzichten-48"/>
    <w:p>
      <w:pPr>
        <w:pStyle w:val="Heading3"/>
      </w:pPr>
      <w:r>
        <w:t xml:space="preserve">Lopende studies en vooruitzichten</w:t>
      </w:r>
    </w:p>
    <w:p>
      <w:pPr>
        <w:pStyle w:val="FirstParagraph"/>
      </w:pPr>
      <w:r>
        <w:rPr>
          <w:bCs/>
          <w:b/>
        </w:rPr>
        <w:t xml:space="preserve">Zeker (geregistreerde studies):</w:t>
      </w:r>
    </w:p>
    <w:p>
      <w:pPr>
        <w:numPr>
          <w:ilvl w:val="0"/>
          <w:numId w:val="1268"/>
        </w:numPr>
        <w:pStyle w:val="Compact"/>
      </w:pPr>
      <w:r>
        <w:rPr>
          <w:bCs/>
          <w:b/>
        </w:rPr>
        <w:t xml:space="preserve">Vitiligo, fase 3:</w:t>
      </w:r>
      <w:r>
        <w:t xml:space="preserve"> </w:t>
      </w:r>
      <w:r>
        <w:t xml:space="preserve">een studie met 200 personen vergelijkt afamelanotide plus smalband-UVB met lichttherapie alleen (NCT06109649). Het geplande einde lag in juni 2026; peer-reviewed resultaten waren bij het afsluiten van de redactie niet in PubMed gepubliceerd. Een kleine studie naar vitiligo in het gezicht (NCT05210582) is geregistreerd.</w:t>
      </w:r>
    </w:p>
    <w:p>
      <w:pPr>
        <w:numPr>
          <w:ilvl w:val="0"/>
          <w:numId w:val="1268"/>
        </w:numPr>
        <w:pStyle w:val="Compact"/>
      </w:pPr>
      <w:r>
        <w:rPr>
          <w:bCs/>
          <w:b/>
        </w:rPr>
        <w:t xml:space="preserve">Andere zeldzame lichtziekten:</w:t>
      </w:r>
      <w:r>
        <w:t xml:space="preserve"> </w:t>
      </w:r>
      <w:r>
        <w:t xml:space="preserve">kleine fase 2-studies naar porphyria variegata (NCT05854784, afgerond) en naar xeroderma pigmentosum, een erfelijke ziekte met verstoord herstel van uv-schade (NCT05370235, NCT05159752).</w:t>
      </w:r>
    </w:p>
    <w:p>
      <w:pPr>
        <w:numPr>
          <w:ilvl w:val="0"/>
          <w:numId w:val="1268"/>
        </w:numPr>
        <w:pStyle w:val="Compact"/>
      </w:pPr>
      <w:r>
        <w:rPr>
          <w:bCs/>
          <w:b/>
        </w:rPr>
        <w:t xml:space="preserve">Farmacologie:</w:t>
      </w:r>
      <w:r>
        <w:t xml:space="preserve"> </w:t>
      </w:r>
      <w:r>
        <w:t xml:space="preserve">een studie naar de farmacokinetiek bij EPP met 28 personen is afgerond (NCT06388642).</w:t>
      </w:r>
    </w:p>
    <w:p>
      <w:pPr>
        <w:pStyle w:val="FirstParagraph"/>
      </w:pPr>
      <w:r>
        <w:rPr>
          <w:bCs/>
          <w:b/>
        </w:rPr>
        <w:t xml:space="preserve">Nieuwe concurrentie:</w:t>
      </w:r>
      <w:r>
        <w:t xml:space="preserve"> </w:t>
      </w:r>
      <w:r>
        <w:t xml:space="preserve">voor EPP worden twee tabletten ontwikkeld: dersimelagon, een niet-peptidische MC1R-agonist, en bitopertine, dat aangrijpt op de aanmaak van de rode bloedkleurstof. Beide lieten in studies effecten zien ten opzichte van placebo; vergelijkingen met afamelanotide ontbreken nog (Barman-Aksözen 2026, PMID 41885813).</w:t>
      </w:r>
    </w:p>
    <w:p>
      <w:pPr>
        <w:pStyle w:val="BodyText"/>
      </w:pPr>
      <w:r>
        <w:rPr>
          <w:bCs/>
          <w:b/>
        </w:rPr>
        <w:t xml:space="preserve">Inschatting van de auteur:</w:t>
      </w:r>
      <w:r>
        <w:t xml:space="preserve"> </w:t>
      </w:r>
      <w:r>
        <w:t xml:space="preserve">afamelanotide blijft voorlopig de referentie voor EPP. Of het bij vitiligo een rol speelt, hangt af van het resultaat van de fase 3-studie; de combinatie met lichttherapie is bewerkelijk, en met de JAK-remmercrèmes zijn er inmiddels andere opties. Een registratie voor jongeren zou voor EPP bijzonder belangrijk zijn, omdat de ziekte in de kindertijd begint.</w:t>
      </w:r>
    </w:p>
    <w:bookmarkEnd w:id="792"/>
    <w:bookmarkStart w:id="793" w:name="conclusie-48"/>
    <w:p>
      <w:pPr>
        <w:pStyle w:val="Heading3"/>
      </w:pPr>
      <w:r>
        <w:t xml:space="preserve">Conclusie</w:t>
      </w:r>
    </w:p>
    <w:p>
      <w:pPr>
        <w:pStyle w:val="FirstParagraph"/>
      </w:pPr>
      <w:r>
        <w:t xml:space="preserve">Afamelanotide is het best onderzochte en het enige in de EU geregistreerde peptide dat de bruining van de huid via het melanocortinesysteem stimuleert. Bij volwassenen met erytropoëtische protoporfyrie verlengde het in twee gerandomiseerde studies de pijnvrije tijd in het zonlicht en verbeterde het de kwaliteit van leven; langetermijncohorten uit meerdere landen laten hoge percentages voortzetting zien bij overwegend lichte bijwerkingen. Bij vitiligo versnelde het in een gerandomiseerde studie de repigmentatie onder lichttherapie; de fase 3-resultaten worden nog verwacht. Met „melanotan I” van de grijze markt voor cosmetische bruining heeft het gecontroleerde implantaat in de gespecialiseerde polikliniek vrijwel niets gemeen.</w:t>
      </w:r>
    </w:p>
    <w:bookmarkEnd w:id="793"/>
    <w:bookmarkEnd w:id="794"/>
    <w:bookmarkStart w:id="814" w:name="kisspeptine"/>
    <w:p>
      <w:pPr>
        <w:pStyle w:val="Heading2"/>
      </w:pPr>
      <w:r>
        <w:t xml:space="preserve">Kisspeptine</w:t>
      </w:r>
    </w:p>
    <w:bookmarkStart w:id="795" w:name="profiel-49"/>
    <w:p>
      <w:pPr>
        <w:pStyle w:val="Heading3"/>
      </w:pPr>
      <w:r>
        <w:t xml:space="preserve">Profiel</w:t>
      </w:r>
    </w:p>
    <w:p>
      <w:pPr>
        <w:numPr>
          <w:ilvl w:val="0"/>
          <w:numId w:val="1269"/>
        </w:numPr>
        <w:pStyle w:val="Compact"/>
      </w:pPr>
      <w:r>
        <w:rPr>
          <w:bCs/>
          <w:b/>
        </w:rPr>
        <w:t xml:space="preserve">Soort/structuur:</w:t>
      </w:r>
      <w:r>
        <w:t xml:space="preserve"> </w:t>
      </w:r>
      <w:r>
        <w:t xml:space="preserve">lichaamseigen peptidefamilie. Het gen KISS1 levert een voorlopereiwit waaruit stukken van verschillende lengte ontstaan: kisspeptine-54 (54 aminozuren, de vorm die in het bloed overheerst), kisspeptine-14, -13 en -10. De kortste vorm, kisspeptine-10, bevat al het volledig werkzame deel. In studies worden de natuurlijke vormen gebruikt en synthetische, stabielere varianten (zoals MVT-602 en TAK-448).</w:t>
      </w:r>
    </w:p>
    <w:p>
      <w:pPr>
        <w:numPr>
          <w:ilvl w:val="0"/>
          <w:numId w:val="1269"/>
        </w:numPr>
        <w:pStyle w:val="Compact"/>
      </w:pPr>
      <w:r>
        <w:rPr>
          <w:bCs/>
          <w:b/>
        </w:rPr>
        <w:t xml:space="preserve">Herkomst:</w:t>
      </w:r>
      <w:r>
        <w:t xml:space="preserve"> </w:t>
      </w:r>
      <w:r>
        <w:t xml:space="preserve">in 1996 eerst ontdekt als gen dat de uitzaaiing van melanoomcellen afremt (Lee 1996, PMID 8944003). De naam gaat terug op de stad Hershey in Pennsylvania, thuis van de chocoladesoort „Kisses”. In 2001 werd het peptide geïdentificeerd als boodschapperstof van een tot dan toe „verweesde” receptor en eerst metastine genoemd (Ohtaki 2001, PMID 11385580).</w:t>
      </w:r>
    </w:p>
    <w:p>
      <w:pPr>
        <w:numPr>
          <w:ilvl w:val="0"/>
          <w:numId w:val="1269"/>
        </w:numPr>
        <w:pStyle w:val="Compact"/>
      </w:pPr>
      <w:r>
        <w:rPr>
          <w:bCs/>
          <w:b/>
        </w:rPr>
        <w:t xml:space="preserve">Werkingsprincipe:</w:t>
      </w:r>
      <w:r>
        <w:t xml:space="preserve"> </w:t>
      </w:r>
      <w:r>
        <w:t xml:space="preserve">agonist van de kisspeptinereceptor (KISS1R, vroeger GPR54) op de GnRH-zenuwcellen in de hypothalamus. Kisspeptine is de belangrijkste bekende aanzet tot de afgifte van GnRH en daarmee voor de hele hormonale as van de voortplanting.</w:t>
      </w:r>
    </w:p>
    <w:p>
      <w:pPr>
        <w:numPr>
          <w:ilvl w:val="0"/>
          <w:numId w:val="1269"/>
        </w:numPr>
        <w:pStyle w:val="Compact"/>
      </w:pPr>
      <w:r>
        <w:rPr>
          <w:bCs/>
          <w:b/>
        </w:rPr>
        <w:t xml:space="preserve">Registratie EU:</w:t>
      </w:r>
      <w:r>
        <w:t xml:space="preserve"> </w:t>
      </w:r>
      <w:r>
        <w:t xml:space="preserve">nee.</w:t>
      </w:r>
    </w:p>
    <w:p>
      <w:pPr>
        <w:numPr>
          <w:ilvl w:val="0"/>
          <w:numId w:val="1269"/>
        </w:numPr>
        <w:pStyle w:val="Compact"/>
      </w:pPr>
      <w:r>
        <w:rPr>
          <w:bCs/>
          <w:b/>
        </w:rPr>
        <w:t xml:space="preserve">Registratie VS:</w:t>
      </w:r>
      <w:r>
        <w:t xml:space="preserve"> </w:t>
      </w:r>
      <w:r>
        <w:t xml:space="preserve">nee.</w:t>
      </w:r>
    </w:p>
    <w:p>
      <w:pPr>
        <w:numPr>
          <w:ilvl w:val="0"/>
          <w:numId w:val="1269"/>
        </w:numPr>
        <w:pStyle w:val="Compact"/>
      </w:pPr>
      <w:r>
        <w:rPr>
          <w:bCs/>
          <w:b/>
        </w:rPr>
        <w:t xml:space="preserve">WADA:</w:t>
      </w:r>
      <w:r>
        <w:t xml:space="preserve"> </w:t>
      </w:r>
      <w:r>
        <w:t xml:space="preserve">niet bij naam genoemd. Als niet-goedgekeurde werkzame stof valt kisspeptine onder S0; bij mannen omvat bovendien groep S2 vrijmakende factoren van het luteïniserend hormoon (stand 2026, actuele situatie controleren).</w:t>
      </w:r>
    </w:p>
    <w:p>
      <w:pPr>
        <w:numPr>
          <w:ilvl w:val="0"/>
          <w:numId w:val="1269"/>
        </w:numPr>
        <w:pStyle w:val="Compact"/>
      </w:pPr>
      <w:r>
        <w:rPr>
          <w:bCs/>
          <w:b/>
        </w:rPr>
        <w:t xml:space="preserve">Bewijsniveau:</w:t>
      </w:r>
      <w:r>
        <w:t xml:space="preserve"> </w:t>
      </w:r>
      <w:r>
        <w:rPr>
          <w:bCs/>
          <w:b/>
        </w:rPr>
        <w:t xml:space="preserve">B</w:t>
      </w:r>
      <w:r>
        <w:t xml:space="preserve"> </w:t>
      </w:r>
      <w:r>
        <w:t xml:space="preserve">– talrijke kleine, deels gerandomiseerde studies en meerdere gerandomiseerde fase 2-studies, vooral uit Londen en Boston. Geen fase 3-studie, geen registratie.</w:t>
      </w:r>
    </w:p>
    <w:bookmarkEnd w:id="795"/>
    <w:bookmarkStart w:id="796" w:name="hoe-het-zou-moeten-werken-49"/>
    <w:p>
      <w:pPr>
        <w:pStyle w:val="Heading3"/>
      </w:pPr>
      <w:r>
        <w:t xml:space="preserve">Hoe het zou moeten werken</w:t>
      </w:r>
    </w:p>
    <w:p>
      <w:pPr>
        <w:pStyle w:val="FirstParagraph"/>
      </w:pPr>
      <w:r>
        <w:t xml:space="preserve">De voortplanting van de mens wordt aangestuurd door een keten van hormonen. Bovenaan staat het hormoon GnRH (gonadotropine-releasing hormoon) uit de hypothalamus, dat in pulsen wordt afgegeven. Het zet de hypofyse aan tot afgifte van de hormonen LH (luteïniserend hormoon) en FSH (follikelstimulerend hormoon). Die sturen op hun beurt eierstokken en zaadballen aan: eicelrijping en eisprong, zaadcelvorming, productie van oestrogeen en testosteron. Het hoofdstuk over gonadoreline (2E06) beschrijft deze as nader.</w:t>
      </w:r>
    </w:p>
    <w:p>
      <w:pPr>
        <w:pStyle w:val="BodyText"/>
      </w:pPr>
      <w:r>
        <w:t xml:space="preserve">Kisspeptine zit één niveau boven GnRH. Speciale zenuwcellen in de hypothalamus geven het af en „schakelen” daarmee de GnRH-cellen in. Hoe centraal deze functie is, bleek in 2003: mensen met een defecte kisspeptinereceptor komen niet in de puberteit en blijven onvruchtbaar (de Roux 2003, PMID 12944565; Seminara 2003, PMID 14573733).</w:t>
      </w:r>
    </w:p>
    <w:p>
      <w:pPr>
        <w:pStyle w:val="BodyText"/>
      </w:pPr>
      <w:r>
        <w:t xml:space="preserve">Voor de geneeskunde is kisspeptine om twee redenen interessant:</w:t>
      </w:r>
    </w:p>
    <w:p>
      <w:pPr>
        <w:numPr>
          <w:ilvl w:val="0"/>
          <w:numId w:val="1270"/>
        </w:numPr>
        <w:pStyle w:val="Compact"/>
      </w:pPr>
      <w:r>
        <w:rPr>
          <w:bCs/>
          <w:b/>
        </w:rPr>
        <w:t xml:space="preserve">Het werkt „van bovenaf”.</w:t>
      </w:r>
      <w:r>
        <w:t xml:space="preserve"> </w:t>
      </w:r>
      <w:r>
        <w:t xml:space="preserve">Anders dan geneesmiddelen die LH of FSH rechtstreeks vervangen, stimuleert kisspeptine de lichaamseigen GnRH-afgifte. De daaropvolgende hormoonafgifte blijft onderworpen aan de natuurlijke terugkoppelingen. Dat maakt een overstimulatie van de eierstokken minder waarschijnlijk.</w:t>
      </w:r>
    </w:p>
    <w:p>
      <w:pPr>
        <w:numPr>
          <w:ilvl w:val="0"/>
          <w:numId w:val="1270"/>
        </w:numPr>
        <w:pStyle w:val="Compact"/>
      </w:pPr>
      <w:r>
        <w:rPr>
          <w:bCs/>
          <w:b/>
        </w:rPr>
        <w:t xml:space="preserve">Kortdurend werkt het stimulerend, langdurig remmend.</w:t>
      </w:r>
      <w:r>
        <w:t xml:space="preserve"> </w:t>
      </w:r>
      <w:r>
        <w:t xml:space="preserve">Bij ononderbroken toediening wennen de receptoren aan het signaal (tachyfylaxie) en schakelt de hormonale as terug. Dat is een probleem als men de vruchtbaarheid wil bevorderen – en een kans als men hormonen wil verlagen, bijvoorbeeld bij prostaatkanker.</w:t>
      </w:r>
    </w:p>
    <w:p>
      <w:pPr>
        <w:pStyle w:val="FirstParagraph"/>
      </w:pPr>
      <w:r>
        <w:t xml:space="preserve">Kisspeptinereceptoren komen ook voor in hersengebieden die emoties en seksuele prikkels verwerken. Daaruit ontstond het idee dat kisspeptine het seksueel verlangen zou kunnen beïnvloeden.</w:t>
      </w:r>
    </w:p>
    <w:bookmarkEnd w:id="796"/>
    <w:bookmarkStart w:id="805" w:name="studies-bij-mensen-49"/>
    <w:p>
      <w:pPr>
        <w:pStyle w:val="Heading3"/>
      </w:pPr>
      <w:r>
        <w:t xml:space="preserve">Studies bij mensen</w:t>
      </w:r>
    </w:p>
    <w:p>
      <w:pPr>
        <w:pStyle w:val="FirstParagraph"/>
      </w:pPr>
      <w:r>
        <w:rPr>
          <w:bCs/>
          <w:b/>
        </w:rPr>
        <w:t xml:space="preserve">Omvang van het onderzoek (zoekopdracht oktober 2026):</w:t>
      </w:r>
      <w:r>
        <w:t xml:space="preserve"> </w:t>
      </w:r>
      <w:r>
        <w:t xml:space="preserve">De geautomatiseerde zoekopdracht van dit boek vond</w:t>
      </w:r>
      <w:r>
        <w:t xml:space="preserve"> </w:t>
      </w:r>
      <w:r>
        <w:rPr>
          <w:bCs/>
          <w:b/>
        </w:rPr>
        <w:t xml:space="preserve">37</w:t>
      </w:r>
      <w:r>
        <w:t xml:space="preserve"> </w:t>
      </w:r>
      <w:r>
        <w:t xml:space="preserve">studies bij mensen in PubMed (</w:t>
      </w:r>
      <w:r>
        <w:rPr>
          <w:rStyle w:val="VerbatimChar"/>
        </w:rPr>
        <w:t xml:space="preserve">humanstudien_alle</w:t>
      </w:r>
      <w:r>
        <w:t xml:space="preserve">) en</w:t>
      </w:r>
      <w:r>
        <w:t xml:space="preserve"> </w:t>
      </w:r>
      <w:r>
        <w:rPr>
          <w:bCs/>
          <w:b/>
        </w:rPr>
        <w:t xml:space="preserve">36</w:t>
      </w:r>
      <w:r>
        <w:t xml:space="preserve"> </w:t>
      </w:r>
      <w:r>
        <w:t xml:space="preserve">registraties bij ClinicalTrials.gov. Niet in al deze studies wordt kisspeptine toegediend: sommige meten alleen kisspeptinespiegels in het bloed, bijvoorbeeld tijdens de zwangerschap. De toediening van kisspeptine bij mensen werd door weinig onderzoeksgroepen vooruitgebracht, vooral aan het Imperial College London en het Massachusetts General Hospital in Boston. De meeste studies hebben minder dan 50 deelnemers.</w:t>
      </w:r>
    </w:p>
    <w:bookmarkStart w:id="797" w:name="eerste-toedieningen-en-basiskennis"/>
    <w:p>
      <w:pPr>
        <w:pStyle w:val="Heading4"/>
      </w:pPr>
      <w:r>
        <w:t xml:space="preserve">Eerste toedieningen en basiskennis</w:t>
      </w:r>
    </w:p>
    <w:p>
      <w:pPr>
        <w:pStyle w:val="FirstParagraph"/>
      </w:pPr>
      <w:r>
        <w:t xml:space="preserve">Aan de eerste studie bij mensen namen in 2005 zes gezonde mannen deel. Een infuus van 90 minuten met kisspeptine-54 verhoogde LH, FSH en testosteron significant ten opzichte van zoutoplossing (Dhillo 2005, PMID 16174713). De halfwaardetijd in het bloed lag op bijna 28 minuten. Bij vrouwen hangt het effect sterk af van de cyclusfase en is het kort vóór de eisprong het sterkst (Dhillo 2007, PMID 17635940).</w:t>
      </w:r>
    </w:p>
    <w:p>
      <w:pPr>
        <w:pStyle w:val="BodyText"/>
      </w:pPr>
      <w:r>
        <w:t xml:space="preserve">Kisspeptine-10 veroorzaakte bij gezonde mannen snel een dosisafhankelijke LH-stijging en verhoogde bij continu infuus de frequentie van de LH-pulsen (George 2011, PMID 21632807). Kinderen met een vertraagde puberteit reageerden zeer verschillend: sommigen hadden een duidelijke respons, anderen geen (Chan 2018, PMID 29669934). Dat zou in de toekomst kunnen helpen om een louter uitgestelde puberteit te onderscheiden van een blijvend hormoontekort.</w:t>
      </w:r>
    </w:p>
    <w:bookmarkEnd w:id="797"/>
    <w:bookmarkStart w:id="798" w:name="vruchtbaarheidsbehandeling-eicelrijping"/>
    <w:p>
      <w:pPr>
        <w:pStyle w:val="Heading4"/>
      </w:pPr>
      <w:r>
        <w:t xml:space="preserve">Vruchtbaarheidsbehandeling: eicelrijping</w:t>
      </w:r>
    </w:p>
    <w:p>
      <w:pPr>
        <w:pStyle w:val="FirstParagraph"/>
      </w:pPr>
      <w:r>
        <w:t xml:space="preserve">De tot nu toe verst ontwikkelde toepassing is het opwekken van de eicelrijping bij kunstmatige bevruchting (ivf). Normaal wordt daarvoor het hormoon hCG ingespoten. hCG werkt lang en kan bij gevoelige vrouwen een ovarieel hyperstimulatiesyndroom (OHSS) uitlokken – een vochtverschuiving die in het uiterste geval levensgevaarlijk is. Kisspeptine wekt in plaats daarvan een lichaamseigen, kortere LH-golf op.</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Deelnemers en opzet</w:t>
            </w:r>
          </w:p>
        </w:tc>
        <w:tc>
          <w:tcPr/>
          <w:p>
            <w:pPr>
              <w:pStyle w:val="Compact"/>
              <w:jc w:val="left"/>
            </w:pPr>
            <w:r>
              <w:t xml:space="preserve">Duur</w:t>
            </w:r>
          </w:p>
        </w:tc>
        <w:tc>
          <w:tcPr/>
          <w:p>
            <w:pPr>
              <w:pStyle w:val="Compact"/>
              <w:jc w:val="left"/>
            </w:pPr>
            <w:r>
              <w:t xml:space="preserve">Resultaat</w:t>
            </w:r>
          </w:p>
        </w:tc>
      </w:tr>
      <w:tr>
        <w:tc>
          <w:tcPr/>
          <w:p>
            <w:pPr>
              <w:pStyle w:val="Compact"/>
              <w:jc w:val="left"/>
            </w:pPr>
            <w:r>
              <w:t xml:space="preserve">Jayasena 2014, PMID 25036713</w:t>
            </w:r>
          </w:p>
        </w:tc>
        <w:tc>
          <w:tcPr/>
          <w:p>
            <w:pPr>
              <w:pStyle w:val="Compact"/>
              <w:jc w:val="left"/>
            </w:pPr>
            <w:r>
              <w:t xml:space="preserve">53 vrouwen in ivf-behandeling, dosisstudie zonder controlegroep</w:t>
            </w:r>
          </w:p>
        </w:tc>
        <w:tc>
          <w:tcPr/>
          <w:p>
            <w:pPr>
              <w:pStyle w:val="Compact"/>
              <w:jc w:val="left"/>
            </w:pPr>
            <w:r>
              <w:t xml:space="preserve">één cyclus</w:t>
            </w:r>
          </w:p>
        </w:tc>
        <w:tc>
          <w:tcPr/>
          <w:p>
            <w:pPr>
              <w:pStyle w:val="Compact"/>
              <w:jc w:val="left"/>
            </w:pPr>
            <w:r>
              <w:t xml:space="preserve">Eicelrijping bij alle doses; klinische zwangerschap 23%</w:t>
            </w:r>
          </w:p>
        </w:tc>
      </w:tr>
      <w:tr>
        <w:tc>
          <w:tcPr/>
          <w:p>
            <w:pPr>
              <w:pStyle w:val="Compact"/>
              <w:jc w:val="left"/>
            </w:pPr>
            <w:r>
              <w:t xml:space="preserve">Abbara 2015, PMID 26192876</w:t>
            </w:r>
          </w:p>
        </w:tc>
        <w:tc>
          <w:tcPr/>
          <w:p>
            <w:pPr>
              <w:pStyle w:val="Compact"/>
              <w:jc w:val="left"/>
            </w:pPr>
            <w:r>
              <w:t xml:space="preserve">60 vrouwen met hoog OHSS-risico, gerandomiseerde dosisstudie</w:t>
            </w:r>
          </w:p>
        </w:tc>
        <w:tc>
          <w:tcPr/>
          <w:p>
            <w:pPr>
              <w:pStyle w:val="Compact"/>
              <w:jc w:val="left"/>
            </w:pPr>
            <w:r>
              <w:t xml:space="preserve">één cyclus</w:t>
            </w:r>
          </w:p>
        </w:tc>
        <w:tc>
          <w:tcPr/>
          <w:p>
            <w:pPr>
              <w:pStyle w:val="Compact"/>
              <w:jc w:val="left"/>
            </w:pPr>
            <w:r>
              <w:t xml:space="preserve">Eicelrijping bij 95%; levendgeboorte 45% per transfer; geen matig of ernstig OHSS</w:t>
            </w:r>
          </w:p>
        </w:tc>
      </w:tr>
      <w:tr>
        <w:tc>
          <w:tcPr/>
          <w:p>
            <w:pPr>
              <w:pStyle w:val="Compact"/>
              <w:jc w:val="left"/>
            </w:pPr>
            <w:r>
              <w:t xml:space="preserve">Abbara 2017, PMID 28854728</w:t>
            </w:r>
          </w:p>
        </w:tc>
        <w:tc>
          <w:tcPr/>
          <w:p>
            <w:pPr>
              <w:pStyle w:val="Compact"/>
              <w:jc w:val="left"/>
            </w:pPr>
            <w:r>
              <w:t xml:space="preserve">62 vrouwen met hoog OHSS-risico, RCT: tweede dosis vs. zoutoplossing</w:t>
            </w:r>
          </w:p>
        </w:tc>
        <w:tc>
          <w:tcPr/>
          <w:p>
            <w:pPr>
              <w:pStyle w:val="Compact"/>
              <w:jc w:val="left"/>
            </w:pPr>
            <w:r>
              <w:t xml:space="preserve">één cyclus</w:t>
            </w:r>
          </w:p>
        </w:tc>
        <w:tc>
          <w:tcPr/>
          <w:p>
            <w:pPr>
              <w:pStyle w:val="Compact"/>
              <w:jc w:val="left"/>
            </w:pPr>
            <w:r>
              <w:t xml:space="preserve">voldoende eicelopbrengst bij 71% vs. 45%</w:t>
            </w:r>
          </w:p>
        </w:tc>
      </w:tr>
      <w:tr>
        <w:tc>
          <w:tcPr/>
          <w:p>
            <w:pPr>
              <w:pStyle w:val="Compact"/>
              <w:jc w:val="left"/>
            </w:pPr>
            <w:r>
              <w:t xml:space="preserve">Abbara 2024, PMID 37925096</w:t>
            </w:r>
          </w:p>
        </w:tc>
        <w:tc>
          <w:tcPr/>
          <w:p>
            <w:pPr>
              <w:pStyle w:val="Compact"/>
              <w:jc w:val="left"/>
            </w:pPr>
            <w:r>
              <w:t xml:space="preserve">24 resp. 75 gezonde vrouwen, twee RCT’s met de analoog MVT-602</w:t>
            </w:r>
          </w:p>
        </w:tc>
        <w:tc>
          <w:tcPr/>
          <w:p>
            <w:pPr>
              <w:pStyle w:val="Compact"/>
              <w:jc w:val="left"/>
            </w:pPr>
            <w:r>
              <w:t xml:space="preserve">eenmalige dosis</w:t>
            </w:r>
          </w:p>
        </w:tc>
        <w:tc>
          <w:tcPr/>
          <w:p>
            <w:pPr>
              <w:pStyle w:val="Compact"/>
              <w:jc w:val="left"/>
            </w:pPr>
            <w:r>
              <w:t xml:space="preserve">LH-stijging vergelijkbaar met het natuurlijke midden van de cyclus; eisprong binnen 5 dagen bij maximaal 100%</w:t>
            </w:r>
          </w:p>
        </w:tc>
      </w:tr>
    </w:tbl>
    <w:p>
      <w:pPr>
        <w:pStyle w:val="BodyText"/>
      </w:pPr>
      <w:r>
        <w:t xml:space="preserve">In de eerste studie (Jayasena 2014, PMID 25036713; NCT01667406) kregen 53 vrouwen één enkele kisspeptine-injectie. Bij alle geteste doses rijpten eicellen; bij 49 vrouwen werden embryo’s teruggeplaatst, twaalf werden klinisch zwanger. Daarmee was voor het eerst aangetoond dat na een door kisspeptine gestuurde eicelrijping een zwangerschap mogelijk is.</w:t>
      </w:r>
    </w:p>
    <w:p>
      <w:pPr>
        <w:pStyle w:val="BodyText"/>
      </w:pPr>
      <w:r>
        <w:t xml:space="preserve">De vervolgstudie richtte zich op vrouwen met een hoog risico op overstimulatie (Abbara 2015, PMID 26192876). Geen van de 60 vrouwen ontwikkelde een matig of ernstig OHSS; het percentage levendgeborenen per embryotransfer bedroeg 45%. Een tweede kisspeptinedosis tien uur na de eerste verbeterde de opbrengst van rijpe eicellen (Abbara 2017, PMID 28854728).</w:t>
      </w:r>
    </w:p>
    <w:p>
      <w:pPr>
        <w:pStyle w:val="BodyText"/>
      </w:pPr>
      <w:r>
        <w:rPr>
          <w:bCs/>
          <w:b/>
        </w:rPr>
        <w:t xml:space="preserve">Plaatsing:</w:t>
      </w:r>
      <w:r>
        <w:t xml:space="preserve"> </w:t>
      </w:r>
      <w:r>
        <w:t xml:space="preserve">deze studies laten zien dat het principe werkt. Ze waren echter niet opgezet om kisspeptine rechtstreeks te vergelijken met de gevestigde alternatieven – naast hCG bestaat er voor hoogrisicopatiënten al het opwekken met een GnRH-agonist. De auteurs vragen zelf om zulke vergelijkende studies (Abbara 2017, PMID 28854728).</w:t>
      </w:r>
    </w:p>
    <w:p>
      <w:pPr>
        <w:pStyle w:val="BodyText"/>
      </w:pPr>
      <w:r>
        <w:t xml:space="preserve">De synthetische analoog MVT-602 werkt duidelijk langer dan natuurlijk kisspeptine: de LH-piek kwam bij gezonde vrouwen na ongeveer 21 in plaats van 5 uur, de totale hoeveelheid afgegeven LH was ongeveer vier keer zo groot (Abbara 2020, PMID 33196464). In twee gerandomiseerde studies met in totaal 99 vrouwen werd MVT-602 goed verdragen en wekte het in de tweede studie binnen vijf dagen een eisprong op, afhankelijk van de dosis bij 75 tot 100% van de vrouwen – maar ook bij 60% onder placebo, omdat de deelneemsters gezond waren (Abbara 2024, PMID 37925096).</w:t>
      </w:r>
    </w:p>
    <w:bookmarkEnd w:id="798"/>
    <w:bookmarkStart w:id="799" w:name="uitblijvende-menstruatie-en-pcos"/>
    <w:p>
      <w:pPr>
        <w:pStyle w:val="Heading4"/>
      </w:pPr>
      <w:r>
        <w:t xml:space="preserve">Uitblijvende menstruatie en PCOS</w:t>
      </w:r>
    </w:p>
    <w:p>
      <w:pPr>
        <w:pStyle w:val="FirstParagraph"/>
      </w:pPr>
      <w:r>
        <w:t xml:space="preserve">Bij hypothalame amenorroe blijft de menstruatie uit omdat de hersenen – vaak door ondergewicht, intensief sporten of stress – te weinig GnRH afgeven. Eén kisspeptine-injectie verhoogde bij getroffen vrouwen LH en FSH krachtig. Bij toediening twee keer per dag gedurende twee weken was het effect echter bijna verdwenen (Jayasena 2009, PMID 19820030). Toediening twee keer per week leidde slechts tot gedeeltelijke gewenning (Jayasena 2010, PMID 20980998), en een continu infuus verdrievoudigde tijdelijk het aantal LH-pulsen (Jayasena 2014, PMID 24517142). Bij mensen met een genetisch defect in het neurokinine B-systeem herstelde een kisspeptine-infuus de pulsatiele hormoonafgifte (Young 2013, PMID 22377698).</w:t>
      </w:r>
    </w:p>
    <w:p>
      <w:pPr>
        <w:pStyle w:val="BodyText"/>
      </w:pPr>
      <w:r>
        <w:t xml:space="preserve">Bij het polycysteus ovariumsyndroom (PCOS) ligt het ingewikkelder. In een pilotstudie met 12 vrouwen verhoogde kisspeptine de LH-spiegel slechts licht; twee vrouwen hadden een eisprong, bij de meesten gebeurde er niets (Romero-Ruiz 2019, PMID 31820802).</w:t>
      </w:r>
    </w:p>
    <w:bookmarkEnd w:id="799"/>
    <w:bookmarkStart w:id="800" w:name="mannen-testosteron-en-diabetes"/>
    <w:p>
      <w:pPr>
        <w:pStyle w:val="Heading4"/>
      </w:pPr>
      <w:r>
        <w:t xml:space="preserve">Mannen: testosteron en diabetes</w:t>
      </w:r>
    </w:p>
    <w:p>
      <w:pPr>
        <w:pStyle w:val="FirstParagraph"/>
      </w:pPr>
      <w:r>
        <w:t xml:space="preserve">Bij vijf mannen met diabetes type 2 en een verlaagd testosteron verhoogde een kisspeptine-10-infuus LH, de LH-pulsfrequentie en testosteron (George 2013, PMID 23153270). Een nieuwe studie met 15 gezonde mannen liet zien dat dagelijkse infusies van acht uur onder de huid de hormoonafgifte twaalf dagen lang in stand hielden, terwijl een continu infuus na vijf dagen geen effect meer had op LH en FSH (Yeung 2026, PMID 42549827). Dat is een belangrijke stap richting een mogelijke langdurige behandeling.</w:t>
      </w:r>
    </w:p>
    <w:bookmarkEnd w:id="800"/>
    <w:bookmarkStart w:id="801" w:name="seksueel-verlangen-en-hersenen"/>
    <w:p>
      <w:pPr>
        <w:pStyle w:val="Heading4"/>
      </w:pPr>
      <w:r>
        <w:t xml:space="preserve">Seksueel verlangen en hersenen</w:t>
      </w:r>
    </w:p>
    <w:p>
      <w:pPr>
        <w:pStyle w:val="FirstParagraph"/>
      </w:pPr>
      <w:r>
        <w:t xml:space="preserve">De Londense groep onderzocht met functionele magnetische resonantie-imaging (fMRI) hoe kisspeptine de verwerking van erotische beelden verandert.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Deelnemers en opzet</w:t>
            </w:r>
          </w:p>
        </w:tc>
        <w:tc>
          <w:tcPr/>
          <w:p>
            <w:pPr>
              <w:pStyle w:val="Compact"/>
              <w:jc w:val="left"/>
            </w:pPr>
            <w:r>
              <w:t xml:space="preserve">Duur</w:t>
            </w:r>
          </w:p>
        </w:tc>
        <w:tc>
          <w:tcPr/>
          <w:p>
            <w:pPr>
              <w:pStyle w:val="Compact"/>
              <w:jc w:val="left"/>
            </w:pPr>
            <w:r>
              <w:t xml:space="preserve">Resultaat</w:t>
            </w:r>
          </w:p>
        </w:tc>
      </w:tr>
      <w:tr>
        <w:tc>
          <w:tcPr/>
          <w:p>
            <w:pPr>
              <w:pStyle w:val="Compact"/>
              <w:jc w:val="left"/>
            </w:pPr>
            <w:r>
              <w:t xml:space="preserve">Comninos 2017, PMID 28112678</w:t>
            </w:r>
          </w:p>
        </w:tc>
        <w:tc>
          <w:tcPr/>
          <w:p>
            <w:pPr>
              <w:pStyle w:val="Compact"/>
              <w:jc w:val="left"/>
            </w:pPr>
            <w:r>
              <w:t xml:space="preserve">29 gezonde jonge mannen, cross-overstudie tegen placebo</w:t>
            </w:r>
          </w:p>
        </w:tc>
        <w:tc>
          <w:tcPr/>
          <w:p>
            <w:pPr>
              <w:pStyle w:val="Compact"/>
              <w:jc w:val="left"/>
            </w:pPr>
            <w:r>
              <w:t xml:space="preserve">eenmalig infuus</w:t>
            </w:r>
          </w:p>
        </w:tc>
        <w:tc>
          <w:tcPr/>
          <w:p>
            <w:pPr>
              <w:pStyle w:val="Compact"/>
              <w:jc w:val="left"/>
            </w:pPr>
            <w:r>
              <w:t xml:space="preserve">meer activiteit in limbische hersengebieden bij seksuele prikkels; minder negatieve stemming</w:t>
            </w:r>
          </w:p>
        </w:tc>
      </w:tr>
      <w:tr>
        <w:tc>
          <w:tcPr/>
          <w:p>
            <w:pPr>
              <w:pStyle w:val="Compact"/>
              <w:jc w:val="left"/>
            </w:pPr>
            <w:r>
              <w:t xml:space="preserve">Thurston 2022, PMID 36287566</w:t>
            </w:r>
          </w:p>
        </w:tc>
        <w:tc>
          <w:tcPr/>
          <w:p>
            <w:pPr>
              <w:pStyle w:val="Compact"/>
              <w:jc w:val="left"/>
            </w:pPr>
            <w:r>
              <w:t xml:space="preserve">32 vrouwen met HSDD, dubbelblinde cross-overstudie</w:t>
            </w:r>
          </w:p>
        </w:tc>
        <w:tc>
          <w:tcPr/>
          <w:p>
            <w:pPr>
              <w:pStyle w:val="Compact"/>
              <w:jc w:val="left"/>
            </w:pPr>
            <w:r>
              <w:t xml:space="preserve">75 minuten</w:t>
            </w:r>
          </w:p>
        </w:tc>
        <w:tc>
          <w:tcPr/>
          <w:p>
            <w:pPr>
              <w:pStyle w:val="Compact"/>
              <w:jc w:val="left"/>
            </w:pPr>
            <w:r>
              <w:t xml:space="preserve">veranderde activiteit in hersengebieden voor seksuele prikkels en aantrekkelijkheid; geen bijwerkingen</w:t>
            </w:r>
          </w:p>
        </w:tc>
      </w:tr>
      <w:tr>
        <w:tc>
          <w:tcPr/>
          <w:p>
            <w:pPr>
              <w:pStyle w:val="Compact"/>
              <w:jc w:val="left"/>
            </w:pPr>
            <w:r>
              <w:t xml:space="preserve">Mills 2023, PMID 36735255</w:t>
            </w:r>
          </w:p>
        </w:tc>
        <w:tc>
          <w:tcPr/>
          <w:p>
            <w:pPr>
              <w:pStyle w:val="Compact"/>
              <w:jc w:val="left"/>
            </w:pPr>
            <w:r>
              <w:t xml:space="preserve">32 mannen met HSDD, dubbelblinde cross-overstudie</w:t>
            </w:r>
          </w:p>
        </w:tc>
        <w:tc>
          <w:tcPr/>
          <w:p>
            <w:pPr>
              <w:pStyle w:val="Compact"/>
              <w:jc w:val="left"/>
            </w:pPr>
            <w:r>
              <w:t xml:space="preserve">75 minuten</w:t>
            </w:r>
          </w:p>
        </w:tc>
        <w:tc>
          <w:tcPr/>
          <w:p>
            <w:pPr>
              <w:pStyle w:val="Compact"/>
              <w:jc w:val="left"/>
            </w:pPr>
            <w:r>
              <w:t xml:space="preserve">veranderde hersenactiviteit; zwelling van de penis bij erotische video’s tot 56% sterker dan onder placebo</w:t>
            </w:r>
          </w:p>
        </w:tc>
      </w:tr>
    </w:tbl>
    <w:p>
      <w:pPr>
        <w:pStyle w:val="BodyText"/>
      </w:pPr>
      <w:r>
        <w:t xml:space="preserve">HSDD (hypoactieve seksuele verlangenstoornis) betekent een aanhoudend gering seksueel verlangen met lijdensdruk. Bij mannen met HSDD versterkte een eenmalig kisspeptine-infuus niet alleen de activiteit van seksuele hersengebieden, maar ook de meetbare lichamelijke opwinding en afzonderlijke opgaven over verlangen, zoals het „uitkijken naar seks” (Mills 2023, PMID 36735255). Bij vrouwen met HSDD correleerden de veranderingen in hersenactiviteit met de lijdensdruk en de seksuele afkeer (Thurston 2022, PMID 36287566).</w:t>
      </w:r>
    </w:p>
    <w:p>
      <w:pPr>
        <w:pStyle w:val="BodyText"/>
      </w:pPr>
      <w:r>
        <w:rPr>
          <w:bCs/>
          <w:b/>
        </w:rPr>
        <w:t xml:space="preserve">Plaatsing:</w:t>
      </w:r>
      <w:r>
        <w:t xml:space="preserve"> </w:t>
      </w:r>
      <w:r>
        <w:t xml:space="preserve">deze studies testen één infuus in het laboratorium, met hersenactiviteit als primaire uitkomstmaat. Ze zeggen niets over de vraag of kisspeptine in het dagelijks leven gedurende weken de seksuele beleving verbetert. Toediening als infuus is ongeschikt voor een behandeling in het dagelijks leven. Een studie met 95 personen vond geen effect op angst, cortisol, bloeddruk of hartslag (Mills 2025, PMID 40036336) – een geruststelling wat de verdraagbaarheid betreft, geen bewijs van werkzaamheid.</w:t>
      </w:r>
    </w:p>
    <w:bookmarkEnd w:id="801"/>
    <w:bookmarkStart w:id="802" w:name="neusspray"/>
    <w:p>
      <w:pPr>
        <w:pStyle w:val="Heading4"/>
      </w:pPr>
      <w:r>
        <w:t xml:space="preserve">Neusspray</w:t>
      </w:r>
    </w:p>
    <w:p>
      <w:pPr>
        <w:pStyle w:val="FirstParagraph"/>
      </w:pPr>
      <w:r>
        <w:t xml:space="preserve">Een neusspray met kisspeptine-54 verhoogde LH bij gezonde mannen en vrouwen en bij vrouwen met hypothalame amenorroe, zonder bijwerkingen (Mills 2025, PMID 40215751). Dat wijst op een mogelijke weg naar een behandeling zonder naald. Bij muizen werd kisspeptine aangetoond in het reukslijmvlies, wat wijst op een route via het reuksysteem.</w:t>
      </w:r>
    </w:p>
    <w:bookmarkEnd w:id="802"/>
    <w:bookmarkStart w:id="803" w:name="overige-bevindingen"/>
    <w:p>
      <w:pPr>
        <w:pStyle w:val="Heading4"/>
      </w:pPr>
      <w:r>
        <w:t xml:space="preserve">Overige bevindingen</w:t>
      </w:r>
    </w:p>
    <w:p>
      <w:pPr>
        <w:numPr>
          <w:ilvl w:val="0"/>
          <w:numId w:val="1271"/>
        </w:numPr>
        <w:pStyle w:val="Compact"/>
      </w:pPr>
      <w:r>
        <w:rPr>
          <w:bCs/>
          <w:b/>
        </w:rPr>
        <w:t xml:space="preserve">Botten:</w:t>
      </w:r>
      <w:r>
        <w:t xml:space="preserve"> </w:t>
      </w:r>
      <w:r>
        <w:t xml:space="preserve">bij 26 gezonde mannen steeg na een kisspeptinetoediening de botopbouwmarker osteocalcine met maximaal 20,3% (Comninos 2022, PMID 35244717).</w:t>
      </w:r>
    </w:p>
    <w:p>
      <w:pPr>
        <w:numPr>
          <w:ilvl w:val="0"/>
          <w:numId w:val="1271"/>
        </w:numPr>
        <w:pStyle w:val="Compact"/>
      </w:pPr>
      <w:r>
        <w:rPr>
          <w:bCs/>
          <w:b/>
        </w:rPr>
        <w:t xml:space="preserve">Stofwisseling:</w:t>
      </w:r>
      <w:r>
        <w:t xml:space="preserve"> </w:t>
      </w:r>
      <w:r>
        <w:t xml:space="preserve">bij 15 gezonde mannen verhoogde kisspeptine de insulineafgifte na suikertoediening, zonder eetlust of eetmenge te veranderen (Izzi-Engbeaya 2018, PMID 29974637).</w:t>
      </w:r>
    </w:p>
    <w:p>
      <w:pPr>
        <w:numPr>
          <w:ilvl w:val="0"/>
          <w:numId w:val="1271"/>
        </w:numPr>
        <w:pStyle w:val="Compact"/>
      </w:pPr>
      <w:r>
        <w:rPr>
          <w:bCs/>
          <w:b/>
        </w:rPr>
        <w:t xml:space="preserve">Oxytocine:</w:t>
      </w:r>
      <w:r>
        <w:t xml:space="preserve"> </w:t>
      </w:r>
      <w:r>
        <w:t xml:space="preserve">na een kisspeptine-injectie steeg de oxytocinespiegel in het bloed, bij mannen sterker dan bij vrouwen (Galbiati 2025, PMID 39965102). Dat wordt onderzocht als mogelijke test voor een oxytocinetekort (hoofdstuk 2E05).</w:t>
      </w:r>
    </w:p>
    <w:bookmarkEnd w:id="803"/>
    <w:bookmarkStart w:id="804" w:name="het-omgekeerde-hormonen-verlagen"/>
    <w:p>
      <w:pPr>
        <w:pStyle w:val="Heading4"/>
      </w:pPr>
      <w:r>
        <w:t xml:space="preserve">Het omgekeerde: hormonen verlagen</w:t>
      </w:r>
    </w:p>
    <w:p>
      <w:pPr>
        <w:pStyle w:val="FirstParagraph"/>
      </w:pPr>
      <w:r>
        <w:t xml:space="preserve">De synthetische analoog TAK-448 werd bij continue toediening een hormoonblokker. Bij gezonde mannen boven de 50 daalde testosteron na een week continu infuus tot het niveau van een castratie; bij mannen met prostaatkanker verlaagde een depotinjectie testosteron en de tumormarker PSA (MacLean 2014, PMID 24762108). Twee andere fase 2-studies van de fabrikant werden voortijdig beëindigd (NCT02369796, NCT02381288).</w:t>
      </w:r>
    </w:p>
    <w:bookmarkEnd w:id="804"/>
    <w:bookmarkEnd w:id="805"/>
    <w:bookmarkStart w:id="806" w:name="dier--en-laboratoriumstudies-49"/>
    <w:p>
      <w:pPr>
        <w:pStyle w:val="Heading3"/>
      </w:pPr>
      <w:r>
        <w:t xml:space="preserve">Dier- en laboratoriumstudies</w:t>
      </w:r>
    </w:p>
    <w:p>
      <w:pPr>
        <w:pStyle w:val="FirstParagraph"/>
      </w:pPr>
      <w:r>
        <w:t xml:space="preserve">De rol van kisspeptine bij puberteit en voortplanting werd eerst aangetoond bij muizen met een uitgeschakeld receptorgen; de dieren blijven geslachtelijk onrijp (Seminara 2003, PMID 14573733). Oorspronkelijk werd het peptide beschreven als rem op uitzaaiing: in celkweek en bij muizen remde het de verspreiding van melanoomcellen (Lee 1996, PMID 8944003; Ohtaki 2001, PMID 11385580). Of dat therapeutisch bruikbaar is, is open.</w:t>
      </w:r>
    </w:p>
    <w:p>
      <w:pPr>
        <w:pStyle w:val="BodyText"/>
      </w:pPr>
      <w:r>
        <w:t xml:space="preserve">In rattenmodellen voor PCOS herstelde kisspeptine bij een deel van de dieren de eisprong, bij andere niet (Romero-Ruiz 2019, PMID 31820802). Het fundamenteel onderzoek naar kisspeptine en neurokinine B is samengevat in een overzichtsartikel (Koysombat 2025, PMID 39813600).</w:t>
      </w:r>
    </w:p>
    <w:bookmarkEnd w:id="806"/>
    <w:bookmarkStart w:id="810" w:name="risicos-en-bijwerkingen-49"/>
    <w:p>
      <w:pPr>
        <w:pStyle w:val="Heading3"/>
      </w:pPr>
      <w:r>
        <w:t xml:space="preserve">Risico’s en bijwerkingen</w:t>
      </w:r>
    </w:p>
    <w:bookmarkStart w:id="807" w:name="aangetoond-9"/>
    <w:p>
      <w:pPr>
        <w:pStyle w:val="Heading4"/>
      </w:pPr>
      <w:r>
        <w:t xml:space="preserve">Aangetoond</w:t>
      </w:r>
    </w:p>
    <w:p>
      <w:pPr>
        <w:pStyle w:val="FirstParagraph"/>
      </w:pPr>
      <w:r>
        <w:t xml:space="preserve">In alle gepubliceerde studies werd kisspeptine goed verdragen. Meerdere studies melden uitdrukkelijk geen bijwerkingen (Jayasena 2010, PMID 20980998; Thurston 2022, PMID 36287566; Mills 2025, PMID 40215751). Kisspeptine veranderde groeihormoon, prolactine en het schildklierstimulerende TSH niet (Jayasena 2014, PMID 24863252) en had geen invloed op angst, bloeddruk of hartslag (Mills 2025, PMID 40036336). Bij de analoog TAK-448 traden lichte tot matige bijwerkingen op bij 26% van de behandelden (MacLean 2014, PMID 24762108).</w:t>
      </w:r>
    </w:p>
    <w:bookmarkEnd w:id="807"/>
    <w:bookmarkStart w:id="808" w:name="theoretisch-en-open"/>
    <w:p>
      <w:pPr>
        <w:pStyle w:val="Heading4"/>
      </w:pPr>
      <w:r>
        <w:t xml:space="preserve">Theoretisch en open</w:t>
      </w:r>
    </w:p>
    <w:p>
      <w:pPr>
        <w:numPr>
          <w:ilvl w:val="0"/>
          <w:numId w:val="1272"/>
        </w:numPr>
        <w:pStyle w:val="Compact"/>
      </w:pPr>
      <w:r>
        <w:rPr>
          <w:bCs/>
          <w:b/>
        </w:rPr>
        <w:t xml:space="preserve">Gewenning en hormoondaling:</w:t>
      </w:r>
      <w:r>
        <w:t xml:space="preserve"> </w:t>
      </w:r>
      <w:r>
        <w:t xml:space="preserve">bij continue toediening kan het omgekeerde van het gewenste effect optreden, zoals de studies met TAK-448 laten zien. Wie kisspeptine zonder medische controle gebruikt, riskeert dus een onderdrukking van de eigen hormonale as.</w:t>
      </w:r>
    </w:p>
    <w:p>
      <w:pPr>
        <w:numPr>
          <w:ilvl w:val="0"/>
          <w:numId w:val="1272"/>
        </w:numPr>
        <w:pStyle w:val="Compact"/>
      </w:pPr>
      <w:r>
        <w:rPr>
          <w:bCs/>
          <w:b/>
        </w:rPr>
        <w:t xml:space="preserve">Langetermijngegevens</w:t>
      </w:r>
      <w:r>
        <w:t xml:space="preserve"> </w:t>
      </w:r>
      <w:r>
        <w:t xml:space="preserve">ontbreken. De langste studies liepen acht weken.</w:t>
      </w:r>
    </w:p>
    <w:p>
      <w:pPr>
        <w:numPr>
          <w:ilvl w:val="0"/>
          <w:numId w:val="1272"/>
        </w:numPr>
        <w:pStyle w:val="Compact"/>
      </w:pPr>
      <w:r>
        <w:rPr>
          <w:bCs/>
          <w:b/>
        </w:rPr>
        <w:t xml:space="preserve">Zwangerschap:</w:t>
      </w:r>
      <w:r>
        <w:t xml:space="preserve"> </w:t>
      </w:r>
      <w:r>
        <w:t xml:space="preserve">bij gebruik in ivf werden kinderen geboren; systematische gegevens over de gezondheid van deze kinderen zijn niet gepubliceerd.</w:t>
      </w:r>
    </w:p>
    <w:bookmarkEnd w:id="808"/>
    <w:bookmarkStart w:id="809" w:name="grijze-markt-2"/>
    <w:p>
      <w:pPr>
        <w:pStyle w:val="Heading4"/>
      </w:pPr>
      <w:r>
        <w:t xml:space="preserve">Grijze markt</w:t>
      </w:r>
    </w:p>
    <w:p>
      <w:pPr>
        <w:pStyle w:val="FirstParagraph"/>
      </w:pPr>
      <w:r>
        <w:t xml:space="preserve">Kisspeptine-10 wordt op internet aangeboden als „research peptide” en op fora aangeprezen voor het verhogen van testosteron of libido. Studies naar zulke producten bestaan niet. Door de korte halfwaardetijd en de gewenning bij frequente toediening is een aanhoudend effect bij eigen gebruik niet aangetoond; zuiverheid en gehalte zijn niet gecontroleerd (zie Deel I en Deel IV).</w:t>
      </w:r>
    </w:p>
    <w:bookmarkEnd w:id="809"/>
    <w:bookmarkEnd w:id="810"/>
    <w:bookmarkStart w:id="811" w:name="juridische-status-49"/>
    <w:p>
      <w:pPr>
        <w:pStyle w:val="Heading3"/>
      </w:pPr>
      <w:r>
        <w:t xml:space="preserve">Juridische status</w:t>
      </w:r>
    </w:p>
    <w:p>
      <w:pPr>
        <w:pStyle w:val="FirstParagraph"/>
      </w:pPr>
      <w:r>
        <w:rPr>
          <w:iCs/>
          <w:i/>
        </w:rPr>
        <w:t xml:space="preserve">Stand 2026, actuele situatie controleren.</w:t>
      </w:r>
    </w:p>
    <w:p>
      <w:pPr>
        <w:numPr>
          <w:ilvl w:val="0"/>
          <w:numId w:val="1273"/>
        </w:numPr>
        <w:pStyle w:val="Compact"/>
      </w:pPr>
      <w:r>
        <w:rPr>
          <w:bCs/>
          <w:b/>
        </w:rPr>
        <w:t xml:space="preserve">EU, Duitsland, Oostenrijk:</w:t>
      </w:r>
      <w:r>
        <w:t xml:space="preserve"> </w:t>
      </w:r>
      <w:r>
        <w:t xml:space="preserve">geen registratie. Kisspeptine mag bij mensen alleen worden toegepast in het kader van goedgekeurde klinische studies. Verkoop voor gebruik bij mensen is niet toegestaan.</w:t>
      </w:r>
    </w:p>
    <w:p>
      <w:pPr>
        <w:numPr>
          <w:ilvl w:val="0"/>
          <w:numId w:val="1273"/>
        </w:numPr>
        <w:pStyle w:val="Compact"/>
      </w:pPr>
      <w:r>
        <w:rPr>
          <w:bCs/>
          <w:b/>
        </w:rPr>
        <w:t xml:space="preserve">VS:</w:t>
      </w:r>
      <w:r>
        <w:t xml:space="preserve"> </w:t>
      </w:r>
      <w:r>
        <w:t xml:space="preserve">geen registratie; gebruik alleen in studies met toestemming van de FDA.</w:t>
      </w:r>
    </w:p>
    <w:p>
      <w:pPr>
        <w:numPr>
          <w:ilvl w:val="0"/>
          <w:numId w:val="1273"/>
        </w:numPr>
        <w:pStyle w:val="Compact"/>
      </w:pPr>
      <w:r>
        <w:rPr>
          <w:bCs/>
          <w:b/>
        </w:rPr>
        <w:t xml:space="preserve">WADA:</w:t>
      </w:r>
      <w:r>
        <w:t xml:space="preserve"> </w:t>
      </w:r>
      <w:r>
        <w:t xml:space="preserve">bij mannen zijn vrijmakende factoren van LH verboden volgens S2, niet-goedgekeurde werkzame stoffen in het algemeen volgens S0. Kisspeptine wordt niet bij naam genoemd, maar valt naar inschatting van de auteur onder deze groepen.</w:t>
      </w:r>
    </w:p>
    <w:bookmarkEnd w:id="811"/>
    <w:bookmarkStart w:id="812" w:name="lopende-studies-en-vooruitzichten-49"/>
    <w:p>
      <w:pPr>
        <w:pStyle w:val="Heading3"/>
      </w:pPr>
      <w:r>
        <w:t xml:space="preserve">Lopende studies en vooruitzichten</w:t>
      </w:r>
    </w:p>
    <w:p>
      <w:pPr>
        <w:pStyle w:val="FirstParagraph"/>
      </w:pPr>
      <w:r>
        <w:rPr>
          <w:bCs/>
          <w:b/>
        </w:rPr>
        <w:t xml:space="preserve">Zeker (geregistreerde studies):</w:t>
      </w:r>
    </w:p>
    <w:p>
      <w:pPr>
        <w:numPr>
          <w:ilvl w:val="0"/>
          <w:numId w:val="1274"/>
        </w:numPr>
        <w:pStyle w:val="Compact"/>
      </w:pPr>
      <w:r>
        <w:rPr>
          <w:bCs/>
          <w:b/>
        </w:rPr>
        <w:t xml:space="preserve">Massachusetts General Hospital, Boston:</w:t>
      </w:r>
      <w:r>
        <w:t xml:space="preserve"> </w:t>
      </w:r>
      <w:r>
        <w:t xml:space="preserve">meerdere fase 1- en fase 2-studies met herhaalde toediening van kisspeptine onder de huid bij aangeboren hormoontekort (idiopathisch hypogonadotroop hypogonadisme, NCT05896293, 36 personen, tot 2028) en bij hypothalame amenorroe (NCT07224438, 20 personen, tot 2030). Een andere studie gebruikt kisspeptine als test voor de functie van de GnRH-zenuwcellen (NCT07224490).</w:t>
      </w:r>
    </w:p>
    <w:p>
      <w:pPr>
        <w:numPr>
          <w:ilvl w:val="0"/>
          <w:numId w:val="1274"/>
        </w:numPr>
        <w:pStyle w:val="Compact"/>
      </w:pPr>
      <w:r>
        <w:rPr>
          <w:bCs/>
          <w:b/>
        </w:rPr>
        <w:t xml:space="preserve">Imperial College London:</w:t>
      </w:r>
      <w:r>
        <w:t xml:space="preserve"> </w:t>
      </w:r>
      <w:r>
        <w:t xml:space="preserve">een sinds 2014 lopende studie naar de hormoonafgifte bij langere kisspeptinetoediening (NCT02081924, 76 personen).</w:t>
      </w:r>
    </w:p>
    <w:p>
      <w:pPr>
        <w:numPr>
          <w:ilvl w:val="0"/>
          <w:numId w:val="1274"/>
        </w:numPr>
        <w:pStyle w:val="Compact"/>
      </w:pPr>
      <w:r>
        <w:t xml:space="preserve">Een fase 2-studie met pulsatiele kisspeptinetoediening bij hypogonadisme is afgerond (NCT04648969); resultaten waren bij het afsluiten van de redactie niet in PubMed gepubliceerd.</w:t>
      </w:r>
    </w:p>
    <w:p>
      <w:pPr>
        <w:pStyle w:val="FirstParagraph"/>
      </w:pPr>
      <w:r>
        <w:rPr>
          <w:bCs/>
          <w:b/>
        </w:rPr>
        <w:t xml:space="preserve">Inschatting van de auteur:</w:t>
      </w:r>
      <w:r>
        <w:t xml:space="preserve"> </w:t>
      </w:r>
      <w:r>
        <w:t xml:space="preserve">kisspeptine is wat de basiskennis betreft een van de wetenschappelijk meest solide peptiden in dit boek – de rol in de puberteit is genetisch bewezen. De klinische ontwikkeling verloopt echter traag, omdat ze overwegend door universiteiten wordt gedragen. Het meest realistisch lijkt een registratie voor eicelrijping bij vrouwen met OHSS-risico of als diagnostische test voor puberteitsstoornissen; daarvoor zouden echter grotere vergelijkende studies nodig zijn. Voor de behandeling van seksuele lusteloosheid ontbreekt tot nu toe elk bewijs van nut in het dagelijks leven.</w:t>
      </w:r>
    </w:p>
    <w:bookmarkEnd w:id="812"/>
    <w:bookmarkStart w:id="813" w:name="conclusie-49"/>
    <w:p>
      <w:pPr>
        <w:pStyle w:val="Heading3"/>
      </w:pPr>
      <w:r>
        <w:t xml:space="preserve">Conclusie</w:t>
      </w:r>
    </w:p>
    <w:p>
      <w:pPr>
        <w:pStyle w:val="FirstParagraph"/>
      </w:pPr>
      <w:r>
        <w:t xml:space="preserve">Kisspeptine is de lichaamseigen hoofdschakelaar van de voortplantingshormonen, zoals mensen met een receptordefect indrukwekkend laten zien. In kleine studies wekte het betrouwbaar LH-afgifte op en maakte het bij vrouwen met een hoog overstimulatierisico eicelrijping zonder ernstig OHSS mogelijk. Laboratoriumstudies met hersenbeeldvorming wijzen op effecten bij de verwerking van seksuele prikkels, maar zijn geen bewijs van nut in het dagelijks leven. Het grootste praktische obstakel is de gewenning bij frequente toediening, die tot onderdrukking van de hormonale as kan leiden. Kisspeptine is nergens geregistreerd; buiten studies bestaat er geen geteste toepassing.</w:t>
      </w:r>
    </w:p>
    <w:bookmarkEnd w:id="813"/>
    <w:bookmarkEnd w:id="814"/>
    <w:bookmarkStart w:id="836" w:name="oxytocine-neusspray"/>
    <w:p>
      <w:pPr>
        <w:pStyle w:val="Heading2"/>
      </w:pPr>
      <w:r>
        <w:t xml:space="preserve">Oxytocine (neusspray)</w:t>
      </w:r>
    </w:p>
    <w:bookmarkStart w:id="815" w:name="profiel-50"/>
    <w:p>
      <w:pPr>
        <w:pStyle w:val="Heading3"/>
      </w:pPr>
      <w:r>
        <w:t xml:space="preserve">Profiel</w:t>
      </w:r>
    </w:p>
    <w:p>
      <w:pPr>
        <w:numPr>
          <w:ilvl w:val="0"/>
          <w:numId w:val="1275"/>
        </w:numPr>
        <w:pStyle w:val="Compact"/>
      </w:pPr>
      <w:r>
        <w:rPr>
          <w:bCs/>
          <w:b/>
        </w:rPr>
        <w:t xml:space="preserve">Soort/structuur:</w:t>
      </w:r>
      <w:r>
        <w:t xml:space="preserve"> </w:t>
      </w:r>
      <w:r>
        <w:t xml:space="preserve">lichaamseigen peptidehormoon van negen aminozuren. Twee zwavelbruggen sluiten er zes van tot een ring. Oxytocine is nauw verwant aan het hormoon vasopressine (antidiuretisch hormoon), dat slechts in twee bouwstenen verschilt.</w:t>
      </w:r>
    </w:p>
    <w:p>
      <w:pPr>
        <w:numPr>
          <w:ilvl w:val="0"/>
          <w:numId w:val="1275"/>
        </w:numPr>
        <w:pStyle w:val="Compact"/>
      </w:pPr>
      <w:r>
        <w:rPr>
          <w:bCs/>
          <w:b/>
        </w:rPr>
        <w:t xml:space="preserve">Herkomst:</w:t>
      </w:r>
      <w:r>
        <w:t xml:space="preserve"> </w:t>
      </w:r>
      <w:r>
        <w:t xml:space="preserve">gevormd in zenuwcellen van de hypothalamus en door de achterkwab van de hypofyse aan het bloed afgegeven; tegelijk een boodschapperstof binnen de hersenen. Oxytocine was in 1953 het eerste peptidehormoon dat in het laboratorium werd nagemaakt; Vincent du Vigneaud kreeg daarvoor in 1955 de Nobelprijs voor de Scheikunde.</w:t>
      </w:r>
    </w:p>
    <w:p>
      <w:pPr>
        <w:numPr>
          <w:ilvl w:val="0"/>
          <w:numId w:val="1275"/>
        </w:numPr>
        <w:pStyle w:val="Compact"/>
      </w:pPr>
      <w:r>
        <w:rPr>
          <w:bCs/>
          <w:b/>
        </w:rPr>
        <w:t xml:space="preserve">Werkingsprincipe:</w:t>
      </w:r>
      <w:r>
        <w:t xml:space="preserve"> </w:t>
      </w:r>
      <w:r>
        <w:t xml:space="preserve">agonist van de oxytocinereceptor. In het lichaam wekt het weeën en de toeschietreflex op; in de hersenen is het betrokken bij hechting, sociaal gedrag en stressregulatie.</w:t>
      </w:r>
    </w:p>
    <w:p>
      <w:pPr>
        <w:numPr>
          <w:ilvl w:val="0"/>
          <w:numId w:val="1275"/>
        </w:numPr>
        <w:pStyle w:val="Compact"/>
      </w:pPr>
      <w:r>
        <w:rPr>
          <w:bCs/>
          <w:b/>
        </w:rPr>
        <w:t xml:space="preserve">Registratie EU en VS (injectie/infuus):</w:t>
      </w:r>
      <w:r>
        <w:t xml:space="preserve"> </w:t>
      </w:r>
      <w:r>
        <w:t xml:space="preserve">ja, al tientallen jaren in de verloskunde, voor het inleiden en ondersteunen van weeën en ter voorkoming van ernstig bloedverlies na de bevalling.</w:t>
      </w:r>
    </w:p>
    <w:p>
      <w:pPr>
        <w:numPr>
          <w:ilvl w:val="0"/>
          <w:numId w:val="1275"/>
        </w:numPr>
        <w:pStyle w:val="Compact"/>
      </w:pPr>
      <w:r>
        <w:rPr>
          <w:bCs/>
          <w:b/>
        </w:rPr>
        <w:t xml:space="preserve">Registratie als neusspray:</w:t>
      </w:r>
      <w:r>
        <w:t xml:space="preserve"> </w:t>
      </w:r>
      <w:r>
        <w:t xml:space="preserve">een oxytocineneusspray was vroeger in meerdere Europese landen geregistreerd om de melkafgifte bij borstvoeding te bevorderen, maar is op veel plaatsen niet meer in de handel. Voor psychische, sociale of seksuele toepassingen is oxytocine nergens geregistreerd (stand 2026, actuele situatie controleren).</w:t>
      </w:r>
    </w:p>
    <w:p>
      <w:pPr>
        <w:numPr>
          <w:ilvl w:val="0"/>
          <w:numId w:val="1275"/>
        </w:numPr>
        <w:pStyle w:val="Compact"/>
      </w:pPr>
      <w:r>
        <w:rPr>
          <w:bCs/>
          <w:b/>
        </w:rPr>
        <w:t xml:space="preserve">WADA:</w:t>
      </w:r>
      <w:r>
        <w:t xml:space="preserve"> </w:t>
      </w:r>
      <w:r>
        <w:t xml:space="preserve">niet vermeld (stand 2026, actuele situatie controleren).</w:t>
      </w:r>
    </w:p>
    <w:p>
      <w:pPr>
        <w:numPr>
          <w:ilvl w:val="0"/>
          <w:numId w:val="1275"/>
        </w:numPr>
        <w:pStyle w:val="Compact"/>
      </w:pPr>
      <w:r>
        <w:rPr>
          <w:bCs/>
          <w:b/>
        </w:rPr>
        <w:t xml:space="preserve">Bewijsniveau:</w:t>
      </w:r>
      <w:r>
        <w:t xml:space="preserve"> </w:t>
      </w:r>
      <w:r>
        <w:rPr>
          <w:bCs/>
          <w:b/>
        </w:rPr>
        <w:t xml:space="preserve">B</w:t>
      </w:r>
      <w:r>
        <w:t xml:space="preserve"> </w:t>
      </w:r>
      <w:r>
        <w:t xml:space="preserve">voor gebruik als neusspray – honderden gerandomiseerde studies, maar overwegend klein en met eenmalige doses; de weinige grote behandelstudies waren negatief. Voor de verloskunde (infuus, injectie) geldt niveau A; die vormt niet het zwaartepunt van dit hoofdstuk.</w:t>
      </w:r>
    </w:p>
    <w:bookmarkEnd w:id="815"/>
    <w:bookmarkStart w:id="819" w:name="hoe-het-zou-moeten-werken-50"/>
    <w:p>
      <w:pPr>
        <w:pStyle w:val="Heading3"/>
      </w:pPr>
      <w:r>
        <w:t xml:space="preserve">Hoe het zou moeten werken</w:t>
      </w:r>
    </w:p>
    <w:bookmarkStart w:id="816" w:name="van-weeënhormoon-tot-knuffelhormoon"/>
    <w:p>
      <w:pPr>
        <w:pStyle w:val="Heading4"/>
      </w:pPr>
      <w:r>
        <w:t xml:space="preserve">Van weeënhormoon tot „knuffelhormoon”</w:t>
      </w:r>
    </w:p>
    <w:p>
      <w:pPr>
        <w:pStyle w:val="FirstParagraph"/>
      </w:pPr>
      <w:r>
        <w:t xml:space="preserve">Oxytocine dankt zijn naam aan de Griekse uitdrukking voor „snelle geboorte”. Zijn klassieke taken zijn lichamelijk: het laat de baarmoeder samentrekken en perst melk uit de klieren van de borst. Sinds de jaren 1990 kwam een tweede rol in beeld. Bij prairiewoelmuizen, die levenslange paren vormen, hangt de partnerbinding af van het oxytocinesysteem in de hersenen (dierproeven). Bij schapen en knaagdieren stuurt het het zorggedrag van de moeders tegenover hun jongen aan.</w:t>
      </w:r>
    </w:p>
    <w:p>
      <w:pPr>
        <w:pStyle w:val="BodyText"/>
      </w:pPr>
      <w:r>
        <w:t xml:space="preserve">Uit deze dierbevindingen ontstond vanaf 2005 een golf van studies bij mensen, die oxytocine als neusspray gaven en sociaal gedrag maten. Media bedachten etiketten als „knuffelhormoon”, „vertrouwenshormoon” of „liefdeshormoon”. Zoals dit hoofdstuk laat zien, is de stand van het onderzoek vandaag veel ontnuchterender dan deze slagzinnen.</w:t>
      </w:r>
    </w:p>
    <w:bookmarkEnd w:id="816"/>
    <w:bookmarkStart w:id="817" w:name="het-probleem-met-de-neus"/>
    <w:p>
      <w:pPr>
        <w:pStyle w:val="Heading4"/>
      </w:pPr>
      <w:r>
        <w:t xml:space="preserve">Het probleem met de neus</w:t>
      </w:r>
    </w:p>
    <w:p>
      <w:pPr>
        <w:pStyle w:val="FirstParagraph"/>
      </w:pPr>
      <w:r>
        <w:t xml:space="preserve">Oxytocine is als peptide te groot en te goed oplosbaar in water om de bloed-hersenbarrière in noemenswaardige hoeveelheid te passeren. De neusspray zou via de reuk- en trigeminuszenuwen in het neusslijmvlies een weg rechtstreeks naar de hersenen moeten vinden. Of dat werkt en in welke mate, is een van de centrale open vragen van het vakgebied:</w:t>
      </w:r>
    </w:p>
    <w:p>
      <w:pPr>
        <w:numPr>
          <w:ilvl w:val="0"/>
          <w:numId w:val="1276"/>
        </w:numPr>
        <w:pStyle w:val="Compact"/>
      </w:pPr>
      <w:r>
        <w:rPr>
          <w:bCs/>
          <w:b/>
        </w:rPr>
        <w:t xml:space="preserve">Sceptische visie:</w:t>
      </w:r>
      <w:r>
        <w:t xml:space="preserve"> </w:t>
      </w:r>
      <w:r>
        <w:t xml:space="preserve">slechts een minuscuul deel van de gesproeide hoeveelheid bereikt het hersenvocht, terwijl de spiegel in het bloed ver boven natuurlijke waarden stijgt. Veel waargenomen effecten zouden daarom kunnen voortkomen uit effecten in het lichaam, bijvoorbeeld op hart of darm, die vervolgens indirect de hersenen beïnvloeden (Leng 2016, PMID 26049207).</w:t>
      </w:r>
    </w:p>
    <w:p>
      <w:pPr>
        <w:numPr>
          <w:ilvl w:val="0"/>
          <w:numId w:val="1276"/>
        </w:numPr>
        <w:pStyle w:val="Compact"/>
      </w:pPr>
      <w:r>
        <w:rPr>
          <w:bCs/>
          <w:b/>
        </w:rPr>
        <w:t xml:space="preserve">Bevindingen bij apen:</w:t>
      </w:r>
      <w:r>
        <w:t xml:space="preserve"> </w:t>
      </w:r>
      <w:r>
        <w:t xml:space="preserve">bij resusapen bereikte gemarkeerd oxytocine na toediening via de neus en via een ader het hersenvocht; de neus was daarbij niet superieur (Lee 2018, PMID 28289281). In een tweede studie werd gemarkeerd oxytocine na toediening via de neus – niet na toediening via een ader – gevonden in hersengebieden langs de reuk- en trigeminusbanen (Lee 2020, PMID 32494001).</w:t>
      </w:r>
    </w:p>
    <w:p>
      <w:pPr>
        <w:numPr>
          <w:ilvl w:val="0"/>
          <w:numId w:val="1276"/>
        </w:numPr>
        <w:pStyle w:val="Compact"/>
      </w:pPr>
      <w:r>
        <w:rPr>
          <w:bCs/>
          <w:b/>
        </w:rPr>
        <w:t xml:space="preserve">Bevindingen bij mensen:</w:t>
      </w:r>
      <w:r>
        <w:t xml:space="preserve"> </w:t>
      </w:r>
      <w:r>
        <w:t xml:space="preserve">een studie vergeleek neusspray, vernevelaar en infuus. De afname van de doorbloeding in de amandelkern (amygdala) kon volledig worden verklaard door de stijging in het bloed; tegelijk waren er aanwijzingen voor directe effecten via de neus in andere gebieden (Martins 2020, PMID 32127545).</w:t>
      </w:r>
    </w:p>
    <w:p>
      <w:pPr>
        <w:numPr>
          <w:ilvl w:val="0"/>
          <w:numId w:val="1276"/>
        </w:numPr>
        <w:pStyle w:val="Compact"/>
      </w:pPr>
      <w:r>
        <w:rPr>
          <w:bCs/>
          <w:b/>
        </w:rPr>
        <w:t xml:space="preserve">Meetproblemen:</w:t>
      </w:r>
      <w:r>
        <w:t xml:space="preserve"> </w:t>
      </w:r>
      <w:r>
        <w:t xml:space="preserve">oxytocinespiegels in het bloed weerspiegelen de waarden in de hersenen onder rustomstandigheden niet (Valstad 2017, PMID 28442403). Veel oudere studies gebruikten bovendien meetmethoden die tegenwoordig als onbetrouwbaar gelden (Leng 2016, PMID 26049207).</w:t>
      </w:r>
    </w:p>
    <w:p>
      <w:pPr>
        <w:pStyle w:val="FirstParagraph"/>
      </w:pPr>
      <w:r>
        <w:t xml:space="preserve">Deskundigen die het vakgebied als geheel positief beoordelen, beschouwen een directe weg van de neus naar de hersenen inmiddels als aangetoond, maar benadrukken dat dosis, sproeitechniek en geslacht van de deelnemers de resultaten sterk beïnvloeden (Quintana 2021, PMID 32807845). Voor lezers betekent dat: of een oxytocineneusspray in de hersenen aankomt, hangt af van veel details, en zelfs deskundigen zijn het over de orde van grootte oneens.</w:t>
      </w:r>
    </w:p>
    <w:bookmarkEnd w:id="817"/>
    <w:bookmarkStart w:id="818" w:name="X9a2d4ab1d7c2da694b79580c436c9282ca9af83"/>
    <w:p>
      <w:pPr>
        <w:pStyle w:val="Heading4"/>
      </w:pPr>
      <w:r>
        <w:t xml:space="preserve">Kort geplaatst: oxytocine in de verloskunde</w:t>
      </w:r>
    </w:p>
    <w:p>
      <w:pPr>
        <w:pStyle w:val="FirstParagraph"/>
      </w:pPr>
      <w:r>
        <w:t xml:space="preserve">Als infuus of injectie is oxytocine een van de belangrijkste geneesmiddelen ter wereld; de Wereldgezondheidsorganisatie neemt het op in haar lijst van essentiële geneesmiddelen. Het wordt gebruikt om weeën op te wekken of te versterken en om na de bevalling ernstig bloedverlies te voorkomen. Een Cochrane-overzicht met 24 studies concludeerde dat preventief gegeven oxytocine het risico op een bloedverlies van 500 ml of meer ongeveer halveert (relatief risico 0,51), bij een deels lage kwaliteit van de afzonderlijke studies (Salati 2019, PMID 31032882). Deze toepassing hoort uitsluitend in handen van verloskundigen en artsen; dosering en bewaking worden geregeld in de productinformatie. Voor de beoordeling van de neusspray bij psychische vraagstellingen speelt ze geen rol.</w:t>
      </w:r>
    </w:p>
    <w:bookmarkEnd w:id="818"/>
    <w:bookmarkEnd w:id="819"/>
    <w:bookmarkStart w:id="827" w:name="studies-bij-mensen-50"/>
    <w:p>
      <w:pPr>
        <w:pStyle w:val="Heading3"/>
      </w:pPr>
      <w:r>
        <w:t xml:space="preserve">Studies bij mensen</w:t>
      </w:r>
    </w:p>
    <w:p>
      <w:pPr>
        <w:pStyle w:val="FirstParagraph"/>
      </w:pPr>
      <w:r>
        <w:rPr>
          <w:bCs/>
          <w:b/>
        </w:rPr>
        <w:t xml:space="preserve">Omvang van het onderzoek (zoekopdracht oktober 2026):</w:t>
      </w:r>
      <w:r>
        <w:t xml:space="preserve"> </w:t>
      </w:r>
      <w:r>
        <w:t xml:space="preserve">De geautomatiseerde zoekopdracht van dit boek (zoekterm „intranasal oxytocin” in titel of abstract) vond</w:t>
      </w:r>
      <w:r>
        <w:t xml:space="preserve"> </w:t>
      </w:r>
      <w:r>
        <w:rPr>
          <w:bCs/>
          <w:b/>
        </w:rPr>
        <w:t xml:space="preserve">349</w:t>
      </w:r>
      <w:r>
        <w:t xml:space="preserve"> </w:t>
      </w:r>
      <w:r>
        <w:t xml:space="preserve">studies bij mensen in PubMed (</w:t>
      </w:r>
      <w:r>
        <w:rPr>
          <w:rStyle w:val="VerbatimChar"/>
        </w:rPr>
        <w:t xml:space="preserve">humanstudien_alle</w:t>
      </w:r>
      <w:r>
        <w:t xml:space="preserve">) en</w:t>
      </w:r>
      <w:r>
        <w:t xml:space="preserve"> </w:t>
      </w:r>
      <w:r>
        <w:rPr>
          <w:bCs/>
          <w:b/>
        </w:rPr>
        <w:t xml:space="preserve">263</w:t>
      </w:r>
      <w:r>
        <w:t xml:space="preserve"> </w:t>
      </w:r>
      <w:r>
        <w:t xml:space="preserve">registraties bij ClinicalTrials.gov, waarvan ongeveer 20 nog in de werving. Daarnaast zijn er ten minste 15 meta-analyses en systematische overzichten. Daarmee is oxytocine het peptide dat in dit deel van het boek het vaakst bij mensen is onderzocht. De grote meerderheid van de studies gaf echter slechts één enkele dosis aan meestal 20 tot 60 jonge, gezonde mannen en mat kortdurende veranderingen in laboratoriumtests of in de hersenscanner.</w:t>
      </w:r>
    </w:p>
    <w:p>
      <w:pPr>
        <w:pStyle w:val="BodyText"/>
      </w:pPr>
      <w:r>
        <w:t xml:space="preserve">Dit hoofdstuk deelt de studies in vier groepen in: basisstudies bij gezonde mensen met de daaropvolgende replicatiecrisis, autisme als belangrijkste behandelgebied, andere psychische aandoeningen en ten slotte stofwisseling, pijn en seksualiteit.</w:t>
      </w:r>
    </w:p>
    <w:bookmarkStart w:id="820" w:name="X8883a19cbd255ddcda140d15fa1664eda3d84dc"/>
    <w:p>
      <w:pPr>
        <w:pStyle w:val="Heading4"/>
      </w:pPr>
      <w:r>
        <w:t xml:space="preserve">Sociaal gedrag bij gezonde mensen: vertrouwen, stress, gevoelens</w:t>
      </w:r>
    </w:p>
    <w:p>
      <w:pPr>
        <w:pStyle w:val="FirstParagraph"/>
      </w:pPr>
      <w:r>
        <w:rPr>
          <w:bCs/>
          <w:b/>
        </w:rPr>
        <w:t xml:space="preserve">Vertrouwen.</w:t>
      </w:r>
      <w:r>
        <w:t xml:space="preserve"> </w:t>
      </w:r>
      <w:r>
        <w:t xml:space="preserve">De studie die het vakgebied grondvestte, verscheen in 2005 in Nature: mannen die oxytocine hadden gesnoven, vertrouwden in een economisch spel een vreemde meer geld toe (Kosfeld 2005, PMID 15931222). In dit „vertrouwensspel” beslist een investeerder hoeveel geld hij aan een beheerder toevertrouwt; het bedrag wordt vermenigvuldigd, en de beheerder beslist hoeveel hij teruggeeft. Oxytocine verhoogde niet de bereidheid tot risico in het algemeen, maar specifiek de bereidheid om sociale risico’s te nemen.</w:t>
      </w:r>
    </w:p>
    <w:p>
      <w:pPr>
        <w:pStyle w:val="BodyText"/>
      </w:pPr>
      <w:r>
        <w:rPr>
          <w:bCs/>
          <w:b/>
        </w:rPr>
        <w:t xml:space="preserve">Stress.</w:t>
      </w:r>
      <w:r>
        <w:t xml:space="preserve"> </w:t>
      </w:r>
      <w:r>
        <w:t xml:space="preserve">In een studie met 37 gezonde mannen dempte oxytocine de angst bij een gestandaardiseerde stresstest (een toespraak in het openbaar en hoofdrekenen voor publiek). De laagste waarden van het stresshormoon cortisol hadden mannen die oxytocine kregen en bovendien door hun beste vriend werden gesteund (Heinrichs 2003, PMID 14675803).</w:t>
      </w:r>
    </w:p>
    <w:p>
      <w:pPr>
        <w:pStyle w:val="BodyText"/>
      </w:pPr>
      <w:r>
        <w:rPr>
          <w:bCs/>
          <w:b/>
        </w:rPr>
        <w:t xml:space="preserve">Gevoelens herkennen.</w:t>
      </w:r>
      <w:r>
        <w:t xml:space="preserve"> </w:t>
      </w:r>
      <w:r>
        <w:t xml:space="preserve">Een meta-analyse van 33 studies vond dat een eenmalige dosis bij gezonde mensen de herkenning van basisemoties, vooral angst, licht verbeterde. Bij mensen met psychische aandoeningen was daarentegen geen effect te zien (Leppanen 2017, PMID 28467893).</w:t>
      </w:r>
    </w:p>
    <w:p>
      <w:pPr>
        <w:pStyle w:val="BodyText"/>
      </w:pPr>
      <w:r>
        <w:t xml:space="preserve">Honderden andere studies rapporteerden effecten op kijkgedrag, empathie, het onthouden van gezichten, groepsbinding, liegen, vrijgevigheid, jaloezie en nog veel meer. Veel van deze bevindingen traden alleen op in subgroepen, bijvoorbeeld alleen bij mannen, alleen bij angstige personen of alleen bij bepaalde genvarianten van de oxytocinereceptor.</w:t>
      </w:r>
    </w:p>
    <w:bookmarkEnd w:id="820"/>
    <w:bookmarkStart w:id="821" w:name="de-replicatiecrisis"/>
    <w:p>
      <w:pPr>
        <w:pStyle w:val="Heading4"/>
      </w:pPr>
      <w:r>
        <w:t xml:space="preserve">De replicatiecrisis</w:t>
      </w:r>
    </w:p>
    <w:p>
      <w:pPr>
        <w:pStyle w:val="FirstParagraph"/>
      </w:pPr>
      <w:r>
        <w:t xml:space="preserve">Vanaf ongeveer 2015 namen de twijfels toe. De term replicatiecrisis beschrijft het probleem dat veel gepubliceerde bevindingen uit de psychologie en geneeskunde niet worden bevestigd als andere onderzoekers ze herhalen. Oxytocine werd daar een schoolvoorbeeld van.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Studie</w:t>
            </w:r>
          </w:p>
        </w:tc>
        <w:tc>
          <w:tcPr/>
          <w:p>
            <w:pPr>
              <w:pStyle w:val="Compact"/>
              <w:jc w:val="left"/>
            </w:pPr>
            <w:r>
              <w:t xml:space="preserve">Soort</w:t>
            </w:r>
          </w:p>
        </w:tc>
        <w:tc>
          <w:tcPr/>
          <w:p>
            <w:pPr>
              <w:pStyle w:val="Compact"/>
              <w:jc w:val="left"/>
            </w:pPr>
            <w:r>
              <w:t xml:space="preserve">Kernboodschap</w:t>
            </w:r>
          </w:p>
        </w:tc>
      </w:tr>
      <w:tr>
        <w:tc>
          <w:tcPr/>
          <w:p>
            <w:pPr>
              <w:pStyle w:val="Compact"/>
              <w:jc w:val="left"/>
            </w:pPr>
            <w:r>
              <w:t xml:space="preserve">Kosfeld 2005, PMID 15931222</w:t>
            </w:r>
          </w:p>
        </w:tc>
        <w:tc>
          <w:tcPr/>
          <w:p>
            <w:pPr>
              <w:pStyle w:val="Compact"/>
              <w:jc w:val="left"/>
            </w:pPr>
            <w:r>
              <w:t xml:space="preserve">oorspronkelijke studie, vertrouwensspel</w:t>
            </w:r>
          </w:p>
        </w:tc>
        <w:tc>
          <w:tcPr/>
          <w:p>
            <w:pPr>
              <w:pStyle w:val="Compact"/>
              <w:jc w:val="left"/>
            </w:pPr>
            <w:r>
              <w:t xml:space="preserve">Oxytocine verhoogt vertrouwen</w:t>
            </w:r>
          </w:p>
        </w:tc>
      </w:tr>
      <w:tr>
        <w:tc>
          <w:tcPr/>
          <w:p>
            <w:pPr>
              <w:pStyle w:val="Compact"/>
              <w:jc w:val="left"/>
            </w:pPr>
            <w:r>
              <w:t xml:space="preserve">Nave 2015, PMID 26581735</w:t>
            </w:r>
          </w:p>
        </w:tc>
        <w:tc>
          <w:tcPr/>
          <w:p>
            <w:pPr>
              <w:pStyle w:val="Compact"/>
              <w:jc w:val="left"/>
            </w:pPr>
            <w:r>
              <w:t xml:space="preserve">kritisch overzicht</w:t>
            </w:r>
          </w:p>
        </w:tc>
        <w:tc>
          <w:tcPr/>
          <w:p>
            <w:pPr>
              <w:pStyle w:val="Compact"/>
              <w:jc w:val="left"/>
            </w:pPr>
            <w:r>
              <w:t xml:space="preserve">Het vertrouwenseffect kon niet betrouwbaar worden herhaald</w:t>
            </w:r>
          </w:p>
        </w:tc>
      </w:tr>
      <w:tr>
        <w:tc>
          <w:tcPr/>
          <w:p>
            <w:pPr>
              <w:pStyle w:val="Compact"/>
              <w:jc w:val="left"/>
            </w:pPr>
            <w:r>
              <w:t xml:space="preserve">Lane 2015, PMID 26368396</w:t>
            </w:r>
          </w:p>
        </w:tc>
        <w:tc>
          <w:tcPr/>
          <w:p>
            <w:pPr>
              <w:pStyle w:val="Compact"/>
              <w:jc w:val="left"/>
            </w:pPr>
            <w:r>
              <w:t xml:space="preserve">twee herhalingsstudies (95 en 61 personen)</w:t>
            </w:r>
          </w:p>
        </w:tc>
        <w:tc>
          <w:tcPr/>
          <w:p>
            <w:pPr>
              <w:pStyle w:val="Compact"/>
              <w:jc w:val="left"/>
            </w:pPr>
            <w:r>
              <w:t xml:space="preserve">groot effect in een andere vertrouwenstest niet bevestigd</w:t>
            </w:r>
          </w:p>
        </w:tc>
      </w:tr>
      <w:tr>
        <w:tc>
          <w:tcPr/>
          <w:p>
            <w:pPr>
              <w:pStyle w:val="Compact"/>
              <w:jc w:val="left"/>
            </w:pPr>
            <w:r>
              <w:t xml:space="preserve">Walum 2016, PMID 26210057</w:t>
            </w:r>
          </w:p>
        </w:tc>
        <w:tc>
          <w:tcPr/>
          <w:p>
            <w:pPr>
              <w:pStyle w:val="Compact"/>
              <w:jc w:val="left"/>
            </w:pPr>
            <w:r>
              <w:t xml:space="preserve">statistische analyse van het vakgebied</w:t>
            </w:r>
          </w:p>
        </w:tc>
        <w:tc>
          <w:tcPr/>
          <w:p>
            <w:pPr>
              <w:pStyle w:val="Compact"/>
              <w:jc w:val="left"/>
            </w:pPr>
            <w:r>
              <w:t xml:space="preserve">Studies meestal te klein; de meeste gepubliceerde bevindingen waarschijnlijk geen echte effecten</w:t>
            </w:r>
          </w:p>
        </w:tc>
      </w:tr>
      <w:tr>
        <w:tc>
          <w:tcPr/>
          <w:p>
            <w:pPr>
              <w:pStyle w:val="Compact"/>
              <w:jc w:val="left"/>
            </w:pPr>
            <w:r>
              <w:t xml:space="preserve">Mierop 2020, PMID 32633663</w:t>
            </w:r>
          </w:p>
        </w:tc>
        <w:tc>
          <w:tcPr/>
          <w:p>
            <w:pPr>
              <w:pStyle w:val="Compact"/>
              <w:jc w:val="left"/>
            </w:pPr>
            <w:r>
              <w:t xml:space="preserve">systematisch overzicht</w:t>
            </w:r>
          </w:p>
        </w:tc>
        <w:tc>
          <w:tcPr/>
          <w:p>
            <w:pPr>
              <w:pStyle w:val="Compact"/>
              <w:jc w:val="left"/>
            </w:pPr>
            <w:r>
              <w:t xml:space="preserve">Herhalingspogingen bij interacties meestal zonder succes; statistische power kritisch laag</w:t>
            </w:r>
          </w:p>
        </w:tc>
      </w:tr>
      <w:tr>
        <w:tc>
          <w:tcPr/>
          <w:p>
            <w:pPr>
              <w:pStyle w:val="Compact"/>
              <w:jc w:val="left"/>
            </w:pPr>
            <w:r>
              <w:t xml:space="preserve">Declerck 2020, PMID 32514040</w:t>
            </w:r>
          </w:p>
        </w:tc>
        <w:tc>
          <w:tcPr/>
          <w:p>
            <w:pPr>
              <w:pStyle w:val="Compact"/>
              <w:jc w:val="left"/>
            </w:pPr>
            <w:r>
              <w:t xml:space="preserve">vooraf geregistreerde herhalingsstudie</w:t>
            </w:r>
          </w:p>
        </w:tc>
        <w:tc>
          <w:tcPr/>
          <w:p>
            <w:pPr>
              <w:pStyle w:val="Compact"/>
              <w:jc w:val="left"/>
            </w:pPr>
            <w:r>
              <w:t xml:space="preserve">geen effect op vertrouwen in de oorspronkelijke conditie</w:t>
            </w:r>
          </w:p>
        </w:tc>
      </w:tr>
      <w:tr>
        <w:tc>
          <w:tcPr/>
          <w:p>
            <w:pPr>
              <w:pStyle w:val="Compact"/>
              <w:jc w:val="left"/>
            </w:pPr>
            <w:r>
              <w:t xml:space="preserve">Vogt 2026, PMID 42561025</w:t>
            </w:r>
          </w:p>
        </w:tc>
        <w:tc>
          <w:tcPr/>
          <w:p>
            <w:pPr>
              <w:pStyle w:val="Compact"/>
              <w:jc w:val="left"/>
            </w:pPr>
            <w:r>
              <w:t xml:space="preserve">vooraf geregistreerde studie, 359 mannen met weinig basisvertrouwen</w:t>
            </w:r>
          </w:p>
        </w:tc>
        <w:tc>
          <w:tcPr/>
          <w:p>
            <w:pPr>
              <w:pStyle w:val="Compact"/>
              <w:jc w:val="left"/>
            </w:pPr>
            <w:r>
              <w:t xml:space="preserve">vertrouwen met ongeveer 15% verhoogd</w:t>
            </w:r>
          </w:p>
        </w:tc>
      </w:tr>
    </w:tbl>
    <w:p>
      <w:pPr>
        <w:pStyle w:val="BodyText"/>
      </w:pPr>
      <w:r>
        <w:t xml:space="preserve">Een overzicht uit 2015 concludeerde dat het geheel van de gegevens niet aantoont dat menselijk vertrouwen betrouwbaar samenhangt met oxytocine of erdoor wordt veroorzaakt (Nave 2015, PMID 26581735). Een statistische analyse van alle studies naar de neusspray ging verder: de studies zouden doorgaans te klein zijn om realistische effecten te vinden, en met grote waarschijnlijkheid zouden de meeste gepubliceerde bevindingen geen echte effecten weergeven (Walum 2016, PMID 26210057).</w:t>
      </w:r>
    </w:p>
    <w:p>
      <w:pPr>
        <w:pStyle w:val="BodyText"/>
      </w:pPr>
      <w:r>
        <w:t xml:space="preserve">De belangrijkste proef op de som was een grote, vooraf geregistreerde herhaling van de vertrouwensstudie met een statistische power van meer dan 95%. In de conditie die overeenkwam met de oorspronkelijke studie had oxytocine geen effect. Een achteraf uitgevoerde analyse wees op een effect alleen bij mensen met weinig basisvertrouwen (Declerck 2020, PMID 32514040). Precies deze hypothese toetste in 2026 een andere vooraf geregistreerde studie met 359 mannen met weinig basisvertrouwen; die vond een toename van het vertrouwen met ongeveer 15% (Vogt 2026, PMID 42561025).</w:t>
      </w:r>
    </w:p>
    <w:p>
      <w:pPr>
        <w:pStyle w:val="BodyText"/>
      </w:pPr>
      <w:r>
        <w:rPr>
          <w:bCs/>
          <w:b/>
        </w:rPr>
        <w:t xml:space="preserve">Wat dat betekent:</w:t>
      </w:r>
      <w:r>
        <w:t xml:space="preserve"> </w:t>
      </w:r>
      <w:r>
        <w:t xml:space="preserve">het oorspronkelijke, brede effect „oxytocine maakt vertrouwensvoller” is niet bevestigd. Mogelijk bestaat er een kleiner effect in een bepaalde subgroep en onder bepaalde omstandigheden. Dat is wetenschappelijk interessant, maar ver verwijderd van praktisch nut. De ervaringen hebben het vakgebied veranderd: studies worden tegenwoordig vaker vooraf geregistreerd, zijn groter en rapporteren ook negatieve resultaten. Een in 2026 gepresenteerd onlineplatform moet de stand van het onderzoek doorlopend analyseren (Iversen 2026, PMID 41389446).</w:t>
      </w:r>
    </w:p>
    <w:bookmarkEnd w:id="821"/>
    <w:bookmarkStart w:id="822" w:name="autisme"/>
    <w:p>
      <w:pPr>
        <w:pStyle w:val="Heading4"/>
      </w:pPr>
      <w:r>
        <w:t xml:space="preserve">Autisme</w:t>
      </w:r>
    </w:p>
    <w:p>
      <w:pPr>
        <w:pStyle w:val="FirstParagraph"/>
      </w:pPr>
      <w:r>
        <w:t xml:space="preserve">Autismespectrumstoornissen worden gekenmerkt door moeilijkheden in de sociale communicatie en door beperkte, zich herhalende gedragingen. Er zijn geen geneesmiddelen die deze kernkenmerken veranderen. Oxytocine gold daarom lange tijd als grote hoop, en in sommige landen werd het al buiten studies aan kinderen met autisme voorgeschreven (Sikich 2021, PMID 34644471).</w:t>
      </w:r>
    </w:p>
    <w:p>
      <w:pPr>
        <w:pStyle w:val="BodyText"/>
      </w:pPr>
      <w:r>
        <w:rPr>
          <w:bCs/>
          <w:b/>
        </w:rPr>
        <w:t xml:space="preserve">Vroege studies.</w:t>
      </w:r>
      <w:r>
        <w:t xml:space="preserve"> </w:t>
      </w:r>
      <w:r>
        <w:t xml:space="preserve">Een systematisch overzicht uit 2014 vond zeven gerandomiseerde studies met samen 101 personen met autisme, bijna allemaal mannelijk. De studies waren klein (mediaan 15 deelnemers) en hadden een gemiddeld tot hoog risico op vertekening. Bijna alle rapporteerden ten minste één positief resultaat, meestal bij kijkgedrag of het herkennen van gevoelens (Preti 2014, PMID 24679173).</w:t>
      </w:r>
    </w:p>
    <w:p>
      <w:pPr>
        <w:pStyle w:val="BodyText"/>
      </w:pPr>
      <w:r>
        <w:rPr>
          <w:bCs/>
          <w:b/>
        </w:rPr>
        <w:t xml:space="preserve">Behandelstudies over weken.</w:t>
      </w:r>
      <w:r>
        <w:t xml:space="preserve"> </w:t>
      </w:r>
      <w:r>
        <w:t xml:space="preserve">Daarna volgden studies waarin kinderen en volwassenen oxytocine gedurende meerdere weken kregen: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Deelnemers en opzet</w:t>
            </w:r>
          </w:p>
        </w:tc>
        <w:tc>
          <w:tcPr/>
          <w:p>
            <w:pPr>
              <w:pStyle w:val="Compact"/>
              <w:jc w:val="left"/>
            </w:pPr>
            <w:r>
              <w:t xml:space="preserve">Duur</w:t>
            </w:r>
          </w:p>
        </w:tc>
        <w:tc>
          <w:tcPr/>
          <w:p>
            <w:pPr>
              <w:pStyle w:val="Compact"/>
              <w:jc w:val="left"/>
            </w:pPr>
            <w:r>
              <w:t xml:space="preserve">Resultaat</w:t>
            </w:r>
          </w:p>
        </w:tc>
      </w:tr>
      <w:tr>
        <w:tc>
          <w:tcPr/>
          <w:p>
            <w:pPr>
              <w:pStyle w:val="Compact"/>
              <w:jc w:val="left"/>
            </w:pPr>
            <w:r>
              <w:t xml:space="preserve">Anagnostou 2012, PMID 23216716</w:t>
            </w:r>
          </w:p>
        </w:tc>
        <w:tc>
          <w:tcPr/>
          <w:p>
            <w:pPr>
              <w:pStyle w:val="Compact"/>
              <w:jc w:val="left"/>
            </w:pPr>
            <w:r>
              <w:t xml:space="preserve">19 volwassenen, RCT</w:t>
            </w:r>
          </w:p>
        </w:tc>
        <w:tc>
          <w:tcPr/>
          <w:p>
            <w:pPr>
              <w:pStyle w:val="Compact"/>
              <w:jc w:val="left"/>
            </w:pPr>
            <w:r>
              <w:t xml:space="preserve">6 weken</w:t>
            </w:r>
          </w:p>
        </w:tc>
        <w:tc>
          <w:tcPr/>
          <w:p>
            <w:pPr>
              <w:pStyle w:val="Compact"/>
              <w:jc w:val="left"/>
            </w:pPr>
            <w:r>
              <w:t xml:space="preserve">primaire doelen niet gehaald; verbetering in secundaire doelen</w:t>
            </w:r>
          </w:p>
        </w:tc>
      </w:tr>
      <w:tr>
        <w:tc>
          <w:tcPr/>
          <w:p>
            <w:pPr>
              <w:pStyle w:val="Compact"/>
              <w:jc w:val="left"/>
            </w:pPr>
            <w:r>
              <w:t xml:space="preserve">Guastella 2015, PMID 25087908</w:t>
            </w:r>
          </w:p>
        </w:tc>
        <w:tc>
          <w:tcPr/>
          <w:p>
            <w:pPr>
              <w:pStyle w:val="Compact"/>
              <w:jc w:val="left"/>
            </w:pPr>
            <w:r>
              <w:t xml:space="preserve">50 mannelijke jongeren (12–18 jaar), RCT</w:t>
            </w:r>
          </w:p>
        </w:tc>
        <w:tc>
          <w:tcPr/>
          <w:p>
            <w:pPr>
              <w:pStyle w:val="Compact"/>
              <w:jc w:val="left"/>
            </w:pPr>
            <w:r>
              <w:t xml:space="preserve">8 weken</w:t>
            </w:r>
          </w:p>
        </w:tc>
        <w:tc>
          <w:tcPr/>
          <w:p>
            <w:pPr>
              <w:pStyle w:val="Compact"/>
              <w:jc w:val="left"/>
            </w:pPr>
            <w:r>
              <w:t xml:space="preserve">geen nut bij primaire of secundaire doelen</w:t>
            </w:r>
          </w:p>
        </w:tc>
      </w:tr>
      <w:tr>
        <w:tc>
          <w:tcPr/>
          <w:p>
            <w:pPr>
              <w:pStyle w:val="Compact"/>
              <w:jc w:val="left"/>
            </w:pPr>
            <w:r>
              <w:t xml:space="preserve">Yatawara 2016, PMID 26503762</w:t>
            </w:r>
          </w:p>
        </w:tc>
        <w:tc>
          <w:tcPr/>
          <w:p>
            <w:pPr>
              <w:pStyle w:val="Compact"/>
              <w:jc w:val="left"/>
            </w:pPr>
            <w:r>
              <w:t xml:space="preserve">31 jonge kinderen, cross-overstudie tegen placebo</w:t>
            </w:r>
          </w:p>
        </w:tc>
        <w:tc>
          <w:tcPr/>
          <w:p>
            <w:pPr>
              <w:pStyle w:val="Compact"/>
              <w:jc w:val="left"/>
            </w:pPr>
            <w:r>
              <w:t xml:space="preserve">telkens 5 weken</w:t>
            </w:r>
          </w:p>
        </w:tc>
        <w:tc>
          <w:tcPr/>
          <w:p>
            <w:pPr>
              <w:pStyle w:val="Compact"/>
              <w:jc w:val="left"/>
            </w:pPr>
            <w:r>
              <w:t xml:space="preserve">sociale responsiviteit volgens ouders verbeterd</w:t>
            </w:r>
          </w:p>
        </w:tc>
      </w:tr>
      <w:tr>
        <w:tc>
          <w:tcPr/>
          <w:p>
            <w:pPr>
              <w:pStyle w:val="Compact"/>
              <w:jc w:val="left"/>
            </w:pPr>
            <w:r>
              <w:t xml:space="preserve">Parker 2017, PMID 28696286</w:t>
            </w:r>
          </w:p>
        </w:tc>
        <w:tc>
          <w:tcPr/>
          <w:p>
            <w:pPr>
              <w:pStyle w:val="Compact"/>
              <w:jc w:val="left"/>
            </w:pPr>
            <w:r>
              <w:t xml:space="preserve">32 kinderen (6–12 jaar), RCT</w:t>
            </w:r>
          </w:p>
        </w:tc>
        <w:tc>
          <w:tcPr/>
          <w:p>
            <w:pPr>
              <w:pStyle w:val="Compact"/>
              <w:jc w:val="left"/>
            </w:pPr>
            <w:r>
              <w:t xml:space="preserve">4 weken</w:t>
            </w:r>
          </w:p>
        </w:tc>
        <w:tc>
          <w:tcPr/>
          <w:p>
            <w:pPr>
              <w:pStyle w:val="Compact"/>
              <w:jc w:val="left"/>
            </w:pPr>
            <w:r>
              <w:t xml:space="preserve">sociale vaardigheden verbeterd als uitgangswaarden in het bloed werden meegenomen; lage uitgangsspiegel voorspelde respons</w:t>
            </w:r>
          </w:p>
        </w:tc>
      </w:tr>
      <w:tr>
        <w:tc>
          <w:tcPr/>
          <w:p>
            <w:pPr>
              <w:pStyle w:val="Compact"/>
              <w:jc w:val="left"/>
            </w:pPr>
            <w:r>
              <w:t xml:space="preserve">SOARS-B (Sikich 2021), PMID 34644471</w:t>
            </w:r>
          </w:p>
        </w:tc>
        <w:tc>
          <w:tcPr/>
          <w:p>
            <w:pPr>
              <w:pStyle w:val="Compact"/>
              <w:jc w:val="left"/>
            </w:pPr>
            <w:r>
              <w:t xml:space="preserve">290 kinderen en jongeren (3–17 jaar), RCT</w:t>
            </w:r>
          </w:p>
        </w:tc>
        <w:tc>
          <w:tcPr/>
          <w:p>
            <w:pPr>
              <w:pStyle w:val="Compact"/>
              <w:jc w:val="left"/>
            </w:pPr>
            <w:r>
              <w:t xml:space="preserve">24 weken</w:t>
            </w:r>
          </w:p>
        </w:tc>
        <w:tc>
          <w:tcPr/>
          <w:p>
            <w:pPr>
              <w:pStyle w:val="Compact"/>
              <w:jc w:val="left"/>
            </w:pPr>
            <w:r>
              <w:t xml:space="preserve">geen verschil: −3,7 vs. −3,5 punten in sociale terugtrekking</w:t>
            </w:r>
          </w:p>
        </w:tc>
      </w:tr>
      <w:tr>
        <w:tc>
          <w:tcPr/>
          <w:p>
            <w:pPr>
              <w:pStyle w:val="Compact"/>
              <w:jc w:val="left"/>
            </w:pPr>
            <w:r>
              <w:t xml:space="preserve">Guastella 2023, PMID 36302965</w:t>
            </w:r>
          </w:p>
        </w:tc>
        <w:tc>
          <w:tcPr/>
          <w:p>
            <w:pPr>
              <w:pStyle w:val="Compact"/>
              <w:jc w:val="left"/>
            </w:pPr>
            <w:r>
              <w:t xml:space="preserve">87 kinderen (3–12 jaar), RCT na placebo-aanloopfase</w:t>
            </w:r>
          </w:p>
        </w:tc>
        <w:tc>
          <w:tcPr/>
          <w:p>
            <w:pPr>
              <w:pStyle w:val="Compact"/>
              <w:jc w:val="left"/>
            </w:pPr>
            <w:r>
              <w:t xml:space="preserve">12 weken</w:t>
            </w:r>
          </w:p>
        </w:tc>
        <w:tc>
          <w:tcPr/>
          <w:p>
            <w:pPr>
              <w:pStyle w:val="Compact"/>
              <w:jc w:val="left"/>
            </w:pPr>
            <w:r>
              <w:t xml:space="preserve">in totaal geen effect; aanwijzing voor effect bij 3- tot 5-jarigen</w:t>
            </w:r>
          </w:p>
        </w:tc>
      </w:tr>
    </w:tbl>
    <w:p>
      <w:pPr>
        <w:pStyle w:val="BodyText"/>
      </w:pPr>
      <w:r>
        <w:rPr>
          <w:bCs/>
          <w:b/>
        </w:rPr>
        <w:t xml:space="preserve">De SOARS-B-studie.</w:t>
      </w:r>
      <w:r>
        <w:t xml:space="preserve"> </w:t>
      </w:r>
      <w:r>
        <w:t xml:space="preserve">Verreweg de grootste en meest zeggingskrachtige studie is SOARS-B (Study of Oxytocin in Autism to Improve Reciprocal Social Behaviors), gefinancierd door de Amerikaanse gezondheidsautoriteiten en in 2021 gepubliceerd in het New England Journal of Medicine (Sikich 2021, PMID 34644471; NCT01944046). 290 kinderen en jongeren tussen 3 en 17 jaar kregen gedurende 24 weken dagelijks oxytocine of een placeboneusspray. De primaire uitkomstmaat was een schaal voor sociale terugtrekking (ABC-mSW, 0 tot 39 punten).</w:t>
      </w:r>
    </w:p>
    <w:p>
      <w:pPr>
        <w:pStyle w:val="BodyText"/>
      </w:pPr>
      <w:r>
        <w:t xml:space="preserve">Het resultaat was duidelijk negatief: de score daalde onder oxytocine met 3,7 punten, onder placebo met 3,5 punten. Het verschil van 0,2 punten was statistisch noch klinisch relevant. Ook de secundaire doelen – twee andere maten voor sociaal functioneren en een intelligentietest – verschilden niet. Bijwerkingen kwamen in beide groepen even vaak voor.</w:t>
      </w:r>
    </w:p>
    <w:p>
      <w:pPr>
        <w:pStyle w:val="BodyText"/>
      </w:pPr>
      <w:r>
        <w:rPr>
          <w:bCs/>
          <w:b/>
        </w:rPr>
        <w:t xml:space="preserve">De Australische studie bij jonge kinderen.</w:t>
      </w:r>
      <w:r>
        <w:t xml:space="preserve"> </w:t>
      </w:r>
      <w:r>
        <w:t xml:space="preserve">De groep rond Adam Guastella had eerder bij jonge kinderen een positief resultaat gevonden (Yatawara 2016, PMID 26503762). Een grotere vervolgstudie met 87 kinderen liet een placebo-aanloopfase van drie weken voorafgaan om het sterke placebo-effect eruit te filteren. In totaal had oxytocine geen effect op de sociale responsiviteit. Alleen in de subgroep van 3- tot 5-jarigen tekende zich volgens het oordeel van de ouders een verbetering af; het medisch oordeel en alle andere maten lieten geen nut zien (Guastella 2023, PMID 36302965). Opvallend: in de studie bij jongeren uit 2015 rapporteerden ouders die geloofden dat hun kind oxytocine kreeg, grotere verbeteringen – ongeacht wat het kind daadwerkelijk kreeg (Guastella 2015, PMID 25087908).</w:t>
      </w:r>
    </w:p>
    <w:p>
      <w:pPr>
        <w:pStyle w:val="BodyText"/>
      </w:pPr>
      <w:r>
        <w:rPr>
          <w:bCs/>
          <w:b/>
        </w:rPr>
        <w:t xml:space="preserve">Biologische effecten zonder klinisch nut.</w:t>
      </w:r>
      <w:r>
        <w:t xml:space="preserve"> </w:t>
      </w:r>
      <w:r>
        <w:t xml:space="preserve">Een studie met 79 kinderen vond na vier weken oxytocine hogere oxytocinespiegels in het speeksel en veranderingen in de markering van het erfelijk materiaal van het receptorgen (Moerkerke 2024, PMID 38167302). In de hersenscanner waren in dezelfde groep daarentegen geen significante behandeleffecten op de verwerking van gezichten te zien (Moerkerke 2024, PMID 39709442). Zulke biologische signalen zijn wetenschappelijk interessant, maar tonen geen verbetering in het dagelijks leven aan.</w:t>
      </w:r>
    </w:p>
    <w:p>
      <w:pPr>
        <w:pStyle w:val="BodyText"/>
      </w:pPr>
      <w:r>
        <w:rPr>
          <w:bCs/>
          <w:b/>
        </w:rPr>
        <w:t xml:space="preserve">Meta-analyses.</w:t>
      </w:r>
      <w:r>
        <w:t xml:space="preserve"> </w:t>
      </w:r>
      <w:r>
        <w:t xml:space="preserve">De samenvattingen komen tot verschillende resultaten, afhankelijk van welke studies ze insluiten:</w:t>
      </w:r>
    </w:p>
    <w:p>
      <w:pPr>
        <w:numPr>
          <w:ilvl w:val="0"/>
          <w:numId w:val="1277"/>
        </w:numPr>
        <w:pStyle w:val="Compact"/>
      </w:pPr>
      <w:r>
        <w:t xml:space="preserve">Een meta-analyse van 17 gerandomiseerde studies met 466 personen met ontwikkelingsstoornissen vond geen effect op het herkennen van gevoelens en een klein effect op het begrijpen van de gedachten van anderen (Keech 2018, PMID 29032324).</w:t>
      </w:r>
    </w:p>
    <w:p>
      <w:pPr>
        <w:numPr>
          <w:ilvl w:val="0"/>
          <w:numId w:val="1277"/>
        </w:numPr>
        <w:pStyle w:val="Compact"/>
      </w:pPr>
      <w:r>
        <w:t xml:space="preserve">Een meta-analyse van 28 studies met 726 personen met autisme, waaronder ook ongecontroleerde, kwam tot een positiever oordeel over het sociaal functioneren (Huang 2021, PMID 33400920). Het insluiten van ongecontroleerde studies maakt dit resultaat vatbaar voor vertekening.</w:t>
      </w:r>
    </w:p>
    <w:p>
      <w:pPr>
        <w:numPr>
          <w:ilvl w:val="0"/>
          <w:numId w:val="1277"/>
        </w:numPr>
        <w:pStyle w:val="Compact"/>
      </w:pPr>
      <w:r>
        <w:t xml:space="preserve">De tot nu toe grootste meta-analyse over alle psychische aandoeningen (42 dubbelblinde studies, 1.922 personen) vond in totaal geen significant effect. Na uitsluiting van twee uitschieters lag de effectgrootte dicht bij nul (Bonnieux 2026, PMID 42134427).</w:t>
      </w:r>
    </w:p>
    <w:p>
      <w:pPr>
        <w:pStyle w:val="FirstParagraph"/>
      </w:pPr>
      <w:r>
        <w:rPr>
          <w:bCs/>
          <w:b/>
        </w:rPr>
        <w:t xml:space="preserve">Tussenconclusie autisme:</w:t>
      </w:r>
      <w:r>
        <w:t xml:space="preserve"> </w:t>
      </w:r>
      <w:r>
        <w:t xml:space="preserve">na de grote SOARS-B-studie en de Australische vervolgstudie is er geen betrouwbaar bewijs dat oxytocineneusspray het sociaal gedrag van kinderen en jongeren met autisme in het dagelijks leven verbetert. Onderzoekers bespreken of bepaalde subgroepen – zeer jonge kinderen, kinderen met een lage oxytocinespiegel – baat zouden kunnen hebben, en stellen een gepersonaliseerde aanpak voor (Boulton 2026, PMID 42144048). Zolang dat niet in eigen studies is bevestigd, blijft het een hypothese.</w:t>
      </w:r>
    </w:p>
    <w:bookmarkEnd w:id="822"/>
    <w:bookmarkStart w:id="823" w:name="andere-psychische-aandoeningen"/>
    <w:p>
      <w:pPr>
        <w:pStyle w:val="Heading4"/>
      </w:pPr>
      <w:r>
        <w:t xml:space="preserve">Andere psychische aandoeningen</w:t>
      </w:r>
    </w:p>
    <w:p>
      <w:pPr>
        <w:pStyle w:val="FirstParagraph"/>
      </w:pPr>
      <w:r>
        <w:rPr>
          <w:bCs/>
          <w:b/>
        </w:rPr>
        <w:t xml:space="preserve">Schizofrenie.</w:t>
      </w:r>
      <w:r>
        <w:t xml:space="preserve"> </w:t>
      </w:r>
      <w:r>
        <w:t xml:space="preserve">In een studie van twaalf weken met 68 personen verbeterde oxytocine de sociale waarneming niet (Jarskog 2017, PMID 28094169). Een meta-analyse van negen studies vond geen consistent effect op zogenoemde negatieve symptomen zoals gebrek aan initiatief en sociale terugtrekking (Sabe 2021, PMID 33890987). De grote meta-analyse uit 2026 zag in deze groep een klein, net significant effect (effectgrootte 0,12) en stelde vast dat studies met meer vrouwen doorgaans grotere effecten lieten zien (Bonnieux 2026, PMID 42134427).</w:t>
      </w:r>
    </w:p>
    <w:p>
      <w:pPr>
        <w:pStyle w:val="BodyText"/>
      </w:pPr>
      <w:r>
        <w:rPr>
          <w:bCs/>
          <w:b/>
        </w:rPr>
        <w:t xml:space="preserve">Alcohol.</w:t>
      </w:r>
      <w:r>
        <w:t xml:space="preserve"> </w:t>
      </w:r>
      <w:r>
        <w:t xml:space="preserve">In een Noorse studie met 40 personen in alcoholontwenning verminderde oxytocine de behoefte aan kalmeringsmiddelen niet significant (Melby 2019, PMID 30784955). Een meta-analyse van zes gerandomiseerde studies naar alcoholafhankelijkheid vond geen effect; een bayesiaanse analyse pleitte zelfs matig voor het ontbreken van een effect (Santos 2026, PMID 42335670).</w:t>
      </w:r>
    </w:p>
    <w:p>
      <w:pPr>
        <w:pStyle w:val="BodyText"/>
      </w:pPr>
      <w:r>
        <w:rPr>
          <w:bCs/>
          <w:b/>
        </w:rPr>
        <w:t xml:space="preserve">Combinatie met psychotherapie.</w:t>
      </w:r>
      <w:r>
        <w:t xml:space="preserve"> </w:t>
      </w:r>
      <w:r>
        <w:t xml:space="preserve">Een nieuwer idee is om oxytocine niet alleen te geven, maar als versterker van een psychotherapie. Een overzicht van 13 studies met 518 deelnemers vond aanwijzingen voor minder depressieve symptomen en een betere therapeutische relatie, maar geen effect op psychiatrische symptomen in het algemeen of op het sociaal functioneren; slechts vier studies konden worden samengevoegd (Pérez-Arqueros 2025, PMID 39366103).</w:t>
      </w:r>
    </w:p>
    <w:p>
      <w:pPr>
        <w:pStyle w:val="BodyText"/>
      </w:pPr>
      <w:r>
        <w:rPr>
          <w:bCs/>
          <w:b/>
        </w:rPr>
        <w:t xml:space="preserve">Na de bevalling.</w:t>
      </w:r>
      <w:r>
        <w:t xml:space="preserve"> </w:t>
      </w:r>
      <w:r>
        <w:t xml:space="preserve">Bij 45 moeders met (deels subklinische) postpartumdepressie verhoogde een eenmalige dosis de positieve stemming en de positieve aandacht voor het kind, maar niet de sensitiviteit in de omgang (Riem 2025, PMID 40614394).</w:t>
      </w:r>
    </w:p>
    <w:bookmarkEnd w:id="823"/>
    <w:bookmarkStart w:id="824" w:name="stofwisseling-gewicht-en-pijn"/>
    <w:p>
      <w:pPr>
        <w:pStyle w:val="Heading4"/>
      </w:pPr>
      <w:r>
        <w:t xml:space="preserve">Stofwisseling, gewicht en pijn</w:t>
      </w:r>
    </w:p>
    <w:p>
      <w:pPr>
        <w:pStyle w:val="FirstParagraph"/>
      </w:pPr>
      <w:r>
        <w:rPr>
          <w:bCs/>
          <w:b/>
        </w:rPr>
        <w:t xml:space="preserve">Obesitas.</w:t>
      </w:r>
      <w:r>
        <w:t xml:space="preserve"> </w:t>
      </w:r>
      <w:r>
        <w:t xml:space="preserve">Omdat oxytocine bij dieren de voedselinname verlaagt en het energieverbruik verhoogt, werd het getest als afslankmiddel. Een meta-analyse vond dat een eenmalige dosis bij mensen zonder psychische aandoening de eetmenge bij een testmaaltijd verminderde (Chen 2021, PMID 34600216). De beslissende toets was een studie met 61 volwassenen met obesitas, die acht weken lang vier keer per dag oxytocine of placebo sproeiden. Het gewicht veranderde niet: +0,20 kg onder oxytocine, +0,26 kg onder placebo. Ook lichaamsvet, levervet en energieverbruik bleven onveranderd; alleen bij een testmaaltijd aten de deelnemers minder (Plessow 2024, PMID 38815173). Een kleine pilotstudie bij 21 ouderen met overgewicht en spierverlies vond een toename van de spiermassa met 2,25 kg (Espinoza 2021, PMID 34029521); dat moet in grotere studies worden bevestigd.</w:t>
      </w:r>
    </w:p>
    <w:p>
      <w:pPr>
        <w:pStyle w:val="BodyText"/>
      </w:pPr>
      <w:r>
        <w:rPr>
          <w:bCs/>
          <w:b/>
        </w:rPr>
        <w:t xml:space="preserve">Prader-Willisyndroom.</w:t>
      </w:r>
      <w:r>
        <w:t xml:space="preserve"> </w:t>
      </w:r>
      <w:r>
        <w:t xml:space="preserve">Bij deze zeldzame genetische aandoening met onstilbare honger en verminderd oxytocine in de hypothalamus waren de verwachtingen bijzonder hoog. Een meta-analyse vond geen effect op vreetbuien of gewicht (Shalma 2023, PMID 36774885). In een studie met 23 kinderen verbeterden vreetbuien en herhalingsgedrag zelfs eerder onder placebo (Hollander 2021, PMID 33190843).</w:t>
      </w:r>
    </w:p>
    <w:p>
      <w:pPr>
        <w:pStyle w:val="BodyText"/>
      </w:pPr>
      <w:r>
        <w:rPr>
          <w:bCs/>
          <w:b/>
        </w:rPr>
        <w:t xml:space="preserve">Pijn.</w:t>
      </w:r>
      <w:r>
        <w:t xml:space="preserve"> </w:t>
      </w:r>
      <w:r>
        <w:t xml:space="preserve">Een meta-analyse van 15 studies vond geen significant effect op pijnintensiteit of de onaangenaamheid van de pijn (Lopes 2023, PMID 36463692).</w:t>
      </w:r>
    </w:p>
    <w:bookmarkEnd w:id="824"/>
    <w:bookmarkStart w:id="825" w:name="seksualiteit"/>
    <w:p>
      <w:pPr>
        <w:pStyle w:val="Heading4"/>
      </w:pPr>
      <w:r>
        <w:t xml:space="preserve">Seksualiteit</w:t>
      </w:r>
    </w:p>
    <w:p>
      <w:pPr>
        <w:pStyle w:val="FirstParagraph"/>
      </w:pPr>
      <w:r>
        <w:t xml:space="preserve">Oxytocine komt vrij bij een orgasme en wordt op internet aangeprezen als middel voor een intensiever liefdesleven. In een laboratoriumstudie met tien mannen verhoogde een neusspray de oxytocinespiegel in het bloed duidelijk, maar veranderde verlangen, opwinding, orgasme en herstelfase volgens de vragenlijsten niet (Burri 2008, PMID 18375074). Een meta-analyse van geneesmiddelen tegen seksuele disfuncties bij vrouwen, die ook oxytocinestudies insloot, vond dat ongeveer twee derde van de verbetering ook onder placebo optrad (Weinberger 2018, PMID 29995725). Betrouwbaar bewijs voor een effect op de seksualiteit bestaat niet.</w:t>
      </w:r>
    </w:p>
    <w:bookmarkEnd w:id="825"/>
    <w:bookmarkStart w:id="826" w:name="oxytocinetekort-als-ziekte"/>
    <w:p>
      <w:pPr>
        <w:pStyle w:val="Heading4"/>
      </w:pPr>
      <w:r>
        <w:t xml:space="preserve">Oxytocinetekort als ziekte</w:t>
      </w:r>
    </w:p>
    <w:p>
      <w:pPr>
        <w:pStyle w:val="FirstParagraph"/>
      </w:pPr>
      <w:r>
        <w:t xml:space="preserve">Een nieuw en medisch plausibel gebied is het echte oxytocinetekort. Mensen bij wie de hypothalamus of de hypofyse bijvoorbeeld door een tumor of een operatie beschadigd is, hebben vaak een vasopressinetekort (vroeger centrale diabetes insipidus). Een Zwitserse studie gebruikte de drug MDMA, die bij gezonde mensen krachtig oxytocine vrijmaakt, als provocatietest. Bij 15 gezonde personen steeg oxytocine sterk, bij 15 patiënten nauwelijks; de oppervlakte onder de curve was bij gezonde personen 82% groter, en de patiënten merkten nauwelijks de typische sociale en angstverminderende effecten (Atila 2023, PMID 37192642). Dat pleit ervoor dat veel van deze mensen ook een oxytocinetekort hebben. Of een vervanging via neusspray hun psychische klachten verlicht, onderzoekt een lopende studie (NCT06036004). Ook kisspeptine wordt onderzocht als mogelijke test voor een oxytocinetekort (Galbiati 2025, PMID 39965102; hoofdstuk 2E04).</w:t>
      </w:r>
    </w:p>
    <w:bookmarkEnd w:id="826"/>
    <w:bookmarkEnd w:id="827"/>
    <w:bookmarkStart w:id="828" w:name="dier--en-laboratoriumstudies-50"/>
    <w:p>
      <w:pPr>
        <w:pStyle w:val="Heading3"/>
      </w:pPr>
      <w:r>
        <w:t xml:space="preserve">Dier- en laboratoriumstudies</w:t>
      </w:r>
    </w:p>
    <w:p>
      <w:pPr>
        <w:pStyle w:val="FirstParagraph"/>
      </w:pPr>
      <w:r>
        <w:t xml:space="preserve">Het enthousiasme voor oxytocine berust op overtuigende dierbevindingen: bij prairiewoelmuizen is het oxytocinesysteem nodig voor de paarbinding, bij knaagdieren en schapen voor moederlijk gedrag. Bij muizen in een autismemodel verbeterde een middel dat het oxytocinesysteem stimuleert de maten voor sociaal gedrag (Minakova 2019, PMID 30629642). Bij resusapen kwam gemarkeerd oxytocine via de neus in bepaalde hersengebieden terecht (Lee 2020, PMID 32494001).</w:t>
      </w:r>
    </w:p>
    <w:p>
      <w:pPr>
        <w:pStyle w:val="BodyText"/>
      </w:pPr>
      <w:r>
        <w:t xml:space="preserve">Deze bevindingen zijn echter maar beperkt over te dragen: de verdeling van de oxytocinereceptoren in de hersenen verschilt sterk tussen soorten, zelfs tussen nauw verwante woelmuissoorten. Veel dierproeven brachten oxytocine rechtstreeks in de hersenen, wat bij mensen niet mogelijk is.</w:t>
      </w:r>
    </w:p>
    <w:bookmarkEnd w:id="828"/>
    <w:bookmarkStart w:id="832" w:name="risicos-en-bijwerkingen-50"/>
    <w:p>
      <w:pPr>
        <w:pStyle w:val="Heading3"/>
      </w:pPr>
      <w:r>
        <w:t xml:space="preserve">Risico’s en bijwerkingen</w:t>
      </w:r>
    </w:p>
    <w:bookmarkStart w:id="829" w:name="aangetoond-neusspray-in-studies"/>
    <w:p>
      <w:pPr>
        <w:pStyle w:val="Heading4"/>
      </w:pPr>
      <w:r>
        <w:t xml:space="preserve">Aangetoond: neusspray in studies</w:t>
      </w:r>
    </w:p>
    <w:p>
      <w:pPr>
        <w:pStyle w:val="FirstParagraph"/>
      </w:pPr>
      <w:r>
        <w:t xml:space="preserve">In gecontroleerde studies geldt de oxytocineneusspray als goed verdraagbaar. Een systematisch overzicht van 38 gerandomiseerde studies met 1.529 deelnemers vond bij kortdurend gebruik geen bijwerkingen die vaker optraden dan onder placebo. De deelnemers konden ook niet herkennen of ze oxytocine of placebo hadden gekregen (MacDonald 2011, PMID 21429671). In SOARS-B kwamen bijwerkingen over 24 weken in beide groepen even vaak voor (Sikich 2021, PMID 34644471). Bij 95 oudere mannen traden gedurende vier weken geen veranderingen op in bloeddruk, urine- of bloedwaarden (Rung 2021, PMID 33982141). In studies bij kinderen werden dorst, vaker plassen en verstopping gemeld (Yatawara 2016, PMID 26503762).</w:t>
      </w:r>
    </w:p>
    <w:bookmarkEnd w:id="829"/>
    <w:bookmarkStart w:id="830" w:name="mogelijk-en-om-op-te-letten"/>
    <w:p>
      <w:pPr>
        <w:pStyle w:val="Heading4"/>
      </w:pPr>
      <w:r>
        <w:t xml:space="preserve">Mogelijk en om op te letten</w:t>
      </w:r>
    </w:p>
    <w:p>
      <w:pPr>
        <w:numPr>
          <w:ilvl w:val="0"/>
          <w:numId w:val="1278"/>
        </w:numPr>
        <w:pStyle w:val="Compact"/>
      </w:pPr>
      <w:r>
        <w:rPr>
          <w:bCs/>
          <w:b/>
        </w:rPr>
        <w:t xml:space="preserve">Waterhuishouding:</w:t>
      </w:r>
      <w:r>
        <w:t xml:space="preserve"> </w:t>
      </w:r>
      <w:r>
        <w:t xml:space="preserve">oxytocine lijkt op vasopressine en kan in hoge doses water in het lichaam vasthouden. In de verloskunde is een watervergiftiging met natriumtekort een bekende, zeldzame complicatie van hoog gedoseerde infusen. Bij de neusspray is één geval beschreven van verhoogde hersendruk bij gelijktijdig zeer hoge vochtinname (Mayer-Hubner 1996, PMID 8596357).</w:t>
      </w:r>
    </w:p>
    <w:p>
      <w:pPr>
        <w:numPr>
          <w:ilvl w:val="0"/>
          <w:numId w:val="1278"/>
        </w:numPr>
        <w:pStyle w:val="Compact"/>
      </w:pPr>
      <w:r>
        <w:rPr>
          <w:bCs/>
          <w:b/>
        </w:rPr>
        <w:t xml:space="preserve">Bloedsomloop:</w:t>
      </w:r>
      <w:r>
        <w:t xml:space="preserve"> </w:t>
      </w:r>
      <w:r>
        <w:t xml:space="preserve">bij twaalf gezonde mannen verhoogde een neusspray de activiteit van de zenuwen die bloedvaten vernauwen en verhoogde licht de onderdruk (Meusel 2021, PMID 33296278).</w:t>
      </w:r>
    </w:p>
    <w:p>
      <w:pPr>
        <w:numPr>
          <w:ilvl w:val="0"/>
          <w:numId w:val="1278"/>
        </w:numPr>
        <w:pStyle w:val="Compact"/>
      </w:pPr>
      <w:r>
        <w:rPr>
          <w:bCs/>
          <w:b/>
        </w:rPr>
        <w:t xml:space="preserve">Zwangerschap:</w:t>
      </w:r>
      <w:r>
        <w:t xml:space="preserve"> </w:t>
      </w:r>
      <w:r>
        <w:t xml:space="preserve">omdat oxytocine weeën opwekt, is gebruik buiten medische controle tijdens de zwangerschap gevaarlijk.</w:t>
      </w:r>
    </w:p>
    <w:p>
      <w:pPr>
        <w:numPr>
          <w:ilvl w:val="0"/>
          <w:numId w:val="1278"/>
        </w:numPr>
        <w:pStyle w:val="Compact"/>
      </w:pPr>
      <w:r>
        <w:rPr>
          <w:bCs/>
          <w:b/>
        </w:rPr>
        <w:t xml:space="preserve">Langdurig gebruik:</w:t>
      </w:r>
      <w:r>
        <w:t xml:space="preserve"> </w:t>
      </w:r>
      <w:r>
        <w:t xml:space="preserve">gegevens over meer dan zes maanden ontbreken, vooral bij kinderen.</w:t>
      </w:r>
    </w:p>
    <w:p>
      <w:pPr>
        <w:numPr>
          <w:ilvl w:val="0"/>
          <w:numId w:val="1278"/>
        </w:numPr>
        <w:pStyle w:val="Compact"/>
      </w:pPr>
      <w:r>
        <w:rPr>
          <w:bCs/>
          <w:b/>
        </w:rPr>
        <w:t xml:space="preserve">Sociale effecten:</w:t>
      </w:r>
      <w:r>
        <w:t xml:space="preserve"> </w:t>
      </w:r>
      <w:r>
        <w:t xml:space="preserve">enkele laboratoriumstudies meldden dat oxytocine onder bepaalde omstandigheden ook afgunst, wantrouwen tegenover vreemden of voorkeur voor de eigen groep kan versterken. Deze bevindingen zijn even onzeker als de positieve.</w:t>
      </w:r>
    </w:p>
    <w:bookmarkEnd w:id="830"/>
    <w:bookmarkStart w:id="831" w:name="grijze-markt-3"/>
    <w:p>
      <w:pPr>
        <w:pStyle w:val="Heading4"/>
      </w:pPr>
      <w:r>
        <w:t xml:space="preserve">Grijze markt</w:t>
      </w:r>
    </w:p>
    <w:p>
      <w:pPr>
        <w:pStyle w:val="FirstParagraph"/>
      </w:pPr>
      <w:r>
        <w:t xml:space="preserve">Oxytocineneussprays worden op internet verkocht als „liefdes-” of „vertrouwensspray”. Inhoud en gehalte van zulke producten zijn niet onafhankelijk gecontroleerd. Voor geen van deze producten bestaat bewijs van een effect.</w:t>
      </w:r>
    </w:p>
    <w:bookmarkEnd w:id="831"/>
    <w:bookmarkEnd w:id="832"/>
    <w:bookmarkStart w:id="833" w:name="juridische-status-50"/>
    <w:p>
      <w:pPr>
        <w:pStyle w:val="Heading3"/>
      </w:pPr>
      <w:r>
        <w:t xml:space="preserve">Juridische status</w:t>
      </w:r>
    </w:p>
    <w:p>
      <w:pPr>
        <w:pStyle w:val="FirstParagraph"/>
      </w:pPr>
      <w:r>
        <w:rPr>
          <w:iCs/>
          <w:i/>
        </w:rPr>
        <w:t xml:space="preserve">Stand 2026, actuele situatie controleren.</w:t>
      </w:r>
    </w:p>
    <w:p>
      <w:pPr>
        <w:numPr>
          <w:ilvl w:val="0"/>
          <w:numId w:val="1279"/>
        </w:numPr>
        <w:pStyle w:val="Compact"/>
      </w:pPr>
      <w:r>
        <w:rPr>
          <w:bCs/>
          <w:b/>
        </w:rPr>
        <w:t xml:space="preserve">EU, Duitsland, Oostenrijk:</w:t>
      </w:r>
      <w:r>
        <w:t xml:space="preserve"> </w:t>
      </w:r>
      <w:r>
        <w:t xml:space="preserve">oxytocine voor infuus en injectie is als receptplichtig geneesmiddel geregistreerd voor de verloskunde. Een geregistreerde neusspray voor psychische of sociale toepassingen bestaat niet; vroeger geregistreerde sprays om de melkafgifte te bevorderen zijn op veel plaatsen niet meer verkrijgbaar. Een voorschrift voor de behandeling van autisme of andere aandoeningen zou een individuele behandelpoging buiten de registratie zijn (off-label), met de bijbehorende plicht tot voorlichting en aansprakelijkheid.</w:t>
      </w:r>
    </w:p>
    <w:p>
      <w:pPr>
        <w:numPr>
          <w:ilvl w:val="0"/>
          <w:numId w:val="1279"/>
        </w:numPr>
        <w:pStyle w:val="Compact"/>
      </w:pPr>
      <w:r>
        <w:rPr>
          <w:bCs/>
          <w:b/>
        </w:rPr>
        <w:t xml:space="preserve">VS:</w:t>
      </w:r>
      <w:r>
        <w:t xml:space="preserve"> </w:t>
      </w:r>
      <w:r>
        <w:t xml:space="preserve">oxytocine-injectie (Pitocin en generieke middelen) geregistreerd voor de verloskunde; geen geregistreerde neusspray. Bereidingsapotheken (compounding pharmacies) maken neussprays op voorschrift van een arts; de kwaliteit daarvan wordt niet gecontroleerd zoals bij industrieel vervaardigde geneesmiddelen.</w:t>
      </w:r>
    </w:p>
    <w:p>
      <w:pPr>
        <w:numPr>
          <w:ilvl w:val="0"/>
          <w:numId w:val="1279"/>
        </w:numPr>
        <w:pStyle w:val="Compact"/>
      </w:pPr>
      <w:r>
        <w:rPr>
          <w:bCs/>
          <w:b/>
        </w:rPr>
        <w:t xml:space="preserve">WADA:</w:t>
      </w:r>
      <w:r>
        <w:t xml:space="preserve"> </w:t>
      </w:r>
      <w:r>
        <w:t xml:space="preserve">niet vermeld.</w:t>
      </w:r>
    </w:p>
    <w:bookmarkEnd w:id="833"/>
    <w:bookmarkStart w:id="834" w:name="lopende-studies-en-vooruitzichten-50"/>
    <w:p>
      <w:pPr>
        <w:pStyle w:val="Heading3"/>
      </w:pPr>
      <w:r>
        <w:t xml:space="preserve">Lopende studies en vooruitzichten</w:t>
      </w:r>
    </w:p>
    <w:p>
      <w:pPr>
        <w:pStyle w:val="FirstParagraph"/>
      </w:pPr>
      <w:r>
        <w:rPr>
          <w:bCs/>
          <w:b/>
        </w:rPr>
        <w:t xml:space="preserve">Zeker (geregistreerde studies):</w:t>
      </w:r>
      <w:r>
        <w:t xml:space="preserve"> </w:t>
      </w:r>
      <w:r>
        <w:t xml:space="preserve">onder de lopende studies zijn enkele grotere die afzonderlijke open vragen zouden kunnen beantwoorden:</w:t>
      </w:r>
    </w:p>
    <w:p>
      <w:pPr>
        <w:numPr>
          <w:ilvl w:val="0"/>
          <w:numId w:val="1280"/>
        </w:numPr>
        <w:pStyle w:val="Compact"/>
      </w:pPr>
      <w:r>
        <w:rPr>
          <w:bCs/>
          <w:b/>
        </w:rPr>
        <w:t xml:space="preserve">Chronische pijn:</w:t>
      </w:r>
      <w:r>
        <w:t xml:space="preserve"> </w:t>
      </w:r>
      <w:r>
        <w:t xml:space="preserve">een Canadese fase 2/3-studie met 336 deelnemers (NCT04903002) is afgerond; de resultaten worden nog verwacht.</w:t>
      </w:r>
    </w:p>
    <w:p>
      <w:pPr>
        <w:numPr>
          <w:ilvl w:val="0"/>
          <w:numId w:val="1280"/>
        </w:numPr>
        <w:pStyle w:val="Compact"/>
      </w:pPr>
      <w:r>
        <w:rPr>
          <w:bCs/>
          <w:b/>
        </w:rPr>
        <w:t xml:space="preserve">Psychotherapie plus oxytocine:</w:t>
      </w:r>
      <w:r>
        <w:t xml:space="preserve"> </w:t>
      </w:r>
      <w:r>
        <w:t xml:space="preserve">een studie van het Amerikaanse ministerie van Veteranenzaken met 240 personen test oxytocine als aanvulling op relatietherapie bij posttraumatische stressstoornis (NCT06194851, tot 2028). In Duitsland testen studies oxytocine als aanvulling op psychosociale behandeling bij schizofrenie (NCT06881810 met 98 personen; NCT07265180 aan de Charité met 120 personen en dosisvergelijking).</w:t>
      </w:r>
    </w:p>
    <w:p>
      <w:pPr>
        <w:numPr>
          <w:ilvl w:val="0"/>
          <w:numId w:val="1280"/>
        </w:numPr>
        <w:pStyle w:val="Compact"/>
      </w:pPr>
      <w:r>
        <w:rPr>
          <w:bCs/>
          <w:b/>
        </w:rPr>
        <w:t xml:space="preserve">Oxytocinetekort:</w:t>
      </w:r>
      <w:r>
        <w:t xml:space="preserve"> </w:t>
      </w:r>
      <w:r>
        <w:t xml:space="preserve">een Zwitserse studie met 112 personen test oxytocinevervanging bij vasopressinetekort (NCT06036004).</w:t>
      </w:r>
    </w:p>
    <w:p>
      <w:pPr>
        <w:numPr>
          <w:ilvl w:val="0"/>
          <w:numId w:val="1280"/>
        </w:numPr>
        <w:pStyle w:val="Compact"/>
      </w:pPr>
      <w:r>
        <w:rPr>
          <w:bCs/>
          <w:b/>
        </w:rPr>
        <w:t xml:space="preserve">Autisme en botten:</w:t>
      </w:r>
      <w:r>
        <w:t xml:space="preserve"> </w:t>
      </w:r>
      <w:r>
        <w:t xml:space="preserve">een studie met 96 kinderen onderzoekt effecten op de botgezondheid (NCT05754073).</w:t>
      </w:r>
    </w:p>
    <w:p>
      <w:pPr>
        <w:numPr>
          <w:ilvl w:val="0"/>
          <w:numId w:val="1280"/>
        </w:numPr>
        <w:pStyle w:val="Compact"/>
      </w:pPr>
      <w:r>
        <w:rPr>
          <w:bCs/>
          <w:b/>
        </w:rPr>
        <w:t xml:space="preserve">Eetstoornissen:</w:t>
      </w:r>
      <w:r>
        <w:t xml:space="preserve"> </w:t>
      </w:r>
      <w:r>
        <w:t xml:space="preserve">een fase 2-studie naar eetbuistoornis (NCT05664516).</w:t>
      </w:r>
    </w:p>
    <w:p>
      <w:pPr>
        <w:numPr>
          <w:ilvl w:val="0"/>
          <w:numId w:val="1280"/>
        </w:numPr>
        <w:pStyle w:val="Compact"/>
      </w:pPr>
      <w:r>
        <w:rPr>
          <w:bCs/>
          <w:b/>
        </w:rPr>
        <w:t xml:space="preserve">Bedrijfsontwikkeling:</w:t>
      </w:r>
      <w:r>
        <w:t xml:space="preserve"> </w:t>
      </w:r>
      <w:r>
        <w:t xml:space="preserve">een bedrijf heeft een hoog gedoseerde oxytocineneusspray (TNX-1900) getest bij chronische migraine (NCT05679908, 88 personen, afgerond) en plant een studie naar pijnbehandeling na hypofyseoperaties (NCT07730294).</w:t>
      </w:r>
    </w:p>
    <w:p>
      <w:pPr>
        <w:pStyle w:val="FirstParagraph"/>
      </w:pPr>
      <w:r>
        <w:rPr>
          <w:bCs/>
          <w:b/>
        </w:rPr>
        <w:t xml:space="preserve">Inschatting van de auteur:</w:t>
      </w:r>
      <w:r>
        <w:t xml:space="preserve"> </w:t>
      </w:r>
      <w:r>
        <w:t xml:space="preserve">de geschiedenis van de oxytocineneusspray is een les over de grenzen van kleine studies. Na twintig jaar onderzoek bestaat er geen enkele toepassing waarin een nut in grote, goed uitgevoerde studies is bevestigd. De meest kansrijke richtingen zijn tegenwoordig nauwer afgebakend: oxytocine als aanvulling op een psychotherapie in plaats van als geneesmiddel op zich, als vervanging bij aangetoond tekort, en gericht bij subgroepen die vooraf worden vastgelegd. Een registratie voor autisme of sociale angst lijkt in de komende jaren onwaarschijnlijk.</w:t>
      </w:r>
    </w:p>
    <w:bookmarkEnd w:id="834"/>
    <w:bookmarkStart w:id="835" w:name="conclusie-50"/>
    <w:p>
      <w:pPr>
        <w:pStyle w:val="Heading3"/>
      </w:pPr>
      <w:r>
        <w:t xml:space="preserve">Conclusie</w:t>
      </w:r>
    </w:p>
    <w:p>
      <w:pPr>
        <w:pStyle w:val="FirstParagraph"/>
      </w:pPr>
      <w:r>
        <w:t xml:space="preserve">Oxytocine is als infuus een onmisbaar geneesmiddel in de verloskunde, als neusspray daarentegen een onderzoeksinstrument zonder bewezen therapeutisch nut. De beroemde bevinding dat oxytocine vertrouwen vergroot, hield geen stand in herhalingsstudies; hooguit bij mensen met weinig basisvertrouwen tekent zich een klein effect af. De grootste autismestudie, SOARS-B met 290 kinderen en jongeren, vond na 24 weken geen verschil met placebo, en ook bij obesitas, alcoholafhankelijkheid, prader-willisyndroom en pijn bleven de resultaten negatief. In studies werd de spray goed verdragen. Wie vandaag een „liefdes-” of „vertrouwensspray” koopt, koopt een belofte die het onderzoek niet waarmaakt.</w:t>
      </w:r>
    </w:p>
    <w:bookmarkEnd w:id="835"/>
    <w:bookmarkEnd w:id="836"/>
    <w:bookmarkStart w:id="852" w:name="gonadoreline"/>
    <w:p>
      <w:pPr>
        <w:pStyle w:val="Heading2"/>
      </w:pPr>
      <w:r>
        <w:t xml:space="preserve">Gonadoreline</w:t>
      </w:r>
    </w:p>
    <w:bookmarkStart w:id="837" w:name="profiel-51"/>
    <w:p>
      <w:pPr>
        <w:pStyle w:val="Heading3"/>
      </w:pPr>
      <w:r>
        <w:t xml:space="preserve">Profiel</w:t>
      </w:r>
    </w:p>
    <w:p>
      <w:pPr>
        <w:numPr>
          <w:ilvl w:val="0"/>
          <w:numId w:val="1281"/>
        </w:numPr>
        <w:pStyle w:val="Compact"/>
      </w:pPr>
      <w:r>
        <w:rPr>
          <w:bCs/>
          <w:b/>
        </w:rPr>
        <w:t xml:space="preserve">Soort/structuur:</w:t>
      </w:r>
      <w:r>
        <w:t xml:space="preserve"> </w:t>
      </w:r>
      <w:r>
        <w:t xml:space="preserve">peptide van tien aminozuren, synthetisch vervaardigd en in volgorde identiek aan het menselijke hormoon GnRH (gonadotropine-releasing hormoon, ook LHRH of gonadoliberine genoemd).</w:t>
      </w:r>
    </w:p>
    <w:p>
      <w:pPr>
        <w:numPr>
          <w:ilvl w:val="0"/>
          <w:numId w:val="1281"/>
        </w:numPr>
        <w:pStyle w:val="Compact"/>
      </w:pPr>
      <w:r>
        <w:rPr>
          <w:bCs/>
          <w:b/>
        </w:rPr>
        <w:t xml:space="preserve">Herkomst:</w:t>
      </w:r>
      <w:r>
        <w:t xml:space="preserve"> </w:t>
      </w:r>
      <w:r>
        <w:t xml:space="preserve">GnRH werd begin jaren 1970 uit hersenen van varkens en schapen geïsoleerd en ontcijferd; de betrokken onderzoekers Andrew Schally en Roger Guillemin kregen daarvoor in 1977 de Nobelprijs. Gonadoreline is de internationale stofnaam van het synthetische hormoon.</w:t>
      </w:r>
    </w:p>
    <w:p>
      <w:pPr>
        <w:numPr>
          <w:ilvl w:val="0"/>
          <w:numId w:val="1281"/>
        </w:numPr>
        <w:pStyle w:val="Compact"/>
      </w:pPr>
      <w:r>
        <w:rPr>
          <w:bCs/>
          <w:b/>
        </w:rPr>
        <w:t xml:space="preserve">Werkingsprincipe:</w:t>
      </w:r>
      <w:r>
        <w:t xml:space="preserve"> </w:t>
      </w:r>
      <w:r>
        <w:t xml:space="preserve">agonist van de GnRH-receptor van de hypofyse. In pulsen gegeven stimuleert het de afgifte van LH en FSH; bij continue toediening remt het die af.</w:t>
      </w:r>
    </w:p>
    <w:p>
      <w:pPr>
        <w:numPr>
          <w:ilvl w:val="0"/>
          <w:numId w:val="1281"/>
        </w:numPr>
        <w:pStyle w:val="Compact"/>
      </w:pPr>
      <w:r>
        <w:rPr>
          <w:bCs/>
          <w:b/>
        </w:rPr>
        <w:t xml:space="preserve">Toedieningsvormen:</w:t>
      </w:r>
      <w:r>
        <w:t xml:space="preserve"> </w:t>
      </w:r>
      <w:r>
        <w:t xml:space="preserve">injectie in een ader voor functietests; draagbare pomp die elke 60 tot 120 minuten een kleine hoeveelheid onder de huid of in een ader afgeeft (pulsatiele therapie); in enkele landen een neusspray voor zuigelingen met niet-ingedaalde testikels.</w:t>
      </w:r>
    </w:p>
    <w:p>
      <w:pPr>
        <w:numPr>
          <w:ilvl w:val="0"/>
          <w:numId w:val="1281"/>
        </w:numPr>
        <w:pStyle w:val="Compact"/>
      </w:pPr>
      <w:r>
        <w:rPr>
          <w:bCs/>
          <w:b/>
        </w:rPr>
        <w:t xml:space="preserve">Registratie EU:</w:t>
      </w:r>
      <w:r>
        <w:t xml:space="preserve"> </w:t>
      </w:r>
      <w:r>
        <w:t xml:space="preserve">in afzonderlijke lidstaten nationaal geregistreerd, bijvoorbeeld als diagnosticum en voor pomptherapie; preparaten en beschikbaarheid verschillen van land tot land.</w:t>
      </w:r>
    </w:p>
    <w:p>
      <w:pPr>
        <w:numPr>
          <w:ilvl w:val="0"/>
          <w:numId w:val="1281"/>
        </w:numPr>
        <w:pStyle w:val="Compact"/>
      </w:pPr>
      <w:r>
        <w:rPr>
          <w:bCs/>
          <w:b/>
        </w:rPr>
        <w:t xml:space="preserve">Registratie VS:</w:t>
      </w:r>
      <w:r>
        <w:t xml:space="preserve"> </w:t>
      </w:r>
      <w:r>
        <w:t xml:space="preserve">vroegere preparaten (Factrel voor diagnostiek, Lutrepulse voor de pomp) zijn niet meer in de handel. Een momenteel verkocht, geregistreerd geneesmiddel voor mensen bestaat naar weten van de auteur niet (actuele situatie controleren).</w:t>
      </w:r>
    </w:p>
    <w:p>
      <w:pPr>
        <w:numPr>
          <w:ilvl w:val="0"/>
          <w:numId w:val="1281"/>
        </w:numPr>
        <w:pStyle w:val="Compact"/>
      </w:pPr>
      <w:r>
        <w:rPr>
          <w:bCs/>
          <w:b/>
        </w:rPr>
        <w:t xml:space="preserve">WADA:</w:t>
      </w:r>
      <w:r>
        <w:t xml:space="preserve"> </w:t>
      </w:r>
      <w:r>
        <w:t xml:space="preserve">voor mannen verboden (groep S2, gonadoreline wordt daar bij naam genoemd), binnen en buiten wedstrijden (stand 2026, actuele situatie controleren).</w:t>
      </w:r>
    </w:p>
    <w:p>
      <w:pPr>
        <w:numPr>
          <w:ilvl w:val="0"/>
          <w:numId w:val="1281"/>
        </w:numPr>
        <w:pStyle w:val="Compact"/>
      </w:pPr>
      <w:r>
        <w:rPr>
          <w:bCs/>
          <w:b/>
        </w:rPr>
        <w:t xml:space="preserve">Bewijsniveau:</w:t>
      </w:r>
      <w:r>
        <w:t xml:space="preserve"> </w:t>
      </w:r>
      <w:r>
        <w:rPr>
          <w:bCs/>
          <w:b/>
        </w:rPr>
        <w:t xml:space="preserve">B</w:t>
      </w:r>
      <w:r>
        <w:t xml:space="preserve"> </w:t>
      </w:r>
      <w:r>
        <w:t xml:space="preserve">– geregistreerd geneesmiddel met tientallen jaren gebruik; de gegevens over werkzaamheid komen echter overwegend uit grote casusreeksen, cohorten en enkele kleine gerandomiseerde studies.</w:t>
      </w:r>
    </w:p>
    <w:bookmarkEnd w:id="837"/>
    <w:bookmarkStart w:id="838" w:name="hoe-het-zou-moeten-werken-51"/>
    <w:p>
      <w:pPr>
        <w:pStyle w:val="Heading3"/>
      </w:pPr>
      <w:r>
        <w:t xml:space="preserve">Hoe het zou moeten werken</w:t>
      </w:r>
    </w:p>
    <w:p>
      <w:pPr>
        <w:pStyle w:val="FirstParagraph"/>
      </w:pPr>
      <w:r>
        <w:t xml:space="preserve">De hormonale as van de voortplanting begint in de hypothalamus. Daar geven gespecialiseerde zenuwcellen GnRH af – niet gelijkmatig, maar in pulsen ongeveer elke een tot twee uur. Elke puls zet de hypofyse aan tot afgifte van de hormonen LH en FSH. Die werken op eierstokken en zaadballen: ze sturen eicelrijping en eisprong, zaadcelvorming en de productie van oestrogeen en testosteron. De boodschapperstof kisspeptine (hoofdstuk 2E04) zit nog een niveau hoger en schakelt de GnRH-zenuwcellen in.</w:t>
      </w:r>
    </w:p>
    <w:p>
      <w:pPr>
        <w:pStyle w:val="BodyText"/>
      </w:pPr>
      <w:r>
        <w:t xml:space="preserve">Het pulsritme is beslissend. Dat blijkt uit een schijnbare tegenstrijdigheid:</w:t>
      </w:r>
    </w:p>
    <w:p>
      <w:pPr>
        <w:numPr>
          <w:ilvl w:val="0"/>
          <w:numId w:val="1282"/>
        </w:numPr>
        <w:pStyle w:val="Compact"/>
      </w:pPr>
      <w:r>
        <w:rPr>
          <w:bCs/>
          <w:b/>
        </w:rPr>
        <w:t xml:space="preserve">Pulsatiele toediening</w:t>
      </w:r>
      <w:r>
        <w:t xml:space="preserve"> </w:t>
      </w:r>
      <w:r>
        <w:t xml:space="preserve">– elke 60 tot 120 minuten een kleine hoeveelheid – bootst het natuurlijke ritme na en</w:t>
      </w:r>
      <w:r>
        <w:t xml:space="preserve"> </w:t>
      </w:r>
      <w:r>
        <w:rPr>
          <w:bCs/>
          <w:b/>
        </w:rPr>
        <w:t xml:space="preserve">activeert</w:t>
      </w:r>
      <w:r>
        <w:t xml:space="preserve"> </w:t>
      </w:r>
      <w:r>
        <w:t xml:space="preserve">de as. Daarop berust de pomptherapie bij mensen bij wie de hypothalamus te weinig GnRH aanmaakt.</w:t>
      </w:r>
    </w:p>
    <w:p>
      <w:pPr>
        <w:numPr>
          <w:ilvl w:val="0"/>
          <w:numId w:val="1282"/>
        </w:numPr>
        <w:pStyle w:val="Compact"/>
      </w:pPr>
      <w:r>
        <w:rPr>
          <w:bCs/>
          <w:b/>
        </w:rPr>
        <w:t xml:space="preserve">Aanhoudende stimulatie</w:t>
      </w:r>
      <w:r>
        <w:t xml:space="preserve"> </w:t>
      </w:r>
      <w:r>
        <w:t xml:space="preserve">leidt na een korte stijging ertoe dat de receptoren van de hypofyse uitschakelen. De hormonale as wordt</w:t>
      </w:r>
      <w:r>
        <w:t xml:space="preserve"> </w:t>
      </w:r>
      <w:r>
        <w:rPr>
          <w:bCs/>
          <w:b/>
        </w:rPr>
        <w:t xml:space="preserve">afgeremd</w:t>
      </w:r>
      <w:r>
        <w:t xml:space="preserve">, tot aan testosteronwaarden als na een castratie.</w:t>
      </w:r>
    </w:p>
    <w:p>
      <w:pPr>
        <w:pStyle w:val="FirstParagraph"/>
      </w:pPr>
      <w:r>
        <w:t xml:space="preserve">Op het tweede principe berusten de GnRH-analogen zoals leuproreline, triptoreline of gosereline. Ze zijn chemisch gewijzigd, werken veel langer dan gonadoreline en worden als depotinjectie gebruikt tegen prostaatkanker, endometriose, vleesbomen of vroegtijdige puberteit. Ze zijn geen onderwerp van dit hoofdstuk, maar vertekenen de beschikbare gegevens aanzienlijk (zie hieronder).</w:t>
      </w:r>
    </w:p>
    <w:p>
      <w:pPr>
        <w:pStyle w:val="BodyText"/>
      </w:pPr>
      <w:r>
        <w:t xml:space="preserve">Gonadoreline zelf is ongeschikt voor een langdurige blokkade: het wordt in het bloed binnen enkele minuten afgebroken.</w:t>
      </w:r>
    </w:p>
    <w:bookmarkEnd w:id="838"/>
    <w:bookmarkStart w:id="843" w:name="studies-bij-mensen-51"/>
    <w:p>
      <w:pPr>
        <w:pStyle w:val="Heading3"/>
      </w:pPr>
      <w:r>
        <w:t xml:space="preserve">Studies bij mensen</w:t>
      </w:r>
    </w:p>
    <w:p>
      <w:pPr>
        <w:pStyle w:val="FirstParagraph"/>
      </w:pPr>
      <w:r>
        <w:rPr>
          <w:bCs/>
          <w:b/>
        </w:rPr>
        <w:t xml:space="preserve">Omvang van het onderzoek (zoekopdracht oktober 2026) – en waarom de cijfers misleiden:</w:t>
      </w:r>
      <w:r>
        <w:t xml:space="preserve"> </w:t>
      </w:r>
      <w:r>
        <w:t xml:space="preserve">De geautomatiseerde zoekopdracht van dit boek vond</w:t>
      </w:r>
      <w:r>
        <w:t xml:space="preserve"> </w:t>
      </w:r>
      <w:r>
        <w:rPr>
          <w:bCs/>
          <w:b/>
        </w:rPr>
        <w:t xml:space="preserve">9</w:t>
      </w:r>
      <w:r>
        <w:t xml:space="preserve"> </w:t>
      </w:r>
      <w:r>
        <w:t xml:space="preserve">studies bij mensen in PubMed (</w:t>
      </w:r>
      <w:r>
        <w:rPr>
          <w:rStyle w:val="VerbatimChar"/>
        </w:rPr>
        <w:t xml:space="preserve">humanstudien_alle</w:t>
      </w:r>
      <w:r>
        <w:t xml:space="preserve">) en bij ClinicalTrials.gov het maximumaantal van</w:t>
      </w:r>
      <w:r>
        <w:t xml:space="preserve"> </w:t>
      </w:r>
      <w:r>
        <w:rPr>
          <w:bCs/>
          <w:b/>
        </w:rPr>
        <w:t xml:space="preserve">1.000</w:t>
      </w:r>
      <w:r>
        <w:t xml:space="preserve"> </w:t>
      </w:r>
      <w:r>
        <w:t xml:space="preserve">registraties, waarbij de zoekopdracht afbreekt. Beide cijfers zijn onbruikbaar voor de beoordeling van gonadoreline, en wel in tegengestelde richting:</w:t>
      </w:r>
    </w:p>
    <w:p>
      <w:pPr>
        <w:numPr>
          <w:ilvl w:val="0"/>
          <w:numId w:val="1283"/>
        </w:numPr>
        <w:pStyle w:val="Compact"/>
      </w:pPr>
      <w:r>
        <w:rPr>
          <w:bCs/>
          <w:b/>
        </w:rPr>
        <w:t xml:space="preserve">Het registeraantal is sterk overschat.</w:t>
      </w:r>
      <w:r>
        <w:t xml:space="preserve"> </w:t>
      </w:r>
      <w:r>
        <w:t xml:space="preserve">ClinicalTrials.gov koppelt de zoekterm „gonadorelin” aan de overkoepelende term „Gonadotropin-Releasing Hormone”. Daardoor verschijnen alle studies met GnRH-analogen en -antagonisten. In de titels van de 1.000 treffers komt het woord „prostate” 340 keer voor, „androgen deprivation” 57 keer, leuproreline, gosereline en triptoreline samen ver over de honderd keer. Een doorlichting van de titels leverde slechts ongeveer tien registraties op die daadwerkelijk natief GnRH of gonadoreline onderzoeken – bijvoorbeeld als pomp, pleister of functietest.</w:t>
      </w:r>
    </w:p>
    <w:p>
      <w:pPr>
        <w:numPr>
          <w:ilvl w:val="0"/>
          <w:numId w:val="1283"/>
        </w:numPr>
        <w:pStyle w:val="Compact"/>
      </w:pPr>
      <w:r>
        <w:rPr>
          <w:bCs/>
          <w:b/>
        </w:rPr>
        <w:t xml:space="preserve">Het PubMed-aantal is onderschat.</w:t>
      </w:r>
      <w:r>
        <w:t xml:space="preserve"> </w:t>
      </w:r>
      <w:r>
        <w:t xml:space="preserve">De meeste studies naar het lichaamsidentieke hormoon gebruiken de termen „GnRH” of „LHRH” en niet de stofnaam. Omgekeerd gaan meerdere van de negen treffers helemaal niet over gonadoreline als behandeling: één artikel onderzocht een GnRH-analoog bij prostaatkanker (Steg 1985, PMID 2934695), andere gebruikten gonadoreline alleen als testsubstantie, bijvoorbeeld om het effect van een cholesterolverlager of van uv-licht op de hormonale as te onderzoeken (Segarra 1996, PMID 8773342; Falkenbach 1997, PMID 9189734).</w:t>
      </w:r>
    </w:p>
    <w:p>
      <w:pPr>
        <w:pStyle w:val="FirstParagraph"/>
      </w:pPr>
      <w:r>
        <w:t xml:space="preserve">Dit hoofdstuk steunt daarom op een aanvullende, gerichte zoekopdracht naar studies over pulsatiele GnRH-therapie en de GnRH-test.</w:t>
      </w:r>
    </w:p>
    <w:bookmarkStart w:id="839" w:name="diagnostiek-de-gnrh-test"/>
    <w:p>
      <w:pPr>
        <w:pStyle w:val="Heading4"/>
      </w:pPr>
      <w:r>
        <w:t xml:space="preserve">Diagnostiek: de GnRH-test</w:t>
      </w:r>
    </w:p>
    <w:p>
      <w:pPr>
        <w:pStyle w:val="FirstParagraph"/>
      </w:pPr>
      <w:r>
        <w:t xml:space="preserve">Bij de GnRH-test (ook LHRH-test) wordt gonadoreline in een ader gespoten; daarna meet men gedurende een tot twee uur hoe sterk LH en FSH stijgen. De test helpt vooral bij kinderen met een te vroege puberteit: een duidelijke LH-stijging wijst erop dat de hormonale as in de hersenen al actief is (centrale pubertas praecox).</w:t>
      </w:r>
    </w:p>
    <w:p>
      <w:pPr>
        <w:pStyle w:val="BodyText"/>
      </w:pPr>
      <w:r>
        <w:t xml:space="preserve">In een analyse van 584 tests (waarvan 314 voor de diagnose) volstond één enkel bloedmonster 40 minuten na de injectie voor de diagnose: bij een LH-drempel van 5 IU/L lagen de sensitiviteit op 98% en de specificiteit op 100% (Kandemir 2011, PMID 21448328). Een overzicht wijst op beperkingen, bijvoorbeeld bij zeer vroege puberteitsstadia en bij kinderen met overgewicht, en op uiteenlopende grenswaarden tussen studies (Ab Rahim 2020, PMID 32871650).</w:t>
      </w:r>
    </w:p>
    <w:p>
      <w:pPr>
        <w:pStyle w:val="BodyText"/>
      </w:pPr>
      <w:r>
        <w:t xml:space="preserve">Omdat natief GnRH duur en op veel plaatsen niet beschikbaar is, wordt steeds vaker een kortwerkende analoog als vervanging gebruikt. In een studie met 341 meisjes was een test met triptoreline vergelijkbaar nauwkeurig als de gonadorelinetest (Chioma 2025, PMID 41384863).</w:t>
      </w:r>
    </w:p>
    <w:bookmarkEnd w:id="839"/>
    <w:bookmarkStart w:id="840" w:name="kinderwens-de-gnrh-pomp-bij-vrouwen"/>
    <w:p>
      <w:pPr>
        <w:pStyle w:val="Heading4"/>
      </w:pPr>
      <w:r>
        <w:t xml:space="preserve">Kinderwens: de GnRH-pomp bij vrouwen</w:t>
      </w:r>
    </w:p>
    <w:p>
      <w:pPr>
        <w:pStyle w:val="FirstParagraph"/>
      </w:pPr>
      <w:r>
        <w:t xml:space="preserve">Bij hypothalame amenorroe blijft de menstruatie uit omdat de hersenen te weinig GnRH aanmaken – vaak na sterk gewichtsverlies, intensief sporten of stress, zelden door aangeboren oorzaken. Een kleine, draagbare pomp kan het ontbrekende ritme vervangen.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Deelnemers en opzet</w:t>
            </w:r>
          </w:p>
        </w:tc>
        <w:tc>
          <w:tcPr/>
          <w:p>
            <w:pPr>
              <w:pStyle w:val="Compact"/>
              <w:jc w:val="left"/>
            </w:pPr>
            <w:r>
              <w:t xml:space="preserve">Duur</w:t>
            </w:r>
          </w:p>
        </w:tc>
        <w:tc>
          <w:tcPr/>
          <w:p>
            <w:pPr>
              <w:pStyle w:val="Compact"/>
              <w:jc w:val="left"/>
            </w:pPr>
            <w:r>
              <w:t xml:space="preserve">Resultaat</w:t>
            </w:r>
          </w:p>
        </w:tc>
      </w:tr>
      <w:tr>
        <w:tc>
          <w:tcPr/>
          <w:p>
            <w:pPr>
              <w:pStyle w:val="Compact"/>
              <w:jc w:val="left"/>
            </w:pPr>
            <w:r>
              <w:t xml:space="preserve">Santoro 1990, PMID 2122733</w:t>
            </w:r>
          </w:p>
        </w:tc>
        <w:tc>
          <w:tcPr/>
          <w:p>
            <w:pPr>
              <w:pStyle w:val="Compact"/>
              <w:jc w:val="left"/>
            </w:pPr>
            <w:r>
              <w:t xml:space="preserve">109 vrouwen met hypothalame amenorroe, multicenterstudie met pomp in een ader</w:t>
            </w:r>
          </w:p>
        </w:tc>
        <w:tc>
          <w:tcPr/>
          <w:p>
            <w:pPr>
              <w:pStyle w:val="Compact"/>
              <w:jc w:val="left"/>
            </w:pPr>
            <w:r>
              <w:t xml:space="preserve">meerdere cycli</w:t>
            </w:r>
          </w:p>
        </w:tc>
        <w:tc>
          <w:tcPr/>
          <w:p>
            <w:pPr>
              <w:pStyle w:val="Compact"/>
              <w:jc w:val="left"/>
            </w:pPr>
            <w:r>
              <w:t xml:space="preserve">Eisprong bij 91% resp. 96%; meerlingen 12%</w:t>
            </w:r>
          </w:p>
        </w:tc>
      </w:tr>
      <w:tr>
        <w:tc>
          <w:tcPr/>
          <w:p>
            <w:pPr>
              <w:pStyle w:val="Compact"/>
              <w:jc w:val="left"/>
            </w:pPr>
            <w:r>
              <w:t xml:space="preserve">Filicori 1994, PMID 7962297</w:t>
            </w:r>
          </w:p>
        </w:tc>
        <w:tc>
          <w:tcPr/>
          <w:p>
            <w:pPr>
              <w:pStyle w:val="Compact"/>
              <w:jc w:val="left"/>
            </w:pPr>
            <w:r>
              <w:t xml:space="preserve">292 vrouwen, 600 cycli, verschillende oorzaken</w:t>
            </w:r>
          </w:p>
        </w:tc>
        <w:tc>
          <w:tcPr/>
          <w:p>
            <w:pPr>
              <w:pStyle w:val="Compact"/>
              <w:jc w:val="left"/>
            </w:pPr>
            <w:r>
              <w:t xml:space="preserve">1984–1993</w:t>
            </w:r>
          </w:p>
        </w:tc>
        <w:tc>
          <w:tcPr/>
          <w:p>
            <w:pPr>
              <w:pStyle w:val="Compact"/>
              <w:jc w:val="left"/>
            </w:pPr>
            <w:r>
              <w:t xml:space="preserve">Eisprong in 75% van de cycli; zwangerschap 18% per cyclus; meerlingen 3,8%; miskramen 30%</w:t>
            </w:r>
          </w:p>
        </w:tc>
      </w:tr>
      <w:tr>
        <w:tc>
          <w:tcPr/>
          <w:p>
            <w:pPr>
              <w:pStyle w:val="Compact"/>
              <w:jc w:val="left"/>
            </w:pPr>
            <w:r>
              <w:t xml:space="preserve">Christin-Maitre 2007, PMID 17293247</w:t>
            </w:r>
          </w:p>
        </w:tc>
        <w:tc>
          <w:tcPr/>
          <w:p>
            <w:pPr>
              <w:pStyle w:val="Compact"/>
              <w:jc w:val="left"/>
            </w:pPr>
            <w:r>
              <w:t xml:space="preserve">248 vrouwen, 829 cycli, 24 Franse centra, retrospectief</w:t>
            </w:r>
          </w:p>
        </w:tc>
        <w:tc>
          <w:tcPr/>
          <w:p>
            <w:pPr>
              <w:pStyle w:val="Compact"/>
              <w:jc w:val="left"/>
            </w:pPr>
            <w:r>
              <w:t xml:space="preserve">3 jaar</w:t>
            </w:r>
          </w:p>
        </w:tc>
        <w:tc>
          <w:tcPr/>
          <w:p>
            <w:pPr>
              <w:pStyle w:val="Compact"/>
              <w:jc w:val="left"/>
            </w:pPr>
            <w:r>
              <w:t xml:space="preserve">Zwangerschap 25% per cyclus; meerlingen 8,8%; geen ernstige overstimulatie</w:t>
            </w:r>
          </w:p>
        </w:tc>
      </w:tr>
      <w:tr>
        <w:tc>
          <w:tcPr/>
          <w:p>
            <w:pPr>
              <w:pStyle w:val="Compact"/>
              <w:jc w:val="left"/>
            </w:pPr>
            <w:r>
              <w:t xml:space="preserve">Dubourdieu 2013, PMID 23298894</w:t>
            </w:r>
          </w:p>
        </w:tc>
        <w:tc>
          <w:tcPr/>
          <w:p>
            <w:pPr>
              <w:pStyle w:val="Compact"/>
              <w:jc w:val="left"/>
            </w:pPr>
            <w:r>
              <w:t xml:space="preserve">30 vrouwen met amenorroe en PCOS, RCT: pomp vs. gonadotropinen</w:t>
            </w:r>
          </w:p>
        </w:tc>
        <w:tc>
          <w:tcPr/>
          <w:p>
            <w:pPr>
              <w:pStyle w:val="Compact"/>
              <w:jc w:val="left"/>
            </w:pPr>
            <w:r>
              <w:t xml:space="preserve">één cyclus</w:t>
            </w:r>
          </w:p>
        </w:tc>
        <w:tc>
          <w:tcPr/>
          <w:p>
            <w:pPr>
              <w:pStyle w:val="Compact"/>
              <w:jc w:val="left"/>
            </w:pPr>
            <w:r>
              <w:t xml:space="preserve">klinische zwangerschap 46% vs. 0%</w:t>
            </w:r>
          </w:p>
        </w:tc>
      </w:tr>
      <w:tr>
        <w:tc>
          <w:tcPr/>
          <w:p>
            <w:pPr>
              <w:pStyle w:val="Compact"/>
              <w:jc w:val="left"/>
            </w:pPr>
            <w:r>
              <w:t xml:space="preserve">Quaas 2022, PMID 36378460</w:t>
            </w:r>
          </w:p>
        </w:tc>
        <w:tc>
          <w:tcPr/>
          <w:p>
            <w:pPr>
              <w:pStyle w:val="Compact"/>
              <w:jc w:val="left"/>
            </w:pPr>
            <w:r>
              <w:t xml:space="preserve">66 vrouwen, 212 cycli, Zwitsers centrum, retrospectief</w:t>
            </w:r>
          </w:p>
        </w:tc>
        <w:tc>
          <w:tcPr/>
          <w:p>
            <w:pPr>
              <w:pStyle w:val="Compact"/>
              <w:jc w:val="left"/>
            </w:pPr>
            <w:r>
              <w:t xml:space="preserve">1996–2020</w:t>
            </w:r>
          </w:p>
        </w:tc>
        <w:tc>
          <w:tcPr/>
          <w:p>
            <w:pPr>
              <w:pStyle w:val="Compact"/>
              <w:jc w:val="left"/>
            </w:pPr>
            <w:r>
              <w:t xml:space="preserve">Levendgeboorte per behandeling 65,9%; één follikel in 75% van de cycli; één tweelingzwangerschap</w:t>
            </w:r>
          </w:p>
        </w:tc>
      </w:tr>
    </w:tbl>
    <w:p>
      <w:pPr>
        <w:pStyle w:val="BodyText"/>
      </w:pPr>
      <w:r>
        <w:t xml:space="preserve">De cijfers geven een samenhangend beeld: bij vrouwen bij wie het probleem werkelijk in de hypothalamus ligt, leidt de pomp in verreweg de meeste cycli tot een eisprong, vaak met slechts één rijpende eicel. Omdat de hypofyse haar eigen terugkoppeling behoudt, komen overstimulatie en meerlingzwangerschappen minder vaak voor dan bij rechtstreeks ingespoten gonadotropinen (Quaas 2022, PMID 36378460). Bij vrouwen met polycysteus ovariumsyndroom of overgewicht werkt de pomp slechter, en miskramen kwamen in de grootste afzonderlijke reeks vaak voor (Filicori 1994, PMID 7962297).</w:t>
      </w:r>
    </w:p>
    <w:p>
      <w:pPr>
        <w:pStyle w:val="BodyText"/>
      </w:pPr>
      <w:r>
        <w:t xml:space="preserve">De nadelen zijn van praktische aard: de pomp moet weken worden gedragen. Bij toediening in een ader traden complicaties bij de toegang op, gemiddeld bij 7% (Santoro 1990, PMID 2122733). Tegenwoordig wordt meestal onder de huid gepompt; lokale allergische reacties traden in de Franse studie op in 1,7% van de cycli (Christin-Maitre 2007, PMID 17293247).</w:t>
      </w:r>
    </w:p>
    <w:p>
      <w:pPr>
        <w:pStyle w:val="BodyText"/>
      </w:pPr>
      <w:r>
        <w:t xml:space="preserve">De gegevens zijn oud en overwegend niet gerandomiseerd. Grote vergelijkende studies met moderne gonadotropineprotocollen ontbreken. Deskundigen beschouwen de pomp toch als een bijzonder fysiologische en veilige methode bij hypothalame amenorroe met kinderwens (Quaas 2022, PMID 36378460) – mits die beschikbaar is.</w:t>
      </w:r>
    </w:p>
    <w:bookmarkEnd w:id="840"/>
    <w:bookmarkStart w:id="841" w:name="mannen-met-hormoontekort"/>
    <w:p>
      <w:pPr>
        <w:pStyle w:val="Heading4"/>
      </w:pPr>
      <w:r>
        <w:t xml:space="preserve">Mannen met hormoontekort</w:t>
      </w:r>
    </w:p>
    <w:p>
      <w:pPr>
        <w:pStyle w:val="FirstParagraph"/>
      </w:pPr>
      <w:r>
        <w:t xml:space="preserve">Ook mannen met een aangeboren GnRH-tekort – bijvoorbeeld bij het syndroom van Kallmann, waarbij bovendien de reukzin ontbreekt – kunnen met de pomp worden behandeld om de groei van de zaadballen en de zaadcelvorming te stimuleren.</w:t>
      </w:r>
    </w:p>
    <w:p>
      <w:pPr>
        <w:pStyle w:val="BodyText"/>
      </w:pPr>
      <w:r>
        <w:t xml:space="preserve">In een analyse van 26 mannen in een Duits universitair centrum verschenen in 30 van 33 behandelcycli zaadcellen in het ejaculaat; in 15 van 18 gevallen met kinderwens werd de partner zwanger. Pomp en ingespoten gonadotropinen waren even werkzaam (Kliesch 1994, PMID 7921222). Bij Chinese jongens in de puberteitsleeftijd groeiden de zaadballen onder de pomp sterker dan onder hCG-injecties (Gong 2015, PMID 25978110). Een kleine gerandomiseerde studie vond aanwijzingen dat een voorbehandeling met FSH vóór de pomp de zaadcelvorming zou kunnen verbeteren: alle zeven voorbehandelde mannen hadden later zaadcellen, tegenover vier van de zes zonder voorbehandeling (Dwyer 2013, PMID 24037890).</w:t>
      </w:r>
    </w:p>
    <w:bookmarkEnd w:id="841"/>
    <w:bookmarkStart w:id="842" w:name="Xcdf51f117701a8033597cdc2cb60b703da26986"/>
    <w:p>
      <w:pPr>
        <w:pStyle w:val="Heading4"/>
      </w:pPr>
      <w:r>
        <w:t xml:space="preserve">Zuigelingen met niet-ingedaalde testikels</w:t>
      </w:r>
    </w:p>
    <w:p>
      <w:pPr>
        <w:pStyle w:val="FirstParagraph"/>
      </w:pPr>
      <w:r>
        <w:t xml:space="preserve">In enkele Europese landen wordt een gonadorelineneusspray vóór of na de operatie van een niet-ingedaalde testikel gegeven om de rijping van de kiemcellen te bevorderen. Een gerandomiseerde studie met 62 zuigelingen meldde gunstiger echografische bevindingen na gecombineerde behandeling (Spinelli 2014, PMID 25106891). Een andere gerandomiseerde studie met 36 jongens vond daarentegen geen verschil in penisgrootte, testisvolume of hormoonwaarden op het moment van de operatie; de behandeling bleek wel veilig (Fiala 2022, PMID 35691791). Het nut is omstreden; de vroege operatie staat voorop.</w:t>
      </w:r>
    </w:p>
    <w:bookmarkEnd w:id="842"/>
    <w:bookmarkEnd w:id="843"/>
    <w:bookmarkStart w:id="844" w:name="dier--en-laboratoriumstudies-51"/>
    <w:p>
      <w:pPr>
        <w:pStyle w:val="Heading3"/>
      </w:pPr>
      <w:r>
        <w:t xml:space="preserve">Dier- en laboratoriumstudies</w:t>
      </w:r>
    </w:p>
    <w:p>
      <w:pPr>
        <w:pStyle w:val="FirstParagraph"/>
      </w:pPr>
      <w:r>
        <w:t xml:space="preserve">Gonadoreline is een van de best begrepen hormonen die er zijn; de basiskennis komt uit dierproeven uit de jaren 1970. Tegenwoordig speelt dieronderzoek voor de beoordeling bij mensen nauwelijks nog een rol. In de diergeneeskunde wordt gonadoreline breed gebruikt, vooral bij runderen om de eisprong te sturen. Deze preparaten zijn geregistreerd voor dieren en niet voor mensen.</w:t>
      </w:r>
    </w:p>
    <w:bookmarkEnd w:id="844"/>
    <w:bookmarkStart w:id="847" w:name="risicos-en-bijwerkingen-51"/>
    <w:p>
      <w:pPr>
        <w:pStyle w:val="Heading3"/>
      </w:pPr>
      <w:r>
        <w:t xml:space="preserve">Risico’s en bijwerkingen</w:t>
      </w:r>
    </w:p>
    <w:bookmarkStart w:id="845" w:name="aangetoond-10"/>
    <w:p>
      <w:pPr>
        <w:pStyle w:val="Heading4"/>
      </w:pPr>
      <w:r>
        <w:t xml:space="preserve">Aangetoond</w:t>
      </w:r>
    </w:p>
    <w:p>
      <w:pPr>
        <w:pStyle w:val="FirstParagraph"/>
      </w:pPr>
      <w:r>
        <w:t xml:space="preserve">Gonadoreline geldt als goed verdraagbaar. In de studies over pomptherapie stonden problemen met de toegang (ontsteking, aderirritatie bij toediening in een ader) en lokale huidreacties voorop (Santoro 1990, PMID 2122733; Christin-Maitre 2007, PMID 17293247). Meerlingzwangerschappen komen voor, zij het minder vaak dan bij gonadotropinen; ernstige overstimulatie is de uitzondering. Bij de test kunnen tijdelijk hoofdpijn, misselijkheid of opvliegers optreden. Allergische reacties zijn zelden beschreven. Details staan in de productinformatie; het gebruik hoort in handen van een arts.</w:t>
      </w:r>
    </w:p>
    <w:bookmarkEnd w:id="845"/>
    <w:bookmarkStart w:id="846" w:name="bij-verkeerd-gebruik"/>
    <w:p>
      <w:pPr>
        <w:pStyle w:val="Heading4"/>
      </w:pPr>
      <w:r>
        <w:t xml:space="preserve">Bij verkeerd gebruik</w:t>
      </w:r>
    </w:p>
    <w:p>
      <w:pPr>
        <w:pStyle w:val="FirstParagraph"/>
      </w:pPr>
      <w:r>
        <w:t xml:space="preserve">Wordt gonadoreline niet in het juiste ritme, maar te vaak of continu gegeven, dan kan het de eigen hormonale as onderdrukken in plaats van stimuleren. Dat is geen theoretisch risico, maar het werkingsprincipe van de GnRH-analogen.</w:t>
      </w:r>
    </w:p>
    <w:bookmarkEnd w:id="846"/>
    <w:bookmarkEnd w:id="847"/>
    <w:bookmarkStart w:id="848" w:name="Xfe80addce93d89cfc2043e96ea78bfc8e94ad90"/>
    <w:p>
      <w:pPr>
        <w:pStyle w:val="Heading3"/>
      </w:pPr>
      <w:r>
        <w:t xml:space="preserve">Plaatsing: gonadoreline in het bodybuilding</w:t>
      </w:r>
    </w:p>
    <w:p>
      <w:pPr>
        <w:pStyle w:val="FirstParagraph"/>
      </w:pPr>
      <w:r>
        <w:t xml:space="preserve">Op internetfora en bij sommige aanbieders van „hormoonoptimalisatie” wordt gonadoreline aangeprezen als onderdeel van een zogenoemde post-cycle therapy (PCT). Bedoeld is de fase na een kuur met anabole steroïden: de kunstmatig toegediende hormonen hebben de eigen testosteronaanmaak onderdrukt, en gonadoreline zou de hormonale as „weer op gang brengen”. In de VS wordt het volgens berichten ook aangeboden als vervanging voor hCG.</w:t>
      </w:r>
    </w:p>
    <w:p>
      <w:pPr>
        <w:pStyle w:val="BodyText"/>
      </w:pPr>
      <w:r>
        <w:t xml:space="preserve">Wat daarover bekend is:</w:t>
      </w:r>
    </w:p>
    <w:p>
      <w:pPr>
        <w:numPr>
          <w:ilvl w:val="0"/>
          <w:numId w:val="1284"/>
        </w:numPr>
        <w:pStyle w:val="Compact"/>
      </w:pPr>
      <w:r>
        <w:rPr>
          <w:bCs/>
          <w:b/>
        </w:rPr>
        <w:t xml:space="preserve">Er zijn geen studies</w:t>
      </w:r>
      <w:r>
        <w:t xml:space="preserve"> </w:t>
      </w:r>
      <w:r>
        <w:t xml:space="preserve">naar gonadoreline in deze situatie. De gegevens over PCT in het algemeen zijn mager; onderzocht werden bijna alleen anti-oestrogenen, hCG en aromataseremmers, en ook daarover zijn er overwegend observationele gegevens. Vanuit wetenschappelijk oogpunt wordt een PCT overwegend niet aanbevolen (Smit 2026, PMID 42644333).</w:t>
      </w:r>
    </w:p>
    <w:p>
      <w:pPr>
        <w:numPr>
          <w:ilvl w:val="0"/>
          <w:numId w:val="1284"/>
        </w:numPr>
        <w:pStyle w:val="Compact"/>
      </w:pPr>
      <w:r>
        <w:rPr>
          <w:bCs/>
          <w:b/>
        </w:rPr>
        <w:t xml:space="preserve">Het herstel gebeurt meestal vanzelf.</w:t>
      </w:r>
      <w:r>
        <w:t xml:space="preserve"> </w:t>
      </w:r>
      <w:r>
        <w:t xml:space="preserve">In de Nederlandse HAARLEM-studie met 100 krachtsporters was het testosteron drie maanden na het einde van de steroïdenkuur bij de meesten genormaliseerd; na een jaar lag het bij 11% nog onder het normaalbereik, en bij 34% was het aantal zaadcellen nog verlaagd (Smit 2021, PMID 33550376).</w:t>
      </w:r>
    </w:p>
    <w:p>
      <w:pPr>
        <w:numPr>
          <w:ilvl w:val="0"/>
          <w:numId w:val="1284"/>
        </w:numPr>
        <w:pStyle w:val="Compact"/>
      </w:pPr>
      <w:r>
        <w:rPr>
          <w:bCs/>
          <w:b/>
        </w:rPr>
        <w:t xml:space="preserve">Het werkingsprincipe pleit tegen naïef gebruik.</w:t>
      </w:r>
      <w:r>
        <w:t xml:space="preserve"> </w:t>
      </w:r>
      <w:r>
        <w:t xml:space="preserve">Losse injecties veroorzaken slechts korte LH-pieken; frequente toediening kan de hypofyse eerder afstompen. Zonder pomp en laboratoriumcontrole is geen nut te verwachten, en een vertraging van het herstel valt niet uit te sluiten.</w:t>
      </w:r>
    </w:p>
    <w:p>
      <w:pPr>
        <w:numPr>
          <w:ilvl w:val="0"/>
          <w:numId w:val="1284"/>
        </w:numPr>
        <w:pStyle w:val="Compact"/>
      </w:pPr>
      <w:r>
        <w:rPr>
          <w:bCs/>
          <w:b/>
        </w:rPr>
        <w:t xml:space="preserve">Wie na steroïdengebruik klachten heeft</w:t>
      </w:r>
      <w:r>
        <w:t xml:space="preserve">, zoals gebrek aan energie, libidoverlies of een onvervulde kinderwens, kan dat het best medisch laten onderzoeken, idealiter op een andrologisch of endocrinologisch spreekuur.</w:t>
      </w:r>
    </w:p>
    <w:p>
      <w:pPr>
        <w:pStyle w:val="FirstParagraph"/>
      </w:pPr>
      <w:r>
        <w:t xml:space="preserve">In de sport is gonadoreline voor mannen verboden. Antidopinglaboratoria hebben eigen detectiemethoden ontwikkeld; een overzicht beschrijft gonadoreline als voorbeeld van een peptide dat de afgelopen jaren in de wedstrijdsport werd misbruikt (Torrini 2023, PMID 36858006).</w:t>
      </w:r>
    </w:p>
    <w:bookmarkEnd w:id="848"/>
    <w:bookmarkStart w:id="849" w:name="juridische-status-51"/>
    <w:p>
      <w:pPr>
        <w:pStyle w:val="Heading3"/>
      </w:pPr>
      <w:r>
        <w:t xml:space="preserve">Juridische status</w:t>
      </w:r>
    </w:p>
    <w:p>
      <w:pPr>
        <w:pStyle w:val="FirstParagraph"/>
      </w:pPr>
      <w:r>
        <w:rPr>
          <w:iCs/>
          <w:i/>
        </w:rPr>
        <w:t xml:space="preserve">Stand 2026, actuele situatie controleren.</w:t>
      </w:r>
    </w:p>
    <w:p>
      <w:pPr>
        <w:numPr>
          <w:ilvl w:val="0"/>
          <w:numId w:val="1285"/>
        </w:numPr>
        <w:pStyle w:val="Compact"/>
      </w:pPr>
      <w:r>
        <w:rPr>
          <w:bCs/>
          <w:b/>
        </w:rPr>
        <w:t xml:space="preserve">EU:</w:t>
      </w:r>
      <w:r>
        <w:t xml:space="preserve"> </w:t>
      </w:r>
      <w:r>
        <w:t xml:space="preserve">geen centrale EU-registratie; nationale registraties in meerdere lidstaten, onder meer als diagnosticum, voor de pulsatiele pomptherapie en als neusspray bij niet-ingedaalde testikels. De preparaten zijn receptplichtig.</w:t>
      </w:r>
    </w:p>
    <w:p>
      <w:pPr>
        <w:numPr>
          <w:ilvl w:val="0"/>
          <w:numId w:val="1285"/>
        </w:numPr>
        <w:pStyle w:val="Compact"/>
      </w:pPr>
      <w:r>
        <w:rPr>
          <w:bCs/>
          <w:b/>
        </w:rPr>
        <w:t xml:space="preserve">Duitsland:</w:t>
      </w:r>
      <w:r>
        <w:t xml:space="preserve"> </w:t>
      </w:r>
      <w:r>
        <w:t xml:space="preserve">preparaten voor de GnRH-test en voor de pomptherapie waren respectievelijk zijn in de handel; de actuele beschikbaarheid wisselt. De behandeling vindt plaats in gespecialiseerde centra.</w:t>
      </w:r>
    </w:p>
    <w:p>
      <w:pPr>
        <w:numPr>
          <w:ilvl w:val="0"/>
          <w:numId w:val="1285"/>
        </w:numPr>
        <w:pStyle w:val="Compact"/>
      </w:pPr>
      <w:r>
        <w:rPr>
          <w:bCs/>
          <w:b/>
        </w:rPr>
        <w:t xml:space="preserve">Oostenrijk:</w:t>
      </w:r>
      <w:r>
        <w:t xml:space="preserve"> </w:t>
      </w:r>
      <w:r>
        <w:t xml:space="preserve">receptplichtig; beschikbaarheid van afzonderlijke preparaten actueel controleren in de Oostenrijkse lijst van farmaceutische specialiteiten.</w:t>
      </w:r>
    </w:p>
    <w:p>
      <w:pPr>
        <w:numPr>
          <w:ilvl w:val="0"/>
          <w:numId w:val="1285"/>
        </w:numPr>
        <w:pStyle w:val="Compact"/>
      </w:pPr>
      <w:r>
        <w:rPr>
          <w:bCs/>
          <w:b/>
        </w:rPr>
        <w:t xml:space="preserve">VS:</w:t>
      </w:r>
      <w:r>
        <w:t xml:space="preserve"> </w:t>
      </w:r>
      <w:r>
        <w:t xml:space="preserve">de vroeger geregistreerde preparaten voor mensen zijn van de markt. Gonadoreline wordt volgens berichten aangeboden door bereidingsapotheken (compounding pharmacies); de regelgevende beoordeling van zulke bereidingen is in beweging. Diergeneesmiddelen met gonadoreline zijn niet bestemd voor mensen.</w:t>
      </w:r>
    </w:p>
    <w:p>
      <w:pPr>
        <w:numPr>
          <w:ilvl w:val="0"/>
          <w:numId w:val="1285"/>
        </w:numPr>
        <w:pStyle w:val="Compact"/>
      </w:pPr>
      <w:r>
        <w:rPr>
          <w:bCs/>
          <w:b/>
        </w:rPr>
        <w:t xml:space="preserve">WADA:</w:t>
      </w:r>
      <w:r>
        <w:t xml:space="preserve"> </w:t>
      </w:r>
      <w:r>
        <w:t xml:space="preserve">S2 – voor mannen binnen en buiten wedstrijden verboden.</w:t>
      </w:r>
    </w:p>
    <w:bookmarkEnd w:id="849"/>
    <w:bookmarkStart w:id="850" w:name="lopende-studies-en-vooruitzichten-51"/>
    <w:p>
      <w:pPr>
        <w:pStyle w:val="Heading3"/>
      </w:pPr>
      <w:r>
        <w:t xml:space="preserve">Lopende studies en vooruitzichten</w:t>
      </w:r>
    </w:p>
    <w:p>
      <w:pPr>
        <w:pStyle w:val="FirstParagraph"/>
      </w:pPr>
      <w:r>
        <w:rPr>
          <w:bCs/>
          <w:b/>
        </w:rPr>
        <w:t xml:space="preserve">Zeker (geregistreerde studies):</w:t>
      </w:r>
      <w:r>
        <w:t xml:space="preserve"> </w:t>
      </w:r>
      <w:r>
        <w:t xml:space="preserve">onder de weinige registraties die daadwerkelijk natief GnRH betreffen, bevinden zich:</w:t>
      </w:r>
    </w:p>
    <w:p>
      <w:pPr>
        <w:numPr>
          <w:ilvl w:val="0"/>
          <w:numId w:val="1286"/>
        </w:numPr>
        <w:pStyle w:val="Compact"/>
      </w:pPr>
      <w:r>
        <w:t xml:space="preserve">afgeronde studies van de fabrikant Ferring naar een huidpleister die GnRH pulsatiel via een zwakke stroom door de huid afgeeft (NCT00296465 met 132 en NCT00796289 met 350 deelneemsters). Resultaten van deze studies zijn naar weten van de auteur niet in PubMed gepubliceerd; de pleister kwam niet op de markt;</w:t>
      </w:r>
    </w:p>
    <w:p>
      <w:pPr>
        <w:numPr>
          <w:ilvl w:val="0"/>
          <w:numId w:val="1286"/>
        </w:numPr>
        <w:pStyle w:val="Compact"/>
      </w:pPr>
      <w:r>
        <w:t xml:space="preserve">een in 2025 ingetrokken studie naar GnRH-toediening met een moderne insulinepomp zonder slang (NCT07152730);</w:t>
      </w:r>
    </w:p>
    <w:p>
      <w:pPr>
        <w:numPr>
          <w:ilvl w:val="0"/>
          <w:numId w:val="1286"/>
        </w:numPr>
        <w:pStyle w:val="Compact"/>
      </w:pPr>
      <w:r>
        <w:t xml:space="preserve">Chinese studies naar de pomp bij aangeboren hormoontekort (NCT02310074) en bij PCOS (NCT03989024), beide met onbekende status.</w:t>
      </w:r>
    </w:p>
    <w:p>
      <w:pPr>
        <w:pStyle w:val="FirstParagraph"/>
      </w:pPr>
      <w:r>
        <w:rPr>
          <w:bCs/>
          <w:b/>
        </w:rPr>
        <w:t xml:space="preserve">Inschatting van de auteur:</w:t>
      </w:r>
      <w:r>
        <w:t xml:space="preserve"> </w:t>
      </w:r>
      <w:r>
        <w:t xml:space="preserve">gonadoreline is een oude, goed begrepen werkzame stof, waarvan het belang in de diagnostiek afneemt omdat kortwerkende analogen goedkoper en beter beschikbaar zijn. Voor de pomptherapie bij hypothalame amenorroe en aangeboren hormoontekort blijft het een fysiologische optie, waarvan de toekomst minder afhangt van nieuw onderzoek dan van de vraag of fabrikanten de kleine markten blijven beleveren. Moderne pompen zonder slang zouden de behandeling comfortabeler kunnen maken. Voor een nut in de bodybuildingcontext bestaat geen bewijs.</w:t>
      </w:r>
    </w:p>
    <w:bookmarkEnd w:id="850"/>
    <w:bookmarkStart w:id="851" w:name="conclusie-51"/>
    <w:p>
      <w:pPr>
        <w:pStyle w:val="Heading3"/>
      </w:pPr>
      <w:r>
        <w:t xml:space="preserve">Conclusie</w:t>
      </w:r>
    </w:p>
    <w:p>
      <w:pPr>
        <w:pStyle w:val="FirstParagraph"/>
      </w:pPr>
      <w:r>
        <w:t xml:space="preserve">Gonadoreline is het synthetische evenbeeld van het lichaamseigen GnRH en wordt al tientallen jaren gebruikt voor functietests en pomptherapie. In het juiste pulsritme gegeven leidde het in grote casusreeksen bij vrouwen met hypothalame amenorroe in de meeste cycli tot een eisprong, met minder meerlingen dan onder gonadotropinen, en bij mannen met aangeboren hormoontekort tot zaadcelvorming. De gegevens zijn oud en overwegend niet gerandomiseerd; registeraantallen worden door GnRH-analogen massaal vertekend. Het gebruik in de bodybuildingscene na steroïdenkuren is niet onderzocht, gaat in tegen het werkingsprincipe en is in de sport verboden.</w:t>
      </w:r>
    </w:p>
    <w:bookmarkEnd w:id="851"/>
    <w:bookmarkEnd w:id="852"/>
    <w:bookmarkEnd w:id="853"/>
    <w:bookmarkStart w:id="933" w:name="deel-ii-f-collageen-voeding-en-cosmetica"/>
    <w:p>
      <w:pPr>
        <w:pStyle w:val="Heading1"/>
      </w:pPr>
      <w:r>
        <w:t xml:space="preserve">Deel II · F – Collageen, voeding en cosmetica</w:t>
      </w:r>
    </w:p>
    <w:p>
      <w:pPr>
        <w:pStyle w:val="FirstParagraph"/>
      </w:pPr>
      <w:r>
        <w:t xml:space="preserve">De peptiden in deze groep komen de meeste mensen niet tegen in de spreekkamer van de arts, maar in de supermarkt, de drogisterij en de reclame: als collageendrankje, als bloeddrukyoghurt, als sportcapsule of als „anti-agingpeptide” in een gezichtscrème. Ze zijn vrij verkrijgbaar, gelden als onschuldig en worden met studies aangeprezen. Juist daarom loont het om nauwkeurig te bekijken wat deze studies laten zien.</w:t>
      </w:r>
    </w:p>
    <w:bookmarkStart w:id="854" w:name="wat-de-groep-verbindt"/>
    <w:p>
      <w:pPr>
        <w:pStyle w:val="Heading3"/>
      </w:pPr>
      <w:r>
        <w:t xml:space="preserve">Wat de groep verbindt</w:t>
      </w:r>
    </w:p>
    <w:p>
      <w:pPr>
        <w:pStyle w:val="FirstParagraph"/>
      </w:pPr>
      <w:r>
        <w:t xml:space="preserve">Alle zes stoffen zijn ofwel brokstukken van lichaamseigen of in voeding voorkomende eiwitten (collageenpeptiden, lactotripeptiden uit melk, carnosine, GHK-Cu) of zijn er gericht op nagebouwd (Matrixyl, Argireline). Geen van hen is als geneesmiddel geregistreerd. Ze worden daarom niet getoetst aan de strenge maatstaven die voor geneesmiddelen gelden, maar aan de regels voor levensmiddelen of cosmetica.</w:t>
      </w:r>
    </w:p>
    <w:p>
      <w:pPr>
        <w:pStyle w:val="BodyText"/>
      </w:pPr>
      <w:r>
        <w:t xml:space="preserve">Daaruit ontstaan gemeenschappelijke patronen die in alle hoofdstukken terugkomen:</w:t>
      </w:r>
    </w:p>
    <w:p>
      <w:pPr>
        <w:numPr>
          <w:ilvl w:val="0"/>
          <w:numId w:val="1287"/>
        </w:numPr>
        <w:pStyle w:val="Compact"/>
      </w:pPr>
      <w:r>
        <w:rPr>
          <w:bCs/>
          <w:b/>
        </w:rPr>
        <w:t xml:space="preserve">Veel kleine studies, weinig grote.</w:t>
      </w:r>
      <w:r>
        <w:t xml:space="preserve"> </w:t>
      </w:r>
      <w:r>
        <w:t xml:space="preserve">Typisch zijn 20 tot 150 deelnemers gedurende 4 tot 24 weken. Harde eindpunten zoals botbreuken, hartinfarcten of gewrichtsvervanging zijn nooit onderzocht.</w:t>
      </w:r>
    </w:p>
    <w:p>
      <w:pPr>
        <w:numPr>
          <w:ilvl w:val="0"/>
          <w:numId w:val="1287"/>
        </w:numPr>
        <w:pStyle w:val="Compact"/>
      </w:pPr>
      <w:r>
        <w:rPr>
          <w:bCs/>
          <w:b/>
        </w:rPr>
        <w:t xml:space="preserve">Financiering door fabrikanten.</w:t>
      </w:r>
      <w:r>
        <w:t xml:space="preserve"> </w:t>
      </w:r>
      <w:r>
        <w:t xml:space="preserve">Een groot deel van de studies werd betaald door producenten van grondstoffen of producten. Bij collageen laat een meta-analyse zien dat het nut voor de huid verdwijnt als men alleen onafhankelijk gefinancierde studies bekijkt (Myung 2025, PMID 40324552).</w:t>
      </w:r>
    </w:p>
    <w:p>
      <w:pPr>
        <w:numPr>
          <w:ilvl w:val="0"/>
          <w:numId w:val="1287"/>
        </w:numPr>
        <w:pStyle w:val="Compact"/>
      </w:pPr>
      <w:r>
        <w:rPr>
          <w:bCs/>
          <w:b/>
        </w:rPr>
        <w:t xml:space="preserve">Het probleem van de plaats van werking.</w:t>
      </w:r>
      <w:r>
        <w:t xml:space="preserve"> </w:t>
      </w:r>
      <w:r>
        <w:t xml:space="preserve">Een peptide moet terechtkomen waar het moet werken. Ingeslikte peptiden worden grotendeels verteerd; peptiden in crèmes dringen slechts in geringe mate door de huidbarrière. Voor elk hoofdstuk staat daarom de vraag centraal of het in het laboratorium aangetoonde mechanisme in het lichaam überhaupt tot uiting komt.</w:t>
      </w:r>
    </w:p>
    <w:p>
      <w:pPr>
        <w:numPr>
          <w:ilvl w:val="0"/>
          <w:numId w:val="1287"/>
        </w:numPr>
        <w:pStyle w:val="Compact"/>
      </w:pPr>
      <w:r>
        <w:rPr>
          <w:bCs/>
          <w:b/>
        </w:rPr>
        <w:t xml:space="preserve">Combinatieproducten.</w:t>
      </w:r>
      <w:r>
        <w:t xml:space="preserve"> </w:t>
      </w:r>
      <w:r>
        <w:t xml:space="preserve">Veel producten bevatten meerdere werkzame stoffen. Een positief studieresultaat kan dan niet aan het afzonderlijke peptide worden toegeschreven.</w:t>
      </w:r>
    </w:p>
    <w:bookmarkEnd w:id="854"/>
    <w:bookmarkStart w:id="855" w:name="X8ca2aaf09478751c7844404f8214b2cca39f60b"/>
    <w:p>
      <w:pPr>
        <w:pStyle w:val="Heading3"/>
      </w:pPr>
      <w:r>
        <w:t xml:space="preserve">Levensmiddel, cosmetica, geneesmiddel – drie juridische werelden</w:t>
      </w:r>
    </w:p>
    <w:p>
      <w:pPr>
        <w:pStyle w:val="FirstParagraph"/>
      </w:pPr>
      <w:r>
        <w:t xml:space="preserve">Of een stof geldt als levensmiddel, cosmetisch product of geneesmiddel, wordt niet bepaald door de chemie, maar door de bestemming en de presentatie. Deel I legt het juridische kader uitgebreid uit; voor deze groep zijn drie punten belangrijk:</w:t>
      </w:r>
    </w:p>
    <w:p>
      <w:pPr>
        <w:numPr>
          <w:ilvl w:val="0"/>
          <w:numId w:val="1288"/>
        </w:numPr>
        <w:pStyle w:val="Compact"/>
      </w:pPr>
      <w:r>
        <w:rPr>
          <w:bCs/>
          <w:b/>
        </w:rPr>
        <w:t xml:space="preserve">Levensmiddelen en voedingssupplementen</w:t>
      </w:r>
      <w:r>
        <w:t xml:space="preserve"> </w:t>
      </w:r>
      <w:r>
        <w:t xml:space="preserve">(collageenpeptiden, lactotripeptiden, carnosine) hebben in de EU geen registratie en geen bewijs van werkzaamheid nodig. Wel is streng geregeld waarmee ze reclame mogen maken. Volgens de claimsverordening (Verordening (EG) nr. 1924/2006) zijn gezondheidsclaims alleen toegestaan als ze door de Europese Autoriteit voor voedselveiligheid (EFSA) zijn beoordeeld en door de Europese Commissie zijn toegelaten.</w:t>
      </w:r>
      <w:r>
        <w:t xml:space="preserve"> </w:t>
      </w:r>
      <w:r>
        <w:rPr>
          <w:bCs/>
          <w:b/>
        </w:rPr>
        <w:t xml:space="preserve">Voor collageen, collageenpeptiden, lactotripeptiden en carnosine bestaat geen enkele toegelaten gezondheidsclaim.</w:t>
      </w:r>
      <w:r>
        <w:t xml:space="preserve"> </w:t>
      </w:r>
      <w:r>
        <w:t xml:space="preserve">De EFSA heeft aangevraagde claims – bijvoorbeeld over gewrichten bij collageen of over de bloeddruk bij de lactotripeptiden – negatief beoordeeld. Als een collageenverpakking toch reclame maakt met huid of botten, heeft de juridisch toegestane uitspraak doorgaans betrekking op toegevoegde vitamine C, waarvoor de claim „draagt bij tot de normale collageenvorming” is toegelaten.</w:t>
      </w:r>
    </w:p>
    <w:p>
      <w:pPr>
        <w:numPr>
          <w:ilvl w:val="0"/>
          <w:numId w:val="1288"/>
        </w:numPr>
        <w:pStyle w:val="Compact"/>
      </w:pPr>
      <w:r>
        <w:rPr>
          <w:bCs/>
          <w:b/>
        </w:rPr>
        <w:t xml:space="preserve">Cosmetica</w:t>
      </w:r>
      <w:r>
        <w:t xml:space="preserve"> </w:t>
      </w:r>
      <w:r>
        <w:t xml:space="preserve">(GHK-Cu, Matrixyl, Argireline) vallen onder de EU-cosmeticaverordening (Verordening (EG) nr. 1223/2009). Ze mogen alleen uitwendig worden gebruikt, moeten veilig zijn en mogen geen geneeskundige werking claimen. Reclameclaims moeten onderbouwd kunnen worden, maar een officiële toetsing van de werkzaamheid vóór de verkoop bestaat niet.</w:t>
      </w:r>
    </w:p>
    <w:p>
      <w:pPr>
        <w:numPr>
          <w:ilvl w:val="0"/>
          <w:numId w:val="1288"/>
        </w:numPr>
        <w:pStyle w:val="Compact"/>
      </w:pPr>
      <w:r>
        <w:rPr>
          <w:bCs/>
          <w:b/>
        </w:rPr>
        <w:t xml:space="preserve">Geneesmiddelen</w:t>
      </w:r>
      <w:r>
        <w:t xml:space="preserve"> </w:t>
      </w:r>
      <w:r>
        <w:t xml:space="preserve">moeten hun werkzaamheid en veiligheid in studies aantonen en worden geregistreerd. Wordt een cosmetisch peptide ingespoten – zoals op de grijze markt voorkomt bij GHK-Cu en Argireline –, dan verlaat het de wereld van de cosmetica: het wordt een niet-geregistreerd geneesmiddel, zonder dat daarvoor studies of kwaliteitscontroles bestaan.</w:t>
      </w:r>
    </w:p>
    <w:p>
      <w:pPr>
        <w:pStyle w:val="FirstParagraph"/>
      </w:pPr>
      <w:r>
        <w:t xml:space="preserve">In de VS gelden vergelijkbare principes; daar mogen voedingssupplementen echter reclame maken met algemene „structuur-functieclaims”, mits ze een vermelding dragen dat de FDA deze niet heeft beoordeeld (stand 2026, actuele situatie controleren).</w:t>
      </w:r>
    </w:p>
    <w:bookmarkEnd w:id="855"/>
    <w:bookmarkStart w:id="856" w:name="overzicht-4"/>
    <w:p>
      <w:pPr>
        <w:pStyle w:val="Heading3"/>
      </w:pPr>
      <w:r>
        <w:t xml:space="preserve">Overzicht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Peptide</w:t>
            </w:r>
          </w:p>
        </w:tc>
        <w:tc>
          <w:tcPr/>
          <w:p>
            <w:pPr>
              <w:pStyle w:val="Compact"/>
              <w:jc w:val="left"/>
            </w:pPr>
            <w:r>
              <w:t xml:space="preserve">Bewijs</w:t>
            </w:r>
          </w:p>
        </w:tc>
        <w:tc>
          <w:tcPr/>
          <w:p>
            <w:pPr>
              <w:pStyle w:val="Compact"/>
              <w:jc w:val="left"/>
            </w:pPr>
            <w:r>
              <w:t xml:space="preserve">Registratie</w:t>
            </w:r>
          </w:p>
        </w:tc>
        <w:tc>
          <w:tcPr/>
          <w:p>
            <w:pPr>
              <w:pStyle w:val="Compact"/>
              <w:jc w:val="left"/>
            </w:pPr>
            <w:r>
              <w:t xml:space="preserve">Kort</w:t>
            </w:r>
          </w:p>
        </w:tc>
      </w:tr>
      <w:tr>
        <w:tc>
          <w:tcPr/>
          <w:p>
            <w:pPr>
              <w:pStyle w:val="Compact"/>
              <w:jc w:val="left"/>
            </w:pPr>
            <w:r>
              <w:t xml:space="preserve">Collageenpeptiden</w:t>
            </w:r>
          </w:p>
        </w:tc>
        <w:tc>
          <w:tcPr/>
          <w:p>
            <w:pPr>
              <w:pStyle w:val="Compact"/>
              <w:jc w:val="left"/>
            </w:pPr>
            <w:r>
              <w:t xml:space="preserve">B</w:t>
            </w:r>
          </w:p>
        </w:tc>
        <w:tc>
          <w:tcPr/>
          <w:p>
            <w:pPr>
              <w:pStyle w:val="Compact"/>
              <w:jc w:val="left"/>
            </w:pPr>
            <w:r>
              <w:t xml:space="preserve">levensmiddel, geen gezondheidsclaim</w:t>
            </w:r>
          </w:p>
        </w:tc>
        <w:tc>
          <w:tcPr/>
          <w:p>
            <w:pPr>
              <w:pStyle w:val="Compact"/>
              <w:jc w:val="left"/>
            </w:pPr>
            <w:r>
              <w:t xml:space="preserve">Kleine effecten op gewrichtspijn; nut voor de huid in onafhankelijke studies niet aangetoond</w:t>
            </w:r>
          </w:p>
        </w:tc>
      </w:tr>
      <w:tr>
        <w:tc>
          <w:tcPr/>
          <w:p>
            <w:pPr>
              <w:pStyle w:val="Compact"/>
              <w:jc w:val="left"/>
            </w:pPr>
            <w:r>
              <w:t xml:space="preserve">Lactotripeptiden (VPP/IPP)</w:t>
            </w:r>
          </w:p>
        </w:tc>
        <w:tc>
          <w:tcPr/>
          <w:p>
            <w:pPr>
              <w:pStyle w:val="Compact"/>
              <w:jc w:val="left"/>
            </w:pPr>
            <w:r>
              <w:t xml:space="preserve">B</w:t>
            </w:r>
          </w:p>
        </w:tc>
        <w:tc>
          <w:tcPr/>
          <w:p>
            <w:pPr>
              <w:pStyle w:val="Compact"/>
              <w:jc w:val="left"/>
            </w:pPr>
            <w:r>
              <w:t xml:space="preserve">levensmiddel, bloeddrukclaim afgewezen</w:t>
            </w:r>
          </w:p>
        </w:tc>
        <w:tc>
          <w:tcPr/>
          <w:p>
            <w:pPr>
              <w:pStyle w:val="Compact"/>
              <w:jc w:val="left"/>
            </w:pPr>
            <w:r>
              <w:t xml:space="preserve">Bloeddrukdaling van ongeveer 1–4 mmHg, in Europa nauwelijks aantoonbaar</w:t>
            </w:r>
          </w:p>
        </w:tc>
      </w:tr>
      <w:tr>
        <w:tc>
          <w:tcPr/>
          <w:p>
            <w:pPr>
              <w:pStyle w:val="Compact"/>
              <w:jc w:val="left"/>
            </w:pPr>
            <w:r>
              <w:t xml:space="preserve">Carnosine</w:t>
            </w:r>
          </w:p>
        </w:tc>
        <w:tc>
          <w:tcPr/>
          <w:p>
            <w:pPr>
              <w:pStyle w:val="Compact"/>
              <w:jc w:val="left"/>
            </w:pPr>
            <w:r>
              <w:t xml:space="preserve">B</w:t>
            </w:r>
          </w:p>
        </w:tc>
        <w:tc>
          <w:tcPr/>
          <w:p>
            <w:pPr>
              <w:pStyle w:val="Compact"/>
              <w:jc w:val="left"/>
            </w:pPr>
            <w:r>
              <w:t xml:space="preserve">voedingssupplement, geen gezondheidsclaim</w:t>
            </w:r>
          </w:p>
        </w:tc>
        <w:tc>
          <w:tcPr/>
          <w:p>
            <w:pPr>
              <w:pStyle w:val="Compact"/>
              <w:jc w:val="left"/>
            </w:pPr>
            <w:r>
              <w:t xml:space="preserve">Aanwijzingen bij bloedsuiker; in de sport is de voorloper bèta-alanine beter onderbouwd</w:t>
            </w:r>
          </w:p>
        </w:tc>
      </w:tr>
      <w:tr>
        <w:tc>
          <w:tcPr/>
          <w:p>
            <w:pPr>
              <w:pStyle w:val="Compact"/>
              <w:jc w:val="left"/>
            </w:pPr>
            <w:r>
              <w:t xml:space="preserve">GHK-Cu</w:t>
            </w:r>
          </w:p>
        </w:tc>
        <w:tc>
          <w:tcPr/>
          <w:p>
            <w:pPr>
              <w:pStyle w:val="Compact"/>
              <w:jc w:val="left"/>
            </w:pPr>
            <w:r>
              <w:t xml:space="preserve">C</w:t>
            </w:r>
          </w:p>
        </w:tc>
        <w:tc>
          <w:tcPr/>
          <w:p>
            <w:pPr>
              <w:pStyle w:val="Compact"/>
              <w:jc w:val="left"/>
            </w:pPr>
            <w:r>
              <w:t xml:space="preserve">cosmetica; injectie niet toegelaten</w:t>
            </w:r>
          </w:p>
        </w:tc>
        <w:tc>
          <w:tcPr/>
          <w:p>
            <w:pPr>
              <w:pStyle w:val="Compact"/>
              <w:jc w:val="left"/>
            </w:pPr>
            <w:r>
              <w:t xml:space="preserve">Eén oude wondstudie; nauwelijks huidgegevens; injectie niet getest</w:t>
            </w:r>
          </w:p>
        </w:tc>
      </w:tr>
      <w:tr>
        <w:tc>
          <w:tcPr/>
          <w:p>
            <w:pPr>
              <w:pStyle w:val="Compact"/>
              <w:jc w:val="left"/>
            </w:pPr>
            <w:r>
              <w:t xml:space="preserve">Palmitoyl-pentapeptide-4 (Matrixyl)</w:t>
            </w:r>
          </w:p>
        </w:tc>
        <w:tc>
          <w:tcPr/>
          <w:p>
            <w:pPr>
              <w:pStyle w:val="Compact"/>
              <w:jc w:val="left"/>
            </w:pPr>
            <w:r>
              <w:t xml:space="preserve">B</w:t>
            </w:r>
          </w:p>
        </w:tc>
        <w:tc>
          <w:tcPr/>
          <w:p>
            <w:pPr>
              <w:pStyle w:val="Compact"/>
              <w:jc w:val="left"/>
            </w:pPr>
            <w:r>
              <w:t xml:space="preserve">cosmetica</w:t>
            </w:r>
          </w:p>
        </w:tc>
        <w:tc>
          <w:tcPr/>
          <w:p>
            <w:pPr>
              <w:pStyle w:val="Compact"/>
              <w:jc w:val="left"/>
            </w:pPr>
            <w:r>
              <w:t xml:space="preserve">Eén halfzijdige studie uit 2005; doorlaatbaarheid van de huid onduidelijk</w:t>
            </w:r>
          </w:p>
        </w:tc>
      </w:tr>
      <w:tr>
        <w:tc>
          <w:tcPr/>
          <w:p>
            <w:pPr>
              <w:pStyle w:val="Compact"/>
              <w:jc w:val="left"/>
            </w:pPr>
            <w:r>
              <w:t xml:space="preserve">Acetyl-hexapeptide-8 (Argireline)</w:t>
            </w:r>
          </w:p>
        </w:tc>
        <w:tc>
          <w:tcPr/>
          <w:p>
            <w:pPr>
              <w:pStyle w:val="Compact"/>
              <w:jc w:val="left"/>
            </w:pPr>
            <w:r>
              <w:t xml:space="preserve">B</w:t>
            </w:r>
          </w:p>
        </w:tc>
        <w:tc>
          <w:tcPr/>
          <w:p>
            <w:pPr>
              <w:pStyle w:val="Compact"/>
              <w:jc w:val="left"/>
            </w:pPr>
            <w:r>
              <w:t xml:space="preserve">cosmetica</w:t>
            </w:r>
          </w:p>
        </w:tc>
        <w:tc>
          <w:tcPr/>
          <w:p>
            <w:pPr>
              <w:pStyle w:val="Compact"/>
              <w:jc w:val="left"/>
            </w:pPr>
            <w:r>
              <w:t xml:space="preserve">„Botox uit de tube” niet aangetoond; dringt nauwelijks in de huid door</w:t>
            </w:r>
          </w:p>
        </w:tc>
      </w:tr>
    </w:tbl>
    <w:p>
      <w:pPr>
        <w:pStyle w:val="BodyText"/>
      </w:pPr>
      <w:r>
        <w:t xml:space="preserve">Het niveau B betekent in deze groep uitdrukkelijk niet dat een effect vaststaat, maar alleen dat er gerandomiseerde studies zijn.</w:t>
      </w:r>
    </w:p>
    <w:bookmarkEnd w:id="856"/>
    <w:bookmarkStart w:id="857" w:name="leeswijzer-5"/>
    <w:p>
      <w:pPr>
        <w:pStyle w:val="Heading3"/>
      </w:pPr>
      <w:r>
        <w:t xml:space="preserve">Leeswijzer</w:t>
      </w:r>
    </w:p>
    <w:p>
      <w:pPr>
        <w:pStyle w:val="FirstParagraph"/>
      </w:pPr>
      <w:r>
        <w:t xml:space="preserve">Het hoofdstuk over de</w:t>
      </w:r>
      <w:r>
        <w:t xml:space="preserve"> </w:t>
      </w:r>
      <w:r>
        <w:rPr>
          <w:bCs/>
          <w:b/>
        </w:rPr>
        <w:t xml:space="preserve">collageenpeptiden</w:t>
      </w:r>
      <w:r>
        <w:t xml:space="preserve"> </w:t>
      </w:r>
      <w:r>
        <w:t xml:space="preserve">is het uitgebreidste, omdat daarover de meeste studies bestaan en omdat er goed aan te laten zien is hoe meta-analyses, financiering door fabrikanten en placebo-effect samenspelen. Wie maar één hoofdstuk uit deze groep leest, kan het best dit kiezen. Het hoofdstuk over de</w:t>
      </w:r>
      <w:r>
        <w:t xml:space="preserve"> </w:t>
      </w:r>
      <w:r>
        <w:rPr>
          <w:bCs/>
          <w:b/>
        </w:rPr>
        <w:t xml:space="preserve">lactotripeptiden</w:t>
      </w:r>
      <w:r>
        <w:t xml:space="preserve"> </w:t>
      </w:r>
      <w:r>
        <w:t xml:space="preserve">is een les in hoe een overtuigend laboratoriummechanisme in grotere studies kan krimpen. De drie</w:t>
      </w:r>
      <w:r>
        <w:t xml:space="preserve"> </w:t>
      </w:r>
      <w:r>
        <w:rPr>
          <w:bCs/>
          <w:b/>
        </w:rPr>
        <w:t xml:space="preserve">cosmetische peptiden</w:t>
      </w:r>
      <w:r>
        <w:t xml:space="preserve"> </w:t>
      </w:r>
      <w:r>
        <w:t xml:space="preserve">zijn korter; ze delen dezelfde kernvraag – of een werkzame stof uit de crème überhaupt aankomt waar hij moet werken. De risico’s van injecties van de grijze markt worden in Deel IV uitgebreid behandeld.</w:t>
      </w:r>
    </w:p>
    <w:bookmarkEnd w:id="857"/>
    <w:bookmarkStart w:id="873" w:name="collageenpeptiden-collageenhydrolysaat"/>
    <w:p>
      <w:pPr>
        <w:pStyle w:val="Heading2"/>
      </w:pPr>
      <w:r>
        <w:t xml:space="preserve">Collageenpeptiden (collageenhydrolysaat)</w:t>
      </w:r>
    </w:p>
    <w:bookmarkStart w:id="858" w:name="profiel-52"/>
    <w:p>
      <w:pPr>
        <w:pStyle w:val="Heading3"/>
      </w:pPr>
      <w:r>
        <w:t xml:space="preserve">Profiel</w:t>
      </w:r>
    </w:p>
    <w:p>
      <w:pPr>
        <w:numPr>
          <w:ilvl w:val="0"/>
          <w:numId w:val="1289"/>
        </w:numPr>
        <w:pStyle w:val="Compact"/>
      </w:pPr>
      <w:r>
        <w:rPr>
          <w:bCs/>
          <w:b/>
        </w:rPr>
        <w:t xml:space="preserve">Soort/structuur:</w:t>
      </w:r>
      <w:r>
        <w:t xml:space="preserve"> </w:t>
      </w:r>
      <w:r>
        <w:t xml:space="preserve">mengsel van peptiden van verschillende lengte, verkregen door enzymatische splitsing (hydrolyse) van collageen of gelatine. Typische producten bevatten brokstukken met een gemiddelde molecuulmassa van ongeveer 2.000 tot 5.000 dalton. Kenmerkend zijn de aminozuren glycine, proline en hydroxyproline; het essentiële aminozuur tryptofaan ontbreekt.</w:t>
      </w:r>
    </w:p>
    <w:p>
      <w:pPr>
        <w:numPr>
          <w:ilvl w:val="0"/>
          <w:numId w:val="1289"/>
        </w:numPr>
        <w:pStyle w:val="Compact"/>
      </w:pPr>
      <w:r>
        <w:rPr>
          <w:bCs/>
          <w:b/>
        </w:rPr>
        <w:t xml:space="preserve">Herkomst:</w:t>
      </w:r>
      <w:r>
        <w:t xml:space="preserve"> </w:t>
      </w:r>
      <w:r>
        <w:t xml:space="preserve">huid, botten of schubben van rund, varken, kip en vis – bijproducten van de vlees- en visverwerking. Veel studies gebruiken beschermde merkgrondstoffen (bijv. Verisol, Fortigel, Bodybalance, Tendoforte), die van een paar fabrikanten afkomstig zijn.</w:t>
      </w:r>
    </w:p>
    <w:p>
      <w:pPr>
        <w:numPr>
          <w:ilvl w:val="0"/>
          <w:numId w:val="1289"/>
        </w:numPr>
        <w:pStyle w:val="Compact"/>
      </w:pPr>
      <w:r>
        <w:rPr>
          <w:bCs/>
          <w:b/>
        </w:rPr>
        <w:t xml:space="preserve">Werkingsprincipe:</w:t>
      </w:r>
      <w:r>
        <w:t xml:space="preserve"> </w:t>
      </w:r>
      <w:r>
        <w:t xml:space="preserve">levering van bouwstenen voor het lichaamseigen bindweefsel; daarnaast wordt besproken dat bepaalde kleine peptiden (vooral prolyl-hydroxyproline) als signaalstoffen op bindweefselcellen werken.</w:t>
      </w:r>
    </w:p>
    <w:p>
      <w:pPr>
        <w:numPr>
          <w:ilvl w:val="0"/>
          <w:numId w:val="1289"/>
        </w:numPr>
        <w:pStyle w:val="Compact"/>
      </w:pPr>
      <w:r>
        <w:rPr>
          <w:bCs/>
          <w:b/>
        </w:rPr>
        <w:t xml:space="preserve">Afbakening:</w:t>
      </w:r>
      <w:r>
        <w:t xml:space="preserve"> </w:t>
      </w:r>
      <w:r>
        <w:rPr>
          <w:iCs/>
          <w:i/>
        </w:rPr>
        <w:t xml:space="preserve">ongedenatureerd</w:t>
      </w:r>
      <w:r>
        <w:t xml:space="preserve"> </w:t>
      </w:r>
      <w:r>
        <w:t xml:space="preserve">type II-collageen (bijv. UC-II) is een ander product met een ander werkingsprincipe en wordt hieronder apart besproken.</w:t>
      </w:r>
    </w:p>
    <w:p>
      <w:pPr>
        <w:numPr>
          <w:ilvl w:val="0"/>
          <w:numId w:val="1289"/>
        </w:numPr>
        <w:pStyle w:val="Compact"/>
      </w:pPr>
      <w:r>
        <w:rPr>
          <w:bCs/>
          <w:b/>
        </w:rPr>
        <w:t xml:space="preserve">Registratie EU:</w:t>
      </w:r>
      <w:r>
        <w:t xml:space="preserve"> </w:t>
      </w:r>
      <w:r>
        <w:t xml:space="preserve">geen registratie als geneesmiddel; als levensmiddel of voedingssupplement in de handel toegestaan. Voor collageen zelf bestaat</w:t>
      </w:r>
      <w:r>
        <w:t xml:space="preserve"> </w:t>
      </w:r>
      <w:r>
        <w:rPr>
          <w:bCs/>
          <w:b/>
        </w:rPr>
        <w:t xml:space="preserve">geen</w:t>
      </w:r>
      <w:r>
        <w:t xml:space="preserve"> </w:t>
      </w:r>
      <w:r>
        <w:t xml:space="preserve">toegelaten gezondheidsclaim (health claim).</w:t>
      </w:r>
    </w:p>
    <w:p>
      <w:pPr>
        <w:numPr>
          <w:ilvl w:val="0"/>
          <w:numId w:val="1289"/>
        </w:numPr>
        <w:pStyle w:val="Compact"/>
      </w:pPr>
      <w:r>
        <w:rPr>
          <w:bCs/>
          <w:b/>
        </w:rPr>
        <w:t xml:space="preserve">Registratie VS:</w:t>
      </w:r>
      <w:r>
        <w:t xml:space="preserve"> </w:t>
      </w:r>
      <w:r>
        <w:t xml:space="preserve">geen registratie als geneesmiddel; als voedingssupplement (dietary supplement) in de handel.</w:t>
      </w:r>
    </w:p>
    <w:p>
      <w:pPr>
        <w:numPr>
          <w:ilvl w:val="0"/>
          <w:numId w:val="1289"/>
        </w:numPr>
        <w:pStyle w:val="Compact"/>
      </w:pPr>
      <w:r>
        <w:rPr>
          <w:bCs/>
          <w:b/>
        </w:rPr>
        <w:t xml:space="preserve">WADA:</w:t>
      </w:r>
      <w:r>
        <w:t xml:space="preserve"> </w:t>
      </w:r>
      <w:r>
        <w:t xml:space="preserve">niet vermeld (stand 2026, actuele situatie controleren).</w:t>
      </w:r>
    </w:p>
    <w:p>
      <w:pPr>
        <w:numPr>
          <w:ilvl w:val="0"/>
          <w:numId w:val="1289"/>
        </w:numPr>
        <w:pStyle w:val="Compact"/>
      </w:pPr>
      <w:r>
        <w:rPr>
          <w:bCs/>
          <w:b/>
        </w:rPr>
        <w:t xml:space="preserve">Bewijsniveau:</w:t>
      </w:r>
      <w:r>
        <w:t xml:space="preserve"> </w:t>
      </w:r>
      <w:r>
        <w:rPr>
          <w:bCs/>
          <w:b/>
        </w:rPr>
        <w:t xml:space="preserve">B</w:t>
      </w:r>
      <w:r>
        <w:t xml:space="preserve"> </w:t>
      </w:r>
      <w:r>
        <w:t xml:space="preserve">– talrijke gerandomiseerde, placebogecontroleerde studies, die echter overwegend klein, kort en door fabrikanten gefinancierd zijn.</w:t>
      </w:r>
    </w:p>
    <w:bookmarkEnd w:id="858"/>
    <w:bookmarkStart w:id="859" w:name="hoe-het-zou-moeten-werken-52"/>
    <w:p>
      <w:pPr>
        <w:pStyle w:val="Heading3"/>
      </w:pPr>
      <w:r>
        <w:t xml:space="preserve">Hoe het zou moeten werken</w:t>
      </w:r>
    </w:p>
    <w:p>
      <w:pPr>
        <w:pStyle w:val="FirstParagraph"/>
      </w:pPr>
      <w:r>
        <w:t xml:space="preserve">Collageen is het meest voorkomende eiwit in het menselijk lichaam. Het vormt het geraamte van huid, pezen, banden, kraakbeen en bot. De basiseenheid is een drievoudige helix van drie eiwitketens, waarin zich een patroon steeds herhaalt: glycine, dan een willekeurig aminozuur, dan vaak proline of hydroxyproline. Met de leeftijd daalt de collageenaanmaak in de huid en wordt het collageennetwerk brozer – zichtbaar als rimpels en afnemende spankracht.</w:t>
      </w:r>
    </w:p>
    <w:p>
      <w:pPr>
        <w:pStyle w:val="BodyText"/>
      </w:pPr>
      <w:r>
        <w:t xml:space="preserve">De reclame suggereert vaak een eenvoudige logica: wie collageen eet, bouwt collageen op. Zo werkt de spijsvertering niet. Eiwitten worden in maag en dunne darm grotendeels afgebroken tot afzonderlijke aminozuren en zeer kleine peptiden; het lichaam bouwt daaruit zijn eiwitten naar eigen behoefte opnieuw op. Collageen uit de voeding wordt dus niet als collageen in de huid „ingebouwd”.</w:t>
      </w:r>
    </w:p>
    <w:p>
      <w:pPr>
        <w:pStyle w:val="BodyText"/>
      </w:pPr>
      <w:r>
        <w:t xml:space="preserve">Er zijn echter twee serieus te nemen hypothesen waarom collageenpeptiden toch iets zouden kunnen bewerkstelligen:</w:t>
      </w:r>
    </w:p>
    <w:p>
      <w:pPr>
        <w:numPr>
          <w:ilvl w:val="0"/>
          <w:numId w:val="1290"/>
        </w:numPr>
        <w:pStyle w:val="Compact"/>
      </w:pPr>
      <w:r>
        <w:rPr>
          <w:bCs/>
          <w:b/>
        </w:rPr>
        <w:t xml:space="preserve">Signaalpeptiden.</w:t>
      </w:r>
      <w:r>
        <w:t xml:space="preserve"> </w:t>
      </w:r>
      <w:r>
        <w:t xml:space="preserve">Hydroxyprolinehoudende di- en tripeptiden zijn ongewoon stabiel tegenover verteringsenzymen. Na het drinken van gelatinehydrolysaat steeg bij vrijwilligers de concentratie peptidegebonden hydroxyproline in het bloed duidelijk en bereikte die na een tot twee uur een maximum; het belangrijkste bestanddeel was het dipeptide prolyl-hydroxyproline (Iwai 2005, PMID 16076145). Iets vergelijkbaars bleek voor een preparaat met een hoog aandeel tripeptiden (Yamamoto 2016, PMID 26934933). In celkweek- en dierproeven stimuleren zulke peptiden bindweefselcellen (fibroblasten) tot groei en tot de aanmaak van matrixbouwstenen. Of de in het bloed bereikte hoeveelheden bij mensen volstaan om in huid of kraakbeen een meetbaar effect op te wekken, is niet met zekerheid aangetoond.</w:t>
      </w:r>
    </w:p>
    <w:p>
      <w:pPr>
        <w:numPr>
          <w:ilvl w:val="0"/>
          <w:numId w:val="1290"/>
        </w:numPr>
        <w:pStyle w:val="Compact"/>
      </w:pPr>
      <w:r>
        <w:rPr>
          <w:bCs/>
          <w:b/>
        </w:rPr>
        <w:t xml:space="preserve">Levering van bouwstoffen.</w:t>
      </w:r>
      <w:r>
        <w:t xml:space="preserve"> </w:t>
      </w:r>
      <w:r>
        <w:t xml:space="preserve">Collageenpeptiden leveren grote hoeveelheden glycine, proline en hydroxyproline. In een kleine studie met acht mannen verdubbelde de bloedmarker voor collageennieuwvorming als zij een uur vóór een korte springbelasting 15 g met vitamine C verrijkte gelatine hadden ingenomen (Shaw 2017, PMID 27852613). Dat ondersteunt het idee om collageenpeptiden in de tijd te combineren met belasting, maar het is een meetwaarde in het bloed, geen bewijs van sterkere pezen.</w:t>
      </w:r>
    </w:p>
    <w:p>
      <w:pPr>
        <w:pStyle w:val="FirstParagraph"/>
      </w:pPr>
      <w:r>
        <w:t xml:space="preserve">Belangrijk voor de plaatsing: collageen is als eiwitbron onvolledig. Omdat er tryptofaan in ontbreekt, wordt een peptidemengsel op basis van gelatine in het onderzoek zelfs gericht gebruikt om de tryptofaanspiegel in het bloed kortstondig te verlagen (Stenbæk 2016, PMID 26655163). Voor spieropbouw doet collageen daarom onder voor andere eiwitten – daarover hieronder meer.</w:t>
      </w:r>
    </w:p>
    <w:bookmarkEnd w:id="859"/>
    <w:bookmarkStart w:id="867" w:name="studies-bij-mensen-52"/>
    <w:p>
      <w:pPr>
        <w:pStyle w:val="Heading3"/>
      </w:pPr>
      <w:r>
        <w:t xml:space="preserve">Studies bij mensen</w:t>
      </w:r>
    </w:p>
    <w:p>
      <w:pPr>
        <w:pStyle w:val="FirstParagraph"/>
      </w:pPr>
      <w:r>
        <w:t xml:space="preserve">Het onderzoek is omvangrijk, maar niet eenduidig. De voor dit boek uitgevoerde PubMed-zoekopdracht (collageenhydrolysaat of collageenpeptiden in combinatie met inname of suppletie, zoekdatum oktober 2026) leverde 101 studies bij mensen op. Op ClinicalTrials.gov vond de zoekterm „collagen peptides” 237 registraties; een aanzienlijk deel daarvan betreft echter andere onderwerpen (bijvoorbeeld collageenimplantaten in de tandheelkunde of het kankermiddel endostatine, een collageenfragment). Daarnaast zijn er ten minste een dozijn meta-analyses.</w:t>
      </w:r>
    </w:p>
    <w:p>
      <w:pPr>
        <w:pStyle w:val="BodyText"/>
      </w:pPr>
      <w:r>
        <w:t xml:space="preserve">Drie kenmerken bepalen bijna alle studies en moeten bij het lezen in gedachten worden gehouden:</w:t>
      </w:r>
    </w:p>
    <w:p>
      <w:pPr>
        <w:numPr>
          <w:ilvl w:val="0"/>
          <w:numId w:val="1291"/>
        </w:numPr>
        <w:pStyle w:val="Compact"/>
      </w:pPr>
      <w:r>
        <w:rPr>
          <w:bCs/>
          <w:b/>
        </w:rPr>
        <w:t xml:space="preserve">Kleine aantallen en korte duur:</w:t>
      </w:r>
      <w:r>
        <w:t xml:space="preserve"> </w:t>
      </w:r>
      <w:r>
        <w:t xml:space="preserve">meestal 40 tot 150 deelnemers gedurende 8 tot 24 weken.</w:t>
      </w:r>
    </w:p>
    <w:p>
      <w:pPr>
        <w:numPr>
          <w:ilvl w:val="0"/>
          <w:numId w:val="1291"/>
        </w:numPr>
        <w:pStyle w:val="Compact"/>
      </w:pPr>
      <w:r>
        <w:rPr>
          <w:bCs/>
          <w:b/>
        </w:rPr>
        <w:t xml:space="preserve">Financiering door fabrikanten:</w:t>
      </w:r>
      <w:r>
        <w:t xml:space="preserve"> </w:t>
      </w:r>
      <w:r>
        <w:t xml:space="preserve">een groot deel van de studies werd betaald door de producenten van grondstoffen of producten, of mede geschreven door hun medewerkers. Vaak worden merkbeschermde peptidemengsels getest.</w:t>
      </w:r>
    </w:p>
    <w:p>
      <w:pPr>
        <w:numPr>
          <w:ilvl w:val="0"/>
          <w:numId w:val="1291"/>
        </w:numPr>
        <w:pStyle w:val="Compact"/>
      </w:pPr>
      <w:r>
        <w:rPr>
          <w:bCs/>
          <w:b/>
        </w:rPr>
        <w:t xml:space="preserve">Combinatieproducten:</w:t>
      </w:r>
      <w:r>
        <w:t xml:space="preserve"> </w:t>
      </w:r>
      <w:r>
        <w:t xml:space="preserve">veel „collageendrankjes” bevatten daarnaast vitamine C, zink, biotine, hyaluronzuur of plantenextracten. Een positief resultaat kan dan niet alleen aan het collageen worden toegeschreven.</w:t>
      </w:r>
    </w:p>
    <w:bookmarkStart w:id="860" w:name="huid-vocht-elasticiteit-rimpels"/>
    <w:p>
      <w:pPr>
        <w:pStyle w:val="Heading4"/>
      </w:pPr>
      <w:r>
        <w:t xml:space="preserve">Huid: vocht, elasticiteit, rimpels</w:t>
      </w:r>
    </w:p>
    <w:p>
      <w:pPr>
        <w:pStyle w:val="FirstParagraph"/>
      </w:pPr>
      <w:r>
        <w:t xml:space="preserve">De huidstudies zijn het talrijkst. Gemeten wordt meestal met apparaten: corneometer (vochtgehalte van de hoornlaag), cutometer (elasticiteit), huidafdrukken of 3D-camera’s (rimpeldiepte), echografie (dichtheid van de lederhuid).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Deelnemers en opzet</w:t>
            </w:r>
          </w:p>
        </w:tc>
        <w:tc>
          <w:tcPr/>
          <w:p>
            <w:pPr>
              <w:pStyle w:val="Compact"/>
              <w:jc w:val="left"/>
            </w:pPr>
            <w:r>
              <w:t xml:space="preserve">Duur</w:t>
            </w:r>
          </w:p>
        </w:tc>
        <w:tc>
          <w:tcPr/>
          <w:p>
            <w:pPr>
              <w:pStyle w:val="Compact"/>
              <w:jc w:val="left"/>
            </w:pPr>
            <w:r>
              <w:t xml:space="preserve">Resultaat</w:t>
            </w:r>
          </w:p>
        </w:tc>
      </w:tr>
      <w:tr>
        <w:tc>
          <w:tcPr/>
          <w:p>
            <w:pPr>
              <w:pStyle w:val="Compact"/>
              <w:jc w:val="left"/>
            </w:pPr>
            <w:r>
              <w:t xml:space="preserve">Proksch 2014a, PMID 23949208</w:t>
            </w:r>
          </w:p>
        </w:tc>
        <w:tc>
          <w:tcPr/>
          <w:p>
            <w:pPr>
              <w:pStyle w:val="Compact"/>
              <w:jc w:val="left"/>
            </w:pPr>
            <w:r>
              <w:t xml:space="preserve">69 vrouwen (35–55 j.), 2,5 g of 5 g vs. placebo</w:t>
            </w:r>
          </w:p>
        </w:tc>
        <w:tc>
          <w:tcPr/>
          <w:p>
            <w:pPr>
              <w:pStyle w:val="Compact"/>
              <w:jc w:val="left"/>
            </w:pPr>
            <w:r>
              <w:t xml:space="preserve">8 weken</w:t>
            </w:r>
          </w:p>
        </w:tc>
        <w:tc>
          <w:tcPr/>
          <w:p>
            <w:pPr>
              <w:pStyle w:val="Compact"/>
              <w:jc w:val="left"/>
            </w:pPr>
            <w:r>
              <w:t xml:space="preserve">Elasticiteit in beide dosisgroepen significant beter dan placebo; vocht niet significant</w:t>
            </w:r>
          </w:p>
        </w:tc>
      </w:tr>
      <w:tr>
        <w:tc>
          <w:tcPr/>
          <w:p>
            <w:pPr>
              <w:pStyle w:val="Compact"/>
              <w:jc w:val="left"/>
            </w:pPr>
            <w:r>
              <w:t xml:space="preserve">Proksch 2014b, PMID 24401291</w:t>
            </w:r>
          </w:p>
        </w:tc>
        <w:tc>
          <w:tcPr/>
          <w:p>
            <w:pPr>
              <w:pStyle w:val="Compact"/>
              <w:jc w:val="left"/>
            </w:pPr>
            <w:r>
              <w:t xml:space="preserve">114 vrouwen (45–65 j.), 2,5 g Verisol vs. placebo</w:t>
            </w:r>
          </w:p>
        </w:tc>
        <w:tc>
          <w:tcPr/>
          <w:p>
            <w:pPr>
              <w:pStyle w:val="Compact"/>
              <w:jc w:val="left"/>
            </w:pPr>
            <w:r>
              <w:t xml:space="preserve">8 weken</w:t>
            </w:r>
          </w:p>
        </w:tc>
        <w:tc>
          <w:tcPr/>
          <w:p>
            <w:pPr>
              <w:pStyle w:val="Compact"/>
              <w:jc w:val="left"/>
            </w:pPr>
            <w:r>
              <w:t xml:space="preserve">Volume van ooglidrimpels −20% vs. placebo; procollageen I in huidbiopten +65%</w:t>
            </w:r>
          </w:p>
        </w:tc>
      </w:tr>
      <w:tr>
        <w:tc>
          <w:tcPr/>
          <w:p>
            <w:pPr>
              <w:pStyle w:val="Compact"/>
              <w:jc w:val="left"/>
            </w:pPr>
            <w:r>
              <w:t xml:space="preserve">Kim 2018, PMID 29949889</w:t>
            </w:r>
          </w:p>
        </w:tc>
        <w:tc>
          <w:tcPr/>
          <w:p>
            <w:pPr>
              <w:pStyle w:val="Compact"/>
              <w:jc w:val="left"/>
            </w:pPr>
            <w:r>
              <w:t xml:space="preserve">64 personen, 1 g laagmoleculair peptide vs. placebo</w:t>
            </w:r>
          </w:p>
        </w:tc>
        <w:tc>
          <w:tcPr/>
          <w:p>
            <w:pPr>
              <w:pStyle w:val="Compact"/>
              <w:jc w:val="left"/>
            </w:pPr>
            <w:r>
              <w:t xml:space="preserve">12 weken</w:t>
            </w:r>
          </w:p>
        </w:tc>
        <w:tc>
          <w:tcPr/>
          <w:p>
            <w:pPr>
              <w:pStyle w:val="Compact"/>
              <w:jc w:val="left"/>
            </w:pPr>
            <w:r>
              <w:t xml:space="preserve">Vocht en drie rimpelparameters beter dan placebo; elasticiteit gedeeltelijk</w:t>
            </w:r>
          </w:p>
        </w:tc>
      </w:tr>
      <w:tr>
        <w:tc>
          <w:tcPr/>
          <w:p>
            <w:pPr>
              <w:pStyle w:val="Compact"/>
              <w:jc w:val="left"/>
            </w:pPr>
            <w:r>
              <w:t xml:space="preserve">Bolke 2019, PMID 31627309</w:t>
            </w:r>
          </w:p>
        </w:tc>
        <w:tc>
          <w:tcPr/>
          <w:p>
            <w:pPr>
              <w:pStyle w:val="Compact"/>
              <w:jc w:val="left"/>
            </w:pPr>
            <w:r>
              <w:t xml:space="preserve">72 vrouwen vanaf 35, drinkampul met 2,5 g peptiden plus vitaminen, zink, acerola vs. placebo</w:t>
            </w:r>
          </w:p>
        </w:tc>
        <w:tc>
          <w:tcPr/>
          <w:p>
            <w:pPr>
              <w:pStyle w:val="Compact"/>
              <w:jc w:val="left"/>
            </w:pPr>
            <w:r>
              <w:t xml:space="preserve">12 weken</w:t>
            </w:r>
          </w:p>
        </w:tc>
        <w:tc>
          <w:tcPr/>
          <w:p>
            <w:pPr>
              <w:pStyle w:val="Compact"/>
              <w:jc w:val="left"/>
            </w:pPr>
            <w:r>
              <w:t xml:space="preserve">Vocht, elasticiteit, ruwheid en dichtheid beter dan placebo (combinatieproduct)</w:t>
            </w:r>
          </w:p>
        </w:tc>
      </w:tr>
      <w:tr>
        <w:tc>
          <w:tcPr/>
          <w:p>
            <w:pPr>
              <w:pStyle w:val="Compact"/>
              <w:jc w:val="left"/>
            </w:pPr>
            <w:r>
              <w:t xml:space="preserve">Kim 2022, PMID 36516059</w:t>
            </w:r>
          </w:p>
        </w:tc>
        <w:tc>
          <w:tcPr/>
          <w:p>
            <w:pPr>
              <w:pStyle w:val="Compact"/>
              <w:jc w:val="left"/>
            </w:pPr>
            <w:r>
              <w:t xml:space="preserve">100 personen, laagmoleculaire peptiden vs. placebo</w:t>
            </w:r>
          </w:p>
        </w:tc>
        <w:tc>
          <w:tcPr/>
          <w:p>
            <w:pPr>
              <w:pStyle w:val="Compact"/>
              <w:jc w:val="left"/>
            </w:pPr>
            <w:r>
              <w:t xml:space="preserve">12 weken</w:t>
            </w:r>
          </w:p>
        </w:tc>
        <w:tc>
          <w:tcPr/>
          <w:p>
            <w:pPr>
              <w:pStyle w:val="Compact"/>
              <w:jc w:val="left"/>
            </w:pPr>
            <w:r>
              <w:t xml:space="preserve">Kraaienpootjes, ruwheid, elasticiteit, vocht beter dan placebo (analyse van 84 personen)</w:t>
            </w:r>
          </w:p>
        </w:tc>
      </w:tr>
      <w:tr>
        <w:tc>
          <w:tcPr/>
          <w:p>
            <w:pPr>
              <w:pStyle w:val="Compact"/>
              <w:jc w:val="left"/>
            </w:pPr>
            <w:r>
              <w:t xml:space="preserve">Vleminckx 2024, PMID 39143887</w:t>
            </w:r>
          </w:p>
        </w:tc>
        <w:tc>
          <w:tcPr/>
          <w:p>
            <w:pPr>
              <w:pStyle w:val="Compact"/>
              <w:jc w:val="left"/>
            </w:pPr>
            <w:r>
              <w:t xml:space="preserve">85 Oost-Aziatische vrouwen (43–65 j.), 5 g vs. maltodextrine</w:t>
            </w:r>
          </w:p>
        </w:tc>
        <w:tc>
          <w:tcPr/>
          <w:p>
            <w:pPr>
              <w:pStyle w:val="Compact"/>
              <w:jc w:val="left"/>
            </w:pPr>
            <w:r>
              <w:t xml:space="preserve">12 weken</w:t>
            </w:r>
          </w:p>
        </w:tc>
        <w:tc>
          <w:tcPr/>
          <w:p>
            <w:pPr>
              <w:pStyle w:val="Compact"/>
              <w:jc w:val="left"/>
            </w:pPr>
            <w:r>
              <w:t xml:space="preserve">Huiddichtheid en vocht na 84 dagen beter dan placebo</w:t>
            </w:r>
          </w:p>
        </w:tc>
      </w:tr>
    </w:tbl>
    <w:p>
      <w:pPr>
        <w:pStyle w:val="BodyText"/>
      </w:pPr>
      <w:r>
        <w:t xml:space="preserve">Enkele studies onderzochten ook cellulite (105 vrouwen, zes maanden; verbetering vooral bij vrouwen met een normaal gewicht, Schunck 2015, PMID 26561784) en brosse nagels. De nagelstudie was echter open en zonder controlegroep: 25 deelnemers, nagelgroei +12%, afgebroken nagels −42% (Hexsel 2017, PMID 28786550). Zonder vergelijkingsgroep valt een placebo-effect hier niet uit te sluiten.</w:t>
      </w:r>
    </w:p>
    <w:p>
      <w:pPr>
        <w:pStyle w:val="BodyText"/>
      </w:pPr>
      <w:r>
        <w:t xml:space="preserve">Bij patiënten met doorligwonden (decubitus) werd naast de standaardbehandeling een collageenhydrolysaat met een hoog aandeel prolyl-hydroxyproline getest. Bij 120 deelnemers was de wondgenezing na 16 weken in deze groep beter dan onder placebo (Sugihara 2018, PMID 30061579). Een kleine studie uit 2026 bij matig ernstig constitutioneel eczeem meldde een lager verbruik van corticosteroïdcrème onder 5 g collageenpeptiden (0,94 g tegenover 5,60 g; Proksch 2026, PMID 41758763); de auteurs vragen zelf om grotere bevestigende studies.</w:t>
      </w:r>
    </w:p>
    <w:bookmarkEnd w:id="860"/>
    <w:bookmarkStart w:id="861" w:name="Xed9d60b5f43f4cec606e4f888908dd6d4c456db"/>
    <w:p>
      <w:pPr>
        <w:pStyle w:val="Heading4"/>
      </w:pPr>
      <w:r>
        <w:t xml:space="preserve">De meta-analyses over de huid – en de vraag van de financiering</w:t>
      </w:r>
    </w:p>
    <w:p>
      <w:pPr>
        <w:pStyle w:val="FirstParagraph"/>
      </w:pPr>
      <w:r>
        <w:t xml:space="preserve">Als men de huidstudies samenvat, ontstaat op het eerste gezicht een duidelijk beeld:</w:t>
      </w:r>
    </w:p>
    <w:p>
      <w:pPr>
        <w:numPr>
          <w:ilvl w:val="0"/>
          <w:numId w:val="1292"/>
        </w:numPr>
        <w:pStyle w:val="Compact"/>
      </w:pPr>
      <w:r>
        <w:t xml:space="preserve">19 studies met 1.125 deelnemers: gunstig effect op vocht, elasticiteit en rimpels (de Miranda 2021, PMID 33742704).</w:t>
      </w:r>
    </w:p>
    <w:p>
      <w:pPr>
        <w:numPr>
          <w:ilvl w:val="0"/>
          <w:numId w:val="1292"/>
        </w:numPr>
        <w:pStyle w:val="Compact"/>
      </w:pPr>
      <w:r>
        <w:t xml:space="preserve">26 studies met 1.721 deelnemers: significante verbetering van vocht en elasticiteit; de auteurs noemen echter meerdere bronnen van vertekening en vragen om grote studies (Pu 2023, PMID 37432180).</w:t>
      </w:r>
    </w:p>
    <w:p>
      <w:pPr>
        <w:numPr>
          <w:ilvl w:val="0"/>
          <w:numId w:val="1292"/>
        </w:numPr>
        <w:pStyle w:val="Compact"/>
      </w:pPr>
      <w:r>
        <w:t xml:space="preserve">10 studies met 646 deelnemers: vocht en elasticiteit verbeterd, bij matige heterogeniteit en overwegend onduidelijk risico op vertekening (Danessa 2025, PMID 40826844).</w:t>
      </w:r>
    </w:p>
    <w:p>
      <w:pPr>
        <w:pStyle w:val="FirstParagraph"/>
      </w:pPr>
      <w:r>
        <w:t xml:space="preserve">Een meta-analyse uit 2025 ging een stap verder en splitste de studies naar financier en kwaliteit. Over alle 23 studies met 1.474 deelnemers heen was er opnieuw een voordeel. Bekeek men echter alleen de studies</w:t>
      </w:r>
      <w:r>
        <w:t xml:space="preserve"> </w:t>
      </w:r>
      <w:r>
        <w:rPr>
          <w:iCs/>
          <w:i/>
        </w:rPr>
        <w:t xml:space="preserve">zonder</w:t>
      </w:r>
      <w:r>
        <w:t xml:space="preserve"> </w:t>
      </w:r>
      <w:r>
        <w:t xml:space="preserve">financiering door de industrie, dan verdween het effect op vocht, elasticiteit en rimpels. Ook de methodologisch hoogwaardige studies lieten in geen enkele categorie een significant effect zien; alleen in de studies van lage kwaliteit werd een verbetering van de elasticiteit gevonden. De auteurs concluderen dat er momenteel geen klinisch bewijs is dat het gebruik van collageenpreparaten ter voorkoming of behandeling van huidveroudering ondersteunt (Myung 2025, PMID 40324552).</w:t>
      </w:r>
    </w:p>
    <w:p>
      <w:pPr>
        <w:pStyle w:val="BodyText"/>
      </w:pPr>
      <w:r>
        <w:t xml:space="preserve">Dit resultaat is geen definitief oordeel – het aantal onafhankelijke studies is klein, en het ontbreken van statistische significantie betekent niet automatisch dat er geen effect is. Het laat wel zien hoe sterk de positieve totaalbalans afhangt van studies die de aanbieders zelf hebben gefinancierd. Voor lezers betekent dat: de uitspraak „klinisch bewezen” op een collageenverpakking steunt doorgaans op studies van de eigen grondstofleverancier.</w:t>
      </w:r>
    </w:p>
    <w:bookmarkEnd w:id="861"/>
    <w:bookmarkStart w:id="862" w:name="gewrichten-en-artrose"/>
    <w:p>
      <w:pPr>
        <w:pStyle w:val="Heading4"/>
      </w:pPr>
      <w:r>
        <w:t xml:space="preserve">Gewrichten en artrose</w:t>
      </w:r>
    </w:p>
    <w:p>
      <w:pPr>
        <w:pStyle w:val="FirstParagraph"/>
      </w:pPr>
      <w:r>
        <w:t xml:space="preserve">De tweede grote groep studies betreft gewrichtspijn – zowel bij artrose als bij sportief actieve mensen zonder diagnose.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Deelnemers en opzet</w:t>
            </w:r>
          </w:p>
        </w:tc>
        <w:tc>
          <w:tcPr/>
          <w:p>
            <w:pPr>
              <w:pStyle w:val="Compact"/>
              <w:jc w:val="left"/>
            </w:pPr>
            <w:r>
              <w:t xml:space="preserve">Duur</w:t>
            </w:r>
          </w:p>
        </w:tc>
        <w:tc>
          <w:tcPr/>
          <w:p>
            <w:pPr>
              <w:pStyle w:val="Compact"/>
              <w:jc w:val="left"/>
            </w:pPr>
            <w:r>
              <w:t xml:space="preserve">Resultaat</w:t>
            </w:r>
          </w:p>
        </w:tc>
      </w:tr>
      <w:tr>
        <w:tc>
          <w:tcPr/>
          <w:p>
            <w:pPr>
              <w:pStyle w:val="Compact"/>
              <w:jc w:val="left"/>
            </w:pPr>
            <w:r>
              <w:t xml:space="preserve">Clark 2008, PMID 18416885</w:t>
            </w:r>
          </w:p>
        </w:tc>
        <w:tc>
          <w:tcPr/>
          <w:p>
            <w:pPr>
              <w:pStyle w:val="Compact"/>
              <w:jc w:val="left"/>
            </w:pPr>
            <w:r>
              <w:t xml:space="preserve">147 sporters met belastingsafhankelijke gewrichtspijn, 10 g vs. placebo</w:t>
            </w:r>
          </w:p>
        </w:tc>
        <w:tc>
          <w:tcPr/>
          <w:p>
            <w:pPr>
              <w:pStyle w:val="Compact"/>
              <w:jc w:val="left"/>
            </w:pPr>
            <w:r>
              <w:t xml:space="preserve">24 weken</w:t>
            </w:r>
          </w:p>
        </w:tc>
        <w:tc>
          <w:tcPr/>
          <w:p>
            <w:pPr>
              <w:pStyle w:val="Compact"/>
              <w:jc w:val="left"/>
            </w:pPr>
            <w:r>
              <w:t xml:space="preserve">Meerdere pijnscores beter dan placebo; slechts 97 van 147 analyseerbaar</w:t>
            </w:r>
          </w:p>
        </w:tc>
      </w:tr>
      <w:tr>
        <w:tc>
          <w:tcPr/>
          <w:p>
            <w:pPr>
              <w:pStyle w:val="Compact"/>
              <w:jc w:val="left"/>
            </w:pPr>
            <w:r>
              <w:t xml:space="preserve">Bruyère 2012, PMID 22500661</w:t>
            </w:r>
          </w:p>
        </w:tc>
        <w:tc>
          <w:tcPr/>
          <w:p>
            <w:pPr>
              <w:pStyle w:val="Compact"/>
              <w:jc w:val="left"/>
            </w:pPr>
            <w:r>
              <w:t xml:space="preserve">200 personen vanaf 50 met gewrichtspijn, 1,2 g vs. placebo</w:t>
            </w:r>
          </w:p>
        </w:tc>
        <w:tc>
          <w:tcPr/>
          <w:p>
            <w:pPr>
              <w:pStyle w:val="Compact"/>
              <w:jc w:val="left"/>
            </w:pPr>
            <w:r>
              <w:t xml:space="preserve">6 maanden</w:t>
            </w:r>
          </w:p>
        </w:tc>
        <w:tc>
          <w:tcPr/>
          <w:p>
            <w:pPr>
              <w:pStyle w:val="Compact"/>
              <w:jc w:val="left"/>
            </w:pPr>
            <w:r>
              <w:t xml:space="preserve">Responspercentage 51,6% vs. 36,5% na 6 maanden; na 3 maanden geen verschil</w:t>
            </w:r>
          </w:p>
        </w:tc>
      </w:tr>
      <w:tr>
        <w:tc>
          <w:tcPr/>
          <w:p>
            <w:pPr>
              <w:pStyle w:val="Compact"/>
              <w:jc w:val="left"/>
            </w:pPr>
            <w:r>
              <w:t xml:space="preserve">Kumar 2015, PMID 24852756</w:t>
            </w:r>
          </w:p>
        </w:tc>
        <w:tc>
          <w:tcPr/>
          <w:p>
            <w:pPr>
              <w:pStyle w:val="Compact"/>
              <w:jc w:val="left"/>
            </w:pPr>
            <w:r>
              <w:t xml:space="preserve">knieartrose, peptiden uit varkenshuid of runderbot vs. placebo</w:t>
            </w:r>
          </w:p>
        </w:tc>
        <w:tc>
          <w:tcPr/>
          <w:p>
            <w:pPr>
              <w:pStyle w:val="Compact"/>
              <w:jc w:val="left"/>
            </w:pPr>
            <w:r>
              <w:t xml:space="preserve">13 weken</w:t>
            </w:r>
          </w:p>
        </w:tc>
        <w:tc>
          <w:tcPr/>
          <w:p>
            <w:pPr>
              <w:pStyle w:val="Compact"/>
              <w:jc w:val="left"/>
            </w:pPr>
            <w:r>
              <w:t xml:space="preserve">WOMAC-, pijn- en kwaliteit-van-levenscores beter dan placebo</w:t>
            </w:r>
          </w:p>
        </w:tc>
      </w:tr>
      <w:tr>
        <w:tc>
          <w:tcPr/>
          <w:p>
            <w:pPr>
              <w:pStyle w:val="Compact"/>
              <w:jc w:val="left"/>
            </w:pPr>
            <w:r>
              <w:t xml:space="preserve">Zdzieblik 2017, PMID 28177710</w:t>
            </w:r>
          </w:p>
        </w:tc>
        <w:tc>
          <w:tcPr/>
          <w:p>
            <w:pPr>
              <w:pStyle w:val="Compact"/>
              <w:jc w:val="left"/>
            </w:pPr>
            <w:r>
              <w:t xml:space="preserve">139 sporters met knieklachten, 5 g vs. placebo</w:t>
            </w:r>
          </w:p>
        </w:tc>
        <w:tc>
          <w:tcPr/>
          <w:p>
            <w:pPr>
              <w:pStyle w:val="Compact"/>
              <w:jc w:val="left"/>
            </w:pPr>
            <w:r>
              <w:t xml:space="preserve">12 weken</w:t>
            </w:r>
          </w:p>
        </w:tc>
        <w:tc>
          <w:tcPr/>
          <w:p>
            <w:pPr>
              <w:pStyle w:val="Compact"/>
              <w:jc w:val="left"/>
            </w:pPr>
            <w:r>
              <w:t xml:space="preserve">Belastingspijn beter dan placebo (p = 0,046); rustpijn niet</w:t>
            </w:r>
          </w:p>
        </w:tc>
      </w:tr>
      <w:tr>
        <w:tc>
          <w:tcPr/>
          <w:p>
            <w:pPr>
              <w:pStyle w:val="Compact"/>
              <w:jc w:val="left"/>
            </w:pPr>
            <w:r>
              <w:t xml:space="preserve">Bongers 2020, PMID 31990581</w:t>
            </w:r>
          </w:p>
        </w:tc>
        <w:tc>
          <w:tcPr/>
          <w:p>
            <w:pPr>
              <w:pStyle w:val="Compact"/>
              <w:jc w:val="left"/>
            </w:pPr>
            <w:r>
              <w:t xml:space="preserve">167 actieve personen (mediaan 63 j.) met kniepijn, 10 g vs. placebo</w:t>
            </w:r>
          </w:p>
        </w:tc>
        <w:tc>
          <w:tcPr/>
          <w:p>
            <w:pPr>
              <w:pStyle w:val="Compact"/>
              <w:jc w:val="left"/>
            </w:pPr>
            <w:r>
              <w:t xml:space="preserve">12 weken</w:t>
            </w:r>
          </w:p>
        </w:tc>
        <w:tc>
          <w:tcPr/>
          <w:p>
            <w:pPr>
              <w:pStyle w:val="Compact"/>
              <w:jc w:val="left"/>
            </w:pPr>
            <w:r>
              <w:t xml:space="preserve">Geen verschil: pijn daalde in beide groepen even sterk</w:t>
            </w:r>
          </w:p>
        </w:tc>
      </w:tr>
    </w:tbl>
    <w:p>
      <w:pPr>
        <w:pStyle w:val="BodyText"/>
      </w:pPr>
      <w:r>
        <w:t xml:space="preserve">De studie van Bongers is opmerkelijk, omdat ze tot de grotere behoort en een duidelijk negatief resultaat rapporteert: kniepijn en kniefunctie verbeterden – maar onder placebo net zo goed als onder collageen. Dat illustreert hoe groot het placebo-effect bij gewrichtspijn is.</w:t>
      </w:r>
    </w:p>
    <w:p>
      <w:pPr>
        <w:pStyle w:val="BodyText"/>
      </w:pPr>
      <w:r>
        <w:t xml:space="preserve">De meta-analyses komen toch overwegend tot een gunstig resultaat:</w:t>
      </w:r>
    </w:p>
    <w:p>
      <w:pPr>
        <w:numPr>
          <w:ilvl w:val="0"/>
          <w:numId w:val="1293"/>
        </w:numPr>
        <w:pStyle w:val="Compact"/>
      </w:pPr>
      <w:r>
        <w:t xml:space="preserve">Een meta-analyse van gerandomiseerde, placebogecontroleerde studies vond een significante verlaging van de totale WOMAC-score (een artrosevragenlijst) en van de pijnscore op de visueel analoge schaal; de subschalen pijn en functiebeperking van de WOMAC verschilden echter niet significant (García-Coronado 2019, PMID 30368550).</w:t>
      </w:r>
    </w:p>
    <w:p>
      <w:pPr>
        <w:numPr>
          <w:ilvl w:val="0"/>
          <w:numId w:val="1293"/>
        </w:numPr>
        <w:pStyle w:val="Compact"/>
      </w:pPr>
      <w:r>
        <w:t xml:space="preserve">De tot nu toe uitgebreidste analyse omvatte 35 studies met 3.165 patiënten met artrose. Collageenderivaten – hier zijn gehydrolyseerd en ongedenatureerd collageen samengenomen – hadden kleine tot matige effecten op pijn (gestandaardiseerd gemiddeld verschil −0,35) en functie (−0,31). Bijwerkingen en studie-uitval kwamen niet vaker voor dan onder controle (Liang 2024, PMID 38218227).</w:t>
      </w:r>
    </w:p>
    <w:p>
      <w:pPr>
        <w:numPr>
          <w:ilvl w:val="0"/>
          <w:numId w:val="1293"/>
        </w:numPr>
        <w:pStyle w:val="Compact"/>
      </w:pPr>
      <w:r>
        <w:t xml:space="preserve">Een analyse van slechts vier studies met 507 patiënten met knieartrose vond eveneens pijnverlichting, maar beoordeelde alle vier de studies als behept met een hoog risico op vertekening (Lin 2023, PMID 37717022).</w:t>
      </w:r>
    </w:p>
    <w:p>
      <w:pPr>
        <w:numPr>
          <w:ilvl w:val="0"/>
          <w:numId w:val="1293"/>
        </w:numPr>
        <w:pStyle w:val="Compact"/>
      </w:pPr>
      <w:r>
        <w:t xml:space="preserve">Een geactualiseerde meta-analyse met 11 studies en 870 deelnemers meldde verbeteringen van functie en pijn, zij het bij zeer hoge heterogeniteit (I² 75 resp. 88%) (Simental-Mendía 2025, PMID 39212129).</w:t>
      </w:r>
    </w:p>
    <w:p>
      <w:pPr>
        <w:pStyle w:val="FirstParagraph"/>
      </w:pPr>
      <w:r>
        <w:t xml:space="preserve">Ter plaatsing: een gestandaardiseerd gemiddeld verschil van ongeveer 0,3 geldt als een klein effect. Het ligt in een vergelijkbare orde van grootte als bij sommige andere voedingssupplementen voor artrose en is duidelijk kleiner dan het effect dat men van een pijnstiller verwacht. Een groot overzicht van voedingssupplementen bij artrose vond voor collageenhydrolysaat op korte termijn grote effecten op de pijn, maar concludeerde in het geheel dat de kwaliteit van het bewijs zeer laag is en dat geen enkel preparaat op lange termijn klinisch relevante effecten liet zien (Liu 2018, PMID 29018060).</w:t>
      </w:r>
    </w:p>
    <w:bookmarkEnd w:id="862"/>
    <w:bookmarkStart w:id="863" w:name="X16ed58b9b75af6ca23e6c14eea6fc6cd78184ce"/>
    <w:p>
      <w:pPr>
        <w:pStyle w:val="Heading4"/>
      </w:pPr>
      <w:r>
        <w:t xml:space="preserve">Afbakening: ongedenatureerd type II-collageen (UC-II)</w:t>
      </w:r>
    </w:p>
    <w:p>
      <w:pPr>
        <w:pStyle w:val="FirstParagraph"/>
      </w:pPr>
      <w:r>
        <w:t xml:space="preserve">Ongedenatureerd type II-collageen wordt op een behoedzame manier gewonnen uit kraakbeen van kippenborst, zodat de oorspronkelijke structuur van het collageen gedeeltelijk behouden blijft. Het wordt in zeer kleine hoeveelheden ingenomen – in de studies 40 milligram per dag, dus ongeveer een honderdste tot een tweehonderdvijftigste van de grammenhoeveelheden bij collageenhydrolysaat. Het zou niet als bouwstof werken, maar via de zogenoemde orale tolerantie: het immuunsysteem in de darm zou leren kraakbeencollageen niet als aanvalsdoel te behandelen. Dit idee komt uit diermodellen van gewrichtsontsteking.</w:t>
      </w:r>
    </w:p>
    <w:p>
      <w:pPr>
        <w:pStyle w:val="BodyText"/>
      </w:pPr>
      <w:r>
        <w:t xml:space="preserve">Historisch werd het principe eerst getest bij reumatoïde artritis. Een kleine studie met 60 patiënten meldde in 1993 een afname van gezwollen en drukpijnlijke gewrichten (Trentham 1993, PMID 8378772). Een grotere studie met 274 deelnemers en vier doseringen vond daarna alleen bij de laagste dosis en alleen volgens één van drie beoordelingscriteria een significant voordeel (Barnett 1998, PMID 9485087). Als reumatherapie heeft de aanpak zich niet doorgezet.</w:t>
      </w:r>
    </w:p>
    <w:p>
      <w:pPr>
        <w:pStyle w:val="BodyText"/>
      </w:pPr>
      <w:r>
        <w:t xml:space="preserve">Voor artrose en gewrichtsklachten zijn er vooral studies die dicht bij de fabrikant staan: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Deelnemers en opzet</w:t>
            </w:r>
          </w:p>
        </w:tc>
        <w:tc>
          <w:tcPr/>
          <w:p>
            <w:pPr>
              <w:pStyle w:val="Compact"/>
              <w:jc w:val="left"/>
            </w:pPr>
            <w:r>
              <w:t xml:space="preserve">Duur</w:t>
            </w:r>
          </w:p>
        </w:tc>
        <w:tc>
          <w:tcPr/>
          <w:p>
            <w:pPr>
              <w:pStyle w:val="Compact"/>
              <w:jc w:val="left"/>
            </w:pPr>
            <w:r>
              <w:t xml:space="preserve">Resultaat</w:t>
            </w:r>
          </w:p>
        </w:tc>
      </w:tr>
      <w:tr>
        <w:tc>
          <w:tcPr/>
          <w:p>
            <w:pPr>
              <w:pStyle w:val="Compact"/>
              <w:jc w:val="left"/>
            </w:pPr>
            <w:r>
              <w:t xml:space="preserve">Lugo 2016, PMID 26822714</w:t>
            </w:r>
          </w:p>
        </w:tc>
        <w:tc>
          <w:tcPr/>
          <w:p>
            <w:pPr>
              <w:pStyle w:val="Compact"/>
              <w:jc w:val="left"/>
            </w:pPr>
            <w:r>
              <w:t xml:space="preserve">191 personen met knieartrose, UC-II vs. glucosamine/chondroïtine vs. placebo</w:t>
            </w:r>
          </w:p>
        </w:tc>
        <w:tc>
          <w:tcPr/>
          <w:p>
            <w:pPr>
              <w:pStyle w:val="Compact"/>
              <w:jc w:val="left"/>
            </w:pPr>
            <w:r>
              <w:t xml:space="preserve">180 dagen</w:t>
            </w:r>
          </w:p>
        </w:tc>
        <w:tc>
          <w:tcPr/>
          <w:p>
            <w:pPr>
              <w:pStyle w:val="Compact"/>
              <w:jc w:val="left"/>
            </w:pPr>
            <w:r>
              <w:t xml:space="preserve">Totale WOMAC-score beter dan placebo (p = 0,002) en dan glucosamine/chondroïtine (p = 0,04)</w:t>
            </w:r>
          </w:p>
        </w:tc>
      </w:tr>
      <w:tr>
        <w:tc>
          <w:tcPr/>
          <w:p>
            <w:pPr>
              <w:pStyle w:val="Compact"/>
              <w:jc w:val="left"/>
            </w:pPr>
            <w:r>
              <w:t xml:space="preserve">Lugo 2013, PMID 24153020</w:t>
            </w:r>
          </w:p>
        </w:tc>
        <w:tc>
          <w:tcPr/>
          <w:p>
            <w:pPr>
              <w:pStyle w:val="Compact"/>
              <w:jc w:val="left"/>
            </w:pPr>
            <w:r>
              <w:t xml:space="preserve">55 gezonde personen met belastingsafhankelijke kniepijn, UC-II vs. placebo</w:t>
            </w:r>
          </w:p>
        </w:tc>
        <w:tc>
          <w:tcPr/>
          <w:p>
            <w:pPr>
              <w:pStyle w:val="Compact"/>
              <w:jc w:val="left"/>
            </w:pPr>
            <w:r>
              <w:t xml:space="preserve">120 dagen</w:t>
            </w:r>
          </w:p>
        </w:tc>
        <w:tc>
          <w:tcPr/>
          <w:p>
            <w:pPr>
              <w:pStyle w:val="Compact"/>
              <w:jc w:val="left"/>
            </w:pPr>
            <w:r>
              <w:t xml:space="preserve">Kniestrekking 81,0° vs. 74,0°; langere pijnvrije belasting</w:t>
            </w:r>
          </w:p>
        </w:tc>
      </w:tr>
      <w:tr>
        <w:tc>
          <w:tcPr/>
          <w:p>
            <w:pPr>
              <w:pStyle w:val="Compact"/>
              <w:jc w:val="left"/>
            </w:pPr>
            <w:r>
              <w:t xml:space="preserve">Yuenyongviwat 2025, PMID 40897777</w:t>
            </w:r>
          </w:p>
        </w:tc>
        <w:tc>
          <w:tcPr/>
          <w:p>
            <w:pPr>
              <w:pStyle w:val="Compact"/>
              <w:jc w:val="left"/>
            </w:pPr>
            <w:r>
              <w:t xml:space="preserve">68 personen met knieartrose, UC-II plus collageenhydrolysaat vs. placebo</w:t>
            </w:r>
          </w:p>
        </w:tc>
        <w:tc>
          <w:tcPr/>
          <w:p>
            <w:pPr>
              <w:pStyle w:val="Compact"/>
              <w:jc w:val="left"/>
            </w:pPr>
            <w:r>
              <w:t xml:space="preserve">12 weken</w:t>
            </w:r>
          </w:p>
        </w:tc>
        <w:tc>
          <w:tcPr/>
          <w:p>
            <w:pPr>
              <w:pStyle w:val="Compact"/>
              <w:jc w:val="left"/>
            </w:pPr>
            <w:r>
              <w:t xml:space="preserve">Geen verschil in pijn, functie, medicatie naar behoefte</w:t>
            </w:r>
          </w:p>
        </w:tc>
      </w:tr>
    </w:tbl>
    <w:p>
      <w:pPr>
        <w:pStyle w:val="BodyText"/>
      </w:pPr>
      <w:r>
        <w:t xml:space="preserve">De nieuwste studie komt van een onafhankelijke onderzoeksgroep die er uitdrukkelijk op wijst dat de meeste eerdere collageenstudies door de industrie werden gefinancierd. Ze vond – zoals Bongers 2020 – verbeteringen in beide groepen, maar geen voordeel ten opzichte van placebo (Yuenyongviwat 2025, PMID 40897777, geregistreerd als NCT06229951).</w:t>
      </w:r>
    </w:p>
    <w:p>
      <w:pPr>
        <w:pStyle w:val="BodyText"/>
      </w:pPr>
      <w:r>
        <w:t xml:space="preserve">Belangrijk voor consumenten: UC-II en collageenhydrolysaat zijn niet uitwisselbaar. Wie studies over het ene product leest, kan daaruit niets afleiden over het andere.</w:t>
      </w:r>
    </w:p>
    <w:bookmarkEnd w:id="863"/>
    <w:bookmarkStart w:id="864" w:name="botten"/>
    <w:p>
      <w:pPr>
        <w:pStyle w:val="Heading4"/>
      </w:pPr>
      <w:r>
        <w:t xml:space="preserve">Botten</w:t>
      </w:r>
    </w:p>
    <w:p>
      <w:pPr>
        <w:pStyle w:val="FirstParagraph"/>
      </w:pPr>
      <w:r>
        <w:t xml:space="preserve">Bij botten zijn de gegevens mager, maar interessant: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Deelnemers en opzet</w:t>
            </w:r>
          </w:p>
        </w:tc>
        <w:tc>
          <w:tcPr/>
          <w:p>
            <w:pPr>
              <w:pStyle w:val="Compact"/>
              <w:jc w:val="left"/>
            </w:pPr>
            <w:r>
              <w:t xml:space="preserve">Duur</w:t>
            </w:r>
          </w:p>
        </w:tc>
        <w:tc>
          <w:tcPr/>
          <w:p>
            <w:pPr>
              <w:pStyle w:val="Compact"/>
              <w:jc w:val="left"/>
            </w:pPr>
            <w:r>
              <w:t xml:space="preserve">Resultaat</w:t>
            </w:r>
          </w:p>
        </w:tc>
      </w:tr>
      <w:tr>
        <w:tc>
          <w:tcPr/>
          <w:p>
            <w:pPr>
              <w:pStyle w:val="Compact"/>
              <w:jc w:val="left"/>
            </w:pPr>
            <w:r>
              <w:t xml:space="preserve">König 2018, PMID 29337906</w:t>
            </w:r>
          </w:p>
        </w:tc>
        <w:tc>
          <w:tcPr/>
          <w:p>
            <w:pPr>
              <w:pStyle w:val="Compact"/>
              <w:jc w:val="left"/>
            </w:pPr>
            <w:r>
              <w:t xml:space="preserve">131 vrouwen na de menopauze met verminderde botdichtheid, 5 g vs. placebo</w:t>
            </w:r>
          </w:p>
        </w:tc>
        <w:tc>
          <w:tcPr/>
          <w:p>
            <w:pPr>
              <w:pStyle w:val="Compact"/>
              <w:jc w:val="left"/>
            </w:pPr>
            <w:r>
              <w:t xml:space="preserve">12 maanden</w:t>
            </w:r>
          </w:p>
        </w:tc>
        <w:tc>
          <w:tcPr/>
          <w:p>
            <w:pPr>
              <w:pStyle w:val="Compact"/>
              <w:jc w:val="left"/>
            </w:pPr>
            <w:r>
              <w:t xml:space="preserve">T-score wervelkolom +0,1 vs. −0,03; dijbeenhals +0,09 vs. −0,01</w:t>
            </w:r>
          </w:p>
        </w:tc>
      </w:tr>
      <w:tr>
        <w:tc>
          <w:tcPr/>
          <w:p>
            <w:pPr>
              <w:pStyle w:val="Compact"/>
              <w:jc w:val="left"/>
            </w:pPr>
            <w:r>
              <w:t xml:space="preserve">Elam 2015, PMID 25314004</w:t>
            </w:r>
          </w:p>
        </w:tc>
        <w:tc>
          <w:tcPr/>
          <w:p>
            <w:pPr>
              <w:pStyle w:val="Compact"/>
              <w:jc w:val="left"/>
            </w:pPr>
            <w:r>
              <w:t xml:space="preserve">39 vrouwen met osteopenie, calcium-collageenchelaat plus vitamine D vs. calcium plus vitamine D</w:t>
            </w:r>
          </w:p>
        </w:tc>
        <w:tc>
          <w:tcPr/>
          <w:p>
            <w:pPr>
              <w:pStyle w:val="Compact"/>
              <w:jc w:val="left"/>
            </w:pPr>
            <w:r>
              <w:t xml:space="preserve">12 maanden</w:t>
            </w:r>
          </w:p>
        </w:tc>
        <w:tc>
          <w:tcPr/>
          <w:p>
            <w:pPr>
              <w:pStyle w:val="Compact"/>
              <w:jc w:val="left"/>
            </w:pPr>
            <w:r>
              <w:t xml:space="preserve">Verlies van totale botdichtheid −1,33% vs. −3,75% (deelnemers die de studie voltooiden)</w:t>
            </w:r>
          </w:p>
        </w:tc>
      </w:tr>
      <w:tr>
        <w:tc>
          <w:tcPr/>
          <w:p>
            <w:pPr>
              <w:pStyle w:val="Compact"/>
              <w:jc w:val="left"/>
            </w:pPr>
            <w:r>
              <w:t xml:space="preserve">Lampropoulou-Adamidou 2022, PMID 34980546</w:t>
            </w:r>
          </w:p>
        </w:tc>
        <w:tc>
          <w:tcPr/>
          <w:p>
            <w:pPr>
              <w:pStyle w:val="Compact"/>
              <w:jc w:val="left"/>
            </w:pPr>
            <w:r>
              <w:t xml:space="preserve">51 vrouwen met osteopenie, 5 g peptiden plus calcium/vitamine D vs. calcium/vitamine D</w:t>
            </w:r>
          </w:p>
        </w:tc>
        <w:tc>
          <w:tcPr/>
          <w:p>
            <w:pPr>
              <w:pStyle w:val="Compact"/>
              <w:jc w:val="left"/>
            </w:pPr>
            <w:r>
              <w:t xml:space="preserve">12 maanden</w:t>
            </w:r>
          </w:p>
        </w:tc>
        <w:tc>
          <w:tcPr/>
          <w:p>
            <w:pPr>
              <w:pStyle w:val="Compact"/>
              <w:jc w:val="left"/>
            </w:pPr>
            <w:r>
              <w:t xml:space="preserve">Hogere botdichtheid in scheenbeen en lendenwervelkolom met collageen</w:t>
            </w:r>
          </w:p>
        </w:tc>
      </w:tr>
    </w:tbl>
    <w:p>
      <w:pPr>
        <w:pStyle w:val="BodyText"/>
      </w:pPr>
      <w:r>
        <w:t xml:space="preserve">De verschillen zijn klein, de studies kort, en geen enkele studie heeft botbreuken – het eigenlijk beslissende eindpunt – onderzocht. Collageenpeptiden zijn geen vervanging voor een osteoporosebehandeling met aangetoonde vermindering van botbreuken.</w:t>
      </w:r>
    </w:p>
    <w:bookmarkEnd w:id="864"/>
    <w:bookmarkStart w:id="865" w:name="spieren-en-pezen"/>
    <w:p>
      <w:pPr>
        <w:pStyle w:val="Heading4"/>
      </w:pPr>
      <w:r>
        <w:t xml:space="preserve">Spieren en pezen</w:t>
      </w:r>
    </w:p>
    <w:p>
      <w:pPr>
        <w:pStyle w:val="FirstParagraph"/>
      </w:pPr>
      <w:r>
        <w:t xml:space="preserve">In de sport worden collageenpeptiden voor twee verschillende doelen aangeprezen: spieropbouw en versterking van pezen of banden.</w:t>
      </w:r>
    </w:p>
    <w:p>
      <w:pPr>
        <w:pStyle w:val="BodyText"/>
      </w:pPr>
      <w:r>
        <w:rPr>
          <w:bCs/>
          <w:b/>
        </w:rPr>
        <w:t xml:space="preserve">Spieropbouw.</w:t>
      </w:r>
      <w:r>
        <w:t xml:space="preserve"> </w:t>
      </w:r>
      <w:r>
        <w:t xml:space="preserve">De meest geciteerde studie onderzocht 53 oudere mannen met sarcopenie (leeftijdsgebonden spierverlies), die twaalf weken krachttraining deden en daarbij 15 g collageenpeptiden of placebo (siliciumdioxide) kregen. De vetvrije massa steeg onder collageen met 4,2 kg, onder placebo met 2,9 kg (Zdzieblik 2015, PMID 26353786). Het probleem: de placebogroep kreeg helemaal geen eiwit. Het voordeel zou dus eenvoudig aan de extra eiwitinname kunnen liggen.</w:t>
      </w:r>
    </w:p>
    <w:p>
      <w:pPr>
        <w:pStyle w:val="BodyText"/>
      </w:pPr>
      <w:r>
        <w:t xml:space="preserve">Precies deze vraag beantwoorden vergelijkingen met hoogwaardig eiwit. Bij 22 oudere vrouwen verhoogde wei-eiwit de spiereiwitsynthese zowel op korte termijn als over zes dagen, collageenpeptiden niet (Oikawa 2020, PMID 31919527). Bij jonge volwassenen nam de spierdikte na tien weken krachttraining met wei-eiwit sterker toe dan met collageen, zelfs als het collageen met leucine tot hetzelfde gehalte was verrijkt (Jacinto 2022, PMID 35042187). Een studie met 25 jonge mannen vond onder 2 × 15 g collageen per dag geen hogere synthese van spier- of bindweefseleiwit dan onder placebo (Kirmse 2024, PMID 39086044).</w:t>
      </w:r>
    </w:p>
    <w:p>
      <w:pPr>
        <w:pStyle w:val="BodyText"/>
      </w:pPr>
      <w:r>
        <w:rPr>
          <w:bCs/>
          <w:b/>
        </w:rPr>
        <w:t xml:space="preserve">Pezen.</w:t>
      </w:r>
      <w:r>
        <w:t xml:space="preserve"> </w:t>
      </w:r>
      <w:r>
        <w:t xml:space="preserve">Hier zijn de resultaten tegenstrijdig:</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Deelnemers en opzet</w:t>
            </w:r>
          </w:p>
        </w:tc>
        <w:tc>
          <w:tcPr/>
          <w:p>
            <w:pPr>
              <w:pStyle w:val="Compact"/>
              <w:jc w:val="left"/>
            </w:pPr>
            <w:r>
              <w:t xml:space="preserve">Duur</w:t>
            </w:r>
          </w:p>
        </w:tc>
        <w:tc>
          <w:tcPr/>
          <w:p>
            <w:pPr>
              <w:pStyle w:val="Compact"/>
              <w:jc w:val="left"/>
            </w:pPr>
            <w:r>
              <w:t xml:space="preserve">Resultaat</w:t>
            </w:r>
          </w:p>
        </w:tc>
      </w:tr>
      <w:tr>
        <w:tc>
          <w:tcPr/>
          <w:p>
            <w:pPr>
              <w:pStyle w:val="Compact"/>
              <w:jc w:val="left"/>
            </w:pPr>
            <w:r>
              <w:t xml:space="preserve">Jerger 2023, PMID 37424319</w:t>
            </w:r>
          </w:p>
        </w:tc>
        <w:tc>
          <w:tcPr/>
          <w:p>
            <w:pPr>
              <w:pStyle w:val="Compact"/>
              <w:jc w:val="left"/>
            </w:pPr>
            <w:r>
              <w:t xml:space="preserve">50 mannen, krachttraining plus 5 g vs. placebo</w:t>
            </w:r>
          </w:p>
        </w:tc>
        <w:tc>
          <w:tcPr/>
          <w:p>
            <w:pPr>
              <w:pStyle w:val="Compact"/>
              <w:jc w:val="left"/>
            </w:pPr>
            <w:r>
              <w:t xml:space="preserve">14 weken</w:t>
            </w:r>
          </w:p>
        </w:tc>
        <w:tc>
          <w:tcPr/>
          <w:p>
            <w:pPr>
              <w:pStyle w:val="Compact"/>
              <w:jc w:val="left"/>
            </w:pPr>
            <w:r>
              <w:t xml:space="preserve">Doorsnede van de patellapees sterker vergroot; stijfheid en kracht zonder groepsverschil</w:t>
            </w:r>
          </w:p>
        </w:tc>
      </w:tr>
      <w:tr>
        <w:tc>
          <w:tcPr/>
          <w:p>
            <w:pPr>
              <w:pStyle w:val="Compact"/>
              <w:jc w:val="left"/>
            </w:pPr>
            <w:r>
              <w:t xml:space="preserve">Balshaw 2023, PMID 37436929</w:t>
            </w:r>
          </w:p>
        </w:tc>
        <w:tc>
          <w:tcPr/>
          <w:p>
            <w:pPr>
              <w:pStyle w:val="Compact"/>
              <w:jc w:val="left"/>
            </w:pPr>
            <w:r>
              <w:t xml:space="preserve">39 jonge mannen, krachttraining plus 15 g vs. placebo</w:t>
            </w:r>
          </w:p>
        </w:tc>
        <w:tc>
          <w:tcPr/>
          <w:p>
            <w:pPr>
              <w:pStyle w:val="Compact"/>
              <w:jc w:val="left"/>
            </w:pPr>
            <w:r>
              <w:t xml:space="preserve">15 weken</w:t>
            </w:r>
          </w:p>
        </w:tc>
        <w:tc>
          <w:tcPr/>
          <w:p>
            <w:pPr>
              <w:pStyle w:val="Compact"/>
              <w:jc w:val="left"/>
            </w:pPr>
            <w:r>
              <w:t xml:space="preserve">Geen verschillen in peesgrootte of -mechanica</w:t>
            </w:r>
          </w:p>
        </w:tc>
      </w:tr>
      <w:tr>
        <w:tc>
          <w:tcPr/>
          <w:p>
            <w:pPr>
              <w:pStyle w:val="Compact"/>
              <w:jc w:val="left"/>
            </w:pPr>
            <w:r>
              <w:t xml:space="preserve">Miyamoto 2025, PMID 40623147</w:t>
            </w:r>
          </w:p>
        </w:tc>
        <w:tc>
          <w:tcPr/>
          <w:p>
            <w:pPr>
              <w:pStyle w:val="Compact"/>
              <w:jc w:val="left"/>
            </w:pPr>
            <w:r>
              <w:t xml:space="preserve">50 ongetrainde mannen, 10 g vs. placebo</w:t>
            </w:r>
          </w:p>
        </w:tc>
        <w:tc>
          <w:tcPr/>
          <w:p>
            <w:pPr>
              <w:pStyle w:val="Compact"/>
              <w:jc w:val="left"/>
            </w:pPr>
            <w:r>
              <w:t xml:space="preserve">16 weken</w:t>
            </w:r>
          </w:p>
        </w:tc>
        <w:tc>
          <w:tcPr/>
          <w:p>
            <w:pPr>
              <w:pStyle w:val="Compact"/>
              <w:jc w:val="left"/>
            </w:pPr>
            <w:r>
              <w:t xml:space="preserve">Stijfheid van kuitspier en achillespees verhoogd; doorsnede onveranderd</w:t>
            </w:r>
          </w:p>
        </w:tc>
      </w:tr>
      <w:tr>
        <w:tc>
          <w:tcPr/>
          <w:p>
            <w:pPr>
              <w:pStyle w:val="Compact"/>
              <w:jc w:val="left"/>
            </w:pPr>
            <w:r>
              <w:t xml:space="preserve">Praet 2019, PMID 30609761</w:t>
            </w:r>
          </w:p>
        </w:tc>
        <w:tc>
          <w:tcPr/>
          <w:p>
            <w:pPr>
              <w:pStyle w:val="Compact"/>
              <w:jc w:val="left"/>
            </w:pPr>
            <w:r>
              <w:t xml:space="preserve">20 personen met achillespeesklachten, cross-over met training</w:t>
            </w:r>
          </w:p>
        </w:tc>
        <w:tc>
          <w:tcPr/>
          <w:p>
            <w:pPr>
              <w:pStyle w:val="Compact"/>
              <w:jc w:val="left"/>
            </w:pPr>
            <w:r>
              <w:t xml:space="preserve">6 maanden</w:t>
            </w:r>
          </w:p>
        </w:tc>
        <w:tc>
          <w:tcPr/>
          <w:p>
            <w:pPr>
              <w:pStyle w:val="Compact"/>
              <w:jc w:val="left"/>
            </w:pPr>
            <w:r>
              <w:t xml:space="preserve">Snellere verbetering op de klachtenvragenlijst in de collageenfase (pilotstudie)</w:t>
            </w:r>
          </w:p>
        </w:tc>
      </w:tr>
      <w:tr>
        <w:tc>
          <w:tcPr/>
          <w:p>
            <w:pPr>
              <w:pStyle w:val="Compact"/>
              <w:jc w:val="left"/>
            </w:pPr>
            <w:r>
              <w:t xml:space="preserve">Dressler 2018, PMID 29769831</w:t>
            </w:r>
          </w:p>
        </w:tc>
        <w:tc>
          <w:tcPr/>
          <w:p>
            <w:pPr>
              <w:pStyle w:val="Compact"/>
              <w:jc w:val="left"/>
            </w:pPr>
            <w:r>
              <w:t xml:space="preserve">50 sporters met chronische enkelinstabiliteit, 5 g vs. placebo</w:t>
            </w:r>
          </w:p>
        </w:tc>
        <w:tc>
          <w:tcPr/>
          <w:p>
            <w:pPr>
              <w:pStyle w:val="Compact"/>
              <w:jc w:val="left"/>
            </w:pPr>
            <w:r>
              <w:t xml:space="preserve">6 maanden</w:t>
            </w:r>
          </w:p>
        </w:tc>
        <w:tc>
          <w:tcPr/>
          <w:p>
            <w:pPr>
              <w:pStyle w:val="Compact"/>
              <w:jc w:val="left"/>
            </w:pPr>
            <w:r>
              <w:t xml:space="preserve">Subjectieve stabiliteit beter; mechanische stabiliteit onveranderd</w:t>
            </w:r>
          </w:p>
        </w:tc>
      </w:tr>
    </w:tbl>
    <w:p>
      <w:pPr>
        <w:pStyle w:val="BodyText"/>
      </w:pPr>
      <w:r>
        <w:t xml:space="preserve">Een meta-analyse van 19 studies met 768 gezonde volwassenen vond bij langdurige collageeninname in combinatie met training kleine voordelen bij vetvrije massa, peesmorfologie, spierarchitectuur en maximale kracht. De betrouwbaarheid van het bewijs werd voor de lichaamssamenstelling als matig, voor de peesmorfologie als zeer laag en voor de overige uitkomsten als laag beoordeeld (Bischof 2024, PMID 39060741). Een eerder systematisch overzicht concludeerde dat collageen bij de spiereiwitsynthese niet opgewassen is tegen hoogwaardigere eiwitbronnen (Khatri 2021, PMID 34491424).</w:t>
      </w:r>
    </w:p>
    <w:p>
      <w:pPr>
        <w:pStyle w:val="BodyText"/>
      </w:pPr>
      <w:r>
        <w:rPr>
          <w:bCs/>
          <w:b/>
        </w:rPr>
        <w:t xml:space="preserve">Tussenconclusie sport:</w:t>
      </w:r>
      <w:r>
        <w:t xml:space="preserve"> </w:t>
      </w:r>
      <w:r>
        <w:t xml:space="preserve">voor spieropbouw zijn er betere en goedkopere eiwitbronnen. Voor pezen en banden is een nut biologisch plausibel en wordt het in sommige studies gesuggereerd, maar het is niet betrouwbaar aangetoond.</w:t>
      </w:r>
    </w:p>
    <w:bookmarkEnd w:id="865"/>
    <w:bookmarkStart w:id="866" w:name="andere-toepassingsgebieden"/>
    <w:p>
      <w:pPr>
        <w:pStyle w:val="Heading4"/>
      </w:pPr>
      <w:r>
        <w:t xml:space="preserve">Andere toepassingsgebieden</w:t>
      </w:r>
    </w:p>
    <w:p>
      <w:pPr>
        <w:pStyle w:val="FirstParagraph"/>
      </w:pPr>
      <w:r>
        <w:t xml:space="preserve">In kleinere studies werden collageenpeptiden onder meer onderzocht bij bloeddruk en vaatfunctie, slaap, eetlust, tandvleesontsteking en darmklachten. Een meta-analyse van 12 placebogecontroleerde studies meldde een verlaging van de systolische bloeddruk met 5,04 mmHg en van het LDL-cholesterol met 4,09 mg/dl, zij het bij een extreem hoge heterogeniteit van de afzonderlijke studies (I² 98,9 resp. 93,4%) (Jalili 2023, PMID 35658958). Deze gebieden zijn te weinig onderzocht om betrouwbare uitspraken te doen.</w:t>
      </w:r>
    </w:p>
    <w:bookmarkEnd w:id="866"/>
    <w:bookmarkEnd w:id="867"/>
    <w:bookmarkStart w:id="868" w:name="dier--en-laboratoriumstudies-52"/>
    <w:p>
      <w:pPr>
        <w:pStyle w:val="Heading3"/>
      </w:pPr>
      <w:r>
        <w:t xml:space="preserve">Dier- en laboratoriumstudies</w:t>
      </w:r>
    </w:p>
    <w:p>
      <w:pPr>
        <w:pStyle w:val="FirstParagraph"/>
      </w:pPr>
      <w:r>
        <w:t xml:space="preserve">In celkweken stimuleren collageenpeptiden en in het bijzonder prolyl-hydroxyproline fibroblasten van de huid tot groei; bij muizen en ratten verbeterden ze in proeven de huidbarrière, de botdichtheid en het kraakbeenmetabolisme. In menselijke huidmonsters in het laboratorium (ex vivo) bevorderden collageenpeptiden de aanmaak van collageen en glycosaminoglycanen (Asserin 2015, PMID 26362110). Een systematisch overzicht van elf overwegend experimentele studies concludeerde dat collageenhydrolysaten in concentraties van 50 tot 500 microgram per milliliter fibroblasten stimuleren zonder giftig te zijn (Inacio 2024, PMID 38892477). In knaagdierproeven met calorierijke voeding werden in een meta-analyse effecten op gewicht en vetmassa beschreven (Bischof 2026, PMID 41168365) – een bevinding die bij mensen niet is aangetoond.</w:t>
      </w:r>
    </w:p>
    <w:p>
      <w:pPr>
        <w:pStyle w:val="BodyText"/>
      </w:pPr>
      <w:r>
        <w:t xml:space="preserve">Deze resultaten maken de hypothesen plausibel. Ze bewijzen echter niet dat de peptideconcentraties die bij mensen na het drinken worden bereikt, in het doelweefsel volstaan.</w:t>
      </w:r>
    </w:p>
    <w:bookmarkEnd w:id="868"/>
    <w:bookmarkStart w:id="869" w:name="risicos-en-bijwerkingen-52"/>
    <w:p>
      <w:pPr>
        <w:pStyle w:val="Heading3"/>
      </w:pPr>
      <w:r>
        <w:t xml:space="preserve">Risico’s en bijwerkingen</w:t>
      </w:r>
    </w:p>
    <w:p>
      <w:pPr>
        <w:pStyle w:val="FirstParagraph"/>
      </w:pPr>
      <w:r>
        <w:rPr>
          <w:bCs/>
          <w:b/>
        </w:rPr>
        <w:t xml:space="preserve">Aangetoond:</w:t>
      </w:r>
      <w:r>
        <w:t xml:space="preserve"> </w:t>
      </w:r>
      <w:r>
        <w:t xml:space="preserve">in de gerandomiseerde studies traden bijwerkingen niet vaker op dan onder placebo. De grote artrose-meta-analyse vond geen verhoogd risico op ongewenste voorvallen of studie-uitval (Liang 2024, PMID 38218227). Af en toe worden een vol gevoel, winderigheid of een onaangename smaak gemeld.</w:t>
      </w:r>
    </w:p>
    <w:p>
      <w:pPr>
        <w:pStyle w:val="BodyText"/>
      </w:pPr>
      <w:r>
        <w:rPr>
          <w:bCs/>
          <w:b/>
        </w:rPr>
        <w:t xml:space="preserve">Om op te letten:</w:t>
      </w:r>
    </w:p>
    <w:p>
      <w:pPr>
        <w:numPr>
          <w:ilvl w:val="0"/>
          <w:numId w:val="1294"/>
        </w:numPr>
        <w:pStyle w:val="Compact"/>
      </w:pPr>
      <w:r>
        <w:rPr>
          <w:bCs/>
          <w:b/>
        </w:rPr>
        <w:t xml:space="preserve">Allergieën en intoleranties:</w:t>
      </w:r>
      <w:r>
        <w:t xml:space="preserve"> </w:t>
      </w:r>
      <w:r>
        <w:t xml:space="preserve">collageen uit vis kan bij een visallergie problematisch zijn; producten van rund of varken zijn relevant voor mensen die deze dieren om religieuze of ethische redenen mijden. De herkomst staat op de ingrediëntenlijst.</w:t>
      </w:r>
    </w:p>
    <w:p>
      <w:pPr>
        <w:numPr>
          <w:ilvl w:val="0"/>
          <w:numId w:val="1294"/>
        </w:numPr>
        <w:pStyle w:val="Compact"/>
      </w:pPr>
      <w:r>
        <w:rPr>
          <w:bCs/>
          <w:b/>
        </w:rPr>
        <w:t xml:space="preserve">Oxalaat en nierstenen:</w:t>
      </w:r>
      <w:r>
        <w:t xml:space="preserve"> </w:t>
      </w:r>
      <w:r>
        <w:t xml:space="preserve">hydroxyproline wordt in het lichaam gedeeltelijk afgebroken tot oxalaat. In een studie steeg de oxalaatuitscheiding in de urine na 30 g gelatine per dag met 43% ten opzichte van wei-eiwit; al 5 tot 10 g gelatine leidde tot meetbare veranderingen (Knight 2006, PMID 17021603). Voor gezonde mensen is de betekenis onduidelijk. Mensen met calciumoxalaatnierstenen of een aangeboren hyperoxalurie doen er goed aan de inname met een arts te bespreken (theoretisch, maar biologisch onderbouwd risico).</w:t>
      </w:r>
    </w:p>
    <w:p>
      <w:pPr>
        <w:numPr>
          <w:ilvl w:val="0"/>
          <w:numId w:val="1294"/>
        </w:numPr>
        <w:pStyle w:val="Compact"/>
      </w:pPr>
      <w:r>
        <w:rPr>
          <w:bCs/>
          <w:b/>
        </w:rPr>
        <w:t xml:space="preserve">Eiwithoeveelheid:</w:t>
      </w:r>
      <w:r>
        <w:t xml:space="preserve"> </w:t>
      </w:r>
      <w:r>
        <w:t xml:space="preserve">bij nierziekten met eiwitbeperking telt ook collageen mee voor de dagelijkse eiwitinname.</w:t>
      </w:r>
    </w:p>
    <w:p>
      <w:pPr>
        <w:numPr>
          <w:ilvl w:val="0"/>
          <w:numId w:val="1294"/>
        </w:numPr>
        <w:pStyle w:val="Compact"/>
      </w:pPr>
      <w:r>
        <w:rPr>
          <w:bCs/>
          <w:b/>
        </w:rPr>
        <w:t xml:space="preserve">Productkwaliteit:</w:t>
      </w:r>
      <w:r>
        <w:t xml:space="preserve"> </w:t>
      </w:r>
      <w:r>
        <w:t xml:space="preserve">voedingssupplementen worden vóór de verkoop niet op werkzaamheid getest. Voor zuiverheid en afwezigheid van schadelijke stoffen is de fabrikant verantwoordelijk; het toezicht op levensmiddelen controleert slechts steekproefsgewijs.</w:t>
      </w:r>
    </w:p>
    <w:p>
      <w:pPr>
        <w:numPr>
          <w:ilvl w:val="0"/>
          <w:numId w:val="1294"/>
        </w:numPr>
        <w:pStyle w:val="Compact"/>
      </w:pPr>
      <w:r>
        <w:rPr>
          <w:bCs/>
          <w:b/>
        </w:rPr>
        <w:t xml:space="preserve">Valse zekerheid:</w:t>
      </w:r>
      <w:r>
        <w:t xml:space="preserve"> </w:t>
      </w:r>
      <w:r>
        <w:t xml:space="preserve">het grootste praktische risico is dat collageen wordt gebruikt in plaats van werkzame maatregelen – bijvoorbeeld in plaats van uv-bescherming bij huidveroudering of in plaats van een osteoporosebehandeling.</w:t>
      </w:r>
    </w:p>
    <w:bookmarkEnd w:id="869"/>
    <w:bookmarkStart w:id="870" w:name="juridische-status-52"/>
    <w:p>
      <w:pPr>
        <w:pStyle w:val="Heading3"/>
      </w:pPr>
      <w:r>
        <w:t xml:space="preserve">Juridische status</w:t>
      </w:r>
    </w:p>
    <w:p>
      <w:pPr>
        <w:numPr>
          <w:ilvl w:val="0"/>
          <w:numId w:val="1295"/>
        </w:numPr>
        <w:pStyle w:val="Compact"/>
      </w:pPr>
      <w:r>
        <w:rPr>
          <w:bCs/>
          <w:b/>
        </w:rPr>
        <w:t xml:space="preserve">EU / Oostenrijk / Duitsland:</w:t>
      </w:r>
      <w:r>
        <w:t xml:space="preserve"> </w:t>
      </w:r>
      <w:r>
        <w:t xml:space="preserve">collageenpeptiden zijn levensmiddelen. In Duitsland moeten voedingssupplementen vóór de eerste verkoop worden gemeld bij het Bundesamt für Verbraucherschutz und Lebensmittelsicherheit (BVL); in Oostenrijk gelden eigen regels. Een toetsing van de werkzaamheid vindt in geen van beide landen plaats. Gezondheidsclaims zijn volgens de EU-claimsverordening (Verordening (EG) nr. 1924/2006) alleen toegestaan als ze in de EU-lijst zijn toegelaten.</w:t>
      </w:r>
      <w:r>
        <w:t xml:space="preserve"> </w:t>
      </w:r>
      <w:r>
        <w:rPr>
          <w:bCs/>
          <w:b/>
        </w:rPr>
        <w:t xml:space="preserve">Voor collageen of collageenpeptiden bestaat geen toegelaten gezondheidsclaim.</w:t>
      </w:r>
      <w:r>
        <w:t xml:space="preserve"> </w:t>
      </w:r>
      <w:r>
        <w:t xml:space="preserve">De Europese Autoriteit voor voedselveiligheid (EFSA) heeft aangevraagde claims, bijvoorbeeld over de gezondheid van gewrichten, negatief beoordeeld, omdat een oorzaak-gevolgverband niet was aangetoond. Daarom bevatten veel producten vitamine C: voor vitamine C is de claim toegelaten dat het bijdraagt tot de normale collageenvorming voor de normale werking van huid, kraakbeen, botten, tandvlees, tanden en bloedvaten. De reclamezin heeft dan juridisch betrekking op de vitamine, niet op het collageen. Uitspraken over schoonheid („voor een strakkere huid”) bevinden zich in een grijze zone en worden door rechtbanken verschillend beoordeeld.</w:t>
      </w:r>
    </w:p>
    <w:p>
      <w:pPr>
        <w:numPr>
          <w:ilvl w:val="0"/>
          <w:numId w:val="1295"/>
        </w:numPr>
        <w:pStyle w:val="Compact"/>
      </w:pPr>
      <w:r>
        <w:rPr>
          <w:bCs/>
          <w:b/>
        </w:rPr>
        <w:t xml:space="preserve">VS:</w:t>
      </w:r>
      <w:r>
        <w:t xml:space="preserve"> </w:t>
      </w:r>
      <w:r>
        <w:t xml:space="preserve">collageenpeptiden worden verkocht als dietary supplement. Fabrikanten mogen zogenoemde structuur-functieclaims doen („ondersteunt een gezonde huid”), maar moeten daarbij vermelden dat de claim niet door de FDA is beoordeeld. Ziektegerelateerde beloften zijn niet toegestaan.</w:t>
      </w:r>
    </w:p>
    <w:p>
      <w:pPr>
        <w:numPr>
          <w:ilvl w:val="0"/>
          <w:numId w:val="1295"/>
        </w:numPr>
        <w:pStyle w:val="Compact"/>
      </w:pPr>
      <w:r>
        <w:rPr>
          <w:bCs/>
          <w:b/>
        </w:rPr>
        <w:t xml:space="preserve">Sport:</w:t>
      </w:r>
      <w:r>
        <w:t xml:space="preserve"> </w:t>
      </w:r>
      <w:r>
        <w:t xml:space="preserve">collageenpeptiden staan niet op de verboden lijst van de WADA. Zoals bij alle voedingssupplementen bestaat een restrisico op verontreinigingen; topsporters doen er goed aan op gecontroleerde lijsten te letten (bijv. de Kölner Liste) (stand 2026, actuele situatie controleren).</w:t>
      </w:r>
    </w:p>
    <w:bookmarkEnd w:id="870"/>
    <w:bookmarkStart w:id="871" w:name="lopende-studies-en-vooruitzichten-52"/>
    <w:p>
      <w:pPr>
        <w:pStyle w:val="Heading3"/>
      </w:pPr>
      <w:r>
        <w:t xml:space="preserve">Lopende studies en vooruitzichten</w:t>
      </w:r>
    </w:p>
    <w:p>
      <w:pPr>
        <w:pStyle w:val="FirstParagraph"/>
      </w:pPr>
      <w:r>
        <w:rPr>
          <w:bCs/>
          <w:b/>
        </w:rPr>
        <w:t xml:space="preserve">Zeker (geregistreerde studies, stand oktober 2026):</w:t>
      </w:r>
    </w:p>
    <w:p>
      <w:pPr>
        <w:numPr>
          <w:ilvl w:val="0"/>
          <w:numId w:val="1296"/>
        </w:numPr>
        <w:pStyle w:val="Compact"/>
      </w:pPr>
      <w:r>
        <w:rPr>
          <w:bCs/>
          <w:b/>
        </w:rPr>
        <w:t xml:space="preserve">Knieartrose:</w:t>
      </w:r>
      <w:r>
        <w:t xml:space="preserve"> </w:t>
      </w:r>
      <w:r>
        <w:t xml:space="preserve">een studie van het Istituto Ortopedico Rizzoli vergelijkt een formulering met collageenhydrolysaat met placebo bij 204 deelnemers (NCT04998188). Een kleinere studie vergelijkt verschillende vormen van collageen (NCT07800780).</w:t>
      </w:r>
    </w:p>
    <w:p>
      <w:pPr>
        <w:numPr>
          <w:ilvl w:val="0"/>
          <w:numId w:val="1296"/>
        </w:numPr>
        <w:pStyle w:val="Compact"/>
      </w:pPr>
      <w:r>
        <w:rPr>
          <w:bCs/>
          <w:b/>
        </w:rPr>
        <w:t xml:space="preserve">Knieprothese:</w:t>
      </w:r>
      <w:r>
        <w:t xml:space="preserve"> </w:t>
      </w:r>
      <w:r>
        <w:t xml:space="preserve">collageenpeptiden na een totale knieprothese, eindpunten bindweefselombouw en wondgenezing (NCT05823727).</w:t>
      </w:r>
    </w:p>
    <w:p>
      <w:pPr>
        <w:numPr>
          <w:ilvl w:val="0"/>
          <w:numId w:val="1296"/>
        </w:numPr>
        <w:pStyle w:val="Compact"/>
      </w:pPr>
      <w:r>
        <w:rPr>
          <w:bCs/>
          <w:b/>
        </w:rPr>
        <w:t xml:space="preserve">Huid:</w:t>
      </w:r>
      <w:r>
        <w:t xml:space="preserve"> </w:t>
      </w:r>
      <w:r>
        <w:t xml:space="preserve">een vergelijking van oraal en uitwendig gebruik van collageen, afzonderlijk en gecombineerd, met gepland 165 vrouwen (NCT07473037).</w:t>
      </w:r>
    </w:p>
    <w:p>
      <w:pPr>
        <w:numPr>
          <w:ilvl w:val="0"/>
          <w:numId w:val="1296"/>
        </w:numPr>
        <w:pStyle w:val="Compact"/>
      </w:pPr>
      <w:r>
        <w:rPr>
          <w:bCs/>
          <w:b/>
        </w:rPr>
        <w:t xml:space="preserve">Veroudering:</w:t>
      </w:r>
      <w:r>
        <w:t xml:space="preserve"> </w:t>
      </w:r>
      <w:r>
        <w:t xml:space="preserve">een studie van de Universiteit Wenen onderzoekt collageenpeptiden en markers van celveroudering bij gepland 125 deelnemers (NCT07456449).</w:t>
      </w:r>
    </w:p>
    <w:p>
      <w:pPr>
        <w:numPr>
          <w:ilvl w:val="0"/>
          <w:numId w:val="1296"/>
        </w:numPr>
        <w:pStyle w:val="Compact"/>
      </w:pPr>
      <w:r>
        <w:rPr>
          <w:bCs/>
          <w:b/>
        </w:rPr>
        <w:t xml:space="preserve">Stofwisseling:</w:t>
      </w:r>
      <w:r>
        <w:t xml:space="preserve"> </w:t>
      </w:r>
      <w:r>
        <w:t xml:space="preserve">een studie aan het King’s College London onderzoekt kwaliteit van leven, eetlust en bloedsuikerregulatie (NCT07229014).</w:t>
      </w:r>
    </w:p>
    <w:p>
      <w:pPr>
        <w:pStyle w:val="FirstParagraph"/>
      </w:pPr>
      <w:r>
        <w:rPr>
          <w:bCs/>
          <w:b/>
        </w:rPr>
        <w:t xml:space="preserve">Inschatting:</w:t>
      </w:r>
      <w:r>
        <w:t xml:space="preserve"> </w:t>
      </w:r>
      <w:r>
        <w:t xml:space="preserve">de beslissende vraag voor de komende jaren is niet of er nog meer kleine positieve studies zullen komen – daar valt van uit te gaan –, maar of grote, onafhankelijk gefinancierde studies met vooraf geregistreerde eindpunten de effecten bevestigen. De meta-analyse naar financieringsbron (Myung 2025, PMID 40324552) heeft de lat daarvoor zichtbaar gemaakt. Voor gewrichtspijn is een klein effect het best onderbouwd; voor huid en pezen blijft de situatie open. Een registratie als geneesmiddel valt niet te verwachten, omdat de producten als levensmiddel al vrij verkrijgbaar zijn en geen fabrikant de kosten van een registratieprogramma hoeft te dragen.</w:t>
      </w:r>
    </w:p>
    <w:bookmarkEnd w:id="871"/>
    <w:bookmarkStart w:id="872" w:name="conclusie-52"/>
    <w:p>
      <w:pPr>
        <w:pStyle w:val="Heading3"/>
      </w:pPr>
      <w:r>
        <w:t xml:space="preserve">Conclusie</w:t>
      </w:r>
    </w:p>
    <w:p>
      <w:pPr>
        <w:pStyle w:val="FirstParagraph"/>
      </w:pPr>
      <w:r>
        <w:t xml:space="preserve">Collageenpeptiden zijn een goed verdraagbaar levensmiddelproduct met een grote, maar methodologisch zwakke basis aan studies. Voor gewrichtspijn bij artrose laten meta-analyses kleine effecten zien, maar afzonderlijke grotere studies vonden geen verschil met placebo. Bij de huid verdwijnt het in studies van fabrikanten gemeten nut als men alleen onafhankelijk gefinancierde of methodologisch hoogwaardige studies bekijkt. Voor spieropbouw doet collageen onder voor andere eiwitbronnen; ongedenatureerd type II-collageen is een apart product met eigen, eveneens beperkte gegevens. In de EU mag collageen niet met gezondheidsclaims worden aangeprezen – reclameboodschappen hebben meestal betrekking op toegevoegde vitamine C.</w:t>
      </w:r>
    </w:p>
    <w:bookmarkEnd w:id="872"/>
    <w:bookmarkEnd w:id="873"/>
    <w:bookmarkStart w:id="886" w:name="lactotripeptiden-vpp-en-ipp"/>
    <w:p>
      <w:pPr>
        <w:pStyle w:val="Heading2"/>
      </w:pPr>
      <w:r>
        <w:t xml:space="preserve">Lactotripeptiden (VPP en IPP)</w:t>
      </w:r>
    </w:p>
    <w:bookmarkStart w:id="874" w:name="profiel-53"/>
    <w:p>
      <w:pPr>
        <w:pStyle w:val="Heading3"/>
      </w:pPr>
      <w:r>
        <w:t xml:space="preserve">Profiel</w:t>
      </w:r>
    </w:p>
    <w:p>
      <w:pPr>
        <w:numPr>
          <w:ilvl w:val="0"/>
          <w:numId w:val="1297"/>
        </w:numPr>
        <w:pStyle w:val="Compact"/>
      </w:pPr>
      <w:r>
        <w:rPr>
          <w:bCs/>
          <w:b/>
        </w:rPr>
        <w:t xml:space="preserve">Soort/structuur:</w:t>
      </w:r>
      <w:r>
        <w:t xml:space="preserve"> </w:t>
      </w:r>
      <w:r>
        <w:t xml:space="preserve">twee tripeptiden van elk drie aminozuren: valine-proline-proline (VPP) en isoleucine-proline-proline (IPP). De dubbele proline aan het einde maakt ze relatief bestand tegen verteringsenzymen.</w:t>
      </w:r>
    </w:p>
    <w:p>
      <w:pPr>
        <w:numPr>
          <w:ilvl w:val="0"/>
          <w:numId w:val="1297"/>
        </w:numPr>
        <w:pStyle w:val="Compact"/>
      </w:pPr>
      <w:r>
        <w:rPr>
          <w:bCs/>
          <w:b/>
        </w:rPr>
        <w:t xml:space="preserve">Herkomst:</w:t>
      </w:r>
      <w:r>
        <w:t xml:space="preserve"> </w:t>
      </w:r>
      <w:r>
        <w:t xml:space="preserve">brokstukken van het melkeiwit caseïne. Ze ontstaan wanneer melk met bepaalde bacteriën (vooral</w:t>
      </w:r>
      <w:r>
        <w:t xml:space="preserve"> </w:t>
      </w:r>
      <w:r>
        <w:rPr>
          <w:iCs/>
          <w:i/>
        </w:rPr>
        <w:t xml:space="preserve">Lactobacillus helveticus</w:t>
      </w:r>
      <w:r>
        <w:t xml:space="preserve">) wordt gefermenteerd, of door enzymatische splitsing van caseïne met enzymen uit de schimmel</w:t>
      </w:r>
      <w:r>
        <w:t xml:space="preserve"> </w:t>
      </w:r>
      <w:r>
        <w:rPr>
          <w:iCs/>
          <w:i/>
        </w:rPr>
        <w:t xml:space="preserve">Aspergillus oryzae</w:t>
      </w:r>
      <w:r>
        <w:t xml:space="preserve">. Bekende producten waren een Japanse zure melkdrank (Calpis) en een Fins zuivelproduct (Evolus van Valio).</w:t>
      </w:r>
    </w:p>
    <w:p>
      <w:pPr>
        <w:numPr>
          <w:ilvl w:val="0"/>
          <w:numId w:val="1297"/>
        </w:numPr>
        <w:pStyle w:val="Compact"/>
      </w:pPr>
      <w:r>
        <w:rPr>
          <w:bCs/>
          <w:b/>
        </w:rPr>
        <w:t xml:space="preserve">Werkingsprincipe:</w:t>
      </w:r>
      <w:r>
        <w:t xml:space="preserve"> </w:t>
      </w:r>
      <w:r>
        <w:t xml:space="preserve">zouden het angiotensineconverterend enzym (ACE) remmen – hetzelfde enzym dat bloeddrukverlagende ACE-remmers zoals ramipril of enalapril blokkeren, alleen vele malen zwakker.</w:t>
      </w:r>
    </w:p>
    <w:p>
      <w:pPr>
        <w:numPr>
          <w:ilvl w:val="0"/>
          <w:numId w:val="1297"/>
        </w:numPr>
        <w:pStyle w:val="Compact"/>
      </w:pPr>
      <w:r>
        <w:rPr>
          <w:bCs/>
          <w:b/>
        </w:rPr>
        <w:t xml:space="preserve">Registratie EU:</w:t>
      </w:r>
      <w:r>
        <w:t xml:space="preserve"> </w:t>
      </w:r>
      <w:r>
        <w:t xml:space="preserve">geen registratie als geneesmiddel; als levensmiddelingrediënt of in voedingssupplementen. Geen toegelaten gezondheidsclaim over de bloeddruk.</w:t>
      </w:r>
    </w:p>
    <w:p>
      <w:pPr>
        <w:numPr>
          <w:ilvl w:val="0"/>
          <w:numId w:val="1297"/>
        </w:numPr>
        <w:pStyle w:val="Compact"/>
      </w:pPr>
      <w:r>
        <w:rPr>
          <w:bCs/>
          <w:b/>
        </w:rPr>
        <w:t xml:space="preserve">Registratie VS:</w:t>
      </w:r>
      <w:r>
        <w:t xml:space="preserve"> </w:t>
      </w:r>
      <w:r>
        <w:t xml:space="preserve">geen registratie als geneesmiddel; verkrijgbaar als voedingssupplement.</w:t>
      </w:r>
    </w:p>
    <w:p>
      <w:pPr>
        <w:numPr>
          <w:ilvl w:val="0"/>
          <w:numId w:val="1297"/>
        </w:numPr>
        <w:pStyle w:val="Compact"/>
      </w:pPr>
      <w:r>
        <w:rPr>
          <w:bCs/>
          <w:b/>
        </w:rPr>
        <w:t xml:space="preserve">WADA:</w:t>
      </w:r>
      <w:r>
        <w:t xml:space="preserve"> </w:t>
      </w:r>
      <w:r>
        <w:t xml:space="preserve">niet vermeld (stand 2026, actuele situatie controleren).</w:t>
      </w:r>
    </w:p>
    <w:p>
      <w:pPr>
        <w:numPr>
          <w:ilvl w:val="0"/>
          <w:numId w:val="1297"/>
        </w:numPr>
        <w:pStyle w:val="Compact"/>
      </w:pPr>
      <w:r>
        <w:rPr>
          <w:bCs/>
          <w:b/>
        </w:rPr>
        <w:t xml:space="preserve">Bewijsniveau:</w:t>
      </w:r>
      <w:r>
        <w:t xml:space="preserve"> </w:t>
      </w:r>
      <w:r>
        <w:rPr>
          <w:bCs/>
          <w:b/>
        </w:rPr>
        <w:t xml:space="preserve">B</w:t>
      </w:r>
      <w:r>
        <w:t xml:space="preserve"> </w:t>
      </w:r>
      <w:r>
        <w:t xml:space="preserve">– ongeveer 30 gerandomiseerde studies met in totaal enkele duizenden deelnemers, maar elk klein, met tegenstrijdige resultaten en zonder harde eindpunten.</w:t>
      </w:r>
    </w:p>
    <w:bookmarkEnd w:id="874"/>
    <w:bookmarkStart w:id="875" w:name="hoe-het-zou-moeten-werken-53"/>
    <w:p>
      <w:pPr>
        <w:pStyle w:val="Heading3"/>
      </w:pPr>
      <w:r>
        <w:t xml:space="preserve">Hoe het zou moeten werken</w:t>
      </w:r>
    </w:p>
    <w:p>
      <w:pPr>
        <w:pStyle w:val="FirstParagraph"/>
      </w:pPr>
      <w:r>
        <w:t xml:space="preserve">De bloeddruk wordt onder meer gestuurd door het renine-angiotensinesysteem. Een centrale stap is de omzetting van het inactieve angiotensine I in het vaatvernauwende angiotensine II door het enzym ACE. Hetzelfde enzym breekt bovendien bradykinine af, een stof die bloedvaten verwijdt. Wordt ACE geremd, dan ontstaat minder angiotensine II en meer bradykinine – de bloeddruk daalt. Op dit principe berusten de ACE-remmers, een van de belangrijkste groepen bloeddrukmedicijnen. Historisch interessant: de eerste ACE-remmer, captopril, werd ontwikkeld uit een peptide in het gif van een slang.</w:t>
      </w:r>
    </w:p>
    <w:p>
      <w:pPr>
        <w:pStyle w:val="BodyText"/>
      </w:pPr>
      <w:r>
        <w:t xml:space="preserve">In de jaren 1990 isoleerden Japanse onderzoekers uit zure melk twee tripeptiden die ACE in de reageerbuis remmen. Bij ratten met aangeboren hoge bloeddruk verlaagden een eenmalige toediening van de zure melk of van de geïsoleerde peptiden VPP en IPP de systolische bloeddruk gedurende enkele uren; bij ratten met een normale bloeddruk veranderde er niets (Nakamura 1995, PMID 7673515). Daaruit ontstond het idee van een „bloeddrukverlagend levensmiddel”.</w:t>
      </w:r>
    </w:p>
    <w:p>
      <w:pPr>
        <w:pStyle w:val="BodyText"/>
      </w:pPr>
      <w:r>
        <w:t xml:space="preserve">Om dat te laten werken, moeten de peptiden ongeschonden in de bloedsomloop terechtkomen. Een kleine studie liet zien dat IPP na het drinken van een verrijkte yoghurtdrank inderdaad intact in het bloed aantoonbaar is – zij het in concentraties in het bereik van picomol per liter (Foltz 2007, PMID 17374660). Een Zwitserse studie met twaalf gezonde mannen toetste daarna rechtstreeks of de peptiden ACE in het lichaam remmen: na zeven dagen gefermenteerde melk bleven markers van de ACE-activiteit en het renine onveranderd, terwijl één enkele tablet captopril de ACE-activiteit in het plasma met 82% verlaagde. IPP steeg in het bloed slechts kort en gering, VPP lag onder de detectiegrens (Wuerzner 2009, PMID 19506528).</w:t>
      </w:r>
    </w:p>
    <w:p>
      <w:pPr>
        <w:pStyle w:val="BodyText"/>
      </w:pPr>
      <w:r>
        <w:t xml:space="preserve">Dat betekent: het in het laboratorium plausibele mechanisme kon bij mensen in de geteste hoeveelheden niet worden aangetoond. Daarom worden ook andere routes besproken, zoals een verbeterde functie van de binnenwand van de bloedvaten via stikstofmonoxide. Die komen tot nu toe vooral uit celkweek- en dierproeven.</w:t>
      </w:r>
    </w:p>
    <w:bookmarkEnd w:id="875"/>
    <w:bookmarkStart w:id="880" w:name="studies-bij-mensen-53"/>
    <w:p>
      <w:pPr>
        <w:pStyle w:val="Heading3"/>
      </w:pPr>
      <w:r>
        <w:t xml:space="preserve">Studies bij mensen</w:t>
      </w:r>
    </w:p>
    <w:p>
      <w:pPr>
        <w:pStyle w:val="FirstParagraph"/>
      </w:pPr>
      <w:r>
        <w:t xml:space="preserve">De voor dit boek uitgevoerde PubMed-zoekopdracht (lactotripeptiden of valyl-prolyl-proline, zoekdatum oktober 2026) leverde 21 studies bij mensen op; op ClinicalTrials.gov vond de zoekterm „lactotripeptides” geen enkele registratie. De meeste studies werden uitgevoerd vóór de invoering van de registratieplicht voor voedingsstudies. De meta-analyses hebben betrekking op maximaal 30 gerandomiseerde studies, waaronder veel Japanse studies die in de PubMed-zoekopdracht niet volledig zijn opgenomen.</w:t>
      </w:r>
    </w:p>
    <w:bookmarkStart w:id="876" w:name="de-vroege-positieve-studies"/>
    <w:p>
      <w:pPr>
        <w:pStyle w:val="Heading4"/>
      </w:pPr>
      <w:r>
        <w:t xml:space="preserve">De vroege positieve studies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Deelnemers en opzet</w:t>
            </w:r>
          </w:p>
        </w:tc>
        <w:tc>
          <w:tcPr/>
          <w:p>
            <w:pPr>
              <w:pStyle w:val="Compact"/>
              <w:jc w:val="left"/>
            </w:pPr>
            <w:r>
              <w:t xml:space="preserve">Duur</w:t>
            </w:r>
          </w:p>
        </w:tc>
        <w:tc>
          <w:tcPr/>
          <w:p>
            <w:pPr>
              <w:pStyle w:val="Compact"/>
              <w:jc w:val="left"/>
            </w:pPr>
            <w:r>
              <w:t xml:space="preserve">Resultaat</w:t>
            </w:r>
          </w:p>
        </w:tc>
      </w:tr>
      <w:tr>
        <w:tc>
          <w:tcPr/>
          <w:p>
            <w:pPr>
              <w:pStyle w:val="Compact"/>
              <w:jc w:val="left"/>
            </w:pPr>
            <w:r>
              <w:t xml:space="preserve">Hata 1996, PMID 8901799</w:t>
            </w:r>
          </w:p>
        </w:tc>
        <w:tc>
          <w:tcPr/>
          <w:p>
            <w:pPr>
              <w:pStyle w:val="Compact"/>
              <w:jc w:val="left"/>
            </w:pPr>
            <w:r>
              <w:t xml:space="preserve">30 ouderen met hoge bloeddruk (meestal met medicijnen), zure melk vs. aangezuurde melk</w:t>
            </w:r>
          </w:p>
        </w:tc>
        <w:tc>
          <w:tcPr/>
          <w:p>
            <w:pPr>
              <w:pStyle w:val="Compact"/>
              <w:jc w:val="left"/>
            </w:pPr>
            <w:r>
              <w:t xml:space="preserve">8 weken</w:t>
            </w:r>
          </w:p>
        </w:tc>
        <w:tc>
          <w:tcPr/>
          <w:p>
            <w:pPr>
              <w:pStyle w:val="Compact"/>
              <w:jc w:val="left"/>
            </w:pPr>
            <w:r>
              <w:t xml:space="preserve">Systolisch −14,1 mmHg ten opzichte van uitgangswaarde in de zuremelkgroep; placebo onveranderd</w:t>
            </w:r>
          </w:p>
        </w:tc>
      </w:tr>
      <w:tr>
        <w:tc>
          <w:tcPr/>
          <w:p>
            <w:pPr>
              <w:pStyle w:val="Compact"/>
              <w:jc w:val="left"/>
            </w:pPr>
            <w:r>
              <w:t xml:space="preserve">Seppo 2003, PMID 12540390</w:t>
            </w:r>
          </w:p>
        </w:tc>
        <w:tc>
          <w:tcPr/>
          <w:p>
            <w:pPr>
              <w:pStyle w:val="Compact"/>
              <w:jc w:val="left"/>
            </w:pPr>
            <w:r>
              <w:t xml:space="preserve">39 personen met hoge bloeddruk, gefermenteerde melk vs. controle</w:t>
            </w:r>
          </w:p>
        </w:tc>
        <w:tc>
          <w:tcPr/>
          <w:p>
            <w:pPr>
              <w:pStyle w:val="Compact"/>
              <w:jc w:val="left"/>
            </w:pPr>
            <w:r>
              <w:t xml:space="preserve">21 weken</w:t>
            </w:r>
          </w:p>
        </w:tc>
        <w:tc>
          <w:tcPr/>
          <w:p>
            <w:pPr>
              <w:pStyle w:val="Compact"/>
              <w:jc w:val="left"/>
            </w:pPr>
            <w:r>
              <w:t xml:space="preserve">Verschil systolisch 6,7 mmHg (p = 0,03), diastolisch 3,6 mmHg (niet significant)</w:t>
            </w:r>
          </w:p>
        </w:tc>
      </w:tr>
      <w:tr>
        <w:tc>
          <w:tcPr/>
          <w:p>
            <w:pPr>
              <w:pStyle w:val="Compact"/>
              <w:jc w:val="left"/>
            </w:pPr>
            <w:r>
              <w:t xml:space="preserve">Tuomilehto 2004, PMID 15175633</w:t>
            </w:r>
          </w:p>
        </w:tc>
        <w:tc>
          <w:tcPr/>
          <w:p>
            <w:pPr>
              <w:pStyle w:val="Compact"/>
              <w:jc w:val="left"/>
            </w:pPr>
            <w:r>
              <w:t xml:space="preserve">60 personen met milde hoge bloeddruk, cross-over</w:t>
            </w:r>
          </w:p>
        </w:tc>
        <w:tc>
          <w:tcPr/>
          <w:p>
            <w:pPr>
              <w:pStyle w:val="Compact"/>
              <w:jc w:val="left"/>
            </w:pPr>
            <w:r>
              <w:t xml:space="preserve">2 × fasen</w:t>
            </w:r>
          </w:p>
        </w:tc>
        <w:tc>
          <w:tcPr/>
          <w:p>
            <w:pPr>
              <w:pStyle w:val="Compact"/>
              <w:jc w:val="left"/>
            </w:pPr>
            <w:r>
              <w:t xml:space="preserve">Totale analyse: systolisch 2,6 mmHg verschil, niet significant</w:t>
            </w:r>
          </w:p>
        </w:tc>
      </w:tr>
      <w:tr>
        <w:tc>
          <w:tcPr/>
          <w:p>
            <w:pPr>
              <w:pStyle w:val="Compact"/>
              <w:jc w:val="left"/>
            </w:pPr>
            <w:r>
              <w:t xml:space="preserve">Jauhiainen 2005, PMID 16364832</w:t>
            </w:r>
          </w:p>
        </w:tc>
        <w:tc>
          <w:tcPr/>
          <w:p>
            <w:pPr>
              <w:pStyle w:val="Compact"/>
              <w:jc w:val="left"/>
            </w:pPr>
            <w:r>
              <w:t xml:space="preserve">94 onbehandelde personen met hoge bloeddruk, gefermenteerde melk vs. controle, 24-uursmeting</w:t>
            </w:r>
          </w:p>
        </w:tc>
        <w:tc>
          <w:tcPr/>
          <w:p>
            <w:pPr>
              <w:pStyle w:val="Compact"/>
              <w:jc w:val="left"/>
            </w:pPr>
            <w:r>
              <w:t xml:space="preserve">10 weken</w:t>
            </w:r>
          </w:p>
        </w:tc>
        <w:tc>
          <w:tcPr/>
          <w:p>
            <w:pPr>
              <w:pStyle w:val="Compact"/>
              <w:jc w:val="left"/>
            </w:pPr>
            <w:r>
              <w:t xml:space="preserve">Systolisch −4,1 mmHg, diastolisch −1,8 mmHg ten opzichte van controle</w:t>
            </w:r>
          </w:p>
        </w:tc>
      </w:tr>
    </w:tbl>
    <w:p>
      <w:pPr>
        <w:pStyle w:val="BodyText"/>
      </w:pPr>
      <w:r>
        <w:t xml:space="preserve">De vroege studie van Hata was klein, de meeste deelnemers namen al bloeddrukmedicijnen, en er werd vooral vergeleken met de uitgangswaarde. De studie van Jauhiainen is methodologisch sterker, omdat ze de 24-uursbloeddrukmeting gebruikte, die minder gevoelig is voor het „wittejasseneffect” bij de arts.</w:t>
      </w:r>
    </w:p>
    <w:bookmarkEnd w:id="876"/>
    <w:bookmarkStart w:id="877" w:name="de-negatieve-studies-uit-nederland"/>
    <w:p>
      <w:pPr>
        <w:pStyle w:val="Heading4"/>
      </w:pPr>
      <w:r>
        <w:t xml:space="preserve">De negatieve studies uit Nederland</w:t>
      </w:r>
    </w:p>
    <w:p>
      <w:pPr>
        <w:pStyle w:val="FirstParagraph"/>
      </w:pPr>
      <w:r>
        <w:t xml:space="preserve">Vanaf 2008 verschenen meerdere grotere, zorgvuldig uitgevoerde studies uit Europese landen die geen effect vonden: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Deelnemers en opzet</w:t>
            </w:r>
          </w:p>
        </w:tc>
        <w:tc>
          <w:tcPr/>
          <w:p>
            <w:pPr>
              <w:pStyle w:val="Compact"/>
              <w:jc w:val="left"/>
            </w:pPr>
            <w:r>
              <w:t xml:space="preserve">Duur</w:t>
            </w:r>
          </w:p>
        </w:tc>
        <w:tc>
          <w:tcPr/>
          <w:p>
            <w:pPr>
              <w:pStyle w:val="Compact"/>
              <w:jc w:val="left"/>
            </w:pPr>
            <w:r>
              <w:t xml:space="preserve">Resultaat</w:t>
            </w:r>
          </w:p>
        </w:tc>
      </w:tr>
      <w:tr>
        <w:tc>
          <w:tcPr/>
          <w:p>
            <w:pPr>
              <w:pStyle w:val="Compact"/>
              <w:jc w:val="left"/>
            </w:pPr>
            <w:r>
              <w:t xml:space="preserve">Engberink 2008, PMID 18086944</w:t>
            </w:r>
          </w:p>
        </w:tc>
        <w:tc>
          <w:tcPr/>
          <w:p>
            <w:pPr>
              <w:pStyle w:val="Compact"/>
              <w:jc w:val="left"/>
            </w:pPr>
            <w:r>
              <w:t xml:space="preserve">135 Nederlanders met verhoogde systolische druk, drie productiewijzen van LTP vs. placebo</w:t>
            </w:r>
          </w:p>
        </w:tc>
        <w:tc>
          <w:tcPr/>
          <w:p>
            <w:pPr>
              <w:pStyle w:val="Compact"/>
              <w:jc w:val="left"/>
            </w:pPr>
            <w:r>
              <w:t xml:space="preserve">8 weken</w:t>
            </w:r>
          </w:p>
        </w:tc>
        <w:tc>
          <w:tcPr/>
          <w:p>
            <w:pPr>
              <w:pStyle w:val="Compact"/>
              <w:jc w:val="left"/>
            </w:pPr>
            <w:r>
              <w:t xml:space="preserve">Geen verschil met placebo in praktijk-, thuis- en 24-uursbloeddruk, ACE-activiteit of angiotensine II</w:t>
            </w:r>
          </w:p>
        </w:tc>
      </w:tr>
      <w:tr>
        <w:tc>
          <w:tcPr/>
          <w:p>
            <w:pPr>
              <w:pStyle w:val="Compact"/>
              <w:jc w:val="left"/>
            </w:pPr>
            <w:r>
              <w:t xml:space="preserve">van der Zander 2008, PMID 19064533</w:t>
            </w:r>
          </w:p>
        </w:tc>
        <w:tc>
          <w:tcPr/>
          <w:p>
            <w:pPr>
              <w:pStyle w:val="Compact"/>
              <w:jc w:val="left"/>
            </w:pPr>
            <w:r>
              <w:t xml:space="preserve">275 Nederlanders met hoge bloeddruk, enzymatisch geproduceerde LTP in yoghurtdrank vs. placebo</w:t>
            </w:r>
          </w:p>
        </w:tc>
        <w:tc>
          <w:tcPr/>
          <w:p>
            <w:pPr>
              <w:pStyle w:val="Compact"/>
              <w:jc w:val="left"/>
            </w:pPr>
            <w:r>
              <w:t xml:space="preserve">8 weken</w:t>
            </w:r>
          </w:p>
        </w:tc>
        <w:tc>
          <w:tcPr/>
          <w:p>
            <w:pPr>
              <w:pStyle w:val="Compact"/>
              <w:jc w:val="left"/>
            </w:pPr>
            <w:r>
              <w:t xml:space="preserve">Geen verschil systolisch (p = 0,66) of diastolisch (p = 0,72)</w:t>
            </w:r>
          </w:p>
        </w:tc>
      </w:tr>
      <w:tr>
        <w:tc>
          <w:tcPr/>
          <w:p>
            <w:pPr>
              <w:pStyle w:val="Compact"/>
              <w:jc w:val="left"/>
            </w:pPr>
            <w:r>
              <w:t xml:space="preserve">van Mierlo 2009, PMID 19106238</w:t>
            </w:r>
          </w:p>
        </w:tc>
        <w:tc>
          <w:tcPr/>
          <w:p>
            <w:pPr>
              <w:pStyle w:val="Compact"/>
              <w:jc w:val="left"/>
            </w:pPr>
            <w:r>
              <w:t xml:space="preserve">2 cross-overstudies met 69 en 93 onbehandelde volwassenen, 24-uursmeting</w:t>
            </w:r>
          </w:p>
        </w:tc>
        <w:tc>
          <w:tcPr/>
          <w:p>
            <w:pPr>
              <w:pStyle w:val="Compact"/>
              <w:jc w:val="left"/>
            </w:pPr>
            <w:r>
              <w:t xml:space="preserve">telkens 4 weken</w:t>
            </w:r>
          </w:p>
        </w:tc>
        <w:tc>
          <w:tcPr/>
          <w:p>
            <w:pPr>
              <w:pStyle w:val="Compact"/>
              <w:jc w:val="left"/>
            </w:pPr>
            <w:r>
              <w:t xml:space="preserve">Geen verschil in 24-uursbloeddruk</w:t>
            </w:r>
          </w:p>
        </w:tc>
      </w:tr>
      <w:tr>
        <w:tc>
          <w:tcPr/>
          <w:p>
            <w:pPr>
              <w:pStyle w:val="Compact"/>
              <w:jc w:val="left"/>
            </w:pPr>
            <w:r>
              <w:t xml:space="preserve">Usinger 2010, PMID 20147968</w:t>
            </w:r>
          </w:p>
        </w:tc>
        <w:tc>
          <w:tcPr/>
          <w:p>
            <w:pPr>
              <w:pStyle w:val="Compact"/>
              <w:jc w:val="left"/>
            </w:pPr>
            <w:r>
              <w:t xml:space="preserve">94 personen met hoog-normale of grenswaardige bloeddruk, 150 of 300 ml gefermenteerde melk vs. placebo</w:t>
            </w:r>
          </w:p>
        </w:tc>
        <w:tc>
          <w:tcPr/>
          <w:p>
            <w:pPr>
              <w:pStyle w:val="Compact"/>
              <w:jc w:val="left"/>
            </w:pPr>
            <w:r>
              <w:t xml:space="preserve">8 weken</w:t>
            </w:r>
          </w:p>
        </w:tc>
        <w:tc>
          <w:tcPr/>
          <w:p>
            <w:pPr>
              <w:pStyle w:val="Compact"/>
              <w:jc w:val="left"/>
            </w:pPr>
            <w:r>
              <w:t xml:space="preserve">Geen significant verschil in 24-uursbloeddruk</w:t>
            </w:r>
          </w:p>
        </w:tc>
      </w:tr>
    </w:tbl>
    <w:p>
      <w:pPr>
        <w:pStyle w:val="BodyText"/>
      </w:pPr>
      <w:r>
        <w:t xml:space="preserve">Opmerkelijk aan de studie van Engberink: ze testte lactotripeptiden uit drie bronnen – uit geconcentreerde gefermenteerde melk, enzymatisch geproduceerd en chemisch gesynthetiseerd. Geen van de drie varianten verlaagde de bloeddruk of remde ACE meetbaar. Een overzichtsartikel vatte zes van zulke studies met 780 deelnemers uit het Verenigd Koninkrijk en Nederland samen en concludeerde dat de nieuwere gegevens een rol van de lactotripeptiden bij de bloeddrukregulatie niet ondersteunen (Geleijnse 2010, PMID 19884823).</w:t>
      </w:r>
    </w:p>
    <w:bookmarkEnd w:id="877"/>
    <w:bookmarkStart w:id="878" w:name="latere-studies"/>
    <w:p>
      <w:pPr>
        <w:pStyle w:val="Heading4"/>
      </w:pPr>
      <w:r>
        <w:t xml:space="preserve">Latere studies</w:t>
      </w:r>
    </w:p>
    <w:p>
      <w:pPr>
        <w:pStyle w:val="FirstParagraph"/>
      </w:pPr>
      <w:r>
        <w:t xml:space="preserve">Ook na 2010 bleven de resultaten gemengd. In Finland verlaagde een dosis van 50 mg lactotripeptiden per dag de 24-uursbloeddruk weliswaar ten opzichte van de uitgangswaarde, maar niet significant ten opzichte van placebo (−2,6 mmHg systolisch); 5 mg per dag had geen effect (Jauhiainen 2012, PMID 22617279). Een smeervet met IPP, VPP en plantensterolen verlaagde de thuis gemeten systolische bloeddruk sterker dan placebo (−4,1 tegenover −0,5 mmHg), maar niet de praktijk- of 24-uurswaarde (Turpeinen 2012, PMID 22398753). Italiaanse studies meldden gunstige effecten op de praktijkbloeddruk en de vaatstijfheid (Cicero 2011, PMID 21753776; Cicero 2016, PMID 26683986), in een daarvan zonder effect op de 24-uursbloeddruk. In de VS daalde in een studie met 91 personen met hoge bloeddruk stadium 1 en 2 de systolische dagbloeddruk met 3,6 mmHg, onder placebo niet (Germino 2010, PMID 20433527).</w:t>
      </w:r>
    </w:p>
    <w:p>
      <w:pPr>
        <w:pStyle w:val="BodyText"/>
      </w:pPr>
      <w:r>
        <w:t xml:space="preserve">Daarnaast zijn er kleine studies naar vaatfunctie, hersendoorbloeding, spiervermoeidheid en cognitieve prestaties, meestal met 15 tot 50 deelnemers (bijv. Akazawa 2018, PMID 29703414). Ze moeten als aanwijzingen worden gelezen, niet als bewijs.</w:t>
      </w:r>
    </w:p>
    <w:bookmarkEnd w:id="878"/>
    <w:bookmarkStart w:id="879" w:name="X68e64c36a8243d140b6f0bdb2751936afd66771"/>
    <w:p>
      <w:pPr>
        <w:pStyle w:val="Heading4"/>
      </w:pPr>
      <w:r>
        <w:t xml:space="preserve">Meta-analyses: klein effect, sterke invloed van de herkomst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Meta-analyse</w:t>
            </w:r>
          </w:p>
        </w:tc>
        <w:tc>
          <w:tcPr/>
          <w:p>
            <w:pPr>
              <w:pStyle w:val="Compact"/>
              <w:jc w:val="left"/>
            </w:pPr>
            <w:r>
              <w:t xml:space="preserve">Omvang</w:t>
            </w:r>
          </w:p>
        </w:tc>
        <w:tc>
          <w:tcPr/>
          <w:p>
            <w:pPr>
              <w:pStyle w:val="Compact"/>
              <w:jc w:val="left"/>
            </w:pPr>
            <w:r>
              <w:t xml:space="preserve">Effect op de systolische bloeddruk</w:t>
            </w:r>
          </w:p>
        </w:tc>
      </w:tr>
      <w:tr>
        <w:tc>
          <w:tcPr/>
          <w:p>
            <w:pPr>
              <w:pStyle w:val="Compact"/>
              <w:jc w:val="left"/>
            </w:pPr>
            <w:r>
              <w:t xml:space="preserve">Cicero 2011, PMID 20811398</w:t>
            </w:r>
          </w:p>
        </w:tc>
        <w:tc>
          <w:tcPr/>
          <w:p>
            <w:pPr>
              <w:pStyle w:val="Compact"/>
              <w:jc w:val="left"/>
            </w:pPr>
            <w:r>
              <w:t xml:space="preserve">18 studies</w:t>
            </w:r>
          </w:p>
        </w:tc>
        <w:tc>
          <w:tcPr/>
          <w:p>
            <w:pPr>
              <w:pStyle w:val="Compact"/>
              <w:jc w:val="left"/>
            </w:pPr>
            <w:r>
              <w:t xml:space="preserve">−3,73 mmHg totaal; Azië −6,93 mmHg; Europa −1,17 mmHg (niet significant)</w:t>
            </w:r>
          </w:p>
        </w:tc>
      </w:tr>
      <w:tr>
        <w:tc>
          <w:tcPr/>
          <w:p>
            <w:pPr>
              <w:pStyle w:val="Compact"/>
              <w:jc w:val="left"/>
            </w:pPr>
            <w:r>
              <w:t xml:space="preserve">Turpeinen 2013, PMID 23305234</w:t>
            </w:r>
          </w:p>
        </w:tc>
        <w:tc>
          <w:tcPr/>
          <w:p>
            <w:pPr>
              <w:pStyle w:val="Compact"/>
              <w:jc w:val="left"/>
            </w:pPr>
            <w:r>
              <w:t xml:space="preserve">19 studies, ca. 1.500 personen</w:t>
            </w:r>
          </w:p>
        </w:tc>
        <w:tc>
          <w:tcPr/>
          <w:p>
            <w:pPr>
              <w:pStyle w:val="Compact"/>
              <w:jc w:val="left"/>
            </w:pPr>
            <w:r>
              <w:t xml:space="preserve">−4,0 mmHg</w:t>
            </w:r>
          </w:p>
        </w:tc>
      </w:tr>
      <w:tr>
        <w:tc>
          <w:tcPr/>
          <w:p>
            <w:pPr>
              <w:pStyle w:val="Compact"/>
              <w:jc w:val="left"/>
            </w:pPr>
            <w:r>
              <w:t xml:space="preserve">Qin 2013, PMID 23566677</w:t>
            </w:r>
          </w:p>
        </w:tc>
        <w:tc>
          <w:tcPr/>
          <w:p>
            <w:pPr>
              <w:pStyle w:val="Compact"/>
              <w:jc w:val="left"/>
            </w:pPr>
            <w:r>
              <w:t xml:space="preserve">28 studiearmen, 1.919 personen</w:t>
            </w:r>
          </w:p>
        </w:tc>
        <w:tc>
          <w:tcPr/>
          <w:p>
            <w:pPr>
              <w:pStyle w:val="Compact"/>
              <w:jc w:val="left"/>
            </w:pPr>
            <w:r>
              <w:t xml:space="preserve">−1,66 mmHg; in de 24-uursbloeddruk −1,30 mmHg</w:t>
            </w:r>
          </w:p>
        </w:tc>
      </w:tr>
      <w:tr>
        <w:tc>
          <w:tcPr/>
          <w:p>
            <w:pPr>
              <w:pStyle w:val="Compact"/>
              <w:jc w:val="left"/>
            </w:pPr>
            <w:r>
              <w:t xml:space="preserve">Cicero 2013, PMID 23382495</w:t>
            </w:r>
          </w:p>
        </w:tc>
        <w:tc>
          <w:tcPr/>
          <w:p>
            <w:pPr>
              <w:pStyle w:val="Compact"/>
              <w:jc w:val="left"/>
            </w:pPr>
            <w:r>
              <w:t xml:space="preserve">14 Europese studies, 1.306 personen</w:t>
            </w:r>
          </w:p>
        </w:tc>
        <w:tc>
          <w:tcPr/>
          <w:p>
            <w:pPr>
              <w:pStyle w:val="Compact"/>
              <w:jc w:val="left"/>
            </w:pPr>
            <w:r>
              <w:t xml:space="preserve">−1,28 mmHg</w:t>
            </w:r>
          </w:p>
        </w:tc>
      </w:tr>
      <w:tr>
        <w:tc>
          <w:tcPr/>
          <w:p>
            <w:pPr>
              <w:pStyle w:val="Compact"/>
              <w:jc w:val="left"/>
            </w:pPr>
            <w:r>
              <w:t xml:space="preserve">Fekete 2015, PMID 25608938</w:t>
            </w:r>
          </w:p>
        </w:tc>
        <w:tc>
          <w:tcPr/>
          <w:p>
            <w:pPr>
              <w:pStyle w:val="Compact"/>
              <w:jc w:val="left"/>
            </w:pPr>
            <w:r>
              <w:t xml:space="preserve">30 studies</w:t>
            </w:r>
          </w:p>
        </w:tc>
        <w:tc>
          <w:tcPr/>
          <w:p>
            <w:pPr>
              <w:pStyle w:val="Compact"/>
              <w:jc w:val="left"/>
            </w:pPr>
            <w:r>
              <w:t xml:space="preserve">−2,95 mmHg; 24-uursbloeddruk niet significant</w:t>
            </w:r>
          </w:p>
        </w:tc>
      </w:tr>
      <w:tr>
        <w:tc>
          <w:tcPr/>
          <w:p>
            <w:pPr>
              <w:pStyle w:val="Compact"/>
              <w:jc w:val="left"/>
            </w:pPr>
            <w:r>
              <w:t xml:space="preserve">Chanson-Rolle 2015, PMID 26536628</w:t>
            </w:r>
          </w:p>
        </w:tc>
        <w:tc>
          <w:tcPr/>
          <w:p>
            <w:pPr>
              <w:pStyle w:val="Compact"/>
              <w:jc w:val="left"/>
            </w:pPr>
            <w:r>
              <w:t xml:space="preserve">18 Japanse studies, 1.194 personen</w:t>
            </w:r>
          </w:p>
        </w:tc>
        <w:tc>
          <w:tcPr/>
          <w:p>
            <w:pPr>
              <w:pStyle w:val="Compact"/>
              <w:jc w:val="left"/>
            </w:pPr>
            <w:r>
              <w:t xml:space="preserve">−5,63 mmHg</w:t>
            </w:r>
          </w:p>
        </w:tc>
      </w:tr>
    </w:tbl>
    <w:p>
      <w:pPr>
        <w:pStyle w:val="BodyText"/>
      </w:pPr>
      <w:r>
        <w:t xml:space="preserve">Drie patronen lopen door alle analyses heen:</w:t>
      </w:r>
    </w:p>
    <w:p>
      <w:pPr>
        <w:numPr>
          <w:ilvl w:val="0"/>
          <w:numId w:val="1298"/>
        </w:numPr>
        <w:pStyle w:val="Compact"/>
      </w:pPr>
      <w:r>
        <w:rPr>
          <w:bCs/>
          <w:b/>
        </w:rPr>
        <w:t xml:space="preserve">Het effect is klein.</w:t>
      </w:r>
      <w:r>
        <w:t xml:space="preserve"> </w:t>
      </w:r>
      <w:r>
        <w:t xml:space="preserve">Gepoold ligt het meestal tussen 1 en 4 mmHg systolisch – duidelijk minder dan geregistreerde bloeddrukmedicijnen bereiken.</w:t>
      </w:r>
    </w:p>
    <w:p>
      <w:pPr>
        <w:numPr>
          <w:ilvl w:val="0"/>
          <w:numId w:val="1298"/>
        </w:numPr>
        <w:pStyle w:val="Compact"/>
      </w:pPr>
      <w:r>
        <w:rPr>
          <w:bCs/>
          <w:b/>
        </w:rPr>
        <w:t xml:space="preserve">Aziatische, vooral Japanse, studies laten duidelijk grotere effecten zien dan Europese.</w:t>
      </w:r>
      <w:r>
        <w:t xml:space="preserve"> </w:t>
      </w:r>
      <w:r>
        <w:t xml:space="preserve">Of dat ligt aan genetische verschillen, aan de voeding (bijvoorbeeld een hogere zoutconsumptie) of aan methodologische verschillen, is onopgehelderd.</w:t>
      </w:r>
    </w:p>
    <w:p>
      <w:pPr>
        <w:numPr>
          <w:ilvl w:val="0"/>
          <w:numId w:val="1298"/>
        </w:numPr>
        <w:pStyle w:val="Compact"/>
      </w:pPr>
      <w:r>
        <w:rPr>
          <w:bCs/>
          <w:b/>
        </w:rPr>
        <w:t xml:space="preserve">Aanwijzingen voor publicatiebias.</w:t>
      </w:r>
      <w:r>
        <w:t xml:space="preserve"> </w:t>
      </w:r>
      <w:r>
        <w:t xml:space="preserve">De meta-analyse van Fekete vond zowel publicatiebias als een „small-study-effect”: kleine studies lieten grotere effecten zien. Na correctie kromp de systolische daling, en de diastolische was niet meer significant. In de 24-uursbloeddruk – de betrouwbaarste meetmethode – was het effect niet significant (Fekete 2015, PMID 25608938).</w:t>
      </w:r>
    </w:p>
    <w:p>
      <w:pPr>
        <w:pStyle w:val="FirstParagraph"/>
      </w:pPr>
      <w:r>
        <w:t xml:space="preserve">Er ontbreekt een studie die laat zien dat lactotripeptiden hartinfarcten, beroertes of sterfgevallen voorkomen. Gezien het kleine effect valt zo’n studie ook niet te verwachten.</w:t>
      </w:r>
    </w:p>
    <w:bookmarkEnd w:id="879"/>
    <w:bookmarkEnd w:id="880"/>
    <w:bookmarkStart w:id="881" w:name="dier--en-laboratoriumstudies-53"/>
    <w:p>
      <w:pPr>
        <w:pStyle w:val="Heading3"/>
      </w:pPr>
      <w:r>
        <w:t xml:space="preserve">Dier- en laboratoriumstudies</w:t>
      </w:r>
    </w:p>
    <w:p>
      <w:pPr>
        <w:pStyle w:val="FirstParagraph"/>
      </w:pPr>
      <w:r>
        <w:t xml:space="preserve">Bij ratten met aangeboren hoge bloeddruk (SHR-ratten) verlaagden VPP en IPP de bloeddruk dosisafhankelijk; bij ratten met een normale bloeddruk niet (Nakamura 1995, PMID 7673515). In celkweken stimuleerden VPP en IPP vanaf concentraties van meer dan 100 nanomol per liter de aanmaak van stikstofmonoxide in vaatcellen, en in geïsoleerde aorta’s van ratten veroorzaakten ze vaatverwijding (Hirota 2011, PMID 21221598). Ter vergelijking: in het bloed van mensen werd na het drinken van een verrijkte drank minder dan 1 nanomol per liter IPP gemeten (Foltz 2007, PMID 17374660). Röntgenstructuuranalyses laten zien dat beide peptiden bij voorkeur binden aan een van de twee actieve plaatsen van het ACE-molecuul (Gregory 2024, PMID 37904282). Bij ratten en konijnen vonden toxiciteitsstudies – inclusief onderzoek naar de nierontwikkeling van de nakomelingen, omdat ACE-remmers tijdens de zwangerschap het ongeboren kind kunnen schaden – geen bijwerkingen bij de hoogste geteste doses (Dent 2007, PMID 17383063). Een IPP-houdend melkeiwithydrolysaat was in tests op het erfelijk materiaal niet mutageen; de hoogste geteste dosis in de proef van 90 dagen bij ratten lag ongeveer 141 keer boven de verwachte maximale inname (Ponstein-Simarro Doorten 2009, PMID 18955104).</w:t>
      </w:r>
    </w:p>
    <w:bookmarkEnd w:id="881"/>
    <w:bookmarkStart w:id="882" w:name="risicos-en-bijwerkingen-53"/>
    <w:p>
      <w:pPr>
        <w:pStyle w:val="Heading3"/>
      </w:pPr>
      <w:r>
        <w:t xml:space="preserve">Risico’s en bijwerkingen</w:t>
      </w:r>
    </w:p>
    <w:p>
      <w:pPr>
        <w:pStyle w:val="FirstParagraph"/>
      </w:pPr>
      <w:r>
        <w:rPr>
          <w:bCs/>
          <w:b/>
        </w:rPr>
        <w:t xml:space="preserve">Aangetoond:</w:t>
      </w:r>
      <w:r>
        <w:t xml:space="preserve"> </w:t>
      </w:r>
      <w:r>
        <w:t xml:space="preserve">in de studies bij mensen traden onder lactotripeptiden niet meer bijwerkingen op dan onder placebo (bijv. Jauhiainen 2005, PMID 16364832). De peptiden komen uit melkeiwit, dat al sinds mensenheugenis wordt gegeten; de hoeveelheden in de producten liggen in het milligrambereik.</w:t>
      </w:r>
    </w:p>
    <w:p>
      <w:pPr>
        <w:pStyle w:val="BodyText"/>
      </w:pPr>
      <w:r>
        <w:rPr>
          <w:bCs/>
          <w:b/>
        </w:rPr>
        <w:t xml:space="preserve">Theoretisch of om op te letten:</w:t>
      </w:r>
    </w:p>
    <w:p>
      <w:pPr>
        <w:numPr>
          <w:ilvl w:val="0"/>
          <w:numId w:val="1299"/>
        </w:numPr>
        <w:pStyle w:val="Compact"/>
      </w:pPr>
      <w:r>
        <w:rPr>
          <w:bCs/>
          <w:b/>
        </w:rPr>
        <w:t xml:space="preserve">Melkallergie:</w:t>
      </w:r>
      <w:r>
        <w:t xml:space="preserve"> </w:t>
      </w:r>
      <w:r>
        <w:t xml:space="preserve">producten op basis van melk of caseïne zijn ongeschikt bij een koemelkeiwitallergie.</w:t>
      </w:r>
    </w:p>
    <w:p>
      <w:pPr>
        <w:numPr>
          <w:ilvl w:val="0"/>
          <w:numId w:val="1299"/>
        </w:numPr>
        <w:pStyle w:val="Compact"/>
      </w:pPr>
      <w:r>
        <w:rPr>
          <w:bCs/>
          <w:b/>
        </w:rPr>
        <w:t xml:space="preserve">Combinatie met bloeddrukmedicijnen:</w:t>
      </w:r>
      <w:r>
        <w:t xml:space="preserve"> </w:t>
      </w:r>
      <w:r>
        <w:t xml:space="preserve">een relevante versterking is gezien het zwakke effect onwaarschijnlijk, maar niet systematisch onderzocht.</w:t>
      </w:r>
    </w:p>
    <w:p>
      <w:pPr>
        <w:numPr>
          <w:ilvl w:val="0"/>
          <w:numId w:val="1299"/>
        </w:numPr>
        <w:pStyle w:val="Compact"/>
      </w:pPr>
      <w:r>
        <w:rPr>
          <w:bCs/>
          <w:b/>
        </w:rPr>
        <w:t xml:space="preserve">Zwangerschap:</w:t>
      </w:r>
      <w:r>
        <w:t xml:space="preserve"> </w:t>
      </w:r>
      <w:r>
        <w:t xml:space="preserve">ACE-remmers zijn tijdens de zwangerschap gecontra-indiceerd. Voor lactotripeptiden werd in dierproeven geen vergelijkbare schade gevonden; gegevens bij mensen ontbreken.</w:t>
      </w:r>
    </w:p>
    <w:p>
      <w:pPr>
        <w:numPr>
          <w:ilvl w:val="0"/>
          <w:numId w:val="1299"/>
        </w:numPr>
        <w:pStyle w:val="Compact"/>
      </w:pPr>
      <w:r>
        <w:rPr>
          <w:bCs/>
          <w:b/>
        </w:rPr>
        <w:t xml:space="preserve">Het belangrijkste risico:</w:t>
      </w:r>
      <w:r>
        <w:t xml:space="preserve"> </w:t>
      </w:r>
      <w:r>
        <w:t xml:space="preserve">wie een hoge bloeddruk die behandeling nodig heeft, met een melkdrank behandelt in plaats van met werkzame maatregelen, verspeelt bescherming tegen hartinfarct en beroerte. Gewichtsverlies, minder zout, beweging en – indien nodig – medicijnen verlagen de bloeddruk aantoonbaar sterker.</w:t>
      </w:r>
    </w:p>
    <w:bookmarkEnd w:id="882"/>
    <w:bookmarkStart w:id="883" w:name="juridische-status-53"/>
    <w:p>
      <w:pPr>
        <w:pStyle w:val="Heading3"/>
      </w:pPr>
      <w:r>
        <w:t xml:space="preserve">Juridische status</w:t>
      </w:r>
    </w:p>
    <w:p>
      <w:pPr>
        <w:numPr>
          <w:ilvl w:val="0"/>
          <w:numId w:val="1300"/>
        </w:numPr>
        <w:pStyle w:val="Compact"/>
      </w:pPr>
      <w:r>
        <w:rPr>
          <w:bCs/>
          <w:b/>
        </w:rPr>
        <w:t xml:space="preserve">EU / Oostenrijk / Duitsland:</w:t>
      </w:r>
      <w:r>
        <w:t xml:space="preserve"> </w:t>
      </w:r>
      <w:r>
        <w:t xml:space="preserve">lactotripeptiden zijn levensmiddelingrediënten. Gezondheidsclaims over de bloeddruk zijn volgens de claimsverordening (Verordening (EG) nr. 1924/2006)</w:t>
      </w:r>
      <w:r>
        <w:t xml:space="preserve"> </w:t>
      </w:r>
      <w:r>
        <w:rPr>
          <w:bCs/>
          <w:b/>
        </w:rPr>
        <w:t xml:space="preserve">niet toegelaten</w:t>
      </w:r>
      <w:r>
        <w:t xml:space="preserve">. De Europese Autoriteit voor voedselveiligheid (EFSA) heeft aanvragen over lactotripeptiden en het behoud van een normale bloeddruk beoordeeld en concludeerde dat een oorzaak-gevolgverband onvoldoende is aangetoond. Doorslaggevend waren onder meer de tegenstrijdige Europese studies. Producten mogen in de EU daarom niet worden aangeprezen met „verlaagt de bloeddruk” of „draagt bij tot een normale bloeddruk”.</w:t>
      </w:r>
    </w:p>
    <w:p>
      <w:pPr>
        <w:numPr>
          <w:ilvl w:val="0"/>
          <w:numId w:val="1300"/>
        </w:numPr>
        <w:pStyle w:val="Compact"/>
      </w:pPr>
      <w:r>
        <w:rPr>
          <w:bCs/>
          <w:b/>
        </w:rPr>
        <w:t xml:space="preserve">Japan:</w:t>
      </w:r>
      <w:r>
        <w:t xml:space="preserve"> </w:t>
      </w:r>
      <w:r>
        <w:t xml:space="preserve">daar werden zulke dranken op de markt gebracht als „levensmiddelen voor specifieke gezondheidsdoeleinden” (FOSHU) met een door de overheid toegelaten bloeddrukclaim. Dat verklaart gedeeltelijk waarom een groot deel van de studies uit Japan komt.</w:t>
      </w:r>
    </w:p>
    <w:p>
      <w:pPr>
        <w:numPr>
          <w:ilvl w:val="0"/>
          <w:numId w:val="1300"/>
        </w:numPr>
        <w:pStyle w:val="Compact"/>
      </w:pPr>
      <w:r>
        <w:rPr>
          <w:bCs/>
          <w:b/>
        </w:rPr>
        <w:t xml:space="preserve">VS:</w:t>
      </w:r>
      <w:r>
        <w:t xml:space="preserve"> </w:t>
      </w:r>
      <w:r>
        <w:t xml:space="preserve">verkrijgbaar als voedingssupplement; ziektegerelateerde claims zijn niet toegestaan.</w:t>
      </w:r>
    </w:p>
    <w:p>
      <w:pPr>
        <w:numPr>
          <w:ilvl w:val="0"/>
          <w:numId w:val="1300"/>
        </w:numPr>
        <w:pStyle w:val="Compact"/>
      </w:pPr>
      <w:r>
        <w:rPr>
          <w:bCs/>
          <w:b/>
        </w:rPr>
        <w:t xml:space="preserve">Sport:</w:t>
      </w:r>
      <w:r>
        <w:t xml:space="preserve"> </w:t>
      </w:r>
      <w:r>
        <w:t xml:space="preserve">niet op de verboden lijst van de WADA (stand 2026, actuele situatie controleren).</w:t>
      </w:r>
    </w:p>
    <w:bookmarkEnd w:id="883"/>
    <w:bookmarkStart w:id="884" w:name="lopende-studies-en-vooruitzichten-53"/>
    <w:p>
      <w:pPr>
        <w:pStyle w:val="Heading3"/>
      </w:pPr>
      <w:r>
        <w:t xml:space="preserve">Lopende studies en vooruitzichten</w:t>
      </w:r>
    </w:p>
    <w:p>
      <w:pPr>
        <w:pStyle w:val="FirstParagraph"/>
      </w:pPr>
      <w:r>
        <w:rPr>
          <w:bCs/>
          <w:b/>
        </w:rPr>
        <w:t xml:space="preserve">Zeker:</w:t>
      </w:r>
      <w:r>
        <w:t xml:space="preserve"> </w:t>
      </w:r>
      <w:r>
        <w:t xml:space="preserve">op ClinicalTrials.gov is onder de term „lactotripeptides” geen lopende studie geregistreerd. Onder verwante termen staat een afgeronde studie naar IPP en de vaatfunctie bij coronaire hartziekte met 54 deelnemers (NCT00924157). Het onderzoek naar lactotripeptiden is sinds ongeveer 2015 duidelijk afgenomen; nieuwe studies onderzoeken vooral in het algemeen waarom mensen verschillend reageren op voedingspeptiden.</w:t>
      </w:r>
    </w:p>
    <w:p>
      <w:pPr>
        <w:pStyle w:val="BodyText"/>
      </w:pPr>
      <w:r>
        <w:rPr>
          <w:bCs/>
          <w:b/>
        </w:rPr>
        <w:t xml:space="preserve">Inschatting:</w:t>
      </w:r>
      <w:r>
        <w:t xml:space="preserve"> </w:t>
      </w:r>
      <w:r>
        <w:t xml:space="preserve">lactotripeptiden zijn een schoolvoorbeeld van hoe een in het laboratorium overtuigend mechanisme en vroege positieve studies in grotere, onafhankelijke onderzoeken kunnen inkrimpen. Een klein effect op de bloeddruk is – vooral bij Aziatische studiepopulaties – mogelijk, maar voor Europa niet overtuigend aangetoond. Een renaissance is niet in zicht.</w:t>
      </w:r>
    </w:p>
    <w:bookmarkEnd w:id="884"/>
    <w:bookmarkStart w:id="885" w:name="conclusie-53"/>
    <w:p>
      <w:pPr>
        <w:pStyle w:val="Heading3"/>
      </w:pPr>
      <w:r>
        <w:t xml:space="preserve">Conclusie</w:t>
      </w:r>
    </w:p>
    <w:p>
      <w:pPr>
        <w:pStyle w:val="FirstParagraph"/>
      </w:pPr>
      <w:r>
        <w:t xml:space="preserve">Lactotripeptiden zijn twee kleine melkpeptiden die in de reageerbuis het bloeddrukregulerende enzym ACE remmen. In vroege Japanse en Finse studies verlaagden ze de bloeddruk, in meerdere grotere Nederlandse studies daarentegen niet, en een meetbare ACE-remming kon bij mensen niet worden aangetoond. Meta-analyses geven een daling van de systolische bloeddruk met ongeveer 1 tot 4 mmHg, met aanwijzingen voor publicatiebias en een duidelijk kleiner effect in Europa. De EFSA heeft een bloeddrukclaim afgewezen. Ze zijn onschadelijk, maar geen vervanging voor een bloeddrukbehandeling.</w:t>
      </w:r>
    </w:p>
    <w:bookmarkEnd w:id="885"/>
    <w:bookmarkEnd w:id="886"/>
    <w:bookmarkStart w:id="903" w:name="carnosine"/>
    <w:p>
      <w:pPr>
        <w:pStyle w:val="Heading2"/>
      </w:pPr>
      <w:r>
        <w:t xml:space="preserve">Carnosine</w:t>
      </w:r>
    </w:p>
    <w:bookmarkStart w:id="887" w:name="profiel-54"/>
    <w:p>
      <w:pPr>
        <w:pStyle w:val="Heading3"/>
      </w:pPr>
      <w:r>
        <w:t xml:space="preserve">Profiel</w:t>
      </w:r>
    </w:p>
    <w:p>
      <w:pPr>
        <w:numPr>
          <w:ilvl w:val="0"/>
          <w:numId w:val="1301"/>
        </w:numPr>
        <w:pStyle w:val="Compact"/>
      </w:pPr>
      <w:r>
        <w:rPr>
          <w:bCs/>
          <w:b/>
        </w:rPr>
        <w:t xml:space="preserve">Soort/structuur:</w:t>
      </w:r>
      <w:r>
        <w:t xml:space="preserve"> </w:t>
      </w:r>
      <w:r>
        <w:t xml:space="preserve">dipeptide uit de aminozuren bèta-alanine en histidine (β-alanyl-L-histidine). Verwante stoffen zijn anserine (in gevogelte en vis) en homocarnosine (in de hersenen); samen heten ze histidinehoudende dipeptiden.</w:t>
      </w:r>
    </w:p>
    <w:p>
      <w:pPr>
        <w:numPr>
          <w:ilvl w:val="0"/>
          <w:numId w:val="1301"/>
        </w:numPr>
        <w:pStyle w:val="Compact"/>
      </w:pPr>
      <w:r>
        <w:rPr>
          <w:bCs/>
          <w:b/>
        </w:rPr>
        <w:t xml:space="preserve">Herkomst:</w:t>
      </w:r>
      <w:r>
        <w:t xml:space="preserve"> </w:t>
      </w:r>
      <w:r>
        <w:t xml:space="preserve">lichaamseigen, in hoge concentratie in de skeletspieren, daarnaast in hart en hersenen. Met de voeding wordt carnosine vooral via vlees en vis opgenomen; plantaardige levensmiddelen bevatten er praktisch geen. Voor voedingssupplementen wordt het synthetisch vervaardigd.</w:t>
      </w:r>
    </w:p>
    <w:p>
      <w:pPr>
        <w:numPr>
          <w:ilvl w:val="0"/>
          <w:numId w:val="1301"/>
        </w:numPr>
        <w:pStyle w:val="Compact"/>
      </w:pPr>
      <w:r>
        <w:rPr>
          <w:bCs/>
          <w:b/>
        </w:rPr>
        <w:t xml:space="preserve">Werkingsprincipe:</w:t>
      </w:r>
      <w:r>
        <w:t xml:space="preserve"> </w:t>
      </w:r>
      <w:r>
        <w:t xml:space="preserve">buffer tegen verzuring in de spier; in het laboratorium daarnaast wegvangen van reactieve afbraakproducten van suikers en vetten (antiglycatie) en antioxidatieve werking.</w:t>
      </w:r>
    </w:p>
    <w:p>
      <w:pPr>
        <w:numPr>
          <w:ilvl w:val="0"/>
          <w:numId w:val="1301"/>
        </w:numPr>
        <w:pStyle w:val="Compact"/>
      </w:pPr>
      <w:r>
        <w:rPr>
          <w:bCs/>
          <w:b/>
        </w:rPr>
        <w:t xml:space="preserve">Verwante stoffen:</w:t>
      </w:r>
      <w:r>
        <w:t xml:space="preserve"> </w:t>
      </w:r>
      <w:r>
        <w:t xml:space="preserve">bèta-alanine (de voorloper, wijdverbreid sportsupplement); zinkcarnosine (polaprezinc, in Japan een geneesmiddel tegen maagzweren); N-acetylcarnosine (in oogdruppels).</w:t>
      </w:r>
    </w:p>
    <w:p>
      <w:pPr>
        <w:numPr>
          <w:ilvl w:val="0"/>
          <w:numId w:val="1301"/>
        </w:numPr>
        <w:pStyle w:val="Compact"/>
      </w:pPr>
      <w:r>
        <w:rPr>
          <w:bCs/>
          <w:b/>
        </w:rPr>
        <w:t xml:space="preserve">Registratie EU:</w:t>
      </w:r>
      <w:r>
        <w:t xml:space="preserve"> </w:t>
      </w:r>
      <w:r>
        <w:t xml:space="preserve">geen registratie als geneesmiddel voor carnosine; als voedingssupplement in de handel. Geen toegelaten gezondheidsclaim.</w:t>
      </w:r>
    </w:p>
    <w:p>
      <w:pPr>
        <w:numPr>
          <w:ilvl w:val="0"/>
          <w:numId w:val="1301"/>
        </w:numPr>
        <w:pStyle w:val="Compact"/>
      </w:pPr>
      <w:r>
        <w:rPr>
          <w:bCs/>
          <w:b/>
        </w:rPr>
        <w:t xml:space="preserve">Registratie VS:</w:t>
      </w:r>
      <w:r>
        <w:t xml:space="preserve"> </w:t>
      </w:r>
      <w:r>
        <w:t xml:space="preserve">geen registratie als geneesmiddel; verkrijgbaar als voedingssupplement.</w:t>
      </w:r>
    </w:p>
    <w:p>
      <w:pPr>
        <w:numPr>
          <w:ilvl w:val="0"/>
          <w:numId w:val="1301"/>
        </w:numPr>
        <w:pStyle w:val="Compact"/>
      </w:pPr>
      <w:r>
        <w:rPr>
          <w:bCs/>
          <w:b/>
        </w:rPr>
        <w:t xml:space="preserve">WADA:</w:t>
      </w:r>
      <w:r>
        <w:t xml:space="preserve"> </w:t>
      </w:r>
      <w:r>
        <w:t xml:space="preserve">carnosine en bèta-alanine zijn niet vermeld (stand 2026, actuele situatie controleren).</w:t>
      </w:r>
    </w:p>
    <w:p>
      <w:pPr>
        <w:numPr>
          <w:ilvl w:val="0"/>
          <w:numId w:val="1301"/>
        </w:numPr>
        <w:pStyle w:val="Compact"/>
      </w:pPr>
      <w:r>
        <w:rPr>
          <w:bCs/>
          <w:b/>
        </w:rPr>
        <w:t xml:space="preserve">Bewijsniveau:</w:t>
      </w:r>
      <w:r>
        <w:t xml:space="preserve"> </w:t>
      </w:r>
      <w:r>
        <w:rPr>
          <w:bCs/>
          <w:b/>
        </w:rPr>
        <w:t xml:space="preserve">B</w:t>
      </w:r>
      <w:r>
        <w:t xml:space="preserve"> </w:t>
      </w:r>
      <w:r>
        <w:t xml:space="preserve">– meerdere kleine gerandomiseerde studies, één grotere studie met bijna 300 deelnemers; veel resultaten niet eenduidig.</w:t>
      </w:r>
    </w:p>
    <w:bookmarkEnd w:id="887"/>
    <w:bookmarkStart w:id="890" w:name="hoe-het-zou-moeten-werken-54"/>
    <w:p>
      <w:pPr>
        <w:pStyle w:val="Heading3"/>
      </w:pPr>
      <w:r>
        <w:t xml:space="preserve">Hoe het zou moeten werken</w:t>
      </w:r>
    </w:p>
    <w:p>
      <w:pPr>
        <w:pStyle w:val="FirstParagraph"/>
      </w:pPr>
      <w:r>
        <w:t xml:space="preserve">Bij korte, zeer intensieve belastingen – een 400 meter hardlopen of een roeiwedstrijd – produceert de spier meer zuur dan hij kan afvoeren. De zuurgraad stijgt, de spierarbeid neemt af. Carnosine is in de spier een van de buffers die dit zuur opvangen. Bij 18 Belgische toproeiers hing het carnosinegehalte van de kuitspieren nauw samen met de snelheid over 100 tot 6.000 meter (Baguet 2010, PMID 20671038).</w:t>
      </w:r>
    </w:p>
    <w:p>
      <w:pPr>
        <w:pStyle w:val="BodyText"/>
      </w:pPr>
      <w:r>
        <w:t xml:space="preserve">Daarnaast heeft carnosine in het laboratorium nog andere eigenschappen: het vangt reactieve moleculen weg die bij een hoge bloedsuiker of bij de afbraak van vetten ontstaan en eiwitten kunnen beschadigen (zogenoemde glycatie en lipideperoxidatie). Daaruit worden de hypothesen afgeleid dat carnosine nuttig zou kunnen zijn bij diabetes, vaat- en nierschade, hersenveroudering of huidveroudering.</w:t>
      </w:r>
    </w:p>
    <w:bookmarkStart w:id="888" w:name="het-probleem-van-de-opname-carnosinase"/>
    <w:p>
      <w:pPr>
        <w:pStyle w:val="Heading4"/>
      </w:pPr>
      <w:r>
        <w:t xml:space="preserve">Het probleem van de opname: carnosinase</w:t>
      </w:r>
    </w:p>
    <w:p>
      <w:pPr>
        <w:pStyle w:val="FirstParagraph"/>
      </w:pPr>
      <w:r>
        <w:t xml:space="preserve">In het menselijk bloed bestaat een zeer actief enzym, het serumcarnosinase (CN1), dat carnosine snel splitst in bèta-alanine en histidine. Knaagdieren hebben dit enzym in het bloed praktisch niet – een belangrijke reden waarom resultaten uit dierproeven slechts beperkt overdraagbaar zijn. Al in 1991 liet een studie zien dat een deel van het ingeslikte carnosine weliswaar onveranderd uit de darm wordt opgenomen (tot 14% werd in de urine teruggevonden), maar in het bloed alleen aantoonbaar was als het carnosinase in het monsterbuisje werd geblokkeerd. De hoeveelheid in de urine varieerde sterk en was kleiner naarmate het carnosinase van de persoon actiever was (Gardner 1991, PMID 1910085).</w:t>
      </w:r>
    </w:p>
    <w:p>
      <w:pPr>
        <w:pStyle w:val="BodyText"/>
      </w:pPr>
      <w:r>
        <w:t xml:space="preserve">In de tot nu toe grootste studie stegen onder 2 g carnosine per dag de carnosinewaarden in de rode bloedcellen na 6 en 12 weken tot ongeveer het dubbele, in de urine tot ongeveer het zevenvoudige (Baba 2024, PMID 39215872). Carnosine komt dus in het lichaam aan – hoeveel daarvan in spier, hersenen of nier terechtkomt, is echter grotendeels onbekend.</w:t>
      </w:r>
    </w:p>
    <w:bookmarkEnd w:id="888"/>
    <w:bookmarkStart w:id="889" w:name="bèta-alanine-de-omweg-via-de-voorloper"/>
    <w:p>
      <w:pPr>
        <w:pStyle w:val="Heading4"/>
      </w:pPr>
      <w:r>
        <w:t xml:space="preserve">Bèta-alanine: de omweg via de voorloper</w:t>
      </w:r>
    </w:p>
    <w:p>
      <w:pPr>
        <w:pStyle w:val="FirstParagraph"/>
      </w:pPr>
      <w:r>
        <w:t xml:space="preserve">Voor de spier heeft een andere weg de overhand gekregen. Het lichaam bouwt carnosine in de spiercel zelf op uit bèta-alanine en histidine; bèta-alanine is daarbij de schaarse bouwsteen. Neemt men bèta-alanine in, dan stijgt het carnosinegehalte in de spier duidelijk. In een vroege studie verhoogden vier weken bèta-alanine het spiercarnosinegehalte met naar schatting 42 tot 64%; isomolaire hoeveelheden carnosine hadden een vergelijkbaar effect (Harris 2006, PMID 16554972). Na het stoppen duurde het 12 tot 16 weken voordat de waarde weer op het uitgangsniveau lag (Yamaguchi 2021, PMID 33148972). Praktisch alle personen reageren op bèta-alanine (Rezende 2020, PMID 32922303).</w:t>
      </w:r>
    </w:p>
    <w:p>
      <w:pPr>
        <w:pStyle w:val="BodyText"/>
      </w:pPr>
      <w:r>
        <w:t xml:space="preserve">Bèta-alanine is geen peptide, maar één enkel aminozuur. Het wordt hier alleen kort behandeld, omdat het het spiercarnosinegehalte betrouwbaarder verhoogt dan carnosine zelf en daarom in de sport een veel grotere rol speelt.</w:t>
      </w:r>
    </w:p>
    <w:bookmarkEnd w:id="889"/>
    <w:bookmarkEnd w:id="890"/>
    <w:bookmarkStart w:id="897" w:name="studies-bij-mensen-54"/>
    <w:p>
      <w:pPr>
        <w:pStyle w:val="Heading3"/>
      </w:pPr>
      <w:r>
        <w:t xml:space="preserve">Studies bij mensen</w:t>
      </w:r>
    </w:p>
    <w:p>
      <w:pPr>
        <w:pStyle w:val="FirstParagraph"/>
      </w:pPr>
      <w:r>
        <w:t xml:space="preserve">De voor dit boek uitgevoerde PubMed-zoekopdracht (carnosine in de titel, gecombineerd met suppletie of orale toediening, zoekdatum oktober 2026) leverde 57 studies bij mensen op; op ClinicalTrials.gov staan 53 registraties. Een deel daarvan betreft eigenlijk bèta-alanine of zinkcarnosine. De studies zijn verdeeld over veel kleine toepassingsgebieden.</w:t>
      </w:r>
    </w:p>
    <w:bookmarkStart w:id="891" w:name="sport-en-lichamelijke-prestaties"/>
    <w:p>
      <w:pPr>
        <w:pStyle w:val="Heading4"/>
      </w:pPr>
      <w:r>
        <w:t xml:space="preserve">Sport en lichamelijke prestaties</w:t>
      </w:r>
    </w:p>
    <w:p>
      <w:pPr>
        <w:pStyle w:val="FirstParagraph"/>
      </w:pPr>
      <w:r>
        <w:t xml:space="preserve">Bij sporters zijn de gegevens voor</w:t>
      </w:r>
      <w:r>
        <w:t xml:space="preserve"> </w:t>
      </w:r>
      <w:r>
        <w:rPr>
          <w:bCs/>
          <w:b/>
        </w:rPr>
        <w:t xml:space="preserve">bèta-alanine</w:t>
      </w:r>
      <w:r>
        <w:t xml:space="preserve"> </w:t>
      </w:r>
      <w:r>
        <w:t xml:space="preserve">duidelijk beter dan voor carnosine. Een meta-analyse van 40 dubbelblinde, placebogecontroleerde studies met 1.461 deelnemers vond een klein totaaleffect (effectgrootte 0,18). Het duidelijkst was het bij belastingen van 0,5 tot 10 minuten en bij tests van het uithoudingsvermogen tot uitputting, minder bij wedstrijdprestaties (Saunders 2017, PMID 27797728). Een voorbeeld: bij 15 sprinters verhoogde bèta-alanine het carnosinegehalte in kuitspieren met 37 tot 47% en verzachtte het de vermoeidheid bij herhaalde krachtseries, maar verbeterde het de 400 metertijd niet (Derave 2007, PMID 17690198). Ook een verdubbeling van het spiercarnosine verbeterde bij wielrenners de tijd over een uur niet (Chung 2014, PMID 24457999) – logisch, want bij duurbelastingen speelt de zuurbuffering een kleinere rol.</w:t>
      </w:r>
    </w:p>
    <w:p>
      <w:pPr>
        <w:pStyle w:val="BodyText"/>
      </w:pPr>
      <w:r>
        <w:t xml:space="preserve">Voor</w:t>
      </w:r>
      <w:r>
        <w:t xml:space="preserve"> </w:t>
      </w:r>
      <w:r>
        <w:rPr>
          <w:bCs/>
          <w:b/>
        </w:rPr>
        <w:t xml:space="preserve">carnosine zelf</w:t>
      </w:r>
      <w:r>
        <w:t xml:space="preserve"> </w:t>
      </w:r>
      <w:r>
        <w:t xml:space="preserve">zijn er maar weinig prestatiestudies. In de NEAT-studie (Nucleophilic Defense Against PM Toxicity, NCT03314987) kregen 299 volwassenen gedurende twaalf weken 2 g carnosine of placebo. Bij knijpkracht, loopsnelheid en de meeste tests waren er geen verschillen; significante verbeteringen waren alleen te zien in afzonderlijke subgroepen (bepaalde leeftijds- en geslachtsgroepen) bij kuitheffen en steptest (O’Toole 2026, PMID 42308284). Zulke subgroepbevindingen zijn gevoelig voor toevalstreffers en moeten worden bevestigd.</w:t>
      </w:r>
    </w:p>
    <w:bookmarkEnd w:id="891"/>
    <w:bookmarkStart w:id="892" w:name="diabetes-en-stofwisseling"/>
    <w:p>
      <w:pPr>
        <w:pStyle w:val="Heading4"/>
      </w:pPr>
      <w:r>
        <w:t xml:space="preserve">Diabetes en stofwisseling</w:t>
      </w:r>
    </w:p>
    <w:p>
      <w:pPr>
        <w:pStyle w:val="FirstParagraph"/>
      </w:pPr>
      <w:r>
        <w:t xml:space="preserve">Dit is het meest intensief onderzochte medische gebied: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Deelnemers en opzet</w:t>
            </w:r>
          </w:p>
        </w:tc>
        <w:tc>
          <w:tcPr/>
          <w:p>
            <w:pPr>
              <w:pStyle w:val="Compact"/>
              <w:jc w:val="left"/>
            </w:pPr>
            <w:r>
              <w:t xml:space="preserve">Duur</w:t>
            </w:r>
          </w:p>
        </w:tc>
        <w:tc>
          <w:tcPr/>
          <w:p>
            <w:pPr>
              <w:pStyle w:val="Compact"/>
              <w:jc w:val="left"/>
            </w:pPr>
            <w:r>
              <w:t xml:space="preserve">Resultaat</w:t>
            </w:r>
          </w:p>
        </w:tc>
      </w:tr>
      <w:tr>
        <w:tc>
          <w:tcPr/>
          <w:p>
            <w:pPr>
              <w:pStyle w:val="Compact"/>
              <w:jc w:val="left"/>
            </w:pPr>
            <w:r>
              <w:t xml:space="preserve">de Courten 2016, PMID 27040154</w:t>
            </w:r>
          </w:p>
        </w:tc>
        <w:tc>
          <w:tcPr/>
          <w:p>
            <w:pPr>
              <w:pStyle w:val="Compact"/>
              <w:jc w:val="left"/>
            </w:pPr>
            <w:r>
              <w:t xml:space="preserve">30 volwassenen met overgewicht zonder diabetes, 2 g vs. placebo</w:t>
            </w:r>
          </w:p>
        </w:tc>
        <w:tc>
          <w:tcPr/>
          <w:p>
            <w:pPr>
              <w:pStyle w:val="Compact"/>
              <w:jc w:val="left"/>
            </w:pPr>
            <w:r>
              <w:t xml:space="preserve">12 weken</w:t>
            </w:r>
          </w:p>
        </w:tc>
        <w:tc>
          <w:tcPr/>
          <w:p>
            <w:pPr>
              <w:pStyle w:val="Compact"/>
              <w:jc w:val="left"/>
            </w:pPr>
            <w:r>
              <w:t xml:space="preserve">Stijging van nuchtere insuline en insulineresistentie onder carnosine afgeremd (pilotstudie)</w:t>
            </w:r>
          </w:p>
        </w:tc>
      </w:tr>
      <w:tr>
        <w:tc>
          <w:tcPr/>
          <w:p>
            <w:pPr>
              <w:pStyle w:val="Compact"/>
              <w:jc w:val="left"/>
            </w:pPr>
            <w:r>
              <w:t xml:space="preserve">Houjeghani 2018, PMID 29420997</w:t>
            </w:r>
          </w:p>
        </w:tc>
        <w:tc>
          <w:tcPr/>
          <w:p>
            <w:pPr>
              <w:pStyle w:val="Compact"/>
              <w:jc w:val="left"/>
            </w:pPr>
            <w:r>
              <w:t xml:space="preserve">54 personen met diabetes type 2, 1 g vs. placebo</w:t>
            </w:r>
          </w:p>
        </w:tc>
        <w:tc>
          <w:tcPr/>
          <w:p>
            <w:pPr>
              <w:pStyle w:val="Compact"/>
              <w:jc w:val="left"/>
            </w:pPr>
            <w:r>
              <w:t xml:space="preserve">12 weken</w:t>
            </w:r>
          </w:p>
        </w:tc>
        <w:tc>
          <w:tcPr/>
          <w:p>
            <w:pPr>
              <w:pStyle w:val="Compact"/>
              <w:jc w:val="left"/>
            </w:pPr>
            <w:r>
              <w:t xml:space="preserve">Nuchtere glucose −13,1 mg/dl, HbA1c −0,6 procentpunt vs. placebo</w:t>
            </w:r>
          </w:p>
        </w:tc>
      </w:tr>
      <w:tr>
        <w:tc>
          <w:tcPr/>
          <w:p>
            <w:pPr>
              <w:pStyle w:val="Compact"/>
              <w:jc w:val="left"/>
            </w:pPr>
            <w:r>
              <w:t xml:space="preserve">Hariharan 2024, PMID 38172006</w:t>
            </w:r>
          </w:p>
        </w:tc>
        <w:tc>
          <w:tcPr/>
          <w:p>
            <w:pPr>
              <w:pStyle w:val="Compact"/>
              <w:jc w:val="left"/>
            </w:pPr>
            <w:r>
              <w:t xml:space="preserve">43 volwassenen met prediabetes of diabetes type 2, 2 g vs. placebo</w:t>
            </w:r>
          </w:p>
        </w:tc>
        <w:tc>
          <w:tcPr/>
          <w:p>
            <w:pPr>
              <w:pStyle w:val="Compact"/>
              <w:jc w:val="left"/>
            </w:pPr>
            <w:r>
              <w:t xml:space="preserve">14 weken</w:t>
            </w:r>
          </w:p>
        </w:tc>
        <w:tc>
          <w:tcPr/>
          <w:p>
            <w:pPr>
              <w:pStyle w:val="Compact"/>
              <w:jc w:val="left"/>
            </w:pPr>
            <w:r>
              <w:t xml:space="preserve">Lagere bloedsuiker 90 en 120 minuten na suikerbelasting; insuline onveranderd</w:t>
            </w:r>
          </w:p>
        </w:tc>
      </w:tr>
      <w:tr>
        <w:tc>
          <w:tcPr/>
          <w:p>
            <w:pPr>
              <w:pStyle w:val="Compact"/>
              <w:jc w:val="left"/>
            </w:pPr>
            <w:r>
              <w:t xml:space="preserve">Saadati 2023, PMID 38004228</w:t>
            </w:r>
          </w:p>
        </w:tc>
        <w:tc>
          <w:tcPr/>
          <w:p>
            <w:pPr>
              <w:pStyle w:val="Compact"/>
              <w:jc w:val="left"/>
            </w:pPr>
            <w:r>
              <w:t xml:space="preserve">49 volwassenen met prediabetes of goed ingestelde diabetes type 2, 2 g vs. placebo</w:t>
            </w:r>
          </w:p>
        </w:tc>
        <w:tc>
          <w:tcPr/>
          <w:p>
            <w:pPr>
              <w:pStyle w:val="Compact"/>
              <w:jc w:val="left"/>
            </w:pPr>
            <w:r>
              <w:t xml:space="preserve">14 weken</w:t>
            </w:r>
          </w:p>
        </w:tc>
        <w:tc>
          <w:tcPr/>
          <w:p>
            <w:pPr>
              <w:pStyle w:val="Compact"/>
              <w:jc w:val="left"/>
            </w:pPr>
            <w:r>
              <w:t xml:space="preserve">Geen effect op vaatfunctie, vaatstijfheid, bloedvetten, bloeddruk, lever- en nierwaarden</w:t>
            </w:r>
          </w:p>
        </w:tc>
      </w:tr>
      <w:tr>
        <w:tc>
          <w:tcPr/>
          <w:p>
            <w:pPr>
              <w:pStyle w:val="Compact"/>
              <w:jc w:val="left"/>
            </w:pPr>
            <w:r>
              <w:t xml:space="preserve">Elbarbary 2018, PMID 28744992</w:t>
            </w:r>
          </w:p>
        </w:tc>
        <w:tc>
          <w:tcPr/>
          <w:p>
            <w:pPr>
              <w:pStyle w:val="Compact"/>
              <w:jc w:val="left"/>
            </w:pPr>
            <w:r>
              <w:t xml:space="preserve">90 kinderen en jongeren met diabetes type 1 en nierschade, 1 g vs. placebo</w:t>
            </w:r>
          </w:p>
        </w:tc>
        <w:tc>
          <w:tcPr/>
          <w:p>
            <w:pPr>
              <w:pStyle w:val="Compact"/>
              <w:jc w:val="left"/>
            </w:pPr>
            <w:r>
              <w:t xml:space="preserve">12 weken</w:t>
            </w:r>
          </w:p>
        </w:tc>
        <w:tc>
          <w:tcPr/>
          <w:p>
            <w:pPr>
              <w:pStyle w:val="Compact"/>
              <w:jc w:val="left"/>
            </w:pPr>
            <w:r>
              <w:t xml:space="preserve">Albumine in de urine, HbA1c en oxidatiemarkers verbeterd</w:t>
            </w:r>
          </w:p>
        </w:tc>
      </w:tr>
    </w:tbl>
    <w:p>
      <w:pPr>
        <w:pStyle w:val="BodyText"/>
      </w:pPr>
      <w:r>
        <w:t xml:space="preserve">Meerdere meta-analyses vatten deze studies samen. Een analyse van vier studies met 184 deelnemers vond een verlaging van het HbA1c met 0,92 procentpunt, maar geen effect op nuchtere glucose, insulineresistentie of bloedvetten (Peng 2020, PMID 31987255). Een bayesiaanse meta-analyse die carnosine en bèta-alanine samen bekeek, schatte voor de mens een HbA1c-daling van 0,91 procentpunt – op basis van slechts vier studies bij mensen (Matthews 2021, PMID 34333586). Een nieuwere meta-analyse met acht studies en 377 deelnemers met prediabetes of diabetes type 2 vond verbeteringen in nuchtere glucose en HbA1c, maar niet in insuline of lichaamsgewicht (Li 2025, PMID 40999397).</w:t>
      </w:r>
    </w:p>
    <w:p>
      <w:pPr>
        <w:pStyle w:val="BodyText"/>
      </w:pPr>
      <w:r>
        <w:t xml:space="preserve">De effecten lijken op papier opmerkelijk, maar staan op een zeer smalle basis: weinig, kleine, korte studies, vaak uit afzonderlijke centra, met deels tegenstrijdige resultaten (vgl. de vergelijkbaar opgezette studies van 14 weken van Hariharan 2024 en Saadati 2023, waarvan de ene gunstige effecten op de bloedsuiker vond en de andere geen effecten op bloedvaten en stofwisselingswaarden). Of carnosine op lange termijn complicaties van diabetes voorkomt, is nooit onderzocht.</w:t>
      </w:r>
    </w:p>
    <w:bookmarkEnd w:id="892"/>
    <w:bookmarkStart w:id="893" w:name="ontsteking-en-oxidatieve-stress"/>
    <w:p>
      <w:pPr>
        <w:pStyle w:val="Heading4"/>
      </w:pPr>
      <w:r>
        <w:t xml:space="preserve">Ontsteking en oxidatieve stress</w:t>
      </w:r>
    </w:p>
    <w:p>
      <w:pPr>
        <w:pStyle w:val="FirstParagraph"/>
      </w:pPr>
      <w:r>
        <w:t xml:space="preserve">Een meta-analyse van negen studies met 350 deelnemers vond onder carnosine of histidinehoudende dipeptiden lagere waarden van de ontstekingsmarker CRP en de oxidatiemarker malondialdehyde, maar geen verandering bij meerdere andere markers (Saadati 2024, PMID 38086332). Laboratoriumwaarden zijn echter surrogaatparameters – of ze gepaard gaan met een gezondheidsvoordeel, is open.</w:t>
      </w:r>
    </w:p>
    <w:bookmarkEnd w:id="893"/>
    <w:bookmarkStart w:id="894" w:name="hersenen-geheugen-en-psyche"/>
    <w:p>
      <w:pPr>
        <w:pStyle w:val="Heading4"/>
      </w:pPr>
      <w:r>
        <w:t xml:space="preserve">Hersenen, geheugen en psyche</w:t>
      </w:r>
    </w:p>
    <w:p>
      <w:pPr>
        <w:numPr>
          <w:ilvl w:val="0"/>
          <w:numId w:val="1302"/>
        </w:numPr>
        <w:pStyle w:val="Compact"/>
      </w:pPr>
      <w:r>
        <w:rPr>
          <w:bCs/>
          <w:b/>
        </w:rPr>
        <w:t xml:space="preserve">Ouderen:</w:t>
      </w:r>
      <w:r>
        <w:t xml:space="preserve"> </w:t>
      </w:r>
      <w:r>
        <w:t xml:space="preserve">in Japanse studies van één onderzoeksgroep kregen ouderen een mengsel van anserine en carnosine (3:1). Bij 39 gezonde ouderen bleef het uitgestelde reproduceren van woordinhoud beter behouden dan onder placebo (Hisatsune 2016, PMID 26682691). Bij 54 mensen met een lichte cognitieve stoornis was een globale ernstscore voor dementie onder het mengsel gunstiger; de meeste andere tests verschilden niet (Masuoka 2019, PMID 31319510).</w:t>
      </w:r>
    </w:p>
    <w:p>
      <w:pPr>
        <w:numPr>
          <w:ilvl w:val="0"/>
          <w:numId w:val="1302"/>
        </w:numPr>
        <w:pStyle w:val="Compact"/>
      </w:pPr>
      <w:r>
        <w:rPr>
          <w:bCs/>
          <w:b/>
        </w:rPr>
        <w:t xml:space="preserve">Jongere volwassenen:</w:t>
      </w:r>
      <w:r>
        <w:t xml:space="preserve"> </w:t>
      </w:r>
      <w:r>
        <w:t xml:space="preserve">in een achteraf uitgevoerde analyse van de NEAT-studie verbeterden snelheid en efficiëntie in cognitieve tests alleen in de jongste leeftijdsgroep (23–35 jaar) (O’Toole 2025, PMID 39919936).</w:t>
      </w:r>
    </w:p>
    <w:p>
      <w:pPr>
        <w:numPr>
          <w:ilvl w:val="0"/>
          <w:numId w:val="1302"/>
        </w:numPr>
        <w:pStyle w:val="Compact"/>
      </w:pPr>
      <w:r>
        <w:rPr>
          <w:bCs/>
          <w:b/>
        </w:rPr>
        <w:t xml:space="preserve">Samenvatting:</w:t>
      </w:r>
      <w:r>
        <w:t xml:space="preserve"> </w:t>
      </w:r>
      <w:r>
        <w:t xml:space="preserve">een meta-analyse uit 2026 sloot 13 studies in. De meeste cognitieve tests lieten geen verschil met placebo zien; gunstige gepoolde effecten berustten deels op drie studies van dezelfde onderzoeksgroep. De auteurs beoordelen de bewijskracht als laag (Hsiao 2026, PMID 42123986). Een andere meta-analyse vond een vermindering van depressiescores (matige betrouwbaarheid), maar benadrukt kleine studies met een matig tot hoog risico op vertekening (Kabthymer 2025, PMID 38545720).</w:t>
      </w:r>
    </w:p>
    <w:p>
      <w:pPr>
        <w:numPr>
          <w:ilvl w:val="0"/>
          <w:numId w:val="1302"/>
        </w:numPr>
        <w:pStyle w:val="Compact"/>
      </w:pPr>
      <w:r>
        <w:rPr>
          <w:bCs/>
          <w:b/>
        </w:rPr>
        <w:t xml:space="preserve">Autisme:</w:t>
      </w:r>
      <w:r>
        <w:t xml:space="preserve"> </w:t>
      </w:r>
      <w:r>
        <w:t xml:space="preserve">een vroege studie met 31 kinderen meldde verbeteringen op een gedragsschaal (Chez 2002, PMID 12585724). Een latere gerandomiseerde studie met 63 analyseerbare kinderen vond daarentegen bij geen enkel eindpunt een verschil (Abraham 2020, PMID 33170378).</w:t>
      </w:r>
    </w:p>
    <w:bookmarkEnd w:id="894"/>
    <w:bookmarkStart w:id="895" w:name="andere-toepassingen-4"/>
    <w:p>
      <w:pPr>
        <w:pStyle w:val="Heading4"/>
      </w:pPr>
      <w:r>
        <w:t xml:space="preserve">Andere toepassingen</w:t>
      </w:r>
    </w:p>
    <w:p>
      <w:pPr>
        <w:numPr>
          <w:ilvl w:val="0"/>
          <w:numId w:val="1303"/>
        </w:numPr>
        <w:pStyle w:val="Compact"/>
      </w:pPr>
      <w:r>
        <w:rPr>
          <w:bCs/>
          <w:b/>
        </w:rPr>
        <w:t xml:space="preserve">Zenuwschade door chemotherapie:</w:t>
      </w:r>
      <w:r>
        <w:t xml:space="preserve"> </w:t>
      </w:r>
      <w:r>
        <w:t xml:space="preserve">in een gerandomiseerde pilotstudie met 65 patiënten met darmkanker traden onder oxaliplatinechemotherapie plus carnosine minder vaak zenuwschade van graad 2 op (1 van 30 tegenover 19 van 31 zonder carnosine) (Yehia 2019, PMID 30592963). De studie was niet geblindeerd en zonder placebo; bevestiging ontbreekt nog.</w:t>
      </w:r>
    </w:p>
    <w:p>
      <w:pPr>
        <w:numPr>
          <w:ilvl w:val="0"/>
          <w:numId w:val="1303"/>
        </w:numPr>
        <w:pStyle w:val="Compact"/>
      </w:pPr>
      <w:r>
        <w:rPr>
          <w:bCs/>
          <w:b/>
        </w:rPr>
        <w:t xml:space="preserve">Hartfalen:</w:t>
      </w:r>
      <w:r>
        <w:t xml:space="preserve"> </w:t>
      </w:r>
      <w:r>
        <w:t xml:space="preserve">bij 50 patiënten met ernstig hartfalen verbeterden loopafstand, maximale zuurstofopname en kwaliteit van leven onder carnosine in vergelijking met de standaardbehandeling (Lombardi 2015, PMID 25287762) – eveneens zonder placebo.</w:t>
      </w:r>
    </w:p>
    <w:p>
      <w:pPr>
        <w:numPr>
          <w:ilvl w:val="0"/>
          <w:numId w:val="1303"/>
        </w:numPr>
        <w:pStyle w:val="Compact"/>
      </w:pPr>
      <w:r>
        <w:rPr>
          <w:bCs/>
          <w:b/>
        </w:rPr>
        <w:t xml:space="preserve">Golfoorlogsyndroom:</w:t>
      </w:r>
      <w:r>
        <w:t xml:space="preserve"> </w:t>
      </w:r>
      <w:r>
        <w:t xml:space="preserve">in een kleine studie met 25 veteranen verbeterde een cognitieve test; vermoeidheid en pijn bleven onveranderd (Baraniuk 2013, PMID 23618477).</w:t>
      </w:r>
    </w:p>
    <w:p>
      <w:pPr>
        <w:numPr>
          <w:ilvl w:val="0"/>
          <w:numId w:val="1303"/>
        </w:numPr>
        <w:pStyle w:val="Compact"/>
      </w:pPr>
      <w:r>
        <w:rPr>
          <w:bCs/>
          <w:b/>
        </w:rPr>
        <w:t xml:space="preserve">Huid:</w:t>
      </w:r>
      <w:r>
        <w:t xml:space="preserve"> </w:t>
      </w:r>
      <w:r>
        <w:t xml:space="preserve">een studie met een „niet-hydrolyseerbare” carnosinebereiding meldde verbeteringen van de huid; ze is afkomstig van de uitvinder van de gepatenteerde formulering en vermengt laboratoriumproeven met een klinisch onderzoek (Babizhayev 2012, PMID 21756141).</w:t>
      </w:r>
    </w:p>
    <w:bookmarkEnd w:id="895"/>
    <w:bookmarkStart w:id="896" w:name="X23a8aa5d7c2d1bd45f793f94ad67161240ec181"/>
    <w:p>
      <w:pPr>
        <w:pStyle w:val="Heading4"/>
      </w:pPr>
      <w:r>
        <w:t xml:space="preserve">Verwante stoffen: zinkcarnosine en N-acetylcarnosine</w:t>
      </w:r>
    </w:p>
    <w:p>
      <w:pPr>
        <w:pStyle w:val="FirstParagraph"/>
      </w:pPr>
      <w:r>
        <w:rPr>
          <w:bCs/>
          <w:b/>
        </w:rPr>
        <w:t xml:space="preserve">Zinkcarnosine (polaprezinc)</w:t>
      </w:r>
      <w:r>
        <w:t xml:space="preserve"> </w:t>
      </w:r>
      <w:r>
        <w:t xml:space="preserve">is een verbinding van zink en carnosine die in Japan als geneesmiddel tegen maagzweren wordt gebruikt. In een multicenterstudie met 224 patiënten was het na acht weken vergelijkbaar werkzaam als het vergelijkingsmiddel rebamipide (81,5% tegenover 74,3% genezing, verschil niet significant) (Shen 2022, PMID 35999163). Dit effect is waarschijnlijk sterk aan het zink gebonden en kan niet worden overgedragen op zuiver carnosine.</w:t>
      </w:r>
    </w:p>
    <w:p>
      <w:pPr>
        <w:pStyle w:val="BodyText"/>
      </w:pPr>
      <w:r>
        <w:rPr>
          <w:bCs/>
          <w:b/>
        </w:rPr>
        <w:t xml:space="preserve">N-acetylcarnosine-oogdruppels</w:t>
      </w:r>
      <w:r>
        <w:t xml:space="preserve"> </w:t>
      </w:r>
      <w:r>
        <w:t xml:space="preserve">worden op internet aangeprezen tegen staar (cataract). Een Cochrane-review vond slechts twee mogelijke studies met 114 deelnemers, waarvan de methodologie niet navolgbaar was, en concludeerde dat er geen overtuigend bewijs is dat de druppels staar terugdraaien of de voortgang ervan voorkomen (Dubois 2017, PMID 28245346). De enige werkzame behandeling blijft de operatie.</w:t>
      </w:r>
    </w:p>
    <w:bookmarkEnd w:id="896"/>
    <w:bookmarkEnd w:id="897"/>
    <w:bookmarkStart w:id="898" w:name="dier--en-laboratoriumstudies-54"/>
    <w:p>
      <w:pPr>
        <w:pStyle w:val="Heading3"/>
      </w:pPr>
      <w:r>
        <w:t xml:space="preserve">Dier- en laboratoriumstudies</w:t>
      </w:r>
    </w:p>
    <w:p>
      <w:pPr>
        <w:pStyle w:val="FirstParagraph"/>
      </w:pPr>
      <w:r>
        <w:t xml:space="preserve">In celkweken en bij knaagdieren werkt carnosine antioxidatief, remt het de glycatie van eiwitten en bindt het reactieve aldehyden. Bij muizen en ratten verbeterde het in veel proeven de bloedsuiker, nierschade bij diabetes, wondgenezing en vaatfunctie. De meta-analyse van Matthews 2021 sloot naast vier studies bij mensen 16 knaagdierstudies in en beoordeelde de betrouwbaarheid van de dierlijke gegevens als zeer laag (Matthews 2021, PMID 34333586).</w:t>
      </w:r>
    </w:p>
    <w:p>
      <w:pPr>
        <w:pStyle w:val="BodyText"/>
      </w:pPr>
      <w:r>
        <w:t xml:space="preserve">Een fundamenteel overdrachtsprobleem blijft: knaagdieren hebben in het bloed praktisch geen carnosinase. Bij muizen bij wie men het menselijke enzym genetisch had ingebouwd, verliepen diabetes en nierschade ernstiger (Qiu 2020, PMID 32803273). Dat pleit ervoor dat het enzym bij mensen het effect van toegediend carnosine aanzienlijk zou kunnen beperken.</w:t>
      </w:r>
    </w:p>
    <w:bookmarkEnd w:id="898"/>
    <w:bookmarkStart w:id="899" w:name="risicos-en-bijwerkingen-54"/>
    <w:p>
      <w:pPr>
        <w:pStyle w:val="Heading3"/>
      </w:pPr>
      <w:r>
        <w:t xml:space="preserve">Risico’s en bijwerkingen</w:t>
      </w:r>
    </w:p>
    <w:p>
      <w:pPr>
        <w:pStyle w:val="FirstParagraph"/>
      </w:pPr>
      <w:r>
        <w:rPr>
          <w:bCs/>
          <w:b/>
        </w:rPr>
        <w:t xml:space="preserve">Aangetoond:</w:t>
      </w:r>
      <w:r>
        <w:t xml:space="preserve"> </w:t>
      </w:r>
      <w:r>
        <w:t xml:space="preserve">in de tot nu toe uitgevoerde studies – met dagelijkse hoeveelheden tot 2 g gedurende maximaal 14 weken – werden geen relevante bijwerkingen gemeld. In de NEAT-studie met bijna 300 deelnemers werden geen veranderingen gevonden in nier-, lever- en hartfunctie of bloedzouten (Baba 2024, PMID 39215872).</w:t>
      </w:r>
    </w:p>
    <w:p>
      <w:pPr>
        <w:pStyle w:val="BodyText"/>
      </w:pPr>
      <w:r>
        <w:rPr>
          <w:bCs/>
          <w:b/>
        </w:rPr>
        <w:t xml:space="preserve">Bèta-alanine:</w:t>
      </w:r>
      <w:r>
        <w:t xml:space="preserve"> </w:t>
      </w:r>
      <w:r>
        <w:t xml:space="preserve">de enige regelmatig gemelde bijwerking is een onschuldige, maar onaangename tinteling van de huid (paresthesie), meestal in het gezicht en aan de handen, kort na de inname. Een risicobeoordeling met 101 studies bij mensen schatte de kans (odds) daarop onder bèta-alanine ongeveer negen keer zo hoog als onder placebo (odds ratio 8,9); de uitvalpercentages verschilden niet, en een geringe stijging van een leverwaarde bleef binnen het normaalbereik (Dolan 2019, PMID 30980076).</w:t>
      </w:r>
    </w:p>
    <w:p>
      <w:pPr>
        <w:pStyle w:val="BodyText"/>
      </w:pPr>
      <w:r>
        <w:rPr>
          <w:bCs/>
          <w:b/>
        </w:rPr>
        <w:t xml:space="preserve">Theoretisch of onduidelijk:</w:t>
      </w:r>
    </w:p>
    <w:p>
      <w:pPr>
        <w:numPr>
          <w:ilvl w:val="0"/>
          <w:numId w:val="1304"/>
        </w:numPr>
        <w:pStyle w:val="Compact"/>
      </w:pPr>
      <w:r>
        <w:t xml:space="preserve">Langetermijngegevens over meer dan een jaar ontbreken.</w:t>
      </w:r>
    </w:p>
    <w:p>
      <w:pPr>
        <w:numPr>
          <w:ilvl w:val="0"/>
          <w:numId w:val="1304"/>
        </w:numPr>
        <w:pStyle w:val="Compact"/>
      </w:pPr>
      <w:r>
        <w:t xml:space="preserve">Voor zwangerschap, borstvoeding en kinderen (behalve de genoemde kleine studies) zijn geen veiligheidsgegevens beschikbaar.</w:t>
      </w:r>
    </w:p>
    <w:p>
      <w:pPr>
        <w:numPr>
          <w:ilvl w:val="0"/>
          <w:numId w:val="1304"/>
        </w:numPr>
        <w:pStyle w:val="Compact"/>
      </w:pPr>
      <w:r>
        <w:t xml:space="preserve">Bij diabetesmedicijnen is een versterking van de bloedsuikerdaling denkbaar, maar niet aangetoond; bloedsuikercontroles en overleg met een arts zijn zinvol.</w:t>
      </w:r>
    </w:p>
    <w:p>
      <w:pPr>
        <w:numPr>
          <w:ilvl w:val="0"/>
          <w:numId w:val="1304"/>
        </w:numPr>
        <w:pStyle w:val="Compact"/>
      </w:pPr>
      <w:r>
        <w:t xml:space="preserve">Zoals bij alle voedingssupplementen hangt de kwaliteit af van de fabrikant.</w:t>
      </w:r>
    </w:p>
    <w:bookmarkEnd w:id="899"/>
    <w:bookmarkStart w:id="900" w:name="juridische-status-54"/>
    <w:p>
      <w:pPr>
        <w:pStyle w:val="Heading3"/>
      </w:pPr>
      <w:r>
        <w:t xml:space="preserve">Juridische status</w:t>
      </w:r>
    </w:p>
    <w:p>
      <w:pPr>
        <w:numPr>
          <w:ilvl w:val="0"/>
          <w:numId w:val="1305"/>
        </w:numPr>
        <w:pStyle w:val="Compact"/>
      </w:pPr>
      <w:r>
        <w:rPr>
          <w:bCs/>
          <w:b/>
        </w:rPr>
        <w:t xml:space="preserve">EU / Oostenrijk / Duitsland:</w:t>
      </w:r>
      <w:r>
        <w:t xml:space="preserve"> </w:t>
      </w:r>
      <w:r>
        <w:t xml:space="preserve">carnosine is als voedingssupplement in de handel. Voor carnosine bestaat geen toegelaten gezondheidsclaim volgens de claimsverordening (Verordening (EG) nr. 1924/2006); reclameclaims als „anti-aging” of „beschermt de cellen” zijn daarmee niet toegestaan. Of afzonderlijke bereidingen als nieuw voedingsmiddel (novel food) moeten worden ingedeeld, kan per product verschillen – actuele situatie controleren. Zinkcarnosine is in de EU niet als geneesmiddel geregistreerd; voor N-acetylcarnosine-oogdruppels bestaat geen registratie als geneesmiddel tegen staar.</w:t>
      </w:r>
    </w:p>
    <w:p>
      <w:pPr>
        <w:numPr>
          <w:ilvl w:val="0"/>
          <w:numId w:val="1305"/>
        </w:numPr>
        <w:pStyle w:val="Compact"/>
      </w:pPr>
      <w:r>
        <w:rPr>
          <w:bCs/>
          <w:b/>
        </w:rPr>
        <w:t xml:space="preserve">VS:</w:t>
      </w:r>
      <w:r>
        <w:t xml:space="preserve"> </w:t>
      </w:r>
      <w:r>
        <w:t xml:space="preserve">verkrijgbaar als voedingssupplement, zonder registratie als geneesmiddel.</w:t>
      </w:r>
    </w:p>
    <w:p>
      <w:pPr>
        <w:numPr>
          <w:ilvl w:val="0"/>
          <w:numId w:val="1305"/>
        </w:numPr>
        <w:pStyle w:val="Compact"/>
      </w:pPr>
      <w:r>
        <w:rPr>
          <w:bCs/>
          <w:b/>
        </w:rPr>
        <w:t xml:space="preserve">Japan:</w:t>
      </w:r>
      <w:r>
        <w:t xml:space="preserve"> </w:t>
      </w:r>
      <w:r>
        <w:t xml:space="preserve">polaprezinc (zinkcarnosine) is een geregistreerd maagmiddel.</w:t>
      </w:r>
    </w:p>
    <w:p>
      <w:pPr>
        <w:numPr>
          <w:ilvl w:val="0"/>
          <w:numId w:val="1305"/>
        </w:numPr>
        <w:pStyle w:val="Compact"/>
      </w:pPr>
      <w:r>
        <w:rPr>
          <w:bCs/>
          <w:b/>
        </w:rPr>
        <w:t xml:space="preserve">Sport:</w:t>
      </w:r>
      <w:r>
        <w:t xml:space="preserve"> </w:t>
      </w:r>
      <w:r>
        <w:t xml:space="preserve">carnosine en bèta-alanine staan geen van beide op de verboden lijst van de WADA (stand 2026, actuele situatie controleren).</w:t>
      </w:r>
    </w:p>
    <w:bookmarkEnd w:id="900"/>
    <w:bookmarkStart w:id="901" w:name="lopende-studies-en-vooruitzichten-54"/>
    <w:p>
      <w:pPr>
        <w:pStyle w:val="Heading3"/>
      </w:pPr>
      <w:r>
        <w:t xml:space="preserve">Lopende studies en vooruitzichten</w:t>
      </w:r>
    </w:p>
    <w:p>
      <w:pPr>
        <w:pStyle w:val="FirstParagraph"/>
      </w:pPr>
      <w:r>
        <w:rPr>
          <w:bCs/>
          <w:b/>
        </w:rPr>
        <w:t xml:space="preserve">Zeker (geregistreerde studies, stand oktober 2026):</w:t>
      </w:r>
    </w:p>
    <w:p>
      <w:pPr>
        <w:numPr>
          <w:ilvl w:val="0"/>
          <w:numId w:val="1306"/>
        </w:numPr>
        <w:pStyle w:val="Compact"/>
      </w:pPr>
      <w:r>
        <w:rPr>
          <w:bCs/>
          <w:b/>
        </w:rPr>
        <w:t xml:space="preserve">Perifeer arterieel vaatlijden:</w:t>
      </w:r>
      <w:r>
        <w:t xml:space="preserve"> </w:t>
      </w:r>
      <w:r>
        <w:t xml:space="preserve">een fase 1/2-studie met gepland 144 deelnemers onderzoekt carnosine bij doorbloedingsstoornissen van de benen (NCT06480760); eerdere kleinere studies over hetzelfde onderwerp zijn afgerond of staan vermeld met onbekende status.</w:t>
      </w:r>
    </w:p>
    <w:p>
      <w:pPr>
        <w:numPr>
          <w:ilvl w:val="0"/>
          <w:numId w:val="1306"/>
        </w:numPr>
        <w:pStyle w:val="Compact"/>
      </w:pPr>
      <w:r>
        <w:rPr>
          <w:bCs/>
          <w:b/>
        </w:rPr>
        <w:t xml:space="preserve">Gerotherapie:</w:t>
      </w:r>
      <w:r>
        <w:t xml:space="preserve"> </w:t>
      </w:r>
      <w:r>
        <w:t xml:space="preserve">een kleine fase 3-studie met 30 deelnemers test combinaties van stoffen ter verbetering van de gezonde levensduur, waaronder carnosine (NCT07475546).</w:t>
      </w:r>
    </w:p>
    <w:p>
      <w:pPr>
        <w:numPr>
          <w:ilvl w:val="0"/>
          <w:numId w:val="1306"/>
        </w:numPr>
        <w:pStyle w:val="Compact"/>
      </w:pPr>
      <w:r>
        <w:t xml:space="preserve">De NEAT-studie (NCT03314987) is afgerond; verdere analyses over bloedvaten en luchtvervuiling zijn mogelijk.</w:t>
      </w:r>
    </w:p>
    <w:p>
      <w:pPr>
        <w:pStyle w:val="FirstParagraph"/>
      </w:pPr>
      <w:r>
        <w:rPr>
          <w:bCs/>
          <w:b/>
        </w:rPr>
        <w:t xml:space="preserve">Inschatting:</w:t>
      </w:r>
      <w:r>
        <w:t xml:space="preserve"> </w:t>
      </w:r>
      <w:r>
        <w:t xml:space="preserve">carnosine is biologisch interessant, maar de studies bij mensen zijn klein en niet eenduidig. Voor de sport is de voorloper bèta-alanine de beter onderbouwde weg. Voor diabetes en hersenveroudering zouden grotere, langere studies met klinische eindpunten nodig zijn. Een onderzoeksaanpak zijn carnosinaseresistente afgeleiden die in het bloed niet meteen worden afgebroken – die bevinden zich echter nog in het laboratoriumstadium.</w:t>
      </w:r>
    </w:p>
    <w:bookmarkEnd w:id="901"/>
    <w:bookmarkStart w:id="902" w:name="conclusie-54"/>
    <w:p>
      <w:pPr>
        <w:pStyle w:val="Heading3"/>
      </w:pPr>
      <w:r>
        <w:t xml:space="preserve">Conclusie</w:t>
      </w:r>
    </w:p>
    <w:p>
      <w:pPr>
        <w:pStyle w:val="FirstParagraph"/>
      </w:pPr>
      <w:r>
        <w:t xml:space="preserve">Carnosine is een lichaamseigen dipeptide dat in de spier zuur buffert en in het laboratorium cellen beschermt tegen afbraakproducten van suikers en vetten. Bij mensen wordt het in het bloed snel afgebroken door het enzym carnosinase, waardoor resultaten uit dierproeven slechts beperkt overdraagbaar zijn. Kleine studies en meta-analyses wijzen op een lichte verbetering van de langetermijnbloedsuiker bij diabetes en op effecten op ontstekingsmarkers; voor prestaties, geheugen en huidveroudering zijn de gegevens zwak of tegenstrijdig. Voor sportprestaties is de voorloper bèta-alanine beter onderzocht en geassocieerd met kleine voordelen bij korte intensieve belastingen. Carnosine geldt in de onderzochte hoeveelheden als goed verdraagbaar.</w:t>
      </w:r>
    </w:p>
    <w:bookmarkEnd w:id="902"/>
    <w:bookmarkEnd w:id="903"/>
    <w:bookmarkStart w:id="913" w:name="ghk-cu-koperpeptide"/>
    <w:p>
      <w:pPr>
        <w:pStyle w:val="Heading2"/>
      </w:pPr>
      <w:r>
        <w:t xml:space="preserve">GHK-Cu (koperpeptide)</w:t>
      </w:r>
    </w:p>
    <w:bookmarkStart w:id="904" w:name="profiel-55"/>
    <w:p>
      <w:pPr>
        <w:pStyle w:val="Heading3"/>
      </w:pPr>
      <w:r>
        <w:t xml:space="preserve">Profiel</w:t>
      </w:r>
    </w:p>
    <w:p>
      <w:pPr>
        <w:numPr>
          <w:ilvl w:val="0"/>
          <w:numId w:val="1307"/>
        </w:numPr>
        <w:pStyle w:val="Compact"/>
      </w:pPr>
      <w:r>
        <w:rPr>
          <w:bCs/>
          <w:b/>
        </w:rPr>
        <w:t xml:space="preserve">Soort/structuur:</w:t>
      </w:r>
      <w:r>
        <w:t xml:space="preserve"> </w:t>
      </w:r>
      <w:r>
        <w:t xml:space="preserve">tripeptide uit glycine, histidine en lysine (Gly-His-Lys, kort GHK) dat een koperion stevig bindt. In ingrediëntenlijsten van cosmetica heet het meestal</w:t>
      </w:r>
      <w:r>
        <w:t xml:space="preserve"> </w:t>
      </w:r>
      <w:r>
        <w:rPr>
          <w:iCs/>
          <w:i/>
        </w:rPr>
        <w:t xml:space="preserve">Copper Tripeptide-1</w:t>
      </w:r>
      <w:r>
        <w:t xml:space="preserve">. Een verwante vorm zonder koper, maar met een vetzuurrest, is palmitoyl-tripeptide-1 (Pal-GHK), een bestanddeel van „Matrixyl 3000”.</w:t>
      </w:r>
    </w:p>
    <w:p>
      <w:pPr>
        <w:numPr>
          <w:ilvl w:val="0"/>
          <w:numId w:val="1307"/>
        </w:numPr>
        <w:pStyle w:val="Compact"/>
      </w:pPr>
      <w:r>
        <w:rPr>
          <w:bCs/>
          <w:b/>
        </w:rPr>
        <w:t xml:space="preserve">Herkomst:</w:t>
      </w:r>
      <w:r>
        <w:t xml:space="preserve"> </w:t>
      </w:r>
      <w:r>
        <w:t xml:space="preserve">lichaamseigen. GHK werd in de jaren 1970 ontdekt in menselijk bloedplasma (Pickart 1973, PMID 4349963) en komt ook voor in speeksel en urine. De sequentie GHK maakt deel uit van collageen en zou bij de afbraak ervan kunnen vrijkomen. Voor producten wordt het synthetisch vervaardigd.</w:t>
      </w:r>
    </w:p>
    <w:p>
      <w:pPr>
        <w:numPr>
          <w:ilvl w:val="0"/>
          <w:numId w:val="1307"/>
        </w:numPr>
        <w:pStyle w:val="Compact"/>
      </w:pPr>
      <w:r>
        <w:rPr>
          <w:bCs/>
          <w:b/>
        </w:rPr>
        <w:t xml:space="preserve">Werkingsprincipe:</w:t>
      </w:r>
      <w:r>
        <w:t xml:space="preserve"> </w:t>
      </w:r>
      <w:r>
        <w:t xml:space="preserve">zou de wondgenezing en de ombouw van het bindweefsel stimuleren, onder meer door transport van koper naar cellen en stimulatie van de collageenaanmaak.</w:t>
      </w:r>
    </w:p>
    <w:p>
      <w:pPr>
        <w:numPr>
          <w:ilvl w:val="0"/>
          <w:numId w:val="1307"/>
        </w:numPr>
        <w:pStyle w:val="Compact"/>
      </w:pPr>
      <w:r>
        <w:rPr>
          <w:bCs/>
          <w:b/>
        </w:rPr>
        <w:t xml:space="preserve">Gebruik:</w:t>
      </w:r>
      <w:r>
        <w:t xml:space="preserve"> </w:t>
      </w:r>
      <w:r>
        <w:t xml:space="preserve">toegestaan als ingrediënt in cosmetica (crèmes, serums, haarverzorging). Daarnaast op de grijze markt aangeboden als „research peptide” voor injectie.</w:t>
      </w:r>
    </w:p>
    <w:p>
      <w:pPr>
        <w:numPr>
          <w:ilvl w:val="0"/>
          <w:numId w:val="1307"/>
        </w:numPr>
        <w:pStyle w:val="Compact"/>
      </w:pPr>
      <w:r>
        <w:rPr>
          <w:bCs/>
          <w:b/>
        </w:rPr>
        <w:t xml:space="preserve">Registratie EU:</w:t>
      </w:r>
      <w:r>
        <w:t xml:space="preserve"> </w:t>
      </w:r>
      <w:r>
        <w:t xml:space="preserve">geen registratie als geneesmiddel. Bruikbaar als cosmetisch ingrediënt.</w:t>
      </w:r>
    </w:p>
    <w:p>
      <w:pPr>
        <w:numPr>
          <w:ilvl w:val="0"/>
          <w:numId w:val="1307"/>
        </w:numPr>
        <w:pStyle w:val="Compact"/>
      </w:pPr>
      <w:r>
        <w:rPr>
          <w:bCs/>
          <w:b/>
        </w:rPr>
        <w:t xml:space="preserve">Registratie VS:</w:t>
      </w:r>
      <w:r>
        <w:t xml:space="preserve"> </w:t>
      </w:r>
      <w:r>
        <w:t xml:space="preserve">geen registratie als geneesmiddel; als cosmetisch ingrediënt in de handel. Voor het bereiden van injecteerbare preparaten in apotheken gelden beperkingen (zie Juridische status).</w:t>
      </w:r>
    </w:p>
    <w:p>
      <w:pPr>
        <w:numPr>
          <w:ilvl w:val="0"/>
          <w:numId w:val="1307"/>
        </w:numPr>
        <w:pStyle w:val="Compact"/>
      </w:pPr>
      <w:r>
        <w:rPr>
          <w:bCs/>
          <w:b/>
        </w:rPr>
        <w:t xml:space="preserve">WADA:</w:t>
      </w:r>
      <w:r>
        <w:t xml:space="preserve"> </w:t>
      </w:r>
      <w:r>
        <w:t xml:space="preserve">niet bij naam vermeld. Bij injectie als niet-goedgekeurde werkzame stof kan categorie S0 („niet-goedgekeurde substanties”) van toepassing zijn (stand 2026, actuele situatie controleren).</w:t>
      </w:r>
    </w:p>
    <w:p>
      <w:pPr>
        <w:numPr>
          <w:ilvl w:val="0"/>
          <w:numId w:val="1307"/>
        </w:numPr>
        <w:pStyle w:val="Compact"/>
      </w:pPr>
      <w:r>
        <w:rPr>
          <w:bCs/>
          <w:b/>
        </w:rPr>
        <w:t xml:space="preserve">Bewijsniveau:</w:t>
      </w:r>
      <w:r>
        <w:t xml:space="preserve"> </w:t>
      </w:r>
      <w:r>
        <w:rPr>
          <w:bCs/>
          <w:b/>
        </w:rPr>
        <w:t xml:space="preserve">C</w:t>
      </w:r>
      <w:r>
        <w:t xml:space="preserve"> </w:t>
      </w:r>
      <w:r>
        <w:t xml:space="preserve">– één oudere gerandomiseerde wondstudie en enkele zeer kleine huidstudies; voor de toepassingen die tegenwoordig worden aangeprezen (anti-agingcosmetica, injecties) geen betrouwbare gecontroleerde gegevens bij mensen.</w:t>
      </w:r>
    </w:p>
    <w:bookmarkEnd w:id="904"/>
    <w:bookmarkStart w:id="906" w:name="hoe-het-zou-moeten-werken-55"/>
    <w:p>
      <w:pPr>
        <w:pStyle w:val="Heading3"/>
      </w:pPr>
      <w:r>
        <w:t xml:space="preserve">Hoe het zou moeten werken</w:t>
      </w:r>
    </w:p>
    <w:p>
      <w:pPr>
        <w:pStyle w:val="FirstParagraph"/>
      </w:pPr>
      <w:r>
        <w:t xml:space="preserve">GHK bindt koper zo stevig dat het dit vitale sporenelement naar cellen kan transporteren. Koper is nodig voor meerdere enzymen die belangrijk zijn voor het bindweefsel, bijvoorbeeld lysyloxidase, dat collageen- en elastinevezels met elkaar verbindt. Een vroeg artikel vermoedde al in 1980 dat GHK zijn werking op cellen uitoefent door de opname van koper te vergemakkelijken (Pickart 1980, PMID 7453802).</w:t>
      </w:r>
    </w:p>
    <w:p>
      <w:pPr>
        <w:pStyle w:val="BodyText"/>
      </w:pPr>
      <w:r>
        <w:t xml:space="preserve">In celkweken stimuleerde GHK-Cu de collageenaanmaak van fibroblasten al in extreem lage concentraties; het maximum lag bij ongeveer één nanomol per liter (Maquart 1988, PMID 3169264). De ontdekker van GHK, Loren Pickart, heeft in meerdere overzichtsartikelen een groot aantal andere effecten beschreven – op wondgenezing, haargroei, ontsteking, zenuwgroei en zelfs op de activiteit van duizenden genen (Pickart 2015, PMID 26236730; Pickart 2018, PMID 29986520). Deze uitspraken berusten overwegend op cel- en dierproeven en op genexpressiegegevens uit databanken, niet op studies bij mensen. Bovendien komen veel van deze overzichten uit de kring van de personen die GHK-Cu ook commercieel hebben ontwikkeld – een omstandigheid die lezers bij de beoordeling moeten kennen.</w:t>
      </w:r>
    </w:p>
    <w:bookmarkStart w:id="905" w:name="komt-het-peptide-door-de-huid"/>
    <w:p>
      <w:pPr>
        <w:pStyle w:val="Heading4"/>
      </w:pPr>
      <w:r>
        <w:t xml:space="preserve">Komt het peptide door de huid?</w:t>
      </w:r>
    </w:p>
    <w:p>
      <w:pPr>
        <w:pStyle w:val="FirstParagraph"/>
      </w:pPr>
      <w:r>
        <w:t xml:space="preserve">Voor cosmetisch gebruik is beslissend of GHK-Cu de huidbarrière passeert. De hoornlaag van de huid is slecht doorlaatbaar voor wateroplosbare, geladen moleculen zoals GHK. Een overzichtsartikel uit 2025 concludeert dat GHK in celproeven ongetwijfeld als antirimpelstof zou kunnen gelden, maar dat er opvallend weinig klinische studies zijn; koperbinding en vetzuuraanhangsels verbeteren de doorlaatbaarheid, en microneedles en andere hulpmiddelen worden onderzocht (Mortazavi 2025, PMID 39963574). Een onderzoek bij drie vrijwilligers vond het verwante Pal-GHK na het aanbrengen in alle lagen van de hoornlaag, maar alleen tussen de cellen en met afnemende hoeveelheid in de diepte (Trzaska 2026, PMID 42790608). Of voldoende hoeveelheden de diepere huidlagen bereiken, waar collageen wordt gevormd, is niet opgehelderd.</w:t>
      </w:r>
    </w:p>
    <w:bookmarkEnd w:id="905"/>
    <w:bookmarkEnd w:id="906"/>
    <w:bookmarkStart w:id="907" w:name="studies-bij-mensen-55"/>
    <w:p>
      <w:pPr>
        <w:pStyle w:val="Heading3"/>
      </w:pPr>
      <w:r>
        <w:t xml:space="preserve">Studies bij mensen</w:t>
      </w:r>
    </w:p>
    <w:p>
      <w:pPr>
        <w:pStyle w:val="FirstParagraph"/>
      </w:pPr>
      <w:r>
        <w:t xml:space="preserve">De voor dit boek uitgevoerde PubMed-zoekopdracht (GHK-Cu, koper-tripeptide of koperpeptide GHK in titel of abstract, zoekdatum oktober 2026) leverde slechts</w:t>
      </w:r>
      <w:r>
        <w:t xml:space="preserve"> </w:t>
      </w:r>
      <w:r>
        <w:rPr>
          <w:bCs/>
          <w:b/>
        </w:rPr>
        <w:t xml:space="preserve">één</w:t>
      </w:r>
      <w:r>
        <w:t xml:space="preserve"> </w:t>
      </w:r>
      <w:r>
        <w:t xml:space="preserve">studie bij mensen op. Op ClinicalTrials.gov leverde de zoekopdracht 25 registraties op, waarvan echter bijna alle andere koperverbindingen betreffen (bijvoorbeeld radioactief koper-64 voor beeldvorming). Slechts één geloofwaardige registratie onderzoekt daadwerkelijk GHK of GHK-Cu; een andere registratie over een GHK-Cu-wondgel komt van een sponsor van wie de registraties na onze controle kennelijk fictieve voorbeeld- of testregistraties zijn, en wordt daarom hier niet meegenomen. Een uitgebreidere zoekopdracht leverde daarnaast de hieronder genoemde oudere wondstudie en afzonderlijke casusbeschrijvingen op.</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Deelnemers en opzet</w:t>
            </w:r>
          </w:p>
        </w:tc>
        <w:tc>
          <w:tcPr/>
          <w:p>
            <w:pPr>
              <w:pStyle w:val="Compact"/>
              <w:jc w:val="left"/>
            </w:pPr>
            <w:r>
              <w:t xml:space="preserve">Duur</w:t>
            </w:r>
          </w:p>
        </w:tc>
        <w:tc>
          <w:tcPr/>
          <w:p>
            <w:pPr>
              <w:pStyle w:val="Compact"/>
              <w:jc w:val="left"/>
            </w:pPr>
            <w:r>
              <w:t xml:space="preserve">Resultaat</w:t>
            </w:r>
          </w:p>
        </w:tc>
      </w:tr>
      <w:tr>
        <w:tc>
          <w:tcPr/>
          <w:p>
            <w:pPr>
              <w:pStyle w:val="Compact"/>
              <w:jc w:val="left"/>
            </w:pPr>
            <w:r>
              <w:t xml:space="preserve">Mulder 1994, PMID 17147644</w:t>
            </w:r>
          </w:p>
        </w:tc>
        <w:tc>
          <w:tcPr/>
          <w:p>
            <w:pPr>
              <w:pStyle w:val="Compact"/>
              <w:jc w:val="left"/>
            </w:pPr>
            <w:r>
              <w:t xml:space="preserve">mensen met diabetische voetzweren, multicenter, gerandomiseerd, geblindeerde beoordeling, GHK-Cu-gel vs. dragergel</w:t>
            </w:r>
          </w:p>
        </w:tc>
        <w:tc>
          <w:tcPr/>
          <w:p>
            <w:pPr>
              <w:pStyle w:val="Compact"/>
              <w:jc w:val="left"/>
            </w:pPr>
            <w:r>
              <w:t xml:space="preserve">n.v.t. in abstract</w:t>
            </w:r>
          </w:p>
        </w:tc>
        <w:tc>
          <w:tcPr/>
          <w:p>
            <w:pPr>
              <w:pStyle w:val="Compact"/>
              <w:jc w:val="left"/>
            </w:pPr>
            <w:r>
              <w:t xml:space="preserve">Mediane verkleining van het wondoppervlak 98,5% vs. 60,8%; infecties 7% vs. 34%</w:t>
            </w:r>
          </w:p>
        </w:tc>
      </w:tr>
      <w:tr>
        <w:tc>
          <w:tcPr/>
          <w:p>
            <w:pPr>
              <w:pStyle w:val="Compact"/>
              <w:jc w:val="left"/>
            </w:pPr>
            <w:r>
              <w:t xml:space="preserve">Miller 2006, PMID 16847171</w:t>
            </w:r>
          </w:p>
        </w:tc>
        <w:tc>
          <w:tcPr/>
          <w:p>
            <w:pPr>
              <w:pStyle w:val="Compact"/>
              <w:jc w:val="left"/>
            </w:pPr>
            <w:r>
              <w:t xml:space="preserve">huidverzorging na CO₂-laserbehandeling, gerandomiseerd, 13 analyseerbaar</w:t>
            </w:r>
          </w:p>
        </w:tc>
        <w:tc>
          <w:tcPr/>
          <w:p>
            <w:pPr>
              <w:pStyle w:val="Compact"/>
              <w:jc w:val="left"/>
            </w:pPr>
            <w:r>
              <w:t xml:space="preserve">12 weken</w:t>
            </w:r>
          </w:p>
        </w:tc>
        <w:tc>
          <w:tcPr/>
          <w:p>
            <w:pPr>
              <w:pStyle w:val="Compact"/>
              <w:jc w:val="left"/>
            </w:pPr>
            <w:r>
              <w:t xml:space="preserve">Geen verschil in roodheid, rimpels of huidkwaliteit volgens meting en geblindeerde beoordeling; hogere tevredenheid in de vragenlijst</w:t>
            </w:r>
          </w:p>
        </w:tc>
      </w:tr>
      <w:tr>
        <w:tc>
          <w:tcPr/>
          <w:p>
            <w:pPr>
              <w:pStyle w:val="Compact"/>
              <w:jc w:val="left"/>
            </w:pPr>
            <w:r>
              <w:t xml:space="preserve">Byun 2016, PMID 27064823</w:t>
            </w:r>
          </w:p>
        </w:tc>
        <w:tc>
          <w:tcPr/>
          <w:p>
            <w:pPr>
              <w:pStyle w:val="Compact"/>
              <w:jc w:val="left"/>
            </w:pPr>
            <w:r>
              <w:t xml:space="preserve">1 man, mengsel van GHK-Cu, hyaluronzuur, plantenextract, tranexaminezuur en bètaglucaan met sproeiapparaat</w:t>
            </w:r>
          </w:p>
        </w:tc>
        <w:tc>
          <w:tcPr/>
          <w:p>
            <w:pPr>
              <w:pStyle w:val="Compact"/>
              <w:jc w:val="left"/>
            </w:pPr>
            <w:r>
              <w:t xml:space="preserve">12 weken</w:t>
            </w:r>
          </w:p>
        </w:tc>
        <w:tc>
          <w:tcPr/>
          <w:p>
            <w:pPr>
              <w:pStyle w:val="Compact"/>
              <w:jc w:val="left"/>
            </w:pPr>
            <w:r>
              <w:t xml:space="preserve">Minder rimpels rond de ogen; meer collageen in huidbiopten (afzonderlijk geval, combinatieproduct)</w:t>
            </w:r>
          </w:p>
        </w:tc>
      </w:tr>
    </w:tbl>
    <w:p>
      <w:pPr>
        <w:pStyle w:val="BodyText"/>
      </w:pPr>
      <w:r>
        <w:rPr>
          <w:bCs/>
          <w:b/>
        </w:rPr>
        <w:t xml:space="preserve">De wondstudie uit 1994</w:t>
      </w:r>
      <w:r>
        <w:t xml:space="preserve"> </w:t>
      </w:r>
      <w:r>
        <w:t xml:space="preserve">is de enige gecontroleerde studie die een klinisch relevant eindpunt heeft verbeterd. Het preparaat (ontwikkeld onder de naam Iamin) heeft echter geen registratie als geneesmiddel gekregen. Het abstract noemt noch het aantal deelnemers noch de studieduur; latere bevestigende studies zijn in PubMed niet te vinden.</w:t>
      </w:r>
    </w:p>
    <w:p>
      <w:pPr>
        <w:pStyle w:val="BodyText"/>
      </w:pPr>
      <w:r>
        <w:rPr>
          <w:bCs/>
          <w:b/>
        </w:rPr>
        <w:t xml:space="preserve">De laserstudie uit 2006</w:t>
      </w:r>
      <w:r>
        <w:t xml:space="preserve"> </w:t>
      </w:r>
      <w:r>
        <w:t xml:space="preserve">is de enige gerandomiseerde studie met een cosmetische vraagstelling die in PubMed is opgenomen. Met slechts 13 analyseerbare patiënten was ze te klein om verschillen betrouwbaar te herkennen – en objectief vond ze er geen.</w:t>
      </w:r>
    </w:p>
    <w:p>
      <w:pPr>
        <w:pStyle w:val="BodyText"/>
      </w:pPr>
      <w:r>
        <w:rPr>
          <w:bCs/>
          <w:b/>
        </w:rPr>
        <w:t xml:space="preserve">Cosmetische studies:</w:t>
      </w:r>
      <w:r>
        <w:t xml:space="preserve"> </w:t>
      </w:r>
      <w:r>
        <w:t xml:space="preserve">in vakboeken en reclamemateriaal worden studies geciteerd waarin GHK-Cu-crèmes rimpels, huiddichtheid en elasticiteit zouden hebben verbeterd. Deze zijn overwegend niet verschenen in tijdschriften die in PubMed zijn opgenomen, of alleen beschikbaar als congresbijdragen en fabrikantenrapporten, en konden voor dit boek niet in het origineel worden gecontroleerd. Een meta-analyse uit 2026 van orale en uitwendig gebruikte peptiden tegen huidveroudering vond dat het nut bij rimpels vooral werd gedragen door</w:t>
      </w:r>
      <w:r>
        <w:t xml:space="preserve"> </w:t>
      </w:r>
      <w:r>
        <w:rPr>
          <w:iCs/>
          <w:i/>
        </w:rPr>
        <w:t xml:space="preserve">oraal</w:t>
      </w:r>
      <w:r>
        <w:t xml:space="preserve"> </w:t>
      </w:r>
      <w:r>
        <w:t xml:space="preserve">ingenomen peptiden; resultaten specifiek voor GHK-Cu vermeldt het abstract niet (Nukaly 2026, PMID 41924746).</w:t>
      </w:r>
    </w:p>
    <w:p>
      <w:pPr>
        <w:pStyle w:val="BodyText"/>
      </w:pPr>
      <w:r>
        <w:rPr>
          <w:bCs/>
          <w:b/>
        </w:rPr>
        <w:t xml:space="preserve">Injecties:</w:t>
      </w:r>
      <w:r>
        <w:t xml:space="preserve"> </w:t>
      </w:r>
      <w:r>
        <w:t xml:space="preserve">voor geïnjecteerd GHK-Cu bestaat geen enkele gepubliceerde gecontroleerde studie bij mensen. Een overzichtsartikel voor orthopedie en sportgeneeskunde stelt vast dat er voor gebruik bij aandoeningen van het bewegingsapparaat geen klinische gegevens zijn en dat dosering, frequentie en duur van een behandeling onbekend zijn (Mayfield 2026, PMID 41476424). Een ander overzicht van niet-geregistreerde peptiden in de sportgeneeskunde concludeert dat betrouwbare veiligheidsgegevens bij mensen ontbreken en dat er schadepotentieel bestaat (Mendias 2026, PMID 41966639).</w:t>
      </w:r>
    </w:p>
    <w:bookmarkEnd w:id="907"/>
    <w:bookmarkStart w:id="908" w:name="dier--en-laboratoriumstudies-55"/>
    <w:p>
      <w:pPr>
        <w:pStyle w:val="Heading3"/>
      </w:pPr>
      <w:r>
        <w:t xml:space="preserve">Dier- en laboratoriumstudies</w:t>
      </w:r>
    </w:p>
    <w:p>
      <w:pPr>
        <w:pStyle w:val="FirstParagraph"/>
      </w:pPr>
      <w:r>
        <w:t xml:space="preserve">De preklinische literatuur is omvangrijk:</w:t>
      </w:r>
    </w:p>
    <w:p>
      <w:pPr>
        <w:numPr>
          <w:ilvl w:val="0"/>
          <w:numId w:val="1308"/>
        </w:numPr>
        <w:pStyle w:val="Compact"/>
      </w:pPr>
      <w:r>
        <w:rPr>
          <w:bCs/>
          <w:b/>
        </w:rPr>
        <w:t xml:space="preserve">Celkweek:</w:t>
      </w:r>
      <w:r>
        <w:t xml:space="preserve"> </w:t>
      </w:r>
      <w:r>
        <w:t xml:space="preserve">verhoging van de collageenaanmaak in fibroblasten (Maquart 1988, PMID 3169264); beïnvloeding van enzymen die bindweefsel op- en afbouwen.</w:t>
      </w:r>
    </w:p>
    <w:p>
      <w:pPr>
        <w:numPr>
          <w:ilvl w:val="0"/>
          <w:numId w:val="1308"/>
        </w:numPr>
        <w:pStyle w:val="Compact"/>
      </w:pPr>
      <w:r>
        <w:rPr>
          <w:bCs/>
          <w:b/>
        </w:rPr>
        <w:t xml:space="preserve">Wondgenezing bij dieren:</w:t>
      </w:r>
      <w:r>
        <w:t xml:space="preserve"> </w:t>
      </w:r>
      <w:r>
        <w:t xml:space="preserve">bij ratten met slecht doorbloede wonden verkleinde het wondoppervlak onder GHK-Cu-gel na 13 dagen met 64,5%, onder de dragergel met 45,6% en zonder behandeling met 28,2% (Canapp 2003, PMID 14648529). Bij muizen bevorderden GHK-Cu-houdende liposomen de vorming van nieuwe bloedvaten in verbrande huid en verkortten ze de genezingstijd (Wang 2017, PMID 28370978).</w:t>
      </w:r>
    </w:p>
    <w:p>
      <w:pPr>
        <w:numPr>
          <w:ilvl w:val="0"/>
          <w:numId w:val="1308"/>
        </w:numPr>
        <w:pStyle w:val="Compact"/>
      </w:pPr>
      <w:r>
        <w:rPr>
          <w:bCs/>
          <w:b/>
        </w:rPr>
        <w:t xml:space="preserve">Andere organen (bij dieren):</w:t>
      </w:r>
      <w:r>
        <w:t xml:space="preserve"> </w:t>
      </w:r>
      <w:r>
        <w:t xml:space="preserve">bij muizen verzachtte GHK-Cu, in de buikholte gespoten, een experimenteel opgewekte longfibrose (Ma 2020, PMID 31809714); andere muizenstudies beschrijven effecten bij longschade, darmontsteking en spierzwakte na sigarettenrook. Bij ratten verbeterde het de genezing na vervanging van de kruisband slechts tijdelijk (Fu 2015, PMID 25731775).</w:t>
      </w:r>
    </w:p>
    <w:p>
      <w:pPr>
        <w:numPr>
          <w:ilvl w:val="0"/>
          <w:numId w:val="1308"/>
        </w:numPr>
        <w:pStyle w:val="Compact"/>
      </w:pPr>
      <w:r>
        <w:rPr>
          <w:bCs/>
          <w:b/>
        </w:rPr>
        <w:t xml:space="preserve">Hersenen (bij muizen):</w:t>
      </w:r>
      <w:r>
        <w:t xml:space="preserve"> </w:t>
      </w:r>
      <w:r>
        <w:t xml:space="preserve">een nog niet peer-reviewed voorpublicatie uit 2026 beschreef bij oude muizen betere leerprestaties na toediening via de neus gedurende acht weken, na korte toediening in de buikholte slechts tijdelijk en alleen bij mannetjes (Mazzola 2026, PMID 42245779).</w:t>
      </w:r>
    </w:p>
    <w:p>
      <w:pPr>
        <w:pStyle w:val="FirstParagraph"/>
      </w:pPr>
      <w:r>
        <w:t xml:space="preserve">Deze bevindingen tonen een biologische activiteit, maar kunnen niet zonder meer worden overgedragen op mensen – en zeker niet op cosmetische crèmes met een onduidelijke huiddoorlaatbaarheid.</w:t>
      </w:r>
    </w:p>
    <w:bookmarkEnd w:id="908"/>
    <w:bookmarkStart w:id="909" w:name="risicos-en-bijwerkingen-55"/>
    <w:p>
      <w:pPr>
        <w:pStyle w:val="Heading3"/>
      </w:pPr>
      <w:r>
        <w:t xml:space="preserve">Risico’s en bijwerkingen</w:t>
      </w:r>
    </w:p>
    <w:p>
      <w:pPr>
        <w:pStyle w:val="FirstParagraph"/>
      </w:pPr>
      <w:r>
        <w:rPr>
          <w:bCs/>
          <w:b/>
        </w:rPr>
        <w:t xml:space="preserve">Cosmetisch gebruik (aangetoond of waarschijnlijk):</w:t>
      </w:r>
      <w:r>
        <w:t xml:space="preserve"> </w:t>
      </w:r>
      <w:r>
        <w:t xml:space="preserve">GHK-Cu wordt al tientallen jaren in cosmetica gebruikt; in de weinige studies werden geen relevante bijwerkingen gemeld. Zoals bij elk cosmetisch ingrediënt zijn huidirritaties en contactallergieën mogelijk. Koperhoudende serums kunnen chemisch al dan niet verenigbaar zijn met andere werkzame stoffen (bijvoorbeeld vitamine C of zuren) – dat is een kwestie van de formulering.</w:t>
      </w:r>
    </w:p>
    <w:p>
      <w:pPr>
        <w:pStyle w:val="BodyText"/>
      </w:pPr>
      <w:r>
        <w:rPr>
          <w:bCs/>
          <w:b/>
        </w:rPr>
        <w:t xml:space="preserve">Injectie (theoretisch, maar serieus te nemen):</w:t>
      </w:r>
    </w:p>
    <w:p>
      <w:pPr>
        <w:numPr>
          <w:ilvl w:val="0"/>
          <w:numId w:val="1309"/>
        </w:numPr>
        <w:pStyle w:val="Compact"/>
      </w:pPr>
      <w:r>
        <w:rPr>
          <w:bCs/>
          <w:b/>
        </w:rPr>
        <w:t xml:space="preserve">Geen veiligheidsgegevens:</w:t>
      </w:r>
      <w:r>
        <w:t xml:space="preserve"> </w:t>
      </w:r>
      <w:r>
        <w:t xml:space="preserve">er zijn geen systematische gegevens over verdraagbaarheid, dosering of langetermijngevolgen bij mensen.</w:t>
      </w:r>
    </w:p>
    <w:p>
      <w:pPr>
        <w:numPr>
          <w:ilvl w:val="0"/>
          <w:numId w:val="1309"/>
        </w:numPr>
        <w:pStyle w:val="Compact"/>
      </w:pPr>
      <w:r>
        <w:rPr>
          <w:bCs/>
          <w:b/>
        </w:rPr>
        <w:t xml:space="preserve">Wisselende effecten op cellen:</w:t>
      </w:r>
      <w:r>
        <w:t xml:space="preserve"> </w:t>
      </w:r>
      <w:r>
        <w:t xml:space="preserve">al de vroege laboratoriumstudies beschreven dat GHK afhankelijk van het celsysteem groei kan bevorderen, maar ook giftig kan werken (Pickart 1980, PMID 7453802).</w:t>
      </w:r>
    </w:p>
    <w:p>
      <w:pPr>
        <w:numPr>
          <w:ilvl w:val="0"/>
          <w:numId w:val="1309"/>
        </w:numPr>
        <w:pStyle w:val="Compact"/>
      </w:pPr>
      <w:r>
        <w:rPr>
          <w:bCs/>
          <w:b/>
        </w:rPr>
        <w:t xml:space="preserve">Koperbelasting:</w:t>
      </w:r>
      <w:r>
        <w:t xml:space="preserve"> </w:t>
      </w:r>
      <w:r>
        <w:t xml:space="preserve">koper is in hogere hoeveelheden giftig. Hoeveel koper bij herhaalde injecties in het lichaam achterblijft, is niet onderzocht. Bijzonder kwetsbaar zouden mensen met de ziekte van Wilson zijn, een aangeboren koperstapelingsziekte.</w:t>
      </w:r>
    </w:p>
    <w:p>
      <w:pPr>
        <w:numPr>
          <w:ilvl w:val="0"/>
          <w:numId w:val="1309"/>
        </w:numPr>
        <w:pStyle w:val="Compact"/>
      </w:pPr>
      <w:r>
        <w:rPr>
          <w:bCs/>
          <w:b/>
        </w:rPr>
        <w:t xml:space="preserve">Groeisignalen:</w:t>
      </w:r>
      <w:r>
        <w:t xml:space="preserve"> </w:t>
      </w:r>
      <w:r>
        <w:t xml:space="preserve">GHK-Cu bevordert in dierproeven de vorming van nieuwe bloedvaten (angiogenese). Of dat bij bestaande tumoren een risico vormt, is onbekend (theoretisch risico).</w:t>
      </w:r>
    </w:p>
    <w:p>
      <w:pPr>
        <w:numPr>
          <w:ilvl w:val="0"/>
          <w:numId w:val="1309"/>
        </w:numPr>
        <w:pStyle w:val="Compact"/>
      </w:pPr>
      <w:r>
        <w:rPr>
          <w:bCs/>
          <w:b/>
        </w:rPr>
        <w:t xml:space="preserve">Kwaliteit van de grijze markt:</w:t>
      </w:r>
      <w:r>
        <w:t xml:space="preserve"> </w:t>
      </w:r>
      <w:r>
        <w:t xml:space="preserve">„research peptides” worden zonder farmaceutische kwaliteitscontrole vervaardigd. Verontreinigingen, verkeerde hoeveelheden of bacteriële besmetting zijn mogelijk; injecties van niet-steriele producten kunnen leiden tot abcessen en infecties. Een overzicht beschrijft deze risico’s voor injecteerbare „biohacking”-peptiden in het algemeen (Moiz 2026, PMID 42757290). Deel IV behandelt het onderwerp uitgebreid.</w:t>
      </w:r>
    </w:p>
    <w:bookmarkEnd w:id="909"/>
    <w:bookmarkStart w:id="910" w:name="juridische-status-55"/>
    <w:p>
      <w:pPr>
        <w:pStyle w:val="Heading3"/>
      </w:pPr>
      <w:r>
        <w:t xml:space="preserve">Juridische status</w:t>
      </w:r>
    </w:p>
    <w:p>
      <w:pPr>
        <w:numPr>
          <w:ilvl w:val="0"/>
          <w:numId w:val="1310"/>
        </w:numPr>
        <w:pStyle w:val="Compact"/>
      </w:pPr>
      <w:r>
        <w:rPr>
          <w:bCs/>
          <w:b/>
        </w:rPr>
        <w:t xml:space="preserve">EU / Oostenrijk / Duitsland:</w:t>
      </w:r>
      <w:r>
        <w:t xml:space="preserve"> </w:t>
      </w:r>
      <w:r>
        <w:t xml:space="preserve">GHK-Cu (Copper Tripeptide-1) mag als ingrediënt in cosmetica worden gebruikt; de EU-cosmeticaverordening (Verordening (EG) nr. 1223/2009) is van toepassing. Cosmetica mogen alleen bestemd zijn voor gebruik op de huid en haar aanhangsels en mogen geen geneeskundige werking claimen; reclameclaims moeten volgens Verordening (EU) nr. 655/2013 onderbouwd kunnen worden. GHK-Cu dat bestemd is voor injectie, is geen cosmetisch product, maar een niet-geregistreerd geneesmiddel. De verkoop ervan voor gebruik bij mensen is niet toegestaan; etiketten als „alleen voor onderzoeksdoeleinden” veranderen daar niets aan.</w:t>
      </w:r>
    </w:p>
    <w:p>
      <w:pPr>
        <w:numPr>
          <w:ilvl w:val="0"/>
          <w:numId w:val="1310"/>
        </w:numPr>
        <w:pStyle w:val="Compact"/>
      </w:pPr>
      <w:r>
        <w:rPr>
          <w:bCs/>
          <w:b/>
        </w:rPr>
        <w:t xml:space="preserve">VS:</w:t>
      </w:r>
      <w:r>
        <w:t xml:space="preserve"> </w:t>
      </w:r>
      <w:r>
        <w:t xml:space="preserve">toegestaan in cosmetica. De FDA heeft GHK-Cu voor injectie naar onze kennis in 2023 op een lijst gezet van werkzame stoffen waarbij ze ernstige veiligheidsbezwaren ziet voor bereiding in apotheken (compounding); de indeling van meerdere peptiden is sindsdien opnieuw besproken (stand 2026, actuele situatie controleren).</w:t>
      </w:r>
    </w:p>
    <w:p>
      <w:pPr>
        <w:numPr>
          <w:ilvl w:val="0"/>
          <w:numId w:val="1310"/>
        </w:numPr>
        <w:pStyle w:val="Compact"/>
      </w:pPr>
      <w:r>
        <w:rPr>
          <w:bCs/>
          <w:b/>
        </w:rPr>
        <w:t xml:space="preserve">Sport:</w:t>
      </w:r>
      <w:r>
        <w:t xml:space="preserve"> </w:t>
      </w:r>
      <w:r>
        <w:t xml:space="preserve">GHK-Cu staat niet bij naam op de WADA-lijst. Cosmetische crèmes gelden als onproblematisch. Geïnjecteerd GHK-Cu zou als niet-goedgekeurde substantie onder categorie S0 kunnen vallen; sporters doen er goed aan bij twijfel navraag te doen bij de nationale antidopingorganisatie (stand 2026, actuele situatie controleren).</w:t>
      </w:r>
    </w:p>
    <w:bookmarkEnd w:id="910"/>
    <w:bookmarkStart w:id="911" w:name="lopende-studies-en-vooruitzichten-55"/>
    <w:p>
      <w:pPr>
        <w:pStyle w:val="Heading3"/>
      </w:pPr>
      <w:r>
        <w:t xml:space="preserve">Lopende studies en vooruitzichten</w:t>
      </w:r>
    </w:p>
    <w:p>
      <w:pPr>
        <w:pStyle w:val="FirstParagraph"/>
      </w:pPr>
      <w:r>
        <w:rPr>
          <w:bCs/>
          <w:b/>
        </w:rPr>
        <w:t xml:space="preserve">Zeker (geregistreerde studies, stand oktober 2026):</w:t>
      </w:r>
    </w:p>
    <w:p>
      <w:pPr>
        <w:numPr>
          <w:ilvl w:val="0"/>
          <w:numId w:val="1311"/>
        </w:numPr>
        <w:pStyle w:val="Compact"/>
      </w:pPr>
      <w:r>
        <w:rPr>
          <w:bCs/>
          <w:b/>
        </w:rPr>
        <w:t xml:space="preserve">Pleister:</w:t>
      </w:r>
      <w:r>
        <w:t xml:space="preserve"> </w:t>
      </w:r>
      <w:r>
        <w:t xml:space="preserve">een studie met gepland 100 gezonde personen moet onderzoeken of een pleister (X39) de GHK- en GHK-Cu-spiegels in het bloed verandert; start gepland in 2027 (NCT07706361). De sponsor is een bedrijf dat de pleister verkoopt.</w:t>
      </w:r>
    </w:p>
    <w:p>
      <w:pPr>
        <w:pStyle w:val="FirstParagraph"/>
      </w:pPr>
      <w:r>
        <w:rPr>
          <w:bCs/>
          <w:b/>
        </w:rPr>
        <w:t xml:space="preserve">Inschatting:</w:t>
      </w:r>
      <w:r>
        <w:t xml:space="preserve"> </w:t>
      </w:r>
      <w:r>
        <w:t xml:space="preserve">een serieuze, geregistreerde studie naar een medisch relevant eindpunt – bijvoorbeeld de wondgenezing, waar de enige positieve gecontroleerde gegevens bij mensen vandaan komen – is momenteel niet in zicht. Voor cosmetisch gebruik zouden onafhankelijke, voldoende grote, placebogecontroleerde studies nodig zijn met een crème zonder andere werkzame stoffen. Voor injecties is geen serieuze studie in zicht; de belangstelling wordt vooral aangewakkerd op sociale media en de grijze markt.</w:t>
      </w:r>
    </w:p>
    <w:bookmarkEnd w:id="911"/>
    <w:bookmarkStart w:id="912" w:name="conclusie-55"/>
    <w:p>
      <w:pPr>
        <w:pStyle w:val="Heading3"/>
      </w:pPr>
      <w:r>
        <w:t xml:space="preserve">Conclusie</w:t>
      </w:r>
    </w:p>
    <w:p>
      <w:pPr>
        <w:pStyle w:val="FirstParagraph"/>
      </w:pPr>
      <w:r>
        <w:t xml:space="preserve">GHK-Cu is een lichaamseigen koperpeptide dat in het laboratorium de collageenaanmaak stimuleert en in dierproeven de wondgenezing versnelt. Bij mensen bestaat er slechts één oudere gerandomiseerde studie bij diabetische voetzweren met een positief resultaat en één piepkleine cosmetische studie zonder meetbaar effect. Of GHK-Cu uit crèmes in voldoende hoeveelheid in de huid terechtkomt, is onopgehelderd; reclameclaims steunen vooral op laboratoriumgegevens en niet onafhankelijk gecontroleerde fabrikantenstudies. Als cosmetisch ingrediënt is het legaal en geldt het als goed verdraagbaar. Injecties met GHK-Cu van de grijze markt zijn onderzocht noch toegelaten en brengen vermijdbare risico’s met zich mee.</w:t>
      </w:r>
    </w:p>
    <w:bookmarkEnd w:id="912"/>
    <w:bookmarkEnd w:id="913"/>
    <w:bookmarkStart w:id="922" w:name="palmitoyl-pentapeptide-4-matrixyl"/>
    <w:p>
      <w:pPr>
        <w:pStyle w:val="Heading2"/>
      </w:pPr>
      <w:r>
        <w:t xml:space="preserve">Palmitoyl-pentapeptide-4 (Matrixyl)</w:t>
      </w:r>
    </w:p>
    <w:bookmarkStart w:id="914" w:name="profiel-56"/>
    <w:p>
      <w:pPr>
        <w:pStyle w:val="Heading3"/>
      </w:pPr>
      <w:r>
        <w:t xml:space="preserve">Profiel</w:t>
      </w:r>
    </w:p>
    <w:p>
      <w:pPr>
        <w:numPr>
          <w:ilvl w:val="0"/>
          <w:numId w:val="1312"/>
        </w:numPr>
        <w:pStyle w:val="Compact"/>
      </w:pPr>
      <w:r>
        <w:rPr>
          <w:bCs/>
          <w:b/>
        </w:rPr>
        <w:t xml:space="preserve">Soort/structuur:</w:t>
      </w:r>
      <w:r>
        <w:t xml:space="preserve"> </w:t>
      </w:r>
      <w:r>
        <w:t xml:space="preserve">pentapeptide uit lysine, threonine, threonine, lysine en serine (KTTKS), waaraan een palmitinezuur (een vetzuur met 16 koolstofatomen) is gekoppeld. Korte aanduiding Pal-KTTKS; vroeger vermeld als palmitoyl-pentapeptide-3. Handelsnaam van de grondstof: Matrixyl.</w:t>
      </w:r>
    </w:p>
    <w:p>
      <w:pPr>
        <w:numPr>
          <w:ilvl w:val="0"/>
          <w:numId w:val="1312"/>
        </w:numPr>
        <w:pStyle w:val="Compact"/>
      </w:pPr>
      <w:r>
        <w:rPr>
          <w:bCs/>
          <w:b/>
        </w:rPr>
        <w:t xml:space="preserve">Herkomst:</w:t>
      </w:r>
      <w:r>
        <w:t xml:space="preserve"> </w:t>
      </w:r>
      <w:r>
        <w:t xml:space="preserve">synthetisch. De sequentie KTTKS komt uit het voorlopermolecuul van type I-collageen (procollageen). Het vetzuuraanhangsel zou het binnendringen in de huid verbeteren.</w:t>
      </w:r>
    </w:p>
    <w:p>
      <w:pPr>
        <w:numPr>
          <w:ilvl w:val="0"/>
          <w:numId w:val="1312"/>
        </w:numPr>
        <w:pStyle w:val="Compact"/>
      </w:pPr>
      <w:r>
        <w:rPr>
          <w:bCs/>
          <w:b/>
        </w:rPr>
        <w:t xml:space="preserve">Werkingsprincipe:</w:t>
      </w:r>
      <w:r>
        <w:t xml:space="preserve"> </w:t>
      </w:r>
      <w:r>
        <w:t xml:space="preserve">zou als „matrikine” – een brokstuk van de bindweefselmatrix met signaalwerking – fibroblasten in de huid aanzetten tot de aanmaak van collageen en andere matrixbestanddelen.</w:t>
      </w:r>
    </w:p>
    <w:p>
      <w:pPr>
        <w:numPr>
          <w:ilvl w:val="0"/>
          <w:numId w:val="1312"/>
        </w:numPr>
        <w:pStyle w:val="Compact"/>
      </w:pPr>
      <w:r>
        <w:rPr>
          <w:bCs/>
          <w:b/>
        </w:rPr>
        <w:t xml:space="preserve">Afbakening:</w:t>
      </w:r>
      <w:r>
        <w:t xml:space="preserve"> </w:t>
      </w:r>
      <w:r>
        <w:t xml:space="preserve">„Matrixyl 3000” is een ander product, een combinatie van palmitoyl-tripeptide-1 (Pal-GHK, zie hoofdstuk GHK-Cu) en palmitoyl-tetrapeptide-7.</w:t>
      </w:r>
    </w:p>
    <w:p>
      <w:pPr>
        <w:numPr>
          <w:ilvl w:val="0"/>
          <w:numId w:val="1312"/>
        </w:numPr>
        <w:pStyle w:val="Compact"/>
      </w:pPr>
      <w:r>
        <w:rPr>
          <w:bCs/>
          <w:b/>
        </w:rPr>
        <w:t xml:space="preserve">Registratie EU:</w:t>
      </w:r>
      <w:r>
        <w:t xml:space="preserve"> </w:t>
      </w:r>
      <w:r>
        <w:t xml:space="preserve">geen geneesmiddel; cosmetisch ingrediënt.</w:t>
      </w:r>
    </w:p>
    <w:p>
      <w:pPr>
        <w:numPr>
          <w:ilvl w:val="0"/>
          <w:numId w:val="1312"/>
        </w:numPr>
        <w:pStyle w:val="Compact"/>
      </w:pPr>
      <w:r>
        <w:rPr>
          <w:bCs/>
          <w:b/>
        </w:rPr>
        <w:t xml:space="preserve">Registratie VS:</w:t>
      </w:r>
      <w:r>
        <w:t xml:space="preserve"> </w:t>
      </w:r>
      <w:r>
        <w:t xml:space="preserve">geen geneesmiddel; cosmetisch ingrediënt.</w:t>
      </w:r>
    </w:p>
    <w:p>
      <w:pPr>
        <w:numPr>
          <w:ilvl w:val="0"/>
          <w:numId w:val="1312"/>
        </w:numPr>
        <w:pStyle w:val="Compact"/>
      </w:pPr>
      <w:r>
        <w:rPr>
          <w:bCs/>
          <w:b/>
        </w:rPr>
        <w:t xml:space="preserve">WADA:</w:t>
      </w:r>
      <w:r>
        <w:t xml:space="preserve"> </w:t>
      </w:r>
      <w:r>
        <w:t xml:space="preserve">niet vermeld; als bestanddeel van cosmetica sportrechtelijk zonder betekenis (stand 2026, actuele situatie controleren).</w:t>
      </w:r>
    </w:p>
    <w:p>
      <w:pPr>
        <w:numPr>
          <w:ilvl w:val="0"/>
          <w:numId w:val="1312"/>
        </w:numPr>
        <w:pStyle w:val="Compact"/>
      </w:pPr>
      <w:r>
        <w:rPr>
          <w:bCs/>
          <w:b/>
        </w:rPr>
        <w:t xml:space="preserve">Bewijsniveau:</w:t>
      </w:r>
      <w:r>
        <w:t xml:space="preserve"> </w:t>
      </w:r>
      <w:r>
        <w:rPr>
          <w:bCs/>
          <w:b/>
        </w:rPr>
        <w:t xml:space="preserve">B</w:t>
      </w:r>
      <w:r>
        <w:t xml:space="preserve"> </w:t>
      </w:r>
      <w:r>
        <w:t xml:space="preserve">(zwak) – één grotere gerandomiseerde halfzijdige studie uit 2005 en één zeer kleine gerandomiseerde studie; geen onafhankelijke bevestigende studies.</w:t>
      </w:r>
    </w:p>
    <w:bookmarkEnd w:id="914"/>
    <w:bookmarkStart w:id="915" w:name="hoe-het-zou-moeten-werken-56"/>
    <w:p>
      <w:pPr>
        <w:pStyle w:val="Heading3"/>
      </w:pPr>
      <w:r>
        <w:t xml:space="preserve">Hoe het zou moeten werken</w:t>
      </w:r>
    </w:p>
    <w:p>
      <w:pPr>
        <w:pStyle w:val="FirstParagraph"/>
      </w:pPr>
      <w:r>
        <w:t xml:space="preserve">Wanneer bindweefsel beschadigd raakt, knippen enzymen collageen en andere matrixbestanddelen in brokstukken. Sommige van deze brokstukken werken als signaal: ze geven de bindweefselcellen aan dat er herstel nodig is. Zulke signaalfragmenten worden matrikinen genoemd.</w:t>
      </w:r>
    </w:p>
    <w:p>
      <w:pPr>
        <w:pStyle w:val="BodyText"/>
      </w:pPr>
      <w:r>
        <w:t xml:space="preserve">In 1993 beschreef een onderzoeksgroep dat het pentapeptide KTTKS – een klein stukje van het uiteinde van type I-procollageen – in fibroblastculturen de aanmaak van type I- en type III-collageen en van fibronectine krachtig verhoogt. KTTKS was de kleinste sequentie die dit effect nog opwekte (Katayama 1993, PMID 8486721). De cosmetica-industrie pakte het idee op: een peptide dat de huid „herstelbehoefte” signaleert, zou de met de leeftijd afnemende collageenaanmaak kunnen aanzwengelen.</w:t>
      </w:r>
    </w:p>
    <w:p>
      <w:pPr>
        <w:pStyle w:val="BodyText"/>
      </w:pPr>
      <w:r>
        <w:t xml:space="preserve">Zuiver KTTKS dringt echter nauwelijks in de huid door. Door een vetzuur aan te hangen (palmitoylering) wordt het molecuul beter vetoplosbaar. In celkweek stimuleerde Pal-KTTKS de collageenaanmaak van huid- en hoornvliesfibroblasten concentratieafhankelijk; het effect trad op nabij de concentratie waarboven de moleculen zich samenvoegen tot bandvormige nanostructuren (Jones 2013, PMID 23320752).</w:t>
      </w:r>
    </w:p>
    <w:p>
      <w:pPr>
        <w:pStyle w:val="BodyText"/>
      </w:pPr>
      <w:r>
        <w:t xml:space="preserve">Open blijft hoeveel Pal-KTTKS uit een crème werkelijk de lederhuid bereikt, waar de fibroblasten zitten. Voor het verwante Pal-GHK liet een onderzoek bij vrijwilligers zien dat het zich na het aanbrengen alleen tussen de cellen van de hoornlaag verdeelt en met de diepte afneemt (Trzaska 2026, PMID 42790608). Voor Pal-KTTKS zelf ontbreken vergelijkbare metingen bij mensen in de geanalyseerde literatuur.</w:t>
      </w:r>
    </w:p>
    <w:bookmarkEnd w:id="915"/>
    <w:bookmarkStart w:id="916" w:name="studies-bij-mensen-56"/>
    <w:p>
      <w:pPr>
        <w:pStyle w:val="Heading3"/>
      </w:pPr>
      <w:r>
        <w:t xml:space="preserve">Studies bij mensen</w:t>
      </w:r>
    </w:p>
    <w:p>
      <w:pPr>
        <w:pStyle w:val="FirstParagraph"/>
      </w:pPr>
      <w:r>
        <w:t xml:space="preserve">De voor dit boek uitgevoerde PubMed-zoekopdracht (palmitoyl-pentapeptide of Matrixyl in titel of abstract, zoekdatum oktober 2026) leverde slechts</w:t>
      </w:r>
      <w:r>
        <w:t xml:space="preserve"> </w:t>
      </w:r>
      <w:r>
        <w:rPr>
          <w:bCs/>
          <w:b/>
        </w:rPr>
        <w:t xml:space="preserve">één</w:t>
      </w:r>
      <w:r>
        <w:t xml:space="preserve"> </w:t>
      </w:r>
      <w:r>
        <w:t xml:space="preserve">als studie bij mensen geclassificeerd artikel op; op ClinicalTrials.gov staat geen enkele registratie. Bij de handmatige doorlichting werden twee andere gecontroleerde studies gevonden, plus studies met combinatieproducten.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Deelnemers en opzet</w:t>
            </w:r>
          </w:p>
        </w:tc>
        <w:tc>
          <w:tcPr/>
          <w:p>
            <w:pPr>
              <w:pStyle w:val="Compact"/>
              <w:jc w:val="left"/>
            </w:pPr>
            <w:r>
              <w:t xml:space="preserve">Duur</w:t>
            </w:r>
          </w:p>
        </w:tc>
        <w:tc>
          <w:tcPr/>
          <w:p>
            <w:pPr>
              <w:pStyle w:val="Compact"/>
              <w:jc w:val="left"/>
            </w:pPr>
            <w:r>
              <w:t xml:space="preserve">Resultaat</w:t>
            </w:r>
          </w:p>
        </w:tc>
      </w:tr>
      <w:tr>
        <w:tc>
          <w:tcPr/>
          <w:p>
            <w:pPr>
              <w:pStyle w:val="Compact"/>
              <w:jc w:val="left"/>
            </w:pPr>
            <w:r>
              <w:t xml:space="preserve">Robinson 2005, PMID 18492182</w:t>
            </w:r>
          </w:p>
        </w:tc>
        <w:tc>
          <w:tcPr/>
          <w:p>
            <w:pPr>
              <w:pStyle w:val="Compact"/>
              <w:jc w:val="left"/>
            </w:pPr>
            <w:r>
              <w:t xml:space="preserve">93 vrouwen met een lichte huid (35–55 j.), vochtinbrengende crème met Pal-KTTKS op één gezichtshelft vs. dezelfde crème zonder werkzame stof op de andere, dubbelblind</w:t>
            </w:r>
          </w:p>
        </w:tc>
        <w:tc>
          <w:tcPr/>
          <w:p>
            <w:pPr>
              <w:pStyle w:val="Compact"/>
              <w:jc w:val="left"/>
            </w:pPr>
            <w:r>
              <w:t xml:space="preserve">12 weken</w:t>
            </w:r>
          </w:p>
        </w:tc>
        <w:tc>
          <w:tcPr/>
          <w:p>
            <w:pPr>
              <w:pStyle w:val="Compact"/>
              <w:jc w:val="left"/>
            </w:pPr>
            <w:r>
              <w:t xml:space="preserve">Significante vermindering van rimpels en fijne lijntjes ten opzichte van de controlezijde, gemeten met beeldanalyse en door deskundigen; goed verdraagbaar</w:t>
            </w:r>
          </w:p>
        </w:tc>
      </w:tr>
      <w:tr>
        <w:tc>
          <w:tcPr/>
          <w:p>
            <w:pPr>
              <w:pStyle w:val="Compact"/>
              <w:jc w:val="left"/>
            </w:pPr>
            <w:r>
              <w:t xml:space="preserve">Aruan 2023, PMID 36909866</w:t>
            </w:r>
          </w:p>
        </w:tc>
        <w:tc>
          <w:tcPr/>
          <w:p>
            <w:pPr>
              <w:pStyle w:val="Compact"/>
              <w:jc w:val="left"/>
            </w:pPr>
            <w:r>
              <w:t xml:space="preserve">21 Indonesische vrouwen (26–55 j.), crème met palmitoyl-pentapeptide-4 vs. acetyl-hexapeptide-3 vs. placebo, dubbelblind</w:t>
            </w:r>
          </w:p>
        </w:tc>
        <w:tc>
          <w:tcPr/>
          <w:p>
            <w:pPr>
              <w:pStyle w:val="Compact"/>
              <w:jc w:val="left"/>
            </w:pPr>
            <w:r>
              <w:t xml:space="preserve">8 weken</w:t>
            </w:r>
          </w:p>
        </w:tc>
        <w:tc>
          <w:tcPr/>
          <w:p>
            <w:pPr>
              <w:pStyle w:val="Compact"/>
              <w:jc w:val="left"/>
            </w:pPr>
            <w:r>
              <w:t xml:space="preserve">Verbeteringen „bij sommige deelneemsters”; palmitoyl-pentapeptide-4 scoorde beter dan de vergelijkingsgroepen; geen betrouwbare effectgroottes in het abstract</w:t>
            </w:r>
          </w:p>
        </w:tc>
      </w:tr>
      <w:tr>
        <w:tc>
          <w:tcPr/>
          <w:p>
            <w:pPr>
              <w:pStyle w:val="Compact"/>
              <w:jc w:val="left"/>
            </w:pPr>
            <w:r>
              <w:t xml:space="preserve">Röper 2004, PMID 15127162</w:t>
            </w:r>
          </w:p>
        </w:tc>
        <w:tc>
          <w:tcPr/>
          <w:p>
            <w:pPr>
              <w:pStyle w:val="Compact"/>
              <w:jc w:val="left"/>
            </w:pPr>
            <w:r>
              <w:t xml:space="preserve">20 vrouwen met borstkanker onder bestraling, crème met Matrixyl en andere werkzame stoffen vs. dexpanthenollotion</w:t>
            </w:r>
          </w:p>
        </w:tc>
        <w:tc>
          <w:tcPr/>
          <w:p>
            <w:pPr>
              <w:pStyle w:val="Compact"/>
              <w:jc w:val="left"/>
            </w:pPr>
            <w:r>
              <w:t xml:space="preserve">duur van de therapie</w:t>
            </w:r>
          </w:p>
        </w:tc>
        <w:tc>
          <w:tcPr/>
          <w:p>
            <w:pPr>
              <w:pStyle w:val="Compact"/>
              <w:jc w:val="left"/>
            </w:pPr>
            <w:r>
              <w:t xml:space="preserve">Geen voordeel bij huidreacties; jeuk vaker, één vermoeden van allergische reactie alleen in de Matrixylgroep</w:t>
            </w:r>
          </w:p>
        </w:tc>
      </w:tr>
    </w:tbl>
    <w:p>
      <w:pPr>
        <w:pStyle w:val="BodyText"/>
      </w:pPr>
      <w:r>
        <w:rPr>
          <w:bCs/>
          <w:b/>
        </w:rPr>
        <w:t xml:space="preserve">Robinson 2005</w:t>
      </w:r>
      <w:r>
        <w:t xml:space="preserve"> </w:t>
      </w:r>
      <w:r>
        <w:t xml:space="preserve">is de centrale studie. De halfzijdige opzet is slim, omdat elke deelneemster haar eigen controle is. De concentratie in het product bedroeg 3 ppm (miljoenste delen). Beperkingen: het abstract noemt geen effectgroottes; de studie werd gepubliceerd in een vaktijdschrift voor cosmetica en is sindsdien niet door een onafhankelijke partij herhaald. Er werden uitsluitend vrouwen met een lichte huid en door licht verouderde huid onderzocht; of de resultaten over te dragen zijn op andere huidtypen, is open.</w:t>
      </w:r>
    </w:p>
    <w:p>
      <w:pPr>
        <w:pStyle w:val="BodyText"/>
      </w:pPr>
      <w:r>
        <w:rPr>
          <w:bCs/>
          <w:b/>
        </w:rPr>
        <w:t xml:space="preserve">Aruan 2023</w:t>
      </w:r>
      <w:r>
        <w:t xml:space="preserve"> </w:t>
      </w:r>
      <w:r>
        <w:t xml:space="preserve">was met 21 deelneemsters in drie groepen te klein voor betrouwbare uitspraken; de auteurs noemen haar zelf een vertrekpunt voor grotere studies.</w:t>
      </w:r>
    </w:p>
    <w:p>
      <w:pPr>
        <w:pStyle w:val="BodyText"/>
      </w:pPr>
      <w:r>
        <w:rPr>
          <w:bCs/>
          <w:b/>
        </w:rPr>
        <w:t xml:space="preserve">Röper 2004</w:t>
      </w:r>
      <w:r>
        <w:t xml:space="preserve"> </w:t>
      </w:r>
      <w:r>
        <w:t xml:space="preserve">testte een combinatieproduct in een medische context en vond geen nut.</w:t>
      </w:r>
    </w:p>
    <w:p>
      <w:pPr>
        <w:pStyle w:val="BodyText"/>
      </w:pPr>
      <w:r>
        <w:rPr>
          <w:bCs/>
          <w:b/>
        </w:rPr>
        <w:t xml:space="preserve">Combinatieproducten:</w:t>
      </w:r>
      <w:r>
        <w:t xml:space="preserve"> </w:t>
      </w:r>
      <w:r>
        <w:t xml:space="preserve">in twee halfzijdige studies met 42 en 35 vrouwen verbeterden verzorgingsproducten die Pal-KTTKS bevatten samen met niacinamide, een ander peptide, carnosine en deels retinylpropionaat, de gladheid van de huid rond de ogen ten opzichte van onbehandelde huid (Kaczvinsky 2009, PMID 19735523). Omdat meerdere werkzame stoffen tegelijk werden getest en vergeleken met „geen behandeling”, kan het effect niet aan het peptide worden toegeschreven.</w:t>
      </w:r>
    </w:p>
    <w:p>
      <w:pPr>
        <w:pStyle w:val="BodyText"/>
      </w:pPr>
      <w:r>
        <w:rPr>
          <w:bCs/>
          <w:b/>
        </w:rPr>
        <w:t xml:space="preserve">Meta-analyse:</w:t>
      </w:r>
      <w:r>
        <w:t xml:space="preserve"> </w:t>
      </w:r>
      <w:r>
        <w:t xml:space="preserve">een meta-analyse van orale en uitwendig gebruikte peptiden tegen huidveroudering (19 studies, 1.341 deelnemers) vond een bescheiden totaaleffect op rimpels, dat vooral werd gedragen door oraal ingenomen peptiden (Nukaly 2026, PMID 41924746). Voor uitwendig gebruikte peptiden zoals Pal-KTTKS levert dat geen eigen bewijs op.</w:t>
      </w:r>
    </w:p>
    <w:bookmarkEnd w:id="916"/>
    <w:bookmarkStart w:id="917" w:name="dier--en-laboratoriumstudies-56"/>
    <w:p>
      <w:pPr>
        <w:pStyle w:val="Heading3"/>
      </w:pPr>
      <w:r>
        <w:t xml:space="preserve">Dier- en laboratoriumstudies</w:t>
      </w:r>
    </w:p>
    <w:p>
      <w:pPr>
        <w:numPr>
          <w:ilvl w:val="0"/>
          <w:numId w:val="1313"/>
        </w:numPr>
        <w:pStyle w:val="Compact"/>
      </w:pPr>
      <w:r>
        <w:rPr>
          <w:bCs/>
          <w:b/>
        </w:rPr>
        <w:t xml:space="preserve">Celkweek:</w:t>
      </w:r>
      <w:r>
        <w:t xml:space="preserve"> </w:t>
      </w:r>
      <w:r>
        <w:t xml:space="preserve">KTTKS en Pal-KTTKS verhogen de aanmaak van collageen en fibronectine in fibroblasten (Katayama 1993, PMID 8486721; Jones 2013, PMID 23320752). In een andere celstudie verminderde Pal-KTTKS in lage concentratie de omzetting van fibroblasten in littekenvormende myofibroblasten; in hogere concentratie was het effect niet significant (Park 2017, PMID 30603464).</w:t>
      </w:r>
    </w:p>
    <w:p>
      <w:pPr>
        <w:numPr>
          <w:ilvl w:val="0"/>
          <w:numId w:val="1313"/>
        </w:numPr>
        <w:pStyle w:val="Compact"/>
      </w:pPr>
      <w:r>
        <w:rPr>
          <w:bCs/>
          <w:b/>
        </w:rPr>
        <w:t xml:space="preserve">Dierproeven:</w:t>
      </w:r>
      <w:r>
        <w:t xml:space="preserve"> </w:t>
      </w:r>
      <w:r>
        <w:t xml:space="preserve">bij proefdieren verbeterden pleisters en crèmes met Matrixyl de genezing van huidwonden ten opzichte van onbehandelde controles (Kachooeian 2022, PMID 35874243).</w:t>
      </w:r>
    </w:p>
    <w:p>
      <w:pPr>
        <w:numPr>
          <w:ilvl w:val="0"/>
          <w:numId w:val="1313"/>
        </w:numPr>
        <w:pStyle w:val="Compact"/>
      </w:pPr>
      <w:r>
        <w:rPr>
          <w:bCs/>
          <w:b/>
        </w:rPr>
        <w:t xml:space="preserve">Nieuwe varianten:</w:t>
      </w:r>
      <w:r>
        <w:t xml:space="preserve"> </w:t>
      </w:r>
      <w:r>
        <w:t xml:space="preserve">onderzoeksgroepen koppelen KTTKS aan andere moleculen om antibacteriële of sterker collageenstimulerende varianten te maken – tot nu toe uitsluitend in het laboratorium.</w:t>
      </w:r>
    </w:p>
    <w:bookmarkEnd w:id="917"/>
    <w:bookmarkStart w:id="918" w:name="risicos-en-bijwerkingen-56"/>
    <w:p>
      <w:pPr>
        <w:pStyle w:val="Heading3"/>
      </w:pPr>
      <w:r>
        <w:t xml:space="preserve">Risico’s en bijwerkingen</w:t>
      </w:r>
    </w:p>
    <w:p>
      <w:pPr>
        <w:pStyle w:val="FirstParagraph"/>
      </w:pPr>
      <w:r>
        <w:rPr>
          <w:bCs/>
          <w:b/>
        </w:rPr>
        <w:t xml:space="preserve">Aangetoond:</w:t>
      </w:r>
      <w:r>
        <w:t xml:space="preserve"> </w:t>
      </w:r>
      <w:r>
        <w:t xml:space="preserve">in de studie van Robinson werd het peptide goed verdragen. In de bestralingsstudie trad jeuk vaker op onder het Matrixylhoudende combinatieproduct, en één vermoeden van een allergische reactie alleen onder dit product (Röper 2004, PMID 15127162); welk bestanddeel verantwoordelijk was, is onduidelijk.</w:t>
      </w:r>
    </w:p>
    <w:p>
      <w:pPr>
        <w:pStyle w:val="BodyText"/>
      </w:pPr>
      <w:r>
        <w:rPr>
          <w:bCs/>
          <w:b/>
        </w:rPr>
        <w:t xml:space="preserve">Algemeen:</w:t>
      </w:r>
      <w:r>
        <w:t xml:space="preserve"> </w:t>
      </w:r>
      <w:r>
        <w:t xml:space="preserve">zoals bij elk bestanddeel van cosmetica zijn irritaties en contactallergieën mogelijk, maar ze lijken zeldzaam. Een artikel uit de cosmetica-industrie dat peptiden met bio-informatische hulpmiddelen toetste op toxisch en allergeen potentieel, vond voor palmitoyl-pentapeptide-4 overeenkomsten met bindweefseleiwitten van de huid, maar geen aanwijzingen voor toxine- of allergeenstructuren (Bjerke 2026, PMID 41953401). Zulke computeranalyses vervangen geen klinische observatie.</w:t>
      </w:r>
    </w:p>
    <w:p>
      <w:pPr>
        <w:pStyle w:val="BodyText"/>
      </w:pPr>
      <w:r>
        <w:rPr>
          <w:bCs/>
          <w:b/>
        </w:rPr>
        <w:t xml:space="preserve">Theoretisch:</w:t>
      </w:r>
      <w:r>
        <w:t xml:space="preserve"> </w:t>
      </w:r>
      <w:r>
        <w:t xml:space="preserve">een signaalstof die fibroblasten werkelijk tot collageenaanmaak aanzet, zou bij een neiging tot woekerende littekens ongewenst kunnen zijn. Daarvoor zijn er geen casusbeschrijvingen; de geringe huiddoorlaatbaarheid pleit tegen een relevant effect.</w:t>
      </w:r>
    </w:p>
    <w:bookmarkEnd w:id="918"/>
    <w:bookmarkStart w:id="919" w:name="juridische-status-56"/>
    <w:p>
      <w:pPr>
        <w:pStyle w:val="Heading3"/>
      </w:pPr>
      <w:r>
        <w:t xml:space="preserve">Juridische status</w:t>
      </w:r>
    </w:p>
    <w:p>
      <w:pPr>
        <w:numPr>
          <w:ilvl w:val="0"/>
          <w:numId w:val="1314"/>
        </w:numPr>
        <w:pStyle w:val="Compact"/>
      </w:pPr>
      <w:r>
        <w:rPr>
          <w:bCs/>
          <w:b/>
        </w:rPr>
        <w:t xml:space="preserve">EU / Oostenrijk / Duitsland:</w:t>
      </w:r>
      <w:r>
        <w:t xml:space="preserve"> </w:t>
      </w:r>
      <w:r>
        <w:t xml:space="preserve">palmitoyl-pentapeptide-4 is een toegestaan cosmetisch ingrediënt volgens de EU-cosmeticaverordening (Verordening (EG) nr. 1223/2009). Cosmetica worden vóór de verkoop niet door de overheid op werkzaamheid getoetst; de fabrikant moet een veiligheidsbeoordeling opstellen en reclameclaims volgens Verordening (EU) nr. 655/2013 kunnen onderbouwen. Uitspraken als „werkt als een rimpelfiller” of „bouwt collageen op” zijn daarom juridisch riskant als ze niet door studies met het product worden gedekt.</w:t>
      </w:r>
    </w:p>
    <w:p>
      <w:pPr>
        <w:numPr>
          <w:ilvl w:val="0"/>
          <w:numId w:val="1314"/>
        </w:numPr>
        <w:pStyle w:val="Compact"/>
      </w:pPr>
      <w:r>
        <w:rPr>
          <w:bCs/>
          <w:b/>
        </w:rPr>
        <w:t xml:space="preserve">VS:</w:t>
      </w:r>
      <w:r>
        <w:t xml:space="preserve"> </w:t>
      </w:r>
      <w:r>
        <w:t xml:space="preserve">cosmetisch ingrediënt zonder voorafgaande toetsing door de FDA. Reclameclaims die een verandering van de huidstructuur beloven, kunnen een product juridisch tot geneesmiddel maken.</w:t>
      </w:r>
    </w:p>
    <w:p>
      <w:pPr>
        <w:numPr>
          <w:ilvl w:val="0"/>
          <w:numId w:val="1314"/>
        </w:numPr>
        <w:pStyle w:val="Compact"/>
      </w:pPr>
      <w:r>
        <w:rPr>
          <w:bCs/>
          <w:b/>
        </w:rPr>
        <w:t xml:space="preserve">Sport:</w:t>
      </w:r>
      <w:r>
        <w:t xml:space="preserve"> </w:t>
      </w:r>
      <w:r>
        <w:t xml:space="preserve">zonder betekenis (stand 2026, actuele situatie controleren).</w:t>
      </w:r>
    </w:p>
    <w:bookmarkEnd w:id="919"/>
    <w:bookmarkStart w:id="920" w:name="lopende-studies-en-vooruitzichten-56"/>
    <w:p>
      <w:pPr>
        <w:pStyle w:val="Heading3"/>
      </w:pPr>
      <w:r>
        <w:t xml:space="preserve">Lopende studies en vooruitzichten</w:t>
      </w:r>
    </w:p>
    <w:p>
      <w:pPr>
        <w:pStyle w:val="FirstParagraph"/>
      </w:pPr>
      <w:r>
        <w:rPr>
          <w:bCs/>
          <w:b/>
        </w:rPr>
        <w:t xml:space="preserve">Zeker:</w:t>
      </w:r>
      <w:r>
        <w:t xml:space="preserve"> </w:t>
      </w:r>
      <w:r>
        <w:t xml:space="preserve">op ClinicalTrials.gov is onder „palmitoyl pentapeptide” geen studie geregistreerd (stand oktober 2026). Studies naar de werkzaamheid van cosmetica worden doorgaans niet geregistreerd, maar in opdracht van de fabrikanten uitgevoerd en slechts gedeeltelijk gepubliceerd.</w:t>
      </w:r>
    </w:p>
    <w:p>
      <w:pPr>
        <w:pStyle w:val="BodyText"/>
      </w:pPr>
      <w:r>
        <w:rPr>
          <w:bCs/>
          <w:b/>
        </w:rPr>
        <w:t xml:space="preserve">Inschatting:</w:t>
      </w:r>
      <w:r>
        <w:t xml:space="preserve"> </w:t>
      </w:r>
      <w:r>
        <w:t xml:space="preserve">Matrixyl is een van de oudste en meest gebruikte „anti-agingpeptiden” in cosmetica. De wetenschappelijke basis – een celkweekstudie uit 1993 en een halfzijdige studie uit 2005 – is voor zo’n wijdverbreid product verbazend smal. Nieuwe ontwikkelingen richten zich op betere huiddoorlaatbaarheid (microneedles, nanostructuren) en op combinaties met andere peptiden. Zonder onafhankelijke, voldoende grote studies met de afzonderlijke werkzame stof zal er aan de stand van kennis weinig veranderen.</w:t>
      </w:r>
    </w:p>
    <w:bookmarkEnd w:id="920"/>
    <w:bookmarkStart w:id="921" w:name="conclusie-56"/>
    <w:p>
      <w:pPr>
        <w:pStyle w:val="Heading3"/>
      </w:pPr>
      <w:r>
        <w:t xml:space="preserve">Conclusie</w:t>
      </w:r>
    </w:p>
    <w:p>
      <w:pPr>
        <w:pStyle w:val="FirstParagraph"/>
      </w:pPr>
      <w:r>
        <w:t xml:space="preserve">Palmitoyl-pentapeptide-4 is een aan een vetzuur gekoppeld brokstuk van de collageenvoorloper, dat in het laboratorium fibroblasten aanzet tot collageenaanmaak. Bij mensen steunt de werkzaamheid vooral op een halfzijdige studie met 93 vrouwen uit 2005, die een vermindering van fijne lijntjes liet zien, en op een zeer kleine studie uit 2023. Hoeveel werkzame stof daadwerkelijk de diepere huid bereikt, is niet opgehelderd. Als cosmetisch ingrediënt geldt het als goed verdraagbaar. Wie Matrixylproducten gebruikt, moet een klein, cosmetisch effect verwachten – geen vervanging voor uv-bescherming of medisch geteste werkzame stoffen zoals retinoïden.</w:t>
      </w:r>
    </w:p>
    <w:bookmarkEnd w:id="921"/>
    <w:bookmarkEnd w:id="922"/>
    <w:bookmarkStart w:id="932" w:name="acetyl-hexapeptide-8-argireline"/>
    <w:p>
      <w:pPr>
        <w:pStyle w:val="Heading2"/>
      </w:pPr>
      <w:r>
        <w:t xml:space="preserve">Acetyl-hexapeptide-8 (Argireline)</w:t>
      </w:r>
    </w:p>
    <w:bookmarkStart w:id="923" w:name="profiel-57"/>
    <w:p>
      <w:pPr>
        <w:pStyle w:val="Heading3"/>
      </w:pPr>
      <w:r>
        <w:t xml:space="preserve">Profiel</w:t>
      </w:r>
    </w:p>
    <w:p>
      <w:pPr>
        <w:numPr>
          <w:ilvl w:val="0"/>
          <w:numId w:val="1315"/>
        </w:numPr>
        <w:pStyle w:val="Compact"/>
      </w:pPr>
      <w:r>
        <w:rPr>
          <w:bCs/>
          <w:b/>
        </w:rPr>
        <w:t xml:space="preserve">Soort/structuur:</w:t>
      </w:r>
      <w:r>
        <w:t xml:space="preserve"> </w:t>
      </w:r>
      <w:r>
        <w:t xml:space="preserve">hexapeptide met de sequentie glutamaat-glutamaat-methionine-glutamine-arginine-arginine (Ac-EEMQRR-NH₂), aan het begin geacetyleerd en aan het einde geamideerd. Vroeger aangeduid als acetyl-hexapeptide-3; handelsnaam van de grondstof: Argireline.</w:t>
      </w:r>
    </w:p>
    <w:p>
      <w:pPr>
        <w:numPr>
          <w:ilvl w:val="0"/>
          <w:numId w:val="1315"/>
        </w:numPr>
        <w:pStyle w:val="Compact"/>
      </w:pPr>
      <w:r>
        <w:rPr>
          <w:bCs/>
          <w:b/>
        </w:rPr>
        <w:t xml:space="preserve">Herkomst:</w:t>
      </w:r>
      <w:r>
        <w:t xml:space="preserve"> </w:t>
      </w:r>
      <w:r>
        <w:t xml:space="preserve">synthetisch, begin jaren 2000 doelgericht ontworpen. De sequentie is nagebouwd naar het beginstuk van het zenuwceleiwit SNAP-25.</w:t>
      </w:r>
    </w:p>
    <w:p>
      <w:pPr>
        <w:numPr>
          <w:ilvl w:val="0"/>
          <w:numId w:val="1315"/>
        </w:numPr>
        <w:pStyle w:val="Compact"/>
      </w:pPr>
      <w:r>
        <w:rPr>
          <w:bCs/>
          <w:b/>
        </w:rPr>
        <w:t xml:space="preserve">Werkingsprincipe:</w:t>
      </w:r>
      <w:r>
        <w:t xml:space="preserve"> </w:t>
      </w:r>
      <w:r>
        <w:t xml:space="preserve">zou de afgifte van de boodschapperstof acetylcholine op de verbinding tussen zenuw en spier afzwakken en zo door mimiek veroorzaakte rimpels gladmaken – een vergelijkbaar aangrijpingspunt als bij botulinetoxine, alleen veel zwakker. Vandaar de reclameterm „Botox uit de tube”.</w:t>
      </w:r>
    </w:p>
    <w:p>
      <w:pPr>
        <w:numPr>
          <w:ilvl w:val="0"/>
          <w:numId w:val="1315"/>
        </w:numPr>
        <w:pStyle w:val="Compact"/>
      </w:pPr>
      <w:r>
        <w:rPr>
          <w:bCs/>
          <w:b/>
        </w:rPr>
        <w:t xml:space="preserve">Registratie EU:</w:t>
      </w:r>
      <w:r>
        <w:t xml:space="preserve"> </w:t>
      </w:r>
      <w:r>
        <w:t xml:space="preserve">geen geneesmiddel; cosmetisch ingrediënt.</w:t>
      </w:r>
    </w:p>
    <w:p>
      <w:pPr>
        <w:numPr>
          <w:ilvl w:val="0"/>
          <w:numId w:val="1315"/>
        </w:numPr>
        <w:pStyle w:val="Compact"/>
      </w:pPr>
      <w:r>
        <w:rPr>
          <w:bCs/>
          <w:b/>
        </w:rPr>
        <w:t xml:space="preserve">Registratie VS:</w:t>
      </w:r>
      <w:r>
        <w:t xml:space="preserve"> </w:t>
      </w:r>
      <w:r>
        <w:t xml:space="preserve">geen geneesmiddel; cosmetisch ingrediënt.</w:t>
      </w:r>
    </w:p>
    <w:p>
      <w:pPr>
        <w:numPr>
          <w:ilvl w:val="0"/>
          <w:numId w:val="1315"/>
        </w:numPr>
        <w:pStyle w:val="Compact"/>
      </w:pPr>
      <w:r>
        <w:rPr>
          <w:bCs/>
          <w:b/>
        </w:rPr>
        <w:t xml:space="preserve">WADA:</w:t>
      </w:r>
      <w:r>
        <w:t xml:space="preserve"> </w:t>
      </w:r>
      <w:r>
        <w:t xml:space="preserve">niet vermeld (stand 2026, actuele situatie controleren).</w:t>
      </w:r>
    </w:p>
    <w:p>
      <w:pPr>
        <w:numPr>
          <w:ilvl w:val="0"/>
          <w:numId w:val="1315"/>
        </w:numPr>
        <w:pStyle w:val="Compact"/>
      </w:pPr>
      <w:r>
        <w:rPr>
          <w:bCs/>
          <w:b/>
        </w:rPr>
        <w:t xml:space="preserve">Bewijsniveau:</w:t>
      </w:r>
      <w:r>
        <w:t xml:space="preserve"> </w:t>
      </w:r>
      <w:r>
        <w:rPr>
          <w:bCs/>
          <w:b/>
        </w:rPr>
        <w:t xml:space="preserve">B</w:t>
      </w:r>
      <w:r>
        <w:t xml:space="preserve"> </w:t>
      </w:r>
      <w:r>
        <w:t xml:space="preserve">(zwak) – enkele kleine gerandomiseerde studies met overwegend korte looptijden en niet eenduidige resultaten.</w:t>
      </w:r>
    </w:p>
    <w:bookmarkEnd w:id="923"/>
    <w:bookmarkStart w:id="924" w:name="hoe-het-zou-moeten-werken-57"/>
    <w:p>
      <w:pPr>
        <w:pStyle w:val="Heading3"/>
      </w:pPr>
      <w:r>
        <w:t xml:space="preserve">Hoe het zou moeten werken</w:t>
      </w:r>
    </w:p>
    <w:p>
      <w:pPr>
        <w:pStyle w:val="FirstParagraph"/>
      </w:pPr>
      <w:r>
        <w:t xml:space="preserve">Om een spier te laten samentrekken, moet een zenuwcel de boodschapperstof acetylcholine afgeven. Daarvoor versmelten kleine blaasjes, gevuld met de boodschapperstof, met het celmembraan. Deze versmelting wordt gemedieerd door een eiwitcomplex, het SNARE-complex, waarbij onder meer het eiwit SNAP-25 betrokken is. Botulinetoxine type A knipt SNAP-25 door en legt zo de afgifte van de boodschapperstof maandenlang stil – de spier ontspant, de rimpel erboven wordt gladder.</w:t>
      </w:r>
    </w:p>
    <w:p>
      <w:pPr>
        <w:pStyle w:val="BodyText"/>
      </w:pPr>
      <w:r>
        <w:t xml:space="preserve">Argireline werd ontworpen als nabootsing van het beginstuk van SNAP-25. Het idee: het korte peptide concurreert met het echte SNAP-25 om zijn plaats in het SNARE-complex en verstoort de vorming daarvan. In de eerste beschrijving remde Argireline in celproeven de afgifte van boodschapperstoffen met een vergelijkbare</w:t>
      </w:r>
      <w:r>
        <w:t xml:space="preserve"> </w:t>
      </w:r>
      <w:r>
        <w:rPr>
          <w:iCs/>
          <w:i/>
        </w:rPr>
        <w:t xml:space="preserve">potentie</w:t>
      </w:r>
      <w:r>
        <w:t xml:space="preserve"> </w:t>
      </w:r>
      <w:r>
        <w:t xml:space="preserve">als botulinetoxine A, maar bereikte het zoals verwacht een veel geringere</w:t>
      </w:r>
      <w:r>
        <w:t xml:space="preserve"> </w:t>
      </w:r>
      <w:r>
        <w:rPr>
          <w:iCs/>
          <w:i/>
        </w:rPr>
        <w:t xml:space="preserve">werkzaamheid</w:t>
      </w:r>
      <w:r>
        <w:t xml:space="preserve"> </w:t>
      </w:r>
      <w:r>
        <w:t xml:space="preserve">– dus een duidelijk kleiner maximaal effect (Blanes-Mira 2002, PMID 18498523).</w:t>
      </w:r>
    </w:p>
    <w:p>
      <w:pPr>
        <w:pStyle w:val="BodyText"/>
      </w:pPr>
      <w:r>
        <w:t xml:space="preserve">Het beslissende addertje onder het gras: om te werken zou Argireline vanuit een crème door opperhuid en lederhuid heen tot aan de zenuwuiteinden bij de gezichtsspieren moeten komen. Het molecuul is wateroplosbaar, elektrisch geladen en voor de huid relatief groot. In een laboratoriumproef met huid van lichaamsdonoren bleef na 24 uur het grootste deel op het huidoppervlak; 0,22% van het aangebrachte peptide werd teruggevonden in de hoornlaag, 0,01% in de opperhuid, en in de lederhuid en daaronder was niets aantoonbaar (Kraeling 2015, PMID 24754410). Een overzichtsartikel uit 2025 stelt vast dat onduidelijk blijft of het peptide de zenuw-spierverbinding überhaupt bereikt (Zdrada-Nowak 2025, PMID 40565185).</w:t>
      </w:r>
    </w:p>
    <w:p>
      <w:pPr>
        <w:pStyle w:val="BodyText"/>
      </w:pPr>
      <w:r>
        <w:t xml:space="preserve">Dat sluit effecten op de huid niet uit – bijvoorbeeld op het vochtgehalte of via zenuwuiteinden in de bovenste huidlagen –, maar maakt het aangeprezen „botoxmechanisme” bij aanbrengen op de huid weinig waarschijnlijk.</w:t>
      </w:r>
    </w:p>
    <w:bookmarkEnd w:id="924"/>
    <w:bookmarkStart w:id="926" w:name="studies-bij-mensen-57"/>
    <w:p>
      <w:pPr>
        <w:pStyle w:val="Heading3"/>
      </w:pPr>
      <w:r>
        <w:t xml:space="preserve">Studies bij mensen</w:t>
      </w:r>
    </w:p>
    <w:p>
      <w:pPr>
        <w:pStyle w:val="FirstParagraph"/>
      </w:pPr>
      <w:r>
        <w:t xml:space="preserve">De voor dit boek uitgevoerde PubMed-zoekopdracht (acetyl-hexapeptide of Argireline in titel of abstract, zoekdatum oktober 2026) leverde drie als studie bij mensen geclassificeerde artikelen op; op ClinicalTrials.gov staan zeven registraties. Bij de doorlichting werden nog enkele andere kleine studies gevonden.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Deelnemers en opzet</w:t>
            </w:r>
          </w:p>
        </w:tc>
        <w:tc>
          <w:tcPr/>
          <w:p>
            <w:pPr>
              <w:pStyle w:val="Compact"/>
              <w:jc w:val="left"/>
            </w:pPr>
            <w:r>
              <w:t xml:space="preserve">Duur</w:t>
            </w:r>
          </w:p>
        </w:tc>
        <w:tc>
          <w:tcPr/>
          <w:p>
            <w:pPr>
              <w:pStyle w:val="Compact"/>
              <w:jc w:val="left"/>
            </w:pPr>
            <w:r>
              <w:t xml:space="preserve">Resultaat</w:t>
            </w:r>
          </w:p>
        </w:tc>
      </w:tr>
      <w:tr>
        <w:tc>
          <w:tcPr/>
          <w:p>
            <w:pPr>
              <w:pStyle w:val="Compact"/>
              <w:jc w:val="left"/>
            </w:pPr>
            <w:r>
              <w:t xml:space="preserve">Blanes-Mira 2002, PMID 18498523</w:t>
            </w:r>
          </w:p>
        </w:tc>
        <w:tc>
          <w:tcPr/>
          <w:p>
            <w:pPr>
              <w:pStyle w:val="Compact"/>
              <w:jc w:val="left"/>
            </w:pPr>
            <w:r>
              <w:t xml:space="preserve">gezonde vrouwen, emulsie met 10% Argireline (gegevens in abstract summier)</w:t>
            </w:r>
          </w:p>
        </w:tc>
        <w:tc>
          <w:tcPr/>
          <w:p>
            <w:pPr>
              <w:pStyle w:val="Compact"/>
              <w:jc w:val="left"/>
            </w:pPr>
            <w:r>
              <w:t xml:space="preserve">30 dagen</w:t>
            </w:r>
          </w:p>
        </w:tc>
        <w:tc>
          <w:tcPr/>
          <w:p>
            <w:pPr>
              <w:pStyle w:val="Compact"/>
              <w:jc w:val="left"/>
            </w:pPr>
            <w:r>
              <w:t xml:space="preserve">Rimpeldiepte met maximaal 30% verminderd</w:t>
            </w:r>
          </w:p>
        </w:tc>
      </w:tr>
      <w:tr>
        <w:tc>
          <w:tcPr/>
          <w:p>
            <w:pPr>
              <w:pStyle w:val="Compact"/>
              <w:jc w:val="left"/>
            </w:pPr>
            <w:r>
              <w:t xml:space="preserve">Wang 2013, PMID 23417317</w:t>
            </w:r>
          </w:p>
        </w:tc>
        <w:tc>
          <w:tcPr/>
          <w:p>
            <w:pPr>
              <w:pStyle w:val="Compact"/>
              <w:jc w:val="left"/>
            </w:pPr>
            <w:r>
              <w:t xml:space="preserve">60 Chinese volwassenen met rimpeltjes rond de ogen, Argireline vs. placebo in verhouding 3:1</w:t>
            </w:r>
          </w:p>
        </w:tc>
        <w:tc>
          <w:tcPr/>
          <w:p>
            <w:pPr>
              <w:pStyle w:val="Compact"/>
              <w:jc w:val="left"/>
            </w:pPr>
            <w:r>
              <w:t xml:space="preserve">4 weken</w:t>
            </w:r>
          </w:p>
        </w:tc>
        <w:tc>
          <w:tcPr/>
          <w:p>
            <w:pPr>
              <w:pStyle w:val="Compact"/>
              <w:jc w:val="left"/>
            </w:pPr>
            <w:r>
              <w:t xml:space="preserve">Subjectieve „totale werkzaamheid” 48,9% vs. 0%; ruwheidswaarden in huidafdrukken gedaald</w:t>
            </w:r>
          </w:p>
        </w:tc>
      </w:tr>
      <w:tr>
        <w:tc>
          <w:tcPr/>
          <w:p>
            <w:pPr>
              <w:pStyle w:val="Compact"/>
              <w:jc w:val="left"/>
            </w:pPr>
            <w:r>
              <w:t xml:space="preserve">Raikou 2017, PMID 28150423</w:t>
            </w:r>
          </w:p>
        </w:tc>
        <w:tc>
          <w:tcPr/>
          <w:p>
            <w:pPr>
              <w:pStyle w:val="Compact"/>
              <w:jc w:val="left"/>
            </w:pPr>
            <w:r>
              <w:t xml:space="preserve">24 gezonde personen, vier groepen: Argireline, tripeptide-10-citrulline, beide of geen van beide</w:t>
            </w:r>
          </w:p>
        </w:tc>
        <w:tc>
          <w:tcPr/>
          <w:p>
            <w:pPr>
              <w:pStyle w:val="Compact"/>
              <w:jc w:val="left"/>
            </w:pPr>
            <w:r>
              <w:t xml:space="preserve">60 dagen</w:t>
            </w:r>
          </w:p>
        </w:tc>
        <w:tc>
          <w:tcPr/>
          <w:p>
            <w:pPr>
              <w:pStyle w:val="Compact"/>
              <w:jc w:val="left"/>
            </w:pPr>
            <w:r>
              <w:t xml:space="preserve">Afzonderlijke rimpelparameters en waterverlies van de huid beter met Argireline</w:t>
            </w:r>
          </w:p>
        </w:tc>
      </w:tr>
      <w:tr>
        <w:tc>
          <w:tcPr/>
          <w:p>
            <w:pPr>
              <w:pStyle w:val="Compact"/>
              <w:jc w:val="left"/>
            </w:pPr>
            <w:r>
              <w:t xml:space="preserve">Henseler 2023, PMID 38024099</w:t>
            </w:r>
          </w:p>
        </w:tc>
        <w:tc>
          <w:tcPr/>
          <w:p>
            <w:pPr>
              <w:pStyle w:val="Compact"/>
              <w:jc w:val="left"/>
            </w:pPr>
            <w:r>
              <w:t xml:space="preserve">19 vrouwen, halfzijdige vergelijking: hyaluronserum met vs. zonder Argireline, dubbelblind</w:t>
            </w:r>
          </w:p>
        </w:tc>
        <w:tc>
          <w:tcPr/>
          <w:p>
            <w:pPr>
              <w:pStyle w:val="Compact"/>
              <w:jc w:val="left"/>
            </w:pPr>
            <w:r>
              <w:t xml:space="preserve">4 weken</w:t>
            </w:r>
          </w:p>
        </w:tc>
        <w:tc>
          <w:tcPr/>
          <w:p>
            <w:pPr>
              <w:pStyle w:val="Compact"/>
              <w:jc w:val="left"/>
            </w:pPr>
            <w:r>
              <w:t xml:space="preserve">Geen significant verschil tussen de gezichtshelften</w:t>
            </w:r>
          </w:p>
        </w:tc>
      </w:tr>
      <w:tr>
        <w:tc>
          <w:tcPr/>
          <w:p>
            <w:pPr>
              <w:pStyle w:val="Compact"/>
              <w:jc w:val="left"/>
            </w:pPr>
            <w:r>
              <w:t xml:space="preserve">Aruan 2023, PMID 36909866</w:t>
            </w:r>
          </w:p>
        </w:tc>
        <w:tc>
          <w:tcPr/>
          <w:p>
            <w:pPr>
              <w:pStyle w:val="Compact"/>
              <w:jc w:val="left"/>
            </w:pPr>
            <w:r>
              <w:t xml:space="preserve">21 vrouwen, acetyl-hexapeptide-3 vs. palmitoyl-pentapeptide-4 vs. placebo</w:t>
            </w:r>
          </w:p>
        </w:tc>
        <w:tc>
          <w:tcPr/>
          <w:p>
            <w:pPr>
              <w:pStyle w:val="Compact"/>
              <w:jc w:val="left"/>
            </w:pPr>
            <w:r>
              <w:t xml:space="preserve">8 weken</w:t>
            </w:r>
          </w:p>
        </w:tc>
        <w:tc>
          <w:tcPr/>
          <w:p>
            <w:pPr>
              <w:pStyle w:val="Compact"/>
              <w:jc w:val="left"/>
            </w:pPr>
            <w:r>
              <w:t xml:space="preserve">Palmitoyl-pentapeptide-4 scoorde beter dan Argireline en placebo</w:t>
            </w:r>
          </w:p>
        </w:tc>
      </w:tr>
    </w:tbl>
    <w:p>
      <w:pPr>
        <w:pStyle w:val="BodyText"/>
      </w:pPr>
      <w:r>
        <w:rPr>
          <w:bCs/>
          <w:b/>
        </w:rPr>
        <w:t xml:space="preserve">Ter plaatsing van de positieve studies:</w:t>
      </w:r>
    </w:p>
    <w:p>
      <w:pPr>
        <w:numPr>
          <w:ilvl w:val="0"/>
          <w:numId w:val="1316"/>
        </w:numPr>
        <w:pStyle w:val="Compact"/>
      </w:pPr>
      <w:r>
        <w:t xml:space="preserve">De eerste beschrijving uit 2002 komt van de ontwikkelaars en vermeldt in het abstract noch het aantal deelnemers noch een controlegroep. Ze testte een concentratie van 10% – ver boven wat een Amerikaanse veiligheidsbeoordeling later als voldoende onderzocht beschouwde (zie risico’s).</w:t>
      </w:r>
    </w:p>
    <w:p>
      <w:pPr>
        <w:numPr>
          <w:ilvl w:val="0"/>
          <w:numId w:val="1316"/>
        </w:numPr>
        <w:pStyle w:val="Compact"/>
      </w:pPr>
      <w:r>
        <w:t xml:space="preserve">De Chinese studie (Wang 2013) is de grootste. De groepen waren ongelijk van grootte (ongeveer 45 tegenover 15), de hoofdbeoordeling was subjectief, en dezelfde klinische gegevens verschijnen samen met muizenproeven in een andere publicatie van dezelfde groep (Wang 2013, PMID 23607739). Bij vergelijkingen met de uitgangswaarde liet alleen de Argirelinegroep dalende ruwheidswaarden zien – een directe statistische vergelijking van de groepen wordt in het abstract niet gerapporteerd.</w:t>
      </w:r>
    </w:p>
    <w:p>
      <w:pPr>
        <w:numPr>
          <w:ilvl w:val="0"/>
          <w:numId w:val="1316"/>
        </w:numPr>
        <w:pStyle w:val="Compact"/>
      </w:pPr>
      <w:r>
        <w:t xml:space="preserve">De studie van Raikou had slechts zes deelnemers per groep en een groot aantal afzonderlijke vergelijkingen; sommige verschillen waren significant, andere niet.</w:t>
      </w:r>
    </w:p>
    <w:p>
      <w:pPr>
        <w:pStyle w:val="FirstParagraph"/>
      </w:pPr>
      <w:r>
        <w:rPr>
          <w:bCs/>
          <w:b/>
        </w:rPr>
        <w:t xml:space="preserve">De negatieve studie:</w:t>
      </w:r>
      <w:r>
        <w:t xml:space="preserve"> </w:t>
      </w:r>
      <w:r>
        <w:t xml:space="preserve">een dubbelblinde halfzijdige studie uit een praktijk voor plastische chirurgie met objectieve camerameting (Henseler 2023) vond geen verschil tussen de gezichtshelft met en zonder Argireline. De onderzoekers concludeerden dat een effect niet was aangetoond en dat Argireline niet als alternatief voor botulinetoxine moet worden beschouwd. Met 19 deelneemsters was echter ook deze studie klein.</w:t>
      </w:r>
    </w:p>
    <w:bookmarkStart w:id="925" w:name="andere-toepassingen-5"/>
    <w:p>
      <w:pPr>
        <w:pStyle w:val="Heading4"/>
      </w:pPr>
      <w:r>
        <w:t xml:space="preserve">Andere toepassingen</w:t>
      </w:r>
    </w:p>
    <w:p>
      <w:pPr>
        <w:numPr>
          <w:ilvl w:val="0"/>
          <w:numId w:val="1317"/>
        </w:numPr>
        <w:pStyle w:val="Compact"/>
      </w:pPr>
      <w:r>
        <w:rPr>
          <w:bCs/>
          <w:b/>
        </w:rPr>
        <w:t xml:space="preserve">Ooglidkramp (blefarospasme):</w:t>
      </w:r>
      <w:r>
        <w:t xml:space="preserve"> </w:t>
      </w:r>
      <w:r>
        <w:t xml:space="preserve">bij deze neurologische aandoening verkrampen de ooglidspieren onwillekeurig; de standaardbehandeling is een injectie met botulinetoxine elke drie maanden. In een pilotstudie met 24 patiënten zou een Argirelinecrème de werkingsduur van de injectie verlengen. Er was een niet-significante trend (3,7 tegenover 3,0 maanden tot de terugkeer van de klachten) en er waren geen relevante bijwerkingen (Lungu 2013, PMID 23146065; geregistreerd als NCT00942851). Een vervolgstudie werd na acht deelnemers afgebroken (NCT01750346).</w:t>
      </w:r>
    </w:p>
    <w:p>
      <w:pPr>
        <w:numPr>
          <w:ilvl w:val="0"/>
          <w:numId w:val="1317"/>
        </w:numPr>
        <w:pStyle w:val="Compact"/>
      </w:pPr>
      <w:r>
        <w:rPr>
          <w:bCs/>
          <w:b/>
        </w:rPr>
        <w:t xml:space="preserve">Microneedlepleister:</w:t>
      </w:r>
      <w:r>
        <w:t xml:space="preserve"> </w:t>
      </w:r>
      <w:r>
        <w:t xml:space="preserve">in een Koreaanse halfzijdige studie met 52 vrouwen verbeterde een hyaluron-microneedlepleister met Argireline de rimpels sterker dan de pleister alleen (An 2019, PMID 33911590). Hier wordt het peptide via minuscule naaldjes in de huid gebracht – het resultaat is niet over te dragen op gewone crèmes.</w:t>
      </w:r>
    </w:p>
    <w:p>
      <w:pPr>
        <w:numPr>
          <w:ilvl w:val="0"/>
          <w:numId w:val="1317"/>
        </w:numPr>
        <w:pStyle w:val="Compact"/>
      </w:pPr>
      <w:r>
        <w:rPr>
          <w:bCs/>
          <w:b/>
        </w:rPr>
        <w:t xml:space="preserve">Combinatieproducten:</w:t>
      </w:r>
      <w:r>
        <w:t xml:space="preserve"> </w:t>
      </w:r>
      <w:r>
        <w:t xml:space="preserve">veel studies testen serums die Argireline bevatten samen met retinol, hyaluronzuur of andere peptiden. Het resultaat daarvan kan niet aan het afzonderlijke peptide worden toegeschreven.</w:t>
      </w:r>
    </w:p>
    <w:p>
      <w:pPr>
        <w:numPr>
          <w:ilvl w:val="0"/>
          <w:numId w:val="1317"/>
        </w:numPr>
        <w:pStyle w:val="Compact"/>
      </w:pPr>
      <w:r>
        <w:rPr>
          <w:bCs/>
          <w:b/>
        </w:rPr>
        <w:t xml:space="preserve">Geregistreerde zeer kleine studies:</w:t>
      </w:r>
      <w:r>
        <w:t xml:space="preserve"> </w:t>
      </w:r>
      <w:r>
        <w:t xml:space="preserve">op ClinicalTrials.gov staan onder meer een afgeronde studie naar een vette huid met 14 deelnemers (NCT02597777) en een als fase 3 aangeduide studie naar rimpeltjes rond de ogen met 70 deelnemers (NCT01381484); of deze laatste overeenkomt met de hierboven genoemde Chinese studie, kon niet eenduidig worden vastgesteld.</w:t>
      </w:r>
    </w:p>
    <w:bookmarkEnd w:id="925"/>
    <w:bookmarkEnd w:id="926"/>
    <w:bookmarkStart w:id="927" w:name="dier--en-laboratoriumstudies-57"/>
    <w:p>
      <w:pPr>
        <w:pStyle w:val="Heading3"/>
      </w:pPr>
      <w:r>
        <w:t xml:space="preserve">Dier- en laboratoriumstudies</w:t>
      </w:r>
    </w:p>
    <w:p>
      <w:pPr>
        <w:numPr>
          <w:ilvl w:val="0"/>
          <w:numId w:val="1318"/>
        </w:numPr>
        <w:pStyle w:val="Compact"/>
      </w:pPr>
      <w:r>
        <w:rPr>
          <w:bCs/>
          <w:b/>
        </w:rPr>
        <w:t xml:space="preserve">Celproeven:</w:t>
      </w:r>
      <w:r>
        <w:t xml:space="preserve"> </w:t>
      </w:r>
      <w:r>
        <w:t xml:space="preserve">remming van de afgifte van boodschapperstoffen en verstoring van de vorming van het SNARE-complex (Blanes-Mira 2002, PMID 18498523). In celkweken van menselijke huidfibroblasten en andere cellijnen remde Argireline de celvermenigvuldiging dosisafhankelijk, maar pas bij concentraties die 18 tot 10.000 keer hoger lagen dan bij de vergelijkingsstof doxorubicine, een kankermiddel (Grosicki 2014, PMID 24644551).</w:t>
      </w:r>
    </w:p>
    <w:p>
      <w:pPr>
        <w:numPr>
          <w:ilvl w:val="0"/>
          <w:numId w:val="1318"/>
        </w:numPr>
        <w:pStyle w:val="Compact"/>
      </w:pPr>
      <w:r>
        <w:rPr>
          <w:bCs/>
          <w:b/>
        </w:rPr>
        <w:t xml:space="preserve">Dierproeven:</w:t>
      </w:r>
      <w:r>
        <w:t xml:space="preserve"> </w:t>
      </w:r>
      <w:r>
        <w:t xml:space="preserve">bij muizen met kunstmatig versnelde veroudering (door D-galactose) nam onder Argireline het aandeel type I-collageenvezels in de huid toe (Wang 2013, PMID 23464592).</w:t>
      </w:r>
    </w:p>
    <w:p>
      <w:pPr>
        <w:numPr>
          <w:ilvl w:val="0"/>
          <w:numId w:val="1318"/>
        </w:numPr>
        <w:pStyle w:val="Compact"/>
      </w:pPr>
      <w:r>
        <w:rPr>
          <w:bCs/>
          <w:b/>
        </w:rPr>
        <w:t xml:space="preserve">Huiddoorlaatbaarheid:</w:t>
      </w:r>
      <w:r>
        <w:t xml:space="preserve"> </w:t>
      </w:r>
      <w:r>
        <w:t xml:space="preserve">naast de studie met huid van lichaamsdonoren (Kraeling 2015, PMID 24754410) onderzoeken talrijke laboratoriumstudies emulsies, microneedles, iontoforese en chemische wijzigingen om meer werkzame stof in de huid te krijgen.</w:t>
      </w:r>
    </w:p>
    <w:bookmarkEnd w:id="927"/>
    <w:bookmarkStart w:id="928" w:name="risicos-en-bijwerkingen-57"/>
    <w:p>
      <w:pPr>
        <w:pStyle w:val="Heading3"/>
      </w:pPr>
      <w:r>
        <w:t xml:space="preserve">Risico’s en bijwerkingen</w:t>
      </w:r>
    </w:p>
    <w:p>
      <w:pPr>
        <w:pStyle w:val="FirstParagraph"/>
      </w:pPr>
      <w:r>
        <w:rPr>
          <w:bCs/>
          <w:b/>
        </w:rPr>
        <w:t xml:space="preserve">Als crème (aangetoond):</w:t>
      </w:r>
      <w:r>
        <w:t xml:space="preserve"> </w:t>
      </w:r>
      <w:r>
        <w:t xml:space="preserve">in de studies werden geen relevante bijwerkingen waargenomen; huidirritaties en allergieën zijn zoals bij elk bestanddeel van cosmetica mogelijk. Het onafhankelijke Amerikaanse deskundigenpanel voor de veiligheid van cosmetische ingrediënten (Cosmetic Ingredient Review) concludeerde in 2025 dat acetyl-hexapeptide-8 in de momenteel gebruikelijke concentraties tot 0,005% veilig is. Voor hogere concentraties waren de beschikbare gegevens onvoldoende voor een uitspraak over de veiligheid (Johnson 2025, PMID 40673537).</w:t>
      </w:r>
    </w:p>
    <w:p>
      <w:pPr>
        <w:pStyle w:val="BodyText"/>
      </w:pPr>
      <w:r>
        <w:rPr>
          <w:bCs/>
          <w:b/>
        </w:rPr>
        <w:t xml:space="preserve">Als injectie:</w:t>
      </w:r>
      <w:r>
        <w:t xml:space="preserve"> </w:t>
      </w:r>
      <w:r>
        <w:t xml:space="preserve">Argireline wordt soms ook in de huid gespoten, bijvoorbeeld in schoonheidssalons of via producten van de grijze markt. Daarvoor bestaat geen registratie en zijn er geen studies. Een casusbeschrijving beschrijft een 45-jarige vrouw bij wie na Argirelineinjecties in voorhoofd en slapen roodheid, knobbels en abcessen optraden; de oorzaak was een infectie met de moeilijk te behandelen bacterie</w:t>
      </w:r>
      <w:r>
        <w:t xml:space="preserve"> </w:t>
      </w:r>
      <w:r>
        <w:rPr>
          <w:iCs/>
          <w:i/>
        </w:rPr>
        <w:t xml:space="preserve">Mycobacterium abscessus</w:t>
      </w:r>
      <w:r>
        <w:t xml:space="preserve">, die een antibioticabehandeling van vijf maanden vereiste (Chen 2021, PMID 33748252). Het risico ligt hier minder in het peptide zelf dan in niet-steriele producten en procedures.</w:t>
      </w:r>
    </w:p>
    <w:p>
      <w:pPr>
        <w:pStyle w:val="BodyText"/>
      </w:pPr>
      <w:r>
        <w:rPr>
          <w:bCs/>
          <w:b/>
        </w:rPr>
        <w:t xml:space="preserve">Theoretisch:</w:t>
      </w:r>
      <w:r>
        <w:t xml:space="preserve"> </w:t>
      </w:r>
      <w:r>
        <w:t xml:space="preserve">als Argireline in noemenswaardige hoeveelheid bij zenuw-spierverbindingen terecht zou komen, zou – zoals bij botulinetoxine – ongewenste spierzwakte denkbaar zijn. Daarvoor zijn er bij uitwendig gebruik geen aanwijzingen.</w:t>
      </w:r>
    </w:p>
    <w:bookmarkEnd w:id="928"/>
    <w:bookmarkStart w:id="929" w:name="juridische-status-57"/>
    <w:p>
      <w:pPr>
        <w:pStyle w:val="Heading3"/>
      </w:pPr>
      <w:r>
        <w:t xml:space="preserve">Juridische status</w:t>
      </w:r>
    </w:p>
    <w:p>
      <w:pPr>
        <w:numPr>
          <w:ilvl w:val="0"/>
          <w:numId w:val="1319"/>
        </w:numPr>
        <w:pStyle w:val="Compact"/>
      </w:pPr>
      <w:r>
        <w:rPr>
          <w:bCs/>
          <w:b/>
        </w:rPr>
        <w:t xml:space="preserve">EU / Oostenrijk / Duitsland:</w:t>
      </w:r>
      <w:r>
        <w:t xml:space="preserve"> </w:t>
      </w:r>
      <w:r>
        <w:t xml:space="preserve">acetyl-hexapeptide-8 is een toegestaan cosmetisch ingrediënt volgens de EU-cosmeticaverordening (Verordening (EG) nr. 1223/2009). Reclameclaims moeten volgens Verordening (EU) nr. 655/2013 onderbouwd kunnen worden. Vergelijkingen met botulinetoxine („zoals Botox”) zijn misleidend als ze een vergelijkbaar effect suggereren. Een injectie is geen cosmetische toepassing; een product dat voor injectie bestemd is, zou een niet-geregistreerd geneesmiddel of medisch hulpmiddel zijn en mag zo niet worden verkocht.</w:t>
      </w:r>
    </w:p>
    <w:p>
      <w:pPr>
        <w:numPr>
          <w:ilvl w:val="0"/>
          <w:numId w:val="1319"/>
        </w:numPr>
        <w:pStyle w:val="Compact"/>
      </w:pPr>
      <w:r>
        <w:rPr>
          <w:bCs/>
          <w:b/>
        </w:rPr>
        <w:t xml:space="preserve">VS:</w:t>
      </w:r>
      <w:r>
        <w:t xml:space="preserve"> </w:t>
      </w:r>
      <w:r>
        <w:t xml:space="preserve">cosmetisch ingrediënt zonder voorafgaande toetsing door de FDA; uitspraken die een effect op spieren beloven, kunnen een product juridisch tot geneesmiddel maken.</w:t>
      </w:r>
    </w:p>
    <w:p>
      <w:pPr>
        <w:numPr>
          <w:ilvl w:val="0"/>
          <w:numId w:val="1319"/>
        </w:numPr>
        <w:pStyle w:val="Compact"/>
      </w:pPr>
      <w:r>
        <w:rPr>
          <w:bCs/>
          <w:b/>
        </w:rPr>
        <w:t xml:space="preserve">Sport:</w:t>
      </w:r>
      <w:r>
        <w:t xml:space="preserve"> </w:t>
      </w:r>
      <w:r>
        <w:t xml:space="preserve">zonder betekenis (stand 2026, actuele situatie controleren).</w:t>
      </w:r>
    </w:p>
    <w:bookmarkEnd w:id="929"/>
    <w:bookmarkStart w:id="930" w:name="lopende-studies-en-vooruitzichten-57"/>
    <w:p>
      <w:pPr>
        <w:pStyle w:val="Heading3"/>
      </w:pPr>
      <w:r>
        <w:t xml:space="preserve">Lopende studies en vooruitzichten</w:t>
      </w:r>
    </w:p>
    <w:p>
      <w:pPr>
        <w:pStyle w:val="FirstParagraph"/>
      </w:pPr>
      <w:r>
        <w:rPr>
          <w:bCs/>
          <w:b/>
        </w:rPr>
        <w:t xml:space="preserve">Zeker:</w:t>
      </w:r>
      <w:r>
        <w:t xml:space="preserve"> </w:t>
      </w:r>
      <w:r>
        <w:t xml:space="preserve">op ClinicalTrials.gov staat (stand oktober 2026) geen lopende studie met acetyl-hexapeptide-8 als enige werkzame stof; de vermelde registraties zijn afgerond of afgebroken. Studies naar de werkzaamheid van cosmetica worden zelden geregistreerd.</w:t>
      </w:r>
    </w:p>
    <w:p>
      <w:pPr>
        <w:pStyle w:val="BodyText"/>
      </w:pPr>
      <w:r>
        <w:rPr>
          <w:bCs/>
          <w:b/>
        </w:rPr>
        <w:t xml:space="preserve">Inschatting:</w:t>
      </w:r>
      <w:r>
        <w:t xml:space="preserve"> </w:t>
      </w:r>
      <w:r>
        <w:t xml:space="preserve">Argireline is een voorbeeld van een rationeel ontworpen peptide waarvan de laboratoriumbevinding overtuigend is, maar waarvan de weg naar de plaats van werking onopgelost blijft. Het onderzoek richt zich daarom op transportsystemen zoals microneedles en nanodragers. Of die een effect bereiken dat voor gebruikers zichtbaar is en verder gaat dan dat van een goed vochtinbrengend product, moeten grotere, onafhankelijke studies uitwijzen. Een echt alternatief voor botulinetoxine valt naar de huidige kennis niet te verwachten.</w:t>
      </w:r>
    </w:p>
    <w:bookmarkEnd w:id="930"/>
    <w:bookmarkStart w:id="931" w:name="conclusie-57"/>
    <w:p>
      <w:pPr>
        <w:pStyle w:val="Heading3"/>
      </w:pPr>
      <w:r>
        <w:t xml:space="preserve">Conclusie</w:t>
      </w:r>
    </w:p>
    <w:p>
      <w:pPr>
        <w:pStyle w:val="FirstParagraph"/>
      </w:pPr>
      <w:r>
        <w:t xml:space="preserve">Acetyl-hexapeptide-8 is een synthetisch peptide dat in het laboratorium de afgifte van boodschapperstoffen door zenuwcellen remt, vergelijkbaar met botulinetoxine, maar aanzienlijk zwakker. Uit crèmes dringt het nauwelijks in de huid door; in een laboratoriumproef bleef het bijna volledig in de oppervlakkige lagen. Kleine, korte studies – deels van de ontwikkelaars, deels met combinatieproducten – melden minder rimpeltjes; een geblindeerde halfzijdige studie met objectieve meting vond daarentegen geen verschil. Als crème geldt het in gebruikelijke concentraties als veilig; injecties zijn onderzocht noch toegelaten en kunnen tot ernstige infecties leiden. De reclameterm „Botox uit de tube” wordt door de gegevens niet gedekt.</w:t>
      </w:r>
    </w:p>
    <w:bookmarkEnd w:id="931"/>
    <w:bookmarkEnd w:id="932"/>
    <w:bookmarkEnd w:id="933"/>
    <w:bookmarkStart w:id="974" w:name="deel-iii-de-grote-vergelijking"/>
    <w:p>
      <w:pPr>
        <w:pStyle w:val="Heading1"/>
      </w:pPr>
      <w:r>
        <w:t xml:space="preserve">Deel III – De grote vergelijking</w:t>
      </w:r>
    </w:p>
    <w:p>
      <w:pPr>
        <w:pStyle w:val="FirstParagraph"/>
      </w:pPr>
      <w:r>
        <w:t xml:space="preserve">In Deel II werd elk peptide afzonderlijk bekeken. Dit deel zet de resultaten naast elkaar en beantwoordt drie vragen: hoe goed is een peptide onderzocht in vergelijking met de andere? Hoe verhouden de afslank- en diabetesmiddelen zich tot elkaar? En wat blijft er over van de beloften op internet als men alleen studies bij mensen laat meetellen?</w:t>
      </w:r>
    </w:p>
    <w:p>
      <w:pPr>
        <w:pStyle w:val="BodyText"/>
      </w:pPr>
      <w:r>
        <w:t xml:space="preserve">De tabellen zijn samenvattingen. Bronnen en beperkingen van elk getal staan in de hoofdstukken van Deel II. Alle gegevens over registratie en dopingstatus geven de stand van 2026 weer en moeten actueel worden gecontroleerd.</w:t>
      </w:r>
    </w:p>
    <w:bookmarkStart w:id="946" w:name="alle-peptiden-in-één-oogopslag"/>
    <w:p>
      <w:pPr>
        <w:pStyle w:val="Heading2"/>
      </w:pPr>
      <w:r>
        <w:t xml:space="preserve">Alle peptiden in één oogopslag</w:t>
      </w:r>
    </w:p>
    <w:bookmarkStart w:id="934" w:name="zo-leest-u-de-tabellen"/>
    <w:p>
      <w:pPr>
        <w:pStyle w:val="Heading3"/>
      </w:pPr>
      <w:r>
        <w:t xml:space="preserve">Zo leest u de tabellen</w:t>
      </w:r>
    </w:p>
    <w:p>
      <w:pPr>
        <w:pStyle w:val="FirstParagraph"/>
      </w:pPr>
      <w:r>
        <w:t xml:space="preserve">Voor elke groep uit Deel II volgen twee tabellen: de eerste met bewijsniveau, registratie en omvang van het onderzoek, de tweede met het belangrijkste studieresultaat en het belangrijkste risico.</w:t>
      </w:r>
    </w:p>
    <w:p>
      <w:pPr>
        <w:pStyle w:val="BodyText"/>
      </w:pPr>
      <w:r>
        <w:rPr>
          <w:bCs/>
          <w:b/>
        </w:rPr>
        <w:t xml:space="preserve">Bewijsniveau</w:t>
      </w:r>
      <w:r>
        <w:t xml:space="preserve"> </w:t>
      </w:r>
      <w:r>
        <w:t xml:space="preserve">(zoals in Deel II):</w:t>
      </w:r>
    </w:p>
    <w:p>
      <w:pPr>
        <w:numPr>
          <w:ilvl w:val="0"/>
          <w:numId w:val="1320"/>
        </w:numPr>
        <w:pStyle w:val="Compact"/>
      </w:pPr>
      <w:r>
        <w:rPr>
          <w:bCs/>
          <w:b/>
        </w:rPr>
        <w:t xml:space="preserve">A</w:t>
      </w:r>
      <w:r>
        <w:t xml:space="preserve">: meerdere grote gerandomiseerde studies bij mensen, meestal met registratie</w:t>
      </w:r>
    </w:p>
    <w:p>
      <w:pPr>
        <w:numPr>
          <w:ilvl w:val="0"/>
          <w:numId w:val="1320"/>
        </w:numPr>
        <w:pStyle w:val="Compact"/>
      </w:pPr>
      <w:r>
        <w:rPr>
          <w:bCs/>
          <w:b/>
        </w:rPr>
        <w:t xml:space="preserve">B</w:t>
      </w:r>
      <w:r>
        <w:t xml:space="preserve">: afzonderlijke gerandomiseerde studies bij mensen</w:t>
      </w:r>
    </w:p>
    <w:p>
      <w:pPr>
        <w:numPr>
          <w:ilvl w:val="0"/>
          <w:numId w:val="1320"/>
        </w:numPr>
        <w:pStyle w:val="Compact"/>
      </w:pPr>
      <w:r>
        <w:rPr>
          <w:bCs/>
          <w:b/>
        </w:rPr>
        <w:t xml:space="preserve">C</w:t>
      </w:r>
      <w:r>
        <w:t xml:space="preserve">: alleen kleine of ongecontroleerde studies bij mensen</w:t>
      </w:r>
    </w:p>
    <w:p>
      <w:pPr>
        <w:numPr>
          <w:ilvl w:val="0"/>
          <w:numId w:val="1320"/>
        </w:numPr>
        <w:pStyle w:val="Compact"/>
      </w:pPr>
      <w:r>
        <w:rPr>
          <w:bCs/>
          <w:b/>
        </w:rPr>
        <w:t xml:space="preserve">D</w:t>
      </w:r>
      <w:r>
        <w:t xml:space="preserve">: alleen dier- en laboratoriumstudies</w:t>
      </w:r>
    </w:p>
    <w:p>
      <w:pPr>
        <w:pStyle w:val="FirstParagraph"/>
      </w:pPr>
      <w:r>
        <w:t xml:space="preserve">Het niveau beschrijft</w:t>
      </w:r>
      <w:r>
        <w:t xml:space="preserve"> </w:t>
      </w:r>
      <w:r>
        <w:rPr>
          <w:iCs/>
          <w:i/>
        </w:rPr>
        <w:t xml:space="preserve">hoe goed</w:t>
      </w:r>
      <w:r>
        <w:t xml:space="preserve"> </w:t>
      </w:r>
      <w:r>
        <w:t xml:space="preserve">iets is onderzocht, niet</w:t>
      </w:r>
      <w:r>
        <w:t xml:space="preserve"> </w:t>
      </w:r>
      <w:r>
        <w:rPr>
          <w:iCs/>
          <w:i/>
        </w:rPr>
        <w:t xml:space="preserve">of</w:t>
      </w:r>
      <w:r>
        <w:t xml:space="preserve"> </w:t>
      </w:r>
      <w:r>
        <w:t xml:space="preserve">het werkt – en geldt alleen voor de onderzochte toepassing.</w:t>
      </w:r>
    </w:p>
    <w:p>
      <w:pPr>
        <w:pStyle w:val="BodyText"/>
      </w:pPr>
      <w:r>
        <w:rPr>
          <w:bCs/>
          <w:b/>
        </w:rPr>
        <w:t xml:space="preserve">Studies bij mensen / register:</w:t>
      </w:r>
      <w:r>
        <w:t xml:space="preserve"> </w:t>
      </w:r>
      <w:r>
        <w:t xml:space="preserve">de getallen komen uit de geautomatiseerde zoekopdracht voor dit boek (oktober 2026, methodiek in de bijlage): als studie bij mensen ingedeelde publicaties in PubMed en registraties in het studieregister ClinicalTrials.gov. Ze laten alleen de orde van grootte zien, hangen sterk af van de zoekterm en bevatten deels treffers uit andere vakgebieden, terwijl oudere studies onder andere namen kunnen ontbreken. Waar een getal duidelijk misleidt, is het gemarkeerd met „(opm.)” en onder de tabel toegelicht. Registraties van een sponsor van wie de registraties bij controle kennelijk fictieve voorbeeld- of testregistraties bleken te zijn, zijn niet meegeteld.</w:t>
      </w:r>
    </w:p>
    <w:bookmarkEnd w:id="934"/>
    <w:bookmarkStart w:id="935" w:name="a.-stofwisseling-en-gewicht"/>
    <w:p>
      <w:pPr>
        <w:pStyle w:val="Heading3"/>
      </w:pPr>
      <w:r>
        <w:t xml:space="preserve">A. Stofwisseling en gewicht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Peptide</w:t>
            </w:r>
          </w:p>
        </w:tc>
        <w:tc>
          <w:tcPr/>
          <w:p>
            <w:pPr>
              <w:pStyle w:val="Compact"/>
              <w:jc w:val="left"/>
            </w:pPr>
            <w:r>
              <w:t xml:space="preserve">Bewijs</w:t>
            </w:r>
          </w:p>
        </w:tc>
        <w:tc>
          <w:tcPr/>
          <w:p>
            <w:pPr>
              <w:pStyle w:val="Compact"/>
              <w:jc w:val="left"/>
            </w:pPr>
            <w:r>
              <w:t xml:space="preserve">Registratie EU / VS</w:t>
            </w:r>
          </w:p>
        </w:tc>
        <w:tc>
          <w:tcPr/>
          <w:p>
            <w:pPr>
              <w:pStyle w:val="Compact"/>
              <w:jc w:val="left"/>
            </w:pPr>
            <w:r>
              <w:t xml:space="preserve">Studies bij mensen / register</w:t>
            </w:r>
          </w:p>
        </w:tc>
      </w:tr>
      <w:tr>
        <w:tc>
          <w:tcPr/>
          <w:p>
            <w:pPr>
              <w:pStyle w:val="Compact"/>
              <w:jc w:val="left"/>
            </w:pPr>
            <w:r>
              <w:t xml:space="preserve">Exenatide</w:t>
            </w:r>
          </w:p>
        </w:tc>
        <w:tc>
          <w:tcPr/>
          <w:p>
            <w:pPr>
              <w:pStyle w:val="Compact"/>
              <w:jc w:val="left"/>
            </w:pPr>
            <w:r>
              <w:t xml:space="preserve">A</w:t>
            </w:r>
          </w:p>
        </w:tc>
        <w:tc>
          <w:tcPr/>
          <w:p>
            <w:pPr>
              <w:pStyle w:val="Compact"/>
              <w:jc w:val="left"/>
            </w:pPr>
            <w:r>
              <w:t xml:space="preserve">ja / ja</w:t>
            </w:r>
          </w:p>
        </w:tc>
        <w:tc>
          <w:tcPr/>
          <w:p>
            <w:pPr>
              <w:pStyle w:val="Compact"/>
              <w:jc w:val="left"/>
            </w:pPr>
            <w:r>
              <w:t xml:space="preserve">437 / 379</w:t>
            </w:r>
          </w:p>
        </w:tc>
      </w:tr>
      <w:tr>
        <w:tc>
          <w:tcPr/>
          <w:p>
            <w:pPr>
              <w:pStyle w:val="Compact"/>
              <w:jc w:val="left"/>
            </w:pPr>
            <w:r>
              <w:t xml:space="preserve">Liraglutide</w:t>
            </w:r>
          </w:p>
        </w:tc>
        <w:tc>
          <w:tcPr/>
          <w:p>
            <w:pPr>
              <w:pStyle w:val="Compact"/>
              <w:jc w:val="left"/>
            </w:pPr>
            <w:r>
              <w:t xml:space="preserve">A</w:t>
            </w:r>
          </w:p>
        </w:tc>
        <w:tc>
          <w:tcPr/>
          <w:p>
            <w:pPr>
              <w:pStyle w:val="Compact"/>
              <w:jc w:val="left"/>
            </w:pPr>
            <w:r>
              <w:t xml:space="preserve">ja / ja (ook generieken)</w:t>
            </w:r>
          </w:p>
        </w:tc>
        <w:tc>
          <w:tcPr/>
          <w:p>
            <w:pPr>
              <w:pStyle w:val="Compact"/>
              <w:jc w:val="left"/>
            </w:pPr>
            <w:r>
              <w:t xml:space="preserve">613 / 517</w:t>
            </w:r>
          </w:p>
        </w:tc>
      </w:tr>
      <w:tr>
        <w:tc>
          <w:tcPr/>
          <w:p>
            <w:pPr>
              <w:pStyle w:val="Compact"/>
              <w:jc w:val="left"/>
            </w:pPr>
            <w:r>
              <w:t xml:space="preserve">Dulaglutide</w:t>
            </w:r>
          </w:p>
        </w:tc>
        <w:tc>
          <w:tcPr/>
          <w:p>
            <w:pPr>
              <w:pStyle w:val="Compact"/>
              <w:jc w:val="left"/>
            </w:pPr>
            <w:r>
              <w:t xml:space="preserve">A</w:t>
            </w:r>
          </w:p>
        </w:tc>
        <w:tc>
          <w:tcPr/>
          <w:p>
            <w:pPr>
              <w:pStyle w:val="Compact"/>
              <w:jc w:val="left"/>
            </w:pPr>
            <w:r>
              <w:t xml:space="preserve">ja / ja</w:t>
            </w:r>
          </w:p>
        </w:tc>
        <w:tc>
          <w:tcPr/>
          <w:p>
            <w:pPr>
              <w:pStyle w:val="Compact"/>
              <w:jc w:val="left"/>
            </w:pPr>
            <w:r>
              <w:t xml:space="preserve">158 / 143</w:t>
            </w:r>
          </w:p>
        </w:tc>
      </w:tr>
      <w:tr>
        <w:tc>
          <w:tcPr/>
          <w:p>
            <w:pPr>
              <w:pStyle w:val="Compact"/>
              <w:jc w:val="left"/>
            </w:pPr>
            <w:r>
              <w:t xml:space="preserve">Semaglutide</w:t>
            </w:r>
          </w:p>
        </w:tc>
        <w:tc>
          <w:tcPr/>
          <w:p>
            <w:pPr>
              <w:pStyle w:val="Compact"/>
              <w:jc w:val="left"/>
            </w:pPr>
            <w:r>
              <w:t xml:space="preserve">A</w:t>
            </w:r>
          </w:p>
        </w:tc>
        <w:tc>
          <w:tcPr/>
          <w:p>
            <w:pPr>
              <w:pStyle w:val="Compact"/>
              <w:jc w:val="left"/>
            </w:pPr>
            <w:r>
              <w:t xml:space="preserve">ja / ja (injectie en tablet)</w:t>
            </w:r>
          </w:p>
        </w:tc>
        <w:tc>
          <w:tcPr/>
          <w:p>
            <w:pPr>
              <w:pStyle w:val="Compact"/>
              <w:jc w:val="left"/>
            </w:pPr>
            <w:r>
              <w:t xml:space="preserve">342 / 793</w:t>
            </w:r>
          </w:p>
        </w:tc>
      </w:tr>
      <w:tr>
        <w:tc>
          <w:tcPr/>
          <w:p>
            <w:pPr>
              <w:pStyle w:val="Compact"/>
              <w:jc w:val="left"/>
            </w:pPr>
            <w:r>
              <w:t xml:space="preserve">Tirzepatide</w:t>
            </w:r>
          </w:p>
        </w:tc>
        <w:tc>
          <w:tcPr/>
          <w:p>
            <w:pPr>
              <w:pStyle w:val="Compact"/>
              <w:jc w:val="left"/>
            </w:pPr>
            <w:r>
              <w:t xml:space="preserve">A</w:t>
            </w:r>
          </w:p>
        </w:tc>
        <w:tc>
          <w:tcPr/>
          <w:p>
            <w:pPr>
              <w:pStyle w:val="Compact"/>
              <w:jc w:val="left"/>
            </w:pPr>
            <w:r>
              <w:t xml:space="preserve">ja / ja</w:t>
            </w:r>
          </w:p>
        </w:tc>
        <w:tc>
          <w:tcPr/>
          <w:p>
            <w:pPr>
              <w:pStyle w:val="Compact"/>
              <w:jc w:val="left"/>
            </w:pPr>
            <w:r>
              <w:t xml:space="preserve">144 / 307</w:t>
            </w:r>
          </w:p>
        </w:tc>
      </w:tr>
      <w:tr>
        <w:tc>
          <w:tcPr/>
          <w:p>
            <w:pPr>
              <w:pStyle w:val="Compact"/>
              <w:jc w:val="left"/>
            </w:pPr>
            <w:r>
              <w:t xml:space="preserve">Retatrutide</w:t>
            </w:r>
          </w:p>
        </w:tc>
        <w:tc>
          <w:tcPr/>
          <w:p>
            <w:pPr>
              <w:pStyle w:val="Compact"/>
              <w:jc w:val="left"/>
            </w:pPr>
            <w:r>
              <w:t xml:space="preserve">B</w:t>
            </w:r>
          </w:p>
        </w:tc>
        <w:tc>
          <w:tcPr/>
          <w:p>
            <w:pPr>
              <w:pStyle w:val="Compact"/>
              <w:jc w:val="left"/>
            </w:pPr>
            <w:r>
              <w:t xml:space="preserve">nee / nee</w:t>
            </w:r>
          </w:p>
        </w:tc>
        <w:tc>
          <w:tcPr/>
          <w:p>
            <w:pPr>
              <w:pStyle w:val="Compact"/>
              <w:jc w:val="left"/>
            </w:pPr>
            <w:r>
              <w:t xml:space="preserve">10 / 32</w:t>
            </w:r>
          </w:p>
        </w:tc>
      </w:tr>
      <w:tr>
        <w:tc>
          <w:tcPr/>
          <w:p>
            <w:pPr>
              <w:pStyle w:val="Compact"/>
              <w:jc w:val="left"/>
            </w:pPr>
            <w:r>
              <w:t xml:space="preserve">Survodutide</w:t>
            </w:r>
          </w:p>
        </w:tc>
        <w:tc>
          <w:tcPr/>
          <w:p>
            <w:pPr>
              <w:pStyle w:val="Compact"/>
              <w:jc w:val="left"/>
            </w:pPr>
            <w:r>
              <w:t xml:space="preserve">B</w:t>
            </w:r>
          </w:p>
        </w:tc>
        <w:tc>
          <w:tcPr/>
          <w:p>
            <w:pPr>
              <w:pStyle w:val="Compact"/>
              <w:jc w:val="left"/>
            </w:pPr>
            <w:r>
              <w:t xml:space="preserve">nee / nee</w:t>
            </w:r>
          </w:p>
        </w:tc>
        <w:tc>
          <w:tcPr/>
          <w:p>
            <w:pPr>
              <w:pStyle w:val="Compact"/>
              <w:jc w:val="left"/>
            </w:pPr>
            <w:r>
              <w:t xml:space="preserve">10 / 29</w:t>
            </w:r>
          </w:p>
        </w:tc>
      </w:tr>
      <w:tr>
        <w:tc>
          <w:tcPr/>
          <w:p>
            <w:pPr>
              <w:pStyle w:val="Compact"/>
              <w:jc w:val="left"/>
            </w:pPr>
            <w:r>
              <w:t xml:space="preserve">Mazdutide</w:t>
            </w:r>
          </w:p>
        </w:tc>
        <w:tc>
          <w:tcPr/>
          <w:p>
            <w:pPr>
              <w:pStyle w:val="Compact"/>
              <w:jc w:val="left"/>
            </w:pPr>
            <w:r>
              <w:t xml:space="preserve">A</w:t>
            </w:r>
          </w:p>
        </w:tc>
        <w:tc>
          <w:tcPr/>
          <w:p>
            <w:pPr>
              <w:pStyle w:val="Compact"/>
              <w:jc w:val="left"/>
            </w:pPr>
            <w:r>
              <w:t xml:space="preserve">nee / nee (alleen China, 2025)</w:t>
            </w:r>
          </w:p>
        </w:tc>
        <w:tc>
          <w:tcPr/>
          <w:p>
            <w:pPr>
              <w:pStyle w:val="Compact"/>
              <w:jc w:val="left"/>
            </w:pPr>
            <w:r>
              <w:t xml:space="preserve">9 / 44</w:t>
            </w:r>
          </w:p>
        </w:tc>
      </w:tr>
      <w:tr>
        <w:tc>
          <w:tcPr/>
          <w:p>
            <w:pPr>
              <w:pStyle w:val="Compact"/>
              <w:jc w:val="left"/>
            </w:pPr>
            <w:r>
              <w:t xml:space="preserve">Cagrilintide / CagriSema</w:t>
            </w:r>
          </w:p>
        </w:tc>
        <w:tc>
          <w:tcPr/>
          <w:p>
            <w:pPr>
              <w:pStyle w:val="Compact"/>
              <w:jc w:val="left"/>
            </w:pPr>
            <w:r>
              <w:t xml:space="preserve">B</w:t>
            </w:r>
          </w:p>
        </w:tc>
        <w:tc>
          <w:tcPr/>
          <w:p>
            <w:pPr>
              <w:pStyle w:val="Compact"/>
              <w:jc w:val="left"/>
            </w:pPr>
            <w:r>
              <w:t xml:space="preserve">nee / nee</w:t>
            </w:r>
          </w:p>
        </w:tc>
        <w:tc>
          <w:tcPr/>
          <w:p>
            <w:pPr>
              <w:pStyle w:val="Compact"/>
              <w:jc w:val="left"/>
            </w:pPr>
            <w:r>
              <w:t xml:space="preserve">15 / 44</w:t>
            </w:r>
          </w:p>
        </w:tc>
      </w:tr>
      <w:tr>
        <w:tc>
          <w:tcPr/>
          <w:p>
            <w:pPr>
              <w:pStyle w:val="Compact"/>
              <w:jc w:val="left"/>
            </w:pPr>
            <w:r>
              <w:t xml:space="preserve">Amycretine</w:t>
            </w:r>
          </w:p>
        </w:tc>
        <w:tc>
          <w:tcPr/>
          <w:p>
            <w:pPr>
              <w:pStyle w:val="Compact"/>
              <w:jc w:val="left"/>
            </w:pPr>
            <w:r>
              <w:t xml:space="preserve">B</w:t>
            </w:r>
          </w:p>
        </w:tc>
        <w:tc>
          <w:tcPr/>
          <w:p>
            <w:pPr>
              <w:pStyle w:val="Compact"/>
              <w:jc w:val="left"/>
            </w:pPr>
            <w:r>
              <w:t xml:space="preserve">nee / nee</w:t>
            </w:r>
          </w:p>
        </w:tc>
        <w:tc>
          <w:tcPr/>
          <w:p>
            <w:pPr>
              <w:pStyle w:val="Compact"/>
              <w:jc w:val="left"/>
            </w:pPr>
            <w:r>
              <w:t xml:space="preserve">4 / 1 (opm.)</w:t>
            </w:r>
          </w:p>
        </w:tc>
      </w:tr>
      <w:tr>
        <w:tc>
          <w:tcPr/>
          <w:p>
            <w:pPr>
              <w:pStyle w:val="Compact"/>
              <w:jc w:val="left"/>
            </w:pPr>
            <w:r>
              <w:t xml:space="preserve">Maridebart cafraglutide</w:t>
            </w:r>
          </w:p>
        </w:tc>
        <w:tc>
          <w:tcPr/>
          <w:p>
            <w:pPr>
              <w:pStyle w:val="Compact"/>
              <w:jc w:val="left"/>
            </w:pPr>
            <w:r>
              <w:t xml:space="preserve">B</w:t>
            </w:r>
          </w:p>
        </w:tc>
        <w:tc>
          <w:tcPr/>
          <w:p>
            <w:pPr>
              <w:pStyle w:val="Compact"/>
              <w:jc w:val="left"/>
            </w:pPr>
            <w:r>
              <w:t xml:space="preserve">nee / nee</w:t>
            </w:r>
          </w:p>
        </w:tc>
        <w:tc>
          <w:tcPr/>
          <w:p>
            <w:pPr>
              <w:pStyle w:val="Compact"/>
              <w:jc w:val="left"/>
            </w:pPr>
            <w:r>
              <w:t xml:space="preserve">2 / 28</w:t>
            </w:r>
          </w:p>
        </w:tc>
      </w:tr>
      <w:tr>
        <w:tc>
          <w:tcPr/>
          <w:p>
            <w:pPr>
              <w:pStyle w:val="Compact"/>
              <w:jc w:val="left"/>
            </w:pPr>
            <w:r>
              <w:t xml:space="preserve">Pramlintide</w:t>
            </w:r>
          </w:p>
        </w:tc>
        <w:tc>
          <w:tcPr/>
          <w:p>
            <w:pPr>
              <w:pStyle w:val="Compact"/>
              <w:jc w:val="left"/>
            </w:pPr>
            <w:r>
              <w:t xml:space="preserve">A</w:t>
            </w:r>
          </w:p>
        </w:tc>
        <w:tc>
          <w:tcPr/>
          <w:p>
            <w:pPr>
              <w:pStyle w:val="Compact"/>
              <w:jc w:val="left"/>
            </w:pPr>
            <w:r>
              <w:t xml:space="preserve">nee / ja</w:t>
            </w:r>
          </w:p>
        </w:tc>
        <w:tc>
          <w:tcPr/>
          <w:p>
            <w:pPr>
              <w:pStyle w:val="Compact"/>
              <w:jc w:val="left"/>
            </w:pPr>
            <w:r>
              <w:t xml:space="preserve">76 / 64</w:t>
            </w:r>
          </w:p>
        </w:tc>
      </w:tr>
      <w:tr>
        <w:tc>
          <w:tcPr/>
          <w:p>
            <w:pPr>
              <w:pStyle w:val="Compact"/>
              <w:jc w:val="left"/>
            </w:pPr>
            <w:r>
              <w:t xml:space="preserve">Setmelanotide</w:t>
            </w:r>
          </w:p>
        </w:tc>
        <w:tc>
          <w:tcPr/>
          <w:p>
            <w:pPr>
              <w:pStyle w:val="Compact"/>
              <w:jc w:val="left"/>
            </w:pPr>
            <w:r>
              <w:t xml:space="preserve">A</w:t>
            </w:r>
          </w:p>
        </w:tc>
        <w:tc>
          <w:tcPr/>
          <w:p>
            <w:pPr>
              <w:pStyle w:val="Compact"/>
              <w:jc w:val="left"/>
            </w:pPr>
            <w:r>
              <w:t xml:space="preserve">ja / ja (zeldzame genetische vormen)</w:t>
            </w:r>
          </w:p>
        </w:tc>
        <w:tc>
          <w:tcPr/>
          <w:p>
            <w:pPr>
              <w:pStyle w:val="Compact"/>
              <w:jc w:val="left"/>
            </w:pPr>
            <w:r>
              <w:t xml:space="preserve">15 / 27</w:t>
            </w:r>
          </w:p>
        </w:tc>
      </w:tr>
      <w:tr>
        <w:tc>
          <w:tcPr/>
          <w:p>
            <w:pPr>
              <w:pStyle w:val="Compact"/>
              <w:jc w:val="left"/>
            </w:pPr>
            <w:r>
              <w:t xml:space="preserve">AOD-9604</w:t>
            </w:r>
          </w:p>
        </w:tc>
        <w:tc>
          <w:tcPr/>
          <w:p>
            <w:pPr>
              <w:pStyle w:val="Compact"/>
              <w:jc w:val="left"/>
            </w:pPr>
            <w:r>
              <w:t xml:space="preserve">D</w:t>
            </w:r>
          </w:p>
        </w:tc>
        <w:tc>
          <w:tcPr/>
          <w:p>
            <w:pPr>
              <w:pStyle w:val="Compact"/>
              <w:jc w:val="left"/>
            </w:pPr>
            <w:r>
              <w:t xml:space="preserve">nee / nee</w:t>
            </w:r>
          </w:p>
        </w:tc>
        <w:tc>
          <w:tcPr/>
          <w:p>
            <w:pPr>
              <w:pStyle w:val="Compact"/>
              <w:jc w:val="left"/>
            </w:pPr>
            <w:r>
              <w:t xml:space="preserve">0 / 0</w:t>
            </w:r>
          </w:p>
        </w:tc>
      </w:tr>
      <w:tr>
        <w:tc>
          <w:tcPr/>
          <w:p>
            <w:pPr>
              <w:pStyle w:val="Compact"/>
              <w:jc w:val="left"/>
            </w:pPr>
            <w:r>
              <w:t xml:space="preserve">Orforglipron (geen peptide)</w:t>
            </w:r>
          </w:p>
        </w:tc>
        <w:tc>
          <w:tcPr/>
          <w:p>
            <w:pPr>
              <w:pStyle w:val="Compact"/>
              <w:jc w:val="left"/>
            </w:pPr>
            <w:r>
              <w:t xml:space="preserve">A</w:t>
            </w:r>
          </w:p>
        </w:tc>
        <w:tc>
          <w:tcPr/>
          <w:p>
            <w:pPr>
              <w:pStyle w:val="Compact"/>
              <w:jc w:val="left"/>
            </w:pPr>
            <w:r>
              <w:t xml:space="preserve">nee / aanvraag ingediend (controleren)</w:t>
            </w:r>
          </w:p>
        </w:tc>
        <w:tc>
          <w:tcPr/>
          <w:p>
            <w:pPr>
              <w:pStyle w:val="Compact"/>
              <w:jc w:val="left"/>
            </w:pPr>
            <w:r>
              <w:t xml:space="preserve">20 / 53</w:t>
            </w:r>
          </w:p>
        </w:tc>
      </w:tr>
    </w:tbl>
    <w:p>
      <w:pPr>
        <w:pStyle w:val="BodyText"/>
      </w:pPr>
      <w:r>
        <w:t xml:space="preserve">Opmerking bij de tabel: bij</w:t>
      </w:r>
      <w:r>
        <w:t xml:space="preserve"> </w:t>
      </w:r>
      <w:r>
        <w:rPr>
          <w:bCs/>
          <w:b/>
        </w:rPr>
        <w:t xml:space="preserve">amycretine</w:t>
      </w:r>
      <w:r>
        <w:t xml:space="preserve"> </w:t>
      </w:r>
      <w:r>
        <w:t xml:space="preserve">vond de zoekopdracht in het register slechts één registratie; onder de naam zenagamtide en de ontwikkelingscode zijn ongeveer 30 studies geregistreerd, waaronder het in 2026 gestarte fase 3-programma. Bij</w:t>
      </w:r>
      <w:r>
        <w:t xml:space="preserve"> </w:t>
      </w:r>
      <w:r>
        <w:rPr>
          <w:bCs/>
          <w:b/>
        </w:rPr>
        <w:t xml:space="preserve">mazdutide</w:t>
      </w:r>
      <w:r>
        <w:t xml:space="preserve"> </w:t>
      </w:r>
      <w:r>
        <w:t xml:space="preserve">komen de studies bijna alleen uit China; bij</w:t>
      </w:r>
      <w:r>
        <w:t xml:space="preserve"> </w:t>
      </w:r>
      <w:r>
        <w:rPr>
          <w:bCs/>
          <w:b/>
        </w:rPr>
        <w:t xml:space="preserve">orforglipron</w:t>
      </w:r>
      <w:r>
        <w:t xml:space="preserve"> </w:t>
      </w:r>
      <w:r>
        <w:t xml:space="preserve">stond de registratie bij het afsluiten van de redactie nog uit.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Peptide</w:t>
            </w:r>
          </w:p>
        </w:tc>
        <w:tc>
          <w:tcPr/>
          <w:p>
            <w:pPr>
              <w:pStyle w:val="Compact"/>
              <w:jc w:val="left"/>
            </w:pPr>
            <w:r>
              <w:t xml:space="preserve">Kernresultaat</w:t>
            </w:r>
          </w:p>
        </w:tc>
        <w:tc>
          <w:tcPr/>
          <w:p>
            <w:pPr>
              <w:pStyle w:val="Compact"/>
              <w:jc w:val="left"/>
            </w:pPr>
            <w:r>
              <w:t xml:space="preserve">Belangrijkste risico</w:t>
            </w:r>
          </w:p>
        </w:tc>
      </w:tr>
      <w:tr>
        <w:tc>
          <w:tcPr/>
          <w:p>
            <w:pPr>
              <w:pStyle w:val="Compact"/>
              <w:jc w:val="left"/>
            </w:pPr>
            <w:r>
              <w:t xml:space="preserve">Exenatide</w:t>
            </w:r>
          </w:p>
        </w:tc>
        <w:tc>
          <w:tcPr/>
          <w:p>
            <w:pPr>
              <w:pStyle w:val="Compact"/>
              <w:jc w:val="left"/>
            </w:pPr>
            <w:r>
              <w:t xml:space="preserve">EXSCEL: cardiovasculair risico niet verhoogd, maar ook niet significant verlaagd (HR 0,91; PMID 28910237)</w:t>
            </w:r>
          </w:p>
        </w:tc>
        <w:tc>
          <w:tcPr/>
          <w:p>
            <w:pPr>
              <w:pStyle w:val="Compact"/>
              <w:jc w:val="left"/>
            </w:pPr>
            <w:r>
              <w:t xml:space="preserve">misselijkheid, knobbeltjes, antistoffen</w:t>
            </w:r>
          </w:p>
        </w:tc>
      </w:tr>
      <w:tr>
        <w:tc>
          <w:tcPr/>
          <w:p>
            <w:pPr>
              <w:pStyle w:val="Compact"/>
              <w:jc w:val="left"/>
            </w:pPr>
            <w:r>
              <w:t xml:space="preserve">Liraglutide</w:t>
            </w:r>
          </w:p>
        </w:tc>
        <w:tc>
          <w:tcPr/>
          <w:p>
            <w:pPr>
              <w:pStyle w:val="Compact"/>
              <w:jc w:val="left"/>
            </w:pPr>
            <w:r>
              <w:t xml:space="preserve">LEADER: 13% minder cardiovasculaire voorvallen (PMID 27295427); SCALE: −8,4 vs. −2,8 kg (PMID 26132939)</w:t>
            </w:r>
          </w:p>
        </w:tc>
        <w:tc>
          <w:tcPr/>
          <w:p>
            <w:pPr>
              <w:pStyle w:val="Compact"/>
              <w:jc w:val="left"/>
            </w:pPr>
            <w:r>
              <w:t xml:space="preserve">maag-darmklachten, galblaas</w:t>
            </w:r>
          </w:p>
        </w:tc>
      </w:tr>
      <w:tr>
        <w:tc>
          <w:tcPr/>
          <w:p>
            <w:pPr>
              <w:pStyle w:val="Compact"/>
              <w:jc w:val="left"/>
            </w:pPr>
            <w:r>
              <w:t xml:space="preserve">Dulaglutide</w:t>
            </w:r>
          </w:p>
        </w:tc>
        <w:tc>
          <w:tcPr/>
          <w:p>
            <w:pPr>
              <w:pStyle w:val="Compact"/>
              <w:jc w:val="left"/>
            </w:pPr>
            <w:r>
              <w:t xml:space="preserve">REWIND: 12% minder ernstige cardiovasculaire voorvallen bij 9.901 deelnemers (PMID 31189511)</w:t>
            </w:r>
          </w:p>
        </w:tc>
        <w:tc>
          <w:tcPr/>
          <w:p>
            <w:pPr>
              <w:pStyle w:val="Compact"/>
              <w:jc w:val="left"/>
            </w:pPr>
            <w:r>
              <w:t xml:space="preserve">maag-darmklachten; hypoglykemie in combinatie</w:t>
            </w:r>
          </w:p>
        </w:tc>
      </w:tr>
      <w:tr>
        <w:tc>
          <w:tcPr/>
          <w:p>
            <w:pPr>
              <w:pStyle w:val="Compact"/>
              <w:jc w:val="left"/>
            </w:pPr>
            <w:r>
              <w:t xml:space="preserve">Semaglutide</w:t>
            </w:r>
          </w:p>
        </w:tc>
        <w:tc>
          <w:tcPr/>
          <w:p>
            <w:pPr>
              <w:pStyle w:val="Compact"/>
              <w:jc w:val="left"/>
            </w:pPr>
            <w:r>
              <w:t xml:space="preserve">STEP 1: −14,9% vs. −2,4% (PMID 33567185); SELECT: 20% minder cardiovasculaire voorvallen (PMID 37952131)</w:t>
            </w:r>
          </w:p>
        </w:tc>
        <w:tc>
          <w:tcPr/>
          <w:p>
            <w:pPr>
              <w:pStyle w:val="Compact"/>
              <w:jc w:val="left"/>
            </w:pPr>
            <w:r>
              <w:t xml:space="preserve">maag-darmklachten, galblaas, zeldzaam NAION-signaal, vervalsingen</w:t>
            </w:r>
          </w:p>
        </w:tc>
      </w:tr>
      <w:tr>
        <w:tc>
          <w:tcPr/>
          <w:p>
            <w:pPr>
              <w:pStyle w:val="Compact"/>
              <w:jc w:val="left"/>
            </w:pPr>
            <w:r>
              <w:t xml:space="preserve">Tirzepatide</w:t>
            </w:r>
          </w:p>
        </w:tc>
        <w:tc>
          <w:tcPr/>
          <w:p>
            <w:pPr>
              <w:pStyle w:val="Compact"/>
              <w:jc w:val="left"/>
            </w:pPr>
            <w:r>
              <w:t xml:space="preserve">SURMOUNT-5: −20,2% vs. −13,7% onder semaglutide (PMID 40353578)</w:t>
            </w:r>
          </w:p>
        </w:tc>
        <w:tc>
          <w:tcPr/>
          <w:p>
            <w:pPr>
              <w:pStyle w:val="Compact"/>
              <w:jc w:val="left"/>
            </w:pPr>
            <w:r>
              <w:t xml:space="preserve">maag-darmklachten, galwegen; gewichtstoename na stoppen</w:t>
            </w:r>
          </w:p>
        </w:tc>
      </w:tr>
      <w:tr>
        <w:tc>
          <w:tcPr/>
          <w:p>
            <w:pPr>
              <w:pStyle w:val="Compact"/>
              <w:jc w:val="left"/>
            </w:pPr>
            <w:r>
              <w:t xml:space="preserve">Retatrutide</w:t>
            </w:r>
          </w:p>
        </w:tc>
        <w:tc>
          <w:tcPr/>
          <w:p>
            <w:pPr>
              <w:pStyle w:val="Compact"/>
              <w:jc w:val="left"/>
            </w:pPr>
            <w:r>
              <w:t xml:space="preserve">TRIUMPH-1: tot −25,0% vs. −3,9% na 80 weken (PMID 42814954)</w:t>
            </w:r>
          </w:p>
        </w:tc>
        <w:tc>
          <w:tcPr/>
          <w:p>
            <w:pPr>
              <w:pStyle w:val="Compact"/>
              <w:jc w:val="left"/>
            </w:pPr>
            <w:r>
              <w:t xml:space="preserve">maag-darmklachten, huidgevoelsstoornissen, meer uitval bij hoge dosis</w:t>
            </w:r>
          </w:p>
        </w:tc>
      </w:tr>
      <w:tr>
        <w:tc>
          <w:tcPr/>
          <w:p>
            <w:pPr>
              <w:pStyle w:val="Compact"/>
              <w:jc w:val="left"/>
            </w:pPr>
            <w:r>
              <w:t xml:space="preserve">Survodutide</w:t>
            </w:r>
          </w:p>
        </w:tc>
        <w:tc>
          <w:tcPr/>
          <w:p>
            <w:pPr>
              <w:pStyle w:val="Compact"/>
              <w:jc w:val="left"/>
            </w:pPr>
            <w:r>
              <w:t xml:space="preserve">SYNCHRONIZE-1: tot −13,0% vs. −5,4% na 76 weken (PMID 42253238)</w:t>
            </w:r>
          </w:p>
        </w:tc>
        <w:tc>
          <w:tcPr/>
          <w:p>
            <w:pPr>
              <w:pStyle w:val="Compact"/>
              <w:jc w:val="left"/>
            </w:pPr>
            <w:r>
              <w:t xml:space="preserve">zeer vaak maag-darmklachten</w:t>
            </w:r>
          </w:p>
        </w:tc>
      </w:tr>
      <w:tr>
        <w:tc>
          <w:tcPr/>
          <w:p>
            <w:pPr>
              <w:pStyle w:val="Compact"/>
              <w:jc w:val="left"/>
            </w:pPr>
            <w:r>
              <w:t xml:space="preserve">Mazdutide</w:t>
            </w:r>
          </w:p>
        </w:tc>
        <w:tc>
          <w:tcPr/>
          <w:p>
            <w:pPr>
              <w:pStyle w:val="Compact"/>
              <w:jc w:val="left"/>
            </w:pPr>
            <w:r>
              <w:t xml:space="preserve">GLORY-1: tot −14,0% vs. +0,3% na 48 weken (PMID 40421736)</w:t>
            </w:r>
          </w:p>
        </w:tc>
        <w:tc>
          <w:tcPr/>
          <w:p>
            <w:pPr>
              <w:pStyle w:val="Compact"/>
              <w:jc w:val="left"/>
            </w:pPr>
            <w:r>
              <w:t xml:space="preserve">maag-darmklachten, vooral braken</w:t>
            </w:r>
          </w:p>
        </w:tc>
      </w:tr>
      <w:tr>
        <w:tc>
          <w:tcPr/>
          <w:p>
            <w:pPr>
              <w:pStyle w:val="Compact"/>
              <w:jc w:val="left"/>
            </w:pPr>
            <w:r>
              <w:t xml:space="preserve">Cagrilintide / CagriSema</w:t>
            </w:r>
          </w:p>
        </w:tc>
        <w:tc>
          <w:tcPr/>
          <w:p>
            <w:pPr>
              <w:pStyle w:val="Compact"/>
              <w:jc w:val="left"/>
            </w:pPr>
            <w:r>
              <w:t xml:space="preserve">REDEFINE 1: −20,4% vs. −3,0% na 68 weken (PMID 40544433)</w:t>
            </w:r>
          </w:p>
        </w:tc>
        <w:tc>
          <w:tcPr/>
          <w:p>
            <w:pPr>
              <w:pStyle w:val="Compact"/>
              <w:jc w:val="left"/>
            </w:pPr>
            <w:r>
              <w:t xml:space="preserve">maag-darmklachten bij ongeveer 80%</w:t>
            </w:r>
          </w:p>
        </w:tc>
      </w:tr>
      <w:tr>
        <w:tc>
          <w:tcPr/>
          <w:p>
            <w:pPr>
              <w:pStyle w:val="Compact"/>
              <w:jc w:val="left"/>
            </w:pPr>
            <w:r>
              <w:t xml:space="preserve">Amycretine</w:t>
            </w:r>
          </w:p>
        </w:tc>
        <w:tc>
          <w:tcPr/>
          <w:p>
            <w:pPr>
              <w:pStyle w:val="Compact"/>
              <w:jc w:val="left"/>
            </w:pPr>
            <w:r>
              <w:t xml:space="preserve">fase 1b/2a: tot −24,3% vs. −1,1% na 36 weken (PMID 40550231)</w:t>
            </w:r>
          </w:p>
        </w:tc>
        <w:tc>
          <w:tcPr/>
          <w:p>
            <w:pPr>
              <w:pStyle w:val="Compact"/>
              <w:jc w:val="left"/>
            </w:pPr>
            <w:r>
              <w:t xml:space="preserve">maag-darmklachten; langetermijngevolgen onbekend</w:t>
            </w:r>
          </w:p>
        </w:tc>
      </w:tr>
      <w:tr>
        <w:tc>
          <w:tcPr/>
          <w:p>
            <w:pPr>
              <w:pStyle w:val="Compact"/>
              <w:jc w:val="left"/>
            </w:pPr>
            <w:r>
              <w:t xml:space="preserve">Maridebart cafraglutide</w:t>
            </w:r>
          </w:p>
        </w:tc>
        <w:tc>
          <w:tcPr/>
          <w:p>
            <w:pPr>
              <w:pStyle w:val="Compact"/>
              <w:jc w:val="left"/>
            </w:pPr>
            <w:r>
              <w:t xml:space="preserve">fase 2: −12,3 tot −16,2% vs. −2,5% na 52 weken (PMID 40549887)</w:t>
            </w:r>
          </w:p>
        </w:tc>
        <w:tc>
          <w:tcPr/>
          <w:p>
            <w:pPr>
              <w:pStyle w:val="Compact"/>
              <w:jc w:val="left"/>
            </w:pPr>
            <w:r>
              <w:t xml:space="preserve">maag-darmklachten; zeer lange werkingsduur</w:t>
            </w:r>
          </w:p>
        </w:tc>
      </w:tr>
      <w:tr>
        <w:tc>
          <w:tcPr/>
          <w:p>
            <w:pPr>
              <w:pStyle w:val="Compact"/>
              <w:jc w:val="left"/>
            </w:pPr>
            <w:r>
              <w:t xml:space="preserve">Pramlintide</w:t>
            </w:r>
          </w:p>
        </w:tc>
        <w:tc>
          <w:tcPr/>
          <w:p>
            <w:pPr>
              <w:pStyle w:val="Compact"/>
              <w:jc w:val="left"/>
            </w:pPr>
            <w:r>
              <w:t xml:space="preserve">HbA1c −0,62 procentpunt, gewicht −1,4 kg (PMID 12610038)</w:t>
            </w:r>
          </w:p>
        </w:tc>
        <w:tc>
          <w:tcPr/>
          <w:p>
            <w:pPr>
              <w:pStyle w:val="Compact"/>
              <w:jc w:val="left"/>
            </w:pPr>
            <w:r>
              <w:t xml:space="preserve">ernstige hypoglykemie met insuline, misselijkheid</w:t>
            </w:r>
          </w:p>
        </w:tc>
      </w:tr>
      <w:tr>
        <w:tc>
          <w:tcPr/>
          <w:p>
            <w:pPr>
              <w:pStyle w:val="Compact"/>
              <w:jc w:val="left"/>
            </w:pPr>
            <w:r>
              <w:t xml:space="preserve">Setmelanotide</w:t>
            </w:r>
          </w:p>
        </w:tc>
        <w:tc>
          <w:tcPr/>
          <w:p>
            <w:pPr>
              <w:pStyle w:val="Compact"/>
              <w:jc w:val="left"/>
            </w:pPr>
            <w:r>
              <w:t xml:space="preserve">TRANSCEND: BMI −16,5% vs. +3,3% bij hypothalame obesitas (PMID 42418774)</w:t>
            </w:r>
          </w:p>
        </w:tc>
        <w:tc>
          <w:tcPr/>
          <w:p>
            <w:pPr>
              <w:pStyle w:val="Compact"/>
              <w:jc w:val="left"/>
            </w:pPr>
            <w:r>
              <w:t xml:space="preserve">injectieplaatsen, donkerder wordende huid, misselijkheid</w:t>
            </w:r>
          </w:p>
        </w:tc>
      </w:tr>
      <w:tr>
        <w:tc>
          <w:tcPr/>
          <w:p>
            <w:pPr>
              <w:pStyle w:val="Compact"/>
              <w:jc w:val="left"/>
            </w:pPr>
            <w:r>
              <w:t xml:space="preserve">AOD-9604</w:t>
            </w:r>
          </w:p>
        </w:tc>
        <w:tc>
          <w:tcPr/>
          <w:p>
            <w:pPr>
              <w:pStyle w:val="Compact"/>
              <w:jc w:val="left"/>
            </w:pPr>
            <w:r>
              <w:t xml:space="preserve">alleen dierlijke gegevens: bij muizen minder gewichtstoename (PMID 11673763)</w:t>
            </w:r>
          </w:p>
        </w:tc>
        <w:tc>
          <w:tcPr/>
          <w:p>
            <w:pPr>
              <w:pStyle w:val="Compact"/>
              <w:jc w:val="left"/>
            </w:pPr>
            <w:r>
              <w:t xml:space="preserve">effect bij mensen onbekend</w:t>
            </w:r>
          </w:p>
        </w:tc>
      </w:tr>
      <w:tr>
        <w:tc>
          <w:tcPr/>
          <w:p>
            <w:pPr>
              <w:pStyle w:val="Compact"/>
              <w:jc w:val="left"/>
            </w:pPr>
            <w:r>
              <w:t xml:space="preserve">Orforglipron</w:t>
            </w:r>
          </w:p>
        </w:tc>
        <w:tc>
          <w:tcPr/>
          <w:p>
            <w:pPr>
              <w:pStyle w:val="Compact"/>
              <w:jc w:val="left"/>
            </w:pPr>
            <w:r>
              <w:t xml:space="preserve">ATTAIN-1: tot −11,2% vs. −2,1% als tablet (PMID 40960239)</w:t>
            </w:r>
          </w:p>
        </w:tc>
        <w:tc>
          <w:tcPr/>
          <w:p>
            <w:pPr>
              <w:pStyle w:val="Compact"/>
              <w:jc w:val="left"/>
            </w:pPr>
            <w:r>
              <w:t xml:space="preserve">maag-darmklachten, iets meer uitval dan semaglutidetablet</w:t>
            </w:r>
          </w:p>
        </w:tc>
      </w:tr>
    </w:tbl>
    <w:bookmarkEnd w:id="935"/>
    <w:bookmarkStart w:id="936" w:name="b.-genezing-regeneratie-en-immuunsysteem"/>
    <w:p>
      <w:pPr>
        <w:pStyle w:val="Heading3"/>
      </w:pPr>
      <w:r>
        <w:t xml:space="preserve">B. Genezing, regeneratie en immuunsysteem</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Peptide</w:t>
            </w:r>
          </w:p>
        </w:tc>
        <w:tc>
          <w:tcPr/>
          <w:p>
            <w:pPr>
              <w:pStyle w:val="Compact"/>
              <w:jc w:val="left"/>
            </w:pPr>
            <w:r>
              <w:t xml:space="preserve">Bewijs</w:t>
            </w:r>
          </w:p>
        </w:tc>
        <w:tc>
          <w:tcPr/>
          <w:p>
            <w:pPr>
              <w:pStyle w:val="Compact"/>
              <w:jc w:val="left"/>
            </w:pPr>
            <w:r>
              <w:t xml:space="preserve">Registratie EU / VS</w:t>
            </w:r>
          </w:p>
        </w:tc>
        <w:tc>
          <w:tcPr/>
          <w:p>
            <w:pPr>
              <w:pStyle w:val="Compact"/>
              <w:jc w:val="left"/>
            </w:pPr>
            <w:r>
              <w:t xml:space="preserve">Studies bij mensen / register</w:t>
            </w:r>
          </w:p>
        </w:tc>
      </w:tr>
      <w:tr>
        <w:tc>
          <w:tcPr/>
          <w:p>
            <w:pPr>
              <w:pStyle w:val="Compact"/>
              <w:jc w:val="left"/>
            </w:pPr>
            <w:r>
              <w:t xml:space="preserve">BPC-157</w:t>
            </w:r>
          </w:p>
        </w:tc>
        <w:tc>
          <w:tcPr/>
          <w:p>
            <w:pPr>
              <w:pStyle w:val="Compact"/>
              <w:jc w:val="left"/>
            </w:pPr>
            <w:r>
              <w:t xml:space="preserve">C</w:t>
            </w:r>
          </w:p>
        </w:tc>
        <w:tc>
          <w:tcPr/>
          <w:p>
            <w:pPr>
              <w:pStyle w:val="Compact"/>
              <w:jc w:val="left"/>
            </w:pPr>
            <w:r>
              <w:t xml:space="preserve">nee / nee</w:t>
            </w:r>
          </w:p>
        </w:tc>
        <w:tc>
          <w:tcPr/>
          <w:p>
            <w:pPr>
              <w:pStyle w:val="Compact"/>
              <w:jc w:val="left"/>
            </w:pPr>
            <w:r>
              <w:t xml:space="preserve">0 / 4 (opm.)</w:t>
            </w:r>
          </w:p>
        </w:tc>
      </w:tr>
      <w:tr>
        <w:tc>
          <w:tcPr/>
          <w:p>
            <w:pPr>
              <w:pStyle w:val="Compact"/>
              <w:jc w:val="left"/>
            </w:pPr>
            <w:r>
              <w:t xml:space="preserve">TB-500 / thymosine bèta-4</w:t>
            </w:r>
          </w:p>
        </w:tc>
        <w:tc>
          <w:tcPr/>
          <w:p>
            <w:pPr>
              <w:pStyle w:val="Compact"/>
              <w:jc w:val="left"/>
            </w:pPr>
            <w:r>
              <w:t xml:space="preserve">B (Tβ4) / D (TB-500)</w:t>
            </w:r>
          </w:p>
        </w:tc>
        <w:tc>
          <w:tcPr/>
          <w:p>
            <w:pPr>
              <w:pStyle w:val="Compact"/>
              <w:jc w:val="left"/>
            </w:pPr>
            <w:r>
              <w:t xml:space="preserve">nee / nee</w:t>
            </w:r>
          </w:p>
        </w:tc>
        <w:tc>
          <w:tcPr/>
          <w:p>
            <w:pPr>
              <w:pStyle w:val="Compact"/>
              <w:jc w:val="left"/>
            </w:pPr>
            <w:r>
              <w:t xml:space="preserve">9 / 18 (opm.)</w:t>
            </w:r>
          </w:p>
        </w:tc>
      </w:tr>
      <w:tr>
        <w:tc>
          <w:tcPr/>
          <w:p>
            <w:pPr>
              <w:pStyle w:val="Compact"/>
              <w:jc w:val="left"/>
            </w:pPr>
            <w:r>
              <w:t xml:space="preserve">Thymosine alfa-1</w:t>
            </w:r>
          </w:p>
        </w:tc>
        <w:tc>
          <w:tcPr/>
          <w:p>
            <w:pPr>
              <w:pStyle w:val="Compact"/>
              <w:jc w:val="left"/>
            </w:pPr>
            <w:r>
              <w:t xml:space="preserve">B</w:t>
            </w:r>
          </w:p>
        </w:tc>
        <w:tc>
          <w:tcPr/>
          <w:p>
            <w:pPr>
              <w:pStyle w:val="Compact"/>
              <w:jc w:val="left"/>
            </w:pPr>
            <w:r>
              <w:t xml:space="preserve">nee / nee (in China e.a. geregistreerd)</w:t>
            </w:r>
          </w:p>
        </w:tc>
        <w:tc>
          <w:tcPr/>
          <w:p>
            <w:pPr>
              <w:pStyle w:val="Compact"/>
              <w:jc w:val="left"/>
            </w:pPr>
            <w:r>
              <w:t xml:space="preserve">90 / 66</w:t>
            </w:r>
          </w:p>
        </w:tc>
      </w:tr>
      <w:tr>
        <w:tc>
          <w:tcPr/>
          <w:p>
            <w:pPr>
              <w:pStyle w:val="Compact"/>
              <w:jc w:val="left"/>
            </w:pPr>
            <w:r>
              <w:t xml:space="preserve">KPV</w:t>
            </w:r>
          </w:p>
        </w:tc>
        <w:tc>
          <w:tcPr/>
          <w:p>
            <w:pPr>
              <w:pStyle w:val="Compact"/>
              <w:jc w:val="left"/>
            </w:pPr>
            <w:r>
              <w:t xml:space="preserve">D</w:t>
            </w:r>
          </w:p>
        </w:tc>
        <w:tc>
          <w:tcPr/>
          <w:p>
            <w:pPr>
              <w:pStyle w:val="Compact"/>
              <w:jc w:val="left"/>
            </w:pPr>
            <w:r>
              <w:t xml:space="preserve">nee / nee</w:t>
            </w:r>
          </w:p>
        </w:tc>
        <w:tc>
          <w:tcPr/>
          <w:p>
            <w:pPr>
              <w:pStyle w:val="Compact"/>
              <w:jc w:val="left"/>
            </w:pPr>
            <w:r>
              <w:t xml:space="preserve">0 / 0</w:t>
            </w:r>
          </w:p>
        </w:tc>
      </w:tr>
      <w:tr>
        <w:tc>
          <w:tcPr/>
          <w:p>
            <w:pPr>
              <w:pStyle w:val="Compact"/>
              <w:jc w:val="left"/>
            </w:pPr>
            <w:r>
              <w:t xml:space="preserve">LL-37</w:t>
            </w:r>
          </w:p>
        </w:tc>
        <w:tc>
          <w:tcPr/>
          <w:p>
            <w:pPr>
              <w:pStyle w:val="Compact"/>
              <w:jc w:val="left"/>
            </w:pPr>
            <w:r>
              <w:t xml:space="preserve">B</w:t>
            </w:r>
          </w:p>
        </w:tc>
        <w:tc>
          <w:tcPr/>
          <w:p>
            <w:pPr>
              <w:pStyle w:val="Compact"/>
              <w:jc w:val="left"/>
            </w:pPr>
            <w:r>
              <w:t xml:space="preserve">nee / nee</w:t>
            </w:r>
          </w:p>
        </w:tc>
        <w:tc>
          <w:tcPr/>
          <w:p>
            <w:pPr>
              <w:pStyle w:val="Compact"/>
              <w:jc w:val="left"/>
            </w:pPr>
            <w:r>
              <w:t xml:space="preserve">91 / 20 (opm.)</w:t>
            </w:r>
          </w:p>
        </w:tc>
      </w:tr>
      <w:tr>
        <w:tc>
          <w:tcPr/>
          <w:p>
            <w:pPr>
              <w:pStyle w:val="Compact"/>
              <w:jc w:val="left"/>
            </w:pPr>
            <w:r>
              <w:t xml:space="preserve">ARA-290</w:t>
            </w:r>
          </w:p>
        </w:tc>
        <w:tc>
          <w:tcPr/>
          <w:p>
            <w:pPr>
              <w:pStyle w:val="Compact"/>
              <w:jc w:val="left"/>
            </w:pPr>
            <w:r>
              <w:t xml:space="preserve">B</w:t>
            </w:r>
          </w:p>
        </w:tc>
        <w:tc>
          <w:tcPr/>
          <w:p>
            <w:pPr>
              <w:pStyle w:val="Compact"/>
              <w:jc w:val="left"/>
            </w:pPr>
            <w:r>
              <w:t xml:space="preserve">nee / nee</w:t>
            </w:r>
          </w:p>
        </w:tc>
        <w:tc>
          <w:tcPr/>
          <w:p>
            <w:pPr>
              <w:pStyle w:val="Compact"/>
              <w:jc w:val="left"/>
            </w:pPr>
            <w:r>
              <w:t xml:space="preserve">5 / 5</w:t>
            </w:r>
          </w:p>
        </w:tc>
      </w:tr>
      <w:tr>
        <w:tc>
          <w:tcPr/>
          <w:p>
            <w:pPr>
              <w:pStyle w:val="Compact"/>
              <w:jc w:val="left"/>
            </w:pPr>
            <w:r>
              <w:t xml:space="preserve">Larazotide</w:t>
            </w:r>
          </w:p>
        </w:tc>
        <w:tc>
          <w:tcPr/>
          <w:p>
            <w:pPr>
              <w:pStyle w:val="Compact"/>
              <w:jc w:val="left"/>
            </w:pPr>
            <w:r>
              <w:t xml:space="preserve">B</w:t>
            </w:r>
          </w:p>
        </w:tc>
        <w:tc>
          <w:tcPr/>
          <w:p>
            <w:pPr>
              <w:pStyle w:val="Compact"/>
              <w:jc w:val="left"/>
            </w:pPr>
            <w:r>
              <w:t xml:space="preserve">nee / nee</w:t>
            </w:r>
          </w:p>
        </w:tc>
        <w:tc>
          <w:tcPr/>
          <w:p>
            <w:pPr>
              <w:pStyle w:val="Compact"/>
              <w:jc w:val="left"/>
            </w:pPr>
            <w:r>
              <w:t xml:space="preserve">4 / 10 (opm.)</w:t>
            </w:r>
          </w:p>
        </w:tc>
      </w:tr>
      <w:tr>
        <w:tc>
          <w:tcPr/>
          <w:p>
            <w:pPr>
              <w:pStyle w:val="Compact"/>
              <w:jc w:val="left"/>
            </w:pPr>
            <w:r>
              <w:t xml:space="preserve">Thymaline</w:t>
            </w:r>
          </w:p>
        </w:tc>
        <w:tc>
          <w:tcPr/>
          <w:p>
            <w:pPr>
              <w:pStyle w:val="Compact"/>
              <w:jc w:val="left"/>
            </w:pPr>
            <w:r>
              <w:t xml:space="preserve">C</w:t>
            </w:r>
          </w:p>
        </w:tc>
        <w:tc>
          <w:tcPr/>
          <w:p>
            <w:pPr>
              <w:pStyle w:val="Compact"/>
              <w:jc w:val="left"/>
            </w:pPr>
            <w:r>
              <w:t xml:space="preserve">nee / nee (in Rusland geregistreerd)</w:t>
            </w:r>
          </w:p>
        </w:tc>
        <w:tc>
          <w:tcPr/>
          <w:p>
            <w:pPr>
              <w:pStyle w:val="Compact"/>
              <w:jc w:val="left"/>
            </w:pPr>
            <w:r>
              <w:t xml:space="preserve">17 / 0</w:t>
            </w:r>
          </w:p>
        </w:tc>
      </w:tr>
    </w:tbl>
    <w:p>
      <w:pPr>
        <w:pStyle w:val="BodyText"/>
      </w:pPr>
      <w:r>
        <w:t xml:space="preserve">Opmerkingen bij de tabel: bij</w:t>
      </w:r>
      <w:r>
        <w:t xml:space="preserve"> </w:t>
      </w:r>
      <w:r>
        <w:rPr>
          <w:bCs/>
          <w:b/>
        </w:rPr>
        <w:t xml:space="preserve">BPC-157</w:t>
      </w:r>
      <w:r>
        <w:t xml:space="preserve"> </w:t>
      </w:r>
      <w:r>
        <w:t xml:space="preserve">voldeed geen enkele publicatie aan de filtercriteria van de automatische zoekopdracht; in werkelijkheid zijn er drie kleine, ongecontroleerde onderzoeken met samen ongeveer 30 personen. Bij</w:t>
      </w:r>
      <w:r>
        <w:t xml:space="preserve"> </w:t>
      </w:r>
      <w:r>
        <w:rPr>
          <w:bCs/>
          <w:b/>
        </w:rPr>
        <w:t xml:space="preserve">TB-500</w:t>
      </w:r>
      <w:r>
        <w:t xml:space="preserve"> </w:t>
      </w:r>
      <w:r>
        <w:t xml:space="preserve">betreffen de treffers het hele eiwit thymosine bèta-4 (slechts zes daarvan als werkzame stof); geen enkele onderzoekt TB-500. Bij</w:t>
      </w:r>
      <w:r>
        <w:t xml:space="preserve"> </w:t>
      </w:r>
      <w:r>
        <w:rPr>
          <w:bCs/>
          <w:b/>
        </w:rPr>
        <w:t xml:space="preserve">LL-37</w:t>
      </w:r>
      <w:r>
        <w:t xml:space="preserve"> </w:t>
      </w:r>
      <w:r>
        <w:t xml:space="preserve">meten de meeste treffers LL-37 alleen als laboratoriumwaarde, bijvoorbeeld in vitamine D-studies; studies waarin LL-37 zelf werd toegediend, zijn er in PubMed maar vijf, in het register twee. Bij</w:t>
      </w:r>
      <w:r>
        <w:t xml:space="preserve"> </w:t>
      </w:r>
      <w:r>
        <w:rPr>
          <w:bCs/>
          <w:b/>
        </w:rPr>
        <w:t xml:space="preserve">larazotide</w:t>
      </w:r>
      <w:r>
        <w:t xml:space="preserve"> </w:t>
      </w:r>
      <w:r>
        <w:t xml:space="preserve">vond de zoekopdracht 29 registraties, waarvan 19 een ander geneesmiddel met dezelfde vroegere ontwikkelingscode betreffen; de tabel noemt het gecorrigeerde getal.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Peptide</w:t>
            </w:r>
          </w:p>
        </w:tc>
        <w:tc>
          <w:tcPr/>
          <w:p>
            <w:pPr>
              <w:pStyle w:val="Compact"/>
              <w:jc w:val="left"/>
            </w:pPr>
            <w:r>
              <w:t xml:space="preserve">Kernresultaat</w:t>
            </w:r>
          </w:p>
        </w:tc>
        <w:tc>
          <w:tcPr/>
          <w:p>
            <w:pPr>
              <w:pStyle w:val="Compact"/>
              <w:jc w:val="left"/>
            </w:pPr>
            <w:r>
              <w:t xml:space="preserve">Belangrijkste risico</w:t>
            </w:r>
          </w:p>
        </w:tc>
      </w:tr>
      <w:tr>
        <w:tc>
          <w:tcPr/>
          <w:p>
            <w:pPr>
              <w:pStyle w:val="Compact"/>
              <w:jc w:val="left"/>
            </w:pPr>
            <w:r>
              <w:t xml:space="preserve">BPC-157</w:t>
            </w:r>
          </w:p>
        </w:tc>
        <w:tc>
          <w:tcPr/>
          <w:p>
            <w:pPr>
              <w:pStyle w:val="Compact"/>
              <w:jc w:val="left"/>
            </w:pPr>
            <w:r>
              <w:t xml:space="preserve">drie ongecontroleerde pilotonderzoeken, bewijs volgens overzicht zeer laag (PMID 42885452)</w:t>
            </w:r>
          </w:p>
        </w:tc>
        <w:tc>
          <w:tcPr/>
          <w:p>
            <w:pPr>
              <w:pStyle w:val="Compact"/>
              <w:jc w:val="left"/>
            </w:pPr>
            <w:r>
              <w:t xml:space="preserve">onbekende veiligheid op lange termijn, kwaliteit van de grijze markt</w:t>
            </w:r>
          </w:p>
        </w:tc>
      </w:tr>
      <w:tr>
        <w:tc>
          <w:tcPr/>
          <w:p>
            <w:pPr>
              <w:pStyle w:val="Compact"/>
              <w:jc w:val="left"/>
            </w:pPr>
            <w:r>
              <w:t xml:space="preserve">TB-500 / thymosine bèta-4</w:t>
            </w:r>
          </w:p>
        </w:tc>
        <w:tc>
          <w:tcPr/>
          <w:p>
            <w:pPr>
              <w:pStyle w:val="Compact"/>
              <w:jc w:val="left"/>
            </w:pPr>
            <w:r>
              <w:t xml:space="preserve">Tβ4 na hartinfarct: infarctgrootte niet significant kleiner (PMID 41229390); TB-500 niet getest</w:t>
            </w:r>
          </w:p>
        </w:tc>
        <w:tc>
          <w:tcPr/>
          <w:p>
            <w:pPr>
              <w:pStyle w:val="Compact"/>
              <w:jc w:val="left"/>
            </w:pPr>
            <w:r>
              <w:t xml:space="preserve">onduidelijke inhoud, theoretisch tumorbevordering</w:t>
            </w:r>
          </w:p>
        </w:tc>
      </w:tr>
      <w:tr>
        <w:tc>
          <w:tcPr/>
          <w:p>
            <w:pPr>
              <w:pStyle w:val="Compact"/>
              <w:jc w:val="left"/>
            </w:pPr>
            <w:r>
              <w:t xml:space="preserve">Thymosine alfa-1</w:t>
            </w:r>
          </w:p>
        </w:tc>
        <w:tc>
          <w:tcPr/>
          <w:p>
            <w:pPr>
              <w:pStyle w:val="Compact"/>
              <w:jc w:val="left"/>
            </w:pPr>
            <w:r>
              <w:t xml:space="preserve">TESTS bij sepsis: sterfte na 28 dagen 23,4% vs. 24,1%, geen verschil (PMID 39814420)</w:t>
            </w:r>
          </w:p>
        </w:tc>
        <w:tc>
          <w:tcPr/>
          <w:p>
            <w:pPr>
              <w:pStyle w:val="Compact"/>
              <w:jc w:val="left"/>
            </w:pPr>
            <w:r>
              <w:t xml:space="preserve">mogelijke nadelen in subgroepen; grijze markt</w:t>
            </w:r>
          </w:p>
        </w:tc>
      </w:tr>
      <w:tr>
        <w:tc>
          <w:tcPr/>
          <w:p>
            <w:pPr>
              <w:pStyle w:val="Compact"/>
              <w:jc w:val="left"/>
            </w:pPr>
            <w:r>
              <w:t xml:space="preserve">KPV</w:t>
            </w:r>
          </w:p>
        </w:tc>
        <w:tc>
          <w:tcPr/>
          <w:p>
            <w:pPr>
              <w:pStyle w:val="Compact"/>
              <w:jc w:val="left"/>
            </w:pPr>
            <w:r>
              <w:t xml:space="preserve">alleen dierlijke gegevens: minder darmontsteking bij muizen (PMID 18061177)</w:t>
            </w:r>
          </w:p>
        </w:tc>
        <w:tc>
          <w:tcPr/>
          <w:p>
            <w:pPr>
              <w:pStyle w:val="Compact"/>
              <w:jc w:val="left"/>
            </w:pPr>
            <w:r>
              <w:t xml:space="preserve">volledig onbekend profiel bij mensen</w:t>
            </w:r>
          </w:p>
        </w:tc>
      </w:tr>
      <w:tr>
        <w:tc>
          <w:tcPr/>
          <w:p>
            <w:pPr>
              <w:pStyle w:val="Compact"/>
              <w:jc w:val="left"/>
            </w:pPr>
            <w:r>
              <w:t xml:space="preserve">LL-37</w:t>
            </w:r>
          </w:p>
        </w:tc>
        <w:tc>
          <w:tcPr/>
          <w:p>
            <w:pPr>
              <w:pStyle w:val="Compact"/>
              <w:jc w:val="left"/>
            </w:pPr>
            <w:r>
              <w:t xml:space="preserve">HEAL LL-37: beenzweren genazen niet beter dan onder placebo (PMID 34687253)</w:t>
            </w:r>
          </w:p>
        </w:tc>
        <w:tc>
          <w:tcPr/>
          <w:p>
            <w:pPr>
              <w:pStyle w:val="Compact"/>
              <w:jc w:val="left"/>
            </w:pPr>
            <w:r>
              <w:t xml:space="preserve">ontstekings- en auto-immuunreacties</w:t>
            </w:r>
          </w:p>
        </w:tc>
      </w:tr>
      <w:tr>
        <w:tc>
          <w:tcPr/>
          <w:p>
            <w:pPr>
              <w:pStyle w:val="Compact"/>
              <w:jc w:val="left"/>
            </w:pPr>
            <w:r>
              <w:t xml:space="preserve">ARA-290</w:t>
            </w:r>
          </w:p>
        </w:tc>
        <w:tc>
          <w:tcPr/>
          <w:p>
            <w:pPr>
              <w:pStyle w:val="Compact"/>
              <w:jc w:val="left"/>
            </w:pPr>
            <w:r>
              <w:t xml:space="preserve">fase 2b: zenuwvezels slechts onder één van drie doses toegenomen (PMID 28475703)</w:t>
            </w:r>
          </w:p>
        </w:tc>
        <w:tc>
          <w:tcPr/>
          <w:p>
            <w:pPr>
              <w:pStyle w:val="Compact"/>
              <w:jc w:val="left"/>
            </w:pPr>
            <w:r>
              <w:t xml:space="preserve">nauwelijks gegevens na twaalf weken</w:t>
            </w:r>
          </w:p>
        </w:tc>
      </w:tr>
      <w:tr>
        <w:tc>
          <w:tcPr/>
          <w:p>
            <w:pPr>
              <w:pStyle w:val="Compact"/>
              <w:jc w:val="left"/>
            </w:pPr>
            <w:r>
              <w:t xml:space="preserve">Larazotide</w:t>
            </w:r>
          </w:p>
        </w:tc>
        <w:tc>
          <w:tcPr/>
          <w:p>
            <w:pPr>
              <w:pStyle w:val="Compact"/>
              <w:jc w:val="left"/>
            </w:pPr>
            <w:r>
              <w:t xml:space="preserve">alleen de laagste van drie doses beter dan placebo (PMID 25683116); fase 3 afgebroken</w:t>
            </w:r>
          </w:p>
        </w:tc>
        <w:tc>
          <w:tcPr/>
          <w:p>
            <w:pPr>
              <w:pStyle w:val="Compact"/>
              <w:jc w:val="left"/>
            </w:pPr>
            <w:r>
              <w:t xml:space="preserve">versoepeld glutenvrij dieet</w:t>
            </w:r>
          </w:p>
        </w:tc>
      </w:tr>
      <w:tr>
        <w:tc>
          <w:tcPr/>
          <w:p>
            <w:pPr>
              <w:pStyle w:val="Compact"/>
              <w:jc w:val="left"/>
            </w:pPr>
            <w:r>
              <w:t xml:space="preserve">Thymaline</w:t>
            </w:r>
          </w:p>
        </w:tc>
        <w:tc>
          <w:tcPr/>
          <w:p>
            <w:pPr>
              <w:pStyle w:val="Compact"/>
              <w:jc w:val="left"/>
            </w:pPr>
            <w:r>
              <w:t xml:space="preserve">Russisch-Oekraïense observatie: lagere sterfte, toewijzing onduidelijk (PMID 14523363)</w:t>
            </w:r>
          </w:p>
        </w:tc>
        <w:tc>
          <w:tcPr/>
          <w:p>
            <w:pPr>
              <w:pStyle w:val="Compact"/>
              <w:jc w:val="left"/>
            </w:pPr>
            <w:r>
              <w:t xml:space="preserve">dierlijk extract, risico’s per partij</w:t>
            </w:r>
          </w:p>
        </w:tc>
      </w:tr>
    </w:tbl>
    <w:bookmarkEnd w:id="936"/>
    <w:bookmarkStart w:id="937" w:name="c.-groeihormoonas"/>
    <w:p>
      <w:pPr>
        <w:pStyle w:val="Heading3"/>
      </w:pPr>
      <w:r>
        <w:t xml:space="preserve">C. Groeihormoonas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Peptide</w:t>
            </w:r>
          </w:p>
        </w:tc>
        <w:tc>
          <w:tcPr/>
          <w:p>
            <w:pPr>
              <w:pStyle w:val="Compact"/>
              <w:jc w:val="left"/>
            </w:pPr>
            <w:r>
              <w:t xml:space="preserve">Bewijs</w:t>
            </w:r>
          </w:p>
        </w:tc>
        <w:tc>
          <w:tcPr/>
          <w:p>
            <w:pPr>
              <w:pStyle w:val="Compact"/>
              <w:jc w:val="left"/>
            </w:pPr>
            <w:r>
              <w:t xml:space="preserve">Registratie EU / VS</w:t>
            </w:r>
          </w:p>
        </w:tc>
        <w:tc>
          <w:tcPr/>
          <w:p>
            <w:pPr>
              <w:pStyle w:val="Compact"/>
              <w:jc w:val="left"/>
            </w:pPr>
            <w:r>
              <w:t xml:space="preserve">Studies bij mensen / register</w:t>
            </w:r>
          </w:p>
        </w:tc>
      </w:tr>
      <w:tr>
        <w:tc>
          <w:tcPr/>
          <w:p>
            <w:pPr>
              <w:pStyle w:val="Compact"/>
              <w:jc w:val="left"/>
            </w:pPr>
            <w:r>
              <w:t xml:space="preserve">Sermoreline</w:t>
            </w:r>
          </w:p>
        </w:tc>
        <w:tc>
          <w:tcPr/>
          <w:p>
            <w:pPr>
              <w:pStyle w:val="Compact"/>
              <w:jc w:val="left"/>
            </w:pPr>
            <w:r>
              <w:t xml:space="preserve">B</w:t>
            </w:r>
          </w:p>
        </w:tc>
        <w:tc>
          <w:tcPr/>
          <w:p>
            <w:pPr>
              <w:pStyle w:val="Compact"/>
              <w:jc w:val="left"/>
            </w:pPr>
            <w:r>
              <w:t xml:space="preserve">nee / vroeger ja, van de markt</w:t>
            </w:r>
          </w:p>
        </w:tc>
        <w:tc>
          <w:tcPr/>
          <w:p>
            <w:pPr>
              <w:pStyle w:val="Compact"/>
              <w:jc w:val="left"/>
            </w:pPr>
            <w:r>
              <w:t xml:space="preserve">0 / 27 (opm.)</w:t>
            </w:r>
          </w:p>
        </w:tc>
      </w:tr>
      <w:tr>
        <w:tc>
          <w:tcPr/>
          <w:p>
            <w:pPr>
              <w:pStyle w:val="Compact"/>
              <w:jc w:val="left"/>
            </w:pPr>
            <w:r>
              <w:t xml:space="preserve">Tesamoreline</w:t>
            </w:r>
          </w:p>
        </w:tc>
        <w:tc>
          <w:tcPr/>
          <w:p>
            <w:pPr>
              <w:pStyle w:val="Compact"/>
              <w:jc w:val="left"/>
            </w:pPr>
            <w:r>
              <w:t xml:space="preserve">A</w:t>
            </w:r>
          </w:p>
        </w:tc>
        <w:tc>
          <w:tcPr/>
          <w:p>
            <w:pPr>
              <w:pStyle w:val="Compact"/>
              <w:jc w:val="left"/>
            </w:pPr>
            <w:r>
              <w:t xml:space="preserve">nee / ja (hiv-lipodystrofie)</w:t>
            </w:r>
          </w:p>
        </w:tc>
        <w:tc>
          <w:tcPr/>
          <w:p>
            <w:pPr>
              <w:pStyle w:val="Compact"/>
              <w:jc w:val="left"/>
            </w:pPr>
            <w:r>
              <w:t xml:space="preserve">23 / 23</w:t>
            </w:r>
          </w:p>
        </w:tc>
      </w:tr>
      <w:tr>
        <w:tc>
          <w:tcPr/>
          <w:p>
            <w:pPr>
              <w:pStyle w:val="Compact"/>
              <w:jc w:val="left"/>
            </w:pPr>
            <w:r>
              <w:t xml:space="preserve">CJC-1295</w:t>
            </w:r>
          </w:p>
        </w:tc>
        <w:tc>
          <w:tcPr/>
          <w:p>
            <w:pPr>
              <w:pStyle w:val="Compact"/>
              <w:jc w:val="left"/>
            </w:pPr>
            <w:r>
              <w:t xml:space="preserve">C</w:t>
            </w:r>
          </w:p>
        </w:tc>
        <w:tc>
          <w:tcPr/>
          <w:p>
            <w:pPr>
              <w:pStyle w:val="Compact"/>
              <w:jc w:val="left"/>
            </w:pPr>
            <w:r>
              <w:t xml:space="preserve">nee / nee</w:t>
            </w:r>
          </w:p>
        </w:tc>
        <w:tc>
          <w:tcPr/>
          <w:p>
            <w:pPr>
              <w:pStyle w:val="Compact"/>
              <w:jc w:val="left"/>
            </w:pPr>
            <w:r>
              <w:t xml:space="preserve">2 / 1</w:t>
            </w:r>
          </w:p>
        </w:tc>
      </w:tr>
      <w:tr>
        <w:tc>
          <w:tcPr/>
          <w:p>
            <w:pPr>
              <w:pStyle w:val="Compact"/>
              <w:jc w:val="left"/>
            </w:pPr>
            <w:r>
              <w:t xml:space="preserve">Ipamoreline</w:t>
            </w:r>
          </w:p>
        </w:tc>
        <w:tc>
          <w:tcPr/>
          <w:p>
            <w:pPr>
              <w:pStyle w:val="Compact"/>
              <w:jc w:val="left"/>
            </w:pPr>
            <w:r>
              <w:t xml:space="preserve">B</w:t>
            </w:r>
          </w:p>
        </w:tc>
        <w:tc>
          <w:tcPr/>
          <w:p>
            <w:pPr>
              <w:pStyle w:val="Compact"/>
              <w:jc w:val="left"/>
            </w:pPr>
            <w:r>
              <w:t xml:space="preserve">nee / nee</w:t>
            </w:r>
          </w:p>
        </w:tc>
        <w:tc>
          <w:tcPr/>
          <w:p>
            <w:pPr>
              <w:pStyle w:val="Compact"/>
              <w:jc w:val="left"/>
            </w:pPr>
            <w:r>
              <w:t xml:space="preserve">2 / 3</w:t>
            </w:r>
          </w:p>
        </w:tc>
      </w:tr>
      <w:tr>
        <w:tc>
          <w:tcPr/>
          <w:p>
            <w:pPr>
              <w:pStyle w:val="Compact"/>
              <w:jc w:val="left"/>
            </w:pPr>
            <w:r>
              <w:t xml:space="preserve">GHRP-2</w:t>
            </w:r>
          </w:p>
        </w:tc>
        <w:tc>
          <w:tcPr/>
          <w:p>
            <w:pPr>
              <w:pStyle w:val="Compact"/>
              <w:jc w:val="left"/>
            </w:pPr>
            <w:r>
              <w:t xml:space="preserve">B</w:t>
            </w:r>
          </w:p>
        </w:tc>
        <w:tc>
          <w:tcPr/>
          <w:p>
            <w:pPr>
              <w:pStyle w:val="Compact"/>
              <w:jc w:val="left"/>
            </w:pPr>
            <w:r>
              <w:t xml:space="preserve">nee / nee (Japan: diagnosticum)</w:t>
            </w:r>
          </w:p>
        </w:tc>
        <w:tc>
          <w:tcPr/>
          <w:p>
            <w:pPr>
              <w:pStyle w:val="Compact"/>
              <w:jc w:val="left"/>
            </w:pPr>
            <w:r>
              <w:t xml:space="preserve">55 / 0 (opm.)</w:t>
            </w:r>
          </w:p>
        </w:tc>
      </w:tr>
      <w:tr>
        <w:tc>
          <w:tcPr/>
          <w:p>
            <w:pPr>
              <w:pStyle w:val="Compact"/>
              <w:jc w:val="left"/>
            </w:pPr>
            <w:r>
              <w:t xml:space="preserve">GHRP-6</w:t>
            </w:r>
          </w:p>
        </w:tc>
        <w:tc>
          <w:tcPr/>
          <w:p>
            <w:pPr>
              <w:pStyle w:val="Compact"/>
              <w:jc w:val="left"/>
            </w:pPr>
            <w:r>
              <w:t xml:space="preserve">C</w:t>
            </w:r>
          </w:p>
        </w:tc>
        <w:tc>
          <w:tcPr/>
          <w:p>
            <w:pPr>
              <w:pStyle w:val="Compact"/>
              <w:jc w:val="left"/>
            </w:pPr>
            <w:r>
              <w:t xml:space="preserve">nee / nee</w:t>
            </w:r>
          </w:p>
        </w:tc>
        <w:tc>
          <w:tcPr/>
          <w:p>
            <w:pPr>
              <w:pStyle w:val="Compact"/>
              <w:jc w:val="left"/>
            </w:pPr>
            <w:r>
              <w:t xml:space="preserve">40 / 0 (opm.)</w:t>
            </w:r>
          </w:p>
        </w:tc>
      </w:tr>
      <w:tr>
        <w:tc>
          <w:tcPr/>
          <w:p>
            <w:pPr>
              <w:pStyle w:val="Compact"/>
              <w:jc w:val="left"/>
            </w:pPr>
            <w:r>
              <w:t xml:space="preserve">Hexareline</w:t>
            </w:r>
          </w:p>
        </w:tc>
        <w:tc>
          <w:tcPr/>
          <w:p>
            <w:pPr>
              <w:pStyle w:val="Compact"/>
              <w:jc w:val="left"/>
            </w:pPr>
            <w:r>
              <w:t xml:space="preserve">C</w:t>
            </w:r>
          </w:p>
        </w:tc>
        <w:tc>
          <w:tcPr/>
          <w:p>
            <w:pPr>
              <w:pStyle w:val="Compact"/>
              <w:jc w:val="left"/>
            </w:pPr>
            <w:r>
              <w:t xml:space="preserve">nee / nee</w:t>
            </w:r>
          </w:p>
        </w:tc>
        <w:tc>
          <w:tcPr/>
          <w:p>
            <w:pPr>
              <w:pStyle w:val="Compact"/>
              <w:jc w:val="left"/>
            </w:pPr>
            <w:r>
              <w:t xml:space="preserve">58 / 0 (opm.)</w:t>
            </w:r>
          </w:p>
        </w:tc>
      </w:tr>
      <w:tr>
        <w:tc>
          <w:tcPr/>
          <w:p>
            <w:pPr>
              <w:pStyle w:val="Compact"/>
              <w:jc w:val="left"/>
            </w:pPr>
            <w:r>
              <w:t xml:space="preserve">Macimoreline</w:t>
            </w:r>
          </w:p>
        </w:tc>
        <w:tc>
          <w:tcPr/>
          <w:p>
            <w:pPr>
              <w:pStyle w:val="Compact"/>
              <w:jc w:val="left"/>
            </w:pPr>
            <w:r>
              <w:t xml:space="preserve">A</w:t>
            </w:r>
          </w:p>
        </w:tc>
        <w:tc>
          <w:tcPr/>
          <w:p>
            <w:pPr>
              <w:pStyle w:val="Compact"/>
              <w:jc w:val="left"/>
            </w:pPr>
            <w:r>
              <w:t xml:space="preserve">ja / ja (alleen diagnosticum)</w:t>
            </w:r>
          </w:p>
        </w:tc>
        <w:tc>
          <w:tcPr/>
          <w:p>
            <w:pPr>
              <w:pStyle w:val="Compact"/>
              <w:jc w:val="left"/>
            </w:pPr>
            <w:r>
              <w:t xml:space="preserve">4 / 6</w:t>
            </w:r>
          </w:p>
        </w:tc>
      </w:tr>
      <w:tr>
        <w:tc>
          <w:tcPr/>
          <w:p>
            <w:pPr>
              <w:pStyle w:val="Compact"/>
              <w:jc w:val="left"/>
            </w:pPr>
            <w:r>
              <w:t xml:space="preserve">Mecasermine (IGF-1)</w:t>
            </w:r>
          </w:p>
        </w:tc>
        <w:tc>
          <w:tcPr/>
          <w:p>
            <w:pPr>
              <w:pStyle w:val="Compact"/>
              <w:jc w:val="left"/>
            </w:pPr>
            <w:r>
              <w:t xml:space="preserve">A</w:t>
            </w:r>
          </w:p>
        </w:tc>
        <w:tc>
          <w:tcPr/>
          <w:p>
            <w:pPr>
              <w:pStyle w:val="Compact"/>
              <w:jc w:val="left"/>
            </w:pPr>
            <w:r>
              <w:t xml:space="preserve">ja / ja</w:t>
            </w:r>
          </w:p>
        </w:tc>
        <w:tc>
          <w:tcPr/>
          <w:p>
            <w:pPr>
              <w:pStyle w:val="Compact"/>
              <w:jc w:val="left"/>
            </w:pPr>
            <w:r>
              <w:t xml:space="preserve">21 / 37</w:t>
            </w:r>
          </w:p>
        </w:tc>
      </w:tr>
      <w:tr>
        <w:tc>
          <w:tcPr/>
          <w:p>
            <w:pPr>
              <w:pStyle w:val="Compact"/>
              <w:jc w:val="left"/>
            </w:pPr>
            <w:r>
              <w:t xml:space="preserve">IGF-1 LR3</w:t>
            </w:r>
          </w:p>
        </w:tc>
        <w:tc>
          <w:tcPr/>
          <w:p>
            <w:pPr>
              <w:pStyle w:val="Compact"/>
              <w:jc w:val="left"/>
            </w:pPr>
            <w:r>
              <w:t xml:space="preserve">D</w:t>
            </w:r>
          </w:p>
        </w:tc>
        <w:tc>
          <w:tcPr/>
          <w:p>
            <w:pPr>
              <w:pStyle w:val="Compact"/>
              <w:jc w:val="left"/>
            </w:pPr>
            <w:r>
              <w:t xml:space="preserve">nee / nee</w:t>
            </w:r>
          </w:p>
        </w:tc>
        <w:tc>
          <w:tcPr/>
          <w:p>
            <w:pPr>
              <w:pStyle w:val="Compact"/>
              <w:jc w:val="left"/>
            </w:pPr>
            <w:r>
              <w:t xml:space="preserve">0 / 0</w:t>
            </w:r>
          </w:p>
        </w:tc>
      </w:tr>
      <w:tr>
        <w:tc>
          <w:tcPr/>
          <w:p>
            <w:pPr>
              <w:pStyle w:val="Compact"/>
              <w:jc w:val="left"/>
            </w:pPr>
            <w:r>
              <w:t xml:space="preserve">Ibutamoren (geen peptide)</w:t>
            </w:r>
          </w:p>
        </w:tc>
        <w:tc>
          <w:tcPr/>
          <w:p>
            <w:pPr>
              <w:pStyle w:val="Compact"/>
              <w:jc w:val="left"/>
            </w:pPr>
            <w:r>
              <w:t xml:space="preserve">B</w:t>
            </w:r>
          </w:p>
        </w:tc>
        <w:tc>
          <w:tcPr/>
          <w:p>
            <w:pPr>
              <w:pStyle w:val="Compact"/>
              <w:jc w:val="left"/>
            </w:pPr>
            <w:r>
              <w:t xml:space="preserve">nee / nee</w:t>
            </w:r>
          </w:p>
        </w:tc>
        <w:tc>
          <w:tcPr/>
          <w:p>
            <w:pPr>
              <w:pStyle w:val="Compact"/>
              <w:jc w:val="left"/>
            </w:pPr>
            <w:r>
              <w:t xml:space="preserve">19 / 8</w:t>
            </w:r>
          </w:p>
        </w:tc>
      </w:tr>
    </w:tbl>
    <w:p>
      <w:pPr>
        <w:pStyle w:val="BodyText"/>
      </w:pPr>
      <w:r>
        <w:t xml:space="preserve">Opmerkingen bij de tabel: bij</w:t>
      </w:r>
      <w:r>
        <w:t xml:space="preserve"> </w:t>
      </w:r>
      <w:r>
        <w:rPr>
          <w:bCs/>
          <w:b/>
        </w:rPr>
        <w:t xml:space="preserve">sermoreline</w:t>
      </w:r>
      <w:r>
        <w:t xml:space="preserve"> </w:t>
      </w:r>
      <w:r>
        <w:t xml:space="preserve">vindt de zoekopdracht op naam geen studie bij mensen, omdat de meeste artikelen verschenen onder „GHRH(1-29)” of „GRF 1-29”; gericht nagezocht gaat het om enkele tientallen kleine studies, meestal van vóór 2000. Veel van de 27 registertreffers betreffen daarentegen tesamoreline of GHRH-tests in het algemeen. Bij</w:t>
      </w:r>
      <w:r>
        <w:t xml:space="preserve"> </w:t>
      </w:r>
      <w:r>
        <w:rPr>
          <w:bCs/>
          <w:b/>
        </w:rPr>
        <w:t xml:space="preserve">GHRP-2, GHRP-6 en hexareline</w:t>
      </w:r>
      <w:r>
        <w:t xml:space="preserve"> </w:t>
      </w:r>
      <w:r>
        <w:t xml:space="preserve">gebruiken bijna alle studies de stof alleen als eenmalige testsubstantie voor onderzoek naar de hormoonregulatie; over een nut zeggen ze niets.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Peptide</w:t>
            </w:r>
          </w:p>
        </w:tc>
        <w:tc>
          <w:tcPr/>
          <w:p>
            <w:pPr>
              <w:pStyle w:val="Compact"/>
              <w:jc w:val="left"/>
            </w:pPr>
            <w:r>
              <w:t xml:space="preserve">Kernresultaat</w:t>
            </w:r>
          </w:p>
        </w:tc>
        <w:tc>
          <w:tcPr/>
          <w:p>
            <w:pPr>
              <w:pStyle w:val="Compact"/>
              <w:jc w:val="left"/>
            </w:pPr>
            <w:r>
              <w:t xml:space="preserve">Belangrijkste risico</w:t>
            </w:r>
          </w:p>
        </w:tc>
      </w:tr>
      <w:tr>
        <w:tc>
          <w:tcPr/>
          <w:p>
            <w:pPr>
              <w:pStyle w:val="Compact"/>
              <w:jc w:val="left"/>
            </w:pPr>
            <w:r>
              <w:t xml:space="preserve">Sermoreline</w:t>
            </w:r>
          </w:p>
        </w:tc>
        <w:tc>
          <w:tcPr/>
          <w:p>
            <w:pPr>
              <w:pStyle w:val="Compact"/>
              <w:jc w:val="left"/>
            </w:pPr>
            <w:r>
              <w:t xml:space="preserve">110 kinderen met GH-tekort: groei van 4,1 naar 7,2 cm/jaar (PMID 8772599)</w:t>
            </w:r>
          </w:p>
        </w:tc>
        <w:tc>
          <w:tcPr/>
          <w:p>
            <w:pPr>
              <w:pStyle w:val="Compact"/>
              <w:jc w:val="left"/>
            </w:pPr>
            <w:r>
              <w:t xml:space="preserve">flush; langetermijngevolgen bij volwassenen onopgehelderd</w:t>
            </w:r>
          </w:p>
        </w:tc>
      </w:tr>
      <w:tr>
        <w:tc>
          <w:tcPr/>
          <w:p>
            <w:pPr>
              <w:pStyle w:val="Compact"/>
              <w:jc w:val="left"/>
            </w:pPr>
            <w:r>
              <w:t xml:space="preserve">Tesamoreline</w:t>
            </w:r>
          </w:p>
        </w:tc>
        <w:tc>
          <w:tcPr/>
          <w:p>
            <w:pPr>
              <w:pStyle w:val="Compact"/>
              <w:jc w:val="left"/>
            </w:pPr>
            <w:r>
              <w:t xml:space="preserve">twee fase 3-studies met 806 personen: visceraal buikvet −15,4% ten opzichte van placebo (PMID 20554713)</w:t>
            </w:r>
          </w:p>
        </w:tc>
        <w:tc>
          <w:tcPr/>
          <w:p>
            <w:pPr>
              <w:pStyle w:val="Compact"/>
              <w:jc w:val="left"/>
            </w:pPr>
            <w:r>
              <w:t xml:space="preserve">gewrichtspijn, vochtophoping, bloedsuiker</w:t>
            </w:r>
          </w:p>
        </w:tc>
      </w:tr>
      <w:tr>
        <w:tc>
          <w:tcPr/>
          <w:p>
            <w:pPr>
              <w:pStyle w:val="Compact"/>
              <w:jc w:val="left"/>
            </w:pPr>
            <w:r>
              <w:t xml:space="preserve">CJC-1295</w:t>
            </w:r>
          </w:p>
        </w:tc>
        <w:tc>
          <w:tcPr/>
          <w:p>
            <w:pPr>
              <w:pStyle w:val="Compact"/>
              <w:jc w:val="left"/>
            </w:pPr>
            <w:r>
              <w:t xml:space="preserve">eenmalige injectie: GH 2- tot 10-voudig, IGF-1 1,5- tot 3-voudig verhoogd (PMID 16352683)</w:t>
            </w:r>
          </w:p>
        </w:tc>
        <w:tc>
          <w:tcPr/>
          <w:p>
            <w:pPr>
              <w:pStyle w:val="Compact"/>
              <w:jc w:val="left"/>
            </w:pPr>
            <w:r>
              <w:t xml:space="preserve">aanhoudende stimulatie niet onderzocht, onduidelijke inhoud</w:t>
            </w:r>
          </w:p>
        </w:tc>
      </w:tr>
      <w:tr>
        <w:tc>
          <w:tcPr/>
          <w:p>
            <w:pPr>
              <w:pStyle w:val="Compact"/>
              <w:jc w:val="left"/>
            </w:pPr>
            <w:r>
              <w:t xml:space="preserve">Ipamoreline</w:t>
            </w:r>
          </w:p>
        </w:tc>
        <w:tc>
          <w:tcPr/>
          <w:p>
            <w:pPr>
              <w:pStyle w:val="Compact"/>
              <w:jc w:val="left"/>
            </w:pPr>
            <w:r>
              <w:t xml:space="preserve">fase 2 na darmoperatie: geen significant nut (PMID 25331030)</w:t>
            </w:r>
          </w:p>
        </w:tc>
        <w:tc>
          <w:tcPr/>
          <w:p>
            <w:pPr>
              <w:pStyle w:val="Compact"/>
              <w:jc w:val="left"/>
            </w:pPr>
            <w:r>
              <w:t xml:space="preserve">geen gegevens over langdurig gebruik; gewijzigde moleculen</w:t>
            </w:r>
          </w:p>
        </w:tc>
      </w:tr>
      <w:tr>
        <w:tc>
          <w:tcPr/>
          <w:p>
            <w:pPr>
              <w:pStyle w:val="Compact"/>
              <w:jc w:val="left"/>
            </w:pPr>
            <w:r>
              <w:t xml:space="preserve">GHRP-2</w:t>
            </w:r>
          </w:p>
        </w:tc>
        <w:tc>
          <w:tcPr/>
          <w:p>
            <w:pPr>
              <w:pStyle w:val="Compact"/>
              <w:jc w:val="left"/>
            </w:pPr>
            <w:r>
              <w:t xml:space="preserve">als test onderscheidde het GH-tekort betrouwbaar van gezonde personen (PMID 17609397)</w:t>
            </w:r>
          </w:p>
        </w:tc>
        <w:tc>
          <w:tcPr/>
          <w:p>
            <w:pPr>
              <w:pStyle w:val="Compact"/>
              <w:jc w:val="left"/>
            </w:pPr>
            <w:r>
              <w:t xml:space="preserve">vreetbuien, stijging van stresshormonen</w:t>
            </w:r>
          </w:p>
        </w:tc>
      </w:tr>
      <w:tr>
        <w:tc>
          <w:tcPr/>
          <w:p>
            <w:pPr>
              <w:pStyle w:val="Compact"/>
              <w:jc w:val="left"/>
            </w:pPr>
            <w:r>
              <w:t xml:space="preserve">GHRP-6</w:t>
            </w:r>
          </w:p>
        </w:tc>
        <w:tc>
          <w:tcPr/>
          <w:p>
            <w:pPr>
              <w:pStyle w:val="Compact"/>
              <w:jc w:val="left"/>
            </w:pPr>
            <w:r>
              <w:t xml:space="preserve">combinatietest herkende GH-tekort betrouwbaar (PMID 11030292)</w:t>
            </w:r>
          </w:p>
        </w:tc>
        <w:tc>
          <w:tcPr/>
          <w:p>
            <w:pPr>
              <w:pStyle w:val="Compact"/>
              <w:jc w:val="left"/>
            </w:pPr>
            <w:r>
              <w:t xml:space="preserve">flush, hormoonstijgingen, honger</w:t>
            </w:r>
          </w:p>
        </w:tc>
      </w:tr>
      <w:tr>
        <w:tc>
          <w:tcPr/>
          <w:p>
            <w:pPr>
              <w:pStyle w:val="Compact"/>
              <w:jc w:val="left"/>
            </w:pPr>
            <w:r>
              <w:t xml:space="preserve">Hexareline</w:t>
            </w:r>
          </w:p>
        </w:tc>
        <w:tc>
          <w:tcPr/>
          <w:p>
            <w:pPr>
              <w:pStyle w:val="Compact"/>
              <w:jc w:val="left"/>
            </w:pPr>
            <w:r>
              <w:t xml:space="preserve">over 16 weken verlies van werking, lichaamssamenstelling onveranderd (PMID 9589671)</w:t>
            </w:r>
          </w:p>
        </w:tc>
        <w:tc>
          <w:tcPr/>
          <w:p>
            <w:pPr>
              <w:pStyle w:val="Compact"/>
              <w:jc w:val="left"/>
            </w:pPr>
            <w:r>
              <w:t xml:space="preserve">stresshormonen, prolactine, verlies van werking</w:t>
            </w:r>
          </w:p>
        </w:tc>
      </w:tr>
      <w:tr>
        <w:tc>
          <w:tcPr/>
          <w:p>
            <w:pPr>
              <w:pStyle w:val="Compact"/>
              <w:jc w:val="left"/>
            </w:pPr>
            <w:r>
              <w:t xml:space="preserve">Macimoreline</w:t>
            </w:r>
          </w:p>
        </w:tc>
        <w:tc>
          <w:tcPr/>
          <w:p>
            <w:pPr>
              <w:pStyle w:val="Compact"/>
              <w:jc w:val="left"/>
            </w:pPr>
            <w:r>
              <w:t xml:space="preserve">test met 87% sensitiviteit en 96% specificiteit ten opzichte van de insulinetest (PMID 29860473)</w:t>
            </w:r>
          </w:p>
        </w:tc>
        <w:tc>
          <w:tcPr/>
          <w:p>
            <w:pPr>
              <w:pStyle w:val="Compact"/>
              <w:jc w:val="left"/>
            </w:pPr>
            <w:r>
              <w:t xml:space="preserve">QT-verlenging bij overdosis</w:t>
            </w:r>
          </w:p>
        </w:tc>
      </w:tr>
      <w:tr>
        <w:tc>
          <w:tcPr/>
          <w:p>
            <w:pPr>
              <w:pStyle w:val="Compact"/>
              <w:jc w:val="left"/>
            </w:pPr>
            <w:r>
              <w:t xml:space="preserve">Mecasermine (IGF-1)</w:t>
            </w:r>
          </w:p>
        </w:tc>
        <w:tc>
          <w:tcPr/>
          <w:p>
            <w:pPr>
              <w:pStyle w:val="Compact"/>
              <w:jc w:val="left"/>
            </w:pPr>
            <w:r>
              <w:t xml:space="preserve">76 kinderen met GH-resistentie: groei van 2,8 naar 8,0 cm/jaar (PMID 17192294)</w:t>
            </w:r>
          </w:p>
        </w:tc>
        <w:tc>
          <w:tcPr/>
          <w:p>
            <w:pPr>
              <w:pStyle w:val="Compact"/>
              <w:jc w:val="left"/>
            </w:pPr>
            <w:r>
              <w:t xml:space="preserve">hypoglykemie; waarschuwing nieuwvormingen</w:t>
            </w:r>
          </w:p>
        </w:tc>
      </w:tr>
      <w:tr>
        <w:tc>
          <w:tcPr/>
          <w:p>
            <w:pPr>
              <w:pStyle w:val="Compact"/>
              <w:jc w:val="left"/>
            </w:pPr>
            <w:r>
              <w:t xml:space="preserve">IGF-1 LR3</w:t>
            </w:r>
          </w:p>
        </w:tc>
        <w:tc>
          <w:tcPr/>
          <w:p>
            <w:pPr>
              <w:pStyle w:val="Compact"/>
              <w:jc w:val="left"/>
            </w:pPr>
            <w:r>
              <w:t xml:space="preserve">geen studie bij mensen; in een flesje van de zwarte markt een laboratoriumvariant (PMID 20675162)</w:t>
            </w:r>
          </w:p>
        </w:tc>
        <w:tc>
          <w:tcPr/>
          <w:p>
            <w:pPr>
              <w:pStyle w:val="Compact"/>
              <w:jc w:val="left"/>
            </w:pPr>
            <w:r>
              <w:t xml:space="preserve">hypoglykemie, groeisignalen (theoretisch)</w:t>
            </w:r>
          </w:p>
        </w:tc>
      </w:tr>
      <w:tr>
        <w:tc>
          <w:tcPr/>
          <w:p>
            <w:pPr>
              <w:pStyle w:val="Compact"/>
              <w:jc w:val="left"/>
            </w:pPr>
            <w:r>
              <w:t xml:space="preserve">Ibutamoren</w:t>
            </w:r>
          </w:p>
        </w:tc>
        <w:tc>
          <w:tcPr/>
          <w:p>
            <w:pPr>
              <w:pStyle w:val="Compact"/>
              <w:jc w:val="left"/>
            </w:pPr>
            <w:r>
              <w:t xml:space="preserve">65 ouderen: vetvrije massa +1,1 kg, kracht en functie onveranderd (PMID 18981485)</w:t>
            </w:r>
          </w:p>
        </w:tc>
        <w:tc>
          <w:tcPr/>
          <w:p>
            <w:pPr>
              <w:pStyle w:val="Compact"/>
              <w:jc w:val="left"/>
            </w:pPr>
            <w:r>
              <w:t xml:space="preserve">signaal voor hartfalen, hogere bloedsuiker</w:t>
            </w:r>
          </w:p>
        </w:tc>
      </w:tr>
    </w:tbl>
    <w:bookmarkEnd w:id="937"/>
    <w:bookmarkStart w:id="938" w:name="d.-hersenen-slaap-en-levensduur"/>
    <w:p>
      <w:pPr>
        <w:pStyle w:val="Heading3"/>
      </w:pPr>
      <w:r>
        <w:t xml:space="preserve">D. Hersenen, slaap en levensduur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Peptide</w:t>
            </w:r>
          </w:p>
        </w:tc>
        <w:tc>
          <w:tcPr/>
          <w:p>
            <w:pPr>
              <w:pStyle w:val="Compact"/>
              <w:jc w:val="left"/>
            </w:pPr>
            <w:r>
              <w:t xml:space="preserve">Bewijs</w:t>
            </w:r>
          </w:p>
        </w:tc>
        <w:tc>
          <w:tcPr/>
          <w:p>
            <w:pPr>
              <w:pStyle w:val="Compact"/>
              <w:jc w:val="left"/>
            </w:pPr>
            <w:r>
              <w:t xml:space="preserve">Registratie EU / VS</w:t>
            </w:r>
          </w:p>
        </w:tc>
        <w:tc>
          <w:tcPr/>
          <w:p>
            <w:pPr>
              <w:pStyle w:val="Compact"/>
              <w:jc w:val="left"/>
            </w:pPr>
            <w:r>
              <w:t xml:space="preserve">Studies bij mensen / register</w:t>
            </w:r>
          </w:p>
        </w:tc>
      </w:tr>
      <w:tr>
        <w:tc>
          <w:tcPr/>
          <w:p>
            <w:pPr>
              <w:pStyle w:val="Compact"/>
              <w:jc w:val="left"/>
            </w:pPr>
            <w:r>
              <w:t xml:space="preserve">Semax</w:t>
            </w:r>
          </w:p>
        </w:tc>
        <w:tc>
          <w:tcPr/>
          <w:p>
            <w:pPr>
              <w:pStyle w:val="Compact"/>
              <w:jc w:val="left"/>
            </w:pPr>
            <w:r>
              <w:t xml:space="preserve">C</w:t>
            </w:r>
          </w:p>
        </w:tc>
        <w:tc>
          <w:tcPr/>
          <w:p>
            <w:pPr>
              <w:pStyle w:val="Compact"/>
              <w:jc w:val="left"/>
            </w:pPr>
            <w:r>
              <w:t xml:space="preserve">nee / nee (in Rusland geregistreerd)</w:t>
            </w:r>
          </w:p>
        </w:tc>
        <w:tc>
          <w:tcPr/>
          <w:p>
            <w:pPr>
              <w:pStyle w:val="Compact"/>
              <w:jc w:val="left"/>
            </w:pPr>
            <w:r>
              <w:t xml:space="preserve">4 / 0</w:t>
            </w:r>
          </w:p>
        </w:tc>
      </w:tr>
      <w:tr>
        <w:tc>
          <w:tcPr/>
          <w:p>
            <w:pPr>
              <w:pStyle w:val="Compact"/>
              <w:jc w:val="left"/>
            </w:pPr>
            <w:r>
              <w:t xml:space="preserve">Selank</w:t>
            </w:r>
          </w:p>
        </w:tc>
        <w:tc>
          <w:tcPr/>
          <w:p>
            <w:pPr>
              <w:pStyle w:val="Compact"/>
              <w:jc w:val="left"/>
            </w:pPr>
            <w:r>
              <w:t xml:space="preserve">C</w:t>
            </w:r>
          </w:p>
        </w:tc>
        <w:tc>
          <w:tcPr/>
          <w:p>
            <w:pPr>
              <w:pStyle w:val="Compact"/>
              <w:jc w:val="left"/>
            </w:pPr>
            <w:r>
              <w:t xml:space="preserve">nee / nee (in Rusland geregistreerd)</w:t>
            </w:r>
          </w:p>
        </w:tc>
        <w:tc>
          <w:tcPr/>
          <w:p>
            <w:pPr>
              <w:pStyle w:val="Compact"/>
              <w:jc w:val="left"/>
            </w:pPr>
            <w:r>
              <w:t xml:space="preserve">3 / 2 (opm.)</w:t>
            </w:r>
          </w:p>
        </w:tc>
      </w:tr>
      <w:tr>
        <w:tc>
          <w:tcPr/>
          <w:p>
            <w:pPr>
              <w:pStyle w:val="Compact"/>
              <w:jc w:val="left"/>
            </w:pPr>
            <w:r>
              <w:t xml:space="preserve">Cerebrolysine</w:t>
            </w:r>
          </w:p>
        </w:tc>
        <w:tc>
          <w:tcPr/>
          <w:p>
            <w:pPr>
              <w:pStyle w:val="Compact"/>
              <w:jc w:val="left"/>
            </w:pPr>
            <w:r>
              <w:t xml:space="preserve">B</w:t>
            </w:r>
          </w:p>
        </w:tc>
        <w:tc>
          <w:tcPr/>
          <w:p>
            <w:pPr>
              <w:pStyle w:val="Compact"/>
              <w:jc w:val="left"/>
            </w:pPr>
            <w:r>
              <w:t xml:space="preserve">nationaal (o.a. Oostenrijk) / nee</w:t>
            </w:r>
          </w:p>
        </w:tc>
        <w:tc>
          <w:tcPr/>
          <w:p>
            <w:pPr>
              <w:pStyle w:val="Compact"/>
              <w:jc w:val="left"/>
            </w:pPr>
            <w:r>
              <w:t xml:space="preserve">88 / 43</w:t>
            </w:r>
          </w:p>
        </w:tc>
      </w:tr>
      <w:tr>
        <w:tc>
          <w:tcPr/>
          <w:p>
            <w:pPr>
              <w:pStyle w:val="Compact"/>
              <w:jc w:val="left"/>
            </w:pPr>
            <w:r>
              <w:t xml:space="preserve">Dihexa</w:t>
            </w:r>
          </w:p>
        </w:tc>
        <w:tc>
          <w:tcPr/>
          <w:p>
            <w:pPr>
              <w:pStyle w:val="Compact"/>
              <w:jc w:val="left"/>
            </w:pPr>
            <w:r>
              <w:t xml:space="preserve">D</w:t>
            </w:r>
          </w:p>
        </w:tc>
        <w:tc>
          <w:tcPr/>
          <w:p>
            <w:pPr>
              <w:pStyle w:val="Compact"/>
              <w:jc w:val="left"/>
            </w:pPr>
            <w:r>
              <w:t xml:space="preserve">nee / nee</w:t>
            </w:r>
          </w:p>
        </w:tc>
        <w:tc>
          <w:tcPr/>
          <w:p>
            <w:pPr>
              <w:pStyle w:val="Compact"/>
              <w:jc w:val="left"/>
            </w:pPr>
            <w:r>
              <w:t xml:space="preserve">0 / 0</w:t>
            </w:r>
          </w:p>
        </w:tc>
      </w:tr>
      <w:tr>
        <w:tc>
          <w:tcPr/>
          <w:p>
            <w:pPr>
              <w:pStyle w:val="Compact"/>
              <w:jc w:val="left"/>
            </w:pPr>
            <w:r>
              <w:t xml:space="preserve">DSIP</w:t>
            </w:r>
          </w:p>
        </w:tc>
        <w:tc>
          <w:tcPr/>
          <w:p>
            <w:pPr>
              <w:pStyle w:val="Compact"/>
              <w:jc w:val="left"/>
            </w:pPr>
            <w:r>
              <w:t xml:space="preserve">C</w:t>
            </w:r>
          </w:p>
        </w:tc>
        <w:tc>
          <w:tcPr/>
          <w:p>
            <w:pPr>
              <w:pStyle w:val="Compact"/>
              <w:jc w:val="left"/>
            </w:pPr>
            <w:r>
              <w:t xml:space="preserve">nee / nee</w:t>
            </w:r>
          </w:p>
        </w:tc>
        <w:tc>
          <w:tcPr/>
          <w:p>
            <w:pPr>
              <w:pStyle w:val="Compact"/>
              <w:jc w:val="left"/>
            </w:pPr>
            <w:r>
              <w:t xml:space="preserve">18 / 1 (opm.)</w:t>
            </w:r>
          </w:p>
        </w:tc>
      </w:tr>
      <w:tr>
        <w:tc>
          <w:tcPr/>
          <w:p>
            <w:pPr>
              <w:pStyle w:val="Compact"/>
              <w:jc w:val="left"/>
            </w:pPr>
            <w:r>
              <w:t xml:space="preserve">Epitalon</w:t>
            </w:r>
          </w:p>
        </w:tc>
        <w:tc>
          <w:tcPr/>
          <w:p>
            <w:pPr>
              <w:pStyle w:val="Compact"/>
              <w:jc w:val="left"/>
            </w:pPr>
            <w:r>
              <w:t xml:space="preserve">C</w:t>
            </w:r>
          </w:p>
        </w:tc>
        <w:tc>
          <w:tcPr/>
          <w:p>
            <w:pPr>
              <w:pStyle w:val="Compact"/>
              <w:jc w:val="left"/>
            </w:pPr>
            <w:r>
              <w:t xml:space="preserve">nee / nee</w:t>
            </w:r>
          </w:p>
        </w:tc>
        <w:tc>
          <w:tcPr/>
          <w:p>
            <w:pPr>
              <w:pStyle w:val="Compact"/>
              <w:jc w:val="left"/>
            </w:pPr>
            <w:r>
              <w:t xml:space="preserve">1 / 1 (opm.)</w:t>
            </w:r>
          </w:p>
        </w:tc>
      </w:tr>
      <w:tr>
        <w:tc>
          <w:tcPr/>
          <w:p>
            <w:pPr>
              <w:pStyle w:val="Compact"/>
              <w:jc w:val="left"/>
            </w:pPr>
            <w:r>
              <w:t xml:space="preserve">Pinealon</w:t>
            </w:r>
          </w:p>
        </w:tc>
        <w:tc>
          <w:tcPr/>
          <w:p>
            <w:pPr>
              <w:pStyle w:val="Compact"/>
              <w:jc w:val="left"/>
            </w:pPr>
            <w:r>
              <w:t xml:space="preserve">C</w:t>
            </w:r>
          </w:p>
        </w:tc>
        <w:tc>
          <w:tcPr/>
          <w:p>
            <w:pPr>
              <w:pStyle w:val="Compact"/>
              <w:jc w:val="left"/>
            </w:pPr>
            <w:r>
              <w:t xml:space="preserve">nee / nee</w:t>
            </w:r>
          </w:p>
        </w:tc>
        <w:tc>
          <w:tcPr/>
          <w:p>
            <w:pPr>
              <w:pStyle w:val="Compact"/>
              <w:jc w:val="left"/>
            </w:pPr>
            <w:r>
              <w:t xml:space="preserve">1 / 0</w:t>
            </w:r>
          </w:p>
        </w:tc>
      </w:tr>
      <w:tr>
        <w:tc>
          <w:tcPr/>
          <w:p>
            <w:pPr>
              <w:pStyle w:val="Compact"/>
              <w:jc w:val="left"/>
            </w:pPr>
            <w:r>
              <w:t xml:space="preserve">MOTS-c</w:t>
            </w:r>
          </w:p>
        </w:tc>
        <w:tc>
          <w:tcPr/>
          <w:p>
            <w:pPr>
              <w:pStyle w:val="Compact"/>
              <w:jc w:val="left"/>
            </w:pPr>
            <w:r>
              <w:t xml:space="preserve">D</w:t>
            </w:r>
          </w:p>
        </w:tc>
        <w:tc>
          <w:tcPr/>
          <w:p>
            <w:pPr>
              <w:pStyle w:val="Compact"/>
              <w:jc w:val="left"/>
            </w:pPr>
            <w:r>
              <w:t xml:space="preserve">nee / nee</w:t>
            </w:r>
          </w:p>
        </w:tc>
        <w:tc>
          <w:tcPr/>
          <w:p>
            <w:pPr>
              <w:pStyle w:val="Compact"/>
              <w:jc w:val="left"/>
            </w:pPr>
            <w:r>
              <w:t xml:space="preserve">5 / 4 (opm.)</w:t>
            </w:r>
          </w:p>
        </w:tc>
      </w:tr>
      <w:tr>
        <w:tc>
          <w:tcPr/>
          <w:p>
            <w:pPr>
              <w:pStyle w:val="Compact"/>
              <w:jc w:val="left"/>
            </w:pPr>
            <w:r>
              <w:t xml:space="preserve">Humanine</w:t>
            </w:r>
          </w:p>
        </w:tc>
        <w:tc>
          <w:tcPr/>
          <w:p>
            <w:pPr>
              <w:pStyle w:val="Compact"/>
              <w:jc w:val="left"/>
            </w:pPr>
            <w:r>
              <w:t xml:space="preserve">D</w:t>
            </w:r>
          </w:p>
        </w:tc>
        <w:tc>
          <w:tcPr/>
          <w:p>
            <w:pPr>
              <w:pStyle w:val="Compact"/>
              <w:jc w:val="left"/>
            </w:pPr>
            <w:r>
              <w:t xml:space="preserve">nee / nee</w:t>
            </w:r>
          </w:p>
        </w:tc>
        <w:tc>
          <w:tcPr/>
          <w:p>
            <w:pPr>
              <w:pStyle w:val="Compact"/>
              <w:jc w:val="left"/>
            </w:pPr>
            <w:r>
              <w:t xml:space="preserve">8 / 3 (opm.)</w:t>
            </w:r>
          </w:p>
        </w:tc>
      </w:tr>
      <w:tr>
        <w:tc>
          <w:tcPr/>
          <w:p>
            <w:pPr>
              <w:pStyle w:val="Compact"/>
              <w:jc w:val="left"/>
            </w:pPr>
            <w:r>
              <w:t xml:space="preserve">SS-31 (elamipretide)</w:t>
            </w:r>
          </w:p>
        </w:tc>
        <w:tc>
          <w:tcPr/>
          <w:p>
            <w:pPr>
              <w:pStyle w:val="Compact"/>
              <w:jc w:val="left"/>
            </w:pPr>
            <w:r>
              <w:t xml:space="preserve">B</w:t>
            </w:r>
          </w:p>
        </w:tc>
        <w:tc>
          <w:tcPr/>
          <w:p>
            <w:pPr>
              <w:pStyle w:val="Compact"/>
              <w:jc w:val="left"/>
            </w:pPr>
            <w:r>
              <w:t xml:space="preserve">nee / ja, versneld (alleen barthsyndroom)</w:t>
            </w:r>
          </w:p>
        </w:tc>
        <w:tc>
          <w:tcPr/>
          <w:p>
            <w:pPr>
              <w:pStyle w:val="Compact"/>
              <w:jc w:val="left"/>
            </w:pPr>
            <w:r>
              <w:t xml:space="preserve">19 / 21</w:t>
            </w:r>
          </w:p>
        </w:tc>
      </w:tr>
      <w:tr>
        <w:tc>
          <w:tcPr/>
          <w:p>
            <w:pPr>
              <w:pStyle w:val="Compact"/>
              <w:jc w:val="left"/>
            </w:pPr>
            <w:r>
              <w:t xml:space="preserve">FOXO4-DRI</w:t>
            </w:r>
          </w:p>
        </w:tc>
        <w:tc>
          <w:tcPr/>
          <w:p>
            <w:pPr>
              <w:pStyle w:val="Compact"/>
              <w:jc w:val="left"/>
            </w:pPr>
            <w:r>
              <w:t xml:space="preserve">D</w:t>
            </w:r>
          </w:p>
        </w:tc>
        <w:tc>
          <w:tcPr/>
          <w:p>
            <w:pPr>
              <w:pStyle w:val="Compact"/>
              <w:jc w:val="left"/>
            </w:pPr>
            <w:r>
              <w:t xml:space="preserve">nee / nee</w:t>
            </w:r>
          </w:p>
        </w:tc>
        <w:tc>
          <w:tcPr/>
          <w:p>
            <w:pPr>
              <w:pStyle w:val="Compact"/>
              <w:jc w:val="left"/>
            </w:pPr>
            <w:r>
              <w:t xml:space="preserve">0 / 0</w:t>
            </w:r>
          </w:p>
        </w:tc>
      </w:tr>
      <w:tr>
        <w:tc>
          <w:tcPr/>
          <w:p>
            <w:pPr>
              <w:pStyle w:val="Compact"/>
              <w:jc w:val="left"/>
            </w:pPr>
            <w:r>
              <w:t xml:space="preserve">Glutathion</w:t>
            </w:r>
          </w:p>
        </w:tc>
        <w:tc>
          <w:tcPr/>
          <w:p>
            <w:pPr>
              <w:pStyle w:val="Compact"/>
              <w:jc w:val="left"/>
            </w:pPr>
            <w:r>
              <w:t xml:space="preserve">B</w:t>
            </w:r>
          </w:p>
        </w:tc>
        <w:tc>
          <w:tcPr/>
          <w:p>
            <w:pPr>
              <w:pStyle w:val="Compact"/>
              <w:jc w:val="left"/>
            </w:pPr>
            <w:r>
              <w:t xml:space="preserve">voedingssupplement / voedingssupplement</w:t>
            </w:r>
          </w:p>
        </w:tc>
        <w:tc>
          <w:tcPr/>
          <w:p>
            <w:pPr>
              <w:pStyle w:val="Compact"/>
              <w:jc w:val="left"/>
            </w:pPr>
            <w:r>
              <w:t xml:space="preserve">161 / 273 (opm.)</w:t>
            </w:r>
          </w:p>
        </w:tc>
      </w:tr>
    </w:tbl>
    <w:p>
      <w:pPr>
        <w:pStyle w:val="BodyText"/>
      </w:pPr>
      <w:r>
        <w:t xml:space="preserve">Opmerkingen bij de tabel: bij</w:t>
      </w:r>
      <w:r>
        <w:t xml:space="preserve"> </w:t>
      </w:r>
      <w:r>
        <w:rPr>
          <w:bCs/>
          <w:b/>
        </w:rPr>
        <w:t xml:space="preserve">Selank</w:t>
      </w:r>
      <w:r>
        <w:t xml:space="preserve"> </w:t>
      </w:r>
      <w:r>
        <w:t xml:space="preserve">en</w:t>
      </w:r>
      <w:r>
        <w:t xml:space="preserve"> </w:t>
      </w:r>
      <w:r>
        <w:rPr>
          <w:bCs/>
          <w:b/>
        </w:rPr>
        <w:t xml:space="preserve">DSIP</w:t>
      </w:r>
      <w:r>
        <w:t xml:space="preserve"> </w:t>
      </w:r>
      <w:r>
        <w:t xml:space="preserve">betreffen de registertreffers andere procedures of onderwerpen; een geregistreerde studie met het peptide bestaat niet. De enige registratie voor</w:t>
      </w:r>
      <w:r>
        <w:t xml:space="preserve"> </w:t>
      </w:r>
      <w:r>
        <w:rPr>
          <w:bCs/>
          <w:b/>
        </w:rPr>
        <w:t xml:space="preserve">epitalon</w:t>
      </w:r>
      <w:r>
        <w:t xml:space="preserve"> </w:t>
      </w:r>
      <w:r>
        <w:t xml:space="preserve">is een ongecontroleerde studie met een huidserum waarin epitalon een van vijf bestanddelen is. Bij</w:t>
      </w:r>
      <w:r>
        <w:t xml:space="preserve"> </w:t>
      </w:r>
      <w:r>
        <w:rPr>
          <w:bCs/>
          <w:b/>
        </w:rPr>
        <w:t xml:space="preserve">MOTS-c</w:t>
      </w:r>
      <w:r>
        <w:t xml:space="preserve"> </w:t>
      </w:r>
      <w:r>
        <w:t xml:space="preserve">en</w:t>
      </w:r>
      <w:r>
        <w:t xml:space="preserve"> </w:t>
      </w:r>
      <w:r>
        <w:rPr>
          <w:bCs/>
          <w:b/>
        </w:rPr>
        <w:t xml:space="preserve">humanine</w:t>
      </w:r>
      <w:r>
        <w:t xml:space="preserve"> </w:t>
      </w:r>
      <w:r>
        <w:t xml:space="preserve">werd in geen van de publicaties het peptide toegediend; ze meten lichaamseigen spiegels. Bij</w:t>
      </w:r>
      <w:r>
        <w:t xml:space="preserve"> </w:t>
      </w:r>
      <w:r>
        <w:rPr>
          <w:bCs/>
          <w:b/>
        </w:rPr>
        <w:t xml:space="preserve">glutathion</w:t>
      </w:r>
      <w:r>
        <w:t xml:space="preserve"> </w:t>
      </w:r>
      <w:r>
        <w:t xml:space="preserve">meten veel treffers glutathion alleen als laboratoriumwaarde of betreffen ze het enzym glutathion-S-transferase; studies met toediening van glutathion vormen een minderheid van enkele tientallen.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Peptide</w:t>
            </w:r>
          </w:p>
        </w:tc>
        <w:tc>
          <w:tcPr/>
          <w:p>
            <w:pPr>
              <w:pStyle w:val="Compact"/>
              <w:jc w:val="left"/>
            </w:pPr>
            <w:r>
              <w:t xml:space="preserve">Kernresultaat</w:t>
            </w:r>
          </w:p>
        </w:tc>
        <w:tc>
          <w:tcPr/>
          <w:p>
            <w:pPr>
              <w:pStyle w:val="Compact"/>
              <w:jc w:val="left"/>
            </w:pPr>
            <w:r>
              <w:t xml:space="preserve">Belangrijkste risico</w:t>
            </w:r>
          </w:p>
        </w:tc>
      </w:tr>
      <w:tr>
        <w:tc>
          <w:tcPr/>
          <w:p>
            <w:pPr>
              <w:pStyle w:val="Compact"/>
              <w:jc w:val="left"/>
            </w:pPr>
            <w:r>
              <w:t xml:space="preserve">Semax</w:t>
            </w:r>
          </w:p>
        </w:tc>
        <w:tc>
          <w:tcPr/>
          <w:p>
            <w:pPr>
              <w:pStyle w:val="Compact"/>
              <w:jc w:val="left"/>
            </w:pPr>
            <w:r>
              <w:t xml:space="preserve">open studie na beroerte: hoger BDNF, sneller herstel (PMID 29798983)</w:t>
            </w:r>
          </w:p>
        </w:tc>
        <w:tc>
          <w:tcPr/>
          <w:p>
            <w:pPr>
              <w:pStyle w:val="Compact"/>
              <w:jc w:val="left"/>
            </w:pPr>
            <w:r>
              <w:t xml:space="preserve">geen systematische veiligheidsgegevens</w:t>
            </w:r>
          </w:p>
        </w:tc>
      </w:tr>
      <w:tr>
        <w:tc>
          <w:tcPr/>
          <w:p>
            <w:pPr>
              <w:pStyle w:val="Compact"/>
              <w:jc w:val="left"/>
            </w:pPr>
            <w:r>
              <w:t xml:space="preserve">Selank</w:t>
            </w:r>
          </w:p>
        </w:tc>
        <w:tc>
          <w:tcPr/>
          <w:p>
            <w:pPr>
              <w:pStyle w:val="Compact"/>
              <w:jc w:val="left"/>
            </w:pPr>
            <w:r>
              <w:t xml:space="preserve">angstverminderend effect vergelijkbaar met medazepam, zonder placebogroep (PMID 18454096)</w:t>
            </w:r>
          </w:p>
        </w:tc>
        <w:tc>
          <w:tcPr/>
          <w:p>
            <w:pPr>
              <w:pStyle w:val="Compact"/>
              <w:jc w:val="left"/>
            </w:pPr>
            <w:r>
              <w:t xml:space="preserve">geen langetermijngegevens; grijze markt</w:t>
            </w:r>
          </w:p>
        </w:tc>
      </w:tr>
      <w:tr>
        <w:tc>
          <w:tcPr/>
          <w:p>
            <w:pPr>
              <w:pStyle w:val="Compact"/>
              <w:jc w:val="left"/>
            </w:pPr>
            <w:r>
              <w:t xml:space="preserve">Cerebrolysine</w:t>
            </w:r>
          </w:p>
        </w:tc>
        <w:tc>
          <w:tcPr/>
          <w:p>
            <w:pPr>
              <w:pStyle w:val="Compact"/>
              <w:jc w:val="left"/>
            </w:pPr>
            <w:r>
              <w:t xml:space="preserve">CASTA met 1.070 personen: primair eindpunt niet gehaald (PMID 22282884)</w:t>
            </w:r>
          </w:p>
        </w:tc>
        <w:tc>
          <w:tcPr/>
          <w:p>
            <w:pPr>
              <w:pStyle w:val="Compact"/>
              <w:jc w:val="left"/>
            </w:pPr>
            <w:r>
              <w:t xml:space="preserve">mogelijk signaal voor ernstige bijwerkingen (Cochrane)</w:t>
            </w:r>
          </w:p>
        </w:tc>
      </w:tr>
      <w:tr>
        <w:tc>
          <w:tcPr/>
          <w:p>
            <w:pPr>
              <w:pStyle w:val="Compact"/>
              <w:jc w:val="left"/>
            </w:pPr>
            <w:r>
              <w:t xml:space="preserve">Dihexa</w:t>
            </w:r>
          </w:p>
        </w:tc>
        <w:tc>
          <w:tcPr/>
          <w:p>
            <w:pPr>
              <w:pStyle w:val="Compact"/>
              <w:jc w:val="left"/>
            </w:pPr>
            <w:r>
              <w:t xml:space="preserve">alleen dierlijke gegevens; een centrale rattenstudie werd in 2025 teruggetrokken (PMID 25187433, intrekking PMID 40312093)</w:t>
            </w:r>
          </w:p>
        </w:tc>
        <w:tc>
          <w:tcPr/>
          <w:p>
            <w:pPr>
              <w:pStyle w:val="Compact"/>
              <w:jc w:val="left"/>
            </w:pPr>
            <w:r>
              <w:t xml:space="preserve">geen gegevens bij mensen; theoretisch kankerrisico</w:t>
            </w:r>
          </w:p>
        </w:tc>
      </w:tr>
      <w:tr>
        <w:tc>
          <w:tcPr/>
          <w:p>
            <w:pPr>
              <w:pStyle w:val="Compact"/>
              <w:jc w:val="left"/>
            </w:pPr>
            <w:r>
              <w:t xml:space="preserve">DSIP</w:t>
            </w:r>
          </w:p>
        </w:tc>
        <w:tc>
          <w:tcPr/>
          <w:p>
            <w:pPr>
              <w:pStyle w:val="Compact"/>
              <w:jc w:val="left"/>
            </w:pPr>
            <w:r>
              <w:t xml:space="preserve">16 personen met slapeloosheid: slechts zwakke effecten (PMID 1299794)</w:t>
            </w:r>
          </w:p>
        </w:tc>
        <w:tc>
          <w:tcPr/>
          <w:p>
            <w:pPr>
              <w:pStyle w:val="Compact"/>
              <w:jc w:val="left"/>
            </w:pPr>
            <w:r>
              <w:t xml:space="preserve">geen systematische veiligheidsgegevens</w:t>
            </w:r>
          </w:p>
        </w:tc>
      </w:tr>
      <w:tr>
        <w:tc>
          <w:tcPr/>
          <w:p>
            <w:pPr>
              <w:pStyle w:val="Compact"/>
              <w:jc w:val="left"/>
            </w:pPr>
            <w:r>
              <w:t xml:space="preserve">Epitalon</w:t>
            </w:r>
          </w:p>
        </w:tc>
        <w:tc>
          <w:tcPr/>
          <w:p>
            <w:pPr>
              <w:pStyle w:val="Compact"/>
              <w:jc w:val="left"/>
            </w:pPr>
            <w:r>
              <w:t xml:space="preserve">bij muizen geen langere gemiddelde levensduur (PMID 14501183)</w:t>
            </w:r>
          </w:p>
        </w:tc>
        <w:tc>
          <w:tcPr/>
          <w:p>
            <w:pPr>
              <w:pStyle w:val="Compact"/>
              <w:jc w:val="left"/>
            </w:pPr>
            <w:r>
              <w:t xml:space="preserve">geen gegevens bij mensen; telomerasekwestie</w:t>
            </w:r>
          </w:p>
        </w:tc>
      </w:tr>
      <w:tr>
        <w:tc>
          <w:tcPr/>
          <w:p>
            <w:pPr>
              <w:pStyle w:val="Compact"/>
              <w:jc w:val="left"/>
            </w:pPr>
            <w:r>
              <w:t xml:space="preserve">Pinealon</w:t>
            </w:r>
          </w:p>
        </w:tc>
        <w:tc>
          <w:tcPr/>
          <w:p>
            <w:pPr>
              <w:pStyle w:val="Compact"/>
              <w:jc w:val="left"/>
            </w:pPr>
            <w:r>
              <w:t xml:space="preserve">32 ouderen, ongecontroleerd; ook remming van de bloedaanmaak (PMID 26390612)</w:t>
            </w:r>
          </w:p>
        </w:tc>
        <w:tc>
          <w:tcPr/>
          <w:p>
            <w:pPr>
              <w:pStyle w:val="Compact"/>
              <w:jc w:val="left"/>
            </w:pPr>
            <w:r>
              <w:t xml:space="preserve">geen systematische veiligheidsgegevens</w:t>
            </w:r>
          </w:p>
        </w:tc>
      </w:tr>
      <w:tr>
        <w:tc>
          <w:tcPr/>
          <w:p>
            <w:pPr>
              <w:pStyle w:val="Compact"/>
              <w:jc w:val="left"/>
            </w:pPr>
            <w:r>
              <w:t xml:space="preserve">MOTS-c</w:t>
            </w:r>
          </w:p>
        </w:tc>
        <w:tc>
          <w:tcPr/>
          <w:p>
            <w:pPr>
              <w:pStyle w:val="Compact"/>
              <w:jc w:val="left"/>
            </w:pPr>
            <w:r>
              <w:t xml:space="preserve">alleen dierlijke gegevens over toediening: bij muizen minder overgewicht (PMID 25738459)</w:t>
            </w:r>
          </w:p>
        </w:tc>
        <w:tc>
          <w:tcPr/>
          <w:p>
            <w:pPr>
              <w:pStyle w:val="Compact"/>
              <w:jc w:val="left"/>
            </w:pPr>
            <w:r>
              <w:t xml:space="preserve">geen gegevens over toediening bij mensen</w:t>
            </w:r>
          </w:p>
        </w:tc>
      </w:tr>
      <w:tr>
        <w:tc>
          <w:tcPr/>
          <w:p>
            <w:pPr>
              <w:pStyle w:val="Compact"/>
              <w:jc w:val="left"/>
            </w:pPr>
            <w:r>
              <w:t xml:space="preserve">Humanine</w:t>
            </w:r>
          </w:p>
        </w:tc>
        <w:tc>
          <w:tcPr/>
          <w:p>
            <w:pPr>
              <w:pStyle w:val="Compact"/>
              <w:jc w:val="left"/>
            </w:pPr>
            <w:r>
              <w:t xml:space="preserve">alleen spiegelmetingen bij mensen (PMID 32575074)</w:t>
            </w:r>
          </w:p>
        </w:tc>
        <w:tc>
          <w:tcPr/>
          <w:p>
            <w:pPr>
              <w:pStyle w:val="Compact"/>
              <w:jc w:val="left"/>
            </w:pPr>
            <w:r>
              <w:t xml:space="preserve">bij muizen meer groei van borstkanker (PMID 32444831)</w:t>
            </w:r>
          </w:p>
        </w:tc>
      </w:tr>
      <w:tr>
        <w:tc>
          <w:tcPr/>
          <w:p>
            <w:pPr>
              <w:pStyle w:val="Compact"/>
              <w:jc w:val="left"/>
            </w:pPr>
            <w:r>
              <w:t xml:space="preserve">SS-31 (elamipretide)</w:t>
            </w:r>
          </w:p>
        </w:tc>
        <w:tc>
          <w:tcPr/>
          <w:p>
            <w:pPr>
              <w:pStyle w:val="Compact"/>
              <w:jc w:val="left"/>
            </w:pPr>
            <w:r>
              <w:t xml:space="preserve">MMPOWER-3 met 218 personen: geen nut bij myopathie (PMID 37268435)</w:t>
            </w:r>
          </w:p>
        </w:tc>
        <w:tc>
          <w:tcPr/>
          <w:p>
            <w:pPr>
              <w:pStyle w:val="Compact"/>
              <w:jc w:val="left"/>
            </w:pPr>
            <w:r>
              <w:t xml:space="preserve">injectieplaatsen; waar van de grijze markt niet identiek</w:t>
            </w:r>
          </w:p>
        </w:tc>
      </w:tr>
      <w:tr>
        <w:tc>
          <w:tcPr/>
          <w:p>
            <w:pPr>
              <w:pStyle w:val="Compact"/>
              <w:jc w:val="left"/>
            </w:pPr>
            <w:r>
              <w:t xml:space="preserve">FOXO4-DRI</w:t>
            </w:r>
          </w:p>
        </w:tc>
        <w:tc>
          <w:tcPr/>
          <w:p>
            <w:pPr>
              <w:pStyle w:val="Compact"/>
              <w:jc w:val="left"/>
            </w:pPr>
            <w:r>
              <w:t xml:space="preserve">alleen dierlijke gegevens: bij verouderde muizen betere fitheid (PMID 28340339)</w:t>
            </w:r>
          </w:p>
        </w:tc>
        <w:tc>
          <w:tcPr/>
          <w:p>
            <w:pPr>
              <w:pStyle w:val="Compact"/>
              <w:jc w:val="left"/>
            </w:pPr>
            <w:r>
              <w:t xml:space="preserve">geen gegevens bij mensen; ingreep in p53</w:t>
            </w:r>
          </w:p>
        </w:tc>
      </w:tr>
      <w:tr>
        <w:tc>
          <w:tcPr/>
          <w:p>
            <w:pPr>
              <w:pStyle w:val="Compact"/>
              <w:jc w:val="left"/>
            </w:pPr>
            <w:r>
              <w:t xml:space="preserve">Glutathion</w:t>
            </w:r>
          </w:p>
        </w:tc>
        <w:tc>
          <w:tcPr/>
          <w:p>
            <w:pPr>
              <w:pStyle w:val="Compact"/>
              <w:jc w:val="left"/>
            </w:pPr>
            <w:r>
              <w:t xml:space="preserve">fase 3 met 185 personen: geen bescherming tegen zenuwschade door chemotherapie (PMID 24619793)</w:t>
            </w:r>
          </w:p>
        </w:tc>
        <w:tc>
          <w:tcPr/>
          <w:p>
            <w:pPr>
              <w:pStyle w:val="Compact"/>
              <w:jc w:val="left"/>
            </w:pPr>
            <w:r>
              <w:t xml:space="preserve">infusies om de huid lichter te maken: waarschuwingen van autoriteiten</w:t>
            </w:r>
          </w:p>
        </w:tc>
      </w:tr>
    </w:tbl>
    <w:bookmarkEnd w:id="938"/>
    <w:bookmarkStart w:id="939" w:name="e.-hormonen-seksualiteit-en-pigmentatie"/>
    <w:p>
      <w:pPr>
        <w:pStyle w:val="Heading3"/>
      </w:pPr>
      <w:r>
        <w:t xml:space="preserve">E. Hormonen, seksualiteit en pigmentatie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Peptide</w:t>
            </w:r>
          </w:p>
        </w:tc>
        <w:tc>
          <w:tcPr/>
          <w:p>
            <w:pPr>
              <w:pStyle w:val="Compact"/>
              <w:jc w:val="left"/>
            </w:pPr>
            <w:r>
              <w:t xml:space="preserve">Bewijs</w:t>
            </w:r>
          </w:p>
        </w:tc>
        <w:tc>
          <w:tcPr/>
          <w:p>
            <w:pPr>
              <w:pStyle w:val="Compact"/>
              <w:jc w:val="left"/>
            </w:pPr>
            <w:r>
              <w:t xml:space="preserve">Registratie EU / VS</w:t>
            </w:r>
          </w:p>
        </w:tc>
        <w:tc>
          <w:tcPr/>
          <w:p>
            <w:pPr>
              <w:pStyle w:val="Compact"/>
              <w:jc w:val="left"/>
            </w:pPr>
            <w:r>
              <w:t xml:space="preserve">Studies bij mensen / register</w:t>
            </w:r>
          </w:p>
        </w:tc>
      </w:tr>
      <w:tr>
        <w:tc>
          <w:tcPr/>
          <w:p>
            <w:pPr>
              <w:pStyle w:val="Compact"/>
              <w:jc w:val="left"/>
            </w:pPr>
            <w:r>
              <w:t xml:space="preserve">Bremelanotide (PT-141)</w:t>
            </w:r>
          </w:p>
        </w:tc>
        <w:tc>
          <w:tcPr/>
          <w:p>
            <w:pPr>
              <w:pStyle w:val="Compact"/>
              <w:jc w:val="left"/>
            </w:pPr>
            <w:r>
              <w:t xml:space="preserve">A</w:t>
            </w:r>
          </w:p>
        </w:tc>
        <w:tc>
          <w:tcPr/>
          <w:p>
            <w:pPr>
              <w:pStyle w:val="Compact"/>
              <w:jc w:val="left"/>
            </w:pPr>
            <w:r>
              <w:t xml:space="preserve">nee / ja (Vyleesi)</w:t>
            </w:r>
          </w:p>
        </w:tc>
        <w:tc>
          <w:tcPr/>
          <w:p>
            <w:pPr>
              <w:pStyle w:val="Compact"/>
              <w:jc w:val="left"/>
            </w:pPr>
            <w:r>
              <w:t xml:space="preserve">16 / 10</w:t>
            </w:r>
          </w:p>
        </w:tc>
      </w:tr>
      <w:tr>
        <w:tc>
          <w:tcPr/>
          <w:p>
            <w:pPr>
              <w:pStyle w:val="Compact"/>
              <w:jc w:val="left"/>
            </w:pPr>
            <w:r>
              <w:t xml:space="preserve">Melanotan II</w:t>
            </w:r>
          </w:p>
        </w:tc>
        <w:tc>
          <w:tcPr/>
          <w:p>
            <w:pPr>
              <w:pStyle w:val="Compact"/>
              <w:jc w:val="left"/>
            </w:pPr>
            <w:r>
              <w:t xml:space="preserve">C</w:t>
            </w:r>
          </w:p>
        </w:tc>
        <w:tc>
          <w:tcPr/>
          <w:p>
            <w:pPr>
              <w:pStyle w:val="Compact"/>
              <w:jc w:val="left"/>
            </w:pPr>
            <w:r>
              <w:t xml:space="preserve">nee / nee</w:t>
            </w:r>
          </w:p>
        </w:tc>
        <w:tc>
          <w:tcPr/>
          <w:p>
            <w:pPr>
              <w:pStyle w:val="Compact"/>
              <w:jc w:val="left"/>
            </w:pPr>
            <w:r>
              <w:t xml:space="preserve">8 / 0 (opm.)</w:t>
            </w:r>
          </w:p>
        </w:tc>
      </w:tr>
      <w:tr>
        <w:tc>
          <w:tcPr/>
          <w:p>
            <w:pPr>
              <w:pStyle w:val="Compact"/>
              <w:jc w:val="left"/>
            </w:pPr>
            <w:r>
              <w:t xml:space="preserve">Afamelanotide</w:t>
            </w:r>
          </w:p>
        </w:tc>
        <w:tc>
          <w:tcPr/>
          <w:p>
            <w:pPr>
              <w:pStyle w:val="Compact"/>
              <w:jc w:val="left"/>
            </w:pPr>
            <w:r>
              <w:t xml:space="preserve">A</w:t>
            </w:r>
          </w:p>
        </w:tc>
        <w:tc>
          <w:tcPr/>
          <w:p>
            <w:pPr>
              <w:pStyle w:val="Compact"/>
              <w:jc w:val="left"/>
            </w:pPr>
            <w:r>
              <w:t xml:space="preserve">ja / ja (Scenesse, alleen EPP)</w:t>
            </w:r>
          </w:p>
        </w:tc>
        <w:tc>
          <w:tcPr/>
          <w:p>
            <w:pPr>
              <w:pStyle w:val="Compact"/>
              <w:jc w:val="left"/>
            </w:pPr>
            <w:r>
              <w:t xml:space="preserve">10 / 23 (opm.)</w:t>
            </w:r>
          </w:p>
        </w:tc>
      </w:tr>
      <w:tr>
        <w:tc>
          <w:tcPr/>
          <w:p>
            <w:pPr>
              <w:pStyle w:val="Compact"/>
              <w:jc w:val="left"/>
            </w:pPr>
            <w:r>
              <w:t xml:space="preserve">Kisspeptine</w:t>
            </w:r>
          </w:p>
        </w:tc>
        <w:tc>
          <w:tcPr/>
          <w:p>
            <w:pPr>
              <w:pStyle w:val="Compact"/>
              <w:jc w:val="left"/>
            </w:pPr>
            <w:r>
              <w:t xml:space="preserve">B</w:t>
            </w:r>
          </w:p>
        </w:tc>
        <w:tc>
          <w:tcPr/>
          <w:p>
            <w:pPr>
              <w:pStyle w:val="Compact"/>
              <w:jc w:val="left"/>
            </w:pPr>
            <w:r>
              <w:t xml:space="preserve">nee / nee</w:t>
            </w:r>
          </w:p>
        </w:tc>
        <w:tc>
          <w:tcPr/>
          <w:p>
            <w:pPr>
              <w:pStyle w:val="Compact"/>
              <w:jc w:val="left"/>
            </w:pPr>
            <w:r>
              <w:t xml:space="preserve">37 / 36</w:t>
            </w:r>
          </w:p>
        </w:tc>
      </w:tr>
      <w:tr>
        <w:tc>
          <w:tcPr/>
          <w:p>
            <w:pPr>
              <w:pStyle w:val="Compact"/>
              <w:jc w:val="left"/>
            </w:pPr>
            <w:r>
              <w:t xml:space="preserve">Oxytocine (neusspray)</w:t>
            </w:r>
          </w:p>
        </w:tc>
        <w:tc>
          <w:tcPr/>
          <w:p>
            <w:pPr>
              <w:pStyle w:val="Compact"/>
              <w:jc w:val="left"/>
            </w:pPr>
            <w:r>
              <w:t xml:space="preserve">B</w:t>
            </w:r>
          </w:p>
        </w:tc>
        <w:tc>
          <w:tcPr/>
          <w:p>
            <w:pPr>
              <w:pStyle w:val="Compact"/>
              <w:jc w:val="left"/>
            </w:pPr>
            <w:r>
              <w:t xml:space="preserve">alleen verloskunde / alleen verloskunde</w:t>
            </w:r>
          </w:p>
        </w:tc>
        <w:tc>
          <w:tcPr/>
          <w:p>
            <w:pPr>
              <w:pStyle w:val="Compact"/>
              <w:jc w:val="left"/>
            </w:pPr>
            <w:r>
              <w:t xml:space="preserve">349 / 263</w:t>
            </w:r>
          </w:p>
        </w:tc>
      </w:tr>
      <w:tr>
        <w:tc>
          <w:tcPr/>
          <w:p>
            <w:pPr>
              <w:pStyle w:val="Compact"/>
              <w:jc w:val="left"/>
            </w:pPr>
            <w:r>
              <w:t xml:space="preserve">Gonadoreline</w:t>
            </w:r>
          </w:p>
        </w:tc>
        <w:tc>
          <w:tcPr/>
          <w:p>
            <w:pPr>
              <w:pStyle w:val="Compact"/>
              <w:jc w:val="left"/>
            </w:pPr>
            <w:r>
              <w:t xml:space="preserve">B</w:t>
            </w:r>
          </w:p>
        </w:tc>
        <w:tc>
          <w:tcPr/>
          <w:p>
            <w:pPr>
              <w:pStyle w:val="Compact"/>
              <w:jc w:val="left"/>
            </w:pPr>
            <w:r>
              <w:t xml:space="preserve">nationaal in afzonderlijke staten / nee</w:t>
            </w:r>
          </w:p>
        </w:tc>
        <w:tc>
          <w:tcPr/>
          <w:p>
            <w:pPr>
              <w:pStyle w:val="Compact"/>
              <w:jc w:val="left"/>
            </w:pPr>
            <w:r>
              <w:t xml:space="preserve">9 / 1.000 (opm.)</w:t>
            </w:r>
          </w:p>
        </w:tc>
      </w:tr>
    </w:tbl>
    <w:p>
      <w:pPr>
        <w:pStyle w:val="BodyText"/>
      </w:pPr>
      <w:r>
        <w:t xml:space="preserve">Opmerkingen bij de tabel: bij</w:t>
      </w:r>
      <w:r>
        <w:t xml:space="preserve"> </w:t>
      </w:r>
      <w:r>
        <w:rPr>
          <w:bCs/>
          <w:b/>
        </w:rPr>
        <w:t xml:space="preserve">melanotan II</w:t>
      </w:r>
      <w:r>
        <w:t xml:space="preserve"> </w:t>
      </w:r>
      <w:r>
        <w:t xml:space="preserve">betreffen vier van de acht PubMed-treffers melanotan I (het latere afamelanotide); de enige registratie bleek niet betrouwbaar. Bij</w:t>
      </w:r>
      <w:r>
        <w:t xml:space="preserve"> </w:t>
      </w:r>
      <w:r>
        <w:rPr>
          <w:bCs/>
          <w:b/>
        </w:rPr>
        <w:t xml:space="preserve">afamelanotide</w:t>
      </w:r>
      <w:r>
        <w:t xml:space="preserve"> </w:t>
      </w:r>
      <w:r>
        <w:t xml:space="preserve">ontbreken in de telling oudere studies onder de namen melanotan I of NDP-MSH. Bij</w:t>
      </w:r>
      <w:r>
        <w:t xml:space="preserve"> </w:t>
      </w:r>
      <w:r>
        <w:rPr>
          <w:bCs/>
          <w:b/>
        </w:rPr>
        <w:t xml:space="preserve">oxytocine</w:t>
      </w:r>
      <w:r>
        <w:t xml:space="preserve"> </w:t>
      </w:r>
      <w:r>
        <w:t xml:space="preserve">is alleen het gebruik als infuus of injectie in de verloskunde geregistreerd, niet de neusspray. De getallen voor</w:t>
      </w:r>
      <w:r>
        <w:t xml:space="preserve"> </w:t>
      </w:r>
      <w:r>
        <w:rPr>
          <w:bCs/>
          <w:b/>
        </w:rPr>
        <w:t xml:space="preserve">gonadoreline</w:t>
      </w:r>
      <w:r>
        <w:t xml:space="preserve"> </w:t>
      </w:r>
      <w:r>
        <w:t xml:space="preserve">zijn onbruikbaar: de zoekopdracht in het register stuitte op de bovengrens van 1.000 treffers, omdat het register de overkoepelende term „Gonadotropin-Releasing Hormone” meeneemt; bijna alle treffers betreffen GnRH-analogen, bijvoorbeeld bij prostaatkanker, en slechts ongeveer tien het lichaamsidentieke hormoon. Het PubMed-aantal is te laag, omdat de meeste studies „GnRH” of „LHRH” schrijven.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Peptide</w:t>
            </w:r>
          </w:p>
        </w:tc>
        <w:tc>
          <w:tcPr/>
          <w:p>
            <w:pPr>
              <w:pStyle w:val="Compact"/>
              <w:jc w:val="left"/>
            </w:pPr>
            <w:r>
              <w:t xml:space="preserve">Kernresultaat</w:t>
            </w:r>
          </w:p>
        </w:tc>
        <w:tc>
          <w:tcPr/>
          <w:p>
            <w:pPr>
              <w:pStyle w:val="Compact"/>
              <w:jc w:val="left"/>
            </w:pPr>
            <w:r>
              <w:t xml:space="preserve">Belangrijkste risico</w:t>
            </w:r>
          </w:p>
        </w:tc>
      </w:tr>
      <w:tr>
        <w:tc>
          <w:tcPr/>
          <w:p>
            <w:pPr>
              <w:pStyle w:val="Compact"/>
              <w:jc w:val="left"/>
            </w:pPr>
            <w:r>
              <w:t xml:space="preserve">Bremelanotide (PT-141)</w:t>
            </w:r>
          </w:p>
        </w:tc>
        <w:tc>
          <w:tcPr/>
          <w:p>
            <w:pPr>
              <w:pStyle w:val="Compact"/>
              <w:jc w:val="left"/>
            </w:pPr>
            <w:r>
              <w:t xml:space="preserve">RECONNECT, 1.267 vrouwen: slechts gering voordeel ten opzichte van placebo (PMID 31599840)</w:t>
            </w:r>
          </w:p>
        </w:tc>
        <w:tc>
          <w:tcPr/>
          <w:p>
            <w:pPr>
              <w:pStyle w:val="Compact"/>
              <w:jc w:val="left"/>
            </w:pPr>
            <w:r>
              <w:t xml:space="preserve">misselijkheid bij ongeveer 40%, korte bloeddrukstijging</w:t>
            </w:r>
          </w:p>
        </w:tc>
      </w:tr>
      <w:tr>
        <w:tc>
          <w:tcPr/>
          <w:p>
            <w:pPr>
              <w:pStyle w:val="Compact"/>
              <w:jc w:val="left"/>
            </w:pPr>
            <w:r>
              <w:t xml:space="preserve">Melanotan II</w:t>
            </w:r>
          </w:p>
        </w:tc>
        <w:tc>
          <w:tcPr/>
          <w:p>
            <w:pPr>
              <w:pStyle w:val="Compact"/>
              <w:jc w:val="left"/>
            </w:pPr>
            <w:r>
              <w:t xml:space="preserve">kleine cross-overstudies: erecties bij 17 van 20 mannen, vaak misselijkheid (PMID 11035391)</w:t>
            </w:r>
          </w:p>
        </w:tc>
        <w:tc>
          <w:tcPr/>
          <w:p>
            <w:pPr>
              <w:pStyle w:val="Compact"/>
              <w:jc w:val="left"/>
            </w:pPr>
            <w:r>
              <w:t xml:space="preserve">veranderingen van moedervlekken, casusbeschrijvingen van melanoom, priapisme</w:t>
            </w:r>
          </w:p>
        </w:tc>
      </w:tr>
      <w:tr>
        <w:tc>
          <w:tcPr/>
          <w:p>
            <w:pPr>
              <w:pStyle w:val="Compact"/>
              <w:jc w:val="left"/>
            </w:pPr>
            <w:r>
              <w:t xml:space="preserve">Afamelanotide</w:t>
            </w:r>
          </w:p>
        </w:tc>
        <w:tc>
          <w:tcPr/>
          <w:p>
            <w:pPr>
              <w:pStyle w:val="Compact"/>
              <w:jc w:val="left"/>
            </w:pPr>
            <w:r>
              <w:t xml:space="preserve">twee RCT’s: langere pijnvrije tijd in het zonlicht bij EPP (PMID 26132941)</w:t>
            </w:r>
          </w:p>
        </w:tc>
        <w:tc>
          <w:tcPr/>
          <w:p>
            <w:pPr>
              <w:pStyle w:val="Compact"/>
              <w:jc w:val="left"/>
            </w:pPr>
            <w:r>
              <w:t xml:space="preserve">misselijkheid, hoofdpijn; huidcontroles nodig</w:t>
            </w:r>
          </w:p>
        </w:tc>
      </w:tr>
      <w:tr>
        <w:tc>
          <w:tcPr/>
          <w:p>
            <w:pPr>
              <w:pStyle w:val="Compact"/>
              <w:jc w:val="left"/>
            </w:pPr>
            <w:r>
              <w:t xml:space="preserve">Kisspeptine</w:t>
            </w:r>
          </w:p>
        </w:tc>
        <w:tc>
          <w:tcPr/>
          <w:p>
            <w:pPr>
              <w:pStyle w:val="Compact"/>
              <w:jc w:val="left"/>
            </w:pPr>
            <w:r>
              <w:t xml:space="preserve">60 vrouwen met OHSS-risico: eicelrijping bij 95%, geen ernstig OHSS (PMID 26192876)</w:t>
            </w:r>
          </w:p>
        </w:tc>
        <w:tc>
          <w:tcPr/>
          <w:p>
            <w:pPr>
              <w:pStyle w:val="Compact"/>
              <w:jc w:val="left"/>
            </w:pPr>
            <w:r>
              <w:t xml:space="preserve">gewenning tot aan onderdrukking van de hormonale as</w:t>
            </w:r>
          </w:p>
        </w:tc>
      </w:tr>
      <w:tr>
        <w:tc>
          <w:tcPr/>
          <w:p>
            <w:pPr>
              <w:pStyle w:val="Compact"/>
              <w:jc w:val="left"/>
            </w:pPr>
            <w:r>
              <w:t xml:space="preserve">Oxytocine (neusspray)</w:t>
            </w:r>
          </w:p>
        </w:tc>
        <w:tc>
          <w:tcPr/>
          <w:p>
            <w:pPr>
              <w:pStyle w:val="Compact"/>
              <w:jc w:val="left"/>
            </w:pPr>
            <w:r>
              <w:t xml:space="preserve">SOARS-B, 290 kinderen met autisme: geen verschil met placebo (PMID 34644471)</w:t>
            </w:r>
          </w:p>
        </w:tc>
        <w:tc>
          <w:tcPr/>
          <w:p>
            <w:pPr>
              <w:pStyle w:val="Compact"/>
              <w:jc w:val="left"/>
            </w:pPr>
            <w:r>
              <w:t xml:space="preserve">vochtretentie bij hoge doses, opwekken van weeën</w:t>
            </w:r>
          </w:p>
        </w:tc>
      </w:tr>
      <w:tr>
        <w:tc>
          <w:tcPr/>
          <w:p>
            <w:pPr>
              <w:pStyle w:val="Compact"/>
              <w:jc w:val="left"/>
            </w:pPr>
            <w:r>
              <w:t xml:space="preserve">Gonadoreline</w:t>
            </w:r>
          </w:p>
        </w:tc>
        <w:tc>
          <w:tcPr/>
          <w:p>
            <w:pPr>
              <w:pStyle w:val="Compact"/>
              <w:jc w:val="left"/>
            </w:pPr>
            <w:r>
              <w:t xml:space="preserve">pulsatiele toediening: eisprong bij 91% resp. 96% van 109 vrouwen (PMID 2122733)</w:t>
            </w:r>
          </w:p>
        </w:tc>
        <w:tc>
          <w:tcPr/>
          <w:p>
            <w:pPr>
              <w:pStyle w:val="Compact"/>
              <w:jc w:val="left"/>
            </w:pPr>
            <w:r>
              <w:t xml:space="preserve">bij verkeerd ritme onderdrukking van de hormonale as</w:t>
            </w:r>
          </w:p>
        </w:tc>
      </w:tr>
    </w:tbl>
    <w:bookmarkEnd w:id="939"/>
    <w:bookmarkStart w:id="940" w:name="f.-collageen-voeding-en-cosmetica"/>
    <w:p>
      <w:pPr>
        <w:pStyle w:val="Heading3"/>
      </w:pPr>
      <w:r>
        <w:t xml:space="preserve">F. Collageen, voeding en cosmetica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Peptide</w:t>
            </w:r>
          </w:p>
        </w:tc>
        <w:tc>
          <w:tcPr/>
          <w:p>
            <w:pPr>
              <w:pStyle w:val="Compact"/>
              <w:jc w:val="left"/>
            </w:pPr>
            <w:r>
              <w:t xml:space="preserve">Bewijs</w:t>
            </w:r>
          </w:p>
        </w:tc>
        <w:tc>
          <w:tcPr/>
          <w:p>
            <w:pPr>
              <w:pStyle w:val="Compact"/>
              <w:jc w:val="left"/>
            </w:pPr>
            <w:r>
              <w:t xml:space="preserve">Registratie EU / VS</w:t>
            </w:r>
          </w:p>
        </w:tc>
        <w:tc>
          <w:tcPr/>
          <w:p>
            <w:pPr>
              <w:pStyle w:val="Compact"/>
              <w:jc w:val="left"/>
            </w:pPr>
            <w:r>
              <w:t xml:space="preserve">Studies bij mensen / register</w:t>
            </w:r>
          </w:p>
        </w:tc>
      </w:tr>
      <w:tr>
        <w:tc>
          <w:tcPr/>
          <w:p>
            <w:pPr>
              <w:pStyle w:val="Compact"/>
              <w:jc w:val="left"/>
            </w:pPr>
            <w:r>
              <w:t xml:space="preserve">Collageenpeptiden</w:t>
            </w:r>
          </w:p>
        </w:tc>
        <w:tc>
          <w:tcPr/>
          <w:p>
            <w:pPr>
              <w:pStyle w:val="Compact"/>
              <w:jc w:val="left"/>
            </w:pPr>
            <w:r>
              <w:t xml:space="preserve">B</w:t>
            </w:r>
          </w:p>
        </w:tc>
        <w:tc>
          <w:tcPr/>
          <w:p>
            <w:pPr>
              <w:pStyle w:val="Compact"/>
              <w:jc w:val="left"/>
            </w:pPr>
            <w:r>
              <w:t xml:space="preserve">levensmiddel / voedingssupplement</w:t>
            </w:r>
          </w:p>
        </w:tc>
        <w:tc>
          <w:tcPr/>
          <w:p>
            <w:pPr>
              <w:pStyle w:val="Compact"/>
              <w:jc w:val="left"/>
            </w:pPr>
            <w:r>
              <w:t xml:space="preserve">101 / 237 (opm.)</w:t>
            </w:r>
          </w:p>
        </w:tc>
      </w:tr>
      <w:tr>
        <w:tc>
          <w:tcPr/>
          <w:p>
            <w:pPr>
              <w:pStyle w:val="Compact"/>
              <w:jc w:val="left"/>
            </w:pPr>
            <w:r>
              <w:t xml:space="preserve">Lactotripeptiden</w:t>
            </w:r>
          </w:p>
        </w:tc>
        <w:tc>
          <w:tcPr/>
          <w:p>
            <w:pPr>
              <w:pStyle w:val="Compact"/>
              <w:jc w:val="left"/>
            </w:pPr>
            <w:r>
              <w:t xml:space="preserve">B</w:t>
            </w:r>
          </w:p>
        </w:tc>
        <w:tc>
          <w:tcPr/>
          <w:p>
            <w:pPr>
              <w:pStyle w:val="Compact"/>
              <w:jc w:val="left"/>
            </w:pPr>
            <w:r>
              <w:t xml:space="preserve">levensmiddel / voedingssupplement</w:t>
            </w:r>
          </w:p>
        </w:tc>
        <w:tc>
          <w:tcPr/>
          <w:p>
            <w:pPr>
              <w:pStyle w:val="Compact"/>
              <w:jc w:val="left"/>
            </w:pPr>
            <w:r>
              <w:t xml:space="preserve">21 / 0</w:t>
            </w:r>
          </w:p>
        </w:tc>
      </w:tr>
      <w:tr>
        <w:tc>
          <w:tcPr/>
          <w:p>
            <w:pPr>
              <w:pStyle w:val="Compact"/>
              <w:jc w:val="left"/>
            </w:pPr>
            <w:r>
              <w:t xml:space="preserve">Carnosine</w:t>
            </w:r>
          </w:p>
        </w:tc>
        <w:tc>
          <w:tcPr/>
          <w:p>
            <w:pPr>
              <w:pStyle w:val="Compact"/>
              <w:jc w:val="left"/>
            </w:pPr>
            <w:r>
              <w:t xml:space="preserve">B</w:t>
            </w:r>
          </w:p>
        </w:tc>
        <w:tc>
          <w:tcPr/>
          <w:p>
            <w:pPr>
              <w:pStyle w:val="Compact"/>
              <w:jc w:val="left"/>
            </w:pPr>
            <w:r>
              <w:t xml:space="preserve">voedingssupplement / voedingssupplement</w:t>
            </w:r>
          </w:p>
        </w:tc>
        <w:tc>
          <w:tcPr/>
          <w:p>
            <w:pPr>
              <w:pStyle w:val="Compact"/>
              <w:jc w:val="left"/>
            </w:pPr>
            <w:r>
              <w:t xml:space="preserve">57 / 53</w:t>
            </w:r>
          </w:p>
        </w:tc>
      </w:tr>
      <w:tr>
        <w:tc>
          <w:tcPr/>
          <w:p>
            <w:pPr>
              <w:pStyle w:val="Compact"/>
              <w:jc w:val="left"/>
            </w:pPr>
            <w:r>
              <w:t xml:space="preserve">GHK-Cu</w:t>
            </w:r>
          </w:p>
        </w:tc>
        <w:tc>
          <w:tcPr/>
          <w:p>
            <w:pPr>
              <w:pStyle w:val="Compact"/>
              <w:jc w:val="left"/>
            </w:pPr>
            <w:r>
              <w:t xml:space="preserve">C</w:t>
            </w:r>
          </w:p>
        </w:tc>
        <w:tc>
          <w:tcPr/>
          <w:p>
            <w:pPr>
              <w:pStyle w:val="Compact"/>
              <w:jc w:val="left"/>
            </w:pPr>
            <w:r>
              <w:t xml:space="preserve">cosmetica / cosmetica</w:t>
            </w:r>
          </w:p>
        </w:tc>
        <w:tc>
          <w:tcPr/>
          <w:p>
            <w:pPr>
              <w:pStyle w:val="Compact"/>
              <w:jc w:val="left"/>
            </w:pPr>
            <w:r>
              <w:t xml:space="preserve">1 / 24 (opm.)</w:t>
            </w:r>
          </w:p>
        </w:tc>
      </w:tr>
      <w:tr>
        <w:tc>
          <w:tcPr/>
          <w:p>
            <w:pPr>
              <w:pStyle w:val="Compact"/>
              <w:jc w:val="left"/>
            </w:pPr>
            <w:r>
              <w:t xml:space="preserve">Palmitoyl-pentapeptide-4</w:t>
            </w:r>
          </w:p>
        </w:tc>
        <w:tc>
          <w:tcPr/>
          <w:p>
            <w:pPr>
              <w:pStyle w:val="Compact"/>
              <w:jc w:val="left"/>
            </w:pPr>
            <w:r>
              <w:t xml:space="preserve">B (zwak)</w:t>
            </w:r>
          </w:p>
        </w:tc>
        <w:tc>
          <w:tcPr/>
          <w:p>
            <w:pPr>
              <w:pStyle w:val="Compact"/>
              <w:jc w:val="left"/>
            </w:pPr>
            <w:r>
              <w:t xml:space="preserve">cosmetica / cosmetica</w:t>
            </w:r>
          </w:p>
        </w:tc>
        <w:tc>
          <w:tcPr/>
          <w:p>
            <w:pPr>
              <w:pStyle w:val="Compact"/>
              <w:jc w:val="left"/>
            </w:pPr>
            <w:r>
              <w:t xml:space="preserve">1 / 0</w:t>
            </w:r>
          </w:p>
        </w:tc>
      </w:tr>
      <w:tr>
        <w:tc>
          <w:tcPr/>
          <w:p>
            <w:pPr>
              <w:pStyle w:val="Compact"/>
              <w:jc w:val="left"/>
            </w:pPr>
            <w:r>
              <w:t xml:space="preserve">Acetyl-hexapeptide-8</w:t>
            </w:r>
          </w:p>
        </w:tc>
        <w:tc>
          <w:tcPr/>
          <w:p>
            <w:pPr>
              <w:pStyle w:val="Compact"/>
              <w:jc w:val="left"/>
            </w:pPr>
            <w:r>
              <w:t xml:space="preserve">B (zwak)</w:t>
            </w:r>
          </w:p>
        </w:tc>
        <w:tc>
          <w:tcPr/>
          <w:p>
            <w:pPr>
              <w:pStyle w:val="Compact"/>
              <w:jc w:val="left"/>
            </w:pPr>
            <w:r>
              <w:t xml:space="preserve">cosmetica / cosmetica</w:t>
            </w:r>
          </w:p>
        </w:tc>
        <w:tc>
          <w:tcPr/>
          <w:p>
            <w:pPr>
              <w:pStyle w:val="Compact"/>
              <w:jc w:val="left"/>
            </w:pPr>
            <w:r>
              <w:t xml:space="preserve">3 / 7</w:t>
            </w:r>
          </w:p>
        </w:tc>
      </w:tr>
    </w:tbl>
    <w:p>
      <w:pPr>
        <w:pStyle w:val="BodyText"/>
      </w:pPr>
      <w:r>
        <w:t xml:space="preserve">Opmerkingen bij de tabel: bij</w:t>
      </w:r>
      <w:r>
        <w:t xml:space="preserve"> </w:t>
      </w:r>
      <w:r>
        <w:rPr>
          <w:bCs/>
          <w:b/>
        </w:rPr>
        <w:t xml:space="preserve">collageenpeptiden</w:t>
      </w:r>
      <w:r>
        <w:t xml:space="preserve"> </w:t>
      </w:r>
      <w:r>
        <w:t xml:space="preserve">betreft een aanzienlijk deel van de registertreffers andere onderwerpen, bijvoorbeeld collageenimplantaten in de tandheelkunde of het kankermiddel endostatine. Bij</w:t>
      </w:r>
      <w:r>
        <w:t xml:space="preserve"> </w:t>
      </w:r>
      <w:r>
        <w:rPr>
          <w:bCs/>
          <w:b/>
        </w:rPr>
        <w:t xml:space="preserve">GHK-Cu</w:t>
      </w:r>
      <w:r>
        <w:t xml:space="preserve"> </w:t>
      </w:r>
      <w:r>
        <w:t xml:space="preserve">betreffen bijna alle registertreffers andere koperverbindingen, bijvoorbeeld radioactief koper-64 voor beeldvorming; slechts één geloofwaardige registratie onderzoekt daadwerkelijk GHK. Voor geen enkele stof in deze groep is in de EU een gezondheidsgerelateerde reclameslogan toegelaten; voor lactotripeptiden heeft de Europese Autoriteit voor voedselveiligheid (EFSA) de aangevraagde bloeddrukclaim afgewezen.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Peptide</w:t>
            </w:r>
          </w:p>
        </w:tc>
        <w:tc>
          <w:tcPr/>
          <w:p>
            <w:pPr>
              <w:pStyle w:val="Compact"/>
              <w:jc w:val="left"/>
            </w:pPr>
            <w:r>
              <w:t xml:space="preserve">Kernresultaat</w:t>
            </w:r>
          </w:p>
        </w:tc>
        <w:tc>
          <w:tcPr/>
          <w:p>
            <w:pPr>
              <w:pStyle w:val="Compact"/>
              <w:jc w:val="left"/>
            </w:pPr>
            <w:r>
              <w:t xml:space="preserve">Belangrijkste risico</w:t>
            </w:r>
          </w:p>
        </w:tc>
      </w:tr>
      <w:tr>
        <w:tc>
          <w:tcPr/>
          <w:p>
            <w:pPr>
              <w:pStyle w:val="Compact"/>
              <w:jc w:val="left"/>
            </w:pPr>
            <w:r>
              <w:t xml:space="preserve">Collageenpeptiden</w:t>
            </w:r>
          </w:p>
        </w:tc>
        <w:tc>
          <w:tcPr/>
          <w:p>
            <w:pPr>
              <w:pStyle w:val="Compact"/>
              <w:jc w:val="left"/>
            </w:pPr>
            <w:r>
              <w:t xml:space="preserve">artrose: kleine tot matige effecten (PMID 38218227); nut voor de huid niet in onafhankelijke studies (PMID 40324552)</w:t>
            </w:r>
          </w:p>
        </w:tc>
        <w:tc>
          <w:tcPr/>
          <w:p>
            <w:pPr>
              <w:pStyle w:val="Compact"/>
              <w:jc w:val="left"/>
            </w:pPr>
            <w:r>
              <w:t xml:space="preserve">vervanging van werkzame maatregelen; oxalaat bij neiging tot nierstenen</w:t>
            </w:r>
          </w:p>
        </w:tc>
      </w:tr>
      <w:tr>
        <w:tc>
          <w:tcPr/>
          <w:p>
            <w:pPr>
              <w:pStyle w:val="Compact"/>
              <w:jc w:val="left"/>
            </w:pPr>
            <w:r>
              <w:t xml:space="preserve">Lactotripeptiden</w:t>
            </w:r>
          </w:p>
        </w:tc>
        <w:tc>
          <w:tcPr/>
          <w:p>
            <w:pPr>
              <w:pStyle w:val="Compact"/>
              <w:jc w:val="left"/>
            </w:pPr>
            <w:r>
              <w:t xml:space="preserve">meta-analyse, 30 RCT’s: systolisch −2,95 mmHg, met publicatiebias (PMID 25608938)</w:t>
            </w:r>
          </w:p>
        </w:tc>
        <w:tc>
          <w:tcPr/>
          <w:p>
            <w:pPr>
              <w:pStyle w:val="Compact"/>
              <w:jc w:val="left"/>
            </w:pPr>
            <w:r>
              <w:t xml:space="preserve">vervanging van een werkzame bloeddrukbehandeling</w:t>
            </w:r>
          </w:p>
        </w:tc>
      </w:tr>
      <w:tr>
        <w:tc>
          <w:tcPr/>
          <w:p>
            <w:pPr>
              <w:pStyle w:val="Compact"/>
              <w:jc w:val="left"/>
            </w:pPr>
            <w:r>
              <w:t xml:space="preserve">Carnosine</w:t>
            </w:r>
          </w:p>
        </w:tc>
        <w:tc>
          <w:tcPr/>
          <w:p>
            <w:pPr>
              <w:pStyle w:val="Compact"/>
              <w:jc w:val="left"/>
            </w:pPr>
            <w:r>
              <w:t xml:space="preserve">meta-analyse, 8 RCT’s: iets lagere glucose- en HbA1c-waarden (PMID 40999397)</w:t>
            </w:r>
          </w:p>
        </w:tc>
        <w:tc>
          <w:tcPr/>
          <w:p>
            <w:pPr>
              <w:pStyle w:val="Compact"/>
              <w:jc w:val="left"/>
            </w:pPr>
            <w:r>
              <w:t xml:space="preserve">geen relevante; langetermijngegevens ontbreken</w:t>
            </w:r>
          </w:p>
        </w:tc>
      </w:tr>
      <w:tr>
        <w:tc>
          <w:tcPr/>
          <w:p>
            <w:pPr>
              <w:pStyle w:val="Compact"/>
              <w:jc w:val="left"/>
            </w:pPr>
            <w:r>
              <w:t xml:space="preserve">GHK-Cu</w:t>
            </w:r>
          </w:p>
        </w:tc>
        <w:tc>
          <w:tcPr/>
          <w:p>
            <w:pPr>
              <w:pStyle w:val="Compact"/>
              <w:jc w:val="left"/>
            </w:pPr>
            <w:r>
              <w:t xml:space="preserve">voetzweren: wondoppervlak mediaan −98,5% vs. −60,8% (PMID 17147644)</w:t>
            </w:r>
          </w:p>
        </w:tc>
        <w:tc>
          <w:tcPr/>
          <w:p>
            <w:pPr>
              <w:pStyle w:val="Compact"/>
              <w:jc w:val="left"/>
            </w:pPr>
            <w:r>
              <w:t xml:space="preserve">injecties met waar van de grijze markt niet getest</w:t>
            </w:r>
          </w:p>
        </w:tc>
      </w:tr>
      <w:tr>
        <w:tc>
          <w:tcPr/>
          <w:p>
            <w:pPr>
              <w:pStyle w:val="Compact"/>
              <w:jc w:val="left"/>
            </w:pPr>
            <w:r>
              <w:t xml:space="preserve">Palmitoyl-pentapeptide-4</w:t>
            </w:r>
          </w:p>
        </w:tc>
        <w:tc>
          <w:tcPr/>
          <w:p>
            <w:pPr>
              <w:pStyle w:val="Compact"/>
              <w:jc w:val="left"/>
            </w:pPr>
            <w:r>
              <w:t xml:space="preserve">93 vrouwen, halfzijdige studie: minder rimpels na 12 weken (PMID 18492182)</w:t>
            </w:r>
          </w:p>
        </w:tc>
        <w:tc>
          <w:tcPr/>
          <w:p>
            <w:pPr>
              <w:pStyle w:val="Compact"/>
              <w:jc w:val="left"/>
            </w:pPr>
            <w:r>
              <w:t xml:space="preserve">zelden huidirritatie</w:t>
            </w:r>
          </w:p>
        </w:tc>
      </w:tr>
      <w:tr>
        <w:tc>
          <w:tcPr/>
          <w:p>
            <w:pPr>
              <w:pStyle w:val="Compact"/>
              <w:jc w:val="left"/>
            </w:pPr>
            <w:r>
              <w:t xml:space="preserve">Acetyl-hexapeptide-8</w:t>
            </w:r>
          </w:p>
        </w:tc>
        <w:tc>
          <w:tcPr/>
          <w:p>
            <w:pPr>
              <w:pStyle w:val="Compact"/>
              <w:jc w:val="left"/>
            </w:pPr>
            <w:r>
              <w:t xml:space="preserve">19 vrouwen, halfzijdige studie: geen verschil na 4 weken (PMID 38024099)</w:t>
            </w:r>
          </w:p>
        </w:tc>
        <w:tc>
          <w:tcPr/>
          <w:p>
            <w:pPr>
              <w:pStyle w:val="Compact"/>
              <w:jc w:val="left"/>
            </w:pPr>
            <w:r>
              <w:t xml:space="preserve">injecties niet toegelaten, casusbeschrijving van infectie</w:t>
            </w:r>
          </w:p>
        </w:tc>
      </w:tr>
    </w:tbl>
    <w:bookmarkEnd w:id="940"/>
    <w:bookmarkStart w:id="944" w:name="X742f7ec3d70ad89a63b9c3f08a062381335079a"/>
    <w:p>
      <w:pPr>
        <w:pStyle w:val="Heading3"/>
      </w:pPr>
      <w:r>
        <w:t xml:space="preserve">Analyse: hoe goed zijn peptiden in het algemeen onderzocht?</w:t>
      </w:r>
    </w:p>
    <w:bookmarkStart w:id="941" w:name="verdeling-van-de-bewijsniveaus"/>
    <w:p>
      <w:pPr>
        <w:pStyle w:val="Heading4"/>
      </w:pPr>
      <w:r>
        <w:t xml:space="preserve">Verdeling van de bewijsniveaus</w:t>
      </w:r>
    </w:p>
    <w:p>
      <w:pPr>
        <w:pStyle w:val="FirstParagraph"/>
      </w:pPr>
      <w:r>
        <w:t xml:space="preserve">De 58 vermeldingen in dit boek – 56 peptiden en twee vergelijkingsstoffen die geen peptiden zijn (orforglipron en ibutamoren) – zijn als volgt verdeeld: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Bewijsniveau</w:t>
            </w:r>
          </w:p>
        </w:tc>
        <w:tc>
          <w:tcPr/>
          <w:p>
            <w:pPr>
              <w:pStyle w:val="Compact"/>
              <w:jc w:val="left"/>
            </w:pPr>
            <w:r>
              <w:t xml:space="preserve">Aantal</w:t>
            </w:r>
          </w:p>
        </w:tc>
        <w:tc>
          <w:tcPr/>
          <w:p>
            <w:pPr>
              <w:pStyle w:val="Compact"/>
              <w:jc w:val="left"/>
            </w:pPr>
            <w:r>
              <w:t xml:space="preserve">Aandeel</w:t>
            </w:r>
          </w:p>
        </w:tc>
        <w:tc>
          <w:tcPr/>
          <w:p>
            <w:pPr>
              <w:pStyle w:val="Compact"/>
              <w:jc w:val="left"/>
            </w:pPr>
            <w:r>
              <w:t xml:space="preserve">Voorbeelden</w:t>
            </w:r>
          </w:p>
        </w:tc>
      </w:tr>
      <w:tr>
        <w:tc>
          <w:tcPr/>
          <w:p>
            <w:pPr>
              <w:pStyle w:val="Compact"/>
              <w:jc w:val="left"/>
            </w:pPr>
            <w:r>
              <w:t xml:space="preserve">A</w:t>
            </w:r>
          </w:p>
        </w:tc>
        <w:tc>
          <w:tcPr/>
          <w:p>
            <w:pPr>
              <w:pStyle w:val="Compact"/>
              <w:jc w:val="left"/>
            </w:pPr>
            <w:r>
              <w:t xml:space="preserve">14</w:t>
            </w:r>
          </w:p>
        </w:tc>
        <w:tc>
          <w:tcPr/>
          <w:p>
            <w:pPr>
              <w:pStyle w:val="Compact"/>
              <w:jc w:val="left"/>
            </w:pPr>
            <w:r>
              <w:t xml:space="preserve">24%</w:t>
            </w:r>
          </w:p>
        </w:tc>
        <w:tc>
          <w:tcPr/>
          <w:p>
            <w:pPr>
              <w:pStyle w:val="Compact"/>
              <w:jc w:val="left"/>
            </w:pPr>
            <w:r>
              <w:t xml:space="preserve">semaglutide, tirzepatide, tesamoreline, afamelanotide</w:t>
            </w:r>
          </w:p>
        </w:tc>
      </w:tr>
      <w:tr>
        <w:tc>
          <w:tcPr/>
          <w:p>
            <w:pPr>
              <w:pStyle w:val="Compact"/>
              <w:jc w:val="left"/>
            </w:pPr>
            <w:r>
              <w:t xml:space="preserve">B</w:t>
            </w:r>
          </w:p>
        </w:tc>
        <w:tc>
          <w:tcPr/>
          <w:p>
            <w:pPr>
              <w:pStyle w:val="Compact"/>
              <w:jc w:val="left"/>
            </w:pPr>
            <w:r>
              <w:t xml:space="preserve">25</w:t>
            </w:r>
          </w:p>
        </w:tc>
        <w:tc>
          <w:tcPr/>
          <w:p>
            <w:pPr>
              <w:pStyle w:val="Compact"/>
              <w:jc w:val="left"/>
            </w:pPr>
            <w:r>
              <w:t xml:space="preserve">43%</w:t>
            </w:r>
          </w:p>
        </w:tc>
        <w:tc>
          <w:tcPr/>
          <w:p>
            <w:pPr>
              <w:pStyle w:val="Compact"/>
              <w:jc w:val="left"/>
            </w:pPr>
            <w:r>
              <w:t xml:space="preserve">retatrutide, thymosine alfa-1, glutathion, collageenpeptiden</w:t>
            </w:r>
          </w:p>
        </w:tc>
      </w:tr>
      <w:tr>
        <w:tc>
          <w:tcPr/>
          <w:p>
            <w:pPr>
              <w:pStyle w:val="Compact"/>
              <w:jc w:val="left"/>
            </w:pPr>
            <w:r>
              <w:t xml:space="preserve">C</w:t>
            </w:r>
          </w:p>
        </w:tc>
        <w:tc>
          <w:tcPr/>
          <w:p>
            <w:pPr>
              <w:pStyle w:val="Compact"/>
              <w:jc w:val="left"/>
            </w:pPr>
            <w:r>
              <w:t xml:space="preserve">12</w:t>
            </w:r>
          </w:p>
        </w:tc>
        <w:tc>
          <w:tcPr/>
          <w:p>
            <w:pPr>
              <w:pStyle w:val="Compact"/>
              <w:jc w:val="left"/>
            </w:pPr>
            <w:r>
              <w:t xml:space="preserve">21%</w:t>
            </w:r>
          </w:p>
        </w:tc>
        <w:tc>
          <w:tcPr/>
          <w:p>
            <w:pPr>
              <w:pStyle w:val="Compact"/>
              <w:jc w:val="left"/>
            </w:pPr>
            <w:r>
              <w:t xml:space="preserve">BPC-157, CJC-1295, Semax, melanotan II</w:t>
            </w:r>
          </w:p>
        </w:tc>
      </w:tr>
      <w:tr>
        <w:tc>
          <w:tcPr/>
          <w:p>
            <w:pPr>
              <w:pStyle w:val="Compact"/>
              <w:jc w:val="left"/>
            </w:pPr>
            <w:r>
              <w:t xml:space="preserve">D</w:t>
            </w:r>
          </w:p>
        </w:tc>
        <w:tc>
          <w:tcPr/>
          <w:p>
            <w:pPr>
              <w:pStyle w:val="Compact"/>
              <w:jc w:val="left"/>
            </w:pPr>
            <w:r>
              <w:t xml:space="preserve">7</w:t>
            </w:r>
          </w:p>
        </w:tc>
        <w:tc>
          <w:tcPr/>
          <w:p>
            <w:pPr>
              <w:pStyle w:val="Compact"/>
              <w:jc w:val="left"/>
            </w:pPr>
            <w:r>
              <w:t xml:space="preserve">12%</w:t>
            </w:r>
          </w:p>
        </w:tc>
        <w:tc>
          <w:tcPr/>
          <w:p>
            <w:pPr>
              <w:pStyle w:val="Compact"/>
              <w:jc w:val="left"/>
            </w:pPr>
            <w:r>
              <w:t xml:space="preserve">AOD-9604, KPV, dihexa, MOTS-c, IGF-1 LR3</w:t>
            </w:r>
          </w:p>
        </w:tc>
      </w:tr>
    </w:tbl>
    <w:p>
      <w:pPr>
        <w:pStyle w:val="BodyText"/>
      </w:pPr>
      <w:r>
        <w:t xml:space="preserve">Opmerking: TB-500 is in de telling opgenomen met niveau B voor thymosine bèta-4; voor het fragment TB-500 alleen geldt niveau D.</w:t>
      </w:r>
    </w:p>
    <w:p>
      <w:pPr>
        <w:pStyle w:val="BodyText"/>
      </w:pPr>
      <w:r>
        <w:t xml:space="preserve">Drie patronen:</w:t>
      </w:r>
    </w:p>
    <w:p>
      <w:pPr>
        <w:numPr>
          <w:ilvl w:val="0"/>
          <w:numId w:val="1321"/>
        </w:numPr>
        <w:pStyle w:val="Compact"/>
      </w:pPr>
      <w:r>
        <w:rPr>
          <w:bCs/>
          <w:b/>
        </w:rPr>
        <w:t xml:space="preserve">Niveau A wordt bijna alleen bereikt door werkzame stoffen die een regulier registratieprogramma van een geneesmiddelenfabrikant hebben doorlopen.</w:t>
      </w:r>
      <w:r>
        <w:t xml:space="preserve"> </w:t>
      </w:r>
      <w:r>
        <w:t xml:space="preserve">Negen van de 14 vermeldingen met niveau A komen uit groep A (stofwisseling en gewicht). De overige zijn tesamoreline, macimoreline en mecasermine uit de groeihormoonas, en bremelanotide en afamelanotide. Geen van de in groep B (genezing) en groep D (hersenen en levensduur) beschreven stoffen bereikt niveau A.</w:t>
      </w:r>
    </w:p>
    <w:p>
      <w:pPr>
        <w:numPr>
          <w:ilvl w:val="0"/>
          <w:numId w:val="1321"/>
        </w:numPr>
        <w:pStyle w:val="Compact"/>
      </w:pPr>
      <w:r>
        <w:rPr>
          <w:bCs/>
          <w:b/>
        </w:rPr>
        <w:t xml:space="preserve">Niveau B betekent vaak „getest en niet bevestigd”.</w:t>
      </w:r>
      <w:r>
        <w:t xml:space="preserve"> </w:t>
      </w:r>
      <w:r>
        <w:t xml:space="preserve">Bij veel van de 25 vermeldingen haalde de grootste gerandomiseerde studie haar primaire doel niet: thymosine alfa-1 bij sepsis, LL-37 bij beenzweren, ipamoreline na darmoperaties, elamipretide bij myopathie, oxytocine bij autisme, glutathion tegen zenuwschade door chemotherapie.</w:t>
      </w:r>
    </w:p>
    <w:p>
      <w:pPr>
        <w:numPr>
          <w:ilvl w:val="0"/>
          <w:numId w:val="1321"/>
        </w:numPr>
        <w:pStyle w:val="Compact"/>
      </w:pPr>
      <w:r>
        <w:rPr>
          <w:bCs/>
          <w:b/>
        </w:rPr>
        <w:t xml:space="preserve">Een derde heeft niveau C of D.</w:t>
      </w:r>
      <w:r>
        <w:t xml:space="preserve"> </w:t>
      </w:r>
      <w:r>
        <w:t xml:space="preserve">19 van de 58 vermeldingen berusten op kleine, ongecontroleerde studies bij mensen of alleen op dier- en laboratoriumproeven – waaronder veel van de stoffen die op internet het sterkst worden aangeprezen.</w:t>
      </w:r>
    </w:p>
    <w:p>
      <w:pPr>
        <w:pStyle w:val="FirstParagraph"/>
      </w:pPr>
      <w:r>
        <w:t xml:space="preserve">Per groep bekeken:</w:t>
      </w:r>
    </w:p>
    <w:p>
      <w:pPr>
        <w:numPr>
          <w:ilvl w:val="0"/>
          <w:numId w:val="1322"/>
        </w:numPr>
        <w:pStyle w:val="Compact"/>
      </w:pPr>
      <w:r>
        <w:t xml:space="preserve">A. Stofwisseling en gewicht (15 vermeldingen): 9 × A, 5 × B, 1 × D</w:t>
      </w:r>
    </w:p>
    <w:p>
      <w:pPr>
        <w:numPr>
          <w:ilvl w:val="0"/>
          <w:numId w:val="1322"/>
        </w:numPr>
        <w:pStyle w:val="Compact"/>
      </w:pPr>
      <w:r>
        <w:t xml:space="preserve">B. Genezing en immuunsysteem (8): 5 × B, 2 × C, 1 × D</w:t>
      </w:r>
    </w:p>
    <w:p>
      <w:pPr>
        <w:numPr>
          <w:ilvl w:val="0"/>
          <w:numId w:val="1322"/>
        </w:numPr>
        <w:pStyle w:val="Compact"/>
      </w:pPr>
      <w:r>
        <w:t xml:space="preserve">C. Groeihormoonas (11): 3 × A, 4 × B, 3 × C, 1 × D</w:t>
      </w:r>
    </w:p>
    <w:p>
      <w:pPr>
        <w:numPr>
          <w:ilvl w:val="0"/>
          <w:numId w:val="1322"/>
        </w:numPr>
        <w:pStyle w:val="Compact"/>
      </w:pPr>
      <w:r>
        <w:t xml:space="preserve">D. Hersenen en levensduur (12): 3 × B, 5 × C, 4 × D</w:t>
      </w:r>
    </w:p>
    <w:p>
      <w:pPr>
        <w:numPr>
          <w:ilvl w:val="0"/>
          <w:numId w:val="1322"/>
        </w:numPr>
        <w:pStyle w:val="Compact"/>
      </w:pPr>
      <w:r>
        <w:t xml:space="preserve">E. Hormonen en pigmentatie (6): 2 × A, 3 × B, 1 × C</w:t>
      </w:r>
    </w:p>
    <w:p>
      <w:pPr>
        <w:numPr>
          <w:ilvl w:val="0"/>
          <w:numId w:val="1322"/>
        </w:numPr>
        <w:pStyle w:val="Compact"/>
      </w:pPr>
      <w:r>
        <w:t xml:space="preserve">F. Collageen en cosmetica (6): 5 × B, 1 × C</w:t>
      </w:r>
    </w:p>
    <w:p>
      <w:pPr>
        <w:pStyle w:val="FirstParagraph"/>
      </w:pPr>
      <w:r>
        <w:t xml:space="preserve">Groep D heeft de zwakste gegevens: vier van haar twaalf peptiden werden nooit in een gepubliceerde studie bij mensen toegediend, vijf andere alleen in kleine, meestal niet-gerandomiseerde studies.</w:t>
      </w:r>
    </w:p>
    <w:bookmarkEnd w:id="941"/>
    <w:bookmarkStart w:id="942" w:name="geregistreerd-of-niet"/>
    <w:p>
      <w:pPr>
        <w:pStyle w:val="Heading4"/>
      </w:pPr>
      <w:r>
        <w:t xml:space="preserve">Geregistreerd of niet?</w:t>
      </w:r>
    </w:p>
    <w:p>
      <w:pPr>
        <w:pStyle w:val="FirstParagraph"/>
      </w:pPr>
      <w:r>
        <w:t xml:space="preserve">„Geregistreerd” betekent in dit boek: een geneesmiddelenautoriteit heeft werkzaamheid, veiligheid en productiekwaliteit voor een bepaalde toepassing beoordeeld. De 58 vermeldingen kunnen op basis daarvan in vijf groepen worden ingedeeld (stand oktober 2026, actuele situatie controleren):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Status</w:t>
            </w:r>
          </w:p>
        </w:tc>
        <w:tc>
          <w:tcPr/>
          <w:p>
            <w:pPr>
              <w:pStyle w:val="Compact"/>
              <w:jc w:val="left"/>
            </w:pPr>
            <w:r>
              <w:t xml:space="preserve">Aantal</w:t>
            </w:r>
          </w:p>
        </w:tc>
        <w:tc>
          <w:tcPr/>
          <w:p>
            <w:pPr>
              <w:pStyle w:val="Compact"/>
              <w:jc w:val="left"/>
            </w:pPr>
            <w:r>
              <w:t xml:space="preserve">Peptiden</w:t>
            </w:r>
          </w:p>
        </w:tc>
      </w:tr>
      <w:tr>
        <w:tc>
          <w:tcPr/>
          <w:p>
            <w:pPr>
              <w:pStyle w:val="Compact"/>
              <w:jc w:val="left"/>
            </w:pPr>
            <w:r>
              <w:t xml:space="preserve">Als geneesmiddel geregistreerd in de EU en/of de VS</w:t>
            </w:r>
          </w:p>
        </w:tc>
        <w:tc>
          <w:tcPr/>
          <w:p>
            <w:pPr>
              <w:pStyle w:val="Compact"/>
              <w:jc w:val="left"/>
            </w:pPr>
            <w:r>
              <w:t xml:space="preserve">14</w:t>
            </w:r>
          </w:p>
        </w:tc>
        <w:tc>
          <w:tcPr/>
          <w:p>
            <w:pPr>
              <w:pStyle w:val="Compact"/>
              <w:jc w:val="left"/>
            </w:pPr>
            <w:r>
              <w:t xml:space="preserve">exenatide, liraglutide, dulaglutide, semaglutide, tirzepatide, setmelanotide, pramlintide, tesamoreline, macimoreline, mecasermine, afamelanotide, bremelanotide, SS-31, oxytocine (alleen verloskunde)</w:t>
            </w:r>
          </w:p>
        </w:tc>
      </w:tr>
      <w:tr>
        <w:tc>
          <w:tcPr/>
          <w:p>
            <w:pPr>
              <w:pStyle w:val="Compact"/>
              <w:jc w:val="left"/>
            </w:pPr>
            <w:r>
              <w:t xml:space="preserve">Alleen nationaal in afzonderlijke EU-staten of alleen buiten de EU en de VS geregistreerd</w:t>
            </w:r>
          </w:p>
        </w:tc>
        <w:tc>
          <w:tcPr/>
          <w:p>
            <w:pPr>
              <w:pStyle w:val="Compact"/>
              <w:jc w:val="left"/>
            </w:pPr>
            <w:r>
              <w:t xml:space="preserve">8</w:t>
            </w:r>
          </w:p>
        </w:tc>
        <w:tc>
          <w:tcPr/>
          <w:p>
            <w:pPr>
              <w:pStyle w:val="Compact"/>
              <w:jc w:val="left"/>
            </w:pPr>
            <w:r>
              <w:t xml:space="preserve">cerebrolysine, gonadoreline, mazdutide (China), thymosine alfa-1 (o.a. China), thymaline, Semax, Selank (Rusland), GHRP-2 (Japan, diagnosticum)</w:t>
            </w:r>
          </w:p>
        </w:tc>
      </w:tr>
      <w:tr>
        <w:tc>
          <w:tcPr/>
          <w:p>
            <w:pPr>
              <w:pStyle w:val="Compact"/>
              <w:jc w:val="left"/>
            </w:pPr>
            <w:r>
              <w:t xml:space="preserve">Vroeger in de VS geregistreerd, nu niet meer in de handel</w:t>
            </w:r>
          </w:p>
        </w:tc>
        <w:tc>
          <w:tcPr/>
          <w:p>
            <w:pPr>
              <w:pStyle w:val="Compact"/>
              <w:jc w:val="left"/>
            </w:pPr>
            <w:r>
              <w:t xml:space="preserve">1</w:t>
            </w:r>
          </w:p>
        </w:tc>
        <w:tc>
          <w:tcPr/>
          <w:p>
            <w:pPr>
              <w:pStyle w:val="Compact"/>
              <w:jc w:val="left"/>
            </w:pPr>
            <w:r>
              <w:t xml:space="preserve">sermoreline</w:t>
            </w:r>
          </w:p>
        </w:tc>
      </w:tr>
      <w:tr>
        <w:tc>
          <w:tcPr/>
          <w:p>
            <w:pPr>
              <w:pStyle w:val="Compact"/>
              <w:jc w:val="left"/>
            </w:pPr>
            <w:r>
              <w:t xml:space="preserve">Toegestaan als levensmiddel, voedingssupplement of cosmetica, zonder registratie als geneesmiddel</w:t>
            </w:r>
          </w:p>
        </w:tc>
        <w:tc>
          <w:tcPr/>
          <w:p>
            <w:pPr>
              <w:pStyle w:val="Compact"/>
              <w:jc w:val="left"/>
            </w:pPr>
            <w:r>
              <w:t xml:space="preserve">7</w:t>
            </w:r>
          </w:p>
        </w:tc>
        <w:tc>
          <w:tcPr/>
          <w:p>
            <w:pPr>
              <w:pStyle w:val="Compact"/>
              <w:jc w:val="left"/>
            </w:pPr>
            <w:r>
              <w:t xml:space="preserve">collageenpeptiden, lactotripeptiden, carnosine, glutathion, GHK-Cu, palmitoyl-pentapeptide-4, acetyl-hexapeptide-8</w:t>
            </w:r>
          </w:p>
        </w:tc>
      </w:tr>
      <w:tr>
        <w:tc>
          <w:tcPr/>
          <w:p>
            <w:pPr>
              <w:pStyle w:val="Compact"/>
              <w:jc w:val="left"/>
            </w:pPr>
            <w:r>
              <w:t xml:space="preserve">Nergens geregistreerd</w:t>
            </w:r>
          </w:p>
        </w:tc>
        <w:tc>
          <w:tcPr/>
          <w:p>
            <w:pPr>
              <w:pStyle w:val="Compact"/>
              <w:jc w:val="left"/>
            </w:pPr>
            <w:r>
              <w:t xml:space="preserve">28</w:t>
            </w:r>
          </w:p>
        </w:tc>
        <w:tc>
          <w:tcPr/>
          <w:p>
            <w:pPr>
              <w:pStyle w:val="Compact"/>
              <w:jc w:val="left"/>
            </w:pPr>
            <w:r>
              <w:t xml:space="preserve">waaronder retatrutide, CagriSema, BPC-157, TB-500, CJC-1295, ipamoreline, epitalon, MOTS-c, melanotan II, IGF-1 LR3, orforglipron (aanvraag ingediend) en ibutamoren</w:t>
            </w:r>
          </w:p>
        </w:tc>
      </w:tr>
    </w:tbl>
    <w:p>
      <w:pPr>
        <w:pStyle w:val="BodyText"/>
      </w:pPr>
      <w:r>
        <w:t xml:space="preserve">Slechts ongeveer een kwart van de vermeldingen is in de EU of de VS als geneesmiddel geregistreerd – meestal voor nauw omschreven toepassingen: afamelanotide voor een zeldzame lichtovergevoeligheid (erytropoëtische protoporfyrie, EPP), niet om bruin te worden; elamipretide alleen voor het barthsyndroom; oxytocine alleen voor de verloskunde, niet als neusspray; tesamoreline alleen voor een vetverdelingsstoornis bij hiv. Bij de uitspraak „geregistreerd” loont daarom altijd de vraag: waar, waarvoor en in welke vorm?</w:t>
      </w:r>
    </w:p>
    <w:p>
      <w:pPr>
        <w:pStyle w:val="BodyText"/>
      </w:pPr>
      <w:r>
        <w:t xml:space="preserve">De 28 nergens geregistreerde vermeldingen vallen uiteen in twee groepen. Retatrutide, survodutide, CagriSema, amycretine, maridebart cafraglutide en orforglipron zitten in de reguliere ontwikkeling met fase 3-studies; een registratie is voor hen waarschijnlijk, maar niet zeker (inschatting). Stoffen als BPC-157, TB-500, CJC-1295, AOD-9604, epitalon, MOTS-c, dihexa of IGF-1 LR3 hebben daarentegen geen herkenbare weg naar registratie en worden overwegend verkocht als „research peptides”. Aanbiedingen van de grijze markt uit de eerste groep zijn niet gelijk te stellen aan de geteste geneesmiddelen.</w:t>
      </w:r>
    </w:p>
    <w:bookmarkEnd w:id="942"/>
    <w:bookmarkStart w:id="943" w:name="dopingstatus-volgens-de-wada"/>
    <w:p>
      <w:pPr>
        <w:pStyle w:val="Heading4"/>
      </w:pPr>
      <w:r>
        <w:t xml:space="preserve">Dopingstatus volgens de WADA</w:t>
      </w:r>
    </w:p>
    <w:p>
      <w:pPr>
        <w:pStyle w:val="FirstParagraph"/>
      </w:pPr>
      <w:r>
        <w:t xml:space="preserve">Voor de wedstrijdsport telt de verboden lijst van het Wereldantidopingagentschap (WADA). De belangrijkste klassen:</w:t>
      </w:r>
    </w:p>
    <w:p>
      <w:pPr>
        <w:numPr>
          <w:ilvl w:val="0"/>
          <w:numId w:val="1323"/>
        </w:numPr>
        <w:pStyle w:val="Compact"/>
      </w:pPr>
      <w:r>
        <w:rPr>
          <w:bCs/>
          <w:b/>
        </w:rPr>
        <w:t xml:space="preserve">S0</w:t>
      </w:r>
      <w:r>
        <w:t xml:space="preserve"> </w:t>
      </w:r>
      <w:r>
        <w:t xml:space="preserve">– niet-goedgekeurde substanties: alle stoffen zonder registratie als geneesmiddel voor mensen, ook zonder vermelding bij naam.</w:t>
      </w:r>
    </w:p>
    <w:p>
      <w:pPr>
        <w:numPr>
          <w:ilvl w:val="0"/>
          <w:numId w:val="1323"/>
        </w:numPr>
        <w:pStyle w:val="Compact"/>
      </w:pPr>
      <w:r>
        <w:rPr>
          <w:bCs/>
          <w:b/>
        </w:rPr>
        <w:t xml:space="preserve">S2</w:t>
      </w:r>
      <w:r>
        <w:t xml:space="preserve"> </w:t>
      </w:r>
      <w:r>
        <w:t xml:space="preserve">– peptidehormonen, groeifactoren en verwante substanties, waaronder groeihormoon, de vrijmakende factoren en fragmenten daarvan, IGF-1, thymosine bèta-4 en bij mannen vrijmakende factoren voor het luteïniserend hormoon (LH).</w:t>
      </w:r>
    </w:p>
    <w:p>
      <w:pPr>
        <w:numPr>
          <w:ilvl w:val="0"/>
          <w:numId w:val="1323"/>
        </w:numPr>
        <w:pStyle w:val="Compact"/>
      </w:pPr>
      <w:r>
        <w:rPr>
          <w:bCs/>
          <w:b/>
        </w:rPr>
        <w:t xml:space="preserve">S4</w:t>
      </w:r>
      <w:r>
        <w:t xml:space="preserve"> </w:t>
      </w:r>
      <w:r>
        <w:t xml:space="preserve">– hormoon- en metabole modulatoren, waaronder activatoren van het enzym AMPK.</w:t>
      </w:r>
    </w:p>
    <w:p>
      <w:pPr>
        <w:numPr>
          <w:ilvl w:val="0"/>
          <w:numId w:val="1323"/>
        </w:numPr>
        <w:pStyle w:val="Compact"/>
      </w:pPr>
      <w:r>
        <w:rPr>
          <w:bCs/>
          <w:b/>
        </w:rPr>
        <w:t xml:space="preserve">M2</w:t>
      </w:r>
      <w:r>
        <w:t xml:space="preserve"> </w:t>
      </w:r>
      <w:r>
        <w:t xml:space="preserve">– verboden methoden, waaronder infusies van meer dan 100 ml binnen twaalf uur.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Peptiden</w:t>
            </w:r>
          </w:p>
        </w:tc>
        <w:tc>
          <w:tcPr/>
          <w:p>
            <w:pPr>
              <w:pStyle w:val="Compact"/>
              <w:jc w:val="left"/>
            </w:pPr>
            <w:r>
              <w:t xml:space="preserve">WADA-status (stand 2026, actuele situatie controleren)</w:t>
            </w:r>
          </w:p>
        </w:tc>
      </w:tr>
      <w:tr>
        <w:tc>
          <w:tcPr/>
          <w:p>
            <w:pPr>
              <w:pStyle w:val="Compact"/>
              <w:jc w:val="left"/>
            </w:pPr>
            <w:r>
              <w:t xml:space="preserve">AOD-9604, TB-500 / thymosine bèta-4, ARA-290, sermoreline, tesamoreline, CJC-1295, ipamoreline, GHRP-2, GHRP-6, hexareline, macimoreline, mecasermine, IGF-1 LR3, ibutamoren</w:t>
            </w:r>
          </w:p>
        </w:tc>
        <w:tc>
          <w:tcPr/>
          <w:p>
            <w:pPr>
              <w:pStyle w:val="Compact"/>
              <w:jc w:val="left"/>
            </w:pPr>
            <w:r>
              <w:t xml:space="preserve">verboden, S2</w:t>
            </w:r>
          </w:p>
        </w:tc>
      </w:tr>
      <w:tr>
        <w:tc>
          <w:tcPr/>
          <w:p>
            <w:pPr>
              <w:pStyle w:val="Compact"/>
              <w:jc w:val="left"/>
            </w:pPr>
            <w:r>
              <w:t xml:space="preserve">Gonadoreline; kisspeptine</w:t>
            </w:r>
          </w:p>
        </w:tc>
        <w:tc>
          <w:tcPr/>
          <w:p>
            <w:pPr>
              <w:pStyle w:val="Compact"/>
              <w:jc w:val="left"/>
            </w:pPr>
            <w:r>
              <w:t xml:space="preserve">voor mannen verboden, S2; kisspeptine als niet-goedgekeurde werkzame stof daarnaast S0</w:t>
            </w:r>
          </w:p>
        </w:tc>
      </w:tr>
      <w:tr>
        <w:tc>
          <w:tcPr/>
          <w:p>
            <w:pPr>
              <w:pStyle w:val="Compact"/>
              <w:jc w:val="left"/>
            </w:pPr>
            <w:r>
              <w:t xml:space="preserve">MOTS-c</w:t>
            </w:r>
          </w:p>
        </w:tc>
        <w:tc>
          <w:tcPr/>
          <w:p>
            <w:pPr>
              <w:pStyle w:val="Compact"/>
              <w:jc w:val="left"/>
            </w:pPr>
            <w:r>
              <w:t xml:space="preserve">verboden, S4 (AMPK-activator)</w:t>
            </w:r>
          </w:p>
        </w:tc>
      </w:tr>
      <w:tr>
        <w:tc>
          <w:tcPr/>
          <w:p>
            <w:pPr>
              <w:pStyle w:val="Compact"/>
              <w:jc w:val="left"/>
            </w:pPr>
            <w:r>
              <w:t xml:space="preserve">Retatrutide, survodutide, CagriSema, amycretine, maridebart cafraglutide, BPC-157, melanotan II</w:t>
            </w:r>
          </w:p>
        </w:tc>
        <w:tc>
          <w:tcPr/>
          <w:p>
            <w:pPr>
              <w:pStyle w:val="Compact"/>
              <w:jc w:val="left"/>
            </w:pPr>
            <w:r>
              <w:t xml:space="preserve">verboden, S0</w:t>
            </w:r>
          </w:p>
        </w:tc>
      </w:tr>
      <w:tr>
        <w:tc>
          <w:tcPr/>
          <w:p>
            <w:pPr>
              <w:pStyle w:val="Compact"/>
              <w:jc w:val="left"/>
            </w:pPr>
            <w:r>
              <w:t xml:space="preserve">KPV, LL-37, dihexa, epitalon, pinealon, humanine, FOXO4-DRI, orforglipron (tot de registratie)</w:t>
            </w:r>
          </w:p>
        </w:tc>
        <w:tc>
          <w:tcPr/>
          <w:p>
            <w:pPr>
              <w:pStyle w:val="Compact"/>
              <w:jc w:val="left"/>
            </w:pPr>
            <w:r>
              <w:t xml:space="preserve">niet bij naam genoemd, als niet-goedgekeurde substantie vermoedelijk S0</w:t>
            </w:r>
          </w:p>
        </w:tc>
      </w:tr>
      <w:tr>
        <w:tc>
          <w:tcPr/>
          <w:p>
            <w:pPr>
              <w:pStyle w:val="Compact"/>
              <w:jc w:val="left"/>
            </w:pPr>
            <w:r>
              <w:t xml:space="preserve">Mazdutide</w:t>
            </w:r>
          </w:p>
        </w:tc>
        <w:tc>
          <w:tcPr/>
          <w:p>
            <w:pPr>
              <w:pStyle w:val="Compact"/>
              <w:jc w:val="left"/>
            </w:pPr>
            <w:r>
              <w:t xml:space="preserve">niet bij naam genoemd; S0-status door de registratie in China onduidelijk</w:t>
            </w:r>
          </w:p>
        </w:tc>
      </w:tr>
      <w:tr>
        <w:tc>
          <w:tcPr/>
          <w:p>
            <w:pPr>
              <w:pStyle w:val="Compact"/>
              <w:jc w:val="left"/>
            </w:pPr>
            <w:r>
              <w:t xml:space="preserve">GHK-Cu</w:t>
            </w:r>
          </w:p>
        </w:tc>
        <w:tc>
          <w:tcPr/>
          <w:p>
            <w:pPr>
              <w:pStyle w:val="Compact"/>
              <w:jc w:val="left"/>
            </w:pPr>
            <w:r>
              <w:t xml:space="preserve">als cosmetica niet verboden; injectie mogelijk S0</w:t>
            </w:r>
          </w:p>
        </w:tc>
      </w:tr>
      <w:tr>
        <w:tc>
          <w:tcPr/>
          <w:p>
            <w:pPr>
              <w:pStyle w:val="Compact"/>
              <w:jc w:val="left"/>
            </w:pPr>
            <w:r>
              <w:t xml:space="preserve">Glutathion</w:t>
            </w:r>
          </w:p>
        </w:tc>
        <w:tc>
          <w:tcPr/>
          <w:p>
            <w:pPr>
              <w:pStyle w:val="Compact"/>
              <w:jc w:val="left"/>
            </w:pPr>
            <w:r>
              <w:t xml:space="preserve">substantie niet verboden; infusies van meer dan 100 ml binnen twaalf uur verboden (M2)</w:t>
            </w:r>
          </w:p>
        </w:tc>
      </w:tr>
      <w:tr>
        <w:tc>
          <w:tcPr/>
          <w:p>
            <w:pPr>
              <w:pStyle w:val="Compact"/>
              <w:jc w:val="left"/>
            </w:pPr>
            <w:r>
              <w:t xml:space="preserve">Semax, Selank, DSIP, SS-31, bremelanotide</w:t>
            </w:r>
          </w:p>
        </w:tc>
        <w:tc>
          <w:tcPr/>
          <w:p>
            <w:pPr>
              <w:pStyle w:val="Compact"/>
              <w:jc w:val="left"/>
            </w:pPr>
            <w:r>
              <w:t xml:space="preserve">niet bij naam genoemd; indeling niet eenduidig</w:t>
            </w:r>
          </w:p>
        </w:tc>
      </w:tr>
      <w:tr>
        <w:tc>
          <w:tcPr/>
          <w:p>
            <w:pPr>
              <w:pStyle w:val="Compact"/>
              <w:jc w:val="left"/>
            </w:pPr>
            <w:r>
              <w:t xml:space="preserve">Exenatide, liraglutide, dulaglutide, semaglutide, tirzepatide, pramlintide, setmelanotide, thymosine alfa-1, larazotide, thymaline, cerebrolysine, afamelanotide, oxytocine, collageenpeptiden, lactotripeptiden, carnosine, palmitoyl-pentapeptide-4, acetyl-hexapeptide-8</w:t>
            </w:r>
          </w:p>
        </w:tc>
        <w:tc>
          <w:tcPr/>
          <w:p>
            <w:pPr>
              <w:pStyle w:val="Compact"/>
              <w:jc w:val="left"/>
            </w:pPr>
            <w:r>
              <w:t xml:space="preserve">niet vermeld</w:t>
            </w:r>
          </w:p>
        </w:tc>
      </w:tr>
    </w:tbl>
    <w:p>
      <w:pPr>
        <w:pStyle w:val="BodyText"/>
      </w:pPr>
      <w:r>
        <w:t xml:space="preserve">De lijst is niet uitputtend: S0 omvat elke stof zonder registratie, S2 ook „verwante substanties” met een vergelijkbaar effect. Niet bij naam genoemd betekent dus niet toegestaan. Juist de in de krachtsport populaire stoffen van de groeihormoonas en BPC-157 en TB-500 zijn uitdrukkelijk verboden. Bij twijfel geven de nationale antidopingorganisaties informatie.</w:t>
      </w:r>
    </w:p>
    <w:bookmarkEnd w:id="943"/>
    <w:bookmarkEnd w:id="944"/>
    <w:bookmarkStart w:id="945" w:name="wat-het-overzicht-laat-zien"/>
    <w:p>
      <w:pPr>
        <w:pStyle w:val="Heading3"/>
      </w:pPr>
      <w:r>
        <w:t xml:space="preserve">Wat het overzicht laat zien</w:t>
      </w:r>
    </w:p>
    <w:p>
      <w:pPr>
        <w:pStyle w:val="FirstParagraph"/>
      </w:pPr>
      <w:r>
        <w:t xml:space="preserve">De goed onderzochte peptiden zijn bijna uitsluitend geregistreerde geneesmiddelen uit grote, vooraf geregistreerde studies. De meeste op internet populaire peptiden hebben bewijsniveau C of D, zijn nergens geregistreerd en in de sport vaak verboden. Daartussen liggen stoffen die serieus bij mensen zijn onderzocht, maar waarvan de studies het gehoopte nut niet hebben bevestigd. De twee volgende hoofdstukken gaan daar dieper op in voor de GLP-1-middelen en voor de populairste internetpeptiden.</w:t>
      </w:r>
    </w:p>
    <w:bookmarkEnd w:id="945"/>
    <w:bookmarkEnd w:id="946"/>
    <w:bookmarkStart w:id="957" w:name="glp-1-co.-direct-vergeleken"/>
    <w:p>
      <w:pPr>
        <w:pStyle w:val="Heading2"/>
      </w:pPr>
      <w:r>
        <w:t xml:space="preserve">GLP-1 &amp; co. direct vergeleken</w:t>
      </w:r>
    </w:p>
    <w:p>
      <w:pPr>
        <w:pStyle w:val="FirstParagraph"/>
      </w:pPr>
      <w:r>
        <w:t xml:space="preserve">Geen andere groep in dit boek is zo goed onderzocht als de incretinegeneesmiddelen: GLP-1-receptoragonisten zoals liraglutide en semaglutide, de duale agonist tirzepatide en een reeks opvolgers die daarnaast op de glucagon- of amylinereceptor aangrijpen. Voor deze middelen zijn er registratieprogramma’s met tienduizenden deelnemers, grote cardiovasculaire studies en in toenemende mate ook directe vergelijkende studies. Dit hoofdstuk zet de belangrijkste resultaten naast elkaar. Alle cijfers komen uit de hoofdstukken van Deel II, groep A, en de daar geciteerde studies; daar vindt u ook de beperkingen van elke afzonderlijke studie.</w:t>
      </w:r>
    </w:p>
    <w:p>
      <w:pPr>
        <w:pStyle w:val="BodyText"/>
      </w:pPr>
      <w:r>
        <w:t xml:space="preserve">Dit hoofdstuk is geen keuzehulp voor een behandeling. Welk geneesmiddel in een individueel geval in aanmerking komt, hangt af van bijkomende aandoeningen, verdraagbaarheid, registratie, vergoeding en beschikbaarheid, en hoort in handen van een arts. Bepalend zijn de betreffende productinformatie (SmPC) en de medische begeleiding.</w:t>
      </w:r>
    </w:p>
    <w:bookmarkStart w:id="947" w:name="Xd882fbead4337cc118c6ace3e833f386baee143"/>
    <w:p>
      <w:pPr>
        <w:pStyle w:val="Heading3"/>
      </w:pPr>
      <w:r>
        <w:t xml:space="preserve">Vooraf: waarom u studies niet zomaar naast elkaar mag leggen</w:t>
      </w:r>
    </w:p>
    <w:p>
      <w:pPr>
        <w:pStyle w:val="FirstParagraph"/>
      </w:pPr>
      <w:r>
        <w:t xml:space="preserve">De tabellen in dit hoofdstuk nodigen uit om cijfers uit verschillende studies te vergelijken – bijvoorbeeld 20,9% gewichtsverlies met tirzepatide tegenover 14,9% met semaglutide. Zulke kruisvergelijkingen („cross-trial comparisons”) zijn maar beperkt toelaatbaar. De redenen:</w:t>
      </w:r>
    </w:p>
    <w:p>
      <w:pPr>
        <w:numPr>
          <w:ilvl w:val="0"/>
          <w:numId w:val="1324"/>
        </w:numPr>
        <w:pStyle w:val="Compact"/>
      </w:pPr>
      <w:r>
        <w:rPr>
          <w:bCs/>
          <w:b/>
        </w:rPr>
        <w:t xml:space="preserve">Verschillende deelnemers:</w:t>
      </w:r>
      <w:r>
        <w:t xml:space="preserve"> </w:t>
      </w:r>
      <w:r>
        <w:t xml:space="preserve">mensen met diabetes type 2 verliezen met alle incretinegeneesmiddelen duidelijk minder gewicht dan mensen zonder diabetes. Studies in China of Japan nemen mensen met een lager uitgangsgewicht op dan studies in Noord-Amerika en Europa.</w:t>
      </w:r>
    </w:p>
    <w:p>
      <w:pPr>
        <w:numPr>
          <w:ilvl w:val="0"/>
          <w:numId w:val="1324"/>
        </w:numPr>
        <w:pStyle w:val="Compact"/>
      </w:pPr>
      <w:r>
        <w:rPr>
          <w:bCs/>
          <w:b/>
        </w:rPr>
        <w:t xml:space="preserve">Verschillende duur:</w:t>
      </w:r>
      <w:r>
        <w:t xml:space="preserve"> </w:t>
      </w:r>
      <w:r>
        <w:t xml:space="preserve">gewichtsverlies na 48 weken is niet hetzelfde als na 80 weken; veel curven vlakken pas laat af.</w:t>
      </w:r>
    </w:p>
    <w:p>
      <w:pPr>
        <w:numPr>
          <w:ilvl w:val="0"/>
          <w:numId w:val="1324"/>
        </w:numPr>
        <w:pStyle w:val="Compact"/>
      </w:pPr>
      <w:r>
        <w:rPr>
          <w:bCs/>
          <w:b/>
        </w:rPr>
        <w:t xml:space="preserve">Verschillende analyse:</w:t>
      </w:r>
      <w:r>
        <w:t xml:space="preserve"> </w:t>
      </w:r>
      <w:r>
        <w:t xml:space="preserve">sommige studies analyseren alle deelnemers, ook als zij met de behandeling zijn gestopt (de zogenoemde behandelstrategie- of „treatment policy”-schatter). Andere rekenen alsof iedereen het geneesmiddel volgens plan heeft genomen. De tweede variant levert gunstigere cijfers op.</w:t>
      </w:r>
    </w:p>
    <w:p>
      <w:pPr>
        <w:numPr>
          <w:ilvl w:val="0"/>
          <w:numId w:val="1324"/>
        </w:numPr>
        <w:pStyle w:val="Compact"/>
      </w:pPr>
      <w:r>
        <w:rPr>
          <w:bCs/>
          <w:b/>
        </w:rPr>
        <w:t xml:space="preserve">Verschillende placebogroepen:</w:t>
      </w:r>
      <w:r>
        <w:t xml:space="preserve"> </w:t>
      </w:r>
      <w:r>
        <w:t xml:space="preserve">met placebo verloren de deelnemers, afhankelijk van de studie, tussen niets en meer dan 5% van hun gewicht, afhankelijk van hoe intensief de begeleidende voedings- en beweegadvisering was.</w:t>
      </w:r>
    </w:p>
    <w:p>
      <w:pPr>
        <w:numPr>
          <w:ilvl w:val="0"/>
          <w:numId w:val="1324"/>
        </w:numPr>
        <w:pStyle w:val="Compact"/>
      </w:pPr>
      <w:r>
        <w:rPr>
          <w:bCs/>
          <w:b/>
        </w:rPr>
        <w:t xml:space="preserve">Verschillende fasen:</w:t>
      </w:r>
      <w:r>
        <w:t xml:space="preserve"> </w:t>
      </w:r>
      <w:r>
        <w:t xml:space="preserve">resultaten uit kleine fase 2-studies vallen vaak gunstiger uit dan de latere grote fase 3-studies.</w:t>
      </w:r>
    </w:p>
    <w:p>
      <w:pPr>
        <w:pStyle w:val="FirstParagraph"/>
      </w:pPr>
      <w:r>
        <w:t xml:space="preserve">Een vergelijking is alleen betrouwbaar als twee werkzame stoffen in</w:t>
      </w:r>
      <w:r>
        <w:t xml:space="preserve"> </w:t>
      </w:r>
      <w:r>
        <w:rPr>
          <w:iCs/>
          <w:i/>
        </w:rPr>
        <w:t xml:space="preserve">dezelfde</w:t>
      </w:r>
      <w:r>
        <w:t xml:space="preserve"> </w:t>
      </w:r>
      <w:r>
        <w:t xml:space="preserve">studie willekeurig werden toegewezen. Zulke directe vergelijkingen zijn aan het einde van dit hoofdstuk samengebracht. De overige tabellen tonen ordes van grootte, geen rangorde.</w:t>
      </w:r>
    </w:p>
    <w:bookmarkEnd w:id="947"/>
    <w:bookmarkStart w:id="950" w:name="gewichtsverlies-in-de-registratiestudies"/>
    <w:p>
      <w:pPr>
        <w:pStyle w:val="Heading3"/>
      </w:pPr>
      <w:r>
        <w:t xml:space="preserve">Gewichtsverlies in de registratiestudies</w:t>
      </w:r>
    </w:p>
    <w:p>
      <w:pPr>
        <w:pStyle w:val="FirstParagraph"/>
      </w:pPr>
      <w:r>
        <w:t xml:space="preserve">De volgende tabel toont telkens de belangrijkste placebogecontroleerde studie bij volwassenen met overgewicht of obesitas</w:t>
      </w:r>
      <w:r>
        <w:t xml:space="preserve"> </w:t>
      </w:r>
      <w:r>
        <w:rPr>
          <w:iCs/>
          <w:i/>
        </w:rPr>
        <w:t xml:space="preserve">zonder</w:t>
      </w:r>
      <w:r>
        <w:t xml:space="preserve"> </w:t>
      </w:r>
      <w:r>
        <w:t xml:space="preserve">diabetes. Weergegeven is de gemiddelde verandering van het lichaamsgewicht bij de hoogste onderzochte dosis ten opzichte van placebo. Exenatide, dulaglutide en pramlintide zijn niet geregistreerd voor gewichtsvermindering en ontbreken daarom.</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Werkzame stof</w:t>
            </w:r>
          </w:p>
        </w:tc>
        <w:tc>
          <w:tcPr/>
          <w:p>
            <w:pPr>
              <w:pStyle w:val="Compact"/>
              <w:jc w:val="left"/>
            </w:pPr>
            <w:r>
              <w:t xml:space="preserve">Studie</w:t>
            </w:r>
          </w:p>
        </w:tc>
        <w:tc>
          <w:tcPr/>
          <w:p>
            <w:pPr>
              <w:pStyle w:val="Compact"/>
              <w:jc w:val="left"/>
            </w:pPr>
            <w:r>
              <w:t xml:space="preserve">Duur</w:t>
            </w:r>
          </w:p>
        </w:tc>
        <w:tc>
          <w:tcPr/>
          <w:p>
            <w:pPr>
              <w:pStyle w:val="Compact"/>
              <w:jc w:val="left"/>
            </w:pPr>
            <w:r>
              <w:t xml:space="preserve">Gewichtsverlies vs. placebo</w:t>
            </w:r>
          </w:p>
        </w:tc>
      </w:tr>
      <w:tr>
        <w:tc>
          <w:tcPr/>
          <w:p>
            <w:pPr>
              <w:pStyle w:val="Compact"/>
              <w:jc w:val="left"/>
            </w:pPr>
            <w:r>
              <w:t xml:space="preserve">Liraglutide 3,0 mg</w:t>
            </w:r>
          </w:p>
        </w:tc>
        <w:tc>
          <w:tcPr/>
          <w:p>
            <w:pPr>
              <w:pStyle w:val="Compact"/>
              <w:jc w:val="left"/>
            </w:pPr>
            <w:r>
              <w:t xml:space="preserve">SCALE (Pi-Sunyer 2015), PMID 26132939</w:t>
            </w:r>
          </w:p>
        </w:tc>
        <w:tc>
          <w:tcPr/>
          <w:p>
            <w:pPr>
              <w:pStyle w:val="Compact"/>
              <w:jc w:val="left"/>
            </w:pPr>
            <w:r>
              <w:t xml:space="preserve">56 weken</w:t>
            </w:r>
          </w:p>
        </w:tc>
        <w:tc>
          <w:tcPr/>
          <w:p>
            <w:pPr>
              <w:pStyle w:val="Compact"/>
              <w:jc w:val="left"/>
            </w:pPr>
            <w:r>
              <w:t xml:space="preserve">−8,4 kg vs. −2,8 kg</w:t>
            </w:r>
          </w:p>
        </w:tc>
      </w:tr>
      <w:tr>
        <w:tc>
          <w:tcPr/>
          <w:p>
            <w:pPr>
              <w:pStyle w:val="Compact"/>
              <w:jc w:val="left"/>
            </w:pPr>
            <w:r>
              <w:t xml:space="preserve">Semaglutide 2,4 mg</w:t>
            </w:r>
          </w:p>
        </w:tc>
        <w:tc>
          <w:tcPr/>
          <w:p>
            <w:pPr>
              <w:pStyle w:val="Compact"/>
              <w:jc w:val="left"/>
            </w:pPr>
            <w:r>
              <w:t xml:space="preserve">STEP 1 (Wilding 2021), PMID 33567185</w:t>
            </w:r>
          </w:p>
        </w:tc>
        <w:tc>
          <w:tcPr/>
          <w:p>
            <w:pPr>
              <w:pStyle w:val="Compact"/>
              <w:jc w:val="left"/>
            </w:pPr>
            <w:r>
              <w:t xml:space="preserve">68 weken</w:t>
            </w:r>
          </w:p>
        </w:tc>
        <w:tc>
          <w:tcPr/>
          <w:p>
            <w:pPr>
              <w:pStyle w:val="Compact"/>
              <w:jc w:val="left"/>
            </w:pPr>
            <w:r>
              <w:t xml:space="preserve">−14,9% vs. −2,4%</w:t>
            </w:r>
          </w:p>
        </w:tc>
      </w:tr>
      <w:tr>
        <w:tc>
          <w:tcPr/>
          <w:p>
            <w:pPr>
              <w:pStyle w:val="Compact"/>
              <w:jc w:val="left"/>
            </w:pPr>
            <w:r>
              <w:t xml:space="preserve">Semaglutide 7,2 mg</w:t>
            </w:r>
          </w:p>
        </w:tc>
        <w:tc>
          <w:tcPr/>
          <w:p>
            <w:pPr>
              <w:pStyle w:val="Compact"/>
              <w:jc w:val="left"/>
            </w:pPr>
            <w:r>
              <w:t xml:space="preserve">STEP UP (Wharton 2025), PMID 40961952</w:t>
            </w:r>
          </w:p>
        </w:tc>
        <w:tc>
          <w:tcPr/>
          <w:p>
            <w:pPr>
              <w:pStyle w:val="Compact"/>
              <w:jc w:val="left"/>
            </w:pPr>
            <w:r>
              <w:t xml:space="preserve">72 weken</w:t>
            </w:r>
          </w:p>
        </w:tc>
        <w:tc>
          <w:tcPr/>
          <w:p>
            <w:pPr>
              <w:pStyle w:val="Compact"/>
              <w:jc w:val="left"/>
            </w:pPr>
            <w:r>
              <w:t xml:space="preserve">−18,7% vs. −3,9%</w:t>
            </w:r>
          </w:p>
        </w:tc>
      </w:tr>
      <w:tr>
        <w:tc>
          <w:tcPr/>
          <w:p>
            <w:pPr>
              <w:pStyle w:val="Compact"/>
              <w:jc w:val="left"/>
            </w:pPr>
            <w:r>
              <w:t xml:space="preserve">Semaglutide-tablet 50 mg</w:t>
            </w:r>
          </w:p>
        </w:tc>
        <w:tc>
          <w:tcPr/>
          <w:p>
            <w:pPr>
              <w:pStyle w:val="Compact"/>
              <w:jc w:val="left"/>
            </w:pPr>
            <w:r>
              <w:t xml:space="preserve">OASIS 1 (Knop 2023), PMID 37385278</w:t>
            </w:r>
          </w:p>
        </w:tc>
        <w:tc>
          <w:tcPr/>
          <w:p>
            <w:pPr>
              <w:pStyle w:val="Compact"/>
              <w:jc w:val="left"/>
            </w:pPr>
            <w:r>
              <w:t xml:space="preserve">68 weken</w:t>
            </w:r>
          </w:p>
        </w:tc>
        <w:tc>
          <w:tcPr/>
          <w:p>
            <w:pPr>
              <w:pStyle w:val="Compact"/>
              <w:jc w:val="left"/>
            </w:pPr>
            <w:r>
              <w:t xml:space="preserve">−15,1% vs. −2,4%</w:t>
            </w:r>
          </w:p>
        </w:tc>
      </w:tr>
      <w:tr>
        <w:tc>
          <w:tcPr/>
          <w:p>
            <w:pPr>
              <w:pStyle w:val="Compact"/>
              <w:jc w:val="left"/>
            </w:pPr>
            <w:r>
              <w:t xml:space="preserve">Tirzepatide 15 mg</w:t>
            </w:r>
          </w:p>
        </w:tc>
        <w:tc>
          <w:tcPr/>
          <w:p>
            <w:pPr>
              <w:pStyle w:val="Compact"/>
              <w:jc w:val="left"/>
            </w:pPr>
            <w:r>
              <w:t xml:space="preserve">SURMOUNT-1 (Jastreboff 2022), PMID 35658024</w:t>
            </w:r>
          </w:p>
        </w:tc>
        <w:tc>
          <w:tcPr/>
          <w:p>
            <w:pPr>
              <w:pStyle w:val="Compact"/>
              <w:jc w:val="left"/>
            </w:pPr>
            <w:r>
              <w:t xml:space="preserve">72 weken</w:t>
            </w:r>
          </w:p>
        </w:tc>
        <w:tc>
          <w:tcPr/>
          <w:p>
            <w:pPr>
              <w:pStyle w:val="Compact"/>
              <w:jc w:val="left"/>
            </w:pPr>
            <w:r>
              <w:t xml:space="preserve">−20,9% vs. −3,1%</w:t>
            </w:r>
          </w:p>
        </w:tc>
      </w:tr>
      <w:tr>
        <w:tc>
          <w:tcPr/>
          <w:p>
            <w:pPr>
              <w:pStyle w:val="Compact"/>
              <w:jc w:val="left"/>
            </w:pPr>
            <w:r>
              <w:t xml:space="preserve">CagriSema</w:t>
            </w:r>
          </w:p>
        </w:tc>
        <w:tc>
          <w:tcPr/>
          <w:p>
            <w:pPr>
              <w:pStyle w:val="Compact"/>
              <w:jc w:val="left"/>
            </w:pPr>
            <w:r>
              <w:t xml:space="preserve">REDEFINE 1 (Garvey 2025), PMID 40544433</w:t>
            </w:r>
          </w:p>
        </w:tc>
        <w:tc>
          <w:tcPr/>
          <w:p>
            <w:pPr>
              <w:pStyle w:val="Compact"/>
              <w:jc w:val="left"/>
            </w:pPr>
            <w:r>
              <w:t xml:space="preserve">68 weken</w:t>
            </w:r>
          </w:p>
        </w:tc>
        <w:tc>
          <w:tcPr/>
          <w:p>
            <w:pPr>
              <w:pStyle w:val="Compact"/>
              <w:jc w:val="left"/>
            </w:pPr>
            <w:r>
              <w:t xml:space="preserve">−20,4% vs. −3,0%</w:t>
            </w:r>
          </w:p>
        </w:tc>
      </w:tr>
      <w:tr>
        <w:tc>
          <w:tcPr/>
          <w:p>
            <w:pPr>
              <w:pStyle w:val="Compact"/>
              <w:jc w:val="left"/>
            </w:pPr>
            <w:r>
              <w:t xml:space="preserve">Retatrutide 12 mg</w:t>
            </w:r>
          </w:p>
        </w:tc>
        <w:tc>
          <w:tcPr/>
          <w:p>
            <w:pPr>
              <w:pStyle w:val="Compact"/>
              <w:jc w:val="left"/>
            </w:pPr>
            <w:r>
              <w:t xml:space="preserve">TRIUMPH-1 (Jastreboff 2026), PMID 42814954</w:t>
            </w:r>
          </w:p>
        </w:tc>
        <w:tc>
          <w:tcPr/>
          <w:p>
            <w:pPr>
              <w:pStyle w:val="Compact"/>
              <w:jc w:val="left"/>
            </w:pPr>
            <w:r>
              <w:t xml:space="preserve">80 weken</w:t>
            </w:r>
          </w:p>
        </w:tc>
        <w:tc>
          <w:tcPr/>
          <w:p>
            <w:pPr>
              <w:pStyle w:val="Compact"/>
              <w:jc w:val="left"/>
            </w:pPr>
            <w:r>
              <w:t xml:space="preserve">−25,0% vs. −3,9%</w:t>
            </w:r>
          </w:p>
        </w:tc>
      </w:tr>
      <w:tr>
        <w:tc>
          <w:tcPr/>
          <w:p>
            <w:pPr>
              <w:pStyle w:val="Compact"/>
              <w:jc w:val="left"/>
            </w:pPr>
            <w:r>
              <w:t xml:space="preserve">Survodutide 6,0 mg</w:t>
            </w:r>
          </w:p>
        </w:tc>
        <w:tc>
          <w:tcPr/>
          <w:p>
            <w:pPr>
              <w:pStyle w:val="Compact"/>
              <w:jc w:val="left"/>
            </w:pPr>
            <w:r>
              <w:t xml:space="preserve">SYNCHRONIZE-1 (le Roux 2026), PMID 42253238</w:t>
            </w:r>
          </w:p>
        </w:tc>
        <w:tc>
          <w:tcPr/>
          <w:p>
            <w:pPr>
              <w:pStyle w:val="Compact"/>
              <w:jc w:val="left"/>
            </w:pPr>
            <w:r>
              <w:t xml:space="preserve">76 weken</w:t>
            </w:r>
          </w:p>
        </w:tc>
        <w:tc>
          <w:tcPr/>
          <w:p>
            <w:pPr>
              <w:pStyle w:val="Compact"/>
              <w:jc w:val="left"/>
            </w:pPr>
            <w:r>
              <w:t xml:space="preserve">−13,0% vs. −5,4%</w:t>
            </w:r>
          </w:p>
        </w:tc>
      </w:tr>
      <w:tr>
        <w:tc>
          <w:tcPr/>
          <w:p>
            <w:pPr>
              <w:pStyle w:val="Compact"/>
              <w:jc w:val="left"/>
            </w:pPr>
            <w:r>
              <w:t xml:space="preserve">Mazdutide 6 mg</w:t>
            </w:r>
          </w:p>
        </w:tc>
        <w:tc>
          <w:tcPr/>
          <w:p>
            <w:pPr>
              <w:pStyle w:val="Compact"/>
              <w:jc w:val="left"/>
            </w:pPr>
            <w:r>
              <w:t xml:space="preserve">GLORY-1 (Ji 2025), PMID 40421736</w:t>
            </w:r>
          </w:p>
        </w:tc>
        <w:tc>
          <w:tcPr/>
          <w:p>
            <w:pPr>
              <w:pStyle w:val="Compact"/>
              <w:jc w:val="left"/>
            </w:pPr>
            <w:r>
              <w:t xml:space="preserve">48 weken</w:t>
            </w:r>
          </w:p>
        </w:tc>
        <w:tc>
          <w:tcPr/>
          <w:p>
            <w:pPr>
              <w:pStyle w:val="Compact"/>
              <w:jc w:val="left"/>
            </w:pPr>
            <w:r>
              <w:t xml:space="preserve">−14,0% vs. +0,3%</w:t>
            </w:r>
          </w:p>
        </w:tc>
      </w:tr>
      <w:tr>
        <w:tc>
          <w:tcPr/>
          <w:p>
            <w:pPr>
              <w:pStyle w:val="Compact"/>
              <w:jc w:val="left"/>
            </w:pPr>
            <w:r>
              <w:t xml:space="preserve">Maridebart cafraglutide</w:t>
            </w:r>
          </w:p>
        </w:tc>
        <w:tc>
          <w:tcPr/>
          <w:p>
            <w:pPr>
              <w:pStyle w:val="Compact"/>
              <w:jc w:val="left"/>
            </w:pPr>
            <w:r>
              <w:t xml:space="preserve">Fase 2 (Jastreboff 2025), PMID 40549887</w:t>
            </w:r>
          </w:p>
        </w:tc>
        <w:tc>
          <w:tcPr/>
          <w:p>
            <w:pPr>
              <w:pStyle w:val="Compact"/>
              <w:jc w:val="left"/>
            </w:pPr>
            <w:r>
              <w:t xml:space="preserve">52 weken</w:t>
            </w:r>
          </w:p>
        </w:tc>
        <w:tc>
          <w:tcPr/>
          <w:p>
            <w:pPr>
              <w:pStyle w:val="Compact"/>
              <w:jc w:val="left"/>
            </w:pPr>
            <w:r>
              <w:t xml:space="preserve">−12,3 tot −16,2% vs. −2,5%</w:t>
            </w:r>
          </w:p>
        </w:tc>
      </w:tr>
      <w:tr>
        <w:tc>
          <w:tcPr/>
          <w:p>
            <w:pPr>
              <w:pStyle w:val="Compact"/>
              <w:jc w:val="left"/>
            </w:pPr>
            <w:r>
              <w:t xml:space="preserve">Amycretine (injectie)</w:t>
            </w:r>
          </w:p>
        </w:tc>
        <w:tc>
          <w:tcPr/>
          <w:p>
            <w:pPr>
              <w:pStyle w:val="Compact"/>
              <w:jc w:val="left"/>
            </w:pPr>
            <w:r>
              <w:t xml:space="preserve">Fase 1b/2a (Dahl 2025), PMID 40550231</w:t>
            </w:r>
          </w:p>
        </w:tc>
        <w:tc>
          <w:tcPr/>
          <w:p>
            <w:pPr>
              <w:pStyle w:val="Compact"/>
              <w:jc w:val="left"/>
            </w:pPr>
            <w:r>
              <w:t xml:space="preserve">36 weken</w:t>
            </w:r>
          </w:p>
        </w:tc>
        <w:tc>
          <w:tcPr/>
          <w:p>
            <w:pPr>
              <w:pStyle w:val="Compact"/>
              <w:jc w:val="left"/>
            </w:pPr>
            <w:r>
              <w:t xml:space="preserve">tot −24,3% vs. −1,1%</w:t>
            </w:r>
          </w:p>
        </w:tc>
      </w:tr>
      <w:tr>
        <w:tc>
          <w:tcPr/>
          <w:p>
            <w:pPr>
              <w:pStyle w:val="Compact"/>
              <w:jc w:val="left"/>
            </w:pPr>
            <w:r>
              <w:t xml:space="preserve">Orforglipron 36 mg (tablet, geen peptide)</w:t>
            </w:r>
          </w:p>
        </w:tc>
        <w:tc>
          <w:tcPr/>
          <w:p>
            <w:pPr>
              <w:pStyle w:val="Compact"/>
              <w:jc w:val="left"/>
            </w:pPr>
            <w:r>
              <w:t xml:space="preserve">ATTAIN-1 (Wharton 2025), PMID 40960239</w:t>
            </w:r>
          </w:p>
        </w:tc>
        <w:tc>
          <w:tcPr/>
          <w:p>
            <w:pPr>
              <w:pStyle w:val="Compact"/>
              <w:jc w:val="left"/>
            </w:pPr>
            <w:r>
              <w:t xml:space="preserve">72 weken</w:t>
            </w:r>
          </w:p>
        </w:tc>
        <w:tc>
          <w:tcPr/>
          <w:p>
            <w:pPr>
              <w:pStyle w:val="Compact"/>
              <w:jc w:val="left"/>
            </w:pPr>
            <w:r>
              <w:t xml:space="preserve">−11,2% vs. −2,1%</w:t>
            </w:r>
          </w:p>
        </w:tc>
      </w:tr>
    </w:tbl>
    <w:p>
      <w:pPr>
        <w:pStyle w:val="BodyText"/>
      </w:pPr>
      <w:r>
        <w:t xml:space="preserve">Ter duiding van de afzonderlijke rijen:</w:t>
      </w:r>
    </w:p>
    <w:p>
      <w:pPr>
        <w:numPr>
          <w:ilvl w:val="0"/>
          <w:numId w:val="1325"/>
        </w:numPr>
        <w:pStyle w:val="Compact"/>
      </w:pPr>
      <w:r>
        <w:rPr>
          <w:bCs/>
          <w:b/>
        </w:rPr>
        <w:t xml:space="preserve">Liraglutide</w:t>
      </w:r>
      <w:r>
        <w:t xml:space="preserve"> </w:t>
      </w:r>
      <w:r>
        <w:t xml:space="preserve">is de enige werkzame stof waarvoor de registratiestudie het verlies in kilogram als hoofdresultaat vermeldt; bij een uitgangsgewicht van 106,2 kg komt dat grofweg overeen met 8%. In de directe vergelijkende studie STEP 8 was het −6,4% (zie hieronder).</w:t>
      </w:r>
    </w:p>
    <w:p>
      <w:pPr>
        <w:numPr>
          <w:ilvl w:val="0"/>
          <w:numId w:val="1325"/>
        </w:numPr>
        <w:pStyle w:val="Compact"/>
      </w:pPr>
      <w:r>
        <w:rPr>
          <w:bCs/>
          <w:b/>
        </w:rPr>
        <w:t xml:space="preserve">Retatrutide, CagriSema, survodutide, maridebart cafraglutide en amycretine</w:t>
      </w:r>
      <w:r>
        <w:t xml:space="preserve"> </w:t>
      </w:r>
      <w:r>
        <w:t xml:space="preserve">zijn niet geregistreerd (stand oktober 2026). Voor maridebart cafraglutide en amycretine zijn alleen fase 2-gegevens beschikbaar; de amycretinestudie omvatte 125 personen, en de waarde geldt voor de hoogste dosis van een dosisbepalingsstudie.</w:t>
      </w:r>
    </w:p>
    <w:p>
      <w:pPr>
        <w:numPr>
          <w:ilvl w:val="0"/>
          <w:numId w:val="1325"/>
        </w:numPr>
        <w:pStyle w:val="Compact"/>
      </w:pPr>
      <w:r>
        <w:rPr>
          <w:bCs/>
          <w:b/>
        </w:rPr>
        <w:t xml:space="preserve">Mazdutide</w:t>
      </w:r>
      <w:r>
        <w:t xml:space="preserve"> </w:t>
      </w:r>
      <w:r>
        <w:t xml:space="preserve">is alleen in China geregistreerd. GLORY-1 nam volgens Chinese criteria mensen op vanaf een BMI van 28 (of 24 met bijkomende aandoening); het gemiddelde uitgangsgewicht was 87,2 kg. In GLORY-2 met een hogere dosis was het na 60 weken −16,65% tegenover −1,50% (Gao 2026, PMID 42251595).</w:t>
      </w:r>
    </w:p>
    <w:p>
      <w:pPr>
        <w:numPr>
          <w:ilvl w:val="0"/>
          <w:numId w:val="1325"/>
        </w:numPr>
        <w:pStyle w:val="Compact"/>
      </w:pPr>
      <w:r>
        <w:rPr>
          <w:bCs/>
          <w:b/>
        </w:rPr>
        <w:t xml:space="preserve">Survodutide</w:t>
      </w:r>
      <w:r>
        <w:t xml:space="preserve"> </w:t>
      </w:r>
      <w:r>
        <w:t xml:space="preserve">valt op door de hoge afname in de placebogroep van 5,4%; de hoofdanalyse hield uitdrukkelijk ook rekening met stoppers en verlengde opbouw van de dosis.</w:t>
      </w:r>
    </w:p>
    <w:p>
      <w:pPr>
        <w:pStyle w:val="FirstParagraph"/>
      </w:pPr>
      <w:r>
        <w:t xml:space="preserve">Opvallend is een trapsgewijze volgorde: zuivere GLP-1-agonisten bereiken gemiddeld ongeveer 8 tot 15%, de hogere semaglutidedosis bijna 19%, combinaties met GIP of amyline rond 20%, de drievoudige agonist retatrutide 25%. Deze volgorde wordt ondersteund door de directe vergelijkingen SURMOUNT-5, STEP 8 en REDEFINE 5; voor retatrutide moet de directe vergelijking met tirzepatide nog volgen (NCT06662383).</w:t>
      </w:r>
    </w:p>
    <w:bookmarkStart w:id="948" w:name="X4cd36a84efe674daf9387f6c5dd1f0b8bbeced0"/>
    <w:p>
      <w:pPr>
        <w:pStyle w:val="Heading4"/>
      </w:pPr>
      <w:r>
        <w:t xml:space="preserve">Met diabetes type 2 valt het gewichtsverlies lager uit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Werkzame stof</w:t>
            </w:r>
          </w:p>
        </w:tc>
        <w:tc>
          <w:tcPr/>
          <w:p>
            <w:pPr>
              <w:pStyle w:val="Compact"/>
              <w:jc w:val="left"/>
            </w:pPr>
            <w:r>
              <w:t xml:space="preserve">Studie</w:t>
            </w:r>
          </w:p>
        </w:tc>
        <w:tc>
          <w:tcPr/>
          <w:p>
            <w:pPr>
              <w:pStyle w:val="Compact"/>
              <w:jc w:val="left"/>
            </w:pPr>
            <w:r>
              <w:t xml:space="preserve">Duur</w:t>
            </w:r>
          </w:p>
        </w:tc>
        <w:tc>
          <w:tcPr/>
          <w:p>
            <w:pPr>
              <w:pStyle w:val="Compact"/>
              <w:jc w:val="left"/>
            </w:pPr>
            <w:r>
              <w:t xml:space="preserve">Gewichtsverlies vs. placebo</w:t>
            </w:r>
          </w:p>
        </w:tc>
      </w:tr>
      <w:tr>
        <w:tc>
          <w:tcPr/>
          <w:p>
            <w:pPr>
              <w:pStyle w:val="Compact"/>
              <w:jc w:val="left"/>
            </w:pPr>
            <w:r>
              <w:t xml:space="preserve">Liraglutide 3,0 mg</w:t>
            </w:r>
          </w:p>
        </w:tc>
        <w:tc>
          <w:tcPr/>
          <w:p>
            <w:pPr>
              <w:pStyle w:val="Compact"/>
              <w:jc w:val="left"/>
            </w:pPr>
            <w:r>
              <w:t xml:space="preserve">SCALE Diabetes (Davies 2015), PMID 26284720</w:t>
            </w:r>
          </w:p>
        </w:tc>
        <w:tc>
          <w:tcPr/>
          <w:p>
            <w:pPr>
              <w:pStyle w:val="Compact"/>
              <w:jc w:val="left"/>
            </w:pPr>
            <w:r>
              <w:t xml:space="preserve">56 weken</w:t>
            </w:r>
          </w:p>
        </w:tc>
        <w:tc>
          <w:tcPr/>
          <w:p>
            <w:pPr>
              <w:pStyle w:val="Compact"/>
              <w:jc w:val="left"/>
            </w:pPr>
            <w:r>
              <w:t xml:space="preserve">−6,0% vs. −2,0%</w:t>
            </w:r>
          </w:p>
        </w:tc>
      </w:tr>
      <w:tr>
        <w:tc>
          <w:tcPr/>
          <w:p>
            <w:pPr>
              <w:pStyle w:val="Compact"/>
              <w:jc w:val="left"/>
            </w:pPr>
            <w:r>
              <w:t xml:space="preserve">Semaglutide 2,4 mg</w:t>
            </w:r>
          </w:p>
        </w:tc>
        <w:tc>
          <w:tcPr/>
          <w:p>
            <w:pPr>
              <w:pStyle w:val="Compact"/>
              <w:jc w:val="left"/>
            </w:pPr>
            <w:r>
              <w:t xml:space="preserve">STEP 2 (Davies 2021), PMID 33667417</w:t>
            </w:r>
          </w:p>
        </w:tc>
        <w:tc>
          <w:tcPr/>
          <w:p>
            <w:pPr>
              <w:pStyle w:val="Compact"/>
              <w:jc w:val="left"/>
            </w:pPr>
            <w:r>
              <w:t xml:space="preserve">68 weken</w:t>
            </w:r>
          </w:p>
        </w:tc>
        <w:tc>
          <w:tcPr/>
          <w:p>
            <w:pPr>
              <w:pStyle w:val="Compact"/>
              <w:jc w:val="left"/>
            </w:pPr>
            <w:r>
              <w:t xml:space="preserve">−9,6% vs. −3,4%</w:t>
            </w:r>
          </w:p>
        </w:tc>
      </w:tr>
      <w:tr>
        <w:tc>
          <w:tcPr/>
          <w:p>
            <w:pPr>
              <w:pStyle w:val="Compact"/>
              <w:jc w:val="left"/>
            </w:pPr>
            <w:r>
              <w:t xml:space="preserve">Tirzepatide 10/15 mg</w:t>
            </w:r>
          </w:p>
        </w:tc>
        <w:tc>
          <w:tcPr/>
          <w:p>
            <w:pPr>
              <w:pStyle w:val="Compact"/>
              <w:jc w:val="left"/>
            </w:pPr>
            <w:r>
              <w:t xml:space="preserve">SURMOUNT-2 (Garvey 2023), PMID 37385275</w:t>
            </w:r>
          </w:p>
        </w:tc>
        <w:tc>
          <w:tcPr/>
          <w:p>
            <w:pPr>
              <w:pStyle w:val="Compact"/>
              <w:jc w:val="left"/>
            </w:pPr>
            <w:r>
              <w:t xml:space="preserve">72 weken</w:t>
            </w:r>
          </w:p>
        </w:tc>
        <w:tc>
          <w:tcPr/>
          <w:p>
            <w:pPr>
              <w:pStyle w:val="Compact"/>
              <w:jc w:val="left"/>
            </w:pPr>
            <w:r>
              <w:t xml:space="preserve">−12,8 / −14,7% vs. −3,2%</w:t>
            </w:r>
          </w:p>
        </w:tc>
      </w:tr>
      <w:tr>
        <w:tc>
          <w:tcPr/>
          <w:p>
            <w:pPr>
              <w:pStyle w:val="Compact"/>
              <w:jc w:val="left"/>
            </w:pPr>
            <w:r>
              <w:t xml:space="preserve">CagriSema</w:t>
            </w:r>
          </w:p>
        </w:tc>
        <w:tc>
          <w:tcPr/>
          <w:p>
            <w:pPr>
              <w:pStyle w:val="Compact"/>
              <w:jc w:val="left"/>
            </w:pPr>
            <w:r>
              <w:t xml:space="preserve">REDEFINE 2 (Davies 2025), PMID 40544432</w:t>
            </w:r>
          </w:p>
        </w:tc>
        <w:tc>
          <w:tcPr/>
          <w:p>
            <w:pPr>
              <w:pStyle w:val="Compact"/>
              <w:jc w:val="left"/>
            </w:pPr>
            <w:r>
              <w:t xml:space="preserve">68 weken</w:t>
            </w:r>
          </w:p>
        </w:tc>
        <w:tc>
          <w:tcPr/>
          <w:p>
            <w:pPr>
              <w:pStyle w:val="Compact"/>
              <w:jc w:val="left"/>
            </w:pPr>
            <w:r>
              <w:t xml:space="preserve">−13,7% vs. −3,4%</w:t>
            </w:r>
          </w:p>
        </w:tc>
      </w:tr>
      <w:tr>
        <w:tc>
          <w:tcPr/>
          <w:p>
            <w:pPr>
              <w:pStyle w:val="Compact"/>
              <w:jc w:val="left"/>
            </w:pPr>
            <w:r>
              <w:t xml:space="preserve">Retatrutide 12 mg</w:t>
            </w:r>
          </w:p>
        </w:tc>
        <w:tc>
          <w:tcPr/>
          <w:p>
            <w:pPr>
              <w:pStyle w:val="Compact"/>
              <w:jc w:val="left"/>
            </w:pPr>
            <w:r>
              <w:t xml:space="preserve">TRIUMPH-2 (Bellido 2026), PMID 42810372</w:t>
            </w:r>
          </w:p>
        </w:tc>
        <w:tc>
          <w:tcPr/>
          <w:p>
            <w:pPr>
              <w:pStyle w:val="Compact"/>
              <w:jc w:val="left"/>
            </w:pPr>
            <w:r>
              <w:t xml:space="preserve">80 weken</w:t>
            </w:r>
          </w:p>
        </w:tc>
        <w:tc>
          <w:tcPr/>
          <w:p>
            <w:pPr>
              <w:pStyle w:val="Compact"/>
              <w:jc w:val="left"/>
            </w:pPr>
            <w:r>
              <w:t xml:space="preserve">−18,8% vs. −5,1%</w:t>
            </w:r>
          </w:p>
        </w:tc>
      </w:tr>
      <w:tr>
        <w:tc>
          <w:tcPr/>
          <w:p>
            <w:pPr>
              <w:pStyle w:val="Compact"/>
              <w:jc w:val="left"/>
            </w:pPr>
            <w:r>
              <w:t xml:space="preserve">Survodutide</w:t>
            </w:r>
          </w:p>
        </w:tc>
        <w:tc>
          <w:tcPr/>
          <w:p>
            <w:pPr>
              <w:pStyle w:val="Compact"/>
              <w:jc w:val="left"/>
            </w:pPr>
            <w:r>
              <w:t xml:space="preserve">SYNCHRONIZE-2 (Wharton 2026), PMID 42820639</w:t>
            </w:r>
          </w:p>
        </w:tc>
        <w:tc>
          <w:tcPr/>
          <w:p>
            <w:pPr>
              <w:pStyle w:val="Compact"/>
              <w:jc w:val="left"/>
            </w:pPr>
            <w:r>
              <w:t xml:space="preserve">76 weken</w:t>
            </w:r>
          </w:p>
        </w:tc>
        <w:tc>
          <w:tcPr/>
          <w:p>
            <w:pPr>
              <w:pStyle w:val="Compact"/>
              <w:jc w:val="left"/>
            </w:pPr>
            <w:r>
              <w:t xml:space="preserve">−8,2 / −9,8% vs. −3,9%</w:t>
            </w:r>
          </w:p>
        </w:tc>
      </w:tr>
      <w:tr>
        <w:tc>
          <w:tcPr/>
          <w:p>
            <w:pPr>
              <w:pStyle w:val="Compact"/>
              <w:jc w:val="left"/>
            </w:pPr>
            <w:r>
              <w:t xml:space="preserve">Orforglipron</w:t>
            </w:r>
          </w:p>
        </w:tc>
        <w:tc>
          <w:tcPr/>
          <w:p>
            <w:pPr>
              <w:pStyle w:val="Compact"/>
              <w:jc w:val="left"/>
            </w:pPr>
            <w:r>
              <w:t xml:space="preserve">ATTAIN-2 (Horn 2026), PMID 41275875</w:t>
            </w:r>
          </w:p>
        </w:tc>
        <w:tc>
          <w:tcPr/>
          <w:p>
            <w:pPr>
              <w:pStyle w:val="Compact"/>
              <w:jc w:val="left"/>
            </w:pPr>
            <w:r>
              <w:t xml:space="preserve">72 weken</w:t>
            </w:r>
          </w:p>
        </w:tc>
        <w:tc>
          <w:tcPr/>
          <w:p>
            <w:pPr>
              <w:pStyle w:val="Compact"/>
              <w:jc w:val="left"/>
            </w:pPr>
            <w:r>
              <w:t xml:space="preserve">−5,1 tot −9,6% vs. −2,5%</w:t>
            </w:r>
          </w:p>
        </w:tc>
      </w:tr>
    </w:tbl>
    <w:p>
      <w:pPr>
        <w:pStyle w:val="BodyText"/>
      </w:pPr>
      <w:r>
        <w:t xml:space="preserve">Bij elke werkzame stof ligt de waarde met diabetes duidelijk lager dan zonder, meestal met een kwart tot een derde. Dit patroon is zo constant dat een vergelijking van een diabetesstudie met een obesitasstudie zonder diabetes altijd misleidend is.</w:t>
      </w:r>
    </w:p>
    <w:bookmarkEnd w:id="948"/>
    <w:bookmarkStart w:id="949" w:name="na-het-stoppen"/>
    <w:p>
      <w:pPr>
        <w:pStyle w:val="Heading4"/>
      </w:pPr>
      <w:r>
        <w:t xml:space="preserve">Na het stoppen</w:t>
      </w:r>
    </w:p>
    <w:p>
      <w:pPr>
        <w:pStyle w:val="FirstParagraph"/>
      </w:pPr>
      <w:r>
        <w:t xml:space="preserve">Twee studies hebben gericht onderzocht wat er na het stoppen gebeurt. In STEP 4 kregen alle deelnemers eerst 20 weken semaglutide; daarna kwam de groep die overstapte op placebo in 48 weken 6,9% aan, terwijl de groep met semaglutide nog eens 7,9% verloor (Rubino 2021, PMID 33755728). In SURMOUNT-4 kwam de placebogroep na 36 weken tirzepatide in de daaropvolgende 52 weken 14,0% aan (Aronne 2024, PMID 38078870). Voor beide werkzame stoffen geldt: het effect houdt alleen aan zolang er behandeld wordt. Voor de nieuwere werkzame stoffen zijn hierover nog geen gepubliceerde gegevens.</w:t>
      </w:r>
    </w:p>
    <w:bookmarkEnd w:id="949"/>
    <w:bookmarkEnd w:id="950"/>
    <w:bookmarkStart w:id="951" w:name="bloedsuiker-hba1c"/>
    <w:p>
      <w:pPr>
        <w:pStyle w:val="Heading3"/>
      </w:pPr>
      <w:r>
        <w:t xml:space="preserve">Bloedsuiker: HbA1c</w:t>
      </w:r>
    </w:p>
    <w:p>
      <w:pPr>
        <w:pStyle w:val="FirstParagraph"/>
      </w:pPr>
      <w:r>
        <w:t xml:space="preserve">De HbA1c-waarde („lange-termijnsuiker”) geeft aan welk deel van de rode bloedkleurstof met suiker beladen is, en weerspiegelt de gemiddelde bloedsuiker van de afgelopen twee tot drie maanden. Een daling met één procentpunt geldt als klinisch betekenisvol. Hoe sterk de waarde daalt, hangt sterk af van de uitgangswaarde: wie met 9% begint, kan meer verliezen dan iemand met 7,5%.</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Werkzame stof</w:t>
            </w:r>
          </w:p>
        </w:tc>
        <w:tc>
          <w:tcPr/>
          <w:p>
            <w:pPr>
              <w:pStyle w:val="Compact"/>
              <w:jc w:val="left"/>
            </w:pPr>
            <w:r>
              <w:t xml:space="preserve">Studie</w:t>
            </w:r>
          </w:p>
        </w:tc>
        <w:tc>
          <w:tcPr/>
          <w:p>
            <w:pPr>
              <w:pStyle w:val="Compact"/>
              <w:jc w:val="left"/>
            </w:pPr>
            <w:r>
              <w:t xml:space="preserve">Duur</w:t>
            </w:r>
          </w:p>
        </w:tc>
        <w:tc>
          <w:tcPr/>
          <w:p>
            <w:pPr>
              <w:pStyle w:val="Compact"/>
              <w:jc w:val="left"/>
            </w:pPr>
            <w:r>
              <w:t xml:space="preserve">HbA1c-verandering (procentpunten)</w:t>
            </w:r>
          </w:p>
        </w:tc>
      </w:tr>
      <w:tr>
        <w:tc>
          <w:tcPr/>
          <w:p>
            <w:pPr>
              <w:pStyle w:val="Compact"/>
              <w:jc w:val="left"/>
            </w:pPr>
            <w:r>
              <w:t xml:space="preserve">Exenatide tweemaal daags</w:t>
            </w:r>
          </w:p>
        </w:tc>
        <w:tc>
          <w:tcPr/>
          <w:p>
            <w:pPr>
              <w:pStyle w:val="Compact"/>
              <w:jc w:val="left"/>
            </w:pPr>
            <w:r>
              <w:t xml:space="preserve">DeFronzo 2005, PMID 15855572</w:t>
            </w:r>
          </w:p>
        </w:tc>
        <w:tc>
          <w:tcPr/>
          <w:p>
            <w:pPr>
              <w:pStyle w:val="Compact"/>
              <w:jc w:val="left"/>
            </w:pPr>
            <w:r>
              <w:t xml:space="preserve">30 weken</w:t>
            </w:r>
          </w:p>
        </w:tc>
        <w:tc>
          <w:tcPr/>
          <w:p>
            <w:pPr>
              <w:pStyle w:val="Compact"/>
              <w:jc w:val="left"/>
            </w:pPr>
            <w:r>
              <w:t xml:space="preserve">−0,78 vs. +0,08 (placebo)</w:t>
            </w:r>
          </w:p>
        </w:tc>
      </w:tr>
      <w:tr>
        <w:tc>
          <w:tcPr/>
          <w:p>
            <w:pPr>
              <w:pStyle w:val="Compact"/>
              <w:jc w:val="left"/>
            </w:pPr>
            <w:r>
              <w:t xml:space="preserve">Pramlintide</w:t>
            </w:r>
          </w:p>
        </w:tc>
        <w:tc>
          <w:tcPr/>
          <w:p>
            <w:pPr>
              <w:pStyle w:val="Compact"/>
              <w:jc w:val="left"/>
            </w:pPr>
            <w:r>
              <w:t xml:space="preserve">Hollander 2003, PMID 12610038</w:t>
            </w:r>
          </w:p>
        </w:tc>
        <w:tc>
          <w:tcPr/>
          <w:p>
            <w:pPr>
              <w:pStyle w:val="Compact"/>
              <w:jc w:val="left"/>
            </w:pPr>
            <w:r>
              <w:t xml:space="preserve">52 weken</w:t>
            </w:r>
          </w:p>
        </w:tc>
        <w:tc>
          <w:tcPr/>
          <w:p>
            <w:pPr>
              <w:pStyle w:val="Compact"/>
              <w:jc w:val="left"/>
            </w:pPr>
            <w:r>
              <w:t xml:space="preserve">−0,62 (bovenop insuline)</w:t>
            </w:r>
          </w:p>
        </w:tc>
      </w:tr>
      <w:tr>
        <w:tc>
          <w:tcPr/>
          <w:p>
            <w:pPr>
              <w:pStyle w:val="Compact"/>
              <w:jc w:val="left"/>
            </w:pPr>
            <w:r>
              <w:t xml:space="preserve">Liraglutide 1,8 mg</w:t>
            </w:r>
          </w:p>
        </w:tc>
        <w:tc>
          <w:tcPr/>
          <w:p>
            <w:pPr>
              <w:pStyle w:val="Compact"/>
              <w:jc w:val="left"/>
            </w:pPr>
            <w:r>
              <w:t xml:space="preserve">LEAD-3 (Garber 2009), PMID 18819705</w:t>
            </w:r>
          </w:p>
        </w:tc>
        <w:tc>
          <w:tcPr/>
          <w:p>
            <w:pPr>
              <w:pStyle w:val="Compact"/>
              <w:jc w:val="left"/>
            </w:pPr>
            <w:r>
              <w:t xml:space="preserve">52 weken</w:t>
            </w:r>
          </w:p>
        </w:tc>
        <w:tc>
          <w:tcPr/>
          <w:p>
            <w:pPr>
              <w:pStyle w:val="Compact"/>
              <w:jc w:val="left"/>
            </w:pPr>
            <w:r>
              <w:t xml:space="preserve">−1,14 vs. −0,51 (glimepiride)</w:t>
            </w:r>
          </w:p>
        </w:tc>
      </w:tr>
      <w:tr>
        <w:tc>
          <w:tcPr/>
          <w:p>
            <w:pPr>
              <w:pStyle w:val="Compact"/>
              <w:jc w:val="left"/>
            </w:pPr>
            <w:r>
              <w:t xml:space="preserve">Dulaglutide 4,5 mg</w:t>
            </w:r>
          </w:p>
        </w:tc>
        <w:tc>
          <w:tcPr/>
          <w:p>
            <w:pPr>
              <w:pStyle w:val="Compact"/>
              <w:jc w:val="left"/>
            </w:pPr>
            <w:r>
              <w:t xml:space="preserve">AWARD-11 (Frias 2021), PMID 33397768</w:t>
            </w:r>
          </w:p>
        </w:tc>
        <w:tc>
          <w:tcPr/>
          <w:p>
            <w:pPr>
              <w:pStyle w:val="Compact"/>
              <w:jc w:val="left"/>
            </w:pPr>
            <w:r>
              <w:t xml:space="preserve">36 weken</w:t>
            </w:r>
          </w:p>
        </w:tc>
        <w:tc>
          <w:tcPr/>
          <w:p>
            <w:pPr>
              <w:pStyle w:val="Compact"/>
              <w:jc w:val="left"/>
            </w:pPr>
            <w:r>
              <w:t xml:space="preserve">−1,77 vs. −1,54 (1,5 mg)</w:t>
            </w:r>
          </w:p>
        </w:tc>
      </w:tr>
      <w:tr>
        <w:tc>
          <w:tcPr/>
          <w:p>
            <w:pPr>
              <w:pStyle w:val="Compact"/>
              <w:jc w:val="left"/>
            </w:pPr>
            <w:r>
              <w:t xml:space="preserve">Semaglutide 1,0 mg</w:t>
            </w:r>
          </w:p>
        </w:tc>
        <w:tc>
          <w:tcPr/>
          <w:p>
            <w:pPr>
              <w:pStyle w:val="Compact"/>
              <w:jc w:val="left"/>
            </w:pPr>
            <w:r>
              <w:t xml:space="preserve">SUSTAIN 1 (Sorli 2017), PMID 28110911</w:t>
            </w:r>
          </w:p>
        </w:tc>
        <w:tc>
          <w:tcPr/>
          <w:p>
            <w:pPr>
              <w:pStyle w:val="Compact"/>
              <w:jc w:val="left"/>
            </w:pPr>
            <w:r>
              <w:t xml:space="preserve">30 weken</w:t>
            </w:r>
          </w:p>
        </w:tc>
        <w:tc>
          <w:tcPr/>
          <w:p>
            <w:pPr>
              <w:pStyle w:val="Compact"/>
              <w:jc w:val="left"/>
            </w:pPr>
            <w:r>
              <w:t xml:space="preserve">−1,55 vs. −0,02 (placebo)</w:t>
            </w:r>
          </w:p>
        </w:tc>
      </w:tr>
      <w:tr>
        <w:tc>
          <w:tcPr/>
          <w:p>
            <w:pPr>
              <w:pStyle w:val="Compact"/>
              <w:jc w:val="left"/>
            </w:pPr>
            <w:r>
              <w:t xml:space="preserve">Semaglutide 2,0 mg</w:t>
            </w:r>
          </w:p>
        </w:tc>
        <w:tc>
          <w:tcPr/>
          <w:p>
            <w:pPr>
              <w:pStyle w:val="Compact"/>
              <w:jc w:val="left"/>
            </w:pPr>
            <w:r>
              <w:t xml:space="preserve">SUSTAIN FORTE (Frías 2021), PMID 34293304</w:t>
            </w:r>
          </w:p>
        </w:tc>
        <w:tc>
          <w:tcPr/>
          <w:p>
            <w:pPr>
              <w:pStyle w:val="Compact"/>
              <w:jc w:val="left"/>
            </w:pPr>
            <w:r>
              <w:t xml:space="preserve">40 weken</w:t>
            </w:r>
          </w:p>
        </w:tc>
        <w:tc>
          <w:tcPr/>
          <w:p>
            <w:pPr>
              <w:pStyle w:val="Compact"/>
              <w:jc w:val="left"/>
            </w:pPr>
            <w:r>
              <w:t xml:space="preserve">−2,2 vs. −1,9 (1,0 mg)</w:t>
            </w:r>
          </w:p>
        </w:tc>
      </w:tr>
      <w:tr>
        <w:tc>
          <w:tcPr/>
          <w:p>
            <w:pPr>
              <w:pStyle w:val="Compact"/>
              <w:jc w:val="left"/>
            </w:pPr>
            <w:r>
              <w:t xml:space="preserve">Tirzepatide 5–15 mg</w:t>
            </w:r>
          </w:p>
        </w:tc>
        <w:tc>
          <w:tcPr/>
          <w:p>
            <w:pPr>
              <w:pStyle w:val="Compact"/>
              <w:jc w:val="left"/>
            </w:pPr>
            <w:r>
              <w:t xml:space="preserve">SURPASS-1 (Rosenstock 2021), PMID 34186022</w:t>
            </w:r>
          </w:p>
        </w:tc>
        <w:tc>
          <w:tcPr/>
          <w:p>
            <w:pPr>
              <w:pStyle w:val="Compact"/>
              <w:jc w:val="left"/>
            </w:pPr>
            <w:r>
              <w:t xml:space="preserve">40 weken</w:t>
            </w:r>
          </w:p>
        </w:tc>
        <w:tc>
          <w:tcPr/>
          <w:p>
            <w:pPr>
              <w:pStyle w:val="Compact"/>
              <w:jc w:val="left"/>
            </w:pPr>
            <w:r>
              <w:t xml:space="preserve">−1,87 tot −2,07 vs. +0,04 (placebo)</w:t>
            </w:r>
          </w:p>
        </w:tc>
      </w:tr>
      <w:tr>
        <w:tc>
          <w:tcPr/>
          <w:p>
            <w:pPr>
              <w:pStyle w:val="Compact"/>
              <w:jc w:val="left"/>
            </w:pPr>
            <w:r>
              <w:t xml:space="preserve">Retatrutide</w:t>
            </w:r>
          </w:p>
        </w:tc>
        <w:tc>
          <w:tcPr/>
          <w:p>
            <w:pPr>
              <w:pStyle w:val="Compact"/>
              <w:jc w:val="left"/>
            </w:pPr>
            <w:r>
              <w:t xml:space="preserve">TRANSCEND-T2D-1 (Bajaj 2026), PMID 42250575</w:t>
            </w:r>
          </w:p>
        </w:tc>
        <w:tc>
          <w:tcPr/>
          <w:p>
            <w:pPr>
              <w:pStyle w:val="Compact"/>
              <w:jc w:val="left"/>
            </w:pPr>
            <w:r>
              <w:t xml:space="preserve">40 weken</w:t>
            </w:r>
          </w:p>
        </w:tc>
        <w:tc>
          <w:tcPr/>
          <w:p>
            <w:pPr>
              <w:pStyle w:val="Compact"/>
              <w:jc w:val="left"/>
            </w:pPr>
            <w:r>
              <w:t xml:space="preserve">−1,69 tot −1,94 vs. −0,81 (placebo)</w:t>
            </w:r>
          </w:p>
        </w:tc>
      </w:tr>
      <w:tr>
        <w:tc>
          <w:tcPr/>
          <w:p>
            <w:pPr>
              <w:pStyle w:val="Compact"/>
              <w:jc w:val="left"/>
            </w:pPr>
            <w:r>
              <w:t xml:space="preserve">Mazdutide</w:t>
            </w:r>
          </w:p>
        </w:tc>
        <w:tc>
          <w:tcPr/>
          <w:p>
            <w:pPr>
              <w:pStyle w:val="Compact"/>
              <w:jc w:val="left"/>
            </w:pPr>
            <w:r>
              <w:t xml:space="preserve">DREAMS-1 (Zhu 2026), PMID 41407859</w:t>
            </w:r>
          </w:p>
        </w:tc>
        <w:tc>
          <w:tcPr/>
          <w:p>
            <w:pPr>
              <w:pStyle w:val="Compact"/>
              <w:jc w:val="left"/>
            </w:pPr>
            <w:r>
              <w:t xml:space="preserve">24 weken</w:t>
            </w:r>
          </w:p>
        </w:tc>
        <w:tc>
          <w:tcPr/>
          <w:p>
            <w:pPr>
              <w:pStyle w:val="Compact"/>
              <w:jc w:val="left"/>
            </w:pPr>
            <w:r>
              <w:t xml:space="preserve">−1,57 / −2,15 vs. −0,14 (placebo)</w:t>
            </w:r>
          </w:p>
        </w:tc>
      </w:tr>
      <w:tr>
        <w:tc>
          <w:tcPr/>
          <w:p>
            <w:pPr>
              <w:pStyle w:val="Compact"/>
              <w:jc w:val="left"/>
            </w:pPr>
            <w:r>
              <w:t xml:space="preserve">CagriSema</w:t>
            </w:r>
          </w:p>
        </w:tc>
        <w:tc>
          <w:tcPr/>
          <w:p>
            <w:pPr>
              <w:pStyle w:val="Compact"/>
              <w:jc w:val="left"/>
            </w:pPr>
            <w:r>
              <w:t xml:space="preserve">REIMAGINE 1 (Aroda 2026), PMID 42251860</w:t>
            </w:r>
          </w:p>
        </w:tc>
        <w:tc>
          <w:tcPr/>
          <w:p>
            <w:pPr>
              <w:pStyle w:val="Compact"/>
              <w:jc w:val="left"/>
            </w:pPr>
            <w:r>
              <w:t xml:space="preserve">40 weken</w:t>
            </w:r>
          </w:p>
        </w:tc>
        <w:tc>
          <w:tcPr/>
          <w:p>
            <w:pPr>
              <w:pStyle w:val="Compact"/>
              <w:jc w:val="left"/>
            </w:pPr>
            <w:r>
              <w:t xml:space="preserve">−1,8 vs. −0,1 (placebo)</w:t>
            </w:r>
          </w:p>
        </w:tc>
      </w:tr>
      <w:tr>
        <w:tc>
          <w:tcPr/>
          <w:p>
            <w:pPr>
              <w:pStyle w:val="Compact"/>
              <w:jc w:val="left"/>
            </w:pPr>
            <w:r>
              <w:t xml:space="preserve">Maridebart cafraglutide</w:t>
            </w:r>
          </w:p>
        </w:tc>
        <w:tc>
          <w:tcPr/>
          <w:p>
            <w:pPr>
              <w:pStyle w:val="Compact"/>
              <w:jc w:val="left"/>
            </w:pPr>
            <w:r>
              <w:t xml:space="preserve">Fase 2 (Jastreboff 2025), PMID 40549887</w:t>
            </w:r>
          </w:p>
        </w:tc>
        <w:tc>
          <w:tcPr/>
          <w:p>
            <w:pPr>
              <w:pStyle w:val="Compact"/>
              <w:jc w:val="left"/>
            </w:pPr>
            <w:r>
              <w:t xml:space="preserve">52 weken</w:t>
            </w:r>
          </w:p>
        </w:tc>
        <w:tc>
          <w:tcPr/>
          <w:p>
            <w:pPr>
              <w:pStyle w:val="Compact"/>
              <w:jc w:val="left"/>
            </w:pPr>
            <w:r>
              <w:t xml:space="preserve">−1,2 tot −1,6 vs. +0,1 (placebo)</w:t>
            </w:r>
          </w:p>
        </w:tc>
      </w:tr>
      <w:tr>
        <w:tc>
          <w:tcPr/>
          <w:p>
            <w:pPr>
              <w:pStyle w:val="Compact"/>
              <w:jc w:val="left"/>
            </w:pPr>
            <w:r>
              <w:t xml:space="preserve">Orforglipron</w:t>
            </w:r>
          </w:p>
        </w:tc>
        <w:tc>
          <w:tcPr/>
          <w:p>
            <w:pPr>
              <w:pStyle w:val="Compact"/>
              <w:jc w:val="left"/>
            </w:pPr>
            <w:r>
              <w:t xml:space="preserve">ACHIEVE-1 (Rosenstock 2025), PMID 40544435</w:t>
            </w:r>
          </w:p>
        </w:tc>
        <w:tc>
          <w:tcPr/>
          <w:p>
            <w:pPr>
              <w:pStyle w:val="Compact"/>
              <w:jc w:val="left"/>
            </w:pPr>
            <w:r>
              <w:t xml:space="preserve">40 weken</w:t>
            </w:r>
          </w:p>
        </w:tc>
        <w:tc>
          <w:tcPr/>
          <w:p>
            <w:pPr>
              <w:pStyle w:val="Compact"/>
              <w:jc w:val="left"/>
            </w:pPr>
            <w:r>
              <w:t xml:space="preserve">−1,24 tot −1,48 vs. −0,41 (placebo)</w:t>
            </w:r>
          </w:p>
        </w:tc>
      </w:tr>
    </w:tbl>
    <w:p>
      <w:pPr>
        <w:pStyle w:val="BodyText"/>
      </w:pPr>
      <w:r>
        <w:t xml:space="preserve">De oudere werkzame stoffen exenatide en pramlintide verlagen de HbA1c-waarde met minder dan één procentpunt, de wekelijkse GLP-1-agonisten met ongeveer 1,5 punt, tirzepatide en de nieuwere meervoudige agonisten met rond 2 punten. Bij de bloedsuiker zijn de verschillen tussen de nieuwere werkzame stoffen kleiner dan bij het gewicht. Bijzonder duidelijk blijkt dat uit REIMAGINE 2: daar verlaagde CagriSema de HbA1c-waarde slechts 0,16 procentpunt sterker dan semaglutide 2,4 mg alleen (−1,91 vs. −1,75; Buse 2026, PMID 42251859). De toevoeging van amyline werkt dus vooral op het gewicht.</w:t>
      </w:r>
    </w:p>
    <w:p>
      <w:pPr>
        <w:pStyle w:val="BodyText"/>
      </w:pPr>
      <w:r>
        <w:t xml:space="preserve">Een belangrijk verschil betreft hypoglykemie (te lage bloedsuiker). Omdat GLP-1 de insulineafgifte alleen bij verhoogde bloedsuiker versterkt, is hypoglykemie met deze geneesmiddelen alleen zeldzaam. Ze komt vaker voor als tegelijk insuline of sulfonylureumderivaten worden gebruikt. Bij pramlintide, dat alleen als aanvulling op maaltijdinsuline wordt gebruikt, is ernstige hypoglykemie het belangrijkste risico (Edelman 2006, PMID 17003291).</w:t>
      </w:r>
    </w:p>
    <w:bookmarkEnd w:id="951"/>
    <w:bookmarkStart w:id="952" w:name="cardiovasculaire-eindpuntstudies"/>
    <w:p>
      <w:pPr>
        <w:pStyle w:val="Heading3"/>
      </w:pPr>
      <w:r>
        <w:t xml:space="preserve">Cardiovasculaire eindpuntstudies</w:t>
      </w:r>
    </w:p>
    <w:p>
      <w:pPr>
        <w:pStyle w:val="FirstParagraph"/>
      </w:pPr>
      <w:r>
        <w:t xml:space="preserve">Eindpuntstudies meten geen laboratoriumwaarden, maar gebeurtenissen die voor patiënten tellen: cardiovasculaire sterfte, hartinfarct en beroerte, samengevat als „MACE” (major adverse cardiovascular events). De hazard ratio (HR) geeft aan hoe hoog het risico was in vergelijking met de controlegroep; 0,80 betekent een 20% lager relatief risico.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 (werkzame stof)</w:t>
            </w:r>
          </w:p>
        </w:tc>
        <w:tc>
          <w:tcPr/>
          <w:p>
            <w:pPr>
              <w:pStyle w:val="Compact"/>
              <w:jc w:val="left"/>
            </w:pPr>
            <w:r>
              <w:t xml:space="preserve">Deelnemers</w:t>
            </w:r>
          </w:p>
        </w:tc>
        <w:tc>
          <w:tcPr/>
          <w:p>
            <w:pPr>
              <w:pStyle w:val="Compact"/>
              <w:jc w:val="left"/>
            </w:pPr>
            <w:r>
              <w:t xml:space="preserve">Duur</w:t>
            </w:r>
          </w:p>
        </w:tc>
        <w:tc>
          <w:tcPr/>
          <w:p>
            <w:pPr>
              <w:pStyle w:val="Compact"/>
              <w:jc w:val="left"/>
            </w:pPr>
            <w:r>
              <w:t xml:space="preserve">Resultaat</w:t>
            </w:r>
          </w:p>
        </w:tc>
      </w:tr>
      <w:tr>
        <w:tc>
          <w:tcPr/>
          <w:p>
            <w:pPr>
              <w:pStyle w:val="Compact"/>
              <w:jc w:val="left"/>
            </w:pPr>
            <w:r>
              <w:t xml:space="preserve">LEADER (liraglutide; Marso 2016), PMID 27295427</w:t>
            </w:r>
          </w:p>
        </w:tc>
        <w:tc>
          <w:tcPr/>
          <w:p>
            <w:pPr>
              <w:pStyle w:val="Compact"/>
              <w:jc w:val="left"/>
            </w:pPr>
            <w:r>
              <w:t xml:space="preserve">9.340 met diabetes type 2 en hoog risico</w:t>
            </w:r>
          </w:p>
        </w:tc>
        <w:tc>
          <w:tcPr/>
          <w:p>
            <w:pPr>
              <w:pStyle w:val="Compact"/>
              <w:jc w:val="left"/>
            </w:pPr>
            <w:r>
              <w:t xml:space="preserve">mediaan 3,8 jaar</w:t>
            </w:r>
          </w:p>
        </w:tc>
        <w:tc>
          <w:tcPr/>
          <w:p>
            <w:pPr>
              <w:pStyle w:val="Compact"/>
              <w:jc w:val="left"/>
            </w:pPr>
            <w:r>
              <w:t xml:space="preserve">13,0% vs. 14,9%; HR 0,87</w:t>
            </w:r>
          </w:p>
        </w:tc>
      </w:tr>
      <w:tr>
        <w:tc>
          <w:tcPr/>
          <w:p>
            <w:pPr>
              <w:pStyle w:val="Compact"/>
              <w:jc w:val="left"/>
            </w:pPr>
            <w:r>
              <w:t xml:space="preserve">SUSTAIN 6 (semaglutide; Marso 2016), PMID 27633186</w:t>
            </w:r>
          </w:p>
        </w:tc>
        <w:tc>
          <w:tcPr/>
          <w:p>
            <w:pPr>
              <w:pStyle w:val="Compact"/>
              <w:jc w:val="left"/>
            </w:pPr>
            <w:r>
              <w:t xml:space="preserve">3.297 met diabetes type 2 en hoog risico</w:t>
            </w:r>
          </w:p>
        </w:tc>
        <w:tc>
          <w:tcPr/>
          <w:p>
            <w:pPr>
              <w:pStyle w:val="Compact"/>
              <w:jc w:val="left"/>
            </w:pPr>
            <w:r>
              <w:t xml:space="preserve">104 weken</w:t>
            </w:r>
          </w:p>
        </w:tc>
        <w:tc>
          <w:tcPr/>
          <w:p>
            <w:pPr>
              <w:pStyle w:val="Compact"/>
              <w:jc w:val="left"/>
            </w:pPr>
            <w:r>
              <w:t xml:space="preserve">6,6% vs. 8,9%; HR 0,74</w:t>
            </w:r>
          </w:p>
        </w:tc>
      </w:tr>
      <w:tr>
        <w:tc>
          <w:tcPr/>
          <w:p>
            <w:pPr>
              <w:pStyle w:val="Compact"/>
              <w:jc w:val="left"/>
            </w:pPr>
            <w:r>
              <w:t xml:space="preserve">PIONEER 6 (semaglutide-tablet; Husain 2019), PMID 31185157</w:t>
            </w:r>
          </w:p>
        </w:tc>
        <w:tc>
          <w:tcPr/>
          <w:p>
            <w:pPr>
              <w:pStyle w:val="Compact"/>
              <w:jc w:val="left"/>
            </w:pPr>
            <w:r>
              <w:t xml:space="preserve">3.183 met diabetes type 2 en hoog risico</w:t>
            </w:r>
          </w:p>
        </w:tc>
        <w:tc>
          <w:tcPr/>
          <w:p>
            <w:pPr>
              <w:pStyle w:val="Compact"/>
              <w:jc w:val="left"/>
            </w:pPr>
            <w:r>
              <w:t xml:space="preserve">mediaan 15,9 maanden</w:t>
            </w:r>
          </w:p>
        </w:tc>
        <w:tc>
          <w:tcPr/>
          <w:p>
            <w:pPr>
              <w:pStyle w:val="Compact"/>
              <w:jc w:val="left"/>
            </w:pPr>
            <w:r>
              <w:t xml:space="preserve">3,8% vs. 4,8%; HR 0,79, alleen non-inferioriteit aangetoond</w:t>
            </w:r>
          </w:p>
        </w:tc>
      </w:tr>
      <w:tr>
        <w:tc>
          <w:tcPr/>
          <w:p>
            <w:pPr>
              <w:pStyle w:val="Compact"/>
              <w:jc w:val="left"/>
            </w:pPr>
            <w:r>
              <w:t xml:space="preserve">SOUL (semaglutide-tablet; McGuire 2025), PMID 40162642</w:t>
            </w:r>
          </w:p>
        </w:tc>
        <w:tc>
          <w:tcPr/>
          <w:p>
            <w:pPr>
              <w:pStyle w:val="Compact"/>
              <w:jc w:val="left"/>
            </w:pPr>
            <w:r>
              <w:t xml:space="preserve">9.650 met diabetes type 2 en vaat- of nierziekte</w:t>
            </w:r>
          </w:p>
        </w:tc>
        <w:tc>
          <w:tcPr/>
          <w:p>
            <w:pPr>
              <w:pStyle w:val="Compact"/>
              <w:jc w:val="left"/>
            </w:pPr>
            <w:r>
              <w:t xml:space="preserve">mediaan 49,5 maanden</w:t>
            </w:r>
          </w:p>
        </w:tc>
        <w:tc>
          <w:tcPr/>
          <w:p>
            <w:pPr>
              <w:pStyle w:val="Compact"/>
              <w:jc w:val="left"/>
            </w:pPr>
            <w:r>
              <w:t xml:space="preserve">12,0% vs. 13,8%; HR 0,86</w:t>
            </w:r>
          </w:p>
        </w:tc>
      </w:tr>
      <w:tr>
        <w:tc>
          <w:tcPr/>
          <w:p>
            <w:pPr>
              <w:pStyle w:val="Compact"/>
              <w:jc w:val="left"/>
            </w:pPr>
            <w:r>
              <w:t xml:space="preserve">SELECT (semaglutide 2,4 mg; Lincoff 2023), PMID 37952131</w:t>
            </w:r>
          </w:p>
        </w:tc>
        <w:tc>
          <w:tcPr/>
          <w:p>
            <w:pPr>
              <w:pStyle w:val="Compact"/>
              <w:jc w:val="left"/>
            </w:pPr>
            <w:r>
              <w:t xml:space="preserve">17.604 met overgewicht en hart- en vaatziekte, zonder diabetes</w:t>
            </w:r>
          </w:p>
        </w:tc>
        <w:tc>
          <w:tcPr/>
          <w:p>
            <w:pPr>
              <w:pStyle w:val="Compact"/>
              <w:jc w:val="left"/>
            </w:pPr>
            <w:r>
              <w:t xml:space="preserve">gemiddeld 39,8 maanden</w:t>
            </w:r>
          </w:p>
        </w:tc>
        <w:tc>
          <w:tcPr/>
          <w:p>
            <w:pPr>
              <w:pStyle w:val="Compact"/>
              <w:jc w:val="left"/>
            </w:pPr>
            <w:r>
              <w:t xml:space="preserve">6,5% vs. 8,0%; HR 0,80</w:t>
            </w:r>
          </w:p>
        </w:tc>
      </w:tr>
      <w:tr>
        <w:tc>
          <w:tcPr/>
          <w:p>
            <w:pPr>
              <w:pStyle w:val="Compact"/>
              <w:jc w:val="left"/>
            </w:pPr>
            <w:r>
              <w:t xml:space="preserve">REWIND (dulaglutide; Gerstein 2019), PMID 31189511</w:t>
            </w:r>
          </w:p>
        </w:tc>
        <w:tc>
          <w:tcPr/>
          <w:p>
            <w:pPr>
              <w:pStyle w:val="Compact"/>
              <w:jc w:val="left"/>
            </w:pPr>
            <w:r>
              <w:t xml:space="preserve">9.901 met diabetes type 2, met of zonder eerdere hart- en vaatziekte</w:t>
            </w:r>
          </w:p>
        </w:tc>
        <w:tc>
          <w:tcPr/>
          <w:p>
            <w:pPr>
              <w:pStyle w:val="Compact"/>
              <w:jc w:val="left"/>
            </w:pPr>
            <w:r>
              <w:t xml:space="preserve">mediaan 5,4 jaar</w:t>
            </w:r>
          </w:p>
        </w:tc>
        <w:tc>
          <w:tcPr/>
          <w:p>
            <w:pPr>
              <w:pStyle w:val="Compact"/>
              <w:jc w:val="left"/>
            </w:pPr>
            <w:r>
              <w:t xml:space="preserve">12,0% vs. 13,4%; HR 0,88</w:t>
            </w:r>
          </w:p>
        </w:tc>
      </w:tr>
      <w:tr>
        <w:tc>
          <w:tcPr/>
          <w:p>
            <w:pPr>
              <w:pStyle w:val="Compact"/>
              <w:jc w:val="left"/>
            </w:pPr>
            <w:r>
              <w:t xml:space="preserve">EXSCEL (exenatide wekelijks; Holman 2017), PMID 28910237</w:t>
            </w:r>
          </w:p>
        </w:tc>
        <w:tc>
          <w:tcPr/>
          <w:p>
            <w:pPr>
              <w:pStyle w:val="Compact"/>
              <w:jc w:val="left"/>
            </w:pPr>
            <w:r>
              <w:t xml:space="preserve">14.752 met diabetes type 2</w:t>
            </w:r>
          </w:p>
        </w:tc>
        <w:tc>
          <w:tcPr/>
          <w:p>
            <w:pPr>
              <w:pStyle w:val="Compact"/>
              <w:jc w:val="left"/>
            </w:pPr>
            <w:r>
              <w:t xml:space="preserve">mediaan 3,2 jaar</w:t>
            </w:r>
          </w:p>
        </w:tc>
        <w:tc>
          <w:tcPr/>
          <w:p>
            <w:pPr>
              <w:pStyle w:val="Compact"/>
              <w:jc w:val="left"/>
            </w:pPr>
            <w:r>
              <w:t xml:space="preserve">11,4% vs. 12,2%; HR 0,91, superioriteit nipt niet bereikt</w:t>
            </w:r>
          </w:p>
        </w:tc>
      </w:tr>
      <w:tr>
        <w:tc>
          <w:tcPr/>
          <w:p>
            <w:pPr>
              <w:pStyle w:val="Compact"/>
              <w:jc w:val="left"/>
            </w:pPr>
            <w:r>
              <w:t xml:space="preserve">SURPASS-CVOT (tirzepatide tegen dulaglutide; Nicholls 2025), PMID 41406444</w:t>
            </w:r>
          </w:p>
        </w:tc>
        <w:tc>
          <w:tcPr/>
          <w:p>
            <w:pPr>
              <w:pStyle w:val="Compact"/>
              <w:jc w:val="left"/>
            </w:pPr>
            <w:r>
              <w:t xml:space="preserve">13.165 met diabetes type 2 en vaatziekte</w:t>
            </w:r>
          </w:p>
        </w:tc>
        <w:tc>
          <w:tcPr/>
          <w:p>
            <w:pPr>
              <w:pStyle w:val="Compact"/>
              <w:jc w:val="left"/>
            </w:pPr>
            <w:r>
              <w:t xml:space="preserve">meerdere jaren</w:t>
            </w:r>
          </w:p>
        </w:tc>
        <w:tc>
          <w:tcPr/>
          <w:p>
            <w:pPr>
              <w:pStyle w:val="Compact"/>
              <w:jc w:val="left"/>
            </w:pPr>
            <w:r>
              <w:t xml:space="preserve">12,2% vs. 13,1%; HR 0,92, niet inferieur</w:t>
            </w:r>
          </w:p>
        </w:tc>
      </w:tr>
      <w:tr>
        <w:tc>
          <w:tcPr/>
          <w:p>
            <w:pPr>
              <w:pStyle w:val="Compact"/>
              <w:jc w:val="left"/>
            </w:pPr>
            <w:r>
              <w:t xml:space="preserve">ACHIEVE-4 (orforglipron tegen insuline glargine; Klein 2026), PMID 42815506</w:t>
            </w:r>
          </w:p>
        </w:tc>
        <w:tc>
          <w:tcPr/>
          <w:p>
            <w:pPr>
              <w:pStyle w:val="Compact"/>
              <w:jc w:val="left"/>
            </w:pPr>
            <w:r>
              <w:t xml:space="preserve">2.749 met diabetes type 2 en hoog risico</w:t>
            </w:r>
          </w:p>
        </w:tc>
        <w:tc>
          <w:tcPr/>
          <w:p>
            <w:pPr>
              <w:pStyle w:val="Compact"/>
              <w:jc w:val="left"/>
            </w:pPr>
            <w:r>
              <w:t xml:space="preserve">mediaan 2 jaar</w:t>
            </w:r>
          </w:p>
        </w:tc>
        <w:tc>
          <w:tcPr/>
          <w:p>
            <w:pPr>
              <w:pStyle w:val="Compact"/>
              <w:jc w:val="left"/>
            </w:pPr>
            <w:r>
              <w:t xml:space="preserve">4,2% vs. 5,0% (MACE-4), niet inferieur</w:t>
            </w:r>
          </w:p>
        </w:tc>
      </w:tr>
    </w:tbl>
    <w:p>
      <w:pPr>
        <w:pStyle w:val="BodyText"/>
      </w:pPr>
      <w:r>
        <w:t xml:space="preserve">Wat deze tabel laat zien:</w:t>
      </w:r>
    </w:p>
    <w:p>
      <w:pPr>
        <w:numPr>
          <w:ilvl w:val="0"/>
          <w:numId w:val="1326"/>
        </w:numPr>
        <w:pStyle w:val="Compact"/>
      </w:pPr>
      <w:r>
        <w:rPr>
          <w:bCs/>
          <w:b/>
        </w:rPr>
        <w:t xml:space="preserve">De klasse verlaagt het risico.</w:t>
      </w:r>
      <w:r>
        <w:t xml:space="preserve"> </w:t>
      </w:r>
      <w:r>
        <w:t xml:space="preserve">Een meta-analyse van zeven placebogecontroleerde eindpuntstudies met samen 56.004 deelnemers vond voor GLP-1-receptoragonisten bij diabetes type 2 12% minder ernstige cardiovasculaire gebeurtenissen (HR 0,88), 12% minder sterfgevallen door alle oorzaken en 9% minder ziekenhuisopnamen wegens hartfalen, zonder betekenisvolle verschillen tussen de subgroepen (Kristensen 2019, PMID 31422062). In deze meta-analyse waren ook twee werkzame stoffen opgenomen die in dit boek niet worden besproken.</w:t>
      </w:r>
    </w:p>
    <w:p>
      <w:pPr>
        <w:numPr>
          <w:ilvl w:val="0"/>
          <w:numId w:val="1326"/>
        </w:numPr>
        <w:pStyle w:val="Compact"/>
      </w:pPr>
      <w:r>
        <w:rPr>
          <w:bCs/>
          <w:b/>
        </w:rPr>
        <w:t xml:space="preserve">Verschillen tussen de werkzame stoffen zijn onzeker.</w:t>
      </w:r>
      <w:r>
        <w:t xml:space="preserve"> </w:t>
      </w:r>
      <w:r>
        <w:t xml:space="preserve">Exenatide lag in EXSCEL aan de zwakkere kant; als verklaringen worden het molecuul zelf, het hoge uitvalpercentage en de pragmatische studieopzet besproken. Een exenatide-pompimplantaat (FREEDOM-CVO) voldeed alleen aan het veiligheidscriterium (HR 1,21; Ruff 2022, PMID 34873344).</w:t>
      </w:r>
    </w:p>
    <w:p>
      <w:pPr>
        <w:numPr>
          <w:ilvl w:val="0"/>
          <w:numId w:val="1326"/>
        </w:numPr>
        <w:pStyle w:val="Compact"/>
      </w:pPr>
      <w:r>
        <w:rPr>
          <w:bCs/>
          <w:b/>
        </w:rPr>
        <w:t xml:space="preserve">SELECT is een bijzonder geval.</w:t>
      </w:r>
      <w:r>
        <w:t xml:space="preserve"> </w:t>
      </w:r>
      <w:r>
        <w:t xml:space="preserve">Het is in dit overzicht de enige grote eindpuntstudie uitsluitend bij mensen</w:t>
      </w:r>
      <w:r>
        <w:t xml:space="preserve"> </w:t>
      </w:r>
      <w:r>
        <w:rPr>
          <w:iCs/>
          <w:i/>
        </w:rPr>
        <w:t xml:space="preserve">zonder</w:t>
      </w:r>
      <w:r>
        <w:t xml:space="preserve"> </w:t>
      </w:r>
      <w:r>
        <w:t xml:space="preserve">diabetes. In absolute getallen hadden over ruim drie jaar ongeveer 1,5 op de honderd behandelden een ernstige gebeurtenis minder.</w:t>
      </w:r>
    </w:p>
    <w:p>
      <w:pPr>
        <w:numPr>
          <w:ilvl w:val="0"/>
          <w:numId w:val="1326"/>
        </w:numPr>
        <w:pStyle w:val="Compact"/>
      </w:pPr>
      <w:r>
        <w:rPr>
          <w:bCs/>
          <w:b/>
        </w:rPr>
        <w:t xml:space="preserve">Tirzepatide werd getest tegen een werkzaam geneesmiddel.</w:t>
      </w:r>
      <w:r>
        <w:t xml:space="preserve"> </w:t>
      </w:r>
      <w:r>
        <w:t xml:space="preserve">SURPASS-CVOT vergeleek tirzepatide niet met placebo, maar met dulaglutide, dat in REWIND zelf het risico had verlaagd. Tirzepatide was niet inferieur; de formele superioriteit werd nipt niet bereikt. Hoe groot het voordeel ten opzichte van geen behandeling zou zijn, valt daaruit alleen via modelberekeningen te schatten.</w:t>
      </w:r>
    </w:p>
    <w:p>
      <w:pPr>
        <w:numPr>
          <w:ilvl w:val="0"/>
          <w:numId w:val="1326"/>
        </w:numPr>
        <w:pStyle w:val="Compact"/>
      </w:pPr>
      <w:r>
        <w:rPr>
          <w:bCs/>
          <w:b/>
        </w:rPr>
        <w:t xml:space="preserve">Hartfalen:</w:t>
      </w:r>
      <w:r>
        <w:t xml:space="preserve"> </w:t>
      </w:r>
      <w:r>
        <w:t xml:space="preserve">bij hartfalen met behouden pompfunctie en obesitas verminderde tirzepatide in SUMMIT met 731 personen het samengestelde eindpunt van cardiovasculaire sterfte of verergering van het hartfalen (9,9% vs. 15,3%; HR 0,62; Packer 2025, PMID 39555826). Het verschil berustte op minder verergeringen; sterfgevallen waren zeldzaam. In STEP-HFpEF verbeterde semaglutide klachten en loopafstand (Kosiborod 2023, PMID 37622681), maar die studie was niet opgezet voor harde eindpunten.</w:t>
      </w:r>
    </w:p>
    <w:p>
      <w:pPr>
        <w:pStyle w:val="FirstParagraph"/>
      </w:pPr>
      <w:r>
        <w:rPr>
          <w:bCs/>
          <w:b/>
        </w:rPr>
        <w:t xml:space="preserve">Nog lopend (geregistreerde studies):</w:t>
      </w:r>
      <w:r>
        <w:t xml:space="preserve"> </w:t>
      </w:r>
      <w:r>
        <w:t xml:space="preserve">voor de nieuwere werkzame stoffen ontbreken eindpuntgegevens. Lopende studies zijn SURMOUNT-MMO naar tirzepatide bij obesitas zonder diabetes (NCT05556512), TRIUMPH-Outcomes naar retatrutide (NCT06383390), REDEFINE 3 naar CagriSema (NCT05669755), een studie naar maridebart cafraglutide (NCT07037433) en een naar orforglipron (NCT07241390). Tot deze resultaten beschikbaar zijn, is het open of een sterker gewichtsverlies ook tot minder hartinfarcten en beroertes leidt. Dat is een plausibele verwachting, maar geen resultaat.</w:t>
      </w:r>
    </w:p>
    <w:bookmarkEnd w:id="952"/>
    <w:bookmarkStart w:id="953" w:name="nieren-en-lever"/>
    <w:p>
      <w:pPr>
        <w:pStyle w:val="Heading3"/>
      </w:pPr>
      <w:r>
        <w:t xml:space="preserve">Nieren en lever</w:t>
      </w:r>
    </w:p>
    <w:p>
      <w:pPr>
        <w:pStyle w:val="FirstParagraph"/>
      </w:pPr>
      <w:r>
        <w:rPr>
          <w:bCs/>
          <w:b/>
        </w:rPr>
        <w:t xml:space="preserve">Nieren:</w:t>
      </w:r>
      <w:r>
        <w:t xml:space="preserve"> </w:t>
      </w:r>
      <w:r>
        <w:t xml:space="preserve">van de in dit boek besproken studies heeft alleen FLOW een niergebeurtenis als primair eindpunt. Bij 3.533 mensen met diabetes type 2 en chronische nierziekte verminderde semaglutide 1,0 mg ernstige niergebeurtenissen en overlijden door een renale of cardiovasculaire oorzaak met 24% (331 vs. 410 gebeurtenissen; HR 0,76). De studie werd wegens werkzaamheid voortijdig beëindigd; de totale sterfte was 20% lager (Perkovic 2024, PMID 38785209). In de oudere eindpuntstudies berustte het nierbeschermende effect daarentegen vooral op minder eiwit in de urine: in LEADER HR 0,78 (Mann 2017, PMID 28854085), in REWIND HR 0,85 (Gerstein 2019, PMID 31189509), over alle zeven studies HR 0,83 (Kristensen 2019, PMID 31422062). In SOUL verschilden de bevestigende secundaire eindpunten, waaronder niergebeurtenissen, niet significant (McGuire 2025, PMID 40162642). Bij matige tot ernstige nierziekte bleef de nierfunctie met dulaglutide beter behouden dan met insuline glargine (AWARD-7, Tuttle 2018, PMID 29910024). Voor tirzepatide en de nieuwere werkzame stoffen zijn er nog geen studies met niergebeurtenissen als primair eindpunt.</w:t>
      </w:r>
    </w:p>
    <w:p>
      <w:pPr>
        <w:pStyle w:val="BodyText"/>
      </w:pPr>
      <w:r>
        <w:rPr>
          <w:bCs/>
          <w:b/>
        </w:rPr>
        <w:t xml:space="preserve">Lever:</w:t>
      </w:r>
      <w:r>
        <w:t xml:space="preserve"> </w:t>
      </w:r>
      <w:r>
        <w:t xml:space="preserve">bij de ontstoken leververvetting MASH (vroeger NASH) zijn er weefselbiopsiestudies voor drie werkzame stoffen: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Werkzame stof</w:t>
            </w:r>
          </w:p>
        </w:tc>
        <w:tc>
          <w:tcPr/>
          <w:p>
            <w:pPr>
              <w:pStyle w:val="Compact"/>
              <w:jc w:val="left"/>
            </w:pPr>
            <w:r>
              <w:t xml:space="preserve">Studie</w:t>
            </w:r>
          </w:p>
        </w:tc>
        <w:tc>
          <w:tcPr/>
          <w:p>
            <w:pPr>
              <w:pStyle w:val="Compact"/>
              <w:jc w:val="left"/>
            </w:pPr>
            <w:r>
              <w:t xml:space="preserve">Duur</w:t>
            </w:r>
          </w:p>
        </w:tc>
        <w:tc>
          <w:tcPr/>
          <w:p>
            <w:pPr>
              <w:pStyle w:val="Compact"/>
              <w:jc w:val="left"/>
            </w:pPr>
            <w:r>
              <w:t xml:space="preserve">Verdwijnen van MASH zonder verergering van fibrose</w:t>
            </w:r>
          </w:p>
        </w:tc>
      </w:tr>
      <w:tr>
        <w:tc>
          <w:tcPr/>
          <w:p>
            <w:pPr>
              <w:pStyle w:val="Compact"/>
              <w:jc w:val="left"/>
            </w:pPr>
            <w:r>
              <w:t xml:space="preserve">Semaglutide 2,4 mg</w:t>
            </w:r>
          </w:p>
        </w:tc>
        <w:tc>
          <w:tcPr/>
          <w:p>
            <w:pPr>
              <w:pStyle w:val="Compact"/>
              <w:jc w:val="left"/>
            </w:pPr>
            <w:r>
              <w:t xml:space="preserve">ESSENCE, fase 3 (Sanyal 2025), PMID 40305708</w:t>
            </w:r>
          </w:p>
        </w:tc>
        <w:tc>
          <w:tcPr/>
          <w:p>
            <w:pPr>
              <w:pStyle w:val="Compact"/>
              <w:jc w:val="left"/>
            </w:pPr>
            <w:r>
              <w:t xml:space="preserve">72 weken (tussentijdse analyse, 800 personen)</w:t>
            </w:r>
          </w:p>
        </w:tc>
        <w:tc>
          <w:tcPr/>
          <w:p>
            <w:pPr>
              <w:pStyle w:val="Compact"/>
              <w:jc w:val="left"/>
            </w:pPr>
            <w:r>
              <w:t xml:space="preserve">62,9% vs. 34,3%; minder fibrose 36,8% vs. 22,4%</w:t>
            </w:r>
          </w:p>
        </w:tc>
      </w:tr>
      <w:tr>
        <w:tc>
          <w:tcPr/>
          <w:p>
            <w:pPr>
              <w:pStyle w:val="Compact"/>
              <w:jc w:val="left"/>
            </w:pPr>
            <w:r>
              <w:t xml:space="preserve">Tirzepatide</w:t>
            </w:r>
          </w:p>
        </w:tc>
        <w:tc>
          <w:tcPr/>
          <w:p>
            <w:pPr>
              <w:pStyle w:val="Compact"/>
              <w:jc w:val="left"/>
            </w:pPr>
            <w:r>
              <w:t xml:space="preserve">SYNERGY-NASH, fase 2 (Loomba 2024), PMID 38856224</w:t>
            </w:r>
          </w:p>
        </w:tc>
        <w:tc>
          <w:tcPr/>
          <w:p>
            <w:pPr>
              <w:pStyle w:val="Compact"/>
              <w:jc w:val="left"/>
            </w:pPr>
            <w:r>
              <w:t xml:space="preserve">52 weken, 190 personen</w:t>
            </w:r>
          </w:p>
        </w:tc>
        <w:tc>
          <w:tcPr/>
          <w:p>
            <w:pPr>
              <w:pStyle w:val="Compact"/>
              <w:jc w:val="left"/>
            </w:pPr>
            <w:r>
              <w:t xml:space="preserve">44–62% vs. 10%; minder fibrose 51–55% vs. 30%</w:t>
            </w:r>
          </w:p>
        </w:tc>
      </w:tr>
      <w:tr>
        <w:tc>
          <w:tcPr/>
          <w:p>
            <w:pPr>
              <w:pStyle w:val="Compact"/>
              <w:jc w:val="left"/>
            </w:pPr>
            <w:r>
              <w:t xml:space="preserve">Survodutide</w:t>
            </w:r>
          </w:p>
        </w:tc>
        <w:tc>
          <w:tcPr/>
          <w:p>
            <w:pPr>
              <w:pStyle w:val="Compact"/>
              <w:jc w:val="left"/>
            </w:pPr>
            <w:r>
              <w:t xml:space="preserve">Fase 2 (Sanyal 2024), PMID 38847460</w:t>
            </w:r>
          </w:p>
        </w:tc>
        <w:tc>
          <w:tcPr/>
          <w:p>
            <w:pPr>
              <w:pStyle w:val="Compact"/>
              <w:jc w:val="left"/>
            </w:pPr>
            <w:r>
              <w:t xml:space="preserve">48 weken, 293 personen</w:t>
            </w:r>
          </w:p>
        </w:tc>
        <w:tc>
          <w:tcPr/>
          <w:p>
            <w:pPr>
              <w:pStyle w:val="Compact"/>
              <w:jc w:val="left"/>
            </w:pPr>
            <w:r>
              <w:t xml:space="preserve">verbetering van MASH 43–62% vs. 14%</w:t>
            </w:r>
          </w:p>
        </w:tc>
      </w:tr>
    </w:tbl>
    <w:p>
      <w:pPr>
        <w:pStyle w:val="BodyText"/>
      </w:pPr>
      <w:r>
        <w:t xml:space="preserve">Alleen ESSENCE is een fase 3-studie; of de behandeling ook cirrose, leverfalen en sterfgevallen voorkomt, moet het tweede deel ervan over 240 weken laten zien. Voor survodutide lopen de fase 3-studies LIVERAGE (NCT06632444) en LIVERAGE-Cirrhosis (NCT06632457). De hogere percentages uit de fase 2-studies zijn vanwege de kleine groepen en de kortere duur niet direct vergelijkbaar met ESSENCE.</w:t>
      </w:r>
    </w:p>
    <w:bookmarkEnd w:id="953"/>
    <w:bookmarkStart w:id="954" w:name="bijwerkingen-en-uitvalpercentages"/>
    <w:p>
      <w:pPr>
        <w:pStyle w:val="Heading3"/>
      </w:pPr>
      <w:r>
        <w:t xml:space="preserve">Bijwerkingen en uitvalpercentages</w:t>
      </w:r>
    </w:p>
    <w:p>
      <w:pPr>
        <w:pStyle w:val="FirstParagraph"/>
      </w:pPr>
      <w:r>
        <w:t xml:space="preserve">Het bijwerkingenprofiel is in de hele klasse vergelijkbaar: misselijkheid, diarree, braken en obstipatie, vooral tijdens de stapsgewijze dosisverhoging, meestal licht tot matig en voorbijgaand. Ze zijn de meest voorkomende reden om met de behandeling te stoppen. De percentages hangen sterk af van de dosis en het tempo van de dosisopbouw en zijn tussen studies slechts grofweg vergelijkbaar.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Werkzame stof</w:t>
            </w:r>
          </w:p>
        </w:tc>
        <w:tc>
          <w:tcPr/>
          <w:p>
            <w:pPr>
              <w:pStyle w:val="Compact"/>
              <w:jc w:val="left"/>
            </w:pPr>
            <w:r>
              <w:t xml:space="preserve">Studie</w:t>
            </w:r>
          </w:p>
        </w:tc>
        <w:tc>
          <w:tcPr/>
          <w:p>
            <w:pPr>
              <w:pStyle w:val="Compact"/>
              <w:jc w:val="left"/>
            </w:pPr>
            <w:r>
              <w:t xml:space="preserve">Maag-darmklachten</w:t>
            </w:r>
          </w:p>
        </w:tc>
        <w:tc>
          <w:tcPr/>
          <w:p>
            <w:pPr>
              <w:pStyle w:val="Compact"/>
              <w:jc w:val="left"/>
            </w:pPr>
            <w:r>
              <w:t xml:space="preserve">Stoppen wegens bijwerkingen</w:t>
            </w:r>
          </w:p>
        </w:tc>
      </w:tr>
      <w:tr>
        <w:tc>
          <w:tcPr/>
          <w:p>
            <w:pPr>
              <w:pStyle w:val="Compact"/>
              <w:jc w:val="left"/>
            </w:pPr>
            <w:r>
              <w:t xml:space="preserve">Exenatide tweemaal daags</w:t>
            </w:r>
          </w:p>
        </w:tc>
        <w:tc>
          <w:tcPr/>
          <w:p>
            <w:pPr>
              <w:pStyle w:val="Compact"/>
              <w:jc w:val="left"/>
            </w:pPr>
            <w:r>
              <w:t xml:space="preserve">Heine 2005, PMID 16230722</w:t>
            </w:r>
          </w:p>
        </w:tc>
        <w:tc>
          <w:tcPr/>
          <w:p>
            <w:pPr>
              <w:pStyle w:val="Compact"/>
              <w:jc w:val="left"/>
            </w:pPr>
            <w:r>
              <w:t xml:space="preserve">misselijkheid 57,1%</w:t>
            </w:r>
          </w:p>
        </w:tc>
        <w:tc>
          <w:tcPr/>
          <w:p>
            <w:pPr>
              <w:pStyle w:val="Compact"/>
              <w:jc w:val="left"/>
            </w:pPr>
            <w:r>
              <w:t xml:space="preserve">niet vermeld in de abstract</w:t>
            </w:r>
          </w:p>
        </w:tc>
      </w:tr>
      <w:tr>
        <w:tc>
          <w:tcPr/>
          <w:p>
            <w:pPr>
              <w:pStyle w:val="Compact"/>
              <w:jc w:val="left"/>
            </w:pPr>
            <w:r>
              <w:t xml:space="preserve">Dulaglutide</w:t>
            </w:r>
          </w:p>
        </w:tc>
        <w:tc>
          <w:tcPr/>
          <w:p>
            <w:pPr>
              <w:pStyle w:val="Compact"/>
              <w:jc w:val="left"/>
            </w:pPr>
            <w:r>
              <w:t xml:space="preserve">REWIND (Gerstein 2019), PMID 31189511</w:t>
            </w:r>
          </w:p>
        </w:tc>
        <w:tc>
          <w:tcPr/>
          <w:p>
            <w:pPr>
              <w:pStyle w:val="Compact"/>
              <w:jc w:val="left"/>
            </w:pPr>
            <w:r>
              <w:t xml:space="preserve">47,4% vs. 34,1%</w:t>
            </w:r>
          </w:p>
        </w:tc>
        <w:tc>
          <w:tcPr/>
          <w:p>
            <w:pPr>
              <w:pStyle w:val="Compact"/>
              <w:jc w:val="left"/>
            </w:pPr>
            <w:r>
              <w:t xml:space="preserve">niet vermeld in de abstract</w:t>
            </w:r>
          </w:p>
        </w:tc>
      </w:tr>
      <w:tr>
        <w:tc>
          <w:tcPr/>
          <w:p>
            <w:pPr>
              <w:pStyle w:val="Compact"/>
              <w:jc w:val="left"/>
            </w:pPr>
            <w:r>
              <w:t xml:space="preserve">Semaglutide 2,4 mg</w:t>
            </w:r>
          </w:p>
        </w:tc>
        <w:tc>
          <w:tcPr/>
          <w:p>
            <w:pPr>
              <w:pStyle w:val="Compact"/>
              <w:jc w:val="left"/>
            </w:pPr>
            <w:r>
              <w:t xml:space="preserve">STEP 1 (Wilding 2021), PMID 33567185</w:t>
            </w:r>
          </w:p>
        </w:tc>
        <w:tc>
          <w:tcPr/>
          <w:p>
            <w:pPr>
              <w:pStyle w:val="Compact"/>
              <w:jc w:val="left"/>
            </w:pPr>
            <w:r>
              <w:t xml:space="preserve">het vaakst misselijkheid en diarree</w:t>
            </w:r>
          </w:p>
        </w:tc>
        <w:tc>
          <w:tcPr/>
          <w:p>
            <w:pPr>
              <w:pStyle w:val="Compact"/>
              <w:jc w:val="left"/>
            </w:pPr>
            <w:r>
              <w:t xml:space="preserve">wegens maag-darmklachten 4,5% vs. 0,8%</w:t>
            </w:r>
          </w:p>
        </w:tc>
      </w:tr>
      <w:tr>
        <w:tc>
          <w:tcPr/>
          <w:p>
            <w:pPr>
              <w:pStyle w:val="Compact"/>
              <w:jc w:val="left"/>
            </w:pPr>
            <w:r>
              <w:t xml:space="preserve">Semaglutide 2,4 mg</w:t>
            </w:r>
          </w:p>
        </w:tc>
        <w:tc>
          <w:tcPr/>
          <w:p>
            <w:pPr>
              <w:pStyle w:val="Compact"/>
              <w:jc w:val="left"/>
            </w:pPr>
            <w:r>
              <w:t xml:space="preserve">SELECT (Lincoff 2023), PMID 37952131</w:t>
            </w:r>
          </w:p>
        </w:tc>
        <w:tc>
          <w:tcPr/>
          <w:p>
            <w:pPr>
              <w:pStyle w:val="Compact"/>
              <w:jc w:val="left"/>
            </w:pPr>
            <w:r>
              <w:t xml:space="preserve">–</w:t>
            </w:r>
          </w:p>
        </w:tc>
        <w:tc>
          <w:tcPr/>
          <w:p>
            <w:pPr>
              <w:pStyle w:val="Compact"/>
              <w:jc w:val="left"/>
            </w:pPr>
            <w:r>
              <w:t xml:space="preserve">16,6% vs. 8,2% (over ruim drie jaar)</w:t>
            </w:r>
          </w:p>
        </w:tc>
      </w:tr>
      <w:tr>
        <w:tc>
          <w:tcPr/>
          <w:p>
            <w:pPr>
              <w:pStyle w:val="Compact"/>
              <w:jc w:val="left"/>
            </w:pPr>
            <w:r>
              <w:t xml:space="preserve">Tirzepatide</w:t>
            </w:r>
          </w:p>
        </w:tc>
        <w:tc>
          <w:tcPr/>
          <w:p>
            <w:pPr>
              <w:pStyle w:val="Compact"/>
              <w:jc w:val="left"/>
            </w:pPr>
            <w:r>
              <w:t xml:space="preserve">SURMOUNT-1 (Jastreboff 2022), PMID 35658024</w:t>
            </w:r>
          </w:p>
        </w:tc>
        <w:tc>
          <w:tcPr/>
          <w:p>
            <w:pPr>
              <w:pStyle w:val="Compact"/>
              <w:jc w:val="left"/>
            </w:pPr>
            <w:r>
              <w:t xml:space="preserve">het vaakst, meestal tijdens de dosisopbouw</w:t>
            </w:r>
          </w:p>
        </w:tc>
        <w:tc>
          <w:tcPr/>
          <w:p>
            <w:pPr>
              <w:pStyle w:val="Compact"/>
              <w:jc w:val="left"/>
            </w:pPr>
            <w:r>
              <w:t xml:space="preserve">4,3–7,1% vs. 2,6%</w:t>
            </w:r>
          </w:p>
        </w:tc>
      </w:tr>
      <w:tr>
        <w:tc>
          <w:tcPr/>
          <w:p>
            <w:pPr>
              <w:pStyle w:val="Compact"/>
              <w:jc w:val="left"/>
            </w:pPr>
            <w:r>
              <w:t xml:space="preserve">CagriSema</w:t>
            </w:r>
          </w:p>
        </w:tc>
        <w:tc>
          <w:tcPr/>
          <w:p>
            <w:pPr>
              <w:pStyle w:val="Compact"/>
              <w:jc w:val="left"/>
            </w:pPr>
            <w:r>
              <w:t xml:space="preserve">REDEFINE 1 (Garvey 2025), PMID 40544433</w:t>
            </w:r>
          </w:p>
        </w:tc>
        <w:tc>
          <w:tcPr/>
          <w:p>
            <w:pPr>
              <w:pStyle w:val="Compact"/>
              <w:jc w:val="left"/>
            </w:pPr>
            <w:r>
              <w:t xml:space="preserve">79,6% vs. 39,9%</w:t>
            </w:r>
          </w:p>
        </w:tc>
        <w:tc>
          <w:tcPr/>
          <w:p>
            <w:pPr>
              <w:pStyle w:val="Compact"/>
              <w:jc w:val="left"/>
            </w:pPr>
            <w:r>
              <w:t xml:space="preserve">niet vermeld in de abstract</w:t>
            </w:r>
          </w:p>
        </w:tc>
      </w:tr>
      <w:tr>
        <w:tc>
          <w:tcPr/>
          <w:p>
            <w:pPr>
              <w:pStyle w:val="Compact"/>
              <w:jc w:val="left"/>
            </w:pPr>
            <w:r>
              <w:t xml:space="preserve">Retatrutide</w:t>
            </w:r>
          </w:p>
        </w:tc>
        <w:tc>
          <w:tcPr/>
          <w:p>
            <w:pPr>
              <w:pStyle w:val="Compact"/>
              <w:jc w:val="left"/>
            </w:pPr>
            <w:r>
              <w:t xml:space="preserve">TRIUMPH-2 (Bellido 2026), PMID 42810372</w:t>
            </w:r>
          </w:p>
        </w:tc>
        <w:tc>
          <w:tcPr/>
          <w:p>
            <w:pPr>
              <w:pStyle w:val="Compact"/>
              <w:jc w:val="left"/>
            </w:pPr>
            <w:r>
              <w:t xml:space="preserve">diarree 27–34%, misselijkheid 14–28% (placebo 13% resp. 8%)</w:t>
            </w:r>
          </w:p>
        </w:tc>
        <w:tc>
          <w:tcPr/>
          <w:p>
            <w:pPr>
              <w:pStyle w:val="Compact"/>
              <w:jc w:val="left"/>
            </w:pPr>
            <w:r>
              <w:t xml:space="preserve">4–12% vs. 5% (incl. sterfgevallen)</w:t>
            </w:r>
          </w:p>
        </w:tc>
      </w:tr>
      <w:tr>
        <w:tc>
          <w:tcPr/>
          <w:p>
            <w:pPr>
              <w:pStyle w:val="Compact"/>
              <w:jc w:val="left"/>
            </w:pPr>
            <w:r>
              <w:t xml:space="preserve">Survodutide</w:t>
            </w:r>
          </w:p>
        </w:tc>
        <w:tc>
          <w:tcPr/>
          <w:p>
            <w:pPr>
              <w:pStyle w:val="Compact"/>
              <w:jc w:val="left"/>
            </w:pPr>
            <w:r>
              <w:t xml:space="preserve">SYNCHRONIZE-1 (le Roux 2026), PMID 42253238</w:t>
            </w:r>
          </w:p>
        </w:tc>
        <w:tc>
          <w:tcPr/>
          <w:p>
            <w:pPr>
              <w:pStyle w:val="Compact"/>
              <w:jc w:val="left"/>
            </w:pPr>
            <w:r>
              <w:t xml:space="preserve">80,9 / 89,7% vs. 47,9%</w:t>
            </w:r>
          </w:p>
        </w:tc>
        <w:tc>
          <w:tcPr/>
          <w:p>
            <w:pPr>
              <w:pStyle w:val="Compact"/>
              <w:jc w:val="left"/>
            </w:pPr>
            <w:r>
              <w:t xml:space="preserve">niet vermeld in de abstract</w:t>
            </w:r>
          </w:p>
        </w:tc>
      </w:tr>
      <w:tr>
        <w:tc>
          <w:tcPr/>
          <w:p>
            <w:pPr>
              <w:pStyle w:val="Compact"/>
              <w:jc w:val="left"/>
            </w:pPr>
            <w:r>
              <w:t xml:space="preserve">Mazdutide</w:t>
            </w:r>
          </w:p>
        </w:tc>
        <w:tc>
          <w:tcPr/>
          <w:p>
            <w:pPr>
              <w:pStyle w:val="Compact"/>
              <w:jc w:val="left"/>
            </w:pPr>
            <w:r>
              <w:t xml:space="preserve">GLORY-1 (Ji 2025), PMID 40421736</w:t>
            </w:r>
          </w:p>
        </w:tc>
        <w:tc>
          <w:tcPr/>
          <w:p>
            <w:pPr>
              <w:pStyle w:val="Compact"/>
              <w:jc w:val="left"/>
            </w:pPr>
            <w:r>
              <w:t xml:space="preserve">meest voorkomende bijwerking</w:t>
            </w:r>
          </w:p>
        </w:tc>
        <w:tc>
          <w:tcPr/>
          <w:p>
            <w:pPr>
              <w:pStyle w:val="Compact"/>
              <w:jc w:val="left"/>
            </w:pPr>
            <w:r>
              <w:t xml:space="preserve">0,5–1,5% vs. 1,0%</w:t>
            </w:r>
          </w:p>
        </w:tc>
      </w:tr>
      <w:tr>
        <w:tc>
          <w:tcPr/>
          <w:p>
            <w:pPr>
              <w:pStyle w:val="Compact"/>
              <w:jc w:val="left"/>
            </w:pPr>
            <w:r>
              <w:t xml:space="preserve">Orforglipron</w:t>
            </w:r>
          </w:p>
        </w:tc>
        <w:tc>
          <w:tcPr/>
          <w:p>
            <w:pPr>
              <w:pStyle w:val="Compact"/>
              <w:jc w:val="left"/>
            </w:pPr>
            <w:r>
              <w:t xml:space="preserve">ATTAIN-1 (Wharton 2025), PMID 40960239</w:t>
            </w:r>
          </w:p>
        </w:tc>
        <w:tc>
          <w:tcPr/>
          <w:p>
            <w:pPr>
              <w:pStyle w:val="Compact"/>
              <w:jc w:val="left"/>
            </w:pPr>
            <w:r>
              <w:t xml:space="preserve">meest voorkomende bijwerking</w:t>
            </w:r>
          </w:p>
        </w:tc>
        <w:tc>
          <w:tcPr/>
          <w:p>
            <w:pPr>
              <w:pStyle w:val="Compact"/>
              <w:jc w:val="left"/>
            </w:pPr>
            <w:r>
              <w:t xml:space="preserve">5,3–10,3% vs. 2,7%</w:t>
            </w:r>
          </w:p>
        </w:tc>
      </w:tr>
    </w:tbl>
    <w:p>
      <w:pPr>
        <w:pStyle w:val="BodyText"/>
      </w:pPr>
      <w:r>
        <w:t xml:space="preserve">Enkele observaties:</w:t>
      </w:r>
    </w:p>
    <w:p>
      <w:pPr>
        <w:numPr>
          <w:ilvl w:val="0"/>
          <w:numId w:val="1327"/>
        </w:numPr>
        <w:pStyle w:val="Compact"/>
      </w:pPr>
      <w:r>
        <w:rPr>
          <w:bCs/>
          <w:b/>
        </w:rPr>
        <w:t xml:space="preserve">Weekpreparaten worden meestal beter verdragen dan oudere vormen.</w:t>
      </w:r>
      <w:r>
        <w:t xml:space="preserve"> </w:t>
      </w:r>
      <w:r>
        <w:t xml:space="preserve">In DURATION-6 had 9% met wekelijks exenatide last van misselijkheid, tegenover 21% met dagelijks liraglutide (Buse 2013, PMID 23141817). In STEP 8 stopte 27,6% voortijdig met liraglutide, om welke reden dan ook, tegenover 13,5% met semaglutide; maag-darmklachten kwamen in beide groepen ongeveer even vaak voor (82,7% vs. 84,1%) (Rubino 2022, PMID 35015037).</w:t>
      </w:r>
    </w:p>
    <w:p>
      <w:pPr>
        <w:numPr>
          <w:ilvl w:val="0"/>
          <w:numId w:val="1327"/>
        </w:numPr>
        <w:pStyle w:val="Compact"/>
      </w:pPr>
      <w:r>
        <w:rPr>
          <w:bCs/>
          <w:b/>
        </w:rPr>
        <w:t xml:space="preserve">Hogere werkzaamheid gaat niet noodzakelijk gepaard met meer klachten.</w:t>
      </w:r>
      <w:r>
        <w:t xml:space="preserve"> </w:t>
      </w:r>
      <w:r>
        <w:t xml:space="preserve">In SURPASS-2 kwamen misselijkheid (17–22% vs. 18%) en braken (6–10% vs. 8%) met tirzepatide en semaglutide ongeveer even vaak voor; ernstige ongewenste voorvallen traden met tirzepatide op bij 5–7% tegenover 3% (Frías 2021, PMID 34170647). In REDEFINE 5 had 53% met CagriSema en 51% met semaglutide maag-darmklachten (Yamauchi 2026, PMID 42009015).</w:t>
      </w:r>
    </w:p>
    <w:p>
      <w:pPr>
        <w:numPr>
          <w:ilvl w:val="0"/>
          <w:numId w:val="1327"/>
        </w:numPr>
        <w:pStyle w:val="Compact"/>
      </w:pPr>
      <w:r>
        <w:rPr>
          <w:bCs/>
          <w:b/>
        </w:rPr>
        <w:t xml:space="preserve">Bij de meervoudige agonisten neemt het stoppen bij hoge doses toe.</w:t>
      </w:r>
      <w:r>
        <w:t xml:space="preserve"> </w:t>
      </w:r>
      <w:r>
        <w:t xml:space="preserve">Met retatrutide traden bovendien abnormale huidgewaarwordingen (dysesthesie) op bij 4–7% tegenover 1% met placebo – een nieuw signaal voor deze klasse. In een Amerikaanse fase 2-studie met mazdutide stopte bij de hoogste dosis 20% wegens bijwerkingen (Hsia 2026, PMID 42628555).</w:t>
      </w:r>
    </w:p>
    <w:p>
      <w:pPr>
        <w:numPr>
          <w:ilvl w:val="0"/>
          <w:numId w:val="1327"/>
        </w:numPr>
        <w:pStyle w:val="Compact"/>
      </w:pPr>
      <w:r>
        <w:rPr>
          <w:bCs/>
          <w:b/>
        </w:rPr>
        <w:t xml:space="preserve">Langetermijnstudies laten hogere uitvalpercentages zien dan korte studies.</w:t>
      </w:r>
      <w:r>
        <w:t xml:space="preserve"> </w:t>
      </w:r>
      <w:r>
        <w:t xml:space="preserve">De 16,6% in SELECT over meer dan drie jaar is een realistischer aanknopingspunt voor langdurige behandeling dan de waarden uit registratiestudies van 68 of 72 weken.</w:t>
      </w:r>
    </w:p>
    <w:p>
      <w:pPr>
        <w:pStyle w:val="FirstParagraph"/>
      </w:pPr>
      <w:r>
        <w:rPr>
          <w:bCs/>
          <w:b/>
        </w:rPr>
        <w:t xml:space="preserve">Klasserisico’s die alle werkzame stoffen betreffen:</w:t>
      </w:r>
    </w:p>
    <w:p>
      <w:pPr>
        <w:numPr>
          <w:ilvl w:val="0"/>
          <w:numId w:val="1328"/>
        </w:numPr>
        <w:pStyle w:val="Compact"/>
      </w:pPr>
      <w:r>
        <w:rPr>
          <w:bCs/>
          <w:b/>
        </w:rPr>
        <w:t xml:space="preserve">Galblaas:</w:t>
      </w:r>
      <w:r>
        <w:t xml:space="preserve"> </w:t>
      </w:r>
      <w:r>
        <w:t xml:space="preserve">een meta-analyse van 76 gerandomiseerde studies met 103.371 deelnemers vond een 37% verhoogd risico op aandoeningen van de galblaas en galwegen, in studies naar gewichtsverlies een meer dan twee keer zo hoog risico (relatief risico 2,29; He 2022, PMID 35344001).</w:t>
      </w:r>
    </w:p>
    <w:p>
      <w:pPr>
        <w:numPr>
          <w:ilvl w:val="0"/>
          <w:numId w:val="1328"/>
        </w:numPr>
        <w:pStyle w:val="Compact"/>
      </w:pPr>
      <w:r>
        <w:rPr>
          <w:bCs/>
          <w:b/>
        </w:rPr>
        <w:t xml:space="preserve">Alvleesklier:</w:t>
      </w:r>
      <w:r>
        <w:t xml:space="preserve"> </w:t>
      </w:r>
      <w:r>
        <w:t xml:space="preserve">in de meta-analyse van de eindpuntstudies geen verhoogd risico op pancreatitis of alvleesklierkanker (Kristensen 2019, PMID 31422062); in verzekeringsgegevens een signaal bij gebruik voor gewichtsverlies (Sodhi 2023, PMID 37796527).</w:t>
      </w:r>
    </w:p>
    <w:p>
      <w:pPr>
        <w:numPr>
          <w:ilvl w:val="0"/>
          <w:numId w:val="1328"/>
        </w:numPr>
        <w:pStyle w:val="Compact"/>
      </w:pPr>
      <w:r>
        <w:rPr>
          <w:bCs/>
          <w:b/>
        </w:rPr>
        <w:t xml:space="preserve">Schildklier:</w:t>
      </w:r>
      <w:r>
        <w:t xml:space="preserve"> </w:t>
      </w:r>
      <w:r>
        <w:t xml:space="preserve">C-celtumoren bij knaagdieren; bij de mens een signaal in meta-analyses en observationele studies (Silverii 2025, PMID 40437949), waarvan de betekenis omstreden is.</w:t>
      </w:r>
    </w:p>
    <w:p>
      <w:pPr>
        <w:numPr>
          <w:ilvl w:val="0"/>
          <w:numId w:val="1328"/>
        </w:numPr>
        <w:pStyle w:val="Compact"/>
      </w:pPr>
      <w:r>
        <w:rPr>
          <w:bCs/>
          <w:b/>
        </w:rPr>
        <w:t xml:space="preserve">Ogen:</w:t>
      </w:r>
      <w:r>
        <w:t xml:space="preserve"> </w:t>
      </w:r>
      <w:r>
        <w:t xml:space="preserve">verergering van een bestaande diabetische netvliesaandoening in SUSTAIN 6 (HR 1,76; Marso 2016, PMID 27633186); zeldzaam signaal voor een doorbloedingsstoornis van de oogzenuw (NAION) in observationele studies (Simonsen 2025, PMID 40098249).</w:t>
      </w:r>
    </w:p>
    <w:p>
      <w:pPr>
        <w:numPr>
          <w:ilvl w:val="0"/>
          <w:numId w:val="1328"/>
        </w:numPr>
        <w:pStyle w:val="Compact"/>
      </w:pPr>
      <w:r>
        <w:rPr>
          <w:bCs/>
          <w:b/>
        </w:rPr>
        <w:t xml:space="preserve">Spiermassa:</w:t>
      </w:r>
      <w:r>
        <w:t xml:space="preserve"> </w:t>
      </w:r>
      <w:r>
        <w:t xml:space="preserve">ongeveer een kwart van het verloren gewicht is vetvrije massa, in dezelfde verhouding als bij ander gewichtsverlies (Look 2025, PMID 39996356).</w:t>
      </w:r>
    </w:p>
    <w:bookmarkEnd w:id="954"/>
    <w:bookmarkStart w:id="955" w:name="directe-vergelijkende-studies"/>
    <w:p>
      <w:pPr>
        <w:pStyle w:val="Heading3"/>
      </w:pPr>
      <w:r>
        <w:t xml:space="preserve">Directe vergelijkende studies</w:t>
      </w:r>
    </w:p>
    <w:p>
      <w:pPr>
        <w:pStyle w:val="FirstParagraph"/>
      </w:pPr>
      <w:r>
        <w:t xml:space="preserve">De volgende tabel bevat gerandomiseerde studies waarin twee werkzame stoffen uit de klasse rechtstreeks tegen elkaar werden getest. Alleen hier zijn verschillen tussen de werkzame stoffen methodologisch zuiver aangetoond. Veel van deze studies waren open (niet geblindeerd) en gefinancierd door de fabrikant van de nieuwere werkzame stof, en niet altijd werd de hoogste geregistreerde dosis van het vergelijkingspreparaat gebruikt.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Vergelijking</w:t>
            </w:r>
          </w:p>
        </w:tc>
        <w:tc>
          <w:tcPr/>
          <w:p>
            <w:pPr>
              <w:pStyle w:val="Compact"/>
              <w:jc w:val="left"/>
            </w:pPr>
            <w:r>
              <w:t xml:space="preserve">Duur</w:t>
            </w:r>
          </w:p>
        </w:tc>
        <w:tc>
          <w:tcPr/>
          <w:p>
            <w:pPr>
              <w:pStyle w:val="Compact"/>
              <w:jc w:val="left"/>
            </w:pPr>
            <w:r>
              <w:t xml:space="preserve">Resultaat</w:t>
            </w:r>
          </w:p>
        </w:tc>
      </w:tr>
      <w:tr>
        <w:tc>
          <w:tcPr/>
          <w:p>
            <w:pPr>
              <w:pStyle w:val="Compact"/>
              <w:jc w:val="left"/>
            </w:pPr>
            <w:r>
              <w:t xml:space="preserve">SURMOUNT-5 (Aronne 2025), PMID 40353578</w:t>
            </w:r>
          </w:p>
        </w:tc>
        <w:tc>
          <w:tcPr/>
          <w:p>
            <w:pPr>
              <w:pStyle w:val="Compact"/>
              <w:jc w:val="left"/>
            </w:pPr>
            <w:r>
              <w:t xml:space="preserve">Tirzepatide vs. semaglutide 2,4 mg, obesitas, open</w:t>
            </w:r>
          </w:p>
        </w:tc>
        <w:tc>
          <w:tcPr/>
          <w:p>
            <w:pPr>
              <w:pStyle w:val="Compact"/>
              <w:jc w:val="left"/>
            </w:pPr>
            <w:r>
              <w:t xml:space="preserve">72 weken</w:t>
            </w:r>
          </w:p>
        </w:tc>
        <w:tc>
          <w:tcPr/>
          <w:p>
            <w:pPr>
              <w:pStyle w:val="Compact"/>
              <w:jc w:val="left"/>
            </w:pPr>
            <w:r>
              <w:t xml:space="preserve">gewicht −20,2% vs. −13,7%</w:t>
            </w:r>
          </w:p>
        </w:tc>
      </w:tr>
      <w:tr>
        <w:tc>
          <w:tcPr/>
          <w:p>
            <w:pPr>
              <w:pStyle w:val="Compact"/>
              <w:jc w:val="left"/>
            </w:pPr>
            <w:r>
              <w:t xml:space="preserve">STEP 8 (Rubino 2022), PMID 35015037</w:t>
            </w:r>
          </w:p>
        </w:tc>
        <w:tc>
          <w:tcPr/>
          <w:p>
            <w:pPr>
              <w:pStyle w:val="Compact"/>
              <w:jc w:val="left"/>
            </w:pPr>
            <w:r>
              <w:t xml:space="preserve">Semaglutide 2,4 mg vs. liraglutide 3,0 mg, obesitas</w:t>
            </w:r>
          </w:p>
        </w:tc>
        <w:tc>
          <w:tcPr/>
          <w:p>
            <w:pPr>
              <w:pStyle w:val="Compact"/>
              <w:jc w:val="left"/>
            </w:pPr>
            <w:r>
              <w:t xml:space="preserve">68 weken</w:t>
            </w:r>
          </w:p>
        </w:tc>
        <w:tc>
          <w:tcPr/>
          <w:p>
            <w:pPr>
              <w:pStyle w:val="Compact"/>
              <w:jc w:val="left"/>
            </w:pPr>
            <w:r>
              <w:t xml:space="preserve">gewicht −15,8% vs. −6,4%</w:t>
            </w:r>
          </w:p>
        </w:tc>
      </w:tr>
      <w:tr>
        <w:tc>
          <w:tcPr/>
          <w:p>
            <w:pPr>
              <w:pStyle w:val="Compact"/>
              <w:jc w:val="left"/>
            </w:pPr>
            <w:r>
              <w:t xml:space="preserve">REDEFINE 5 (Yamauchi 2026), PMID 42009015</w:t>
            </w:r>
          </w:p>
        </w:tc>
        <w:tc>
          <w:tcPr/>
          <w:p>
            <w:pPr>
              <w:pStyle w:val="Compact"/>
              <w:jc w:val="left"/>
            </w:pPr>
            <w:r>
              <w:t xml:space="preserve">CagriSema vs. semaglutide 2,4 mg, Japan en Taiwan, geblindeerd</w:t>
            </w:r>
          </w:p>
        </w:tc>
        <w:tc>
          <w:tcPr/>
          <w:p>
            <w:pPr>
              <w:pStyle w:val="Compact"/>
              <w:jc w:val="left"/>
            </w:pPr>
            <w:r>
              <w:t xml:space="preserve">68 weken</w:t>
            </w:r>
          </w:p>
        </w:tc>
        <w:tc>
          <w:tcPr/>
          <w:p>
            <w:pPr>
              <w:pStyle w:val="Compact"/>
              <w:jc w:val="left"/>
            </w:pPr>
            <w:r>
              <w:t xml:space="preserve">gewicht −18,4% vs. −11,9%</w:t>
            </w:r>
          </w:p>
        </w:tc>
      </w:tr>
      <w:tr>
        <w:tc>
          <w:tcPr/>
          <w:p>
            <w:pPr>
              <w:pStyle w:val="Compact"/>
              <w:jc w:val="left"/>
            </w:pPr>
            <w:r>
              <w:t xml:space="preserve">SURPASS-2 (Frías 2021), PMID 34170647</w:t>
            </w:r>
          </w:p>
        </w:tc>
        <w:tc>
          <w:tcPr/>
          <w:p>
            <w:pPr>
              <w:pStyle w:val="Compact"/>
              <w:jc w:val="left"/>
            </w:pPr>
            <w:r>
              <w:t xml:space="preserve">Tirzepatide vs. semaglutide 1 mg, diabetes type 2, open</w:t>
            </w:r>
          </w:p>
        </w:tc>
        <w:tc>
          <w:tcPr/>
          <w:p>
            <w:pPr>
              <w:pStyle w:val="Compact"/>
              <w:jc w:val="left"/>
            </w:pPr>
            <w:r>
              <w:t xml:space="preserve">40 weken</w:t>
            </w:r>
          </w:p>
        </w:tc>
        <w:tc>
          <w:tcPr/>
          <w:p>
            <w:pPr>
              <w:pStyle w:val="Compact"/>
              <w:jc w:val="left"/>
            </w:pPr>
            <w:r>
              <w:t xml:space="preserve">HbA1c −2,01 tot −2,30 vs. −1,86; gewicht extra −1,9 tot −5,5 kg</w:t>
            </w:r>
          </w:p>
        </w:tc>
      </w:tr>
      <w:tr>
        <w:tc>
          <w:tcPr/>
          <w:p>
            <w:pPr>
              <w:pStyle w:val="Compact"/>
              <w:jc w:val="left"/>
            </w:pPr>
            <w:r>
              <w:t xml:space="preserve">REIMAGINE 2 (Buse 2026), PMID 42251859</w:t>
            </w:r>
          </w:p>
        </w:tc>
        <w:tc>
          <w:tcPr/>
          <w:p>
            <w:pPr>
              <w:pStyle w:val="Compact"/>
              <w:jc w:val="left"/>
            </w:pPr>
            <w:r>
              <w:t xml:space="preserve">CagriSema vs. semaglutide 2,4 mg, diabetes type 2</w:t>
            </w:r>
          </w:p>
        </w:tc>
        <w:tc>
          <w:tcPr/>
          <w:p>
            <w:pPr>
              <w:pStyle w:val="Compact"/>
              <w:jc w:val="left"/>
            </w:pPr>
            <w:r>
              <w:t xml:space="preserve">68 weken</w:t>
            </w:r>
          </w:p>
        </w:tc>
        <w:tc>
          <w:tcPr/>
          <w:p>
            <w:pPr>
              <w:pStyle w:val="Compact"/>
              <w:jc w:val="left"/>
            </w:pPr>
            <w:r>
              <w:t xml:space="preserve">HbA1c −1,91 vs. −1,75</w:t>
            </w:r>
          </w:p>
        </w:tc>
      </w:tr>
      <w:tr>
        <w:tc>
          <w:tcPr/>
          <w:p>
            <w:pPr>
              <w:pStyle w:val="Compact"/>
              <w:jc w:val="left"/>
            </w:pPr>
            <w:r>
              <w:t xml:space="preserve">ACHIEVE-3 (Rosenstock 2026), PMID 41765029</w:t>
            </w:r>
          </w:p>
        </w:tc>
        <w:tc>
          <w:tcPr/>
          <w:p>
            <w:pPr>
              <w:pStyle w:val="Compact"/>
              <w:jc w:val="left"/>
            </w:pPr>
            <w:r>
              <w:t xml:space="preserve">Orforglipron vs. semaglutide-tablet, open</w:t>
            </w:r>
          </w:p>
        </w:tc>
        <w:tc>
          <w:tcPr/>
          <w:p>
            <w:pPr>
              <w:pStyle w:val="Compact"/>
              <w:jc w:val="left"/>
            </w:pPr>
            <w:r>
              <w:t xml:space="preserve">52 weken</w:t>
            </w:r>
          </w:p>
        </w:tc>
        <w:tc>
          <w:tcPr/>
          <w:p>
            <w:pPr>
              <w:pStyle w:val="Compact"/>
              <w:jc w:val="left"/>
            </w:pPr>
            <w:r>
              <w:t xml:space="preserve">HbA1c −1,91 vs. −1,47 (telkens hogere dosis)</w:t>
            </w:r>
          </w:p>
        </w:tc>
      </w:tr>
      <w:tr>
        <w:tc>
          <w:tcPr/>
          <w:p>
            <w:pPr>
              <w:pStyle w:val="Compact"/>
              <w:jc w:val="left"/>
            </w:pPr>
            <w:r>
              <w:t xml:space="preserve">SUSTAIN 7 (Pratley 2018), PMID 29397376</w:t>
            </w:r>
          </w:p>
        </w:tc>
        <w:tc>
          <w:tcPr/>
          <w:p>
            <w:pPr>
              <w:pStyle w:val="Compact"/>
              <w:jc w:val="left"/>
            </w:pPr>
            <w:r>
              <w:t xml:space="preserve">Semaglutide vs. dulaglutide</w:t>
            </w:r>
          </w:p>
        </w:tc>
        <w:tc>
          <w:tcPr/>
          <w:p>
            <w:pPr>
              <w:pStyle w:val="Compact"/>
              <w:jc w:val="left"/>
            </w:pPr>
            <w:r>
              <w:t xml:space="preserve">40 weken</w:t>
            </w:r>
          </w:p>
        </w:tc>
        <w:tc>
          <w:tcPr/>
          <w:p>
            <w:pPr>
              <w:pStyle w:val="Compact"/>
              <w:jc w:val="left"/>
            </w:pPr>
            <w:r>
              <w:t xml:space="preserve">HbA1c −1,8 vs. −1,4; gewicht −6,5 vs. −3,0 kg</w:t>
            </w:r>
          </w:p>
        </w:tc>
      </w:tr>
      <w:tr>
        <w:tc>
          <w:tcPr/>
          <w:p>
            <w:pPr>
              <w:pStyle w:val="Compact"/>
              <w:jc w:val="left"/>
            </w:pPr>
            <w:r>
              <w:t xml:space="preserve">SUSTAIN 10 (Capehorn 2020), PMID 31539622</w:t>
            </w:r>
          </w:p>
        </w:tc>
        <w:tc>
          <w:tcPr/>
          <w:p>
            <w:pPr>
              <w:pStyle w:val="Compact"/>
              <w:jc w:val="left"/>
            </w:pPr>
            <w:r>
              <w:t xml:space="preserve">Semaglutide 1,0 mg vs. liraglutide 1,2 mg</w:t>
            </w:r>
          </w:p>
        </w:tc>
        <w:tc>
          <w:tcPr/>
          <w:p>
            <w:pPr>
              <w:pStyle w:val="Compact"/>
              <w:jc w:val="left"/>
            </w:pPr>
            <w:r>
              <w:t xml:space="preserve">30 weken</w:t>
            </w:r>
          </w:p>
        </w:tc>
        <w:tc>
          <w:tcPr/>
          <w:p>
            <w:pPr>
              <w:pStyle w:val="Compact"/>
              <w:jc w:val="left"/>
            </w:pPr>
            <w:r>
              <w:t xml:space="preserve">HbA1c −1,7 vs. −1,0; gewicht −5,8 vs. −1,9 kg</w:t>
            </w:r>
          </w:p>
        </w:tc>
      </w:tr>
      <w:tr>
        <w:tc>
          <w:tcPr/>
          <w:p>
            <w:pPr>
              <w:pStyle w:val="Compact"/>
              <w:jc w:val="left"/>
            </w:pPr>
            <w:r>
              <w:t xml:space="preserve">SUSTAIN 3 (Ahmann 2018), PMID 29246950</w:t>
            </w:r>
          </w:p>
        </w:tc>
        <w:tc>
          <w:tcPr/>
          <w:p>
            <w:pPr>
              <w:pStyle w:val="Compact"/>
              <w:jc w:val="left"/>
            </w:pPr>
            <w:r>
              <w:t xml:space="preserve">Semaglutide vs. exenatide wekelijks, open</w:t>
            </w:r>
          </w:p>
        </w:tc>
        <w:tc>
          <w:tcPr/>
          <w:p>
            <w:pPr>
              <w:pStyle w:val="Compact"/>
              <w:jc w:val="left"/>
            </w:pPr>
            <w:r>
              <w:t xml:space="preserve">56 weken</w:t>
            </w:r>
          </w:p>
        </w:tc>
        <w:tc>
          <w:tcPr/>
          <w:p>
            <w:pPr>
              <w:pStyle w:val="Compact"/>
              <w:jc w:val="left"/>
            </w:pPr>
            <w:r>
              <w:t xml:space="preserve">HbA1c −1,5 vs. −0,9; gewicht −5,6 vs. −1,9 kg</w:t>
            </w:r>
          </w:p>
        </w:tc>
      </w:tr>
      <w:tr>
        <w:tc>
          <w:tcPr/>
          <w:p>
            <w:pPr>
              <w:pStyle w:val="Compact"/>
              <w:jc w:val="left"/>
            </w:pPr>
            <w:r>
              <w:t xml:space="preserve">PIONEER 4 (Pratley 2019), PMID 31186120</w:t>
            </w:r>
          </w:p>
        </w:tc>
        <w:tc>
          <w:tcPr/>
          <w:p>
            <w:pPr>
              <w:pStyle w:val="Compact"/>
              <w:jc w:val="left"/>
            </w:pPr>
            <w:r>
              <w:t xml:space="preserve">Semaglutide-tablet vs. liraglutide-injectie</w:t>
            </w:r>
          </w:p>
        </w:tc>
        <w:tc>
          <w:tcPr/>
          <w:p>
            <w:pPr>
              <w:pStyle w:val="Compact"/>
              <w:jc w:val="left"/>
            </w:pPr>
            <w:r>
              <w:t xml:space="preserve">26 weken (studie 52)</w:t>
            </w:r>
          </w:p>
        </w:tc>
        <w:tc>
          <w:tcPr/>
          <w:p>
            <w:pPr>
              <w:pStyle w:val="Compact"/>
              <w:jc w:val="left"/>
            </w:pPr>
            <w:r>
              <w:t xml:space="preserve">HbA1c −1,2 vs. −1,1 (niet inferieur)</w:t>
            </w:r>
          </w:p>
        </w:tc>
      </w:tr>
      <w:tr>
        <w:tc>
          <w:tcPr/>
          <w:p>
            <w:pPr>
              <w:pStyle w:val="Compact"/>
              <w:jc w:val="left"/>
            </w:pPr>
            <w:r>
              <w:t xml:space="preserve">AWARD-6 (Dungan 2014), PMID 25018121</w:t>
            </w:r>
          </w:p>
        </w:tc>
        <w:tc>
          <w:tcPr/>
          <w:p>
            <w:pPr>
              <w:pStyle w:val="Compact"/>
              <w:jc w:val="left"/>
            </w:pPr>
            <w:r>
              <w:t xml:space="preserve">Dulaglutide vs. liraglutide 1,8 mg, open</w:t>
            </w:r>
          </w:p>
        </w:tc>
        <w:tc>
          <w:tcPr/>
          <w:p>
            <w:pPr>
              <w:pStyle w:val="Compact"/>
              <w:jc w:val="left"/>
            </w:pPr>
            <w:r>
              <w:t xml:space="preserve">26 weken</w:t>
            </w:r>
          </w:p>
        </w:tc>
        <w:tc>
          <w:tcPr/>
          <w:p>
            <w:pPr>
              <w:pStyle w:val="Compact"/>
              <w:jc w:val="left"/>
            </w:pPr>
            <w:r>
              <w:t xml:space="preserve">HbA1c −1,42 vs. −1,36, gelijkwaardig</w:t>
            </w:r>
          </w:p>
        </w:tc>
      </w:tr>
      <w:tr>
        <w:tc>
          <w:tcPr/>
          <w:p>
            <w:pPr>
              <w:pStyle w:val="Compact"/>
              <w:jc w:val="left"/>
            </w:pPr>
            <w:r>
              <w:t xml:space="preserve">DURATION-6 (Buse 2013), PMID 23141817</w:t>
            </w:r>
          </w:p>
        </w:tc>
        <w:tc>
          <w:tcPr/>
          <w:p>
            <w:pPr>
              <w:pStyle w:val="Compact"/>
              <w:jc w:val="left"/>
            </w:pPr>
            <w:r>
              <w:t xml:space="preserve">Exenatide wekelijks vs. liraglutide, open</w:t>
            </w:r>
          </w:p>
        </w:tc>
        <w:tc>
          <w:tcPr/>
          <w:p>
            <w:pPr>
              <w:pStyle w:val="Compact"/>
              <w:jc w:val="left"/>
            </w:pPr>
            <w:r>
              <w:t xml:space="preserve">26 weken</w:t>
            </w:r>
          </w:p>
        </w:tc>
        <w:tc>
          <w:tcPr/>
          <w:p>
            <w:pPr>
              <w:pStyle w:val="Compact"/>
              <w:jc w:val="left"/>
            </w:pPr>
            <w:r>
              <w:t xml:space="preserve">HbA1c −1,28 vs. −1,48; non-inferioriteit niet bereikt</w:t>
            </w:r>
          </w:p>
        </w:tc>
      </w:tr>
      <w:tr>
        <w:tc>
          <w:tcPr/>
          <w:p>
            <w:pPr>
              <w:pStyle w:val="Compact"/>
              <w:jc w:val="left"/>
            </w:pPr>
            <w:r>
              <w:t xml:space="preserve">DREAMS-2 (Guo 2026), PMID 41407860</w:t>
            </w:r>
          </w:p>
        </w:tc>
        <w:tc>
          <w:tcPr/>
          <w:p>
            <w:pPr>
              <w:pStyle w:val="Compact"/>
              <w:jc w:val="left"/>
            </w:pPr>
            <w:r>
              <w:t xml:space="preserve">Mazdutide vs. dulaglutide 1,5 mg, China</w:t>
            </w:r>
          </w:p>
        </w:tc>
        <w:tc>
          <w:tcPr/>
          <w:p>
            <w:pPr>
              <w:pStyle w:val="Compact"/>
              <w:jc w:val="left"/>
            </w:pPr>
            <w:r>
              <w:t xml:space="preserve">28 weken</w:t>
            </w:r>
          </w:p>
        </w:tc>
        <w:tc>
          <w:tcPr/>
          <w:p>
            <w:pPr>
              <w:pStyle w:val="Compact"/>
              <w:jc w:val="left"/>
            </w:pPr>
            <w:r>
              <w:t xml:space="preserve">HbA1c extra −0,24 / −0,30</w:t>
            </w:r>
          </w:p>
        </w:tc>
      </w:tr>
      <w:tr>
        <w:tc>
          <w:tcPr/>
          <w:p>
            <w:pPr>
              <w:pStyle w:val="Compact"/>
              <w:jc w:val="left"/>
            </w:pPr>
            <w:r>
              <w:t xml:space="preserve">SURPASS-CVOT (Nicholls 2025), PMID 41406444</w:t>
            </w:r>
          </w:p>
        </w:tc>
        <w:tc>
          <w:tcPr/>
          <w:p>
            <w:pPr>
              <w:pStyle w:val="Compact"/>
              <w:jc w:val="left"/>
            </w:pPr>
            <w:r>
              <w:t xml:space="preserve">Tirzepatide vs. dulaglutide, cardiovasculaire gebeurtenissen</w:t>
            </w:r>
          </w:p>
        </w:tc>
        <w:tc>
          <w:tcPr/>
          <w:p>
            <w:pPr>
              <w:pStyle w:val="Compact"/>
              <w:jc w:val="left"/>
            </w:pPr>
            <w:r>
              <w:t xml:space="preserve">meerdere jaren</w:t>
            </w:r>
          </w:p>
        </w:tc>
        <w:tc>
          <w:tcPr/>
          <w:p>
            <w:pPr>
              <w:pStyle w:val="Compact"/>
              <w:jc w:val="left"/>
            </w:pPr>
            <w:r>
              <w:t xml:space="preserve">HR 0,92, niet inferieur</w:t>
            </w:r>
          </w:p>
        </w:tc>
      </w:tr>
    </w:tbl>
    <w:p>
      <w:pPr>
        <w:pStyle w:val="BodyText"/>
      </w:pPr>
      <w:r>
        <w:rPr>
          <w:bCs/>
          <w:b/>
        </w:rPr>
        <w:t xml:space="preserve">Wat de directe vergelijkingen laten zien:</w:t>
      </w:r>
    </w:p>
    <w:p>
      <w:pPr>
        <w:numPr>
          <w:ilvl w:val="0"/>
          <w:numId w:val="1329"/>
        </w:numPr>
        <w:pStyle w:val="Compact"/>
      </w:pPr>
      <w:r>
        <w:rPr>
          <w:bCs/>
          <w:b/>
        </w:rPr>
        <w:t xml:space="preserve">Bij het gewicht is de rangorde duidelijk.</w:t>
      </w:r>
      <w:r>
        <w:t xml:space="preserve"> </w:t>
      </w:r>
      <w:r>
        <w:t xml:space="preserve">Semaglutide 2,4 mg overtrof liraglutide 3,0 mg met 9,4 procentpunten (STEP 8), tirzepatide overtrof semaglutide 2,4 mg met 6,5 procentpunten (SURMOUNT-5), CagriSema overtrof semaglutide 2,4 mg in Oost-Azië eveneens met 6,5 procentpunten (REDEFINE 5). In SURMOUNT-5 bereikten met tirzepatide meer deelnemers elk van de drempels van 10, 15, 20 en 25%, en de middelomtrek daalde met 18,4 cm tegenover 13,0 cm.</w:t>
      </w:r>
    </w:p>
    <w:p>
      <w:pPr>
        <w:numPr>
          <w:ilvl w:val="0"/>
          <w:numId w:val="1329"/>
        </w:numPr>
        <w:pStyle w:val="Compact"/>
      </w:pPr>
      <w:r>
        <w:rPr>
          <w:bCs/>
          <w:b/>
        </w:rPr>
        <w:t xml:space="preserve">Bij de bloedsuiker zijn de verschillen kleiner.</w:t>
      </w:r>
      <w:r>
        <w:t xml:space="preserve"> </w:t>
      </w:r>
      <w:r>
        <w:t xml:space="preserve">Tussen de wekelijkse GLP-1-agonisten liggen meestal maar tienden van een punt; tirzepatide verlaagde de HbA1c-waarde in SURPASS-2 met 0,15 tot 0,45 procentpunt sterker dan semaglutide 1 mg.</w:t>
      </w:r>
    </w:p>
    <w:p>
      <w:pPr>
        <w:numPr>
          <w:ilvl w:val="0"/>
          <w:numId w:val="1329"/>
        </w:numPr>
        <w:pStyle w:val="Compact"/>
      </w:pPr>
      <w:r>
        <w:rPr>
          <w:bCs/>
          <w:b/>
        </w:rPr>
        <w:t xml:space="preserve">Voor harde eindpunten is er tot nu toe maar één directe vergelijking.</w:t>
      </w:r>
      <w:r>
        <w:t xml:space="preserve"> </w:t>
      </w:r>
      <w:r>
        <w:t xml:space="preserve">SURPASS-CVOT liet zien dat tirzepatide niet inferieur is aan dulaglutide; superioriteit werd niet aangetoond.</w:t>
      </w:r>
    </w:p>
    <w:p>
      <w:pPr>
        <w:numPr>
          <w:ilvl w:val="0"/>
          <w:numId w:val="1329"/>
        </w:numPr>
        <w:pStyle w:val="Compact"/>
      </w:pPr>
      <w:r>
        <w:rPr>
          <w:bCs/>
          <w:b/>
        </w:rPr>
        <w:t xml:space="preserve">De beperkingen zijn aanzienlijk.</w:t>
      </w:r>
      <w:r>
        <w:t xml:space="preserve"> </w:t>
      </w:r>
      <w:r>
        <w:t xml:space="preserve">SURMOUNT-5 en SURPASS-2 waren open en gefinancierd door de fabrikant van tirzepatide; SURPASS-2 gebruikte semaglutide alleen in de dosis van 1 mg. REDEFINE 5 werd uitsluitend in Japan en Taiwan uitgevoerd. De verschillen in SURMOUNT-5 zijn echter zo groot dat ze nauwelijks alleen door deze zwakke punten te verklaren zijn.</w:t>
      </w:r>
    </w:p>
    <w:p>
      <w:pPr>
        <w:pStyle w:val="FirstParagraph"/>
      </w:pPr>
      <w:r>
        <w:rPr>
          <w:bCs/>
          <w:b/>
        </w:rPr>
        <w:t xml:space="preserve">Nog lopend (geregistreerde studies):</w:t>
      </w:r>
      <w:r>
        <w:t xml:space="preserve"> </w:t>
      </w:r>
      <w:r>
        <w:t xml:space="preserve">de directe vergelijking van retatrutide met tirzepatide bij 800 volwassenen met obesitas (NCT06662383) moet eind 2026 zijn afgerond. De vergelijkende studie van CagriSema tegen tirzepatide bij obesitas (REDEFINE 4, NCT06131437) is volgens het register afgerond; een peer-reviewed publicatie was bij het afsluiten van de redactie niet beschikbaar. Mazdutide wordt in China getest tegen semaglutide (NCT06184568, NCT06884293).</w:t>
      </w:r>
    </w:p>
    <w:bookmarkEnd w:id="955"/>
    <w:bookmarkStart w:id="956" w:name="conclusie-58"/>
    <w:p>
      <w:pPr>
        <w:pStyle w:val="Heading3"/>
      </w:pPr>
      <w:r>
        <w:t xml:space="preserve">Conclusie</w:t>
      </w:r>
    </w:p>
    <w:p>
      <w:pPr>
        <w:pStyle w:val="FirstParagraph"/>
      </w:pPr>
      <w:r>
        <w:t xml:space="preserve">De incretinegeneesmiddelen vormen een duidelijke trapsgewijze volgorde: bij het gewichtsverlies lopen de gemiddelden van de registratiestudies van rond 8% (liraglutide) via bijna 15% (semaglutide 2,4 mg) en rond 20% (tirzepatide, CagriSema) tot 25% (retatrutide), waarbij de directe vergelijkingen deze volgorde bevestigen voor de tot nu toe vergeleken paren. Voor hart en nieren is het voordeel tot nu toe alleen voor de oudere GLP-1-agonisten en semaglutide in placebogecontroleerde studies aangetoond; of de sterkere opvolgers hier meer bereiken, is open. De bijwerkingen zijn in de hele klasse vergelijkbaar en betreffen vooral het maag-darmkanaal; de uitvalpercentages stijgen met dosis en behandelduur. Kruisvergelijkingen tussen afzonderlijke studies blijven een grove oriëntatie – voor de keuze van een geneesmiddel in een individueel geval zijn de productinformatie en medisch advies bepalend.</w:t>
      </w:r>
    </w:p>
    <w:bookmarkEnd w:id="956"/>
    <w:bookmarkEnd w:id="957"/>
    <w:bookmarkStart w:id="973" w:name="beloften-tegenover-bewijs"/>
    <w:p>
      <w:pPr>
        <w:pStyle w:val="Heading2"/>
      </w:pPr>
      <w:r>
        <w:t xml:space="preserve">Beloften tegenover bewijs</w:t>
      </w:r>
    </w:p>
    <w:p>
      <w:pPr>
        <w:pStyle w:val="FirstParagraph"/>
      </w:pPr>
      <w:r>
        <w:t xml:space="preserve">Wie op internet naar peptiden zoekt, komt al snel terecht bij webwinkels, video’s en fora waarin bepaalde stoffen in grote woorden worden beschreven: ze zouden pezen herstellen, het ouder worden afremmen, vet laten smelten of het geheugen aanscherpen. Dit hoofdstuk zet tegenover zulke typische reclamebeloften wat studies bij mensen werkelijk hebben aangetoond.</w:t>
      </w:r>
    </w:p>
    <w:p>
      <w:pPr>
        <w:pStyle w:val="BodyText"/>
      </w:pPr>
      <w:r>
        <w:t xml:space="preserve">Gekozen zijn de peptiden die in 2026 op het Duits- en Engelstalige internet het vaakst worden aangeprezen. De beloften zijn algemeen geformuleerd en vatten terugkerende beweringen samen; ze zijn niet afkomstig van een bepaalde aanbieder. De kolom „Wat de studies bij mensen laten zien” berust op de hoofdstukken in Deel II, waarin de bronnen uitvoerig worden besproken. Dierproeven en laboratoriumresultaten zijn uitdrukkelijk als zodanig aangeduid.</w:t>
      </w:r>
    </w:p>
    <w:p>
      <w:pPr>
        <w:pStyle w:val="BodyText"/>
      </w:pPr>
      <w:r>
        <w:t xml:space="preserve">Een opmerking vooraf: dat een voordeel niet is aangetoond, betekent niet automatisch dat een stof niet werkt. Het betekent dat niemand het weet – ook de aanbieders niet die haar verkopen. Evenzo geldt: dat er geen bijwerkingen zijn gepubliceerd, betekent bij nauwelijks onderzochte stoffen niet dat ze veilig zijn, maar alleen dat niemand er systematisch naar heeft gezocht.</w:t>
      </w:r>
    </w:p>
    <w:bookmarkStart w:id="958" w:name="de-populairste-peptiden-onder-de-loep"/>
    <w:p>
      <w:pPr>
        <w:pStyle w:val="Heading3"/>
      </w:pPr>
      <w:r>
        <w:t xml:space="preserve">De populairste peptiden onder de loep</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Peptide</w:t>
            </w:r>
          </w:p>
        </w:tc>
        <w:tc>
          <w:tcPr/>
          <w:p>
            <w:pPr>
              <w:pStyle w:val="Compact"/>
              <w:jc w:val="left"/>
            </w:pPr>
            <w:r>
              <w:t xml:space="preserve">Typische reclamebelofte</w:t>
            </w:r>
          </w:p>
        </w:tc>
        <w:tc>
          <w:tcPr/>
          <w:p>
            <w:pPr>
              <w:pStyle w:val="Compact"/>
              <w:jc w:val="left"/>
            </w:pPr>
            <w:r>
              <w:t xml:space="preserve">Wat de studies bij mensen laten zien</w:t>
            </w:r>
          </w:p>
        </w:tc>
        <w:tc>
          <w:tcPr/>
          <w:p>
            <w:pPr>
              <w:pStyle w:val="Compact"/>
              <w:jc w:val="left"/>
            </w:pPr>
            <w:r>
              <w:t xml:space="preserve">Bewijs</w:t>
            </w:r>
          </w:p>
        </w:tc>
      </w:tr>
      <w:tr>
        <w:tc>
          <w:tcPr/>
          <w:p>
            <w:pPr>
              <w:pStyle w:val="Compact"/>
              <w:jc w:val="left"/>
            </w:pPr>
            <w:r>
              <w:t xml:space="preserve">BPC-157</w:t>
            </w:r>
          </w:p>
        </w:tc>
        <w:tc>
          <w:tcPr/>
          <w:p>
            <w:pPr>
              <w:pStyle w:val="Compact"/>
              <w:jc w:val="left"/>
            </w:pPr>
            <w:r>
              <w:t xml:space="preserve">Versnelt het herstel van pezen, banden, spieren en darm</w:t>
            </w:r>
          </w:p>
        </w:tc>
        <w:tc>
          <w:tcPr/>
          <w:p>
            <w:pPr>
              <w:pStyle w:val="Compact"/>
              <w:jc w:val="left"/>
            </w:pPr>
            <w:r>
              <w:t xml:space="preserve">Drie ongecontroleerde onderzoeken met samen 30 personen (knie, urineblaas, verdraagbaarheid); bewijskracht volgens een systematisch overzicht zeer laag (Poolton 2026, PMID 42885452). De vele positieve resultaten komen uit dierproeven, overwegend van één enkele onderzoeksgroep.</w:t>
            </w:r>
          </w:p>
        </w:tc>
        <w:tc>
          <w:tcPr/>
          <w:p>
            <w:pPr>
              <w:pStyle w:val="Compact"/>
              <w:jc w:val="left"/>
            </w:pPr>
            <w:r>
              <w:t xml:space="preserve">C</w:t>
            </w:r>
          </w:p>
        </w:tc>
      </w:tr>
      <w:tr>
        <w:tc>
          <w:tcPr/>
          <w:p>
            <w:pPr>
              <w:pStyle w:val="Compact"/>
              <w:jc w:val="left"/>
            </w:pPr>
            <w:r>
              <w:t xml:space="preserve">TB-500</w:t>
            </w:r>
          </w:p>
        </w:tc>
        <w:tc>
          <w:tcPr/>
          <w:p>
            <w:pPr>
              <w:pStyle w:val="Compact"/>
              <w:jc w:val="left"/>
            </w:pPr>
            <w:r>
              <w:t xml:space="preserve">Herstelt weefsel, pezen en spieren, maakt soepeler</w:t>
            </w:r>
          </w:p>
        </w:tc>
        <w:tc>
          <w:tcPr/>
          <w:p>
            <w:pPr>
              <w:pStyle w:val="Compact"/>
              <w:jc w:val="left"/>
            </w:pPr>
            <w:r>
              <w:t xml:space="preserve">TB-500 is nooit in een gepubliceerde studie bij mensen getest. Het volledige eiwit thymosine bèta-4 verkleinde na een hartinfarct de infarctgrootte in totaal niet significant (Zhang 2025, PMID 41229390). Grijze-marktproducten bevatten niet steeds wat werd opgegeven (Delcourt 2023, PMID 36482504).</w:t>
            </w:r>
          </w:p>
        </w:tc>
        <w:tc>
          <w:tcPr/>
          <w:p>
            <w:pPr>
              <w:pStyle w:val="Compact"/>
              <w:jc w:val="left"/>
            </w:pPr>
            <w:r>
              <w:t xml:space="preserve">D (TB-500)</w:t>
            </w:r>
          </w:p>
        </w:tc>
      </w:tr>
      <w:tr>
        <w:tc>
          <w:tcPr/>
          <w:p>
            <w:pPr>
              <w:pStyle w:val="Compact"/>
              <w:jc w:val="left"/>
            </w:pPr>
            <w:r>
              <w:t xml:space="preserve">CJC-1295</w:t>
            </w:r>
          </w:p>
        </w:tc>
        <w:tc>
          <w:tcPr/>
          <w:p>
            <w:pPr>
              <w:pStyle w:val="Compact"/>
              <w:jc w:val="left"/>
            </w:pPr>
            <w:r>
              <w:t xml:space="preserve">Verhoogt het groeihormoon voor spieropbouw, vetverlies en slaap</w:t>
            </w:r>
          </w:p>
        </w:tc>
        <w:tc>
          <w:tcPr/>
          <w:p>
            <w:pPr>
              <w:pStyle w:val="Compact"/>
              <w:jc w:val="left"/>
            </w:pPr>
            <w:r>
              <w:t xml:space="preserve">Bij gezonde mensen stegen groeihormoon en IGF-1 na een enkele injectie gedurende ongeveer zes tot elf dagen (Teichman 2006, PMID 16352683). Of daar een voordeel uit volgt, is nooit onderzocht. Voor de meest verkochte variant zonder „DAC” bestaat geen studie bij mensen.</w:t>
            </w:r>
          </w:p>
        </w:tc>
        <w:tc>
          <w:tcPr/>
          <w:p>
            <w:pPr>
              <w:pStyle w:val="Compact"/>
              <w:jc w:val="left"/>
            </w:pPr>
            <w:r>
              <w:t xml:space="preserve">C</w:t>
            </w:r>
          </w:p>
        </w:tc>
      </w:tr>
      <w:tr>
        <w:tc>
          <w:tcPr/>
          <w:p>
            <w:pPr>
              <w:pStyle w:val="Compact"/>
              <w:jc w:val="left"/>
            </w:pPr>
            <w:r>
              <w:t xml:space="preserve">Ipamoreline</w:t>
            </w:r>
          </w:p>
        </w:tc>
        <w:tc>
          <w:tcPr/>
          <w:p>
            <w:pPr>
              <w:pStyle w:val="Compact"/>
              <w:jc w:val="left"/>
            </w:pPr>
            <w:r>
              <w:t xml:space="preserve">Milde groeihormoonbooster zonder bijwerkingen</w:t>
            </w:r>
          </w:p>
        </w:tc>
        <w:tc>
          <w:tcPr/>
          <w:p>
            <w:pPr>
              <w:pStyle w:val="Compact"/>
              <w:jc w:val="left"/>
            </w:pPr>
            <w:r>
              <w:t xml:space="preserve">Enige gepubliceerde werkzaamheidsstudie: 117 personen na een darmoperatie, geen significant voordeel (Beck 2014, PMID 25331030). Over spieren, vet, slaap of veroudering geen studie bij mensen.</w:t>
            </w:r>
          </w:p>
        </w:tc>
        <w:tc>
          <w:tcPr/>
          <w:p>
            <w:pPr>
              <w:pStyle w:val="Compact"/>
              <w:jc w:val="left"/>
            </w:pPr>
            <w:r>
              <w:t xml:space="preserve">B</w:t>
            </w:r>
          </w:p>
        </w:tc>
      </w:tr>
      <w:tr>
        <w:tc>
          <w:tcPr/>
          <w:p>
            <w:pPr>
              <w:pStyle w:val="Compact"/>
              <w:jc w:val="left"/>
            </w:pPr>
            <w:r>
              <w:t xml:space="preserve">Epitalon</w:t>
            </w:r>
          </w:p>
        </w:tc>
        <w:tc>
          <w:tcPr/>
          <w:p>
            <w:pPr>
              <w:pStyle w:val="Compact"/>
              <w:jc w:val="left"/>
            </w:pPr>
            <w:r>
              <w:t xml:space="preserve">Verlengt de telomeren en zet de biologische klok terug</w:t>
            </w:r>
          </w:p>
        </w:tc>
        <w:tc>
          <w:tcPr/>
          <w:p>
            <w:pPr>
              <w:pStyle w:val="Compact"/>
              <w:jc w:val="left"/>
            </w:pPr>
            <w:r>
              <w:t xml:space="preserve">Telomeerverlenging alleen in celkweken (Khavinson 2003, PMID 12937682). Bij muizen geen langere gemiddelde levensduur (Anisimov 2003, PMID 14501183). Geen voldoende grote gerandomiseerde studie bij mensen.</w:t>
            </w:r>
          </w:p>
        </w:tc>
        <w:tc>
          <w:tcPr/>
          <w:p>
            <w:pPr>
              <w:pStyle w:val="Compact"/>
              <w:jc w:val="left"/>
            </w:pPr>
            <w:r>
              <w:t xml:space="preserve">C</w:t>
            </w:r>
          </w:p>
        </w:tc>
      </w:tr>
      <w:tr>
        <w:tc>
          <w:tcPr/>
          <w:p>
            <w:pPr>
              <w:pStyle w:val="Compact"/>
              <w:jc w:val="left"/>
            </w:pPr>
            <w:r>
              <w:t xml:space="preserve">MOTS-c</w:t>
            </w:r>
          </w:p>
        </w:tc>
        <w:tc>
          <w:tcPr/>
          <w:p>
            <w:pPr>
              <w:pStyle w:val="Compact"/>
              <w:jc w:val="left"/>
            </w:pPr>
            <w:r>
              <w:t xml:space="preserve">„Sport uit de spuit”: meer uithoudingsvermogen, minder vet, betere insulinewerking</w:t>
            </w:r>
          </w:p>
        </w:tc>
        <w:tc>
          <w:tcPr/>
          <w:p>
            <w:pPr>
              <w:pStyle w:val="Compact"/>
              <w:jc w:val="left"/>
            </w:pPr>
            <w:r>
              <w:t xml:space="preserve">Deze effecten werden gezien bij muizen (Lee 2015, PMID 25738459). Bij mensen zijn er alleen metingen van de lichaamseigen spiegels, geen gepubliceerde studie waarin MOTS-c werd toegediend.</w:t>
            </w:r>
          </w:p>
        </w:tc>
        <w:tc>
          <w:tcPr/>
          <w:p>
            <w:pPr>
              <w:pStyle w:val="Compact"/>
              <w:jc w:val="left"/>
            </w:pPr>
            <w:r>
              <w:t xml:space="preserve">D</w:t>
            </w:r>
          </w:p>
        </w:tc>
      </w:tr>
      <w:tr>
        <w:tc>
          <w:tcPr/>
          <w:p>
            <w:pPr>
              <w:pStyle w:val="Compact"/>
              <w:jc w:val="left"/>
            </w:pPr>
            <w:r>
              <w:t xml:space="preserve">Semax</w:t>
            </w:r>
          </w:p>
        </w:tc>
        <w:tc>
          <w:tcPr/>
          <w:p>
            <w:pPr>
              <w:pStyle w:val="Compact"/>
              <w:jc w:val="left"/>
            </w:pPr>
            <w:r>
              <w:t xml:space="preserve">Verhoogt concentratie, geheugen en prestatievermogen</w:t>
            </w:r>
          </w:p>
        </w:tc>
        <w:tc>
          <w:tcPr/>
          <w:p>
            <w:pPr>
              <w:pStyle w:val="Compact"/>
              <w:jc w:val="left"/>
            </w:pPr>
            <w:r>
              <w:t xml:space="preserve">Kleine, overwegend niet-gerandomiseerde Russische studies bij beroerte, bijvoorbeeld een studie met 110 personen (Gusev 2018, PMID 29798983). Voor gezonde mensen geen zeggingskrachtige gegevens.</w:t>
            </w:r>
          </w:p>
        </w:tc>
        <w:tc>
          <w:tcPr/>
          <w:p>
            <w:pPr>
              <w:pStyle w:val="Compact"/>
              <w:jc w:val="left"/>
            </w:pPr>
            <w:r>
              <w:t xml:space="preserve">C</w:t>
            </w:r>
          </w:p>
        </w:tc>
      </w:tr>
      <w:tr>
        <w:tc>
          <w:tcPr/>
          <w:p>
            <w:pPr>
              <w:pStyle w:val="Compact"/>
              <w:jc w:val="left"/>
            </w:pPr>
            <w:r>
              <w:t xml:space="preserve">Selank</w:t>
            </w:r>
          </w:p>
        </w:tc>
        <w:tc>
          <w:tcPr/>
          <w:p>
            <w:pPr>
              <w:pStyle w:val="Compact"/>
              <w:jc w:val="left"/>
            </w:pPr>
            <w:r>
              <w:t xml:space="preserve">Neemt angst weg zonder vermoeidheid en verslaving</w:t>
            </w:r>
          </w:p>
        </w:tc>
        <w:tc>
          <w:tcPr/>
          <w:p>
            <w:pPr>
              <w:pStyle w:val="Compact"/>
              <w:jc w:val="left"/>
            </w:pPr>
            <w:r>
              <w:t xml:space="preserve">Drie kleine Russische studies zonder placebogroep, waaronder 62 personen in vergelijking met een benzodiazepine (Zozulia 2008, PMID 18454096). Studies naar concentratie bij gezonde mensen zijn er niet.</w:t>
            </w:r>
          </w:p>
        </w:tc>
        <w:tc>
          <w:tcPr/>
          <w:p>
            <w:pPr>
              <w:pStyle w:val="Compact"/>
              <w:jc w:val="left"/>
            </w:pPr>
            <w:r>
              <w:t xml:space="preserve">C</w:t>
            </w:r>
          </w:p>
        </w:tc>
      </w:tr>
      <w:tr>
        <w:tc>
          <w:tcPr/>
          <w:p>
            <w:pPr>
              <w:pStyle w:val="Compact"/>
              <w:jc w:val="left"/>
            </w:pPr>
            <w:r>
              <w:t xml:space="preserve">Melanotan II</w:t>
            </w:r>
          </w:p>
        </w:tc>
        <w:tc>
          <w:tcPr/>
          <w:p>
            <w:pPr>
              <w:pStyle w:val="Compact"/>
              <w:jc w:val="left"/>
            </w:pPr>
            <w:r>
              <w:t xml:space="preserve">Bruin worden zonder zonnebrand, meer zin in seks</w:t>
            </w:r>
          </w:p>
        </w:tc>
        <w:tc>
          <w:tcPr/>
          <w:p>
            <w:pPr>
              <w:pStyle w:val="Compact"/>
              <w:jc w:val="left"/>
            </w:pPr>
            <w:r>
              <w:t xml:space="preserve">Kleine pilotstudies uit de jaren negentig met zo’n twee dozijn personen, vaak misselijkheid (Wessells 2000, PMID 11035391). Casusbeschrijvingen van nieuwe moedervlekken, melanomen en priapisme. Flesjes uit webwinkels bevatten 4,32 tot 8,84 in plaats van 10 mg (Breindahl 2015, PMID 24771717).</w:t>
            </w:r>
          </w:p>
        </w:tc>
        <w:tc>
          <w:tcPr/>
          <w:p>
            <w:pPr>
              <w:pStyle w:val="Compact"/>
              <w:jc w:val="left"/>
            </w:pPr>
            <w:r>
              <w:t xml:space="preserve">C</w:t>
            </w:r>
          </w:p>
        </w:tc>
      </w:tr>
      <w:tr>
        <w:tc>
          <w:tcPr/>
          <w:p>
            <w:pPr>
              <w:pStyle w:val="Compact"/>
              <w:jc w:val="left"/>
            </w:pPr>
            <w:r>
              <w:t xml:space="preserve">GHK-Cu</w:t>
            </w:r>
          </w:p>
        </w:tc>
        <w:tc>
          <w:tcPr/>
          <w:p>
            <w:pPr>
              <w:pStyle w:val="Compact"/>
              <w:jc w:val="left"/>
            </w:pPr>
            <w:r>
              <w:t xml:space="preserve">Verstevigt de huid, bouwt collageen op, bevordert haargroei</w:t>
            </w:r>
          </w:p>
        </w:tc>
        <w:tc>
          <w:tcPr/>
          <w:p>
            <w:pPr>
              <w:pStyle w:val="Compact"/>
              <w:jc w:val="left"/>
            </w:pPr>
            <w:r>
              <w:t xml:space="preserve">Een oudere gerandomiseerde studie bij diabetische voetulcera met een positief resultaat (Mulder 1994, PMID 17147644). Een kleine huidstudie na laserbehandeling vond geen meetbaar verschil (Miller 2006, PMID 16847171). Over injecties geen gegevens.</w:t>
            </w:r>
          </w:p>
        </w:tc>
        <w:tc>
          <w:tcPr/>
          <w:p>
            <w:pPr>
              <w:pStyle w:val="Compact"/>
              <w:jc w:val="left"/>
            </w:pPr>
            <w:r>
              <w:t xml:space="preserve">C</w:t>
            </w:r>
          </w:p>
        </w:tc>
      </w:tr>
      <w:tr>
        <w:tc>
          <w:tcPr/>
          <w:p>
            <w:pPr>
              <w:pStyle w:val="Compact"/>
              <w:jc w:val="left"/>
            </w:pPr>
            <w:r>
              <w:t xml:space="preserve">AOD-9604</w:t>
            </w:r>
          </w:p>
        </w:tc>
        <w:tc>
          <w:tcPr/>
          <w:p>
            <w:pPr>
              <w:pStyle w:val="Compact"/>
              <w:jc w:val="left"/>
            </w:pPr>
            <w:r>
              <w:t xml:space="preserve">Vetverbrandend fragment van het groeihormoon</w:t>
            </w:r>
          </w:p>
        </w:tc>
        <w:tc>
          <w:tcPr/>
          <w:p>
            <w:pPr>
              <w:pStyle w:val="Compact"/>
              <w:jc w:val="left"/>
            </w:pPr>
            <w:r>
              <w:t xml:space="preserve">Bij muizen minder gewichtstoename (Heffernan 2001, PMID 11673763). Studies bij mensen zijn uitgevoerd, maar nooit in peer-reviewed vaktijdschriften gepubliceerd; de ontwikkeling werd stopgezet.</w:t>
            </w:r>
          </w:p>
        </w:tc>
        <w:tc>
          <w:tcPr/>
          <w:p>
            <w:pPr>
              <w:pStyle w:val="Compact"/>
              <w:jc w:val="left"/>
            </w:pPr>
            <w:r>
              <w:t xml:space="preserve">D</w:t>
            </w:r>
          </w:p>
        </w:tc>
      </w:tr>
      <w:tr>
        <w:tc>
          <w:tcPr/>
          <w:p>
            <w:pPr>
              <w:pStyle w:val="Compact"/>
              <w:jc w:val="left"/>
            </w:pPr>
            <w:r>
              <w:t xml:space="preserve">Collageenpeptiden</w:t>
            </w:r>
          </w:p>
        </w:tc>
        <w:tc>
          <w:tcPr/>
          <w:p>
            <w:pPr>
              <w:pStyle w:val="Compact"/>
              <w:jc w:val="left"/>
            </w:pPr>
            <w:r>
              <w:t xml:space="preserve">Stevigere huid, gezonde gewrichten, meer spieren</w:t>
            </w:r>
          </w:p>
        </w:tc>
        <w:tc>
          <w:tcPr/>
          <w:p>
            <w:pPr>
              <w:pStyle w:val="Compact"/>
              <w:jc w:val="left"/>
            </w:pPr>
            <w:r>
              <w:t xml:space="preserve">Artrose: in 35 gerandomiseerde studies kleine tot middelgrote effecten (PMID 38218227). Huid: zonder financiering door de industrie geen effect (Myung 2025, PMID 40324552). Spieren: wei-eiwit werkte beter dan collageen (Oikawa 2020, PMID 31919527).</w:t>
            </w:r>
          </w:p>
        </w:tc>
        <w:tc>
          <w:tcPr/>
          <w:p>
            <w:pPr>
              <w:pStyle w:val="Compact"/>
              <w:jc w:val="left"/>
            </w:pPr>
            <w:r>
              <w:t xml:space="preserve">B</w:t>
            </w:r>
          </w:p>
        </w:tc>
      </w:tr>
      <w:tr>
        <w:tc>
          <w:tcPr/>
          <w:p>
            <w:pPr>
              <w:pStyle w:val="Compact"/>
              <w:jc w:val="left"/>
            </w:pPr>
            <w:r>
              <w:t xml:space="preserve">Glutathion</w:t>
            </w:r>
          </w:p>
        </w:tc>
        <w:tc>
          <w:tcPr/>
          <w:p>
            <w:pPr>
              <w:pStyle w:val="Compact"/>
              <w:jc w:val="left"/>
            </w:pPr>
            <w:r>
              <w:t xml:space="preserve">Ontgift, maakt de huid lichter, versterkt het immuunsysteem</w:t>
            </w:r>
          </w:p>
        </w:tc>
        <w:tc>
          <w:tcPr/>
          <w:p>
            <w:pPr>
              <w:pStyle w:val="Compact"/>
              <w:jc w:val="left"/>
            </w:pPr>
            <w:r>
              <w:t xml:space="preserve">Als capsule verhoogde het na zes maanden de bloedspiegels (Richie 2015, PMID 24791752). Als infuus beschermde het 185 kankerpatiënten niet tegen zenuwschade (Leal 2014, PMID 24619793). Infusen om de huid lichter te maken: geen aangetoond voordeel, volgens een overzicht niet verantwoord (Sarkar 2025, PMID 39444151).</w:t>
            </w:r>
          </w:p>
        </w:tc>
        <w:tc>
          <w:tcPr/>
          <w:p>
            <w:pPr>
              <w:pStyle w:val="Compact"/>
              <w:jc w:val="left"/>
            </w:pPr>
            <w:r>
              <w:t xml:space="preserve">B</w:t>
            </w:r>
          </w:p>
        </w:tc>
      </w:tr>
      <w:tr>
        <w:tc>
          <w:tcPr/>
          <w:p>
            <w:pPr>
              <w:pStyle w:val="Compact"/>
              <w:jc w:val="left"/>
            </w:pPr>
            <w:r>
              <w:t xml:space="preserve">Dihexa</w:t>
            </w:r>
          </w:p>
        </w:tc>
        <w:tc>
          <w:tcPr/>
          <w:p>
            <w:pPr>
              <w:pStyle w:val="Compact"/>
              <w:jc w:val="left"/>
            </w:pPr>
            <w:r>
              <w:t xml:space="preserve">Vormt nieuwe synapsen, sterker dan lichaamseigen groeifactoren</w:t>
            </w:r>
          </w:p>
        </w:tc>
        <w:tc>
          <w:tcPr/>
          <w:p>
            <w:pPr>
              <w:pStyle w:val="Compact"/>
              <w:jc w:val="left"/>
            </w:pPr>
            <w:r>
              <w:t xml:space="preserve">Nooit bij mensen onderzocht; effecten alleen bij ratten en muizen, een centraal artikel daarover werd in 2025 ingetrokken (PMID 25187433). De verwante werkzame stof fosgonimeton haalde bij 287 mensen met alzheimer geen enkel primair of secundair doel (Porsteinsson 2025, PMID 41393340).</w:t>
            </w:r>
          </w:p>
        </w:tc>
        <w:tc>
          <w:tcPr/>
          <w:p>
            <w:pPr>
              <w:pStyle w:val="Compact"/>
              <w:jc w:val="left"/>
            </w:pPr>
            <w:r>
              <w:t xml:space="preserve">D</w:t>
            </w:r>
          </w:p>
        </w:tc>
      </w:tr>
      <w:tr>
        <w:tc>
          <w:tcPr/>
          <w:p>
            <w:pPr>
              <w:pStyle w:val="Compact"/>
              <w:jc w:val="left"/>
            </w:pPr>
            <w:r>
              <w:t xml:space="preserve">IGF-1 LR3</w:t>
            </w:r>
          </w:p>
        </w:tc>
        <w:tc>
          <w:tcPr/>
          <w:p>
            <w:pPr>
              <w:pStyle w:val="Compact"/>
              <w:jc w:val="left"/>
            </w:pPr>
            <w:r>
              <w:t xml:space="preserve">Sterker, langer werkend IGF-1 voor spiergroei</w:t>
            </w:r>
          </w:p>
        </w:tc>
        <w:tc>
          <w:tcPr/>
          <w:p>
            <w:pPr>
              <w:pStyle w:val="Compact"/>
              <w:jc w:val="left"/>
            </w:pPr>
            <w:r>
              <w:t xml:space="preserve">Geen enkele studie bij mensen. Een flesje van de zwarte markt bevatte een laboratoriumvariant die nooit voor injecties bedoeld was (PMID 20675162).</w:t>
            </w:r>
          </w:p>
        </w:tc>
        <w:tc>
          <w:tcPr/>
          <w:p>
            <w:pPr>
              <w:pStyle w:val="Compact"/>
              <w:jc w:val="left"/>
            </w:pPr>
            <w:r>
              <w:t xml:space="preserve">D</w:t>
            </w:r>
          </w:p>
        </w:tc>
      </w:tr>
      <w:tr>
        <w:tc>
          <w:tcPr/>
          <w:p>
            <w:pPr>
              <w:pStyle w:val="Compact"/>
              <w:jc w:val="left"/>
            </w:pPr>
            <w:r>
              <w:t xml:space="preserve">Retatrutide van de grijze markt</w:t>
            </w:r>
          </w:p>
        </w:tc>
        <w:tc>
          <w:tcPr/>
          <w:p>
            <w:pPr>
              <w:pStyle w:val="Compact"/>
              <w:jc w:val="left"/>
            </w:pPr>
            <w:r>
              <w:t xml:space="preserve">Het sterkste afslankmiddel, nu al verkrijgbaar</w:t>
            </w:r>
          </w:p>
        </w:tc>
        <w:tc>
          <w:tcPr/>
          <w:p>
            <w:pPr>
              <w:pStyle w:val="Compact"/>
              <w:jc w:val="left"/>
            </w:pPr>
            <w:r>
              <w:t xml:space="preserve">Het geneesmiddel is goed onderzocht: in TRIUMPH-1 −25,0% gewicht na 80 weken bij de hoogste dosis (Jastreboff 2026, PMID 42814954). Voor grijze-marktwaar geldt dat niet: niet geregistreerd, inhoud en zuiverheid ongecontroleerd (Rubin 2026, PMID 42853576).</w:t>
            </w:r>
          </w:p>
        </w:tc>
        <w:tc>
          <w:tcPr/>
          <w:p>
            <w:pPr>
              <w:pStyle w:val="Compact"/>
              <w:jc w:val="left"/>
            </w:pPr>
            <w:r>
              <w:t xml:space="preserve">B (geneesmiddel)</w:t>
            </w:r>
          </w:p>
        </w:tc>
      </w:tr>
    </w:tbl>
    <w:p>
      <w:pPr>
        <w:pStyle w:val="BodyText"/>
      </w:pPr>
      <w:r>
        <w:t xml:space="preserve">Opmerking bij de tabel: het bewijsniveau heeft betrekking op de aangeprezen toepassing of op de stof zoals die wordt verkocht. Voor TB-500 geldt niveau D, voor het volledige eiwit thymosine bèta-4 niveau B. Bij retatrutide heeft niveau B betrekking op het in studies geteste geneesmiddel; voor grijze-marktproducten waarvan niemand de inhoud kent, valt geen bewijsniveau te geven.</w:t>
      </w:r>
    </w:p>
    <w:p>
      <w:pPr>
        <w:pStyle w:val="BodyText"/>
      </w:pPr>
      <w:r>
        <w:t xml:space="preserve">Het totaalbeeld: van de 16 stoffen heeft geen enkele bewijsniveau A. Vijf hebben niveau D, zijn dus helemaal niet bij mensen onderzocht. Bij de stoffen met niveau B – ipamoreline, collageen, glutathion – hebben de beste studies de reclamebeloften niet bevestigd of slechts kleine effecten gevonden. De enige uitzondering is retatrutide, waarvan de sterke werking is aangetoond – maar niet voor het product dat op de grijze markt wordt verkocht.</w:t>
      </w:r>
    </w:p>
    <w:bookmarkEnd w:id="958"/>
    <w:bookmarkStart w:id="965" w:name="zes-patronen-achter-de-beloften"/>
    <w:p>
      <w:pPr>
        <w:pStyle w:val="Heading3"/>
      </w:pPr>
      <w:r>
        <w:t xml:space="preserve">Zes patronen achter de beloften</w:t>
      </w:r>
    </w:p>
    <w:p>
      <w:pPr>
        <w:pStyle w:val="FirstParagraph"/>
      </w:pPr>
      <w:r>
        <w:t xml:space="preserve">Wie de tabel rij voor rij leest, herkent terugkerende patronen. Ze helpen ook om beweringen te duiden over peptiden die in dit boek niet voorkomen.</w:t>
      </w:r>
    </w:p>
    <w:bookmarkStart w:id="959" w:name="van-dier-naar-mens"/>
    <w:p>
      <w:pPr>
        <w:pStyle w:val="Heading4"/>
      </w:pPr>
      <w:r>
        <w:t xml:space="preserve">1. Van dier naar mens</w:t>
      </w:r>
    </w:p>
    <w:p>
      <w:pPr>
        <w:pStyle w:val="FirstParagraph"/>
      </w:pPr>
      <w:r>
        <w:t xml:space="preserve">Bijna alle beloften over BPC-157, TB-500, MOTS-c, Dihexa, AOD-9604 en Epitalon steunen op proeven met ratten, muizen of celkweken. Zulke studies zijn belangrijk om werkingsmechanismen te begrijpen. Of een stof bij de mens net zo werkt, voorspellen ze niet: een groot deel van de werkzame stoffen die in dierproeven succesvol zijn, faalt in studies bij mensen. Een actueel voorbeeld uit dit boek is het geheugenpeptide Dihexa. Bij ratten bevorderde het leren en synapsvorming; de verwante werkzame stof fosgonimeton, die via hetzelfde groeifactorsysteem zou moeten werken, haalde in een studie met 287 mensen met alzheimer geen enkel primair of secundair doel (Porsteinsson 2025, PMID 41393340).</w:t>
      </w:r>
    </w:p>
    <w:p>
      <w:pPr>
        <w:pStyle w:val="BodyText"/>
      </w:pPr>
      <w:r>
        <w:t xml:space="preserve">Daar komt bij BPC-157 een tweede probleem bij: de positieve dierstudies komen overwegend van één enkele onderzoeksgroep en zijn nauwelijks onafhankelijk herhaald.</w:t>
      </w:r>
    </w:p>
    <w:bookmarkEnd w:id="959"/>
    <w:bookmarkStart w:id="960" w:name="een-meetwaarde-is-nog-geen-voordeel"/>
    <w:p>
      <w:pPr>
        <w:pStyle w:val="Heading4"/>
      </w:pPr>
      <w:r>
        <w:t xml:space="preserve">2. Een meetwaarde is nog geen voordeel</w:t>
      </w:r>
    </w:p>
    <w:p>
      <w:pPr>
        <w:pStyle w:val="FirstParagraph"/>
      </w:pPr>
      <w:r>
        <w:t xml:space="preserve">CJC-1295 verhoogt het groeihormoon, Epitalon activeert in celkweken het telomerase, glutathioncapsules verhogen de glutathionspiegel in het bloed. Dat zijn vervangende meetwaarden („surrogaateindpunten”, zie Deel I). Of daar iets uit volgt dat voor mensen telt – meer spierkracht, een langer leven, minder ziekten –, is een aparte vraag die aparte studies vereist. Bij het groeihormoon laat het voorbeeld ibutamoren zien hoe groot de kloof kan zijn: bij 65 gezonde oudere mensen nam de vetvrije massa in een jaar met 1,1 kg toe, maar kracht en lichamelijk functioneren verbeterden niet (Nass 2008, PMID 18981485).</w:t>
      </w:r>
    </w:p>
    <w:bookmarkEnd w:id="960"/>
    <w:bookmarkStart w:id="961" w:name="verwisseling-van-stoffen"/>
    <w:p>
      <w:pPr>
        <w:pStyle w:val="Heading4"/>
      </w:pPr>
      <w:r>
        <w:t xml:space="preserve">3. Verwisseling van stoffen</w:t>
      </w:r>
    </w:p>
    <w:p>
      <w:pPr>
        <w:pStyle w:val="FirstParagraph"/>
      </w:pPr>
      <w:r>
        <w:t xml:space="preserve">Meerdere beloften berusten op studies met een andere stof dan die welke wordt verkocht:</w:t>
      </w:r>
    </w:p>
    <w:p>
      <w:pPr>
        <w:numPr>
          <w:ilvl w:val="0"/>
          <w:numId w:val="1330"/>
        </w:numPr>
        <w:pStyle w:val="Compact"/>
      </w:pPr>
      <w:r>
        <w:rPr>
          <w:bCs/>
          <w:b/>
        </w:rPr>
        <w:t xml:space="preserve">TB-500</w:t>
      </w:r>
      <w:r>
        <w:t xml:space="preserve"> </w:t>
      </w:r>
      <w:r>
        <w:t xml:space="preserve">is een gewijzigd fragment. De studies bij mensen betreffen het volledige eiwit thymosine bèta-4 – en ook die gaan nauwelijks over pezen, banden of spieren.</w:t>
      </w:r>
    </w:p>
    <w:p>
      <w:pPr>
        <w:numPr>
          <w:ilvl w:val="0"/>
          <w:numId w:val="1330"/>
        </w:numPr>
        <w:pStyle w:val="Compact"/>
      </w:pPr>
      <w:r>
        <w:rPr>
          <w:bCs/>
          <w:b/>
        </w:rPr>
        <w:t xml:space="preserve">Epitalon</w:t>
      </w:r>
      <w:r>
        <w:t xml:space="preserve"> </w:t>
      </w:r>
      <w:r>
        <w:t xml:space="preserve">is een synthetisch tetrapeptide. De vaak geciteerde studie over een langer leven betrof het runderextract epithalamine, was niet gerandomiseerd en werd nooit onafhankelijk herhaald.</w:t>
      </w:r>
    </w:p>
    <w:p>
      <w:pPr>
        <w:numPr>
          <w:ilvl w:val="0"/>
          <w:numId w:val="1330"/>
        </w:numPr>
        <w:pStyle w:val="Compact"/>
      </w:pPr>
      <w:r>
        <w:rPr>
          <w:bCs/>
          <w:b/>
        </w:rPr>
        <w:t xml:space="preserve">CJC-1295</w:t>
      </w:r>
      <w:r>
        <w:t xml:space="preserve"> </w:t>
      </w:r>
      <w:r>
        <w:t xml:space="preserve">wordt overwegend verkocht zonder de „DAC”-groep die in de studies bij mensen werd gebruikt.</w:t>
      </w:r>
    </w:p>
    <w:p>
      <w:pPr>
        <w:numPr>
          <w:ilvl w:val="0"/>
          <w:numId w:val="1330"/>
        </w:numPr>
        <w:pStyle w:val="Compact"/>
      </w:pPr>
      <w:r>
        <w:rPr>
          <w:bCs/>
          <w:b/>
        </w:rPr>
        <w:t xml:space="preserve">Retatrutide</w:t>
      </w:r>
      <w:r>
        <w:t xml:space="preserve"> </w:t>
      </w:r>
      <w:r>
        <w:t xml:space="preserve">van de grijze markt is niet het geneesmiddel uit de studies. Laboratoriumanalyses van andere grijze-marktpeptiden laten zien dat flesjes vaak minder, meer of een andere werkzame stof bevatten dan opgegeven; bij ipamoreline en CJC-1295 vonden laboratoria gewijzigde, niet-gedeclareerde moleculen (Gajda 2019, PMID 30136411).</w:t>
      </w:r>
    </w:p>
    <w:bookmarkEnd w:id="961"/>
    <w:bookmarkStart w:id="962" w:name="negatieve-studies-worden-niet-genoemd"/>
    <w:p>
      <w:pPr>
        <w:pStyle w:val="Heading4"/>
      </w:pPr>
      <w:r>
        <w:t xml:space="preserve">4. Negatieve studies worden niet genoemd</w:t>
      </w:r>
    </w:p>
    <w:p>
      <w:pPr>
        <w:pStyle w:val="FirstParagraph"/>
      </w:pPr>
      <w:r>
        <w:t xml:space="preserve">Voor meerdere peptiden bestaan wel degelijk gerandomiseerde studies – alleen vonden die geen voordeel. Ipamoreline verkortte na darmoperaties de tijd tot de eerste maaltijd niet significant (Beck 2014, PMID 25331030). Glutathioninfusen beschermden niet tegen zenuwschade door chemotherapie (Leal 2014, PMID 24619793). Bij collageen verdween het voordeel voor de huid zodra alleen onafhankelijk gefinancierde studies werden bekeken (Myung 2025, PMID 40324552). Zulke resultaten duiken in reclameteksten praktisch nooit op. Een serieuze weergave noemt positieve</w:t>
      </w:r>
      <w:r>
        <w:t xml:space="preserve"> </w:t>
      </w:r>
      <w:r>
        <w:rPr>
          <w:iCs/>
          <w:i/>
        </w:rPr>
        <w:t xml:space="preserve">en</w:t>
      </w:r>
      <w:r>
        <w:t xml:space="preserve"> </w:t>
      </w:r>
      <w:r>
        <w:t xml:space="preserve">negatieve studies.</w:t>
      </w:r>
    </w:p>
    <w:bookmarkEnd w:id="962"/>
    <w:bookmarkStart w:id="963" w:name="kleine-studies-uit-een-kleine-kring"/>
    <w:p>
      <w:pPr>
        <w:pStyle w:val="Heading4"/>
      </w:pPr>
      <w:r>
        <w:t xml:space="preserve">5. Kleine studies uit een kleine kring</w:t>
      </w:r>
    </w:p>
    <w:p>
      <w:pPr>
        <w:pStyle w:val="FirstParagraph"/>
      </w:pPr>
      <w:r>
        <w:t xml:space="preserve">Semax, Selank, Epitalon en Pinealon werden bijna uitsluitend in Rusland onderzocht, meestal door de ontwikkelaars zelf, in kleine groepen en vaak zonder placebovergelijking. Dat maakt de resultaten niet automatisch onjuist. Het betekent wel dat ze nooit zijn getest onder de voorwaarden die tegenwoordig voor een registratie worden geëist: vooraf geregistreerd, geblindeerd, voldoende groot en door onafhankelijke groepen bevestigd.</w:t>
      </w:r>
    </w:p>
    <w:bookmarkEnd w:id="963"/>
    <w:bookmarkStart w:id="964" w:name="X25c30659159d364777f6c9a4c71dd9d9ce8f782"/>
    <w:p>
      <w:pPr>
        <w:pStyle w:val="Heading4"/>
      </w:pPr>
      <w:r>
        <w:t xml:space="preserve">6. „Geen bijwerkingen” betekent meestal „niet onderzocht”</w:t>
      </w:r>
    </w:p>
    <w:p>
      <w:pPr>
        <w:pStyle w:val="FirstParagraph"/>
      </w:pPr>
      <w:r>
        <w:t xml:space="preserve">De bewering dat een peptide „goed verdragen” wordt of „zonder bijwerkingen” is, steunt bij BPC-157 op samen 30 personen. Met zo weinig deelnemers zijn alleen veelvoorkomende, direct optredende problemen te herkennen; een bijwerking die één op de duizend personen treft, zou onzichtbaar blijven. Bij stoffen die groeisignalen versterken – groeihormoonvrijmakers, IGF-1 LR3, peptiden die de vorming van nieuwe bloedvaten bevorderen – bestaat bovendien een theoretische, maar niet onderzochte zorg over tumorgroei. Bij Melanotan II beschrijven casusbeschrijvingen nieuwe en veranderde moedervlekken en melanomen; een oorzakelijk verband is niet bewezen, maar ook niet uitgesloten. Daarbij komen de risico’s van de producten zelf: in grijze-marktflesjes met Melanotan II werden minder werkzame stof dan opgegeven en onbekende verontreinigingen gevonden (Breindahl 2015, PMID 24771717). Meer hierover in Deel IV.</w:t>
      </w:r>
    </w:p>
    <w:bookmarkEnd w:id="964"/>
    <w:bookmarkEnd w:id="965"/>
    <w:bookmarkStart w:id="971" w:name="Xa3b171d79eaf13069289099de30345ddd8fd141"/>
    <w:p>
      <w:pPr>
        <w:pStyle w:val="Heading3"/>
      </w:pPr>
      <w:r>
        <w:t xml:space="preserve">Hoe u serieuze van onbetrouwbare beweringen onderscheidt</w:t>
      </w:r>
    </w:p>
    <w:p>
      <w:pPr>
        <w:pStyle w:val="FirstParagraph"/>
      </w:pPr>
      <w:r>
        <w:t xml:space="preserve">De volgende checklist helpt om beweringen over peptiden – in webwinkels, video’s, fora of tijdschriften – te duiden. Ze vervangt geen deskundig advies, maar scherpt de blik voor hoeveel er achter een bewering zit.</w:t>
      </w:r>
    </w:p>
    <w:bookmarkStart w:id="966" w:name="vragen-over-de-bron"/>
    <w:p>
      <w:pPr>
        <w:pStyle w:val="Heading4"/>
      </w:pPr>
      <w:r>
        <w:t xml:space="preserve">Vragen over de bron</w:t>
      </w:r>
    </w:p>
    <w:p>
      <w:pPr>
        <w:numPr>
          <w:ilvl w:val="0"/>
          <w:numId w:val="1331"/>
        </w:numPr>
        <w:pStyle w:val="Compact"/>
      </w:pPr>
      <w:r>
        <w:rPr>
          <w:bCs/>
          <w:b/>
        </w:rPr>
        <w:t xml:space="preserve">Wie spreekt er?</w:t>
      </w:r>
      <w:r>
        <w:t xml:space="preserve"> </w:t>
      </w:r>
      <w:r>
        <w:t xml:space="preserve">Verkoopt de persoon of website de stof zelf, biedt die cursussen, consulten of kortingscodes aan? Een financieel belang maakt een bewering niet onjuist, maar is wel een reden om beter te kijken.</w:t>
      </w:r>
    </w:p>
    <w:p>
      <w:pPr>
        <w:numPr>
          <w:ilvl w:val="0"/>
          <w:numId w:val="1331"/>
        </w:numPr>
        <w:pStyle w:val="Compact"/>
      </w:pPr>
      <w:r>
        <w:rPr>
          <w:bCs/>
          <w:b/>
        </w:rPr>
        <w:t xml:space="preserve">Worden studies genoemd – en zijn ze te vinden?</w:t>
      </w:r>
      <w:r>
        <w:t xml:space="preserve"> </w:t>
      </w:r>
      <w:r>
        <w:t xml:space="preserve">Serieuze beweringen noemen een controleerbare bron: een PMID, een DOI of een registratienummer (NCT). U kunt elke PMID gratis in PubMed invoeren en de abstract zelf lezen. Formuleringen als „studies tonen aan” zonder concrete vermelding zijn een waarschuwingssignaal.</w:t>
      </w:r>
    </w:p>
    <w:p>
      <w:pPr>
        <w:numPr>
          <w:ilvl w:val="0"/>
          <w:numId w:val="1331"/>
        </w:numPr>
        <w:pStyle w:val="Compact"/>
      </w:pPr>
      <w:r>
        <w:rPr>
          <w:bCs/>
          <w:b/>
        </w:rPr>
        <w:t xml:space="preserve">Past de geciteerde studie bij de bewering?</w:t>
      </w:r>
      <w:r>
        <w:t xml:space="preserve"> </w:t>
      </w:r>
      <w:r>
        <w:t xml:space="preserve">Controleer of de studie werkelijk de verkochte stof, de aangeprezen toepassing en mensen heeft onderzocht – of dat het ging om een verwant molecuul, een andere aandoening of ratten.</w:t>
      </w:r>
    </w:p>
    <w:bookmarkEnd w:id="966"/>
    <w:bookmarkStart w:id="967" w:name="vragen-over-de-studie"/>
    <w:p>
      <w:pPr>
        <w:pStyle w:val="Heading4"/>
      </w:pPr>
      <w:r>
        <w:t xml:space="preserve">Vragen over de studie</w:t>
      </w:r>
    </w:p>
    <w:p>
      <w:pPr>
        <w:numPr>
          <w:ilvl w:val="0"/>
          <w:numId w:val="1332"/>
        </w:numPr>
        <w:pStyle w:val="Compact"/>
      </w:pPr>
      <w:r>
        <w:rPr>
          <w:bCs/>
          <w:b/>
        </w:rPr>
        <w:t xml:space="preserve">Mens, dier of celkweek?</w:t>
      </w:r>
      <w:r>
        <w:t xml:space="preserve"> </w:t>
      </w:r>
      <w:r>
        <w:t xml:space="preserve">Staat in de abstract „rats”, „mice”, „in vitro” of „cell culture”, dan zegt dat niets over de werking bij de mens.</w:t>
      </w:r>
    </w:p>
    <w:p>
      <w:pPr>
        <w:numPr>
          <w:ilvl w:val="0"/>
          <w:numId w:val="1332"/>
        </w:numPr>
        <w:pStyle w:val="Compact"/>
      </w:pPr>
      <w:r>
        <w:rPr>
          <w:bCs/>
          <w:b/>
        </w:rPr>
        <w:t xml:space="preserve">Was er een vergelijkingsgroep?</w:t>
      </w:r>
      <w:r>
        <w:t xml:space="preserve"> </w:t>
      </w:r>
      <w:r>
        <w:t xml:space="preserve">Zonder placebo- of controlegroep valt niet te onderscheiden of een verbetering komt door de stof, door de tijd, door andere behandelingen of door de verwachting. Juist bij pijn, stemming of slaap is het placebo-effect groot.</w:t>
      </w:r>
    </w:p>
    <w:p>
      <w:pPr>
        <w:numPr>
          <w:ilvl w:val="0"/>
          <w:numId w:val="1332"/>
        </w:numPr>
        <w:pStyle w:val="Compact"/>
      </w:pPr>
      <w:r>
        <w:rPr>
          <w:bCs/>
          <w:b/>
        </w:rPr>
        <w:t xml:space="preserve">Hoeveel deelnemers?</w:t>
      </w:r>
      <w:r>
        <w:t xml:space="preserve"> </w:t>
      </w:r>
      <w:r>
        <w:t xml:space="preserve">Studies met 10 of 20 personen kunnen aanwijzingen geven, maar geen voordeel aantonen en zeldzame bijwerkingen niet herkennen.</w:t>
      </w:r>
    </w:p>
    <w:p>
      <w:pPr>
        <w:numPr>
          <w:ilvl w:val="0"/>
          <w:numId w:val="1332"/>
        </w:numPr>
        <w:pStyle w:val="Compact"/>
      </w:pPr>
      <w:r>
        <w:rPr>
          <w:bCs/>
          <w:b/>
        </w:rPr>
        <w:t xml:space="preserve">Wat werd gemeten?</w:t>
      </w:r>
      <w:r>
        <w:t xml:space="preserve"> </w:t>
      </w:r>
      <w:r>
        <w:t xml:space="preserve">Een laboratoriumwaarde die stijgt, is geen merkbaar voordeel. Vraag u af: werd gemeten wat voor de betrokkenen telt – pijn, functie, ziektegebeurtenissen, kwaliteit van leven?</w:t>
      </w:r>
    </w:p>
    <w:p>
      <w:pPr>
        <w:numPr>
          <w:ilvl w:val="0"/>
          <w:numId w:val="1332"/>
        </w:numPr>
        <w:pStyle w:val="Compact"/>
      </w:pPr>
      <w:r>
        <w:rPr>
          <w:bCs/>
          <w:b/>
        </w:rPr>
        <w:t xml:space="preserve">Werd de studie vooraf geregistreerd?</w:t>
      </w:r>
      <w:r>
        <w:t xml:space="preserve"> </w:t>
      </w:r>
      <w:r>
        <w:t xml:space="preserve">Een registratie bij ClinicalTrials.gov of in het EU-register vóór de start van de studie voorkomt dat doelen achteraf passend worden gekozen.</w:t>
      </w:r>
    </w:p>
    <w:p>
      <w:pPr>
        <w:numPr>
          <w:ilvl w:val="0"/>
          <w:numId w:val="1332"/>
        </w:numPr>
        <w:pStyle w:val="Compact"/>
      </w:pPr>
      <w:r>
        <w:rPr>
          <w:bCs/>
          <w:b/>
        </w:rPr>
        <w:t xml:space="preserve">Werd het resultaat herhaald?</w:t>
      </w:r>
      <w:r>
        <w:t xml:space="preserve"> </w:t>
      </w:r>
      <w:r>
        <w:t xml:space="preserve">Eén positief resultaat van één onderzoeksgroep is een begin, geen bewijs.</w:t>
      </w:r>
    </w:p>
    <w:bookmarkEnd w:id="967"/>
    <w:bookmarkStart w:id="968" w:name="waarschuwingssignalen-in-de-taal"/>
    <w:p>
      <w:pPr>
        <w:pStyle w:val="Heading4"/>
      </w:pPr>
      <w:r>
        <w:t xml:space="preserve">Waarschuwingssignalen in de taal</w:t>
      </w:r>
    </w:p>
    <w:p>
      <w:pPr>
        <w:numPr>
          <w:ilvl w:val="0"/>
          <w:numId w:val="1333"/>
        </w:numPr>
        <w:pStyle w:val="Compact"/>
      </w:pPr>
      <w:r>
        <w:t xml:space="preserve">Beloften die heel veel verschillende klachten tegelijk betreffen („voor gewrichten, darm, huid, hersenen en immuunsysteem”).</w:t>
      </w:r>
    </w:p>
    <w:p>
      <w:pPr>
        <w:numPr>
          <w:ilvl w:val="0"/>
          <w:numId w:val="1333"/>
        </w:numPr>
        <w:pStyle w:val="Compact"/>
      </w:pPr>
      <w:r>
        <w:t xml:space="preserve">Termen als „wondermiddel”, „geheime tip”, „wat artsen u niet vertellen” of „door de farmaceutische industrie onderdrukt”.</w:t>
      </w:r>
    </w:p>
    <w:p>
      <w:pPr>
        <w:numPr>
          <w:ilvl w:val="0"/>
          <w:numId w:val="1333"/>
        </w:numPr>
        <w:pStyle w:val="Compact"/>
      </w:pPr>
      <w:r>
        <w:t xml:space="preserve">De bewering „geen bijwerkingen” bij een stof die nauwelijks bij mensen is onderzocht.</w:t>
      </w:r>
    </w:p>
    <w:p>
      <w:pPr>
        <w:numPr>
          <w:ilvl w:val="0"/>
          <w:numId w:val="1333"/>
        </w:numPr>
        <w:pStyle w:val="Compact"/>
      </w:pPr>
      <w:r>
        <w:t xml:space="preserve">Ervaringsverhalen en voor-en-nafoto’s in plaats van studiegegevens.</w:t>
      </w:r>
    </w:p>
    <w:p>
      <w:pPr>
        <w:numPr>
          <w:ilvl w:val="0"/>
          <w:numId w:val="1333"/>
        </w:numPr>
        <w:pStyle w:val="Compact"/>
      </w:pPr>
      <w:r>
        <w:t xml:space="preserve">De vermelding „alleen voor onderzoeksdoeleinden” of „niet voor menselijke consumptie” op een product dat tegelijk wordt aangeprezen met effecten bij de mens. Deze tegenstrijdigheid laat zien dat de aanbieder de geneesmiddelenregels wil omzeilen (zie Deel I).</w:t>
      </w:r>
    </w:p>
    <w:p>
      <w:pPr>
        <w:numPr>
          <w:ilvl w:val="0"/>
          <w:numId w:val="1333"/>
        </w:numPr>
        <w:pStyle w:val="Compact"/>
      </w:pPr>
      <w:r>
        <w:t xml:space="preserve">Voorstellen voor doseringen, kuren of combinatiepakketten van meerdere peptiden voor stoffen zonder registratie. Voor zulke schema’s bestaat geen basis in studies.</w:t>
      </w:r>
    </w:p>
    <w:bookmarkEnd w:id="968"/>
    <w:bookmarkStart w:id="969" w:name="kenmerken-van-een-serieuze-weergave"/>
    <w:p>
      <w:pPr>
        <w:pStyle w:val="Heading4"/>
      </w:pPr>
      <w:r>
        <w:t xml:space="preserve">Kenmerken van een serieuze weergave</w:t>
      </w:r>
    </w:p>
    <w:p>
      <w:pPr>
        <w:numPr>
          <w:ilvl w:val="0"/>
          <w:numId w:val="1334"/>
        </w:numPr>
        <w:pStyle w:val="Compact"/>
      </w:pPr>
      <w:r>
        <w:t xml:space="preserve">Dier- en laboratoriumresultaten worden uitdrukkelijk als zodanig aangeduid.</w:t>
      </w:r>
    </w:p>
    <w:p>
      <w:pPr>
        <w:numPr>
          <w:ilvl w:val="0"/>
          <w:numId w:val="1334"/>
        </w:numPr>
        <w:pStyle w:val="Compact"/>
      </w:pPr>
      <w:r>
        <w:t xml:space="preserve">Negatieve en tegenstrijdige studies worden genoemd, niet alleen de positieve.</w:t>
      </w:r>
    </w:p>
    <w:p>
      <w:pPr>
        <w:numPr>
          <w:ilvl w:val="0"/>
          <w:numId w:val="1334"/>
        </w:numPr>
        <w:pStyle w:val="Compact"/>
      </w:pPr>
      <w:r>
        <w:t xml:space="preserve">Onzekerheid wordt openlijk benoemd („De gegevens zijn onvoldoende om … te beoordelen”).</w:t>
      </w:r>
    </w:p>
    <w:p>
      <w:pPr>
        <w:numPr>
          <w:ilvl w:val="0"/>
          <w:numId w:val="1334"/>
        </w:numPr>
        <w:pStyle w:val="Compact"/>
      </w:pPr>
      <w:r>
        <w:t xml:space="preserve">Juridische status en dopingstatus worden vermeld.</w:t>
      </w:r>
    </w:p>
    <w:p>
      <w:pPr>
        <w:numPr>
          <w:ilvl w:val="0"/>
          <w:numId w:val="1334"/>
        </w:numPr>
        <w:pStyle w:val="Compact"/>
      </w:pPr>
      <w:r>
        <w:t xml:space="preserve">Er staat een duidelijke vermelding dat geneesmiddelen in handen van een arts horen en dat grijze-marktproducten niet gecontroleerd zijn.</w:t>
      </w:r>
    </w:p>
    <w:bookmarkEnd w:id="969"/>
    <w:bookmarkStart w:id="970" w:name="drie-vragen-voor-het-dagelijks-leven"/>
    <w:p>
      <w:pPr>
        <w:pStyle w:val="Heading4"/>
      </w:pPr>
      <w:r>
        <w:t xml:space="preserve">Drie vragen voor het dagelijks leven</w:t>
      </w:r>
    </w:p>
    <w:p>
      <w:pPr>
        <w:pStyle w:val="FirstParagraph"/>
      </w:pPr>
      <w:r>
        <w:t xml:space="preserve">Als u weinig tijd hebt, volstaan vaak drie vragen:</w:t>
      </w:r>
    </w:p>
    <w:p>
      <w:pPr>
        <w:numPr>
          <w:ilvl w:val="0"/>
          <w:numId w:val="1335"/>
        </w:numPr>
        <w:pStyle w:val="Compact"/>
      </w:pPr>
      <w:r>
        <w:t xml:space="preserve">Is de stof in de EU of de VS als geneesmiddel geregistreerd voor precies deze toepassing?</w:t>
      </w:r>
    </w:p>
    <w:p>
      <w:pPr>
        <w:numPr>
          <w:ilvl w:val="0"/>
          <w:numId w:val="1335"/>
        </w:numPr>
        <w:pStyle w:val="Compact"/>
      </w:pPr>
      <w:r>
        <w:t xml:space="preserve">Is er minstens één gerandomiseerde, placebogecontroleerde studie bij mensen die het beweerde voordeel heeft aangetoond?</w:t>
      </w:r>
    </w:p>
    <w:p>
      <w:pPr>
        <w:numPr>
          <w:ilvl w:val="0"/>
          <w:numId w:val="1335"/>
        </w:numPr>
        <w:pStyle w:val="Compact"/>
      </w:pPr>
      <w:r>
        <w:t xml:space="preserve">Komt het product uit de apotheek – of uit een bron waarvan niemand de inhoud controleert?</w:t>
      </w:r>
    </w:p>
    <w:p>
      <w:pPr>
        <w:pStyle w:val="FirstParagraph"/>
      </w:pPr>
      <w:r>
        <w:t xml:space="preserve">Luidt het antwoord op alle drie de vragen „nee”, dan berust de belofte op hoop, niet op bewijs.</w:t>
      </w:r>
    </w:p>
    <w:bookmarkEnd w:id="970"/>
    <w:bookmarkEnd w:id="971"/>
    <w:bookmarkStart w:id="972" w:name="conclusie-59"/>
    <w:p>
      <w:pPr>
        <w:pStyle w:val="Heading3"/>
      </w:pPr>
      <w:r>
        <w:t xml:space="preserve">Conclusie</w:t>
      </w:r>
    </w:p>
    <w:p>
      <w:pPr>
        <w:pStyle w:val="FirstParagraph"/>
      </w:pPr>
      <w:r>
        <w:t xml:space="preserve">De op internet populairste peptiden zijn vrijwel zonder uitzondering de slechtst onderzochte. Hun beloften steunen overwegend op dierproeven, op vervangende meetwaarden of op studies met een andere stof; waar er gerandomiseerde studies bij mensen bestaan, hebben die het aangeprezen voordeel meestal niet bevestigd. Dat betekent niet dat geen van deze stoffen ooit een voordeel zou kunnen hebben – maar bij geen enkele zijn de gegevens voldoende om dat aan te tonen. Wie een bewering over een peptide hoort, doet er goed aan naar de bron te vragen, de studie te controleren en het verschil tussen een getest geneesmiddel en een flesje van de grijze markt voor ogen te houden.</w:t>
      </w:r>
    </w:p>
    <w:bookmarkEnd w:id="972"/>
    <w:bookmarkEnd w:id="973"/>
    <w:bookmarkEnd w:id="974"/>
    <w:bookmarkStart w:id="1026" w:name="deel-iv-risicos"/>
    <w:p>
      <w:pPr>
        <w:pStyle w:val="Heading1"/>
      </w:pPr>
      <w:r>
        <w:t xml:space="preserve">Deel IV – Risico’s</w:t>
      </w:r>
    </w:p>
    <w:p>
      <w:pPr>
        <w:pStyle w:val="FirstParagraph"/>
      </w:pPr>
      <w:r>
        <w:t xml:space="preserve">In Deel II staat bij elk peptide een eigen paragraaf „Risico’s en bijwerkingen”. Dit deel herhaalt die paragrafen niet. Het legt ze naast elkaar en vraagt dwars door alle werkzame stoffen heen: welke organen worden getroffen? Welke waarschuwingssignalen duiken bij meerdere peptiden op? Hoe betrouwbaar is wat we weten? Wie details over een bepaalde stof zoekt, vindt bij elk punt een verwijzing naar het bijbehorende hoofdstuk.</w:t>
      </w:r>
    </w:p>
    <w:p>
      <w:pPr>
        <w:pStyle w:val="BodyText"/>
      </w:pPr>
      <w:r>
        <w:t xml:space="preserve">Voordat we beginnen, loont het om kort te kijken hoe u risico’s überhaupt kunt duiden. Drie onderscheidingen lopen als een rode draad door alle volgende hoofdstukken.</w:t>
      </w:r>
    </w:p>
    <w:p>
      <w:pPr>
        <w:pStyle w:val="BodyText"/>
      </w:pPr>
      <w:r>
        <w:rPr>
          <w:bCs/>
          <w:b/>
        </w:rPr>
        <w:t xml:space="preserve">Aangetoond, waargenomen of theoretisch.</w:t>
      </w:r>
      <w:r>
        <w:t xml:space="preserve"> </w:t>
      </w:r>
      <w:r>
        <w:t xml:space="preserve">Een risico is het best aangetoond als het in gerandomiseerde studies (RCT’s) vaker met de werkzame stof optrad dan met placebo. Observationele studies met verzekerings- of registergegevens omvatten daarentegen zeer veel mensen en zeldzame gebeurtenissen, maar kunnen oorzaak en bijkomende omstandigheid niet zeker scheiden. Meldingsdatabanken voor bijwerkingen tonen alleen signalen: wat bekend is en veel wordt besproken, wordt vaker gemeld. Theoretische risico’s ten slotte worden afgeleid uit het werkingsmechanisme, uit dierproeven of uit celkweken. Ze zijn geen bewijs van schade – maar bij stoffen die nooit systematisch bij mensen zijn onderzocht, vaak de enige informatie die er is.</w:t>
      </w:r>
    </w:p>
    <w:p>
      <w:pPr>
        <w:pStyle w:val="BodyText"/>
      </w:pPr>
      <w:r>
        <w:rPr>
          <w:bCs/>
          <w:b/>
        </w:rPr>
        <w:t xml:space="preserve">Ontbrekende gegevens zijn geen veiligheid.</w:t>
      </w:r>
      <w:r>
        <w:t xml:space="preserve"> </w:t>
      </w:r>
      <w:r>
        <w:t xml:space="preserve">Als in drie kleine onderzoeken met samen 30 personen geen behandelingsgerelateerde bijwerkingen opvielen (zo bij BPC-157, Poolton 2026, PMID 42885452), betekent dat alleen dat er geen zeer veelvoorkomende, direct optredende problemen zijn opgetreden. Een bijwerking die één op de duizend personen treft, kan zo’n kleine studie helemaal niet herkennen. Bij veel peptiden uit de groepen B, C en D is dat de uitgangssituatie.</w:t>
      </w:r>
    </w:p>
    <w:p>
      <w:pPr>
        <w:pStyle w:val="BodyText"/>
      </w:pPr>
      <w:r>
        <w:rPr>
          <w:bCs/>
          <w:b/>
        </w:rPr>
        <w:t xml:space="preserve">Relatief en absoluut risico.</w:t>
      </w:r>
      <w:r>
        <w:t xml:space="preserve"> </w:t>
      </w:r>
      <w:r>
        <w:t xml:space="preserve">Krantenkoppen noemen meestal relatieve getallen: „drie keer zo vaak”. Doorslaggevend voor uw eigen afweging is echter hoeveel mensen werkelijk worden getroffen. Een voorbeeld uit dit deel: in een Deens-Noorse registerstudie kwam een bepaalde doorbloedingsstoornis van de oogzenuw met semaglutide bijna drie keer zo vaak voor als met een vergelijkingsgeneesmiddel (hazard ratio 2,81). In absolute getallen betekende dat ongeveer 1,4 extra gevallen per 10.000 persoonsjaren (Simonsen 2025, PMID 40098249). Beide zijn juist – en beide horen bij de informatie.</w:t>
      </w:r>
    </w:p>
    <w:p>
      <w:pPr>
        <w:pStyle w:val="BodyText"/>
      </w:pPr>
      <w:r>
        <w:t xml:space="preserve">Ten slotte telt de verhouding tussen voordeel en risico. Een geneesmiddel tegen diabetes type 2 dat in grote studies hartinfarcten en beroertes vermindert, mag zeldzame bijwerkingen hebben die bij een bruiningsmiddel of een „longevity-peptide” zonder aangetoond voordeel onaanvaardbaar zouden zijn. Wie een geregistreerd geneesmiddel gebruikt met medische begeleiding en een duidelijke indicatie, bevindt zich in een totaal andere situatie dan iemand die een ongetest poeder van internet injecteert. Hoe u studies leest, legt Deel I uit in het hoofdstuk „Studies goed lezen”.</w:t>
      </w:r>
    </w:p>
    <w:p>
      <w:pPr>
        <w:pStyle w:val="BodyText"/>
      </w:pPr>
      <w:r>
        <w:t xml:space="preserve">Deel IV is als volgt opgebouwd: dit hoofdstuk ordent de bijwerkingen naar orgaansysteem. Daarna volgen hoofdstukken over kankerrisico en groeisignalen, over immuunreacties, over laboratoriumanalyses van grijze-marktproducten en over interacties en bijzonder kwetsbare groepen.</w:t>
      </w:r>
    </w:p>
    <w:bookmarkStart w:id="985" w:name="bijwerkingen-naar-orgaansysteem"/>
    <w:p>
      <w:pPr>
        <w:pStyle w:val="Heading2"/>
      </w:pPr>
      <w:r>
        <w:t xml:space="preserve">Bijwerkingen naar orgaansysteem</w:t>
      </w:r>
    </w:p>
    <w:p>
      <w:pPr>
        <w:pStyle w:val="FirstParagraph"/>
      </w:pPr>
      <w:r>
        <w:t xml:space="preserve">Het volgende overzicht vat samen welke orgaansystemen bij welke peptiden het vaakst worden getroffen. De kolom „Frequentie/bewijs” noemt een typische orde van grootte uit een van de studies die in dit hoofdstuk of in het vermelde peptidehoofdstuk worden besproken. De cijfers komen uit verschillende studies en bevolkingsgroepen en zijn daarom slechts grofweg vergelijkbaar.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Orgaansysteem</w:t>
            </w:r>
          </w:p>
        </w:tc>
        <w:tc>
          <w:tcPr/>
          <w:p>
            <w:pPr>
              <w:pStyle w:val="Compact"/>
              <w:jc w:val="left"/>
            </w:pPr>
            <w:r>
              <w:t xml:space="preserve">Betrokken peptiden</w:t>
            </w:r>
          </w:p>
        </w:tc>
        <w:tc>
          <w:tcPr/>
          <w:p>
            <w:pPr>
              <w:pStyle w:val="Compact"/>
              <w:jc w:val="left"/>
            </w:pPr>
            <w:r>
              <w:t xml:space="preserve">Frequentie/bewijs</w:t>
            </w:r>
          </w:p>
        </w:tc>
        <w:tc>
          <w:tcPr/>
          <w:p>
            <w:pPr>
              <w:pStyle w:val="Compact"/>
              <w:jc w:val="left"/>
            </w:pPr>
            <w:r>
              <w:t xml:space="preserve">Hoofdstuk</w:t>
            </w:r>
          </w:p>
        </w:tc>
      </w:tr>
      <w:tr>
        <w:tc>
          <w:tcPr/>
          <w:p>
            <w:pPr>
              <w:pStyle w:val="Compact"/>
              <w:jc w:val="left"/>
            </w:pPr>
            <w:r>
              <w:t xml:space="preserve">Maag-darmkanaal</w:t>
            </w:r>
          </w:p>
        </w:tc>
        <w:tc>
          <w:tcPr/>
          <w:p>
            <w:pPr>
              <w:pStyle w:val="Compact"/>
              <w:jc w:val="left"/>
            </w:pPr>
            <w:r>
              <w:t xml:space="preserve">alle GLP-1-geneesmiddelen, pramlintide, bremelanotide, setmelanotide</w:t>
            </w:r>
          </w:p>
        </w:tc>
        <w:tc>
          <w:tcPr/>
          <w:p>
            <w:pPr>
              <w:pStyle w:val="Compact"/>
              <w:jc w:val="left"/>
            </w:pPr>
            <w:r>
              <w:t xml:space="preserve">zeer vaak; CagriSema 79,6% vs. 39,9% met placebo (Garvey 2025, PMID 40544433)</w:t>
            </w:r>
          </w:p>
        </w:tc>
        <w:tc>
          <w:tcPr/>
          <w:p>
            <w:pPr>
              <w:pStyle w:val="Compact"/>
              <w:jc w:val="left"/>
            </w:pPr>
            <w:r>
              <w:t xml:space="preserve">Semaglutide, Survodutide, Cagrilintide</w:t>
            </w:r>
          </w:p>
        </w:tc>
      </w:tr>
      <w:tr>
        <w:tc>
          <w:tcPr/>
          <w:p>
            <w:pPr>
              <w:pStyle w:val="Compact"/>
              <w:jc w:val="left"/>
            </w:pPr>
            <w:r>
              <w:t xml:space="preserve">Galblaas</w:t>
            </w:r>
          </w:p>
        </w:tc>
        <w:tc>
          <w:tcPr/>
          <w:p>
            <w:pPr>
              <w:pStyle w:val="Compact"/>
              <w:jc w:val="left"/>
            </w:pPr>
            <w:r>
              <w:t xml:space="preserve">GLP-1-klasse, vooral bij gewichtsverlies</w:t>
            </w:r>
          </w:p>
        </w:tc>
        <w:tc>
          <w:tcPr/>
          <w:p>
            <w:pPr>
              <w:pStyle w:val="Compact"/>
              <w:jc w:val="left"/>
            </w:pPr>
            <w:r>
              <w:t xml:space="preserve">relatief risico 1,37 (alle studies), 2,29 (afslankstudies)</w:t>
            </w:r>
          </w:p>
        </w:tc>
        <w:tc>
          <w:tcPr/>
          <w:p>
            <w:pPr>
              <w:pStyle w:val="Compact"/>
              <w:jc w:val="left"/>
            </w:pPr>
            <w:r>
              <w:t xml:space="preserve">Liraglutide, Tirzepatide</w:t>
            </w:r>
          </w:p>
        </w:tc>
      </w:tr>
      <w:tr>
        <w:tc>
          <w:tcPr/>
          <w:p>
            <w:pPr>
              <w:pStyle w:val="Compact"/>
              <w:jc w:val="left"/>
            </w:pPr>
            <w:r>
              <w:t xml:space="preserve">Alvleesklier</w:t>
            </w:r>
          </w:p>
        </w:tc>
        <w:tc>
          <w:tcPr/>
          <w:p>
            <w:pPr>
              <w:pStyle w:val="Compact"/>
              <w:jc w:val="left"/>
            </w:pPr>
            <w:r>
              <w:t xml:space="preserve">GLP-1-klasse</w:t>
            </w:r>
          </w:p>
        </w:tc>
        <w:tc>
          <w:tcPr/>
          <w:p>
            <w:pPr>
              <w:pStyle w:val="Compact"/>
              <w:jc w:val="left"/>
            </w:pPr>
            <w:r>
              <w:t xml:space="preserve">signaal in meta-analyses, absoluut zeldzaam</w:t>
            </w:r>
          </w:p>
        </w:tc>
        <w:tc>
          <w:tcPr/>
          <w:p>
            <w:pPr>
              <w:pStyle w:val="Compact"/>
              <w:jc w:val="left"/>
            </w:pPr>
            <w:r>
              <w:t xml:space="preserve">Exenatide, Semaglutide</w:t>
            </w:r>
          </w:p>
        </w:tc>
      </w:tr>
      <w:tr>
        <w:tc>
          <w:tcPr/>
          <w:p>
            <w:pPr>
              <w:pStyle w:val="Compact"/>
              <w:jc w:val="left"/>
            </w:pPr>
            <w:r>
              <w:t xml:space="preserve">Schildklier</w:t>
            </w:r>
          </w:p>
        </w:tc>
        <w:tc>
          <w:tcPr/>
          <w:p>
            <w:pPr>
              <w:pStyle w:val="Compact"/>
              <w:jc w:val="left"/>
            </w:pPr>
            <w:r>
              <w:t xml:space="preserve">GLP-1-klasse</w:t>
            </w:r>
          </w:p>
        </w:tc>
        <w:tc>
          <w:tcPr/>
          <w:p>
            <w:pPr>
              <w:pStyle w:val="Compact"/>
              <w:jc w:val="left"/>
            </w:pPr>
            <w:r>
              <w:t xml:space="preserve">bevinding bij dieren vaststaand, bij de mens wisselend</w:t>
            </w:r>
          </w:p>
        </w:tc>
        <w:tc>
          <w:tcPr/>
          <w:p>
            <w:pPr>
              <w:pStyle w:val="Compact"/>
              <w:jc w:val="left"/>
            </w:pPr>
            <w:r>
              <w:t xml:space="preserve">Liraglutide, hoofdstuk Kankerrisico</w:t>
            </w:r>
          </w:p>
        </w:tc>
      </w:tr>
      <w:tr>
        <w:tc>
          <w:tcPr/>
          <w:p>
            <w:pPr>
              <w:pStyle w:val="Compact"/>
              <w:jc w:val="left"/>
            </w:pPr>
            <w:r>
              <w:t xml:space="preserve">Ogen</w:t>
            </w:r>
          </w:p>
        </w:tc>
        <w:tc>
          <w:tcPr/>
          <w:p>
            <w:pPr>
              <w:pStyle w:val="Compact"/>
              <w:jc w:val="left"/>
            </w:pPr>
            <w:r>
              <w:t xml:space="preserve">Semaglutide (NAION, retinopathie)</w:t>
            </w:r>
          </w:p>
        </w:tc>
        <w:tc>
          <w:tcPr/>
          <w:p>
            <w:pPr>
              <w:pStyle w:val="Compact"/>
              <w:jc w:val="left"/>
            </w:pPr>
            <w:r>
              <w:t xml:space="preserve">zeer zeldzaam; ongeveer 1,4 extra gevallen per 10.000 persoonsjaren</w:t>
            </w:r>
          </w:p>
        </w:tc>
        <w:tc>
          <w:tcPr/>
          <w:p>
            <w:pPr>
              <w:pStyle w:val="Compact"/>
              <w:jc w:val="left"/>
            </w:pPr>
            <w:r>
              <w:t xml:space="preserve">Semaglutide</w:t>
            </w:r>
          </w:p>
        </w:tc>
      </w:tr>
      <w:tr>
        <w:tc>
          <w:tcPr/>
          <w:p>
            <w:pPr>
              <w:pStyle w:val="Compact"/>
              <w:jc w:val="left"/>
            </w:pPr>
            <w:r>
              <w:t xml:space="preserve">Hart en bloedvaten, vocht</w:t>
            </w:r>
          </w:p>
        </w:tc>
        <w:tc>
          <w:tcPr/>
          <w:p>
            <w:pPr>
              <w:pStyle w:val="Compact"/>
              <w:jc w:val="left"/>
            </w:pPr>
            <w:r>
              <w:t xml:space="preserve">GH-vrijmakers, ibutamoren, bremelanotide, macimoreline, oxytocine</w:t>
            </w:r>
          </w:p>
        </w:tc>
        <w:tc>
          <w:tcPr/>
          <w:p>
            <w:pPr>
              <w:pStyle w:val="Compact"/>
              <w:jc w:val="left"/>
            </w:pPr>
            <w:r>
              <w:t xml:space="preserve">signaal voor hartfalen, bloeddrukpieken, QT-verlenging</w:t>
            </w:r>
          </w:p>
        </w:tc>
        <w:tc>
          <w:tcPr/>
          <w:p>
            <w:pPr>
              <w:pStyle w:val="Compact"/>
              <w:jc w:val="left"/>
            </w:pPr>
            <w:r>
              <w:t xml:space="preserve">Ibutamoren, Bremelanotide, Macimoreline</w:t>
            </w:r>
          </w:p>
        </w:tc>
      </w:tr>
      <w:tr>
        <w:tc>
          <w:tcPr/>
          <w:p>
            <w:pPr>
              <w:pStyle w:val="Compact"/>
              <w:jc w:val="left"/>
            </w:pPr>
            <w:r>
              <w:t xml:space="preserve">Psyche</w:t>
            </w:r>
          </w:p>
        </w:tc>
        <w:tc>
          <w:tcPr/>
          <w:p>
            <w:pPr>
              <w:pStyle w:val="Compact"/>
              <w:jc w:val="left"/>
            </w:pPr>
            <w:r>
              <w:t xml:space="preserve">GLP-1-klasse (onderzocht), setmelanotide, Semax</w:t>
            </w:r>
          </w:p>
        </w:tc>
        <w:tc>
          <w:tcPr/>
          <w:p>
            <w:pPr>
              <w:pStyle w:val="Compact"/>
              <w:jc w:val="left"/>
            </w:pPr>
            <w:r>
              <w:t xml:space="preserve">geen verhoogd risico in 86 RCT’s</w:t>
            </w:r>
          </w:p>
        </w:tc>
        <w:tc>
          <w:tcPr/>
          <w:p>
            <w:pPr>
              <w:pStyle w:val="Compact"/>
              <w:jc w:val="left"/>
            </w:pPr>
            <w:r>
              <w:t xml:space="preserve">Semaglutide, Tirzepatide, Setmelanotide</w:t>
            </w:r>
          </w:p>
        </w:tc>
      </w:tr>
      <w:tr>
        <w:tc>
          <w:tcPr/>
          <w:p>
            <w:pPr>
              <w:pStyle w:val="Compact"/>
              <w:jc w:val="left"/>
            </w:pPr>
            <w:r>
              <w:t xml:space="preserve">Huid, pigment</w:t>
            </w:r>
          </w:p>
        </w:tc>
        <w:tc>
          <w:tcPr/>
          <w:p>
            <w:pPr>
              <w:pStyle w:val="Compact"/>
              <w:jc w:val="left"/>
            </w:pPr>
            <w:r>
              <w:t xml:space="preserve">Melanotan II, setmelanotide, afamelanotide, bremelanotide, LL-37</w:t>
            </w:r>
          </w:p>
        </w:tc>
        <w:tc>
          <w:tcPr/>
          <w:p>
            <w:pPr>
              <w:pStyle w:val="Compact"/>
              <w:jc w:val="left"/>
            </w:pPr>
            <w:r>
              <w:t xml:space="preserve">pigmentatie bij setmelanotide 62%; melanoomcasussen bij Melanotan II</w:t>
            </w:r>
          </w:p>
        </w:tc>
        <w:tc>
          <w:tcPr/>
          <w:p>
            <w:pPr>
              <w:pStyle w:val="Compact"/>
              <w:jc w:val="left"/>
            </w:pPr>
            <w:r>
              <w:t xml:space="preserve">Melanotan II, Setmelanotide</w:t>
            </w:r>
          </w:p>
        </w:tc>
      </w:tr>
      <w:tr>
        <w:tc>
          <w:tcPr/>
          <w:p>
            <w:pPr>
              <w:pStyle w:val="Compact"/>
              <w:jc w:val="left"/>
            </w:pPr>
            <w:r>
              <w:t xml:space="preserve">Hormoonstelsel</w:t>
            </w:r>
          </w:p>
        </w:tc>
        <w:tc>
          <w:tcPr/>
          <w:p>
            <w:pPr>
              <w:pStyle w:val="Compact"/>
              <w:jc w:val="left"/>
            </w:pPr>
            <w:r>
              <w:t xml:space="preserve">GHRP-2, GHRP-6, hexareline, kisspeptine, gonadoreline</w:t>
            </w:r>
          </w:p>
        </w:tc>
        <w:tc>
          <w:tcPr/>
          <w:p>
            <w:pPr>
              <w:pStyle w:val="Compact"/>
              <w:jc w:val="left"/>
            </w:pPr>
            <w:r>
              <w:t xml:space="preserve">stijging van cortisol en prolactine; onderdrukking van de as bij continue toediening</w:t>
            </w:r>
          </w:p>
        </w:tc>
        <w:tc>
          <w:tcPr/>
          <w:p>
            <w:pPr>
              <w:pStyle w:val="Compact"/>
              <w:jc w:val="left"/>
            </w:pPr>
            <w:r>
              <w:t xml:space="preserve">Groep C, Kisspeptine</w:t>
            </w:r>
          </w:p>
        </w:tc>
      </w:tr>
      <w:tr>
        <w:tc>
          <w:tcPr/>
          <w:p>
            <w:pPr>
              <w:pStyle w:val="Compact"/>
              <w:jc w:val="left"/>
            </w:pPr>
            <w:r>
              <w:t xml:space="preserve">Bloedsuiker</w:t>
            </w:r>
          </w:p>
        </w:tc>
        <w:tc>
          <w:tcPr/>
          <w:p>
            <w:pPr>
              <w:pStyle w:val="Compact"/>
              <w:jc w:val="left"/>
            </w:pPr>
            <w:r>
              <w:t xml:space="preserve">mecasermine, pramlintide, GLP-1 met insuline/sulfonylureumderivaat; GH-as</w:t>
            </w:r>
          </w:p>
        </w:tc>
        <w:tc>
          <w:tcPr/>
          <w:p>
            <w:pPr>
              <w:pStyle w:val="Compact"/>
              <w:jc w:val="left"/>
            </w:pPr>
            <w:r>
              <w:t xml:space="preserve">hypoglykemie bij 49% met mecasermine; hogere bloedsuiker met ibutamoren</w:t>
            </w:r>
          </w:p>
        </w:tc>
        <w:tc>
          <w:tcPr/>
          <w:p>
            <w:pPr>
              <w:pStyle w:val="Compact"/>
              <w:jc w:val="left"/>
            </w:pPr>
            <w:r>
              <w:t xml:space="preserve">Mecasermine, Pramlintide, Ibutamoren</w:t>
            </w:r>
          </w:p>
        </w:tc>
      </w:tr>
    </w:tbl>
    <w:bookmarkStart w:id="975" w:name="maag-darmkanaal"/>
    <w:p>
      <w:pPr>
        <w:pStyle w:val="Heading3"/>
      </w:pPr>
      <w:r>
        <w:t xml:space="preserve">Maag-darmkanaal</w:t>
      </w:r>
    </w:p>
    <w:p>
      <w:pPr>
        <w:pStyle w:val="FirstParagraph"/>
      </w:pPr>
      <w:r>
        <w:t xml:space="preserve">Geen ander orgaansysteem wordt zo vaak getroffen. Misselijkheid, braken, diarree en obstipatie zijn de typische bijwerkingen van alle geneesmiddelen die op de GLP-1-receptor aangrijpen – van het oudere exenatide via semaglutide en tirzepatide tot de nieuwe meervoudige agonisten. Een overzichtsartikel dat 60 meta-analyses met samen 1.751 gerandomiseerde studies samenvatte, vond de zekerste signalen precies hier: de kans (odds) op misselijkheid was met GLP-1-receptoragonisten ongeveer tweeënhalf keer zo hoog als in de vergelijkingsgroepen (odds ratio 2,47), op braken bijna drie keer (2,78) en op diarree ongeveer twee keer zo hoog (1,94) (Yang 2026, PMID 41915388).</w:t>
      </w:r>
    </w:p>
    <w:p>
      <w:pPr>
        <w:pStyle w:val="BodyText"/>
      </w:pPr>
      <w:r>
        <w:t xml:space="preserve">Hoe vaak de klachten voorkomen, hangt sterk af van de werkzame stof, de dosis en het tempo van de dosisverhoging. Een netwerk-meta-analyse van 39 studies met 33.354 mensen met overgewicht zonder diabetes vond voor alle onderzochte werkzame stoffen een verhoogd risico op misselijkheid, het sterkst voor orforglipron, gevolgd door exenatide, tirzepatide, semaglutide en liraglutide (Ismaiel 2025, PMID 40804463). Bij de werkzame stoffen met een extra glucagoncomponent liggen de percentages bijzonder hoog: in de leververvettingsstudie met survodutide had 66% last van misselijkheid tegenover 23% met placebo (Sanyal 2024, PMID 38847460). Details staan in de hoofdstukken Survodutide, Mazdutide en Retatrutide.</w:t>
      </w:r>
    </w:p>
    <w:p>
      <w:pPr>
        <w:pStyle w:val="BodyText"/>
      </w:pPr>
      <w:r>
        <w:t xml:space="preserve">Ook buiten de GLP-1-groep is misselijkheid vaak voorkomend. Met bremelanotide trad ze in de fase 3-studies op bij 40,0% tegenover 1,3% met placebo en was ze de meest voorkomende reden om te stoppen (Clayton 2022, PMID 35147466). Met pramlintide meldde 63% misselijkheid, met placebo 36% (Edelman 2006, PMID 17003291). Met setmelanotide was het in een meta-analyse van zeven studies 36% (Sridharan 2026, PMID 39924461).</w:t>
      </w:r>
    </w:p>
    <w:p>
      <w:pPr>
        <w:pStyle w:val="BodyText"/>
      </w:pPr>
      <w:r>
        <w:t xml:space="preserve">Belangrijker dan de frequentie van misselijkheid is de vraag naar</w:t>
      </w:r>
      <w:r>
        <w:t xml:space="preserve"> </w:t>
      </w:r>
      <w:r>
        <w:rPr>
          <w:bCs/>
          <w:b/>
        </w:rPr>
        <w:t xml:space="preserve">ernstige</w:t>
      </w:r>
      <w:r>
        <w:t xml:space="preserve"> </w:t>
      </w:r>
      <w:r>
        <w:t xml:space="preserve">maag-darmgebeurtenissen. Een databankanalyse uit 2023 had voor GLP-1-receptoragonisten bij gebruik voor gewichtsverlies een verhoogd risico gemeld op alvleesklierontsteking, darmafsluiting en maagverlamming (Sodhi 2023, PMID 37796527). Een meta-analyse van 55 placebogecontroleerde studies met 106.395 deelnemers bevestigde dat voor de meeste van deze gebeurtenissen niet. Verhoogd waren galstenen (relatief risico 1,46; twee extra gevallen per 1.000 behandelden) en waarschijnlijk refluxziekte (relatief risico 2,19; vier extra gevallen per 1.000). Voor darmafsluiting, maagverlamming, zweren of bloedingen werd geen duidelijk verschil gevonden (Chiang 2025, PMID 40499738). In een cohortstudie met routinegegevens verschilden tirzepatide en semaglutide nauwelijks wat ernstige maag-darmgebeurtenissen betreft (Crisafulli 2026, PMID 41183330).</w:t>
      </w:r>
    </w:p>
    <w:p>
      <w:pPr>
        <w:pStyle w:val="BodyText"/>
      </w:pPr>
      <w:r>
        <w:t xml:space="preserve">Praktisch van belang is dat aanhoudend braken en diarree tot vochtverlies kunnen leiden. De klachten treden in de studies vooral op in de fase van de dosisverhoging; daarom schrijven de productinformaties van de geregistreerde middelen een stapsgewijze aanpak voor, die medisch begeleid moet worden. Met grijze-marktproducten waarvan de inhoud niet bekend is, valt zo’n schema niet betrouwbaar aan te houden (zie hoofdstuk „Grijze-marktproducten”).</w:t>
      </w:r>
    </w:p>
    <w:bookmarkEnd w:id="975"/>
    <w:bookmarkStart w:id="976" w:name="galblaas-en-alvleesklier"/>
    <w:p>
      <w:pPr>
        <w:pStyle w:val="Heading3"/>
      </w:pPr>
      <w:r>
        <w:t xml:space="preserve">Galblaas en alvleesklier</w:t>
      </w:r>
    </w:p>
    <w:p>
      <w:pPr>
        <w:pStyle w:val="FirstParagraph"/>
      </w:pPr>
      <w:r>
        <w:t xml:space="preserve">Voor de galblaas is het risico inmiddels goed aangetoond. Een meta-analyse van 76 gerandomiseerde studies met 103.371 deelnemers vond met GLP-1-receptoragonisten een 37% verhoogd relatief risico op aandoeningen van de galblaas en galwegen. In studies naar gewichtsverlies was het relatieve risico met 2,29 duidelijk hoger dan in diabetesstudies (He 2022, PMID 35344001). Een deel van het effect is vermoedelijk toe te schrijven aan het snelle gewichtsverlies zelf, waarvan bekend is dat het galstenen in de hand werkt. In STEP TEENS kregen 5 van 133 jongeren met semaglutide galstenen, met placebo niemand (Weghuber 2022, PMID 36322838).</w:t>
      </w:r>
    </w:p>
    <w:p>
      <w:pPr>
        <w:pStyle w:val="BodyText"/>
      </w:pPr>
      <w:r>
        <w:t xml:space="preserve">Bij de alvleesklier is de situatie minder eenduidig. Een meta-analyse van 62 studies met 66.232 deelnemers vond in totaal een licht verhoogd risico op alvleesklierontsteking (relatief risico 1,44). Toen de studies werden gesplitst naar de vraag of de deelnemers daarnaast andere geneesmiddelen gebruikten, was het verschil in geen van beide groepen nog statistisch zeker (Wen 2025, PMID 40988099). De absolute frequentie is laag; in de grote eindpuntstudies kwam pancreatitis zelden voor. De productinformaties vermelden haar als zeldzame bijwerking. Hevige, aanhoudende pijn in de bovenbuik, vaak uitstralend naar de rug, moet bij deze geneesmiddelen altijd medisch worden onderzocht. Voor de vraag naar alvleesklierkanker, zie het volgende hoofdstuk.</w:t>
      </w:r>
    </w:p>
    <w:bookmarkEnd w:id="976"/>
    <w:bookmarkStart w:id="977" w:name="schildklier"/>
    <w:p>
      <w:pPr>
        <w:pStyle w:val="Heading3"/>
      </w:pPr>
      <w:r>
        <w:t xml:space="preserve">Schildklier</w:t>
      </w:r>
    </w:p>
    <w:p>
      <w:pPr>
        <w:pStyle w:val="FirstParagraph"/>
      </w:pPr>
      <w:r>
        <w:t xml:space="preserve">De zorg over de schildklier komt uit dierproeven: bij ratten en muizen leidden GLP-1-receptoragonisten tot woekeringen en tumoren van de C-cellen, die het hormoon calcitonine aanmaken. Bij de mens zijn de gegevens wisselend. Een directe aanwijzing voor prikkeling van de C-cellen zou een stijging van het calcitonine in het bloed zijn. In de studie LEADER met 9.340 deelnemers verschilden de calcitoninewaarden na 36 maanden niet tussen liraglutide en placebo, en met liraglutide trad geen medullair schildkliercarcinoom op (Hegedüs 2018, PMID 29279300). Hoe de kankervraag als geheel moet worden beoordeeld, behandelt het hoofdstuk „Kankerrisico en groeisignalen”. Los daarvan vermelden de productinformaties een contra-indicatie bij medullair schildkliercarcinoom in de eigen of familiaire voorgeschiedenis en bij het MEN-2-syndroom.</w:t>
      </w:r>
    </w:p>
    <w:bookmarkEnd w:id="977"/>
    <w:bookmarkStart w:id="978" w:name="ogen-netvlies-en-oogzenuw"/>
    <w:p>
      <w:pPr>
        <w:pStyle w:val="Heading3"/>
      </w:pPr>
      <w:r>
        <w:t xml:space="preserve">Ogen: netvlies en oogzenuw</w:t>
      </w:r>
    </w:p>
    <w:p>
      <w:pPr>
        <w:pStyle w:val="FirstParagraph"/>
      </w:pPr>
      <w:r>
        <w:t xml:space="preserve">Hier zijn er twee verschillende vragen.</w:t>
      </w:r>
    </w:p>
    <w:p>
      <w:pPr>
        <w:pStyle w:val="BodyText"/>
      </w:pPr>
      <w:r>
        <w:rPr>
          <w:bCs/>
          <w:b/>
        </w:rPr>
        <w:t xml:space="preserve">Diabetische retinopathie.</w:t>
      </w:r>
      <w:r>
        <w:t xml:space="preserve"> </w:t>
      </w:r>
      <w:r>
        <w:t xml:space="preserve">In SUSTAIN 6, een cardiovasculaire studie met 3.297 mensen met diabetes type 2, traden complicaties van een diabetische netvliesaandoening met semaglutide vaker op dan met placebo (hazard ratio 1,76) (Marso 2016, PMID 27633186). Vermoed wordt dat een zeer snelle daling van de bloedsuiker een al bestaande retinopathie tijdelijk verergert – een verschijnsel dat ook van insuline bekend is. Een meta-analyse van 78 studies met 73.640 deelnemers vond in totaal geen verhoogd risico op diabetische retinopathie (odds ratio 1,04) of op oogaandoeningen in het algemeen (Natividade 2025, PMID 40810985). Voor mensen met bekende retinopathie blijft begeleiding door een oogarts toch zinvol.</w:t>
      </w:r>
    </w:p>
    <w:p>
      <w:pPr>
        <w:pStyle w:val="BodyText"/>
      </w:pPr>
      <w:r>
        <w:rPr>
          <w:bCs/>
          <w:b/>
        </w:rPr>
        <w:t xml:space="preserve">NAION.</w:t>
      </w:r>
      <w:r>
        <w:t xml:space="preserve"> </w:t>
      </w:r>
      <w:r>
        <w:t xml:space="preserve">De niet-arteritische anterieure ischemische opticusneuropathie is een doorbloedingsstoornis van de oogzenuwkop die meestal pijnloos tot plotseling zichtverlies aan één oog leidt. Sinds een eerste studie uit een neuro-oftalmologische kliniek (Hathaway 2024, PMID 38958939) zijn er veel verdere onderzoeken verschenen, met uiteenlopende resultaten:</w:t>
      </w:r>
    </w:p>
    <w:p>
      <w:pPr>
        <w:numPr>
          <w:ilvl w:val="0"/>
          <w:numId w:val="1336"/>
        </w:numPr>
        <w:pStyle w:val="Compact"/>
      </w:pPr>
      <w:r>
        <w:t xml:space="preserve">De Deens-Noorse registerstudie vond een verhoogd relatief risico (hazard ratio 2,81), absoluut ongeveer 1,4 extra gevallen per 10.000 persoonsjaren (Simonsen 2025, PMID 40098249).</w:t>
      </w:r>
    </w:p>
    <w:p>
      <w:pPr>
        <w:numPr>
          <w:ilvl w:val="0"/>
          <w:numId w:val="1336"/>
        </w:numPr>
        <w:pStyle w:val="Compact"/>
      </w:pPr>
      <w:r>
        <w:t xml:space="preserve">In een Amerikaans cohort met 159.398 mensen met diabetes type 2 werd in twee jaar 0,04% met semaglutide of tirzepatide ziek en 0,02% in de vergelijkingsgroep (hazard ratio 1,76) (Wang 2025, PMID 40788646).</w:t>
      </w:r>
    </w:p>
    <w:p>
      <w:pPr>
        <w:numPr>
          <w:ilvl w:val="0"/>
          <w:numId w:val="1336"/>
        </w:numPr>
        <w:pStyle w:val="Compact"/>
      </w:pPr>
      <w:r>
        <w:t xml:space="preserve">Een internationale databankstudie met bijna 300.000 personen vond geen vaststaand verband (Chou 2025, PMID 39491755).</w:t>
      </w:r>
    </w:p>
    <w:p>
      <w:pPr>
        <w:numPr>
          <w:ilvl w:val="0"/>
          <w:numId w:val="1336"/>
        </w:numPr>
        <w:pStyle w:val="Compact"/>
      </w:pPr>
      <w:r>
        <w:t xml:space="preserve">Een meta-analyse zag het signaal alleen in observationele studies bij diabetes, niet in gerandomiseerde studies en niet bij obesitas (Liu 2026, PMID 41475544).</w:t>
      </w:r>
    </w:p>
    <w:p>
      <w:pPr>
        <w:pStyle w:val="FirstParagraph"/>
      </w:pPr>
      <w:r>
        <w:t xml:space="preserve">Samengevat: een klein verhoogd risico is mogelijk, de absolute frequentie zeer laag. Het Europees Geneesmiddelenbureau heeft NAION in 2025 als zeer zeldzame bijwerking van semaglutide in de productinformatie opgenomen (stand 2026, actuele situatie controleren). Plotseling zichtverlies is in elk geval een noodgeval. Details in het hoofdstuk Semaglutide.</w:t>
      </w:r>
    </w:p>
    <w:bookmarkEnd w:id="978"/>
    <w:bookmarkStart w:id="979" w:name="hart-en-bloedvaten-en-vochtophoping"/>
    <w:p>
      <w:pPr>
        <w:pStyle w:val="Heading3"/>
      </w:pPr>
      <w:r>
        <w:t xml:space="preserve">Hart en bloedvaten en vochtophoping</w:t>
      </w:r>
    </w:p>
    <w:p>
      <w:pPr>
        <w:pStyle w:val="FirstParagraph"/>
      </w:pPr>
      <w:r>
        <w:t xml:space="preserve">Bij de GLP-1-geneesmiddelen overheerst volgens de huidige kennis het voordeel voor hart en bloedvaten: in SUSTAIN 6 traden ernstige cardiovasculaire gebeurtenissen met semaglutide minder vaak op (6,6% tegenover 8,9%) (Marso 2016, PMID 27633186). Een lichte stijging van de hartslag in rust is echter een klasse-eigenschap en bij de nieuwe meervoudige agonisten deels sterker uitgesproken. Met retatrutide trad in TRIUMPH-2 bovendien lage bloeddruk op bij 1 tot 6%, met placebo bij minder dan 1% (Bellido 2026, PMID 42810372). Zie de hoofdstukken Retatrutide en Survodutide.</w:t>
      </w:r>
    </w:p>
    <w:p>
      <w:pPr>
        <w:pStyle w:val="BodyText"/>
      </w:pPr>
      <w:r>
        <w:t xml:space="preserve">Een heel ander patroon laat de</w:t>
      </w:r>
      <w:r>
        <w:t xml:space="preserve"> </w:t>
      </w:r>
      <w:r>
        <w:rPr>
          <w:bCs/>
          <w:b/>
        </w:rPr>
        <w:t xml:space="preserve">groeihormoonas</w:t>
      </w:r>
      <w:r>
        <w:t xml:space="preserve"> </w:t>
      </w:r>
      <w:r>
        <w:t xml:space="preserve">zien. Groeihormoon houdt water vast in het lichaam. In een overzicht van studies met gezonde oudere mensen traden met groeihormoon vaker weefselzwellingen, gewrichtspijn, carpaletunnelsyndroom en borstvergroting bij mannen op (Liu 2007, PMID 17227934). Voor de vrijmakers die de lichaamseigen afgifte stimuleren, is een vergelijkbaar patroon te verwachten. Het duidelijkst bleek dat bij het orale ibutamoren: een studie bij oudere mensen na een heupfractuur werd wegens een signaal voor hartfalen voortijdig beëindigd (Adunsky 2011, PMID 21067829). Een hart dat al verzwakt is, kan extra vocht slecht verwerken.</w:t>
      </w:r>
    </w:p>
    <w:p>
      <w:pPr>
        <w:pStyle w:val="BodyText"/>
      </w:pPr>
      <w:r>
        <w:t xml:space="preserve">Verdere afzonderlijke bevindingen:</w:t>
      </w:r>
    </w:p>
    <w:p>
      <w:pPr>
        <w:numPr>
          <w:ilvl w:val="0"/>
          <w:numId w:val="1337"/>
        </w:numPr>
        <w:pStyle w:val="Compact"/>
      </w:pPr>
      <w:r>
        <w:rPr>
          <w:bCs/>
          <w:b/>
        </w:rPr>
        <w:t xml:space="preserve">Bremelanotide</w:t>
      </w:r>
      <w:r>
        <w:t xml:space="preserve"> </w:t>
      </w:r>
      <w:r>
        <w:t xml:space="preserve">verhoogde de bovendruk na toediening tijdelijk met 2,4 tot 3,2 mmHg; de pieken duurden meestal korter dan 15 minuten, tegelijk daalde de hartslag (White 2017, PMID 27977473).</w:t>
      </w:r>
    </w:p>
    <w:p>
      <w:pPr>
        <w:numPr>
          <w:ilvl w:val="0"/>
          <w:numId w:val="1337"/>
        </w:numPr>
        <w:pStyle w:val="Compact"/>
      </w:pPr>
      <w:r>
        <w:rPr>
          <w:bCs/>
          <w:b/>
        </w:rPr>
        <w:t xml:space="preserve">Macimoreline</w:t>
      </w:r>
      <w:r>
        <w:t xml:space="preserve"> </w:t>
      </w:r>
      <w:r>
        <w:t xml:space="preserve">verlengde bij een bewust te hoge enkelvoudige dosis het QT-interval op het ecg gemiddeld met maximaal 9,61 milliseconden (Lissy 2021, PMID 32961034) – relevant voor mensen die andere QT-verlengende geneesmiddelen gebruiken.</w:t>
      </w:r>
    </w:p>
    <w:p>
      <w:pPr>
        <w:numPr>
          <w:ilvl w:val="0"/>
          <w:numId w:val="1337"/>
        </w:numPr>
        <w:pStyle w:val="Compact"/>
      </w:pPr>
      <w:r>
        <w:rPr>
          <w:bCs/>
          <w:b/>
        </w:rPr>
        <w:t xml:space="preserve">Oxytocine</w:t>
      </w:r>
      <w:r>
        <w:t xml:space="preserve"> </w:t>
      </w:r>
      <w:r>
        <w:t xml:space="preserve">lijkt chemisch op het waterhuishoudingshormoon vasopressine. Beschreven is een geval van verhoogde hersendruk met oxytocine-neusspray bij een tegelijk zeer hoge vochtinname (Mayer-Hubner 1996, PMID 8596357).</w:t>
      </w:r>
    </w:p>
    <w:p>
      <w:pPr>
        <w:numPr>
          <w:ilvl w:val="0"/>
          <w:numId w:val="1337"/>
        </w:numPr>
        <w:pStyle w:val="Compact"/>
      </w:pPr>
      <w:r>
        <w:rPr>
          <w:bCs/>
          <w:b/>
        </w:rPr>
        <w:t xml:space="preserve">Melanotan II:</w:t>
      </w:r>
      <w:r>
        <w:t xml:space="preserve"> </w:t>
      </w:r>
      <w:r>
        <w:t xml:space="preserve">casusbeschrijvingen van spierafbraak met nierbeschadiging (Nelson 2012, PMID 23121206) en een nierinfarct; zie hoofdstuk Melanotan II.</w:t>
      </w:r>
    </w:p>
    <w:bookmarkEnd w:id="979"/>
    <w:bookmarkStart w:id="980" w:name="psyche-en-suïcidaliteit"/>
    <w:p>
      <w:pPr>
        <w:pStyle w:val="Heading3"/>
      </w:pPr>
      <w:r>
        <w:t xml:space="preserve">Psyche en suïcidaliteit</w:t>
      </w:r>
    </w:p>
    <w:p>
      <w:pPr>
        <w:pStyle w:val="FirstParagraph"/>
      </w:pPr>
      <w:r>
        <w:t xml:space="preserve">In 2023 leidden afzonderlijke meldingen van suïcidale gedachten met semaglutide en liraglutide tot onderzoeken door de autoriteiten in Europa en de VS. De gegevens zijn inmiddels duidelijk beter en overwegend geruststellend. Een meta-analyse van 86 gerandomiseerde studies met 133.378 deelnemers vond met GLP-1-receptoragonisten geen verhoogd risico op psychische aandoeningen in totaal (relatief risico 0,96), op depressie (0,88), suïcide (0,90) of angststoornissen (0,92) (Han 2026, PMID 41852258). In een Scandinavische registerstudie met 124.517 personen met GLP-1-receptoragonisten was het risico op suïcide ten opzichte van een ander diabetesmiddel niet verhoogd; de bovengrens van het betrouwbaarheidsinterval kwam overeen met hoogstens 0,16 extra sterfgevallen per 1.000 persoonsjaren (Ueda 2024, PMID 39226030). In de SURMOUNT-studies meldde met tirzepatide en placebo telkens 0,6% suïcidale gedachten (Wadden 2026, PMID 41537305). Ook bij jongeren vond een meta-analyse geen toename van suïcidaal gedrag of depressie (Silva 2026, PMID 42115753).</w:t>
      </w:r>
    </w:p>
    <w:p>
      <w:pPr>
        <w:pStyle w:val="BodyText"/>
      </w:pPr>
      <w:r>
        <w:t xml:space="preserve">Eén beperking blijft: mensen met ernstige psychische aandoeningen waren in veel studies uitgesloten. Voor hen en voor mensen met eetstoornissen gelden eigen overwegingen (zie hoofdstuk „Interacties en bijzondere risicogroepen”).</w:t>
      </w:r>
    </w:p>
    <w:p>
      <w:pPr>
        <w:pStyle w:val="BodyText"/>
      </w:pPr>
      <w:r>
        <w:t xml:space="preserve">Andere peptiden werken directer op de hersenen. De productinformatie van setmelanotide bevat waarschuwingen voor depressie en suïcidale gedachten (hoofdstuk Setmelanotide). Voor Semax is bij afzonderlijke personen met voorbeschadigde hersenen een aanvalsachtige eeg-verandering beschreven (hoofdstuk Semax). Voor de meeste „nootropicapeptiden” uit groep D zijn er simpelweg geen systematische gegevens over psychische bijwerkingen.</w:t>
      </w:r>
    </w:p>
    <w:bookmarkEnd w:id="980"/>
    <w:bookmarkStart w:id="981" w:name="huid-en-pigment"/>
    <w:p>
      <w:pPr>
        <w:pStyle w:val="Heading3"/>
      </w:pPr>
      <w:r>
        <w:t xml:space="preserve">Huid en pigment</w:t>
      </w:r>
    </w:p>
    <w:p>
      <w:pPr>
        <w:pStyle w:val="FirstParagraph"/>
      </w:pPr>
      <w:r>
        <w:t xml:space="preserve">De opvallendste huidveranderingen worden veroorzaakt door peptiden die op de</w:t>
      </w:r>
      <w:r>
        <w:t xml:space="preserve"> </w:t>
      </w:r>
      <w:r>
        <w:rPr>
          <w:bCs/>
          <w:b/>
        </w:rPr>
        <w:t xml:space="preserve">melanocortine-1-receptor</w:t>
      </w:r>
      <w:r>
        <w:t xml:space="preserve"> </w:t>
      </w:r>
      <w:r>
        <w:t xml:space="preserve">van de pigmentcellen werken. Bij setmelanotide, dat eigenlijk op de melanocortine-4-receptor in de hersenen moet aangrijpen, werd de huid in een meta-analyse bij 62% van de behandelden donkerder (Sridharan 2026, PMID 39924461). In een observatie over maximaal 46 maanden werden ook lippen en moedervlekken donkerder, rood haar werd bruin; kwaadaardige huidveranderingen traden niet op (Kanti 2021, PMID 34058738). Bremelanotide veroorzaakte bij toediening op maximaal 16 opeenvolgende dagen bij meer dan een derde van de deelnemers omschreven donkere vlekken (Clayton 2022, PMID 35147466).</w:t>
      </w:r>
    </w:p>
    <w:p>
      <w:pPr>
        <w:pStyle w:val="BodyText"/>
      </w:pPr>
      <w:r>
        <w:t xml:space="preserve">Bij het niet-geregistreerde Melanotan II komen daar nieuw optredende, deels opvallende moedervlekken bij. Een overzicht van alle gepubliceerde gevallen van plotseling optredende moedervlekken met 179 betrokkenen noemde melanotan als een van de uitlokkers; 16% van alle gevallen had minstens één histologisch afwijkende (dysplastische) moedervlek (Burian 2019, PMID 31119650). Of daaruit een hoger melanoomrisico volgt, behandelt het volgende hoofdstuk.</w:t>
      </w:r>
    </w:p>
    <w:p>
      <w:pPr>
        <w:pStyle w:val="BodyText"/>
      </w:pPr>
      <w:r>
        <w:t xml:space="preserve">Bij de GLP-1-geneesmiddelen staan andere huidbevindingen op de voorgrond. Een systematisch overzicht noemt reacties op de injectieplaats het vaakst met tirzepatide (2 tot 7%) en abnormale huidgewaarwordingen (dysesthesie) vooral met semaglutide: bij standaarddoses bij ongeveer 5%, bij de hoge obesitasdoses bij maximaal 20% (Gupta 2026, PMID 42930571). Met retatrutide trad dysesthesie in TRIUMPH-2 dosisafhankelijk op bij 4 tot 7%, met placebo bij 1% (Bellido 2026, PMID 42810372). Reacties op de injectieplaats en allergieën worden samengevat in het hoofdstuk „Immuunreacties en antistoffen”.</w:t>
      </w:r>
    </w:p>
    <w:p>
      <w:pPr>
        <w:pStyle w:val="BodyText"/>
      </w:pPr>
      <w:r>
        <w:t xml:space="preserve">Een bijzonder geval is LL-37: na injecties in huidmetastasen traden bij een patiënte talrijke wratachtige huidveranderingen op die eerst voor kanker werden gehouden en na het stoppen verdwenen (Dolkar 2018, PMID 29665030). Voor glutathioninjecties om de huid lichter te maken hebben autoriteiten meermaals gewaarschuwd (hoofdstuk Glutathion).</w:t>
      </w:r>
    </w:p>
    <w:bookmarkEnd w:id="981"/>
    <w:bookmarkStart w:id="982" w:name="hormoonstelsel"/>
    <w:p>
      <w:pPr>
        <w:pStyle w:val="Heading3"/>
      </w:pPr>
      <w:r>
        <w:t xml:space="preserve">Hormoonstelsel</w:t>
      </w:r>
    </w:p>
    <w:p>
      <w:pPr>
        <w:pStyle w:val="FirstParagraph"/>
      </w:pPr>
      <w:r>
        <w:t xml:space="preserve">Veel peptiden zijn zelf hormonen of bootsen hormonen na. Het is daarom niet verrassend dat ze ingrijpen in regelkringen die verder gaan dan het eigenlijke doel.</w:t>
      </w:r>
    </w:p>
    <w:p>
      <w:pPr>
        <w:numPr>
          <w:ilvl w:val="0"/>
          <w:numId w:val="1338"/>
        </w:numPr>
        <w:pStyle w:val="Compact"/>
      </w:pPr>
      <w:r>
        <w:rPr>
          <w:bCs/>
          <w:b/>
        </w:rPr>
        <w:t xml:space="preserve">Stresshormonen en prolactine:</w:t>
      </w:r>
      <w:r>
        <w:t xml:space="preserve"> </w:t>
      </w:r>
      <w:r>
        <w:t xml:space="preserve">de ghrelinemimetica GHRP-2, GHRP-6, hexareline en macimoreline maken naast groeihormoon ook ACTH en cortisol vrij, sommige daarnaast prolactine. Bij GHRP-2 is dit effect zo betrouwbaar dat het als test voor de bijnieras is onderzocht (Arimura 2016, PMID 27020037). Wat een herhaalde stimulatie gedurende maanden teweegbrengt, is niet onderzocht (hoofdstukken GHRP-2, GHRP-6, Hexareline).</w:t>
      </w:r>
    </w:p>
    <w:p>
      <w:pPr>
        <w:numPr>
          <w:ilvl w:val="0"/>
          <w:numId w:val="1338"/>
        </w:numPr>
        <w:pStyle w:val="Compact"/>
      </w:pPr>
      <w:r>
        <w:rPr>
          <w:bCs/>
          <w:b/>
        </w:rPr>
        <w:t xml:space="preserve">Onderdrukking in plaats van stimulatie:</w:t>
      </w:r>
      <w:r>
        <w:t xml:space="preserve"> </w:t>
      </w:r>
      <w:r>
        <w:t xml:space="preserve">hormonen die in het lichaam stootsgewijs worden afgegeven, werken bij continue toediening vaak tegengesteld. Bij de kisspeptine-analoog TAK-448 daalde testosteron bij gezonde mannen tijdens een continu infuus van 14 dagen tot in het castratiebereik (MacLean 2014, PMID 24762108). Hetzelfde principe geldt voor gonadoreline als het niet in het juiste ritme wordt gegeven (hoofdstukken Kisspeptine, Gonadoreline).</w:t>
      </w:r>
    </w:p>
    <w:p>
      <w:pPr>
        <w:numPr>
          <w:ilvl w:val="0"/>
          <w:numId w:val="1338"/>
        </w:numPr>
        <w:pStyle w:val="Compact"/>
      </w:pPr>
      <w:r>
        <w:rPr>
          <w:bCs/>
          <w:b/>
        </w:rPr>
        <w:t xml:space="preserve">Borstvergroting bij mannen</w:t>
      </w:r>
      <w:r>
        <w:t xml:space="preserve"> </w:t>
      </w:r>
      <w:r>
        <w:t xml:space="preserve">is een bekend gevolg van een verhoogde groeihormoonwerking (Liu 2007, PMID 17227934).</w:t>
      </w:r>
    </w:p>
    <w:p>
      <w:pPr>
        <w:numPr>
          <w:ilvl w:val="0"/>
          <w:numId w:val="1338"/>
        </w:numPr>
        <w:pStyle w:val="Compact"/>
      </w:pPr>
      <w:r>
        <w:rPr>
          <w:bCs/>
          <w:b/>
        </w:rPr>
        <w:t xml:space="preserve">Seksuele functie:</w:t>
      </w:r>
      <w:r>
        <w:t xml:space="preserve"> </w:t>
      </w:r>
      <w:r>
        <w:t xml:space="preserve">melanocortine-agonisten kunnen spontane erecties uitlokken; bij Melanotan II zijn gevallen van priapisme, een pijnlijke aanhoudende erectie, beschreven (hoofdstukken Melanotan II, Setmelanotide).</w:t>
      </w:r>
    </w:p>
    <w:bookmarkEnd w:id="982"/>
    <w:bookmarkStart w:id="983" w:name="bloedsuiker"/>
    <w:p>
      <w:pPr>
        <w:pStyle w:val="Heading3"/>
      </w:pPr>
      <w:r>
        <w:t xml:space="preserve">Bloedsuiker</w:t>
      </w:r>
    </w:p>
    <w:p>
      <w:pPr>
        <w:pStyle w:val="FirstParagraph"/>
      </w:pPr>
      <w:r>
        <w:t xml:space="preserve">Peptiden kunnen de bloedsuiker in beide richtingen verschuiven – en beide richtingen zijn relevant.</w:t>
      </w:r>
    </w:p>
    <w:p>
      <w:pPr>
        <w:pStyle w:val="BodyText"/>
      </w:pPr>
      <w:r>
        <w:rPr>
          <w:bCs/>
          <w:b/>
        </w:rPr>
        <w:t xml:space="preserve">Te lage bloedsuiker (hypoglykemie).</w:t>
      </w:r>
      <w:r>
        <w:t xml:space="preserve"> </w:t>
      </w:r>
      <w:r>
        <w:t xml:space="preserve">Het grootste risico heeft mecasermine, dus IGF-1 als geneesmiddel: in een langetermijnstudie met 76 kinderen was hypoglykemie met 49% de meest voorkomende bijwerking (Chernausek 2007, PMID 17192294). Voor het laboratoriumpreparaat IGF-1 LR3 is een vergelijkbaar of groter risico biologisch aannemelijk, maar nooit gemeten (hoofdstuk IGF-1 LR3). Pramlintide versterkt de werking van tegelijk geïnjecteerde insuline; ernstige hypoglykemie kwam in een studie vaker voor dan met placebo (0,57 tegenover 0,30 gebeurtenissen per patiëntjaar) (Edelman 2006, PMID 17003291). GLP-1-geneesmiddelen alleen verlagen de bloedsuiker nauwelijks tot in het gevaarlijke bereik, omdat hun werking aan de bloedsuiker gekoppeld is. In combinatie met sulfonylureumderivaten of insuline stijgt het risico echter: met exenatide bovenop metformine en een sulfonylureumderivaat trad lichte tot matige hypoglykemie op bij 28% respectievelijk 19%, met placebo bij 13% (Kendall 2005, PMID 15855571). Meer hierover in het hoofdstuk „Interacties en bijzondere risicogroepen”.</w:t>
      </w:r>
    </w:p>
    <w:p>
      <w:pPr>
        <w:pStyle w:val="BodyText"/>
      </w:pPr>
      <w:r>
        <w:t xml:space="preserve">Een ernstige hypoglykemie na een vermeende „afslankprik” bij iemand zonder diabetes is een waarschuwingssignaal voor een vervalsing met insuline. De gevallen zijn beschreven in Deel I in het hoofdstuk „De grijze markt”.</w:t>
      </w:r>
    </w:p>
    <w:p>
      <w:pPr>
        <w:pStyle w:val="BodyText"/>
      </w:pPr>
      <w:r>
        <w:rPr>
          <w:bCs/>
          <w:b/>
        </w:rPr>
        <w:t xml:space="preserve">Hogere bloedsuiker.</w:t>
      </w:r>
      <w:r>
        <w:t xml:space="preserve"> </w:t>
      </w:r>
      <w:r>
        <w:t xml:space="preserve">Groeihormoon werkt insuline tegen. Met ibutamoren steeg de nuchtere bloedsuiker bij gezonde oudere mensen gemiddeld met 0,3 mmol/l, het lichaamsgewicht met 2,7 kg tegenover 0,8 kg met placebo (Nass 2008, PMID 18981485). In het overzicht over groeihormoon bij oudere mensen traden iets vaker nieuwe diabetes en een gestoorde nuchtere glucose op (Liu 2007, PMID 17227934). Met tesamoreline steeg de nuchtere glucose in de eerste weken tijdelijk (hoofdstuk Tesamoreline). Voor mensen met diabetes of voorstadia daarvan is de groeihormoonas daarom bijzonder delicaat.</w:t>
      </w:r>
    </w:p>
    <w:bookmarkEnd w:id="983"/>
    <w:bookmarkStart w:id="984" w:name="wat-er-uit-de-vergelijking-volgt"/>
    <w:p>
      <w:pPr>
        <w:pStyle w:val="Heading3"/>
      </w:pPr>
      <w:r>
        <w:t xml:space="preserve">Wat er uit de vergelijking volgt</w:t>
      </w:r>
    </w:p>
    <w:p>
      <w:pPr>
        <w:pStyle w:val="FirstParagraph"/>
      </w:pPr>
      <w:r>
        <w:t xml:space="preserve">Over alle orgaansystemen heen tekenen zich drie patronen af.</w:t>
      </w:r>
    </w:p>
    <w:p>
      <w:pPr>
        <w:pStyle w:val="BodyText"/>
      </w:pPr>
      <w:r>
        <w:t xml:space="preserve">Ten eerste: de best onderzochte peptiden – de geregistreerde GLP-1-geneesmiddelen – hebben de best bekende bijwerkingen. Dat komt niet doordat ze bijzonder gevaarlijk zouden zijn, maar doordat honderdduizenden mensen in studies en registers zijn gevolgd. Veelvoorkomende klachten betreffen het maag-darmkanaal en zijn meestal voorbijgaand; ernstigere risico’s zoals galstenen zijn aangetoond, maar in absolute getallen zeldzaam; signalen zoals NAION zijn zeer zeldzaam en worden verder onderzocht.</w:t>
      </w:r>
    </w:p>
    <w:p>
      <w:pPr>
        <w:pStyle w:val="BodyText"/>
      </w:pPr>
      <w:r>
        <w:t xml:space="preserve">Ten tweede: de peptiden van de groeihormoonas delen een gemeenschappelijk profiel van vochtophoping, hogere bloedsuiker en stijging van stresshormonen. Voor gebruik gedurende maanden of jaren bij gezonde mensen zijn er zo goed als geen gegevens.</w:t>
      </w:r>
    </w:p>
    <w:p>
      <w:pPr>
        <w:pStyle w:val="BodyText"/>
      </w:pPr>
      <w:r>
        <w:t xml:space="preserve">Ten derde: voor de meerderheid van de peptiden uit de groepen B en D zijn orgaanrisico’s helemaal niet te beschrijven, omdat niemand er systematisch naar heeft gezocht. Daar ligt het grootste praktische risico niet in de werkzame stof, maar in het product – meer daarover in het hoofdstuk „Grijze-marktproducten”.</w:t>
      </w:r>
    </w:p>
    <w:bookmarkEnd w:id="984"/>
    <w:bookmarkEnd w:id="985"/>
    <w:bookmarkStart w:id="994" w:name="kankerrisico-en-groeisignalen"/>
    <w:p>
      <w:pPr>
        <w:pStyle w:val="Heading2"/>
      </w:pPr>
      <w:r>
        <w:t xml:space="preserve">Kankerrisico en groeisignalen</w:t>
      </w:r>
    </w:p>
    <w:p>
      <w:pPr>
        <w:pStyle w:val="FirstParagraph"/>
      </w:pPr>
      <w:r>
        <w:t xml:space="preserve">Veel peptiden worden juist aangeprezen omdat ze groei zouden stimuleren: van spieren, pezen, bloedvaten, zenuwcellen of haar. Groei is echter niet kieskeurig. De signaalroutes waarlangs weefsels herstellen en zich vernieuwen, worden ook door kankercellen gebruikt. Daarom duikt bij bijna elk „herstel-”, „anti-aging-” of groeihormoonpeptide dezelfde vraag op: kan het kanker bevorderen?</w:t>
      </w:r>
    </w:p>
    <w:p>
      <w:pPr>
        <w:pStyle w:val="BodyText"/>
      </w:pPr>
      <w:r>
        <w:t xml:space="preserve">Dit hoofdstuk vat samen wat daarover bekend is – gescheiden naar de vier mechanismen die in Deel II steeds weer terugkomen: de groeihormoon-IGF-1-as, de vorming van nieuwe bloedvaten, de stimulatie van de pigmentcellen en de werking van de GLP-1-geneesmiddelen op schildklier en alvleesklier. Aan het einde staat een overzicht van de nieuwste grote analyses over GLP-1-geneesmiddelen en kanker.</w:t>
      </w:r>
    </w:p>
    <w:bookmarkStart w:id="986" w:name="hoe-u-de-kankervraag-kunt-duiden"/>
    <w:p>
      <w:pPr>
        <w:pStyle w:val="Heading3"/>
      </w:pPr>
      <w:r>
        <w:t xml:space="preserve">Hoe u de kankervraag kunt duiden</w:t>
      </w:r>
    </w:p>
    <w:p>
      <w:pPr>
        <w:pStyle w:val="FirstParagraph"/>
      </w:pPr>
      <w:r>
        <w:t xml:space="preserve">Vier punten helpen om de volgende gegevens te lezen.</w:t>
      </w:r>
    </w:p>
    <w:p>
      <w:pPr>
        <w:pStyle w:val="BodyText"/>
      </w:pPr>
      <w:r>
        <w:rPr>
          <w:bCs/>
          <w:b/>
        </w:rPr>
        <w:t xml:space="preserve">Veroorzaken of bevorderen.</w:t>
      </w:r>
      <w:r>
        <w:t xml:space="preserve"> </w:t>
      </w:r>
      <w:r>
        <w:t xml:space="preserve">Een stof kan kanker veroorzaken door het erfelijk materiaal te beschadigen. Bij peptiden wordt vaker een andere mogelijkheid besproken: een groeisignaal zou een al aanwezige, nog onontdekte tumor sneller kunnen laten groeien – zoals mest een plant die al in de grond zit. Voor deze tweede mogelijkheid volstaat het als de stof celdeling, celoverleving of de vorming van nieuwe bloedvaten stimuleert.</w:t>
      </w:r>
    </w:p>
    <w:p>
      <w:pPr>
        <w:pStyle w:val="BodyText"/>
      </w:pPr>
      <w:r>
        <w:rPr>
          <w:bCs/>
          <w:b/>
        </w:rPr>
        <w:t xml:space="preserve">Tijd.</w:t>
      </w:r>
      <w:r>
        <w:t xml:space="preserve"> </w:t>
      </w:r>
      <w:r>
        <w:t xml:space="preserve">Kanker ontwikkelt zich over jaren tot decennia. De meeste peptidestudies lopen weken tot enkele jaren. Zelfs grote registratiestudies kunnen een langzaam ontstaand risico nauwelijks vastleggen. Daarvoor zijn registers en observationele studies over lange perioden nodig – die op hun beurt gevoelig zijn voor vertekening.</w:t>
      </w:r>
    </w:p>
    <w:p>
      <w:pPr>
        <w:pStyle w:val="BodyText"/>
      </w:pPr>
      <w:r>
        <w:rPr>
          <w:bCs/>
          <w:b/>
        </w:rPr>
        <w:t xml:space="preserve">Diagnosevertekening.</w:t>
      </w:r>
      <w:r>
        <w:t xml:space="preserve"> </w:t>
      </w:r>
      <w:r>
        <w:t xml:space="preserve">Wie vanwege een geneesmiddel vaker wordt onderzocht, bij die worden ook vaker tumoren gevonden. Een voorbeeld: een meta-analyse vond in kortere GLP-1-studies iets meer diagnoses van darmkanker en vermoedde als verklaring dat maag-darmklachten tot meer darmonderzoeken (coloscopieën) leidden (Silverii 2025, PMID 40437949).</w:t>
      </w:r>
    </w:p>
    <w:p>
      <w:pPr>
        <w:pStyle w:val="BodyText"/>
      </w:pPr>
      <w:r>
        <w:rPr>
          <w:bCs/>
          <w:b/>
        </w:rPr>
        <w:t xml:space="preserve">De omgekeerde richting.</w:t>
      </w:r>
      <w:r>
        <w:t xml:space="preserve"> </w:t>
      </w:r>
      <w:r>
        <w:t xml:space="preserve">Overgewicht verhoogt het risico op minstens 13 soorten kanker. Een geneesmiddel dat het gewicht sterk vermindert, zou daarom het kankerrisico in totaal kunnen verlagen, ook als het bij één afzonderlijk orgaan een klein signaal geeft. Beide zijn alleen afzonderlijk te beschouwen.</w:t>
      </w:r>
    </w:p>
    <w:bookmarkEnd w:id="986"/>
    <w:bookmarkStart w:id="987" w:name="groeihormoon-en-igf-1"/>
    <w:p>
      <w:pPr>
        <w:pStyle w:val="Heading3"/>
      </w:pPr>
      <w:r>
        <w:t xml:space="preserve">Groeihormoon en IGF-1</w:t>
      </w:r>
    </w:p>
    <w:p>
      <w:pPr>
        <w:pStyle w:val="FirstParagraph"/>
      </w:pPr>
      <w:r>
        <w:t xml:space="preserve">Groeihormoon werkt voor een groot deel via IGF-1, de insulineachtige groeifactor 1. IGF-1 zet cellen aan tot deling en beschermt ze tegen geprogrammeerde celdood. Alle peptiden uit groep C – sermoreline, tesamoreline, CJC-1295, ipamoreline, de GHRP-familie, mecasermine en IGF-1 LR3 – en het ter vergelijking besproken ibutamoren verhogen IGF-1 direct of indirect. Het bewijs voor de kankervraag komt uit vijf bronnen.</w:t>
      </w:r>
    </w:p>
    <w:p>
      <w:pPr>
        <w:pStyle w:val="BodyText"/>
      </w:pPr>
      <w:r>
        <w:rPr>
          <w:bCs/>
          <w:b/>
        </w:rPr>
        <w:t xml:space="preserve">Van nature hogere IGF-1-spiegels.</w:t>
      </w:r>
      <w:r>
        <w:t xml:space="preserve"> </w:t>
      </w:r>
      <w:r>
        <w:t xml:space="preserve">Een meta-analyse van 21 studies vond bij mensen met hoge IGF-1-waarden een hoger risico op prostaatkanker (odds ratio 1,49 bij vergelijking van een IGF-1-waarde op het 75e met een op het 25e percentiel) en op borstkanker vóór de overgang (1,65); de auteurs noemden de verbanden uitdrukkelijk „matig” (Renehan 2004, PMID 15110491). In de UK Biobank met 206.263 vrouwen steeg het risico op borstkanker per 5 nmol/l meer IGF-1 met 11% (Murphy 2020, PMID 32169310); voor darmkanker vond dezelfde groep bij bijna 400.000 deelnemers een vergelijkbaar verband (Murphy 2020, PMID 31884074).</w:t>
      </w:r>
    </w:p>
    <w:p>
      <w:pPr>
        <w:pStyle w:val="BodyText"/>
      </w:pPr>
      <w:r>
        <w:rPr>
          <w:bCs/>
          <w:b/>
        </w:rPr>
        <w:t xml:space="preserve">Genetische analyses.</w:t>
      </w:r>
      <w:r>
        <w:t xml:space="preserve"> </w:t>
      </w:r>
      <w:r>
        <w:t xml:space="preserve">De zogenoemde mendeliaanse randomisatie gebruikt genvarianten die de IGF-1-spiegel levenslang licht verhogen als natuurlijk experiment. Ook hier ging een genetisch hoger IGF-1 samen met iets meer borstkanker (odds ratio 1,05 per 5 nmol/l) (Murphy 2020, PMID 32169310). Dat wijst erop dat het verband niet alleen op bijkomende omstandigheden berust.</w:t>
      </w:r>
    </w:p>
    <w:p>
      <w:pPr>
        <w:pStyle w:val="BodyText"/>
      </w:pPr>
      <w:r>
        <w:rPr>
          <w:bCs/>
          <w:b/>
        </w:rPr>
        <w:t xml:space="preserve">Te veel groeihormoon door ziekte.</w:t>
      </w:r>
      <w:r>
        <w:t xml:space="preserve"> </w:t>
      </w:r>
      <w:r>
        <w:t xml:space="preserve">Bij acromegalie, een overproductie van groeihormoon door een tumor van de hypofyse, liet een meta-analyse van 23 studies een met ongeveer de helft verhoogde kankerfrequentie zien (gestandaardiseerde ratio 1,5), met bijzonder hoge waarden voor darm- en schildklierkanker. Kleinere en oudere studies lieten echter hogere waarden zien dan grote, wat op selectievertekening wijst (Dal 2018, PMID 29590449).</w:t>
      </w:r>
    </w:p>
    <w:p>
      <w:pPr>
        <w:pStyle w:val="BodyText"/>
      </w:pPr>
      <w:r>
        <w:rPr>
          <w:bCs/>
          <w:b/>
        </w:rPr>
        <w:t xml:space="preserve">Te weinig IGF-1 door ziekte.</w:t>
      </w:r>
      <w:r>
        <w:t xml:space="preserve"> </w:t>
      </w:r>
      <w:r>
        <w:t xml:space="preserve">Bij mensen met het syndroom van Laron, die door een genetisch defect nauwelijks IGF-1 aanmaken, trad in Ecuador over 22 jaar observatie slechts één enkele, niet-dodelijke kanker op; bij niet-getroffen familieleden lag het aandeel op 17% (Guevara-Aguirre 2011, PMID 21325617).</w:t>
      </w:r>
    </w:p>
    <w:p>
      <w:pPr>
        <w:pStyle w:val="BodyText"/>
      </w:pPr>
      <w:r>
        <w:rPr>
          <w:bCs/>
          <w:b/>
        </w:rPr>
        <w:t xml:space="preserve">Groeihormoon als geneesmiddel.</w:t>
      </w:r>
      <w:r>
        <w:t xml:space="preserve"> </w:t>
      </w:r>
      <w:r>
        <w:t xml:space="preserve">Bij 23.984 kinderen die in acht Europese landen met groeihormoon werden behandeld, werd zonder ernstige voorafgaande aandoening geen duidelijk verhoogd kankerrisico gevonden. Opvallend waren afzonderlijke kankersoorten (bot, blaas) en een stijging van de kankersterfte met een hogere dagdosis bij kinderen die eerder al kanker hadden gehad (Swerdlow 2017, PMID 28187225). Bij 8.418 behandelde volwassenen met hypofyse-insufficiëntie was het kankerrisico niet verhoogd; de kankerfrequentie lag zelfs onder het bevolkingsgemiddelde (Child 2015, PMID 25810462).</w:t>
      </w:r>
    </w:p>
    <w:p>
      <w:pPr>
        <w:pStyle w:val="BodyText"/>
      </w:pPr>
      <w:r>
        <w:t xml:space="preserve">Wat volgt daaruit? Wie een echt tekort heeft en een ontbrekend hormoon vervangen krijgt, draagt volgens de huidige kennis geen duidelijk verhoogd kankerrisico. Wie daarentegen een normale spiegel jarenlang verhoogt, begeeft zich in het gebied waarin de observationele en genetische studies een matig hoger risico laten zien. Voor precies deze situatie – gezonde volwassenen die vrijmakers gebruiken om hun prestaties te verbeteren of om te „verjongen” – bestaan geen langetermijnstudies. Ibutamoren bijvoorbeeld verhoogde IGF-1 bij gezonde oudere mensen tot het niveau van jonge volwassenen (Nass 2008, PMID 18981485); een kankersignaal werd niet gerapporteerd, maar daarvoor was de studie groot noch lang genoeg.</w:t>
      </w:r>
    </w:p>
    <w:p>
      <w:pPr>
        <w:pStyle w:val="BodyText"/>
      </w:pPr>
      <w:r>
        <w:t xml:space="preserve">Twee bijzondere gevallen verdienen vermelding. Bij het geregistreerde mecasermine zijn na de markintroductie goed- en kwaadaardige nieuwvormingen bij behandelde kinderen gemeld; de productinformaties bevatten overeenkomstige waarschuwingen, en bij actieve kanker mag het niet worden gebruikt (stand 2026, actuele situatie controleren; hoofdstuk Mecasermine). Het laboratoriumpreparaat IGF-1 LR3 is zo gewijzigd dat het niet meer gebonden wordt aan de bindingseiwitten in het bloed die IGF-1 normaal gesproken bufferen. Daardoor werkt het sterker en langer op de receptor – theoretisch precies de ongunstige richting. Bij mensen is dat nooit onderzocht (hoofdstuk IGF-1 LR3).</w:t>
      </w:r>
    </w:p>
    <w:bookmarkEnd w:id="987"/>
    <w:bookmarkStart w:id="988" w:name="Xa06b66f364c4c2e9db083dde0a24b0b4fdd96d0"/>
    <w:p>
      <w:pPr>
        <w:pStyle w:val="Heading3"/>
      </w:pPr>
      <w:r>
        <w:t xml:space="preserve">Vorming van nieuwe bloedvaten en andere groeisignalen</w:t>
      </w:r>
    </w:p>
    <w:p>
      <w:pPr>
        <w:pStyle w:val="FirstParagraph"/>
      </w:pPr>
      <w:r>
        <w:t xml:space="preserve">Een tumor die groter wil worden dan enkele millimeters, heeft eigen bloedvaten nodig. Dit proces heet angiogenese. Sommige geregistreerde kankergeneesmiddelen werken juist doordat ze de belangrijkste signaalroute van de vaatnieuwvorming blokkeren, het VEGF-systeem. Omgekeerd staan stoffen die de vorming van nieuwe bloedvaten bevorderen, onder verdenking tumoren te begunstigen.</w:t>
      </w:r>
    </w:p>
    <w:p>
      <w:pPr>
        <w:pStyle w:val="BodyText"/>
      </w:pPr>
      <w:r>
        <w:rPr>
          <w:bCs/>
          <w:b/>
        </w:rPr>
        <w:t xml:space="preserve">BPC-157.</w:t>
      </w:r>
      <w:r>
        <w:t xml:space="preserve"> </w:t>
      </w:r>
      <w:r>
        <w:t xml:space="preserve">In laboratoriumproeven verhoogde BPC-157 de vaatdichtheid in membranen van kippeneieren, versnelde het bij ratten de doorbloeding van een slecht doorbloed been en verhoogde het in menselijke vaatcellen de hoeveelheid VEGF-receptor 2 (Hsieh 2017, PMID 27847966). De Zagrebse onderzoeksgroep, van wie de meeste BPC-157-studies afkomstig zijn, brengt daartegen in dat BPC-157 de vaatvorming stuurt in plaats van die blind aan te jagen, en in dier- en celproeven zelfs effecten tegen tumoren heeft laten zien (Sikiric 2025, PMID 40573323). Langetermijnstudies naar het ontstaan van kanker, zoals die voor geneesmiddelen verplicht zijn, zijn voor BPC-157 niet gepubliceerd. De vraag is open. Zie hoofdstuk BPC-157.</w:t>
      </w:r>
    </w:p>
    <w:p>
      <w:pPr>
        <w:pStyle w:val="BodyText"/>
      </w:pPr>
      <w:r>
        <w:rPr>
          <w:bCs/>
          <w:b/>
        </w:rPr>
        <w:t xml:space="preserve">TB-500 en thymosine bèta-4.</w:t>
      </w:r>
      <w:r>
        <w:t xml:space="preserve"> </w:t>
      </w:r>
      <w:r>
        <w:t xml:space="preserve">Thymosine bèta-4 bevordert celmigratie en de vorming van nieuwe bloedvaten. In weefselmonsters van 138 mensen met blaaskanker ging een sterke aanmaak van thymosine bèta-4 samen met een gevorderd stadium, aantasting van lymfeklieren en een kortere overleving (Wang 2016, PMID 27596300). In kweken van borstkankercellen verhoogde toegevoegd thymosine bèta-4 het aantal cellen (Larsson 2007, PMID 17495241). Dat bewijst niet dat van buitenaf toegediend TB-500 kanker bevordert, maar is wel een reden tot voorzichtigheid bij mensen met kanker of een hoog kankerrisico. Zie hoofdstuk TB-500.</w:t>
      </w:r>
    </w:p>
    <w:p>
      <w:pPr>
        <w:pStyle w:val="BodyText"/>
      </w:pPr>
      <w:r>
        <w:rPr>
          <w:bCs/>
          <w:b/>
        </w:rPr>
        <w:t xml:space="preserve">Andere peptiden met groeisignalen.</w:t>
      </w:r>
      <w:r>
        <w:t xml:space="preserve"> </w:t>
      </w:r>
      <w:r>
        <w:t xml:space="preserve">Bij meerdere peptiden uit Deel II rijzen vergelijkbare vragen uit het werkingsmechanisme of uit laboratoriumgegevens: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Peptide</w:t>
            </w:r>
          </w:p>
        </w:tc>
        <w:tc>
          <w:tcPr/>
          <w:p>
            <w:pPr>
              <w:pStyle w:val="Compact"/>
              <w:jc w:val="left"/>
            </w:pPr>
            <w:r>
              <w:t xml:space="preserve">Mechanisme</w:t>
            </w:r>
          </w:p>
        </w:tc>
        <w:tc>
          <w:tcPr/>
          <w:p>
            <w:pPr>
              <w:pStyle w:val="Compact"/>
              <w:jc w:val="left"/>
            </w:pPr>
            <w:r>
              <w:t xml:space="preserve">Soort aanwijzing</w:t>
            </w:r>
          </w:p>
        </w:tc>
        <w:tc>
          <w:tcPr/>
          <w:p>
            <w:pPr>
              <w:pStyle w:val="Compact"/>
              <w:jc w:val="left"/>
            </w:pPr>
            <w:r>
              <w:t xml:space="preserve">Hoofdstuk</w:t>
            </w:r>
          </w:p>
        </w:tc>
      </w:tr>
      <w:tr>
        <w:tc>
          <w:tcPr/>
          <w:p>
            <w:pPr>
              <w:pStyle w:val="Compact"/>
              <w:jc w:val="left"/>
            </w:pPr>
            <w:r>
              <w:t xml:space="preserve">Dihexa</w:t>
            </w:r>
          </w:p>
        </w:tc>
        <w:tc>
          <w:tcPr/>
          <w:p>
            <w:pPr>
              <w:pStyle w:val="Compact"/>
              <w:jc w:val="left"/>
            </w:pPr>
            <w:r>
              <w:t xml:space="preserve">versterkt het c-Met-signaal, een bekende kankeraanjager</w:t>
            </w:r>
          </w:p>
        </w:tc>
        <w:tc>
          <w:tcPr/>
          <w:p>
            <w:pPr>
              <w:pStyle w:val="Compact"/>
              <w:jc w:val="left"/>
            </w:pPr>
            <w:r>
              <w:t xml:space="preserve">alleen theoretisch, geen gegevens bij mensen</w:t>
            </w:r>
          </w:p>
        </w:tc>
        <w:tc>
          <w:tcPr/>
          <w:p>
            <w:pPr>
              <w:pStyle w:val="Compact"/>
              <w:jc w:val="left"/>
            </w:pPr>
            <w:r>
              <w:t xml:space="preserve">Dihexa</w:t>
            </w:r>
          </w:p>
        </w:tc>
      </w:tr>
      <w:tr>
        <w:tc>
          <w:tcPr/>
          <w:p>
            <w:pPr>
              <w:pStyle w:val="Compact"/>
              <w:jc w:val="left"/>
            </w:pPr>
            <w:r>
              <w:t xml:space="preserve">Epitalon</w:t>
            </w:r>
          </w:p>
        </w:tc>
        <w:tc>
          <w:tcPr/>
          <w:p>
            <w:pPr>
              <w:pStyle w:val="Compact"/>
              <w:jc w:val="left"/>
            </w:pPr>
            <w:r>
              <w:t xml:space="preserve">zou telomerase activeren</w:t>
            </w:r>
          </w:p>
        </w:tc>
        <w:tc>
          <w:tcPr/>
          <w:p>
            <w:pPr>
              <w:pStyle w:val="Compact"/>
              <w:jc w:val="left"/>
            </w:pPr>
            <w:r>
              <w:t xml:space="preserve">celkweek: ook telomeren van borstkankercellen verlengd</w:t>
            </w:r>
          </w:p>
        </w:tc>
        <w:tc>
          <w:tcPr/>
          <w:p>
            <w:pPr>
              <w:pStyle w:val="Compact"/>
              <w:jc w:val="left"/>
            </w:pPr>
            <w:r>
              <w:t xml:space="preserve">Epitalon</w:t>
            </w:r>
          </w:p>
        </w:tc>
      </w:tr>
      <w:tr>
        <w:tc>
          <w:tcPr/>
          <w:p>
            <w:pPr>
              <w:pStyle w:val="Compact"/>
              <w:jc w:val="left"/>
            </w:pPr>
            <w:r>
              <w:t xml:space="preserve">Humanine</w:t>
            </w:r>
          </w:p>
        </w:tc>
        <w:tc>
          <w:tcPr/>
          <w:p>
            <w:pPr>
              <w:pStyle w:val="Compact"/>
              <w:jc w:val="left"/>
            </w:pPr>
            <w:r>
              <w:t xml:space="preserve">beschermt cellen tegen celdood</w:t>
            </w:r>
          </w:p>
        </w:tc>
        <w:tc>
          <w:tcPr/>
          <w:p>
            <w:pPr>
              <w:pStyle w:val="Compact"/>
              <w:jc w:val="left"/>
            </w:pPr>
            <w:r>
              <w:t xml:space="preserve">muizen: snellere tumorgroei, meer uitzaaiingen</w:t>
            </w:r>
          </w:p>
        </w:tc>
        <w:tc>
          <w:tcPr/>
          <w:p>
            <w:pPr>
              <w:pStyle w:val="Compact"/>
              <w:jc w:val="left"/>
            </w:pPr>
            <w:r>
              <w:t xml:space="preserve">Humanine</w:t>
            </w:r>
          </w:p>
        </w:tc>
      </w:tr>
      <w:tr>
        <w:tc>
          <w:tcPr/>
          <w:p>
            <w:pPr>
              <w:pStyle w:val="Compact"/>
              <w:jc w:val="left"/>
            </w:pPr>
            <w:r>
              <w:t xml:space="preserve">LL-37</w:t>
            </w:r>
          </w:p>
        </w:tc>
        <w:tc>
          <w:tcPr/>
          <w:p>
            <w:pPr>
              <w:pStyle w:val="Compact"/>
              <w:jc w:val="left"/>
            </w:pPr>
            <w:r>
              <w:t xml:space="preserve">ontstekings- en groeisignalen</w:t>
            </w:r>
          </w:p>
        </w:tc>
        <w:tc>
          <w:tcPr/>
          <w:p>
            <w:pPr>
              <w:pStyle w:val="Compact"/>
              <w:jc w:val="left"/>
            </w:pPr>
            <w:r>
              <w:t xml:space="preserve">laboratorium: afhankelijk van de kankersoort bevorderend of remmend</w:t>
            </w:r>
          </w:p>
        </w:tc>
        <w:tc>
          <w:tcPr/>
          <w:p>
            <w:pPr>
              <w:pStyle w:val="Compact"/>
              <w:jc w:val="left"/>
            </w:pPr>
            <w:r>
              <w:t xml:space="preserve">LL-37</w:t>
            </w:r>
          </w:p>
        </w:tc>
      </w:tr>
      <w:tr>
        <w:tc>
          <w:tcPr/>
          <w:p>
            <w:pPr>
              <w:pStyle w:val="Compact"/>
              <w:jc w:val="left"/>
            </w:pPr>
            <w:r>
              <w:t xml:space="preserve">GHK-Cu</w:t>
            </w:r>
          </w:p>
        </w:tc>
        <w:tc>
          <w:tcPr/>
          <w:p>
            <w:pPr>
              <w:pStyle w:val="Compact"/>
              <w:jc w:val="left"/>
            </w:pPr>
            <w:r>
              <w:t xml:space="preserve">vorming van nieuwe bloedvaten in dierproeven</w:t>
            </w:r>
          </w:p>
        </w:tc>
        <w:tc>
          <w:tcPr/>
          <w:p>
            <w:pPr>
              <w:pStyle w:val="Compact"/>
              <w:jc w:val="left"/>
            </w:pPr>
            <w:r>
              <w:t xml:space="preserve">alleen theoretisch</w:t>
            </w:r>
          </w:p>
        </w:tc>
        <w:tc>
          <w:tcPr/>
          <w:p>
            <w:pPr>
              <w:pStyle w:val="Compact"/>
              <w:jc w:val="left"/>
            </w:pPr>
            <w:r>
              <w:t xml:space="preserve">GHK-Cu</w:t>
            </w:r>
          </w:p>
        </w:tc>
      </w:tr>
      <w:tr>
        <w:tc>
          <w:tcPr/>
          <w:p>
            <w:pPr>
              <w:pStyle w:val="Compact"/>
              <w:jc w:val="left"/>
            </w:pPr>
            <w:r>
              <w:t xml:space="preserve">ARA-290</w:t>
            </w:r>
          </w:p>
        </w:tc>
        <w:tc>
          <w:tcPr/>
          <w:p>
            <w:pPr>
              <w:pStyle w:val="Compact"/>
              <w:jc w:val="left"/>
            </w:pPr>
            <w:r>
              <w:t xml:space="preserve">werkt op de EPO-receptor</w:t>
            </w:r>
          </w:p>
        </w:tc>
        <w:tc>
          <w:tcPr/>
          <w:p>
            <w:pPr>
              <w:pStyle w:val="Compact"/>
              <w:jc w:val="left"/>
            </w:pPr>
            <w:r>
              <w:t xml:space="preserve">theoretisch, naar analogie van EPO</w:t>
            </w:r>
          </w:p>
        </w:tc>
        <w:tc>
          <w:tcPr/>
          <w:p>
            <w:pPr>
              <w:pStyle w:val="Compact"/>
              <w:jc w:val="left"/>
            </w:pPr>
            <w:r>
              <w:t xml:space="preserve">ARA-290</w:t>
            </w:r>
          </w:p>
        </w:tc>
      </w:tr>
    </w:tbl>
    <w:p>
      <w:pPr>
        <w:pStyle w:val="BodyText"/>
      </w:pPr>
      <w:r>
        <w:t xml:space="preserve">Sommige van deze aanwijzingen zijn concreet. Bij muizen met triple-negatieve borstkanker verminderde toegediend humanine de celdood in de tumor, verzwakte het de chemotherapie en versnelde het de tumorgroei en longuitzaaiingen (Moreno Ayala 2020, PMID 32444831). Epitalon verlengde in celkweken de telomeren van gezonde cellen via het enzym telomerase, in borstkankercellen via een andere route (Al-Dulaimi 2025, PMID 40908429); in een muizenstudie nam het aantal spontane tumoren daarentegen niet toe (Anisimov 2003, PMID 14501183). Voor LL-37 beschrijft een overzicht bevorderende effecten op tumoren van eierstok, long, borst, prostaat, alvleesklier en huid, maar remmende op darm- en maagkanker (Chen 2018, PMID 29843147). Voor Dihexa is de koppeling met het c-Met-systeem beschreven (Wright 2015, PMID 25649658); onderzoeken naar het ontstaan van kanker zijn er niet.</w:t>
      </w:r>
    </w:p>
    <w:p>
      <w:pPr>
        <w:pStyle w:val="BodyText"/>
      </w:pPr>
      <w:r>
        <w:t xml:space="preserve">Al deze bevindingen komen uit dierproeven, celkweken of uit het werkingsmechanisme. Geen enkele bewijst een kankerrisico bij de mens. Ze laten echter zien dat „natuurlijk”, „lichaamseigen” of „regeneratief” niet automatisch „onschuldig” betekent – en dat voor geen van deze stoffen de langetermijngegevens bestaan waarmee de vraag beantwoord zou kunnen worden.</w:t>
      </w:r>
    </w:p>
    <w:bookmarkEnd w:id="988"/>
    <w:bookmarkStart w:id="989" w:name="X0607b094f40bcfef8b8c1cc9e4bdf0dd355bcca"/>
    <w:p>
      <w:pPr>
        <w:pStyle w:val="Heading3"/>
      </w:pPr>
      <w:r>
        <w:t xml:space="preserve">Pigmentcellen: melanotan, setmelanotide en afamelanotide</w:t>
      </w:r>
    </w:p>
    <w:p>
      <w:pPr>
        <w:pStyle w:val="FirstParagraph"/>
      </w:pPr>
      <w:r>
        <w:t xml:space="preserve">De melanocortinepeptiden stimuleren de pigmentcellen (melanocyten) van de huid. Bij afamelanotide is dat de gewenste werking, bij setmelanotide en bremelanotide een bijwerking en bij Melanotan II de eigenlijke reden om het te verkopen. Omdat een melanoom uit pigmentcellen ontstaat, ligt de vraag naar huidkanker voor de hand.</w:t>
      </w:r>
    </w:p>
    <w:p>
      <w:pPr>
        <w:pStyle w:val="BodyText"/>
      </w:pPr>
      <w:r>
        <w:t xml:space="preserve">Voor het niet-geregistreerde</w:t>
      </w:r>
      <w:r>
        <w:t xml:space="preserve"> </w:t>
      </w:r>
      <w:r>
        <w:rPr>
          <w:bCs/>
          <w:b/>
        </w:rPr>
        <w:t xml:space="preserve">Melanotan II</w:t>
      </w:r>
      <w:r>
        <w:t xml:space="preserve"> </w:t>
      </w:r>
      <w:r>
        <w:t xml:space="preserve">zijn er meerdere casusbeschrijvingen van melanomen die tijdens of kort na het gebruik werden ontdekt. Een overzicht telde vier gevallen waarin melanomen uit bestaande moedervlekken voortkwamen, en benadrukt tegelijk dat een sluitend bewijs voor een verband ontbreekt (Habbema 2017, PMID 28266027). Van 179 gepubliceerde gevallen van plotseling optredende moedervlekken, waarvan een deel aan melanotan werd toegeschreven, gingen er vijf samen met een melanoom (Burian 2019, PMID 31119650). De interpretatie is moeilijk: veel betrokkenen gebruikten tegelijk zonnebanken of zonden intensief, wat het melanoomrisico onafhankelijk verhoogt. En casusbeschrijvingen kunnen geen frequentie opleveren. Zie hoofdstuk Melanotan II.</w:t>
      </w:r>
    </w:p>
    <w:p>
      <w:pPr>
        <w:pStyle w:val="BodyText"/>
      </w:pPr>
      <w:r>
        <w:t xml:space="preserve">Voor het geregistreerde</w:t>
      </w:r>
      <w:r>
        <w:t xml:space="preserve"> </w:t>
      </w:r>
      <w:r>
        <w:rPr>
          <w:bCs/>
          <w:b/>
        </w:rPr>
        <w:t xml:space="preserve">afamelanotide</w:t>
      </w:r>
      <w:r>
        <w:t xml:space="preserve"> </w:t>
      </w:r>
      <w:r>
        <w:t xml:space="preserve">zijn er systematischere gegevens. In een studie met 15 behandelden en 103 moedervlekken waren onder de dermatoscoop tijdelijke veranderingen te zien die na een jaar waren teruggegaan; aanwijzingen voor kwaadaardigheid of nieuwe moedervlekken werden niet gevonden (Arisi 2021, PMID 33721252). Met</w:t>
      </w:r>
      <w:r>
        <w:t xml:space="preserve"> </w:t>
      </w:r>
      <w:r>
        <w:rPr>
          <w:bCs/>
          <w:b/>
        </w:rPr>
        <w:t xml:space="preserve">setmelanotide</w:t>
      </w:r>
      <w:r>
        <w:t xml:space="preserve"> </w:t>
      </w:r>
      <w:r>
        <w:t xml:space="preserve">traden in een observatie over maximaal 46 maanden geen kwaadaardige huidveranderingen op (Kanti 2021, PMID 34058738). Deze gegevens zijn geruststellend, maar klein en kort in verhouding tot de ontwikkelingstijd van een melanoom. De productinformaties schrijven regelmatige huidcontroles voor. Op Melanotan II zijn ze niet over te dragen: een andere stof, ongeteste producten, vaak gecombineerd met uv-straling.</w:t>
      </w:r>
    </w:p>
    <w:bookmarkEnd w:id="989"/>
    <w:bookmarkStart w:id="990" w:name="glp-1-en-de-c-cellen-van-de-schildklier"/>
    <w:p>
      <w:pPr>
        <w:pStyle w:val="Heading3"/>
      </w:pPr>
      <w:r>
        <w:t xml:space="preserve">GLP-1 en de C-cellen van de schildklier</w:t>
      </w:r>
    </w:p>
    <w:p>
      <w:pPr>
        <w:pStyle w:val="FirstParagraph"/>
      </w:pPr>
      <w:r>
        <w:t xml:space="preserve">Bij ratten en muizen leidden GLP-1-receptoragonisten in langetermijnproeven tot woekeringen en tumoren van de C-cellen van de schildklier. Het mechanisme is goed begrepen: de C-cellen van knaagdieren dragen de GLP-1-receptor; activering ervan verhoogt de afgifte van calcitonine en de celdeling. Bij mensen en apen komt de receptor op de C-cellen duidelijk minder voor. Apen die 20 maanden lang liraglutide kregen in een meer dan 60 keer hogere concentratie dan bij de mens, ontwikkelden geen C-celwoekering (Bjerre Knudsen 2010, PMID 20203154).</w:t>
      </w:r>
    </w:p>
    <w:p>
      <w:pPr>
        <w:pStyle w:val="BodyText"/>
      </w:pPr>
      <w:r>
        <w:t xml:space="preserve">Helemaal uitgesloten is een effect bij de mens daarmee niet. In menselijk schildklierweefsel vond een onderzoek de GLP-1-receptor in alle monsters van medullaire schildkliercarcinomen en C-celwoekeringen, in 18% van de papillaire carcinomen en in een deel van de C-cellen van gezonde schildklieren (Gier 2012, PMID 22031513).</w:t>
      </w:r>
    </w:p>
    <w:p>
      <w:pPr>
        <w:pStyle w:val="BodyText"/>
      </w:pPr>
      <w:r>
        <w:t xml:space="preserve">De studies bij mensen geven geen eenduidig beeld:</w:t>
      </w:r>
    </w:p>
    <w:p>
      <w:pPr>
        <w:numPr>
          <w:ilvl w:val="0"/>
          <w:numId w:val="1339"/>
        </w:numPr>
        <w:pStyle w:val="Compact"/>
      </w:pPr>
      <w:r>
        <w:t xml:space="preserve">In de studie LEADER steeg calcitonine met liraglutide over maximaal vijf jaar niet, en er traden geen medullaire carcinomen op (Hegedüs 2018, PMID 29279300).</w:t>
      </w:r>
    </w:p>
    <w:p>
      <w:pPr>
        <w:numPr>
          <w:ilvl w:val="0"/>
          <w:numId w:val="1339"/>
        </w:numPr>
        <w:pStyle w:val="Compact"/>
      </w:pPr>
      <w:r>
        <w:t xml:space="preserve">Een Franse patiënt-controlestudie met 2.562 gevallen vond na een tot drie jaar behandeling een verhoogd risico op schildklierkanker in totaal (hazard ratio 1,58) en op het medullaire carcinoom (1,78) (Bezin 2023, PMID 36356111).</w:t>
      </w:r>
    </w:p>
    <w:p>
      <w:pPr>
        <w:numPr>
          <w:ilvl w:val="0"/>
          <w:numId w:val="1339"/>
        </w:numPr>
        <w:pStyle w:val="Compact"/>
      </w:pPr>
      <w:r>
        <w:t xml:space="preserve">Een Scandinavische cohortstudie met 145.410 personen met GLP-1-receptoragonisten vond geen verhoogd risico (hazard ratio 0,93; 1,33 tegenover 1,46 gevallen per 10.000 persoonsjaren). Voor het zeldzame medullaire carcinoom was de schatting zeer onzeker (hazard ratio 1,19; betrouwbaarheidsinterval 0,37 tot 3,86) (Pasternak 2024, PMID 38683947).</w:t>
      </w:r>
    </w:p>
    <w:p>
      <w:pPr>
        <w:numPr>
          <w:ilvl w:val="0"/>
          <w:numId w:val="1339"/>
        </w:numPr>
        <w:pStyle w:val="Compact"/>
      </w:pPr>
      <w:r>
        <w:t xml:space="preserve">Een meta-analyse van 50 gerandomiseerde studies met een duur van minstens een jaar liet een signaal voor schildklierkanker zien (odds ratio 1,55), dat in langere studies duidelijker was (Silverii 2025, PMID 40437949).</w:t>
      </w:r>
    </w:p>
    <w:p>
      <w:pPr>
        <w:pStyle w:val="FirstParagraph"/>
      </w:pPr>
      <w:r>
        <w:t xml:space="preserve">Hoe valt dat met elkaar te rijmen? Een deel van het signaal zou kunnen komen door vaker onderzoek: wie wegens diabetes of obesitas nauw wordt gevolgd, krijgt vaker een echografie waarbij kleine, onschuldige papillaire carcinomen worden ontdekt. Een klein echt risico valt echter niet uit te sluiten. Voor mensen met een medullair schildkliercarcinoom in de eigen of familiaire voorgeschiedenis of met het MEN-2-syndroom geldt daarom nog steeds een contra-indicatie (stand 2026, actuele situatie controleren). Zie hoofdstuk Liraglutide.</w:t>
      </w:r>
    </w:p>
    <w:bookmarkEnd w:id="990"/>
    <w:bookmarkStart w:id="991" w:name="alvleesklier"/>
    <w:p>
      <w:pPr>
        <w:pStyle w:val="Heading3"/>
      </w:pPr>
      <w:r>
        <w:t xml:space="preserve">Alvleesklier</w:t>
      </w:r>
    </w:p>
    <w:p>
      <w:pPr>
        <w:pStyle w:val="FirstParagraph"/>
      </w:pPr>
      <w:r>
        <w:t xml:space="preserve">Na de vroege meldingen van alvleesklierontstekingen met exenatide en liraglutide werd ook een verhoogd risico op alvleesklierkanker gevreesd. De gegevens hebben dat tot nu toe niet bevestigd. Een meta-analyse van 62 gerandomiseerde studies vond geen vaststaand verhoogd risico (relatief risico 1,30; betrouwbaarheidsinterval 0,86 tot 1,97); in een subgroep van studies met bijkomende geneesmiddelen was het verhoogd, zonder bijkomende geneesmiddelen niet (Wen 2025, PMID 40988099). De auteurs wijzen erop dat veel studies zonder één enkele gebeurtenis helemaal niet in de berekening werden meegenomen. In een groot Amerikaans cohortonderzoek kwam alvleesklierkanker met GLP-1-receptoragonisten zelfs minder vaak voor dan met insuline (hazard ratio 0,41) (Wang 2024, PMID 38967919) – waarbij insuline vaak wordt ingezet bij langer bestaande, ernstigere diabetes.</w:t>
      </w:r>
    </w:p>
    <w:p>
      <w:pPr>
        <w:pStyle w:val="BodyText"/>
      </w:pPr>
      <w:r>
        <w:t xml:space="preserve">Voor neuro-endocriene tumoren, een zeldzame groep tumoren die onder meer in de alvleesklier ontstaan en deels de GLP-1-receptor dragen, concludeert een overzichtsartikel dat de beschikbare gegevens geen algemene stijging laten zien, maar dat er belangrijke lacunes zijn, bijvoorbeeld bij erfelijke aanleg (Rajan 2026, PMID 42541759).</w:t>
      </w:r>
    </w:p>
    <w:bookmarkEnd w:id="991"/>
    <w:bookmarkStart w:id="992" w:name="Xeab30c1631a4e47a7f7b502b64f5f14f0c35928"/>
    <w:p>
      <w:pPr>
        <w:pStyle w:val="Heading3"/>
      </w:pPr>
      <w:r>
        <w:t xml:space="preserve">Wat nieuwe meta-analyses en grote cohorten over GLP-1 en kanker laten zien</w:t>
      </w:r>
    </w:p>
    <w:p>
      <w:pPr>
        <w:pStyle w:val="FirstParagraph"/>
      </w:pPr>
      <w:r>
        <w:t xml:space="preserve">Met de brede verspreiding van de GLP-1-geneesmiddelen zijn sinds 2024 meerdere zeer grote analyses verschenen. Ze schetsen een overwegend geruststellend, maar op afzonderlijke punten onduidelijk beeld.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Gegevens</w:t>
            </w:r>
          </w:p>
        </w:tc>
        <w:tc>
          <w:tcPr/>
          <w:p>
            <w:pPr>
              <w:pStyle w:val="Compact"/>
              <w:jc w:val="left"/>
            </w:pPr>
            <w:r>
              <w:t xml:space="preserve">Resultaat kanker in totaal</w:t>
            </w:r>
          </w:p>
        </w:tc>
        <w:tc>
          <w:tcPr/>
          <w:p>
            <w:pPr>
              <w:pStyle w:val="Compact"/>
              <w:jc w:val="left"/>
            </w:pPr>
            <w:r>
              <w:t xml:space="preserve">Opvallende bevindingen</w:t>
            </w:r>
          </w:p>
        </w:tc>
      </w:tr>
      <w:tr>
        <w:tc>
          <w:tcPr/>
          <w:p>
            <w:pPr>
              <w:pStyle w:val="Compact"/>
              <w:jc w:val="left"/>
            </w:pPr>
            <w:r>
              <w:t xml:space="preserve">Silverii 2025, PMID 40437949</w:t>
            </w:r>
          </w:p>
        </w:tc>
        <w:tc>
          <w:tcPr/>
          <w:p>
            <w:pPr>
              <w:pStyle w:val="Compact"/>
              <w:jc w:val="left"/>
            </w:pPr>
            <w:r>
              <w:t xml:space="preserve">50 RCT’s, min. 52 weken</w:t>
            </w:r>
          </w:p>
        </w:tc>
        <w:tc>
          <w:tcPr/>
          <w:p>
            <w:pPr>
              <w:pStyle w:val="Compact"/>
              <w:jc w:val="left"/>
            </w:pPr>
            <w:r>
              <w:t xml:space="preserve">geen verschil (odds ratio 1,05)</w:t>
            </w:r>
          </w:p>
        </w:tc>
        <w:tc>
          <w:tcPr/>
          <w:p>
            <w:pPr>
              <w:pStyle w:val="Compact"/>
              <w:jc w:val="left"/>
            </w:pPr>
            <w:r>
              <w:t xml:space="preserve">schildklier 1,55; baarmoeder bij obesitas 0,24</w:t>
            </w:r>
          </w:p>
        </w:tc>
      </w:tr>
      <w:tr>
        <w:tc>
          <w:tcPr/>
          <w:p>
            <w:pPr>
              <w:pStyle w:val="Compact"/>
              <w:jc w:val="left"/>
            </w:pPr>
            <w:r>
              <w:t xml:space="preserve">Wang 2024, PMID 38967919</w:t>
            </w:r>
          </w:p>
        </w:tc>
        <w:tc>
          <w:tcPr/>
          <w:p>
            <w:pPr>
              <w:pStyle w:val="Compact"/>
              <w:jc w:val="left"/>
            </w:pPr>
            <w:r>
              <w:t xml:space="preserve">1.651.452 mensen met diabetes type 2</w:t>
            </w:r>
          </w:p>
        </w:tc>
        <w:tc>
          <w:tcPr/>
          <w:p>
            <w:pPr>
              <w:pStyle w:val="Compact"/>
              <w:jc w:val="left"/>
            </w:pPr>
            <w:r>
              <w:t xml:space="preserve">vs. insuline minder bij 10 van 13 kankersoorten</w:t>
            </w:r>
          </w:p>
        </w:tc>
        <w:tc>
          <w:tcPr/>
          <w:p>
            <w:pPr>
              <w:pStyle w:val="Compact"/>
              <w:jc w:val="left"/>
            </w:pPr>
            <w:r>
              <w:t xml:space="preserve">vs. metformine meer nierkanker (1,54)</w:t>
            </w:r>
          </w:p>
        </w:tc>
      </w:tr>
      <w:tr>
        <w:tc>
          <w:tcPr/>
          <w:p>
            <w:pPr>
              <w:pStyle w:val="Compact"/>
              <w:jc w:val="left"/>
            </w:pPr>
            <w:r>
              <w:t xml:space="preserve">Dai 2025, PMID 40839273</w:t>
            </w:r>
          </w:p>
        </w:tc>
        <w:tc>
          <w:tcPr/>
          <w:p>
            <w:pPr>
              <w:pStyle w:val="Compact"/>
              <w:jc w:val="left"/>
            </w:pPr>
            <w:r>
              <w:t xml:space="preserve">86.632 volwassenen met obesitas</w:t>
            </w:r>
          </w:p>
        </w:tc>
        <w:tc>
          <w:tcPr/>
          <w:p>
            <w:pPr>
              <w:pStyle w:val="Compact"/>
              <w:jc w:val="left"/>
            </w:pPr>
            <w:r>
              <w:t xml:space="preserve">minder kanker (hazard ratio 0,83)</w:t>
            </w:r>
          </w:p>
        </w:tc>
        <w:tc>
          <w:tcPr/>
          <w:p>
            <w:pPr>
              <w:pStyle w:val="Compact"/>
              <w:jc w:val="left"/>
            </w:pPr>
            <w:r>
              <w:t xml:space="preserve">nierkanker grenswaardig verhoogd (1,38)</w:t>
            </w:r>
          </w:p>
        </w:tc>
      </w:tr>
      <w:tr>
        <w:tc>
          <w:tcPr/>
          <w:p>
            <w:pPr>
              <w:pStyle w:val="Compact"/>
              <w:jc w:val="left"/>
            </w:pPr>
            <w:r>
              <w:t xml:space="preserve">Hsu 2026, PMID 42252247</w:t>
            </w:r>
          </w:p>
        </w:tc>
        <w:tc>
          <w:tcPr/>
          <w:p>
            <w:pPr>
              <w:pStyle w:val="Compact"/>
              <w:jc w:val="left"/>
            </w:pPr>
            <w:r>
              <w:t xml:space="preserve">161.798 volwassenen met obesitas zonder diabetes</w:t>
            </w:r>
          </w:p>
        </w:tc>
        <w:tc>
          <w:tcPr/>
          <w:p>
            <w:pPr>
              <w:pStyle w:val="Compact"/>
              <w:jc w:val="left"/>
            </w:pPr>
            <w:r>
              <w:t xml:space="preserve">minder overgewichtgerelateerde kankersoorten (0,59)</w:t>
            </w:r>
          </w:p>
        </w:tc>
        <w:tc>
          <w:tcPr/>
          <w:p>
            <w:pPr>
              <w:pStyle w:val="Compact"/>
              <w:jc w:val="left"/>
            </w:pPr>
            <w:r>
              <w:t xml:space="preserve">follow-up mediaan 2 jaar</w:t>
            </w:r>
          </w:p>
        </w:tc>
      </w:tr>
    </w:tbl>
    <w:p>
      <w:pPr>
        <w:pStyle w:val="BodyText"/>
      </w:pPr>
      <w:r>
        <w:t xml:space="preserve">Hoe moeten deze cijfers worden gelezen?</w:t>
      </w:r>
    </w:p>
    <w:p>
      <w:pPr>
        <w:numPr>
          <w:ilvl w:val="0"/>
          <w:numId w:val="1340"/>
        </w:numPr>
        <w:pStyle w:val="Compact"/>
      </w:pPr>
      <w:r>
        <w:rPr>
          <w:bCs/>
          <w:b/>
        </w:rPr>
        <w:t xml:space="preserve">De gerandomiseerde studies</w:t>
      </w:r>
      <w:r>
        <w:t xml:space="preserve"> </w:t>
      </w:r>
      <w:r>
        <w:t xml:space="preserve">laten in totaal geen invloed op het kankerrisico zien. Dat is het betrouwbaarste resultaat, maar de studies zijn te kort voor kanker.</w:t>
      </w:r>
    </w:p>
    <w:p>
      <w:pPr>
        <w:numPr>
          <w:ilvl w:val="0"/>
          <w:numId w:val="1340"/>
        </w:numPr>
        <w:pStyle w:val="Compact"/>
      </w:pPr>
      <w:r>
        <w:rPr>
          <w:bCs/>
          <w:b/>
        </w:rPr>
        <w:t xml:space="preserve">De grote observationele studies</w:t>
      </w:r>
      <w:r>
        <w:t xml:space="preserve"> </w:t>
      </w:r>
      <w:r>
        <w:t xml:space="preserve">laten eerder minder kanker met GLP-1-geneesmiddelen zien. Dat past bij het idee dat gewichtsverlies overgewichtgerelateerde kankersoorten vermindert. Het kan echter ook komen doordat mensen die zulke geneesmiddelen krijgen, in veel opzichten verschillen van de vergelijkingsgroepen. Een follow-up van twee jaar is voor een uitspraak over kankerpreventie zeer kort.</w:t>
      </w:r>
    </w:p>
    <w:p>
      <w:pPr>
        <w:numPr>
          <w:ilvl w:val="0"/>
          <w:numId w:val="1340"/>
        </w:numPr>
        <w:pStyle w:val="Compact"/>
      </w:pPr>
      <w:r>
        <w:rPr>
          <w:bCs/>
          <w:b/>
        </w:rPr>
        <w:t xml:space="preserve">Nierkanker</w:t>
      </w:r>
      <w:r>
        <w:t xml:space="preserve"> </w:t>
      </w:r>
      <w:r>
        <w:t xml:space="preserve">duikt in twee cohortstudies op als mogelijk signaal. Of dat een echt effect is, moet nog blijken.</w:t>
      </w:r>
    </w:p>
    <w:p>
      <w:pPr>
        <w:numPr>
          <w:ilvl w:val="0"/>
          <w:numId w:val="1340"/>
        </w:numPr>
        <w:pStyle w:val="Compact"/>
      </w:pPr>
      <w:r>
        <w:rPr>
          <w:bCs/>
          <w:b/>
        </w:rPr>
        <w:t xml:space="preserve">Schildklierkanker</w:t>
      </w:r>
      <w:r>
        <w:t xml:space="preserve"> </w:t>
      </w:r>
      <w:r>
        <w:t xml:space="preserve">blijft de open vraag, zoals hierboven beschreven.</w:t>
      </w:r>
    </w:p>
    <w:p>
      <w:pPr>
        <w:pStyle w:val="FirstParagraph"/>
      </w:pPr>
      <w:r>
        <w:t xml:space="preserve">Of GLP-1-geneesmiddelen werkelijk tegen kanker beschermen, valt met de beschikbare gegevens niet te zeggen. Voor de vraag of ze kanker veroorzaken, geldt volgens de huidige kennis: voor de meeste kankersoorten niet, voor schildklier en nieren nog niet definitief opgehelderd. Voor de nieuwe meervoudige agonisten zoals retatrutide, survodutide of mazdutide zijn er nog te weinig behandeljaren om eigen uitspraken te doen.</w:t>
      </w:r>
    </w:p>
    <w:bookmarkEnd w:id="992"/>
    <w:bookmarkStart w:id="993" w:name="het-belangrijkste-in-het-kort-5"/>
    <w:p>
      <w:pPr>
        <w:pStyle w:val="Heading3"/>
      </w:pPr>
      <w:r>
        <w:t xml:space="preserve">Het belangrijkste in het kort</w:t>
      </w:r>
    </w:p>
    <w:p>
      <w:pPr>
        <w:numPr>
          <w:ilvl w:val="0"/>
          <w:numId w:val="1341"/>
        </w:numPr>
        <w:pStyle w:val="Compact"/>
      </w:pPr>
      <w:r>
        <w:t xml:space="preserve">De beste gegevens over het kankerrisico zijn er uitgerekend voor de peptiden waarbij de zorg het minst gegrond lijkt: de geregistreerde GLP-1-geneesmiddelen. Voor de meeste kankersoorten laten ze geen verhoogd risico zien; het schildkliersignaal is onopgehelderd.</w:t>
      </w:r>
    </w:p>
    <w:p>
      <w:pPr>
        <w:numPr>
          <w:ilvl w:val="0"/>
          <w:numId w:val="1341"/>
        </w:numPr>
        <w:pStyle w:val="Compact"/>
      </w:pPr>
      <w:r>
        <w:t xml:space="preserve">Bij de groeihormoon-IGF-1-as is een matig verband tussen blijvend hogere IGF-1-spiegels en enkele kankersoorten goed aangetoond. Voor gezonde mensen die IGF-1 jarenlang kunstmatig verhogen, ontbreken studies.</w:t>
      </w:r>
    </w:p>
    <w:p>
      <w:pPr>
        <w:numPr>
          <w:ilvl w:val="0"/>
          <w:numId w:val="1341"/>
        </w:numPr>
        <w:pStyle w:val="Compact"/>
      </w:pPr>
      <w:r>
        <w:t xml:space="preserve">Voor BPC-157, TB-500, Epitalon, humanine, Dihexa en vergelijkbare stoffen zijn er alleen theoretische en dierexperimentele aanwijzingen – in beide richtingen. Langetermijngegevens over het ontstaan van kanker bestaan niet.</w:t>
      </w:r>
    </w:p>
    <w:p>
      <w:pPr>
        <w:numPr>
          <w:ilvl w:val="0"/>
          <w:numId w:val="1341"/>
        </w:numPr>
        <w:pStyle w:val="Compact"/>
      </w:pPr>
      <w:r>
        <w:t xml:space="preserve">Bij Melanotan II zijn er casusbeschrijvingen van melanomen, maar geen frequentiegegevens. Bij het geregistreerde afamelanotide vonden kleine studies geen kwaadaardige veranderingen.</w:t>
      </w:r>
    </w:p>
    <w:p>
      <w:pPr>
        <w:numPr>
          <w:ilvl w:val="0"/>
          <w:numId w:val="1341"/>
        </w:numPr>
        <w:pStyle w:val="Compact"/>
      </w:pPr>
      <w:r>
        <w:t xml:space="preserve">Voor mensen met een actieve of eerdere kanker zijn alle groeibevorderende peptiden zonder medische begeleiding bijzonder problematisch.</w:t>
      </w:r>
    </w:p>
    <w:bookmarkEnd w:id="993"/>
    <w:bookmarkEnd w:id="994"/>
    <w:bookmarkStart w:id="1002" w:name="immuunreacties-en-antistoffen"/>
    <w:p>
      <w:pPr>
        <w:pStyle w:val="Heading2"/>
      </w:pPr>
      <w:r>
        <w:t xml:space="preserve">Immuunreacties en antistoffen</w:t>
      </w:r>
    </w:p>
    <w:p>
      <w:pPr>
        <w:pStyle w:val="FirstParagraph"/>
      </w:pPr>
      <w:r>
        <w:t xml:space="preserve">Het immuunsysteem heeft als taak vreemde stoffen te herkennen. Peptiden bevinden zich daarbij op een grens: veel ervan zijn nagebouwd naar lichaamseigen signaalstoffen, maar chemisch gewijzigd zodat ze langer werken. Andere komen van dieren, van bacteriën of uit het laboratorium. Daar komt bij dat de meeste peptiden onder de huid worden geïnjecteerd – op een plek waar bijzonder veel afweercellen op indringers wachten.</w:t>
      </w:r>
    </w:p>
    <w:p>
      <w:pPr>
        <w:pStyle w:val="BodyText"/>
      </w:pPr>
      <w:r>
        <w:t xml:space="preserve">Immuunreacties op peptiden lopen uiteen van onschuldige roodheid op de injectieplaats via antistoffen die men alleen in het laboratorium opmerkt, tot zeldzame levensbedreigende allergische reacties. Dit hoofdstuk ordent deze reacties, vergelijkt de peptiden en laat zien welke rol verontreinigingen spelen.</w:t>
      </w:r>
    </w:p>
    <w:bookmarkStart w:id="995" w:name="Xe777d2e8e2ecc0a64de98fc1cdf973f0dc51da0"/>
    <w:p>
      <w:pPr>
        <w:pStyle w:val="Heading3"/>
      </w:pPr>
      <w:r>
        <w:t xml:space="preserve">Waarom peptiden een immuunreactie kunnen uitlokken</w:t>
      </w:r>
    </w:p>
    <w:p>
      <w:pPr>
        <w:pStyle w:val="FirstParagraph"/>
      </w:pPr>
      <w:r>
        <w:t xml:space="preserve">Of het immuunsysteem een peptide als vreemd beschouwt, hangt af van meerdere factoren:</w:t>
      </w:r>
    </w:p>
    <w:p>
      <w:pPr>
        <w:numPr>
          <w:ilvl w:val="0"/>
          <w:numId w:val="1342"/>
        </w:numPr>
        <w:pStyle w:val="Compact"/>
      </w:pPr>
      <w:r>
        <w:rPr>
          <w:bCs/>
          <w:b/>
        </w:rPr>
        <w:t xml:space="preserve">Herkomst en gelijkenis met het lichaamseigene.</w:t>
      </w:r>
      <w:r>
        <w:t xml:space="preserve"> </w:t>
      </w:r>
      <w:r>
        <w:t xml:space="preserve">Exenatide werd ontwikkeld uit een peptide in het speeksel van een hagedis en verschilt duidelijk van het menselijke GLP-1. Liraglutide en semaglutide zijn daarentegen grotendeels naar het menselijke hormoon nagebouwd.</w:t>
      </w:r>
    </w:p>
    <w:p>
      <w:pPr>
        <w:numPr>
          <w:ilvl w:val="0"/>
          <w:numId w:val="1342"/>
        </w:numPr>
        <w:pStyle w:val="Compact"/>
      </w:pPr>
      <w:r>
        <w:rPr>
          <w:bCs/>
          <w:b/>
        </w:rPr>
        <w:t xml:space="preserve">Grootte en wijzigingen.</w:t>
      </w:r>
      <w:r>
        <w:t xml:space="preserve"> </w:t>
      </w:r>
      <w:r>
        <w:t xml:space="preserve">Langere moleculen, aangehechte vetzuren, verbindingsstukken of bestanddelen van antistoffen (zoals bij maridebart cafraglutide) bieden meer aangrijpingspunten.</w:t>
      </w:r>
    </w:p>
    <w:p>
      <w:pPr>
        <w:numPr>
          <w:ilvl w:val="0"/>
          <w:numId w:val="1342"/>
        </w:numPr>
        <w:pStyle w:val="Compact"/>
      </w:pPr>
      <w:r>
        <w:rPr>
          <w:bCs/>
          <w:b/>
        </w:rPr>
        <w:t xml:space="preserve">Klontering.</w:t>
      </w:r>
      <w:r>
        <w:t xml:space="preserve"> </w:t>
      </w:r>
      <w:r>
        <w:t xml:space="preserve">Peptiden kunnen samenklonteren tot grotere aggregaten die het immuunsysteem gemakkelijker herkent.</w:t>
      </w:r>
    </w:p>
    <w:p>
      <w:pPr>
        <w:numPr>
          <w:ilvl w:val="0"/>
          <w:numId w:val="1342"/>
        </w:numPr>
        <w:pStyle w:val="Compact"/>
      </w:pPr>
      <w:r>
        <w:rPr>
          <w:bCs/>
          <w:b/>
        </w:rPr>
        <w:t xml:space="preserve">Verontreinigingen.</w:t>
      </w:r>
      <w:r>
        <w:t xml:space="preserve"> </w:t>
      </w:r>
      <w:r>
        <w:t xml:space="preserve">Al kleine hoeveelheden foutief geproduceerde peptidefragmenten of bacteriële bestanddelen kunnen een afweerreactie in gang zetten (meer hierover hieronder).</w:t>
      </w:r>
    </w:p>
    <w:p>
      <w:pPr>
        <w:numPr>
          <w:ilvl w:val="0"/>
          <w:numId w:val="1342"/>
        </w:numPr>
        <w:pStyle w:val="Compact"/>
      </w:pPr>
      <w:r>
        <w:rPr>
          <w:bCs/>
          <w:b/>
        </w:rPr>
        <w:t xml:space="preserve">Frequentie en duur van het gebruik.</w:t>
      </w:r>
      <w:r>
        <w:t xml:space="preserve"> </w:t>
      </w:r>
      <w:r>
        <w:t xml:space="preserve">Wie een peptide maandenlang herhaaldelijk injecteert, geeft het immuunsysteem veel gelegenheden om erop te reageren.</w:t>
      </w:r>
    </w:p>
    <w:p>
      <w:pPr>
        <w:pStyle w:val="FirstParagraph"/>
      </w:pPr>
      <w:r>
        <w:t xml:space="preserve">Voor de beoordeling van antistoffen tegen geneesmiddelen – deskundigen spreken van anti-drug-antistoffen (ADA) – heeft zich een eenduidige terminologie gevestigd (Shankar 2014, PMID 24764037). Belangrijk zijn vier vragen: hoeveel behandelden vormen antistoffen? Hoe groot is de hoeveelheid (de titer)? Remmen de antistoffen de werking (neutraliserende antistoffen)? En reageren ze ook met het lichaamseigen hormoon (kruisreactiviteit)? Het laatste punt zou het zorgwekkendst zijn: antistoffen die niet alleen het geneesmiddel, maar ook het eigen hormoon blokkeren, zouden een blijvende stoornis kunnen achterlaten.</w:t>
      </w:r>
    </w:p>
    <w:bookmarkEnd w:id="995"/>
    <w:bookmarkStart w:id="996" w:name="X2d1109d40a43ebaf32494fe3346e51e3111d5cf"/>
    <w:p>
      <w:pPr>
        <w:pStyle w:val="Heading3"/>
      </w:pPr>
      <w:r>
        <w:t xml:space="preserve">Anti-drug-antistoffen: wat de studies laten zien</w:t>
      </w:r>
    </w:p>
    <w:p>
      <w:pPr>
        <w:pStyle w:val="FirstParagraph"/>
      </w:pPr>
      <w:r>
        <w:t xml:space="preserve">Voor de geregistreerde GLP-1-geneesmiddelen zijn systematische onderzoeken beschikbaar. Ze laten zien hoe verschillend vaak antistoffen ontstaan – en dat een hoge frequentie niet automatisch een klinisch probleem betekent.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Werkzame stof</w:t>
            </w:r>
          </w:p>
        </w:tc>
        <w:tc>
          <w:tcPr/>
          <w:p>
            <w:pPr>
              <w:pStyle w:val="Compact"/>
              <w:jc w:val="left"/>
            </w:pPr>
            <w:r>
              <w:t xml:space="preserve">Antistoffen bij</w:t>
            </w:r>
          </w:p>
        </w:tc>
        <w:tc>
          <w:tcPr/>
          <w:p>
            <w:pPr>
              <w:pStyle w:val="Compact"/>
              <w:jc w:val="left"/>
            </w:pPr>
            <w:r>
              <w:t xml:space="preserve">Gevolgen</w:t>
            </w:r>
          </w:p>
        </w:tc>
        <w:tc>
          <w:tcPr/>
          <w:p>
            <w:pPr>
              <w:pStyle w:val="Compact"/>
              <w:jc w:val="left"/>
            </w:pPr>
            <w:r>
              <w:t xml:space="preserve">Bron</w:t>
            </w:r>
          </w:p>
        </w:tc>
      </w:tr>
      <w:tr>
        <w:tc>
          <w:tcPr/>
          <w:p>
            <w:pPr>
              <w:pStyle w:val="Compact"/>
              <w:jc w:val="left"/>
            </w:pPr>
            <w:r>
              <w:t xml:space="preserve">Exenatide</w:t>
            </w:r>
          </w:p>
        </w:tc>
        <w:tc>
          <w:tcPr/>
          <w:p>
            <w:pPr>
              <w:pStyle w:val="Compact"/>
              <w:jc w:val="left"/>
            </w:pPr>
            <w:r>
              <w:t xml:space="preserve">61% na 26 weken (LEAD-6)</w:t>
            </w:r>
          </w:p>
        </w:tc>
        <w:tc>
          <w:tcPr/>
          <w:p>
            <w:pPr>
              <w:pStyle w:val="Compact"/>
              <w:jc w:val="left"/>
            </w:pPr>
            <w:r>
              <w:t xml:space="preserve">hoge titers: geringere HbA1c-daling</w:t>
            </w:r>
          </w:p>
        </w:tc>
        <w:tc>
          <w:tcPr/>
          <w:p>
            <w:pPr>
              <w:pStyle w:val="Compact"/>
              <w:jc w:val="left"/>
            </w:pPr>
            <w:r>
              <w:t xml:space="preserve">Buse 2011, PMID 21450987</w:t>
            </w:r>
          </w:p>
        </w:tc>
      </w:tr>
      <w:tr>
        <w:tc>
          <w:tcPr/>
          <w:p>
            <w:pPr>
              <w:pStyle w:val="Compact"/>
              <w:jc w:val="left"/>
            </w:pPr>
            <w:r>
              <w:t xml:space="preserve">Liraglutide</w:t>
            </w:r>
          </w:p>
        </w:tc>
        <w:tc>
          <w:tcPr/>
          <w:p>
            <w:pPr>
              <w:pStyle w:val="Compact"/>
              <w:jc w:val="left"/>
            </w:pPr>
            <w:r>
              <w:t xml:space="preserve">8,3 tot 8,7%, lage titers</w:t>
            </w:r>
          </w:p>
        </w:tc>
        <w:tc>
          <w:tcPr/>
          <w:p>
            <w:pPr>
              <w:pStyle w:val="Compact"/>
              <w:jc w:val="left"/>
            </w:pPr>
            <w:r>
              <w:t xml:space="preserve">geen verzwakking van de werking</w:t>
            </w:r>
          </w:p>
        </w:tc>
        <w:tc>
          <w:tcPr/>
          <w:p>
            <w:pPr>
              <w:pStyle w:val="Compact"/>
              <w:jc w:val="left"/>
            </w:pPr>
            <w:r>
              <w:t xml:space="preserve">Buse 2011, PMID 21450987</w:t>
            </w:r>
          </w:p>
        </w:tc>
      </w:tr>
      <w:tr>
        <w:tc>
          <w:tcPr/>
          <w:p>
            <w:pPr>
              <w:pStyle w:val="Compact"/>
              <w:jc w:val="left"/>
            </w:pPr>
            <w:r>
              <w:t xml:space="preserve">Dulaglutide</w:t>
            </w:r>
          </w:p>
        </w:tc>
        <w:tc>
          <w:tcPr/>
          <w:p>
            <w:pPr>
              <w:pStyle w:val="Compact"/>
              <w:jc w:val="left"/>
            </w:pPr>
            <w:r>
              <w:t xml:space="preserve">1,6%, neutraliserend 0,9%</w:t>
            </w:r>
          </w:p>
        </w:tc>
        <w:tc>
          <w:tcPr/>
          <w:p>
            <w:pPr>
              <w:pStyle w:val="Compact"/>
              <w:jc w:val="left"/>
            </w:pPr>
            <w:r>
              <w:t xml:space="preserve">geen overgevoeligheid bij antistofpositieven</w:t>
            </w:r>
          </w:p>
        </w:tc>
        <w:tc>
          <w:tcPr/>
          <w:p>
            <w:pPr>
              <w:pStyle w:val="Compact"/>
              <w:jc w:val="left"/>
            </w:pPr>
            <w:r>
              <w:t xml:space="preserve">Milicevic 2016, PMID 26847401</w:t>
            </w:r>
          </w:p>
        </w:tc>
      </w:tr>
      <w:tr>
        <w:tc>
          <w:tcPr/>
          <w:p>
            <w:pPr>
              <w:pStyle w:val="Compact"/>
              <w:jc w:val="left"/>
            </w:pPr>
            <w:r>
              <w:t xml:space="preserve">Tirzepatide</w:t>
            </w:r>
          </w:p>
        </w:tc>
        <w:tc>
          <w:tcPr/>
          <w:p>
            <w:pPr>
              <w:pStyle w:val="Compact"/>
              <w:jc w:val="left"/>
            </w:pPr>
            <w:r>
              <w:t xml:space="preserve">51,1%, neutraliserend ongeveer 2%</w:t>
            </w:r>
          </w:p>
        </w:tc>
        <w:tc>
          <w:tcPr/>
          <w:p>
            <w:pPr>
              <w:pStyle w:val="Compact"/>
              <w:jc w:val="left"/>
            </w:pPr>
            <w:r>
              <w:t xml:space="preserve">geen verzwakking van de werking; meer huid- en allergische reacties</w:t>
            </w:r>
          </w:p>
        </w:tc>
        <w:tc>
          <w:tcPr/>
          <w:p>
            <w:pPr>
              <w:pStyle w:val="Compact"/>
              <w:jc w:val="left"/>
            </w:pPr>
            <w:r>
              <w:t xml:space="preserve">Mullins 2024, PMID 37700637</w:t>
            </w:r>
          </w:p>
        </w:tc>
      </w:tr>
      <w:tr>
        <w:tc>
          <w:tcPr/>
          <w:p>
            <w:pPr>
              <w:pStyle w:val="Compact"/>
              <w:jc w:val="left"/>
            </w:pPr>
            <w:r>
              <w:t xml:space="preserve">Sermoreline</w:t>
            </w:r>
          </w:p>
        </w:tc>
        <w:tc>
          <w:tcPr/>
          <w:p>
            <w:pPr>
              <w:pStyle w:val="Compact"/>
              <w:jc w:val="left"/>
            </w:pPr>
            <w:r>
              <w:t xml:space="preserve">14 van 18 kinderen</w:t>
            </w:r>
          </w:p>
        </w:tc>
        <w:tc>
          <w:tcPr/>
          <w:p>
            <w:pPr>
              <w:pStyle w:val="Compact"/>
              <w:jc w:val="left"/>
            </w:pPr>
            <w:r>
              <w:t xml:space="preserve">geen herkenbare gevolgen</w:t>
            </w:r>
          </w:p>
        </w:tc>
        <w:tc>
          <w:tcPr/>
          <w:p>
            <w:pPr>
              <w:pStyle w:val="Compact"/>
              <w:jc w:val="left"/>
            </w:pPr>
            <w:r>
              <w:t xml:space="preserve">Ross 1987, PMID 2879138</w:t>
            </w:r>
          </w:p>
        </w:tc>
      </w:tr>
      <w:tr>
        <w:tc>
          <w:tcPr/>
          <w:p>
            <w:pPr>
              <w:pStyle w:val="Compact"/>
              <w:jc w:val="left"/>
            </w:pPr>
            <w:r>
              <w:t xml:space="preserve">ARA-290</w:t>
            </w:r>
          </w:p>
        </w:tc>
        <w:tc>
          <w:tcPr/>
          <w:p>
            <w:pPr>
              <w:pStyle w:val="Compact"/>
              <w:jc w:val="left"/>
            </w:pPr>
            <w:r>
              <w:t xml:space="preserve">geen in 12 weken</w:t>
            </w:r>
          </w:p>
        </w:tc>
        <w:tc>
          <w:tcPr/>
          <w:p>
            <w:pPr>
              <w:pStyle w:val="Compact"/>
              <w:jc w:val="left"/>
            </w:pPr>
            <w:r>
              <w:t xml:space="preserve">–</w:t>
            </w:r>
          </w:p>
        </w:tc>
        <w:tc>
          <w:tcPr/>
          <w:p>
            <w:pPr>
              <w:pStyle w:val="Compact"/>
              <w:jc w:val="left"/>
            </w:pPr>
            <w:r>
              <w:t xml:space="preserve">Lois 2020, PMID 32674280</w:t>
            </w:r>
          </w:p>
        </w:tc>
      </w:tr>
    </w:tbl>
    <w:p>
      <w:pPr>
        <w:pStyle w:val="BodyText"/>
      </w:pPr>
      <w:r>
        <w:rPr>
          <w:bCs/>
          <w:b/>
        </w:rPr>
        <w:t xml:space="preserve">Exenatide</w:t>
      </w:r>
      <w:r>
        <w:t xml:space="preserve"> </w:t>
      </w:r>
      <w:r>
        <w:t xml:space="preserve">is het schoolvoorbeeld van een peptide dat door zijn niet-menselijke herkomst vaak antistoffen oproept. In de studie LEAD-6 hadden na 26 weken 113 van de 185 behandelden antistoffen tegen exenatide; hoge antistofspiegels gingen samen met een significant geringere daling van de lange-termijnbloedsuiker. Na de overstap op liraglutide belemmerden deze antistoffen de verdere werking niet (Buse 2011, PMID 21450987).</w:t>
      </w:r>
    </w:p>
    <w:p>
      <w:pPr>
        <w:pStyle w:val="BodyText"/>
      </w:pPr>
      <w:r>
        <w:rPr>
          <w:bCs/>
          <w:b/>
        </w:rPr>
        <w:t xml:space="preserve">Tirzepatide</w:t>
      </w:r>
      <w:r>
        <w:t xml:space="preserve"> </w:t>
      </w:r>
      <w:r>
        <w:t xml:space="preserve">laat zien dat ook een naar de mens nagebouwd peptide vaak kan worden herkend. In zeven fase 3-studies met 5.025 evalueerbare deelnemers vormde 51,1% tijdens de behandeling antistoffen. Neutraliserende antistoffen tegen de werking op de GIP- respectievelijk GLP-1-receptor werden gevonden bij 1,9% en 2,1%, antistoffen die ook de lichaamseigen hormonen neutraliseerden bij minder dan 1%. Op bloedspiegels en werking had dat geen invloed. Antistofpositieve deelnemers kregen wel vaker overgevoeligheidsreacties en reacties op de injectieplaats, meestal licht tot matig (Mullins 2024, PMID 37700637).</w:t>
      </w:r>
    </w:p>
    <w:p>
      <w:pPr>
        <w:pStyle w:val="BodyText"/>
      </w:pPr>
      <w:r>
        <w:t xml:space="preserve">Voor de nieuwere werkzame stoffen – retatrutide, survodutide, mazdutide, cagrilintide, amycretine en het op antistoffen gebaseerde maridebart cafraglutide – zijn vergelijkbare samenvattende analyses nog niet gepubliceerd. Bij maridebart cafraglutide is dat bijzonder relevant, omdat antistofgeneesmiddelen een eigen immunogeniciteit kunnen hebben (hoofdstuk Maridebart cafraglutide).</w:t>
      </w:r>
    </w:p>
    <w:p>
      <w:pPr>
        <w:pStyle w:val="BodyText"/>
      </w:pPr>
      <w:r>
        <w:t xml:space="preserve">Voor de meeste grijze-marktpeptiden zijn er helemaal geen gegevens over antistoffen. Dat geldt voor BPC-157, TB-500, CJC-1295, ipamoreline, MOTS-c, humanine, Epitalon en vele andere. In de hoofdstukken over MOTS-c, humanine en FOXO4-DRI wordt erop gewezen dat antistoffen bij herhaalde injectie denkbaar zijn, maar nooit zijn onderzocht. Wie zulke stoffen maandenlang injecteert, kan dus niet weten of zijn lichaam antistoffen vormt en wat die teweegbrengen.</w:t>
      </w:r>
    </w:p>
    <w:bookmarkEnd w:id="996"/>
    <w:bookmarkStart w:id="997" w:name="reacties-op-de-injectieplaats"/>
    <w:p>
      <w:pPr>
        <w:pStyle w:val="Heading3"/>
      </w:pPr>
      <w:r>
        <w:t xml:space="preserve">Reacties op de injectieplaats</w:t>
      </w:r>
    </w:p>
    <w:p>
      <w:pPr>
        <w:pStyle w:val="FirstParagraph"/>
      </w:pPr>
      <w:r>
        <w:t xml:space="preserve">Roodheid, jeuk, zwelling, kleine blauwe plekken of voelbare knobbeltjes op de injectieplaats zijn de meest voorkomende immuun- en weefselreacties op geïnjecteerde peptiden. Een meta-analyse van 14 gerandomiseerde studies met 4.861 deelnemers vond met GLP-1-receptoragonisten een ongeveer drieënhalf keer zo hoog risico op zulke reacties als in de vergelijkingsgroepen (relatief risico 3,55). In de Amerikaanse meldingsdatabank vielen vooral exenatide en dulaglutide op met bloedingen op de injectieplaats (Taj 2026, PMID 41395692).</w:t>
      </w:r>
    </w:p>
    <w:p>
      <w:pPr>
        <w:pStyle w:val="BodyText"/>
      </w:pPr>
      <w:r>
        <w:t xml:space="preserve">De frequentie verschilt aanzienlijk tussen de peptiden: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Peptide</w:t>
            </w:r>
          </w:p>
        </w:tc>
        <w:tc>
          <w:tcPr/>
          <w:p>
            <w:pPr>
              <w:pStyle w:val="Compact"/>
              <w:jc w:val="left"/>
            </w:pPr>
            <w:r>
              <w:t xml:space="preserve">Reacties op de injectieplaats</w:t>
            </w:r>
          </w:p>
        </w:tc>
        <w:tc>
          <w:tcPr/>
          <w:p>
            <w:pPr>
              <w:pStyle w:val="Compact"/>
              <w:jc w:val="left"/>
            </w:pPr>
            <w:r>
              <w:t xml:space="preserve">Bron</w:t>
            </w:r>
          </w:p>
        </w:tc>
      </w:tr>
      <w:tr>
        <w:tc>
          <w:tcPr/>
          <w:p>
            <w:pPr>
              <w:pStyle w:val="Compact"/>
              <w:jc w:val="left"/>
            </w:pPr>
            <w:r>
              <w:t xml:space="preserve">Setmelanotide</w:t>
            </w:r>
          </w:p>
        </w:tc>
        <w:tc>
          <w:tcPr/>
          <w:p>
            <w:pPr>
              <w:pStyle w:val="Compact"/>
              <w:jc w:val="left"/>
            </w:pPr>
            <w:r>
              <w:t xml:space="preserve">96% (meta-analyse, 7 studies)</w:t>
            </w:r>
          </w:p>
        </w:tc>
        <w:tc>
          <w:tcPr/>
          <w:p>
            <w:pPr>
              <w:pStyle w:val="Compact"/>
              <w:jc w:val="left"/>
            </w:pPr>
            <w:r>
              <w:t xml:space="preserve">Sridharan 2026, PMID 39924461</w:t>
            </w:r>
          </w:p>
        </w:tc>
      </w:tr>
      <w:tr>
        <w:tc>
          <w:tcPr/>
          <w:p>
            <w:pPr>
              <w:pStyle w:val="Compact"/>
              <w:jc w:val="left"/>
            </w:pPr>
            <w:r>
              <w:t xml:space="preserve">Elamipretide (SS-31)</w:t>
            </w:r>
          </w:p>
        </w:tc>
        <w:tc>
          <w:tcPr/>
          <w:p>
            <w:pPr>
              <w:pStyle w:val="Compact"/>
              <w:jc w:val="left"/>
            </w:pPr>
            <w:r>
              <w:t xml:space="preserve">80%, meestal licht</w:t>
            </w:r>
          </w:p>
        </w:tc>
        <w:tc>
          <w:tcPr/>
          <w:p>
            <w:pPr>
              <w:pStyle w:val="Compact"/>
              <w:jc w:val="left"/>
            </w:pPr>
            <w:r>
              <w:t xml:space="preserve">Karaa 2020, PMID 32096613</w:t>
            </w:r>
          </w:p>
        </w:tc>
      </w:tr>
      <w:tr>
        <w:tc>
          <w:tcPr/>
          <w:p>
            <w:pPr>
              <w:pStyle w:val="Compact"/>
              <w:jc w:val="left"/>
            </w:pPr>
            <w:r>
              <w:t xml:space="preserve">Mecasermine</w:t>
            </w:r>
          </w:p>
        </w:tc>
        <w:tc>
          <w:tcPr/>
          <w:p>
            <w:pPr>
              <w:pStyle w:val="Compact"/>
              <w:jc w:val="left"/>
            </w:pPr>
            <w:r>
              <w:t xml:space="preserve">veranderingen van het vetweefsel bij 32%</w:t>
            </w:r>
          </w:p>
        </w:tc>
        <w:tc>
          <w:tcPr/>
          <w:p>
            <w:pPr>
              <w:pStyle w:val="Compact"/>
              <w:jc w:val="left"/>
            </w:pPr>
            <w:r>
              <w:t xml:space="preserve">Chernausek 2007, PMID 17192294</w:t>
            </w:r>
          </w:p>
        </w:tc>
      </w:tr>
      <w:tr>
        <w:tc>
          <w:tcPr/>
          <w:p>
            <w:pPr>
              <w:pStyle w:val="Compact"/>
              <w:jc w:val="left"/>
            </w:pPr>
            <w:r>
              <w:t xml:space="preserve">Tirzepatide</w:t>
            </w:r>
          </w:p>
        </w:tc>
        <w:tc>
          <w:tcPr/>
          <w:p>
            <w:pPr>
              <w:pStyle w:val="Compact"/>
              <w:jc w:val="left"/>
            </w:pPr>
            <w:r>
              <w:t xml:space="preserve">2 tot 7%</w:t>
            </w:r>
          </w:p>
        </w:tc>
        <w:tc>
          <w:tcPr/>
          <w:p>
            <w:pPr>
              <w:pStyle w:val="Compact"/>
              <w:jc w:val="left"/>
            </w:pPr>
            <w:r>
              <w:t xml:space="preserve">Gupta 2026, PMID 42930571</w:t>
            </w:r>
          </w:p>
        </w:tc>
      </w:tr>
      <w:tr>
        <w:tc>
          <w:tcPr/>
          <w:p>
            <w:pPr>
              <w:pStyle w:val="Compact"/>
              <w:jc w:val="left"/>
            </w:pPr>
            <w:r>
              <w:t xml:space="preserve">Bremelanotide</w:t>
            </w:r>
          </w:p>
        </w:tc>
        <w:tc>
          <w:tcPr/>
          <w:p>
            <w:pPr>
              <w:pStyle w:val="Compact"/>
              <w:jc w:val="left"/>
            </w:pPr>
            <w:r>
              <w:t xml:space="preserve">5,4% vs. 0,5% met placebo</w:t>
            </w:r>
          </w:p>
        </w:tc>
        <w:tc>
          <w:tcPr/>
          <w:p>
            <w:pPr>
              <w:pStyle w:val="Compact"/>
              <w:jc w:val="left"/>
            </w:pPr>
            <w:r>
              <w:t xml:space="preserve">Clayton 2022, PMID 35147466</w:t>
            </w:r>
          </w:p>
        </w:tc>
      </w:tr>
    </w:tbl>
    <w:p>
      <w:pPr>
        <w:pStyle w:val="BodyText"/>
      </w:pPr>
      <w:r>
        <w:t xml:space="preserve">Bij de weekvorm van exenatide ontstaan vaak kleine knobbeltjes, omdat de microbolletjes die de werkzame stof langzaam vrijgeven, onder de huid worden afgebroken. In de vijfjaarsanalyse van DURATION-1 werden zulke reacties na verloop van tijd zeldzamer (Wysham 2015, PMID 25744115). Bij mecasermine ging het om een verdikking van het vetweefsel op de injectieplaats (lipohypertrofie).</w:t>
      </w:r>
    </w:p>
    <w:p>
      <w:pPr>
        <w:pStyle w:val="BodyText"/>
      </w:pPr>
      <w:r>
        <w:t xml:space="preserve">Belangrijk is het onderscheid met een</w:t>
      </w:r>
      <w:r>
        <w:t xml:space="preserve"> </w:t>
      </w:r>
      <w:r>
        <w:rPr>
          <w:bCs/>
          <w:b/>
        </w:rPr>
        <w:t xml:space="preserve">infectie</w:t>
      </w:r>
      <w:r>
        <w:t xml:space="preserve">. Een roodheid die over dagen toeneemt, warm wordt, pijn doet, ettert of met koorts gepaard gaat, is geen onschuldige reactie. Na injecties met Argireline in voorhoofd en slapen ontwikkelde een 45-jarige vrouw knobbels en abcessen; de oorzaak was de moeilijk te behandelen bacterie</w:t>
      </w:r>
      <w:r>
        <w:t xml:space="preserve"> </w:t>
      </w:r>
      <w:r>
        <w:rPr>
          <w:iCs/>
          <w:i/>
        </w:rPr>
        <w:t xml:space="preserve">Mycobacterium abscessus</w:t>
      </w:r>
      <w:r>
        <w:t xml:space="preserve">, de behandeling duurde vijf maanden (Chen 2021, PMID 33748252). Zulke infecties gaan meestal niet uit van het peptide, maar van niet-steriele producten of werkwijzen – meer hierover in het hoofdstuk „Grijze-marktproducten”.</w:t>
      </w:r>
    </w:p>
    <w:bookmarkEnd w:id="997"/>
    <w:bookmarkStart w:id="998" w:name="allergische-reacties-en-anafylaxie"/>
    <w:p>
      <w:pPr>
        <w:pStyle w:val="Heading3"/>
      </w:pPr>
      <w:r>
        <w:t xml:space="preserve">Allergische reacties en anafylaxie</w:t>
      </w:r>
    </w:p>
    <w:p>
      <w:pPr>
        <w:pStyle w:val="FirstParagraph"/>
      </w:pPr>
      <w:r>
        <w:t xml:space="preserve">Anafylaxie is een ernstige, het hele lichaam betreffende allergische reactie met huiduitslag, zwellingen, ademnood en circulatoire shock. Ze is bij peptidegeneesmiddelen zeldzaam, maar komt voor.</w:t>
      </w:r>
    </w:p>
    <w:p>
      <w:pPr>
        <w:pStyle w:val="BodyText"/>
      </w:pPr>
      <w:r>
        <w:t xml:space="preserve">Voor de GLP-1-geneesmiddelen zijn er grote databankstudies over. In drie Amerikaanse verzekeringsdatabanken met 696.089 nieuwe gebruikers lag de frequentie van anafylaxie, afhankelijk van de werkzame stof, tussen 1,0 (lixisenatide) en 6,0 (exenatide) gevallen per 10.000 persoonsjaren; de auteurs beoordelen anafylaxie met GLP-1-geneesmiddelen als zeldzaam (Anthony 2024, PMID 38363873). Een studie uit het Verenigd Koninkrijk en de VS vergeleek GLP-1-receptoragonisten met twee andere groepen diabetesmiddelen. Ten opzichte van DPP-4-remmers was het risico niet aantoonbaar verhoogd (hazard ratio 1,15), ten opzichte van SGLT2-remmers met 38% (40,7 tegenover 29,4 gevallen per 100.000 persoonsjaren) (Pradhan 2022, PMID 35136902). Dat is een relatieve stijging bij een in absolute zin zeer zeldzame reactie.</w:t>
      </w:r>
    </w:p>
    <w:p>
      <w:pPr>
        <w:pStyle w:val="BodyText"/>
      </w:pPr>
      <w:r>
        <w:t xml:space="preserve">Afzonderlijke gevallen laten zien hoe zulke reacties eruit kunnen zien:</w:t>
      </w:r>
    </w:p>
    <w:p>
      <w:pPr>
        <w:numPr>
          <w:ilvl w:val="0"/>
          <w:numId w:val="1343"/>
        </w:numPr>
        <w:pStyle w:val="Compact"/>
      </w:pPr>
      <w:r>
        <w:t xml:space="preserve">Casusbeschrijvingen beschrijven anafylaxie met de weekvorm van exenatide (Ornelas 2018, PMID 30350785) en een allergische reactie op exenatide en lixisenatide, maar niet op liraglutide (Shamriz 2019, PMID 31296642) – een aanwijzing dat de van hagedissen afgeleide werkzame stoffen anders worden herkend dan de mensachtige.</w:t>
      </w:r>
    </w:p>
    <w:p>
      <w:pPr>
        <w:numPr>
          <w:ilvl w:val="0"/>
          <w:numId w:val="1343"/>
        </w:numPr>
        <w:pStyle w:val="Compact"/>
      </w:pPr>
      <w:r>
        <w:t xml:space="preserve">Met tirzepatide is een bifasische anafylaxie beschreven, waarbij de klachten na aanvankelijke verbetering opnieuw optraden (He 2023, PMID 38186543).</w:t>
      </w:r>
    </w:p>
    <w:p>
      <w:pPr>
        <w:numPr>
          <w:ilvl w:val="0"/>
          <w:numId w:val="1343"/>
        </w:numPr>
        <w:pStyle w:val="Compact"/>
      </w:pPr>
      <w:r>
        <w:t xml:space="preserve">Een 50-jarige vrouw ontwikkelde vier uur na haar eerste injectie met semaglutide uit een bereidingsapotheek een massale zwelling van lippen, tong en keel en moest vier dagen worden beademd. Pas daarna bleek dat zij per vergissing de tienvoudige hoeveelheid had geïnjecteerd (Kraft 2026, PMID 42194666).</w:t>
      </w:r>
    </w:p>
    <w:p>
      <w:pPr>
        <w:numPr>
          <w:ilvl w:val="0"/>
          <w:numId w:val="1343"/>
        </w:numPr>
        <w:pStyle w:val="Compact"/>
      </w:pPr>
      <w:r>
        <w:t xml:space="preserve">Na een infuus met cerebrolysine ontwikkelde een 85-jarige man een levensbedreigende anafylaxie, die in het laboratorium werd bevestigd (Trimmel 2024, PMID 39055722). Cerebrolysine is een mengsel van peptiden uit varkenshersenen; dierlijke extracten zoals dit of thymaline brengen in principe meer vreemde eiwitten mee (hoofdstukken Cerebrolysine, Thymaline).</w:t>
      </w:r>
    </w:p>
    <w:p>
      <w:pPr>
        <w:pStyle w:val="FirstParagraph"/>
      </w:pPr>
      <w:r>
        <w:t xml:space="preserve">Ook bij cosmetische peptiden zijn allergieën mogelijk, zij het zelden. In een kleine studie met een crème die onder meer palmitoyl-pentapeptide-4 bevatte, trad een vermoedelijke allergische reactie op; welk bestanddeel verantwoordelijk was, bleef open (Röper 2004, PMID 15127162).</w:t>
      </w:r>
    </w:p>
    <w:p>
      <w:pPr>
        <w:pStyle w:val="BodyText"/>
      </w:pPr>
      <w:r>
        <w:t xml:space="preserve">Voor grijze-marktpeptiden zijn er geen frequentiegegevens. Het risico op een ernstige allergische reactie is daar echter in bijzondere mate aanwezig, omdat het gebruik meestal zonder medisch toezicht plaatsvindt en er in een noodgeval niemand met noodmedicatie klaarstaat. Ademnood, zwellingen in gezicht of keel en circulatieklachten na een injectie zijn altijd een noodgeval.</w:t>
      </w:r>
    </w:p>
    <w:bookmarkEnd w:id="998"/>
    <w:bookmarkStart w:id="999" w:name="ontstekings--en-auto-immuunreacties"/>
    <w:p>
      <w:pPr>
        <w:pStyle w:val="Heading3"/>
      </w:pPr>
      <w:r>
        <w:t xml:space="preserve">Ontstekings- en auto-immuunreacties</w:t>
      </w:r>
    </w:p>
    <w:p>
      <w:pPr>
        <w:pStyle w:val="FirstParagraph"/>
      </w:pPr>
      <w:r>
        <w:t xml:space="preserve">Sommige peptiden maken zelf deel uit van het immuunsysteem. Dat maakt ze interessant, maar ook riskant.</w:t>
      </w:r>
    </w:p>
    <w:p>
      <w:pPr>
        <w:pStyle w:val="BodyText"/>
      </w:pPr>
      <w:r>
        <w:rPr>
          <w:bCs/>
          <w:b/>
        </w:rPr>
        <w:t xml:space="preserve">LL-37</w:t>
      </w:r>
      <w:r>
        <w:t xml:space="preserve"> </w:t>
      </w:r>
      <w:r>
        <w:t xml:space="preserve">is een lichaamseigen afweerpeptide. Bij psoriasis speelt het een sleutelrol: het bindt zich aan lichaamseigen erfelijk materiaal en maakt dat zichtbaar voor bepaalde immuuncellen, die daarop ontstekingssignaalstoffen afgeven (Lande 2007, PMID 17873860). Bij twee derde van de mensen met matige tot ernstige psoriasis werden T-cellen gevonden die gericht LL-37 herkennen – het werkt daar dus als een autoantigeen (Lande 2014, PMID 25470744). Na injecties met LL-37 in huidmetastasen traden bij een patiënte ontstoken, wratachtige huidveranderingen op (Dolkar 2018, PMID 29665030). Voor mensen met psoriasis, rosacea of andere auto-immuunziekten is dat een serieus te nemen aanwijzing (hoofdstuk LL-37).</w:t>
      </w:r>
    </w:p>
    <w:p>
      <w:pPr>
        <w:pStyle w:val="BodyText"/>
      </w:pPr>
      <w:r>
        <w:rPr>
          <w:bCs/>
          <w:b/>
        </w:rPr>
        <w:t xml:space="preserve">Immuunstimulerende peptiden</w:t>
      </w:r>
      <w:r>
        <w:t xml:space="preserve"> </w:t>
      </w:r>
      <w:r>
        <w:t xml:space="preserve">zoals thymosine alfa-1 en thymaline zouden de afweer stimuleren. Of dat bij auto-immuunziekten of na orgaantransplantaties schade doet, is niet onderzocht (hoofdstukken Thymosine alfa-1, Thymaline).</w:t>
      </w:r>
    </w:p>
    <w:p>
      <w:pPr>
        <w:pStyle w:val="BodyText"/>
      </w:pPr>
      <w:r>
        <w:t xml:space="preserve">Bij de GLP-1-geneesmiddelen beschrijft een systematisch overzicht naast de veelvoorkomende lichte huidreacties zeldzame, maar potentieel ernstige immuungemedieerde aandoeningen, waaronder angio-oedeem, blaarvormende auto-immuunziekten, geneesmiddeleneruptie en vaatontstekingen (Gupta 2026, PMID 42930571). Hoe vaak ze voorkomen, valt uit casusbeschrijvingen niet af te leiden.</w:t>
      </w:r>
    </w:p>
    <w:bookmarkEnd w:id="999"/>
    <w:bookmarkStart w:id="1000" w:name="verontreinigingen-als-uitlokker"/>
    <w:p>
      <w:pPr>
        <w:pStyle w:val="Heading3"/>
      </w:pPr>
      <w:r>
        <w:t xml:space="preserve">Verontreinigingen als uitlokker</w:t>
      </w:r>
    </w:p>
    <w:p>
      <w:pPr>
        <w:pStyle w:val="FirstParagraph"/>
      </w:pPr>
      <w:r>
        <w:t xml:space="preserve">Een deel van de immuunreacties gaat niet terug op het peptide zelf, maar op wat er bij de productie extra in het flesje terechtkomt.</w:t>
      </w:r>
    </w:p>
    <w:p>
      <w:pPr>
        <w:pStyle w:val="BodyText"/>
      </w:pPr>
      <w:r>
        <w:rPr>
          <w:bCs/>
          <w:b/>
        </w:rPr>
        <w:t xml:space="preserve">Foutieve peptiden.</w:t>
      </w:r>
      <w:r>
        <w:t xml:space="preserve"> </w:t>
      </w:r>
      <w:r>
        <w:t xml:space="preserve">Bij de chemische synthese ontstaan moleculen waarin een bouwsteen ontbreekt, dubbel voorkomt of chemisch gewijzigd is. Zulke verontreinigingen kunnen nieuwe structuren bevatten die T-cellen van het immuunsysteem herkennen. Daarom eist de Amerikaanse geneesmiddelenautoriteit bij namaakproducten (generieken) van synthetische peptiden gegevens over elke nieuwe verontreiniging ten opzichte van het originele preparaat (De Groot 2023, PMID 37467878). Hoe zo’n toetsing eruitziet, laat een onderzoek zien naar generieken van het osteoporosepeptide teriparatide, waarbij verontreinigingen werden beoordeeld met computermethoden, bindingstests en proeven met menselijke immuuncellen (Mattei 2025, PMID 41445733).</w:t>
      </w:r>
    </w:p>
    <w:p>
      <w:pPr>
        <w:pStyle w:val="BodyText"/>
      </w:pPr>
      <w:r>
        <w:rPr>
          <w:bCs/>
          <w:b/>
        </w:rPr>
        <w:t xml:space="preserve">GLP-1-namaakproducten.</w:t>
      </w:r>
      <w:r>
        <w:t xml:space="preserve"> </w:t>
      </w:r>
      <w:r>
        <w:t xml:space="preserve">Een aan de fabrikant gelieerde analyse van 16 injecteerbare en 8 orale namaakproducten van semaglutide vond nieuwe verontreinigingen, waaronder grotere eiwitmoleculen, en met computermethoden voorspelde nieuwe herkenningsplaatsen voor het immuunsysteem; bij namaakproducten van liraglutide bleek een sterkere neiging tot klontering (Hach 2024, PMID 39379664). Of deze verschillen bij mensen werkelijk meer antistoffen oproepen, is niet gemeten. Dat een zorgvuldig geproduceerd, synthetisch namaakproduct niet automatisch problematischer is, laat een ander onderzoek zien: een synthetisch generiek liraglutide stimuleerde menselijke immuuncellen in het laboratorium niet sterker dan het genetisch gemodificeerd geproduceerde origineel (Tang 2025, PMID 40398094). Doorslaggevend is dus niet de productiewijze, maar de kwaliteitscontrole.</w:t>
      </w:r>
    </w:p>
    <w:p>
      <w:pPr>
        <w:pStyle w:val="BodyText"/>
      </w:pPr>
      <w:r>
        <w:rPr>
          <w:bCs/>
          <w:b/>
        </w:rPr>
        <w:t xml:space="preserve">Endotoxinen en kiemen.</w:t>
      </w:r>
      <w:r>
        <w:t xml:space="preserve"> </w:t>
      </w:r>
      <w:r>
        <w:t xml:space="preserve">Endotoxinen, celwandbestanddelen van bacteriën, activeren het aangeboren immuunsysteem direct en kunnen koorts, koude rillingen en circulatoire reacties uitlokken. Bij testaankopen van semaglutide bij illegale online-apotheken waren ze in alle monsters aantoonbaar (Ashraf 2024, PMID 39509151; details in Deel I). Een controlelaboratorium toonde in twee illegale peptidepreparaten voor injectie de bacterie</w:t>
      </w:r>
      <w:r>
        <w:t xml:space="preserve"> </w:t>
      </w:r>
      <w:r>
        <w:rPr>
          <w:iCs/>
          <w:i/>
        </w:rPr>
        <w:t xml:space="preserve">Bacillus cereus</w:t>
      </w:r>
      <w:r>
        <w:t xml:space="preserve"> </w:t>
      </w:r>
      <w:r>
        <w:t xml:space="preserve">aan, die rode bloedcellen kan vernietigen (Janvier 2018, PMID 28941153).</w:t>
      </w:r>
    </w:p>
    <w:p>
      <w:pPr>
        <w:pStyle w:val="BodyText"/>
      </w:pPr>
      <w:r>
        <w:t xml:space="preserve">Voor de grijze markt betekent dit: zelfs als een peptide op zichzelf weinig immunogeen is, kan het product dat wel zijn. En omdat bij grijze-marktwaar noch verontreinigingsprofielen noch grenswaarden voor endotoxinen worden gecontroleerd, valt een reactie achteraf nauwelijks aan een bestanddeel toe te schrijven.</w:t>
      </w:r>
    </w:p>
    <w:bookmarkEnd w:id="1000"/>
    <w:bookmarkStart w:id="1001" w:name="wat-dit-in-de-praktijk-betekent"/>
    <w:p>
      <w:pPr>
        <w:pStyle w:val="Heading3"/>
      </w:pPr>
      <w:r>
        <w:t xml:space="preserve">Wat dit in de praktijk betekent</w:t>
      </w:r>
    </w:p>
    <w:p>
      <w:pPr>
        <w:numPr>
          <w:ilvl w:val="0"/>
          <w:numId w:val="1344"/>
        </w:numPr>
        <w:pStyle w:val="Compact"/>
      </w:pPr>
      <w:r>
        <w:t xml:space="preserve">Antistoffen tegen peptidegeneesmiddelen zijn vaak voorkomend, maar meestal zonder gevolgen. Bij exenatide kunnen hoge titers de werking verzwakken; bij tirzepatide gaan ze samen met iets meer huid- en overgevoeligheidsreacties.</w:t>
      </w:r>
    </w:p>
    <w:p>
      <w:pPr>
        <w:numPr>
          <w:ilvl w:val="0"/>
          <w:numId w:val="1344"/>
        </w:numPr>
        <w:pStyle w:val="Compact"/>
      </w:pPr>
      <w:r>
        <w:t xml:space="preserve">Reacties op de injectieplaats zijn de meest voorkomende immuunreactie, bij sommige peptiden bijna de regel. Toenemende roodheid, warmte, pus of koorts wijzen daarentegen op een infectie.</w:t>
      </w:r>
    </w:p>
    <w:p>
      <w:pPr>
        <w:numPr>
          <w:ilvl w:val="0"/>
          <w:numId w:val="1344"/>
        </w:numPr>
        <w:pStyle w:val="Compact"/>
      </w:pPr>
      <w:r>
        <w:t xml:space="preserve">Anafylaxie is met geregistreerde GLP-1-geneesmiddelen zeer zeldzaam – in de orde van grootte van enkele gevallen per 10.000 behandeljaren. Er zijn ook casusbeschrijvingen bij tirzepatide, cerebrolysine en bij een onbedoelde overdosering.</w:t>
      </w:r>
    </w:p>
    <w:p>
      <w:pPr>
        <w:numPr>
          <w:ilvl w:val="0"/>
          <w:numId w:val="1344"/>
        </w:numPr>
        <w:pStyle w:val="Compact"/>
      </w:pPr>
      <w:r>
        <w:t xml:space="preserve">Voor de meeste grijze-marktpeptiden ontbreken gegevens over antistoffen en allergieën volledig. Verontreinigingen en endotoxinen zijn daar een extra, onberekenbaar risico.</w:t>
      </w:r>
    </w:p>
    <w:p>
      <w:pPr>
        <w:numPr>
          <w:ilvl w:val="0"/>
          <w:numId w:val="1344"/>
        </w:numPr>
        <w:pStyle w:val="Compact"/>
      </w:pPr>
      <w:r>
        <w:t xml:space="preserve">Wie al eens allergisch op een peptide heeft gereageerd, doet er goed aan dat bij elke medische behandeling te vermelden. Of verwante werkzame stoffen worden verdragen, kan alleen een arts uitzoeken.</w:t>
      </w:r>
    </w:p>
    <w:bookmarkEnd w:id="1001"/>
    <w:bookmarkEnd w:id="1002"/>
    <w:bookmarkStart w:id="1014" w:name="X0667aaf5fec43fd1beb3939659184f0b337c373"/>
    <w:p>
      <w:pPr>
        <w:pStyle w:val="Heading2"/>
      </w:pPr>
      <w:r>
        <w:t xml:space="preserve">Grijze-marktproducten: wat laboratoriumanalyses laten zien</w:t>
      </w:r>
    </w:p>
    <w:p>
      <w:pPr>
        <w:pStyle w:val="FirstParagraph"/>
      </w:pPr>
      <w:r>
        <w:t xml:space="preserve">Deel I heeft in het hoofdstuk „De grijze markt” beschreven wat „research peptides” zijn en enkele opzienbarende vondsten voorgesteld: semaglutidepoeder met een zuiverheid van 7,7 tot 14,4%, melanotanflesjes met minder dan de helft van de opgegeven hoeveelheid, vervalste Ozempic met insuline. Dit hoofdstuk gaat een stap verder. Het vraagt wie zulke producten eigenlijk analyseert, welke soorten fouten zich in veel onderzoeken herhalen, wat deze analyses niet kunnen laten zien – en wat de gegevens van vergiftigingeninformatiecentra verraden over de gevolgen van verkeerde doseringen bij GLP-1-geneesmiddelen.</w:t>
      </w:r>
    </w:p>
    <w:bookmarkStart w:id="1003" w:name="wie-grijze-marktproducten-analyseert"/>
    <w:p>
      <w:pPr>
        <w:pStyle w:val="Heading3"/>
      </w:pPr>
      <w:r>
        <w:t xml:space="preserve">Wie grijze-marktproducten analyseert</w:t>
      </w:r>
    </w:p>
    <w:p>
      <w:pPr>
        <w:pStyle w:val="FirstParagraph"/>
      </w:pPr>
      <w:r>
        <w:t xml:space="preserve">De meeste gegevens komen uit drie bronnen.</w:t>
      </w:r>
    </w:p>
    <w:p>
      <w:pPr>
        <w:pStyle w:val="BodyText"/>
      </w:pPr>
      <w:r>
        <w:rPr>
          <w:bCs/>
          <w:b/>
        </w:rPr>
        <w:t xml:space="preserve">Officiële controlelaboratoria voor geneesmiddelen.</w:t>
      </w:r>
      <w:r>
        <w:t xml:space="preserve"> </w:t>
      </w:r>
      <w:r>
        <w:t xml:space="preserve">In Europa werken ze samen in een netwerk dat wordt gecoördineerd door het Europees Directoraat voor de kwaliteit van geneesmiddelen. Ze onderzoeken monsters die door de douane, politie of gezondheidsautoriteiten in beslag worden genomen. Een Belgisch laboratorium ontwikkelde bijvoorbeeld een zoekmethode waarmee 25 verschillende peptiden in onbekende injectiepreparaten in één keer kunnen worden herkend – waaronder ook peptiden die nog helemaal niet in beslag waren genomen, maar op internetfora al werden besproken (Vanhee 2015, PMID 26003685).</w:t>
      </w:r>
    </w:p>
    <w:p>
      <w:pPr>
        <w:pStyle w:val="BodyText"/>
      </w:pPr>
      <w:r>
        <w:rPr>
          <w:bCs/>
          <w:b/>
        </w:rPr>
        <w:t xml:space="preserve">Antidoping- en forensische laboratoria.</w:t>
      </w:r>
      <w:r>
        <w:t xml:space="preserve"> </w:t>
      </w:r>
      <w:r>
        <w:t xml:space="preserve">Zij analyseren in beslag genomen waar uit de sportwereld om hun opsporingsmethoden actueel te houden. De bevindingen uit Keulen, Noorwegen en Denemarken uit Deel I komen uit deze bron.</w:t>
      </w:r>
    </w:p>
    <w:p>
      <w:pPr>
        <w:pStyle w:val="BodyText"/>
      </w:pPr>
      <w:r>
        <w:rPr>
          <w:bCs/>
          <w:b/>
        </w:rPr>
        <w:t xml:space="preserve">Testaankopen door onderzoeksgroepen.</w:t>
      </w:r>
      <w:r>
        <w:t xml:space="preserve"> </w:t>
      </w:r>
      <w:r>
        <w:t xml:space="preserve">Zij kopen gericht producten bij online-aanbieders en controleren wat er aankomt. Deze onderzoeken zijn zeldzamer, maar komen het dichtst bij de situatie van kopers.</w:t>
      </w:r>
    </w:p>
    <w:p>
      <w:pPr>
        <w:pStyle w:val="BodyText"/>
      </w:pPr>
      <w:r>
        <w:t xml:space="preserve">Er worden methoden gebruikt die verschillende vragen beantwoorden: massaspectrometrie laat zien</w:t>
      </w:r>
      <w:r>
        <w:t xml:space="preserve"> </w:t>
      </w:r>
      <w:r>
        <w:rPr>
          <w:iCs/>
          <w:i/>
        </w:rPr>
        <w:t xml:space="preserve">welke</w:t>
      </w:r>
      <w:r>
        <w:t xml:space="preserve"> </w:t>
      </w:r>
      <w:r>
        <w:t xml:space="preserve">stof aanwezig is; vloeistofchromatografie meet</w:t>
      </w:r>
      <w:r>
        <w:t xml:space="preserve"> </w:t>
      </w:r>
      <w:r>
        <w:rPr>
          <w:iCs/>
          <w:i/>
        </w:rPr>
        <w:t xml:space="preserve">hoeveel</w:t>
      </w:r>
      <w:r>
        <w:t xml:space="preserve"> </w:t>
      </w:r>
      <w:r>
        <w:t xml:space="preserve">en</w:t>
      </w:r>
      <w:r>
        <w:t xml:space="preserve"> </w:t>
      </w:r>
      <w:r>
        <w:rPr>
          <w:iCs/>
          <w:i/>
        </w:rPr>
        <w:t xml:space="preserve">hoe zuiver</w:t>
      </w:r>
      <w:r>
        <w:t xml:space="preserve">; speciale methoden leggen metalen, resten van oplosmiddelen, bacteriën of endotoxinen vast. Geen enkel laboratorium controleert routinematig alles. Als een rapport alleen de identiteit bepaalt, zegt het niets over kiemen, en omgekeerd.</w:t>
      </w:r>
    </w:p>
    <w:bookmarkEnd w:id="1003"/>
    <w:bookmarkStart w:id="1008" w:name="X34d919d7cdf1ef37d36dfec89813f80f7d070f8"/>
    <w:p>
      <w:pPr>
        <w:pStyle w:val="Heading3"/>
      </w:pPr>
      <w:r>
        <w:t xml:space="preserve">Vier soorten fouten die steeds terugkeren</w:t>
      </w:r>
    </w:p>
    <w:p>
      <w:pPr>
        <w:pStyle w:val="FirstParagraph"/>
      </w:pPr>
      <w:r>
        <w:t xml:space="preserve">Over de afzonderlijke analyses heen kunnen de bevindingen in vier groepen worden ingedeeld.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Soort fout</w:t>
            </w:r>
          </w:p>
        </w:tc>
        <w:tc>
          <w:tcPr/>
          <w:p>
            <w:pPr>
              <w:pStyle w:val="Compact"/>
              <w:jc w:val="left"/>
            </w:pPr>
            <w:r>
              <w:t xml:space="preserve">Voorbeelden uit analyses</w:t>
            </w:r>
          </w:p>
        </w:tc>
        <w:tc>
          <w:tcPr/>
          <w:p>
            <w:pPr>
              <w:pStyle w:val="Compact"/>
              <w:jc w:val="left"/>
            </w:pPr>
            <w:r>
              <w:t xml:space="preserve">Bron</w:t>
            </w:r>
          </w:p>
        </w:tc>
      </w:tr>
      <w:tr>
        <w:tc>
          <w:tcPr/>
          <w:p>
            <w:pPr>
              <w:pStyle w:val="Compact"/>
              <w:jc w:val="left"/>
            </w:pPr>
            <w:r>
              <w:t xml:space="preserve">Verkeerde of geen werkzame stof</w:t>
            </w:r>
          </w:p>
        </w:tc>
        <w:tc>
          <w:tcPr/>
          <w:p>
            <w:pPr>
              <w:pStyle w:val="Compact"/>
              <w:jc w:val="left"/>
            </w:pPr>
            <w:r>
              <w:t xml:space="preserve">9 van 36 in beslag genomen monsters zonder peptide of eiwit</w:t>
            </w:r>
          </w:p>
        </w:tc>
        <w:tc>
          <w:tcPr/>
          <w:p>
            <w:pPr>
              <w:pStyle w:val="Compact"/>
              <w:jc w:val="left"/>
            </w:pPr>
            <w:r>
              <w:t xml:space="preserve">Høj 2021, PMID 33686802</w:t>
            </w:r>
          </w:p>
        </w:tc>
      </w:tr>
      <w:tr>
        <w:tc>
          <w:tcPr/>
          <w:p>
            <w:pPr>
              <w:pStyle w:val="Compact"/>
              <w:jc w:val="left"/>
            </w:pPr>
            <w:r>
              <w:t xml:space="preserve">Verkeerde hoeveelheid</w:t>
            </w:r>
          </w:p>
        </w:tc>
        <w:tc>
          <w:tcPr/>
          <w:p>
            <w:pPr>
              <w:pStyle w:val="Compact"/>
              <w:jc w:val="left"/>
            </w:pPr>
            <w:r>
              <w:t xml:space="preserve">slechts 41% van 44 internetproducten met correcte hoeveelheid werkzame stof</w:t>
            </w:r>
          </w:p>
        </w:tc>
        <w:tc>
          <w:tcPr/>
          <w:p>
            <w:pPr>
              <w:pStyle w:val="Compact"/>
              <w:jc w:val="left"/>
            </w:pPr>
            <w:r>
              <w:t xml:space="preserve">Van Wagoner 2017, PMID 29183075</w:t>
            </w:r>
          </w:p>
        </w:tc>
      </w:tr>
      <w:tr>
        <w:tc>
          <w:tcPr/>
          <w:p>
            <w:pPr>
              <w:pStyle w:val="Compact"/>
              <w:jc w:val="left"/>
            </w:pPr>
            <w:r>
              <w:t xml:space="preserve">Lage zuiverheid, afbraakproducten</w:t>
            </w:r>
          </w:p>
        </w:tc>
        <w:tc>
          <w:tcPr/>
          <w:p>
            <w:pPr>
              <w:pStyle w:val="Compact"/>
              <w:jc w:val="left"/>
            </w:pPr>
            <w:r>
              <w:t xml:space="preserve">zuiverheid 5 tot 75% bij bepaalde peptiden</w:t>
            </w:r>
          </w:p>
        </w:tc>
        <w:tc>
          <w:tcPr/>
          <w:p>
            <w:pPr>
              <w:pStyle w:val="Compact"/>
              <w:jc w:val="left"/>
            </w:pPr>
            <w:r>
              <w:t xml:space="preserve">Janvier 2018, PMID 30029448</w:t>
            </w:r>
          </w:p>
        </w:tc>
      </w:tr>
      <w:tr>
        <w:tc>
          <w:tcPr/>
          <w:p>
            <w:pPr>
              <w:pStyle w:val="Compact"/>
              <w:jc w:val="left"/>
            </w:pPr>
            <w:r>
              <w:t xml:space="preserve">Gevaarlijke bijkomende stoffen</w:t>
            </w:r>
          </w:p>
        </w:tc>
        <w:tc>
          <w:tcPr/>
          <w:p>
            <w:pPr>
              <w:pStyle w:val="Compact"/>
              <w:jc w:val="left"/>
            </w:pPr>
            <w:r>
              <w:t xml:space="preserve">arseen en lood, deels tot het tienvoudige van de grenswaarde</w:t>
            </w:r>
          </w:p>
        </w:tc>
        <w:tc>
          <w:tcPr/>
          <w:p>
            <w:pPr>
              <w:pStyle w:val="Compact"/>
              <w:jc w:val="left"/>
            </w:pPr>
            <w:r>
              <w:t xml:space="preserve">Janvier 2018, PMID 30029448</w:t>
            </w:r>
          </w:p>
        </w:tc>
      </w:tr>
    </w:tbl>
    <w:bookmarkStart w:id="1004" w:name="verkeerde-of-helemaal-geen-werkzame-stof"/>
    <w:p>
      <w:pPr>
        <w:pStyle w:val="Heading4"/>
      </w:pPr>
      <w:r>
        <w:t xml:space="preserve">Verkeerde of helemaal geen werkzame stof</w:t>
      </w:r>
    </w:p>
    <w:p>
      <w:pPr>
        <w:pStyle w:val="FirstParagraph"/>
      </w:pPr>
      <w:r>
        <w:t xml:space="preserve">Een Deens forensisch laboratorium ontving in 2019 36 in beslag genomen monsters waarin peptiden of eiwitten werden vermoed. 15 bevatten een verboden dopingmiddel, 12 een stof die niet op de Deense dopinglijst stond, en 9 bevatten helemaal geen peptide of eiwit (Høj 2021, PMID 33686802). Bij een Europese douaneactie meldden de laboratoria onder de in beslag genomen injectiepreparaten groeihormoon, sermoreline, Melanotan II en preparaten zonder enige werkzame stof; de zendingen waren gemiddeld te groot voor eigen gebruik en vermoedelijk deels bestemd voor doorverkoop (Venhuis 2016, PMID 26456392). In een Belgisch geval bevatte een preparaat dat als IGF-1 werd vermoed, in plaats daarvan een andere groeifactor, de epidermale groeifactor EGF (Vanhee 2017, PMID 27390261).</w:t>
      </w:r>
    </w:p>
    <w:p>
      <w:pPr>
        <w:pStyle w:val="BodyText"/>
      </w:pPr>
      <w:r>
        <w:t xml:space="preserve">Een laboratorium voor paardendoping analyseerde op internet aangeboden producten met de namen „TB500”, „TB1000” en „SGF1000”. De inhoud van de TB-producten kwam niet steeds overeen met de eerdere beschrijvingen. „SGF1000” bestond overwegend uit bindweefsel- en bloedeiwitten van schapen; de zogenaamd groeibevorderende bestanddelen waren extreem verdund (Delcourt 2023, PMID 36482504).</w:t>
      </w:r>
    </w:p>
    <w:p>
      <w:pPr>
        <w:pStyle w:val="BodyText"/>
      </w:pPr>
      <w:r>
        <w:t xml:space="preserve">Hoe vaak etiket en inhoud uiteenlopen, laat een Amerikaans onderzoek zien dat weliswaar geen peptiden, maar zogenoemde SARM’s betrof, die echter via hetzelfde verkoopkanaal gaan: van 44 internetproducten bevatte slechts 52% überhaupt een werkzame stof uit de aangeprezen stofgroep. 39% bevatte andere niet-geregistreerde stoffen, waaronder de groeihormoonvrijmaker ibutamoren, 9% helemaal geen werkzame stof, en 25% niet-gedeclareerde stoffen (Van Wagoner 2017, PMID 29183075).</w:t>
      </w:r>
    </w:p>
    <w:bookmarkEnd w:id="1004"/>
    <w:bookmarkStart w:id="1005" w:name="verkeerde-hoeveelheid"/>
    <w:p>
      <w:pPr>
        <w:pStyle w:val="Heading4"/>
      </w:pPr>
      <w:r>
        <w:t xml:space="preserve">Verkeerde hoeveelheid</w:t>
      </w:r>
    </w:p>
    <w:p>
      <w:pPr>
        <w:pStyle w:val="FirstParagraph"/>
      </w:pPr>
      <w:r>
        <w:t xml:space="preserve">Zelfs als de juiste stof in het flesje zit, klopt de hoeveelheid vaak niet. In de genoemde Amerikaanse analyse kwam de gemeten hoeveelheid werkzame stof slechts bij 18 van de 44 producten (41%) overeen met de vermelding op het etiket (Van Wagoner 2017, PMID 29183075). Een Frans toxicologisch laboratorium onderzocht 75 op de zwarte markt in beslag genomen geneesmiddelen uit de bodybuildingwereld: 33% was ondermaats, dus verkeerd gedoseerd, 32% vervalst, dat wil zeggen met een andere inhoud dan opgegeven, en slechts 19% kwam volledig overeen met het origineel (Fabresse 2021, PMID 33838562). Een vijfjarig Europees markttoezicht met 324 monsters uit 13 landen concludeerde op basis van de beperkte gegevens over hoeveelheden dat de meeste monsters werkzame hoeveelheden bevatten en sommige zelfs overgedoseerd waren (Barrios 2025, PMID 40551438).</w:t>
      </w:r>
    </w:p>
    <w:p>
      <w:pPr>
        <w:pStyle w:val="BodyText"/>
      </w:pPr>
      <w:r>
        <w:t xml:space="preserve">Beide zijn gevaarlijk: te weinig werkzame stof verleidt ertoe „bij te doseren”; te veel leidt direct tot sterkere bijwerkingen. Bij GLP-1-geneesmiddelen, waarvan de verdraagbaarheid sterk afhangt van een langzame dosisverhoging, is een onbekende hoeveelheid bijzonder problematisch.</w:t>
      </w:r>
    </w:p>
    <w:bookmarkEnd w:id="1005"/>
    <w:bookmarkStart w:id="1006" w:name="X88fac429a449b7252ae1cb4660878d18ad5ac33"/>
    <w:p>
      <w:pPr>
        <w:pStyle w:val="Heading4"/>
      </w:pPr>
      <w:r>
        <w:t xml:space="preserve">Lage zuiverheid, afbraakproducten en designervarianten</w:t>
      </w:r>
    </w:p>
    <w:p>
      <w:pPr>
        <w:pStyle w:val="FirstParagraph"/>
      </w:pPr>
      <w:r>
        <w:t xml:space="preserve">Het meest omvattende systematische onderzoek komt uit België. Het controlelaboratorium kocht de tien vaakst vervalste peptidegeneesmiddelen van de Belgische markt bij drie vermoedelijk illegale internetapotheken en controleerde ze op werkzame stof, peptideverontreinigingen, kleine organische vreemde stoffen, metalen en resten van oplosmiddelen. De hoeveelheid per flesje schommelde sterk, en bij peptiden met het aminozuur cysteïne lag de zuiverheid tussen 5 en 75% (Janvier 2018, PMID 30029448).</w:t>
      </w:r>
    </w:p>
    <w:p>
      <w:pPr>
        <w:pStyle w:val="BodyText"/>
      </w:pPr>
      <w:r>
        <w:t xml:space="preserve">Andere laboratoria vonden in zwarte-marktproducten van IGF-1-varianten talrijke geoxideerde, dus chemisch gewijzigde, peptidevormen (Mongongu 2021, PMID 33587816) en in een in beslag genomen monster Melanotan II een zuiverheid van 30% (Deville 2024, PMID 39302005). In door de Deense douane in beslag genomen preparaten werden varianten gevonden van GHRP-2, GHRP-6, ipamoreline en een GHRH-fragment, waaraan telkens een extra aminozuur glycine was voorgeplaatst (Gajda 2019, PMID 30136411). Zulke „designervarianten” zijn vermoedelijk bedoeld om dopingtests te omzeilen. Hun werking en veiligheid bij mensen zijn volledig onbekend.</w:t>
      </w:r>
    </w:p>
    <w:bookmarkEnd w:id="1006"/>
    <w:bookmarkStart w:id="1007" w:name="gevaarlijke-bijkomende-stoffen"/>
    <w:p>
      <w:pPr>
        <w:pStyle w:val="Heading4"/>
      </w:pPr>
      <w:r>
        <w:t xml:space="preserve">Gevaarlijke bijkomende stoffen</w:t>
      </w:r>
    </w:p>
    <w:p>
      <w:pPr>
        <w:pStyle w:val="FirstParagraph"/>
      </w:pPr>
      <w:r>
        <w:t xml:space="preserve">In het Belgische onderzoek werden de giftige elementen arseen en lood gevonden. Eén monster was verontreinigd met lood, meerdere bevatten arseen in concentraties tot het tienvoudige van de internationale grenswaarde voor injectiegeneesmiddelen. De nadere analyse liet zien dat het arseen volledig in de giftigere anorganische vorm aanwezig was. De auteurs wijzen erop dat arseen kankerverwekkend is en lood zich in het lichaam ophoopt – bij herhaald gebruik gedurende maanden een extra, sluipend risico (Janvier 2018, PMID 30029448).</w:t>
      </w:r>
    </w:p>
    <w:p>
      <w:pPr>
        <w:pStyle w:val="BodyText"/>
      </w:pPr>
      <w:r>
        <w:t xml:space="preserve">Daarbij komen kiemen en bacteriële bestanddelen. Hetzelfde laboratorium toonde in twee illegale peptidepreparaten voor injectie de bacterie</w:t>
      </w:r>
      <w:r>
        <w:t xml:space="preserve"> </w:t>
      </w:r>
      <w:r>
        <w:rPr>
          <w:iCs/>
          <w:i/>
        </w:rPr>
        <w:t xml:space="preserve">Bacillus cereus</w:t>
      </w:r>
      <w:r>
        <w:t xml:space="preserve"> </w:t>
      </w:r>
      <w:r>
        <w:t xml:space="preserve">aan (Janvier 2018, PMID 28941153). Bij de testaankopen van semaglutide uit Deel I waren in alle monsters endotoxinen aantoonbaar (Ashraf 2024, PMID 39509151). Waarom dat voor het immuunsysteem relevant is, beschrijft het hoofdstuk „Immuunreacties en antistoffen”.</w:t>
      </w:r>
    </w:p>
    <w:bookmarkEnd w:id="1007"/>
    <w:bookmarkEnd w:id="1008"/>
    <w:bookmarkStart w:id="1009" w:name="steeds-nieuwe-stoffen"/>
    <w:p>
      <w:pPr>
        <w:pStyle w:val="Heading3"/>
      </w:pPr>
      <w:r>
        <w:t xml:space="preserve">Steeds nieuwe stoffen</w:t>
      </w:r>
    </w:p>
    <w:p>
      <w:pPr>
        <w:pStyle w:val="FirstParagraph"/>
      </w:pPr>
      <w:r>
        <w:t xml:space="preserve">De grijze markt reageert snel op trends. Een Europees markttoezicht met 1.104 gemelde gevallen uit 16 landen tussen 2017 en 2019 vond dat 11% van de monsters biologische moleculen bevatte, vooral „research peptides”; dat was de op één na meest voorkomende categorie (Deconinck 2021, PMID 33453144). Belgische laboratoria identificeerden in in beslag genomen preparaten het „anti-agingpeptide” Epitalon (Vanhee 2015, PMID 25535022) en de nootropicapeptiden Selank en Semax; het laboratorium ontwikkelde daarop een eigen opsporingsmethode voor tien van zulke op internet aangeboden peptiden (Vanhee 2020, PMID 31667971). Inmiddels worden ook werkzame stoffen aangeboden die zich nog in klinische studies bevinden, zoals retatrutide en amycretine (hoofdstukken Retatrutide, Amycretine).</w:t>
      </w:r>
    </w:p>
    <w:p>
      <w:pPr>
        <w:pStyle w:val="BodyText"/>
      </w:pPr>
      <w:r>
        <w:t xml:space="preserve">Voor de controlelaboratoria betekent dat een wedloop: een stof waarvoor nog geen referentiestof bestaat, kan niet zeker worden geïdentificeerd. Voor kopers betekent het dat over de nieuwste producten het minst bekend is over inhoud en kwaliteit.</w:t>
      </w:r>
    </w:p>
    <w:p>
      <w:pPr>
        <w:pStyle w:val="BodyText"/>
      </w:pPr>
      <w:r>
        <w:t xml:space="preserve">Steeds vaker duiken grijze-marktproducten ook op in vormen die onschuldiger lijken dan een injectie. Een Amerikaans onderzoek vond 24 als voedingssupplement verkochte pleisters en één gel die werden aangeprezen als „natuurlijk GLP-1”. Geen enkele legde een analysecertificaat voor, veel maakten misleidende reclame; volgens Amerikaans recht is de verkoop van zulke pleisters als voedingssupplement niet toegestaan (White 2026, PMID 41480958). In het Europese markttoezicht was 24% van de spieropbouwpreparaten verpakt als voedingssupplement – wie ze koopt, weet vaak niet dat hij een niet-geregistreerd geneesmiddel inneemt (Barrios 2025, PMID 40551438).</w:t>
      </w:r>
    </w:p>
    <w:bookmarkEnd w:id="1009"/>
    <w:bookmarkStart w:id="1010" w:name="wat-de-analyses-niet-laten-zien"/>
    <w:p>
      <w:pPr>
        <w:pStyle w:val="Heading3"/>
      </w:pPr>
      <w:r>
        <w:t xml:space="preserve">Wat de analyses niet laten zien</w:t>
      </w:r>
    </w:p>
    <w:p>
      <w:pPr>
        <w:pStyle w:val="FirstParagraph"/>
      </w:pPr>
      <w:r>
        <w:t xml:space="preserve">Hoe eenduidig de bevindingen ook zijn, ze hebben grenzen.</w:t>
      </w:r>
    </w:p>
    <w:p>
      <w:pPr>
        <w:numPr>
          <w:ilvl w:val="0"/>
          <w:numId w:val="1345"/>
        </w:numPr>
        <w:pStyle w:val="Compact"/>
      </w:pPr>
      <w:r>
        <w:rPr>
          <w:bCs/>
          <w:b/>
        </w:rPr>
        <w:t xml:space="preserve">Geen representatieve steekproef.</w:t>
      </w:r>
      <w:r>
        <w:t xml:space="preserve"> </w:t>
      </w:r>
      <w:r>
        <w:t xml:space="preserve">In beslag genomen waar is een selectie van wat de douane opvalt. Testaankopen omvatten meestal maar enkele aanbieders. Hoe groot het aandeel gebrekkige producten op de totale markt is, valt daaruit niet te berekenen.</w:t>
      </w:r>
    </w:p>
    <w:p>
      <w:pPr>
        <w:numPr>
          <w:ilvl w:val="0"/>
          <w:numId w:val="1345"/>
        </w:numPr>
        <w:pStyle w:val="Compact"/>
      </w:pPr>
      <w:r>
        <w:rPr>
          <w:bCs/>
          <w:b/>
        </w:rPr>
        <w:t xml:space="preserve">Momentopnamen.</w:t>
      </w:r>
      <w:r>
        <w:t xml:space="preserve"> </w:t>
      </w:r>
      <w:r>
        <w:t xml:space="preserve">Een aanbieder van wie de waar vandaag correct is, kan morgen een andere partij leveren. Goede resultaten van een analyse gelden niet voor het volgende flesje.</w:t>
      </w:r>
    </w:p>
    <w:p>
      <w:pPr>
        <w:numPr>
          <w:ilvl w:val="0"/>
          <w:numId w:val="1345"/>
        </w:numPr>
        <w:pStyle w:val="Compact"/>
      </w:pPr>
      <w:r>
        <w:rPr>
          <w:bCs/>
          <w:b/>
        </w:rPr>
        <w:t xml:space="preserve">Niet alles wordt gecontroleerd.</w:t>
      </w:r>
      <w:r>
        <w:t xml:space="preserve"> </w:t>
      </w:r>
      <w:r>
        <w:t xml:space="preserve">Veel rapporten bepalen alleen de identiteit van de werkzame stof. Of een product met de „juiste” inhoud steriel en endotoxinevrij was, blijft dan open.</w:t>
      </w:r>
    </w:p>
    <w:p>
      <w:pPr>
        <w:numPr>
          <w:ilvl w:val="0"/>
          <w:numId w:val="1345"/>
        </w:numPr>
        <w:pStyle w:val="Compact"/>
      </w:pPr>
      <w:r>
        <w:rPr>
          <w:bCs/>
          <w:b/>
        </w:rPr>
        <w:t xml:space="preserve">Geen uitspraak over werking en veiligheid.</w:t>
      </w:r>
      <w:r>
        <w:t xml:space="preserve"> </w:t>
      </w:r>
      <w:r>
        <w:t xml:space="preserve">Ook een zuiver product is maar zo veilig als de werkzame stof zelf. Voor de meeste grijze-marktpeptiden ontbreken daarvoor studies bij mensen (zie Deel II).</w:t>
      </w:r>
    </w:p>
    <w:bookmarkEnd w:id="1010"/>
    <w:bookmarkStart w:id="1011" w:name="X24d102721a14d9c84086e5f951dd8c4421b9477"/>
    <w:p>
      <w:pPr>
        <w:pStyle w:val="Heading3"/>
      </w:pPr>
      <w:r>
        <w:t xml:space="preserve">GLP-1-geneesmiddelen: wat vergiftigingeninformatiecentra melden</w:t>
      </w:r>
    </w:p>
    <w:p>
      <w:pPr>
        <w:pStyle w:val="FirstParagraph"/>
      </w:pPr>
      <w:r>
        <w:t xml:space="preserve">Voor de GLP-1-geneesmiddelen is er een extra gegevensbron die laat zien wat er bij het gebruik werkelijk misgaat: telefoontjes naar vergiftigingeninformatiecentra. In de VS worden die verzameld in een nationale databank. Deze gegevens maken niet altijd onderscheid tussen origineel, apotheekbereiding en grijze-marktwaar, maar tonen wel de orde van grootte van de problemen.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Studie</w:t>
            </w:r>
          </w:p>
        </w:tc>
        <w:tc>
          <w:tcPr/>
          <w:p>
            <w:pPr>
              <w:pStyle w:val="Compact"/>
              <w:jc w:val="left"/>
            </w:pPr>
            <w:r>
              <w:t xml:space="preserve">Periode en omvang</w:t>
            </w:r>
          </w:p>
        </w:tc>
        <w:tc>
          <w:tcPr/>
          <w:p>
            <w:pPr>
              <w:pStyle w:val="Compact"/>
              <w:jc w:val="left"/>
            </w:pPr>
            <w:r>
              <w:t xml:space="preserve">Belangrijkste bevindingen</w:t>
            </w:r>
          </w:p>
        </w:tc>
      </w:tr>
      <w:tr>
        <w:tc>
          <w:tcPr/>
          <w:p>
            <w:pPr>
              <w:pStyle w:val="Compact"/>
              <w:jc w:val="left"/>
            </w:pPr>
            <w:r>
              <w:t xml:space="preserve">Gaw 2024, PMID 38421490</w:t>
            </w:r>
          </w:p>
        </w:tc>
        <w:tc>
          <w:tcPr/>
          <w:p>
            <w:pPr>
              <w:pStyle w:val="Compact"/>
              <w:jc w:val="left"/>
            </w:pPr>
            <w:r>
              <w:t xml:space="preserve">VS, 2017–2022, 5.713 gevallen</w:t>
            </w:r>
          </w:p>
        </w:tc>
        <w:tc>
          <w:tcPr/>
          <w:p>
            <w:pPr>
              <w:pStyle w:val="Compact"/>
              <w:jc w:val="left"/>
            </w:pPr>
            <w:r>
              <w:t xml:space="preserve">79,9% gebruiksfouten; 6,2% ernstig verloop, één sterfgeval</w:t>
            </w:r>
          </w:p>
        </w:tc>
      </w:tr>
      <w:tr>
        <w:tc>
          <w:tcPr/>
          <w:p>
            <w:pPr>
              <w:pStyle w:val="Compact"/>
              <w:jc w:val="left"/>
            </w:pPr>
            <w:r>
              <w:t xml:space="preserve">Miller 2026, PMID 41634285</w:t>
            </w:r>
          </w:p>
        </w:tc>
        <w:tc>
          <w:tcPr/>
          <w:p>
            <w:pPr>
              <w:pStyle w:val="Compact"/>
              <w:jc w:val="left"/>
            </w:pPr>
            <w:r>
              <w:t xml:space="preserve">VS, 2012–2023, 10.033 gevallen</w:t>
            </w:r>
          </w:p>
        </w:tc>
        <w:tc>
          <w:tcPr/>
          <w:p>
            <w:pPr>
              <w:pStyle w:val="Compact"/>
              <w:jc w:val="left"/>
            </w:pPr>
            <w:r>
              <w:t xml:space="preserve">na registratie voor obesitas meer gevallen, aandeel met contact met arts of ziekenhuis van 23,0 naar 33,5%</w:t>
            </w:r>
          </w:p>
        </w:tc>
      </w:tr>
      <w:tr>
        <w:tc>
          <w:tcPr/>
          <w:p>
            <w:pPr>
              <w:pStyle w:val="Compact"/>
              <w:jc w:val="left"/>
            </w:pPr>
            <w:r>
              <w:t xml:space="preserve">Senthilkumar 2026, PMID 41784916</w:t>
            </w:r>
          </w:p>
        </w:tc>
        <w:tc>
          <w:tcPr/>
          <w:p>
            <w:pPr>
              <w:pStyle w:val="Compact"/>
              <w:jc w:val="left"/>
            </w:pPr>
            <w:r>
              <w:t xml:space="preserve">VS, 2017–2024, 13.924 gevallen</w:t>
            </w:r>
          </w:p>
        </w:tc>
        <w:tc>
          <w:tcPr/>
          <w:p>
            <w:pPr>
              <w:pStyle w:val="Compact"/>
              <w:jc w:val="left"/>
            </w:pPr>
            <w:r>
              <w:t xml:space="preserve">91,7% zonder of met lichte gevolgen; 42 ernstige verlopen, twee sterfgevallen</w:t>
            </w:r>
          </w:p>
        </w:tc>
      </w:tr>
      <w:tr>
        <w:tc>
          <w:tcPr/>
          <w:p>
            <w:pPr>
              <w:pStyle w:val="Compact"/>
              <w:jc w:val="left"/>
            </w:pPr>
            <w:r>
              <w:t xml:space="preserve">Ho 2025, PMID 40371098</w:t>
            </w:r>
          </w:p>
        </w:tc>
        <w:tc>
          <w:tcPr/>
          <w:p>
            <w:pPr>
              <w:pStyle w:val="Compact"/>
              <w:jc w:val="left"/>
            </w:pPr>
            <w:r>
              <w:t xml:space="preserve">Californië, 2017–2023, 1.047 gevallen</w:t>
            </w:r>
          </w:p>
        </w:tc>
        <w:tc>
          <w:tcPr/>
          <w:p>
            <w:pPr>
              <w:pStyle w:val="Compact"/>
              <w:jc w:val="left"/>
            </w:pPr>
            <w:r>
              <w:t xml:space="preserve">21,0% op de spoedeisende hulp, 4,4% opgenomen; hypoglykemie bij 3,8%</w:t>
            </w:r>
          </w:p>
        </w:tc>
      </w:tr>
    </w:tbl>
    <w:p>
      <w:pPr>
        <w:pStyle w:val="BodyText"/>
      </w:pPr>
      <w:r>
        <w:t xml:space="preserve">Meerdere patronen vallen op:</w:t>
      </w:r>
    </w:p>
    <w:p>
      <w:pPr>
        <w:pStyle w:val="BodyText"/>
      </w:pPr>
      <w:r>
        <w:rPr>
          <w:bCs/>
          <w:b/>
        </w:rPr>
        <w:t xml:space="preserve">Het aantal gevallen steeg sterk met de verspreiding.</w:t>
      </w:r>
      <w:r>
        <w:t xml:space="preserve"> </w:t>
      </w:r>
      <w:r>
        <w:t xml:space="preserve">Van 2021 op 2022 nam het aantal gemelde gevallen per miljoen inwoners met 80,9% toe (Gaw 2024, PMID 38421490). Tussen 2017 en 2024 steeg het in totaal met 1.830,8% (Senthilkumar 2026, PMID 41784916).</w:t>
      </w:r>
    </w:p>
    <w:p>
      <w:pPr>
        <w:pStyle w:val="BodyText"/>
      </w:pPr>
      <w:r>
        <w:rPr>
          <w:bCs/>
          <w:b/>
        </w:rPr>
        <w:t xml:space="preserve">De meeste gevallen zijn gebruiksfouten.</w:t>
      </w:r>
      <w:r>
        <w:t xml:space="preserve"> </w:t>
      </w:r>
      <w:r>
        <w:t xml:space="preserve">In alle analyses overheersten onbedoelde fouten bij het gebruik, zoals een dubbele of verkeerd afgemeten dosis (Gaw 2024, PMID 38421490; Ho 2025, PMID 40371098). In een analyse van één centrum ging 21% van de gevallen terug op fouten bij het eerste gebruik van de voorgevulde pen (Marshall 2024, PMID 38861153). Fouten gebeuren dus ook met geregistreerde producten. In de Californische analyse betroffen 36 gevallen apotheekbereidingen; daarbij waren in 91,7% fouten bij het afmeten of injecteren de oorzaak (Ho 2025, PMID 40371098). Dat past bij de in Deel I beschreven casussen van verwisselingen van milliliters, „eenheden” en milligram bij flesjes.</w:t>
      </w:r>
    </w:p>
    <w:p>
      <w:pPr>
        <w:pStyle w:val="BodyText"/>
      </w:pPr>
      <w:r>
        <w:rPr>
          <w:bCs/>
          <w:b/>
        </w:rPr>
        <w:t xml:space="preserve">De gevolgen zijn meestal licht, maar niet altijd.</w:t>
      </w:r>
      <w:r>
        <w:t xml:space="preserve"> </w:t>
      </w:r>
      <w:r>
        <w:t xml:space="preserve">Misselijkheid en braken staan op de voorgrond. Een noemenswaardige minderheid heeft echter medische behandeling nodig, en er waren sterfgevallen (Gaw 2024, PMID 38421490; Senthilkumar 2026, PMID 41784916). Hypoglykemie trad op in 3,4% (Muschler 2025, PMID 39803696) tot 3,8% (Ho 2025, PMID 40371098) van de gevallen; in een andere analyse kwam ze zelden voor, maar ook na gebruik van alleen een GLP-1-geneesmiddel (Marshall 2024, PMID 38861153). Hoe ernstig een overdosis kan verlopen, laat het in het hoofdstuk „Immuunreacties” beschreven geval zien van een vrouw die na een per vergissing tienvoudige dosis uit een bereidingsapotheek met een massale zwelling in de keel moest worden beademd en daarnaast hypoglykemie ontwikkelde (Kraft 2026, PMID 42194666).</w:t>
      </w:r>
    </w:p>
    <w:p>
      <w:pPr>
        <w:pStyle w:val="BodyText"/>
      </w:pPr>
      <w:r>
        <w:rPr>
          <w:bCs/>
          <w:b/>
        </w:rPr>
        <w:t xml:space="preserve">Jongeren zijn een eigen risicogroep.</w:t>
      </w:r>
      <w:r>
        <w:t xml:space="preserve"> </w:t>
      </w:r>
      <w:r>
        <w:t xml:space="preserve">Bij kinderen en jongeren tussen 6 en 17 jaar steeg het aantal gevallen tussen 2017 en 2024 het sterkst. Zij werden vaker opgenomen dan volwassenen (relatief risico 2,66), en hun gevallen gingen duidelijk vaker terug op opzettelijk misbruik (relatief risico 8,12) (Senthilkumar 2026, PMID 41784916). Meer hierover in het volgende hoofdstuk.</w:t>
      </w:r>
    </w:p>
    <w:bookmarkEnd w:id="1011"/>
    <w:bookmarkStart w:id="1012" w:name="wat-daaruit-volgt"/>
    <w:p>
      <w:pPr>
        <w:pStyle w:val="Heading3"/>
      </w:pPr>
      <w:r>
        <w:t xml:space="preserve">Wat daaruit volgt</w:t>
      </w:r>
    </w:p>
    <w:p>
      <w:pPr>
        <w:pStyle w:val="FirstParagraph"/>
      </w:pPr>
      <w:r>
        <w:t xml:space="preserve">De laboratoriumanalyses en de gegevens van vergiftigingeninformatiecentra beschrijven twee kanten van hetzelfde probleem. De analyses laten zien dat grijze-marktproducten in elk denkbaar opzicht van het etiket kunnen afwijken: in de stof, in de hoeveelheid, in de zuiverheid en in giftige bijkomende stoffen. De gegevens van de vergiftigingenlijnen laten zien dat al bij geteste producten fouten bij het afmeten vaak voorkomen – en dat flesjes die eerst moeten worden opgelost en omgerekend, bijzonder foutgevoelig zijn.</w:t>
      </w:r>
    </w:p>
    <w:p>
      <w:pPr>
        <w:pStyle w:val="BodyText"/>
      </w:pPr>
      <w:r>
        <w:t xml:space="preserve">Combineert men beide, dan ontstaat een risico dat met geen enkele studie naar een werkzame stof kan worden beschreven: wie een grijze-marktpeptide injecteert, kent noch de inhoud noch de hoeveelheid, en elke afwijking wordt door mogelijke eigen rekenfouten nog versterkt. De veiligheidsgegevens uit de registratiestudies die in Deel II zijn beschreven, gelden niet voor deze producten.</w:t>
      </w:r>
    </w:p>
    <w:bookmarkEnd w:id="1012"/>
    <w:bookmarkStart w:id="1013" w:name="het-belangrijkste-in-het-kort-6"/>
    <w:p>
      <w:pPr>
        <w:pStyle w:val="Heading3"/>
      </w:pPr>
      <w:r>
        <w:t xml:space="preserve">Het belangrijkste in het kort</w:t>
      </w:r>
    </w:p>
    <w:p>
      <w:pPr>
        <w:numPr>
          <w:ilvl w:val="0"/>
          <w:numId w:val="1346"/>
        </w:numPr>
        <w:pStyle w:val="Compact"/>
      </w:pPr>
      <w:r>
        <w:t xml:space="preserve">Officiële, forensische en antidopinglaboratoria vinden in grijze-marktpeptiden regelmatig verkeerde werkzame stoffen, verkeerde hoeveelheden, lage zuiverheid en designervarianten.</w:t>
      </w:r>
    </w:p>
    <w:p>
      <w:pPr>
        <w:numPr>
          <w:ilvl w:val="0"/>
          <w:numId w:val="1346"/>
        </w:numPr>
        <w:pStyle w:val="Compact"/>
      </w:pPr>
      <w:r>
        <w:t xml:space="preserve">Een systematische Belgische analyse vond daarnaast arseen en lood, deels tot het tienvoudige van de grenswaarde voor injecties, en bacteriën in injectiepreparaten.</w:t>
      </w:r>
    </w:p>
    <w:p>
      <w:pPr>
        <w:numPr>
          <w:ilvl w:val="0"/>
          <w:numId w:val="1346"/>
        </w:numPr>
        <w:pStyle w:val="Compact"/>
      </w:pPr>
      <w:r>
        <w:t xml:space="preserve">Nieuwe „research peptides” duiken sneller op dan controlelaboratoria opsporingsmethoden kunnen ontwikkelen.</w:t>
      </w:r>
    </w:p>
    <w:p>
      <w:pPr>
        <w:numPr>
          <w:ilvl w:val="0"/>
          <w:numId w:val="1346"/>
        </w:numPr>
        <w:pStyle w:val="Compact"/>
      </w:pPr>
      <w:r>
        <w:t xml:space="preserve">Analyses zijn momentopnamen; een goed resultaat geldt niet voor de volgende partij.</w:t>
      </w:r>
    </w:p>
    <w:p>
      <w:pPr>
        <w:numPr>
          <w:ilvl w:val="0"/>
          <w:numId w:val="1346"/>
        </w:numPr>
        <w:pStyle w:val="Compact"/>
      </w:pPr>
      <w:r>
        <w:t xml:space="preserve">In de VS is het aantal telefoontjes naar vergiftigingenlijnen over GLP-1-geneesmiddelen sterk gestegen. De meeste gevallen zijn gebruiksfouten met lichte gevolgen, een minderheid verloopt ernstig. Bij apotheekbereidingen gingen bijna alle gevallen terug op fouten bij het afmeten.</w:t>
      </w:r>
    </w:p>
    <w:bookmarkEnd w:id="1013"/>
    <w:bookmarkEnd w:id="1014"/>
    <w:bookmarkStart w:id="1025" w:name="interacties-en-bijzondere-risicogroepen"/>
    <w:p>
      <w:pPr>
        <w:pStyle w:val="Heading2"/>
      </w:pPr>
      <w:r>
        <w:t xml:space="preserve">Interacties en bijzondere risicogroepen</w:t>
      </w:r>
    </w:p>
    <w:p>
      <w:pPr>
        <w:pStyle w:val="FirstParagraph"/>
      </w:pPr>
      <w:r>
        <w:t xml:space="preserve">De studies waarop de registratie van een geneesmiddel berust, sluiten bepaalde mensen bijna altijd uit: zwangeren, kinderen, zeer oude mensen of mensen met meerdere aandoeningen, mensen met eetstoornissen of ernstige psychische aandoeningen. Wat voor de studiedeelnemers geldt, is daarom maar beperkt op deze groepen over te dragen. Daarbij komen interacties met andere geneesmiddelen en situaties zoals een narcose, waarin een normaal onschuldige werking plotseling gevaarlijk kan worden.</w:t>
      </w:r>
    </w:p>
    <w:p>
      <w:pPr>
        <w:pStyle w:val="BodyText"/>
      </w:pPr>
      <w:r>
        <w:t xml:space="preserve">Dit hoofdstuk bundelt deze vragen. Het vervangt geen medisch advies en geen productinformatie. Bij geregistreerde geneesmiddelen legt de productinformatie contra-indicaties en interacties bindend vast; bij niet-geregistreerde peptiden zijn er over deze groepen doorgaans helemaal geen gegevens.</w:t>
      </w:r>
    </w:p>
    <w:bookmarkStart w:id="1015" w:name="zwangerschap-en-borstvoeding"/>
    <w:p>
      <w:pPr>
        <w:pStyle w:val="Heading3"/>
      </w:pPr>
      <w:r>
        <w:t xml:space="preserve">Zwangerschap en borstvoeding</w:t>
      </w:r>
    </w:p>
    <w:p>
      <w:pPr>
        <w:pStyle w:val="FirstParagraph"/>
      </w:pPr>
      <w:r>
        <w:t xml:space="preserve">Voor bijna alle peptiden in dit boek geldt: tijdens de zwangerschap zijn ze niet onderzocht of niet geïndiceerd. De productinformaties van de GLP-1-geneesmiddelen schrijven voor ze tijdens de zwangerschap niet te gebruiken en vóór een geplande zwangerschap tijdig te stoppen (hoofdstukken Semaglutide, Tirzepatide). Bij maridebart cafraglutide is dat bijzonder belangrijk, omdat de werking ervan in een vroege studie tot 150 dagen na de laatste dosis aanhield (hoofdstuk Maridebart cafraglutide).</w:t>
      </w:r>
    </w:p>
    <w:p>
      <w:pPr>
        <w:pStyle w:val="BodyText"/>
      </w:pPr>
      <w:r>
        <w:t xml:space="preserve">Omdat GLP-1-geneesmiddelen bij veel vrouwen in de vruchtbare leeftijd worden ingezet en gewichtsverlies de vruchtbaarheid kan verbeteren, komen er toch ongeplande zwangerschappen tijdens de behandeling voor. Voor die situatie zijn er inmiddels gegevens, die overwegend geruststellend zijn:</w:t>
      </w:r>
    </w:p>
    <w:p>
      <w:pPr>
        <w:numPr>
          <w:ilvl w:val="0"/>
          <w:numId w:val="1347"/>
        </w:numPr>
        <w:pStyle w:val="Compact"/>
      </w:pPr>
      <w:r>
        <w:t xml:space="preserve">In een grote studie uit vier Noordse landen, de VS en Israël lag het percentage ernstige aangeboren afwijkingen bij kinderen van vrouwen met diabetes type 2 die rond de conceptie GLP-1-receptoragonisten hadden gekregen, niet hoger dan met insuline (gecorrigeerd relatief risico 0,95) (Cesta 2024, PMID 38079178).</w:t>
      </w:r>
    </w:p>
    <w:p>
      <w:pPr>
        <w:numPr>
          <w:ilvl w:val="0"/>
          <w:numId w:val="1347"/>
        </w:numPr>
        <w:pStyle w:val="Compact"/>
      </w:pPr>
      <w:r>
        <w:t xml:space="preserve">Een analyse van zes informatiecentra voor geneesmiddelen tijdens de zwangerschap vond bij 168 zwangerschappen met blootstelling aan GLP-1 in het eerste trimester ernstige aangeboren afwijkingen bij 2,6%, in de vergelijkingsgroepen bij 2,3% en 3,9% (Dao 2024, PMID 38663923).</w:t>
      </w:r>
    </w:p>
    <w:p>
      <w:pPr>
        <w:numPr>
          <w:ilvl w:val="0"/>
          <w:numId w:val="1347"/>
        </w:numPr>
        <w:pStyle w:val="Compact"/>
      </w:pPr>
      <w:r>
        <w:t xml:space="preserve">Een Amerikaanse studie met 3.572 zwangerschappen vergeleek vrouwen die het geneesmiddel tot in het eerste trimester bleven ophalen met vrouwen die ermee stopten. Een duidelijk verhoogd risico op miskraam of doodgeboorte, groeistoornissen of aangeboren afwijkingen werd niet gevonden; de schattingen voor aangeboren afwijkingen waren echter zo onnauwkeurig dat ook een betekenisvol verschil niet kan worden uitgesloten (Brown 2026, PMID 42258827).</w:t>
      </w:r>
    </w:p>
    <w:p>
      <w:pPr>
        <w:numPr>
          <w:ilvl w:val="0"/>
          <w:numId w:val="1347"/>
        </w:numPr>
        <w:pStyle w:val="Compact"/>
      </w:pPr>
      <w:r>
        <w:t xml:space="preserve">Een meta-analyse van zeven cohortstudies met meer dan 40.000 blootgestelde zwangerschappen vond geen statistisch zekere stijging van ernstige aangeboren afwijkingen; een signaal voor afwijkingen van de urinewegen berustte alleen op niet-gecorrigeerde gegevens. De zekerheid van het bewijs beoordelen de auteurs als laag (Uysal 2026, PMID 42420519).</w:t>
      </w:r>
    </w:p>
    <w:p>
      <w:pPr>
        <w:pStyle w:val="FirstParagraph"/>
      </w:pPr>
      <w:r>
        <w:t xml:space="preserve">Deze gegevens helpen bij de beoordeling van een</w:t>
      </w:r>
      <w:r>
        <w:t xml:space="preserve"> </w:t>
      </w:r>
      <w:r>
        <w:rPr>
          <w:iCs/>
          <w:i/>
        </w:rPr>
        <w:t xml:space="preserve">onbedoelde</w:t>
      </w:r>
      <w:r>
        <w:t xml:space="preserve"> </w:t>
      </w:r>
      <w:r>
        <w:t xml:space="preserve">blootstelling. Ze zijn geen bewijs dat gepland gebruik tijdens de zwangerschap veilig zou zijn. Voor de periode van borstvoeding zijn de gegevens nog schaarser; over de overgang van bremelanotide in de moedermelk is een kleine studie met tien vrouwen afgerond (NCT06867835).</w:t>
      </w:r>
    </w:p>
    <w:p>
      <w:pPr>
        <w:pStyle w:val="BodyText"/>
      </w:pPr>
      <w:r>
        <w:t xml:space="preserve">Sommige peptiden zijn tijdens de zwangerschap gevaarlijk vanwege hun werkingsprincipe. Oxytocine wekt weeën op; gebruik als neusspray buiten medische controle is tijdens de zwangerschap riskant (hoofdstuk Oxytocine). Voor grijze-marktpeptiden zoals BPC-157, TB-500, Epitalon of de groeihormoonvrijmakers zijn er geen enkele gegevens over zwangerschap en borstvoeding.</w:t>
      </w:r>
    </w:p>
    <w:bookmarkEnd w:id="1015"/>
    <w:bookmarkStart w:id="1016" w:name="orale-anticonceptie-en-maaglediging"/>
    <w:p>
      <w:pPr>
        <w:pStyle w:val="Heading3"/>
      </w:pPr>
      <w:r>
        <w:t xml:space="preserve">Orale anticonceptie en maaglediging</w:t>
      </w:r>
    </w:p>
    <w:p>
      <w:pPr>
        <w:pStyle w:val="FirstParagraph"/>
      </w:pPr>
      <w:r>
        <w:t xml:space="preserve">GLP-1-geneesmiddelen, amylineanalogen zoals pramlintide en ook bremelanotide vertragen de lediging van de maag. Daardoor kunnen tabletten die tegelijk worden ingenomen, later of in een andere hoeveelheid in het bloed terechtkomen. Dat betreft vooral geneesmiddelen waarbij een snel intredende werking of een gelijkmatige bloedspiegel belangrijk is.</w:t>
      </w:r>
    </w:p>
    <w:p>
      <w:pPr>
        <w:pStyle w:val="BodyText"/>
      </w:pPr>
      <w:r>
        <w:t xml:space="preserve">Bijzonder nauwkeurig onderzocht is de anticonceptiepil. Voor semaglutide vond een studie met 43 vrouwen geen verminderde opname van de twee hormonen van een gangbare combinatiepil; de spiegel van het progestageen lag met semaglutide zelfs 20% hoger (Kapitza 2015, PMID 25475122). Bij tirzepatide is dat anders: een overzicht van zes studies vond alleen bij tirzepatide een significante vermindering van de opgenomen hoeveelheid hormoon, bij de overige GLP-1-receptoragonisten niet. Als verklaring noemen de auteurs de sterkere vertraging van de maaglediging na de eerste dosis en na dosisverhogingen (Skelley 2024, PMID 37940101). De productinformatie van tirzepatide bevat daarom een eigen waarschuwing over anticonceptie met tabletten; de details staan daar en kunnen het best met uw arts worden besproken.</w:t>
      </w:r>
    </w:p>
    <w:p>
      <w:pPr>
        <w:pStyle w:val="BodyText"/>
      </w:pPr>
      <w:r>
        <w:t xml:space="preserve">Ongeacht de werkzame stof geldt: hevig braken of diarree – bij GLP-1-geneesmiddelen vaak voorkomend – kunnen de opname van elke tablet belemmeren, ook die van de pil.</w:t>
      </w:r>
    </w:p>
    <w:p>
      <w:pPr>
        <w:pStyle w:val="BodyText"/>
      </w:pPr>
      <w:r>
        <w:t xml:space="preserve">Andere bekende interacties in een overzicht: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Peptide</w:t>
            </w:r>
          </w:p>
        </w:tc>
        <w:tc>
          <w:tcPr/>
          <w:p>
            <w:pPr>
              <w:pStyle w:val="Compact"/>
              <w:jc w:val="left"/>
            </w:pPr>
            <w:r>
              <w:t xml:space="preserve">Interactie</w:t>
            </w:r>
          </w:p>
        </w:tc>
        <w:tc>
          <w:tcPr/>
          <w:p>
            <w:pPr>
              <w:pStyle w:val="Compact"/>
              <w:jc w:val="left"/>
            </w:pPr>
            <w:r>
              <w:t xml:space="preserve">Betekenis</w:t>
            </w:r>
          </w:p>
        </w:tc>
        <w:tc>
          <w:tcPr/>
          <w:p>
            <w:pPr>
              <w:pStyle w:val="Compact"/>
              <w:jc w:val="left"/>
            </w:pPr>
            <w:r>
              <w:t xml:space="preserve">Hoofdstuk</w:t>
            </w:r>
          </w:p>
        </w:tc>
      </w:tr>
      <w:tr>
        <w:tc>
          <w:tcPr/>
          <w:p>
            <w:pPr>
              <w:pStyle w:val="Compact"/>
              <w:jc w:val="left"/>
            </w:pPr>
            <w:r>
              <w:t xml:space="preserve">GLP-1-geneesmiddelen, pramlintide</w:t>
            </w:r>
          </w:p>
        </w:tc>
        <w:tc>
          <w:tcPr/>
          <w:p>
            <w:pPr>
              <w:pStyle w:val="Compact"/>
              <w:jc w:val="left"/>
            </w:pPr>
            <w:r>
              <w:t xml:space="preserve">vertraagde opname van tabletten</w:t>
            </w:r>
          </w:p>
        </w:tc>
        <w:tc>
          <w:tcPr/>
          <w:p>
            <w:pPr>
              <w:pStyle w:val="Compact"/>
              <w:jc w:val="left"/>
            </w:pPr>
            <w:r>
              <w:t xml:space="preserve">letten op bij geneesmiddelen met een smalle therapeutische breedte</w:t>
            </w:r>
          </w:p>
        </w:tc>
        <w:tc>
          <w:tcPr/>
          <w:p>
            <w:pPr>
              <w:pStyle w:val="Compact"/>
              <w:jc w:val="left"/>
            </w:pPr>
            <w:r>
              <w:t xml:space="preserve">Semaglutide, Pramlintide</w:t>
            </w:r>
          </w:p>
        </w:tc>
      </w:tr>
      <w:tr>
        <w:tc>
          <w:tcPr/>
          <w:p>
            <w:pPr>
              <w:pStyle w:val="Compact"/>
              <w:jc w:val="left"/>
            </w:pPr>
            <w:r>
              <w:t xml:space="preserve">Tirzepatide</w:t>
            </w:r>
          </w:p>
        </w:tc>
        <w:tc>
          <w:tcPr/>
          <w:p>
            <w:pPr>
              <w:pStyle w:val="Compact"/>
              <w:jc w:val="left"/>
            </w:pPr>
            <w:r>
              <w:t xml:space="preserve">minder hormoon uit de pil</w:t>
            </w:r>
          </w:p>
        </w:tc>
        <w:tc>
          <w:tcPr/>
          <w:p>
            <w:pPr>
              <w:pStyle w:val="Compact"/>
              <w:jc w:val="left"/>
            </w:pPr>
            <w:r>
              <w:t xml:space="preserve">waarschuwing in de productinformatie</w:t>
            </w:r>
          </w:p>
        </w:tc>
        <w:tc>
          <w:tcPr/>
          <w:p>
            <w:pPr>
              <w:pStyle w:val="Compact"/>
              <w:jc w:val="left"/>
            </w:pPr>
            <w:r>
              <w:t xml:space="preserve">Tirzepatide</w:t>
            </w:r>
          </w:p>
        </w:tc>
      </w:tr>
      <w:tr>
        <w:tc>
          <w:tcPr/>
          <w:p>
            <w:pPr>
              <w:pStyle w:val="Compact"/>
              <w:jc w:val="left"/>
            </w:pPr>
            <w:r>
              <w:t xml:space="preserve">Bremelanotide</w:t>
            </w:r>
          </w:p>
        </w:tc>
        <w:tc>
          <w:tcPr/>
          <w:p>
            <w:pPr>
              <w:pStyle w:val="Compact"/>
              <w:jc w:val="left"/>
            </w:pPr>
            <w:r>
              <w:t xml:space="preserve">lagere spiegels van indometacine en naltrexon</w:t>
            </w:r>
          </w:p>
        </w:tc>
        <w:tc>
          <w:tcPr/>
          <w:p>
            <w:pPr>
              <w:pStyle w:val="Compact"/>
              <w:jc w:val="left"/>
            </w:pPr>
            <w:r>
              <w:t xml:space="preserve">werking van deze middelen kan afnemen</w:t>
            </w:r>
          </w:p>
        </w:tc>
        <w:tc>
          <w:tcPr/>
          <w:p>
            <w:pPr>
              <w:pStyle w:val="Compact"/>
              <w:jc w:val="left"/>
            </w:pPr>
            <w:r>
              <w:t xml:space="preserve">Bremelanotide</w:t>
            </w:r>
          </w:p>
        </w:tc>
      </w:tr>
      <w:tr>
        <w:tc>
          <w:tcPr/>
          <w:p>
            <w:pPr>
              <w:pStyle w:val="Compact"/>
              <w:jc w:val="left"/>
            </w:pPr>
            <w:r>
              <w:t xml:space="preserve">Macimoreline</w:t>
            </w:r>
          </w:p>
        </w:tc>
        <w:tc>
          <w:tcPr/>
          <w:p>
            <w:pPr>
              <w:pStyle w:val="Compact"/>
              <w:jc w:val="left"/>
            </w:pPr>
            <w:r>
              <w:t xml:space="preserve">verlengt het QT-interval</w:t>
            </w:r>
          </w:p>
        </w:tc>
        <w:tc>
          <w:tcPr/>
          <w:p>
            <w:pPr>
              <w:pStyle w:val="Compact"/>
              <w:jc w:val="left"/>
            </w:pPr>
            <w:r>
              <w:t xml:space="preserve">voorzichtigheid met andere QT-verlengende middelen</w:t>
            </w:r>
          </w:p>
        </w:tc>
        <w:tc>
          <w:tcPr/>
          <w:p>
            <w:pPr>
              <w:pStyle w:val="Compact"/>
              <w:jc w:val="left"/>
            </w:pPr>
            <w:r>
              <w:t xml:space="preserve">Macimoreline</w:t>
            </w:r>
          </w:p>
        </w:tc>
      </w:tr>
      <w:tr>
        <w:tc>
          <w:tcPr/>
          <w:p>
            <w:pPr>
              <w:pStyle w:val="Compact"/>
              <w:jc w:val="left"/>
            </w:pPr>
            <w:r>
              <w:t xml:space="preserve">Orforglipron</w:t>
            </w:r>
          </w:p>
        </w:tc>
        <w:tc>
          <w:tcPr/>
          <w:p>
            <w:pPr>
              <w:pStyle w:val="Compact"/>
              <w:jc w:val="left"/>
            </w:pPr>
            <w:r>
              <w:t xml:space="preserve">afbraak via leverenzymen</w:t>
            </w:r>
          </w:p>
        </w:tc>
        <w:tc>
          <w:tcPr/>
          <w:p>
            <w:pPr>
              <w:pStyle w:val="Compact"/>
              <w:jc w:val="left"/>
            </w:pPr>
            <w:r>
              <w:t xml:space="preserve">interacties met andere geneesmiddelen mogelijk</w:t>
            </w:r>
          </w:p>
        </w:tc>
        <w:tc>
          <w:tcPr/>
          <w:p>
            <w:pPr>
              <w:pStyle w:val="Compact"/>
              <w:jc w:val="left"/>
            </w:pPr>
            <w:r>
              <w:t xml:space="preserve">Orforglipron</w:t>
            </w:r>
          </w:p>
        </w:tc>
      </w:tr>
      <w:tr>
        <w:tc>
          <w:tcPr/>
          <w:p>
            <w:pPr>
              <w:pStyle w:val="Compact"/>
              <w:jc w:val="left"/>
            </w:pPr>
            <w:r>
              <w:t xml:space="preserve">Selank, DSIP</w:t>
            </w:r>
          </w:p>
        </w:tc>
        <w:tc>
          <w:tcPr/>
          <w:p>
            <w:pPr>
              <w:pStyle w:val="Compact"/>
              <w:jc w:val="left"/>
            </w:pPr>
            <w:r>
              <w:t xml:space="preserve">kalmerings- en slaapmiddelen, alcohol</w:t>
            </w:r>
          </w:p>
        </w:tc>
        <w:tc>
          <w:tcPr/>
          <w:p>
            <w:pPr>
              <w:pStyle w:val="Compact"/>
              <w:jc w:val="left"/>
            </w:pPr>
            <w:r>
              <w:t xml:space="preserve">niet onderzocht</w:t>
            </w:r>
          </w:p>
        </w:tc>
        <w:tc>
          <w:tcPr/>
          <w:p>
            <w:pPr>
              <w:pStyle w:val="Compact"/>
              <w:jc w:val="left"/>
            </w:pPr>
            <w:r>
              <w:t xml:space="preserve">Selank, DSIP</w:t>
            </w:r>
          </w:p>
        </w:tc>
      </w:tr>
      <w:tr>
        <w:tc>
          <w:tcPr/>
          <w:p>
            <w:pPr>
              <w:pStyle w:val="Compact"/>
              <w:jc w:val="left"/>
            </w:pPr>
            <w:r>
              <w:t xml:space="preserve">BPC-157</w:t>
            </w:r>
          </w:p>
        </w:tc>
        <w:tc>
          <w:tcPr/>
          <w:p>
            <w:pPr>
              <w:pStyle w:val="Compact"/>
              <w:jc w:val="left"/>
            </w:pPr>
            <w:r>
              <w:t xml:space="preserve">bloedstolling (alleen dierlijke gegevens)</w:t>
            </w:r>
          </w:p>
        </w:tc>
        <w:tc>
          <w:tcPr/>
          <w:p>
            <w:pPr>
              <w:pStyle w:val="Compact"/>
              <w:jc w:val="left"/>
            </w:pPr>
            <w:r>
              <w:t xml:space="preserve">bij antistollingsmiddelen onbekend</w:t>
            </w:r>
          </w:p>
        </w:tc>
        <w:tc>
          <w:tcPr/>
          <w:p>
            <w:pPr>
              <w:pStyle w:val="Compact"/>
              <w:jc w:val="left"/>
            </w:pPr>
            <w:r>
              <w:t xml:space="preserve">BPC-157</w:t>
            </w:r>
          </w:p>
        </w:tc>
      </w:tr>
    </w:tbl>
    <w:p>
      <w:pPr>
        <w:pStyle w:val="BodyText"/>
      </w:pPr>
      <w:r>
        <w:t xml:space="preserve">De interactie van bremelanotide met indometacine en naltrexon is beschreven in de registratiegegevens (Clayton 2022, PMID 35147466). De QT-verlenging door macimoreline werd gemeten in een grondige ecg-studie (Lissy 2021, PMID 32961034).</w:t>
      </w:r>
    </w:p>
    <w:bookmarkEnd w:id="1016"/>
    <w:bookmarkStart w:id="1017" w:name="narcose-gastroscopie-en-aspiratie"/>
    <w:p>
      <w:pPr>
        <w:pStyle w:val="Heading3"/>
      </w:pPr>
      <w:r>
        <w:t xml:space="preserve">Narcose, gastroscopie en aspiratie</w:t>
      </w:r>
    </w:p>
    <w:p>
      <w:pPr>
        <w:pStyle w:val="FirstParagraph"/>
      </w:pPr>
      <w:r>
        <w:t xml:space="preserve">Vóór een narcose moet de maag leeg zijn. De reden: als maaginhoud tijdens de narcose in de luchtwegen terechtkomt (aspiratie), kan een ernstige longontsteking volgen. Omdat GLP-1-geneesmiddelen de maaglediging vertragen, kan de maag ondanks een voorgeschreven nuchtere periode nog voedselresten bevatten.</w:t>
      </w:r>
    </w:p>
    <w:p>
      <w:pPr>
        <w:pStyle w:val="BodyText"/>
      </w:pPr>
      <w:r>
        <w:t xml:space="preserve">De studies hierover geven een tweeledig beeld:</w:t>
      </w:r>
    </w:p>
    <w:p>
      <w:pPr>
        <w:numPr>
          <w:ilvl w:val="0"/>
          <w:numId w:val="1348"/>
        </w:numPr>
        <w:pStyle w:val="Compact"/>
      </w:pPr>
      <w:r>
        <w:rPr>
          <w:bCs/>
          <w:b/>
        </w:rPr>
        <w:t xml:space="preserve">Meer restinhoud in de maag is goed aangetoond.</w:t>
      </w:r>
      <w:r>
        <w:t xml:space="preserve"> </w:t>
      </w:r>
      <w:r>
        <w:t xml:space="preserve">Een meta-analyse van 23 observationele studies met 262.018 mensen die een gastroscopie kregen, vond met GLP-1-receptoragonisten een ongeveer viereneenhalf keer zo hoog risico op voedselresten in de maag (odds ratio 4,54) en evenzo vaker voortijdig afgebroken onderzoeken. Aspiratiepneumonie kwam niet vaker voor (odds ratio 0,96) (Baig 2025, PMID 39694296).</w:t>
      </w:r>
    </w:p>
    <w:p>
      <w:pPr>
        <w:numPr>
          <w:ilvl w:val="0"/>
          <w:numId w:val="1348"/>
        </w:numPr>
        <w:pStyle w:val="Compact"/>
      </w:pPr>
      <w:r>
        <w:t xml:space="preserve">In een studie met echografie van de maag vóór geplande operaties had 49% van de mensen met semaglutide een „volle maag”, maar slechts 18% van de vergelijkbare controlepersonen; vaste voedselresten werden gevonden bij 42% tegenover 7%. Dat gold ook als een dosis vóór de operatie was overgeslagen (Vlaeminck 2026, PMID 41631344).</w:t>
      </w:r>
    </w:p>
    <w:p>
      <w:pPr>
        <w:numPr>
          <w:ilvl w:val="0"/>
          <w:numId w:val="1348"/>
        </w:numPr>
        <w:pStyle w:val="Compact"/>
      </w:pPr>
      <w:r>
        <w:rPr>
          <w:bCs/>
          <w:b/>
        </w:rPr>
        <w:t xml:space="preserve">Werkelijke aspiraties zijn zeldzaam.</w:t>
      </w:r>
      <w:r>
        <w:t xml:space="preserve"> </w:t>
      </w:r>
      <w:r>
        <w:t xml:space="preserve">In een grote Amerikaanse databankstudie met 296.389 paren van mensen met diabetes type 2 traden luchtwegcomplicaties na operaties met GLP-1-receptoragonisten zelfs minder vaak op (0,09% tegenover 0,34%), aspiraties bij 0,01% tegenover 0,03%. De auteurs benadrukken dat onduidelijk is of in deze gevallen al voorzorgsmaatregelen waren genomen (Wu 2026, PMID 40940281).</w:t>
      </w:r>
    </w:p>
    <w:p>
      <w:pPr>
        <w:pStyle w:val="FirstParagraph"/>
      </w:pPr>
      <w:r>
        <w:t xml:space="preserve">Mogelijk zijn de aspiratiepercentages laag omdat anesthesieteams het risico kennen en hun aanpak aanpassen. Of het pauzeren van het geneesmiddel vóór een gastroscopie het probleem vermindert, moet een grote studie in China ophelderen (NCT07276763). Voor behandelden betekent dat vooral: meld vóór elke operatie, narcose of gastroscopie dat u een GLP-1-geneesmiddel gebruikt – ook als het uit een bereidingsapotheek of van de grijze markt komt. Hoe met het geneesmiddel vóór de ingreep moet worden omgegaan, beslist het behandelteam volgens de dan geldende aanbevelingen. Wie een grijze-marktproduct niet als geneesmiddel beschouwt en het daarom niet noemt, ontneemt het anesthesieteam die mogelijkheid.</w:t>
      </w:r>
    </w:p>
    <w:bookmarkEnd w:id="1017"/>
    <w:bookmarkStart w:id="1018" w:name="X99fd7e573647aca4fb09d7594e87007c01ff395"/>
    <w:p>
      <w:pPr>
        <w:pStyle w:val="Heading3"/>
      </w:pPr>
      <w:r>
        <w:t xml:space="preserve">Combinatie met diabetesmiddelen en hypoglykemie</w:t>
      </w:r>
    </w:p>
    <w:p>
      <w:pPr>
        <w:pStyle w:val="FirstParagraph"/>
      </w:pPr>
      <w:r>
        <w:t xml:space="preserve">Zoals beschreven in het hoofdstuk „Bijwerkingen naar orgaansysteem”, veroorzaken GLP-1-geneesmiddelen alleen nauwelijks gevaarlijke hypoglykemie. Dat verandert in combinatie met insuline of sulfonylureumderivaten, die de bloedsuiker verlagen ongeacht de actuele waarde. In een studie met exenatide bovenop metformine en een sulfonylureumderivaat trad lichte tot matige hypoglykemie op bij maximaal 28%, met placebo bij 13%; bij een laag gedoseerd sulfonylureumderivaat kwam ze minder vaak voor (Kendall 2005, PMID 15855571). Bij pramlintide, dat samen met insuline wordt ingezet, kwam ernstige hypoglykemie vaker voor dan met placebo (Edelman 2006, PMID 17003291). Daarom schrijven de productinformaties voor dat de dosis van de andere diabetesmiddelen bij de start wordt gecontroleerd; de uitvoering hoort in handen van een arts.</w:t>
      </w:r>
    </w:p>
    <w:p>
      <w:pPr>
        <w:pStyle w:val="BodyText"/>
      </w:pPr>
      <w:r>
        <w:t xml:space="preserve">Voor meerdere niet-geregistreerde peptiden is een extra bloedsuikerverlaging theoretisch denkbaar, bijvoorbeeld voor MOTS-c of IGF-1 LR3 (hoofdstukken MOTS-c, IGF-1 LR3). Onderzocht is dat niet. Omgekeerd kunnen de peptiden van de groeihormoonas de bloedsuiker verhogen en een bestaande diabetesbehandeling uit evenwicht brengen (hoofdstukken Ibutamoren, Tesamoreline).</w:t>
      </w:r>
    </w:p>
    <w:bookmarkEnd w:id="1018"/>
    <w:bookmarkStart w:id="1019" w:name="kinderen-en-jongeren-3"/>
    <w:p>
      <w:pPr>
        <w:pStyle w:val="Heading3"/>
      </w:pPr>
      <w:r>
        <w:t xml:space="preserve">Kinderen en jongeren</w:t>
      </w:r>
    </w:p>
    <w:p>
      <w:pPr>
        <w:pStyle w:val="FirstParagraph"/>
      </w:pPr>
      <w:r>
        <w:t xml:space="preserve">Semaglutide en liraglutide zijn in de EU en de VS ook geregistreerd voor jongeren vanaf twaalf jaar met obesitas (stand 2026, actuele situatie controleren). De registratiestudies laten een vergelijkbaar bijwerkingenprofiel zien als bij volwassenen: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Deelnemers</w:t>
            </w:r>
          </w:p>
        </w:tc>
        <w:tc>
          <w:tcPr/>
          <w:p>
            <w:pPr>
              <w:pStyle w:val="Compact"/>
              <w:jc w:val="left"/>
            </w:pPr>
            <w:r>
              <w:t xml:space="preserve">Maag-darmklachten</w:t>
            </w:r>
          </w:p>
        </w:tc>
        <w:tc>
          <w:tcPr/>
          <w:p>
            <w:pPr>
              <w:pStyle w:val="Compact"/>
              <w:jc w:val="left"/>
            </w:pPr>
            <w:r>
              <w:t xml:space="preserve">Overige bevindingen</w:t>
            </w:r>
          </w:p>
        </w:tc>
      </w:tr>
      <w:tr>
        <w:tc>
          <w:tcPr/>
          <w:p>
            <w:pPr>
              <w:pStyle w:val="Compact"/>
              <w:jc w:val="left"/>
            </w:pPr>
            <w:r>
              <w:t xml:space="preserve">STEP TEENS (Weghuber 2022), PMID 36322838</w:t>
            </w:r>
          </w:p>
        </w:tc>
        <w:tc>
          <w:tcPr/>
          <w:p>
            <w:pPr>
              <w:pStyle w:val="Compact"/>
              <w:jc w:val="left"/>
            </w:pPr>
            <w:r>
              <w:t xml:space="preserve">201 jongeren, semaglutide, 68 weken</w:t>
            </w:r>
          </w:p>
        </w:tc>
        <w:tc>
          <w:tcPr/>
          <w:p>
            <w:pPr>
              <w:pStyle w:val="Compact"/>
              <w:jc w:val="left"/>
            </w:pPr>
            <w:r>
              <w:t xml:space="preserve">62% vs. 42%</w:t>
            </w:r>
          </w:p>
        </w:tc>
        <w:tc>
          <w:tcPr/>
          <w:p>
            <w:pPr>
              <w:pStyle w:val="Compact"/>
              <w:jc w:val="left"/>
            </w:pPr>
            <w:r>
              <w:t xml:space="preserve">galstenen bij 4%; ernstige voorvallen 11% vs. 9%</w:t>
            </w:r>
          </w:p>
        </w:tc>
      </w:tr>
      <w:tr>
        <w:tc>
          <w:tcPr/>
          <w:p>
            <w:pPr>
              <w:pStyle w:val="Compact"/>
              <w:jc w:val="left"/>
            </w:pPr>
            <w:r>
              <w:t xml:space="preserve">SCALE Teens (Kelly 2020), PMID 32233338</w:t>
            </w:r>
          </w:p>
        </w:tc>
        <w:tc>
          <w:tcPr/>
          <w:p>
            <w:pPr>
              <w:pStyle w:val="Compact"/>
              <w:jc w:val="left"/>
            </w:pPr>
            <w:r>
              <w:t xml:space="preserve">251 jongeren, liraglutide, 56 weken</w:t>
            </w:r>
          </w:p>
        </w:tc>
        <w:tc>
          <w:tcPr/>
          <w:p>
            <w:pPr>
              <w:pStyle w:val="Compact"/>
              <w:jc w:val="left"/>
            </w:pPr>
            <w:r>
              <w:t xml:space="preserve">64,8% vs. 36,5%</w:t>
            </w:r>
          </w:p>
        </w:tc>
        <w:tc>
          <w:tcPr/>
          <w:p>
            <w:pPr>
              <w:pStyle w:val="Compact"/>
              <w:jc w:val="left"/>
            </w:pPr>
            <w:r>
              <w:t xml:space="preserve">stoppen wegens bijwerkingen 10,4% vs. 0%</w:t>
            </w:r>
          </w:p>
        </w:tc>
      </w:tr>
    </w:tbl>
    <w:p>
      <w:pPr>
        <w:pStyle w:val="BodyText"/>
      </w:pPr>
      <w:r>
        <w:t xml:space="preserve">In de liraglutidestudie steeg de BMI na het stoppen weer sterker dan met placebo, en er vond een suïcide plaats in de liraglutidegroep, die de onderzoekers als waarschijnlijk niet behandelingsgerelateerd beoordeelden (Kelly 2020, PMID 32233338). Een meta-analyse van negen gerandomiseerde en twee observationele studies met jongeren vond in totaal geen toename van suïcidaal gedrag of depressie (Silva 2026, PMID 42115753).</w:t>
      </w:r>
    </w:p>
    <w:p>
      <w:pPr>
        <w:pStyle w:val="BodyText"/>
      </w:pPr>
      <w:r>
        <w:t xml:space="preserve">Een ander beeld geven de gegevens van de Amerikaanse vergiftigingeninformatiecentra. Bij kinderen en jongeren tussen 6 en 17 jaar stegen de gemelde gevallen met GLP-1-geneesmiddelen tussen 2017 en 2024 het sterkst. Zij werden vaker opgenomen dan volwassenen (relatief risico 2,66), braakten vaker, en hun gevallen gingen ongeveer acht keer zo vaak terug op opzettelijk misbruik (Senthilkumar 2026, PMID 41784916). Dat wijst erop dat jongeren deze geneesmiddelen deels buiten een medische behandeling gebruiken.</w:t>
      </w:r>
    </w:p>
    <w:p>
      <w:pPr>
        <w:pStyle w:val="BodyText"/>
      </w:pPr>
      <w:r>
        <w:t xml:space="preserve">Bij de peptiden uit de fitness- en bodybuildingwereld is onduidelijk hoe verspreid ze onder jongeren zijn. Een overzicht wijst op reclame in sociale media en aanwijzingen voor een groeiend gebruik ook door jongere recreatieve sporters, maar benadrukt dat studies naar de frequentie ontbreken (Coutinho 2026, PMID 41880199). Voor jongeren, van wie de groei en het hormoonstelsel nog niet zijn voltooid, is ingrijpen in de groeihormoon- of geslachtshormoonas met niet-geregistreerde stoffen bijzonder riskant. De geregistreerde peptiden voor kinderen – zoals mecasermine bij ernstig IGF-1-tekort – worden uitsluitend onder controle van een medisch specialist ingezet (hoofdstuk Mecasermine).</w:t>
      </w:r>
    </w:p>
    <w:bookmarkEnd w:id="1019"/>
    <w:bookmarkStart w:id="1020" w:name="ouderen"/>
    <w:p>
      <w:pPr>
        <w:pStyle w:val="Heading3"/>
      </w:pPr>
      <w:r>
        <w:t xml:space="preserve">Ouderen</w:t>
      </w:r>
    </w:p>
    <w:p>
      <w:pPr>
        <w:pStyle w:val="FirstParagraph"/>
      </w:pPr>
      <w:r>
        <w:t xml:space="preserve">Met de leeftijd neemt het risico toe dat bijwerkingen ernstiger verlopen. Voor ouderen zijn bij peptiden vooral vier punten belangrijk:</w:t>
      </w:r>
    </w:p>
    <w:p>
      <w:pPr>
        <w:numPr>
          <w:ilvl w:val="0"/>
          <w:numId w:val="1349"/>
        </w:numPr>
        <w:pStyle w:val="Compact"/>
      </w:pPr>
      <w:r>
        <w:rPr>
          <w:bCs/>
          <w:b/>
        </w:rPr>
        <w:t xml:space="preserve">Vochtverlies.</w:t>
      </w:r>
      <w:r>
        <w:t xml:space="preserve"> </w:t>
      </w:r>
      <w:r>
        <w:t xml:space="preserve">Braken en diarree met GLP-1-geneesmiddelen kunnen bij ouderen sneller tot uitdroging en nierproblemen leiden.</w:t>
      </w:r>
    </w:p>
    <w:p>
      <w:pPr>
        <w:numPr>
          <w:ilvl w:val="0"/>
          <w:numId w:val="1349"/>
        </w:numPr>
        <w:pStyle w:val="Compact"/>
      </w:pPr>
      <w:r>
        <w:rPr>
          <w:bCs/>
          <w:b/>
        </w:rPr>
        <w:t xml:space="preserve">Spiermassa.</w:t>
      </w:r>
      <w:r>
        <w:t xml:space="preserve"> </w:t>
      </w:r>
      <w:r>
        <w:t xml:space="preserve">Wie al weinig spieren heeft, verdraagt verder verlies daarvan slecht (zie de volgende paragraaf).</w:t>
      </w:r>
    </w:p>
    <w:p>
      <w:pPr>
        <w:numPr>
          <w:ilvl w:val="0"/>
          <w:numId w:val="1349"/>
        </w:numPr>
        <w:pStyle w:val="Compact"/>
      </w:pPr>
      <w:r>
        <w:rPr>
          <w:bCs/>
          <w:b/>
        </w:rPr>
        <w:t xml:space="preserve">Vochtophoping en hart.</w:t>
      </w:r>
      <w:r>
        <w:t xml:space="preserve"> </w:t>
      </w:r>
      <w:r>
        <w:t xml:space="preserve">Groeihormoon leidde bij gezonde ouderen vaker tot weefselzwellingen, gewrichtspijn en carpaletunnelsyndroom (Liu 2007, PMID 17227934). Een studie met ibutamoren bij ouderen na een heupfractuur werd wegens een signaal voor hartfalen afgebroken (Adunsky 2011, PMID 21067829). Juist de peptiden die als „anti-aging”-middel worden aangeprezen, zijn voor oudere harten dus eerder belastend.</w:t>
      </w:r>
    </w:p>
    <w:p>
      <w:pPr>
        <w:numPr>
          <w:ilvl w:val="0"/>
          <w:numId w:val="1349"/>
        </w:numPr>
        <w:pStyle w:val="Compact"/>
      </w:pPr>
      <w:r>
        <w:rPr>
          <w:bCs/>
          <w:b/>
        </w:rPr>
        <w:t xml:space="preserve">Meerdere geneesmiddelen.</w:t>
      </w:r>
      <w:r>
        <w:t xml:space="preserve"> </w:t>
      </w:r>
      <w:r>
        <w:t xml:space="preserve">Ouderen gebruiken vaak veel geneesmiddelen tegelijk. De vertraagde maaglediging kan de opname daarvan veranderen, en combinaties met bloedsuikerverlagende middelen verhogen het risico op hypoglykemie en vallen.</w:t>
      </w:r>
    </w:p>
    <w:bookmarkEnd w:id="1020"/>
    <w:bookmarkStart w:id="1021" w:name="spierverlies-bij-sterk-gewichtsverlies"/>
    <w:p>
      <w:pPr>
        <w:pStyle w:val="Heading3"/>
      </w:pPr>
      <w:r>
        <w:t xml:space="preserve">Spierverlies bij sterk gewichtsverlies</w:t>
      </w:r>
    </w:p>
    <w:p>
      <w:pPr>
        <w:pStyle w:val="FirstParagraph"/>
      </w:pPr>
      <w:r>
        <w:t xml:space="preserve">Bij elk gewichtsverlies gaat naast vet ook vetvrije massa verloren, waartoe spieren, organen en water behoren. Bij de sterk werkzame GLP-1-geneesmiddelen is de vraag of dit aandeel ongewoon hoog is en of het schade doet.</w:t>
      </w:r>
    </w:p>
    <w:p>
      <w:pPr>
        <w:numPr>
          <w:ilvl w:val="0"/>
          <w:numId w:val="1350"/>
        </w:numPr>
        <w:pStyle w:val="Compact"/>
      </w:pPr>
      <w:r>
        <w:t xml:space="preserve">In een deelstudie van SURMOUNT-1 met 160 deelnemers bestond het verloren gewicht met tirzepatide voor ongeveer 75% uit vet en voor 25% uit vetvrije massa – in dezelfde verhouding als met placebo, alleen bij een duidelijk groter totaal verlies. Deze aandelen bleven in de meeste subgroepen, ook naar leeftijd gescheiden, vergelijkbaar (Look 2025, PMID 39996356).</w:t>
      </w:r>
    </w:p>
    <w:p>
      <w:pPr>
        <w:numPr>
          <w:ilvl w:val="0"/>
          <w:numId w:val="1350"/>
        </w:numPr>
        <w:pStyle w:val="Compact"/>
      </w:pPr>
      <w:r>
        <w:t xml:space="preserve">Een netwerk-meta-analyse van 22 studies vond eveneens dat ongeveer 25% van het gewichtsverlies voor rekening van vetvrije massa kwam. Semaglutide en tirzepatide leidden tot het sterkste gewichtsverlies, maar behoorden ook tot de werkzame stoffen waarbij de meeste vetvrije massa verloren ging (Karakasis 2025, PMID 39719170).</w:t>
      </w:r>
    </w:p>
    <w:p>
      <w:pPr>
        <w:numPr>
          <w:ilvl w:val="0"/>
          <w:numId w:val="1350"/>
        </w:numPr>
        <w:pStyle w:val="Compact"/>
      </w:pPr>
      <w:r>
        <w:t xml:space="preserve">Een systematisch overzicht van 35 studies kwam op een iets hoger aandeel: in de mediaan kwam 28,3% van het gewichtsverlies voor rekening van spiergerelateerde meetwaarden, en in 65% van de studies lag het aandeel boven een richtwaarde van ongeveer 25%. Geen enkele studie had het lichamelijk prestatievermogen objectief gemeten (Batsis 2026, PMID 41996180).</w:t>
      </w:r>
    </w:p>
    <w:p>
      <w:pPr>
        <w:numPr>
          <w:ilvl w:val="0"/>
          <w:numId w:val="1350"/>
        </w:numPr>
        <w:pStyle w:val="Compact"/>
      </w:pPr>
      <w:r>
        <w:t xml:space="preserve">Een andere meta-analyse benadrukt de andere kant: omdat vet sterker afneemt dan spieren, steeg het</w:t>
      </w:r>
      <w:r>
        <w:t xml:space="preserve"> </w:t>
      </w:r>
      <w:r>
        <w:rPr>
          <w:iCs/>
          <w:i/>
        </w:rPr>
        <w:t xml:space="preserve">aandeel</w:t>
      </w:r>
      <w:r>
        <w:t xml:space="preserve"> </w:t>
      </w:r>
      <w:r>
        <w:t xml:space="preserve">vetvrije massa in het lichaamsgewicht met 1,81 procentpunt. De auteurs bevelen aan de behandeling te begeleiden met voedings- en beweegprogramma’s (Laverde 2026, PMID 42321502).</w:t>
      </w:r>
    </w:p>
    <w:p>
      <w:pPr>
        <w:pStyle w:val="FirstParagraph"/>
      </w:pPr>
      <w:r>
        <w:t xml:space="preserve">Samengevat: het spierverlies met GLP-1-geneesmiddelen lijkt in verhouding tot het totale verlies niet wezenlijk groter te zijn dan bij andere vormen van gewichtsvermindering – in absolute kilogrammen is het door het grote verlies echter aanzienlijk. Of dat gevolgen heeft voor kracht, vallen of zelfstandigheid, is niet onderzocht. Voor ouderen, mensen met weinig spiermassa en mensen met kwetsbaarheid (frailty) is dat een open vraag. Of combinaties met cagrilintide het spierverlies beïnvloeden, wordt momenteel onderzocht (hoofdstuk Cagrilintide).</w:t>
      </w:r>
    </w:p>
    <w:bookmarkEnd w:id="1021"/>
    <w:bookmarkStart w:id="1022" w:name="eetstoornissen"/>
    <w:p>
      <w:pPr>
        <w:pStyle w:val="Heading3"/>
      </w:pPr>
      <w:r>
        <w:t xml:space="preserve">Eetstoornissen</w:t>
      </w:r>
    </w:p>
    <w:p>
      <w:pPr>
        <w:pStyle w:val="FirstParagraph"/>
      </w:pPr>
      <w:r>
        <w:t xml:space="preserve">GLP-1-geneesmiddelen dempen eetlust en hongergevoel. Voor mensen met anorexia nervosa of boulimia kan juist deze werking gevaarlijk zijn: ze kan restrictief eetgedrag versterken en een aandoening verergeren. Een casusbeschrijving beschrijft misbruik van semaglutide bij atypische anorexia (Guerdjikova 2024, PMID 38329147), en een Amerikaanse cross-sectionele studie onderzocht hoe verspreid gebruik en misbruik van GLP-1-geneesmiddelen zijn onder mensen met eetstoornissen (Peiper 2026, PMID 42340738).</w:t>
      </w:r>
    </w:p>
    <w:p>
      <w:pPr>
        <w:pStyle w:val="BodyText"/>
      </w:pPr>
      <w:r>
        <w:t xml:space="preserve">Een panel van 45 deskundigen en ervaringsdeskundigen heeft in 2026 via een consensusprocedure aanbevelingen opgesteld. Volgens die aanbevelingen zou vóór de start van een GLP-1-behandeling met een korte, gevalideerde vragenlijst naar huidige en eerdere eetstoornissen moeten worden gevraagd, zouden symptomen in het verloop moeten worden gevolgd, en zouden deze geneesmiddelen bij actieve anorexia, atypische anorexia of boulimia met sterke beperking van het eten in de regel niet moeten worden ingezet. Ook bij eerdere eetstoornissen is voorzichtigheid geboden (Keshen 2026, PMID 42742590).</w:t>
      </w:r>
    </w:p>
    <w:p>
      <w:pPr>
        <w:pStyle w:val="BodyText"/>
      </w:pPr>
      <w:r>
        <w:t xml:space="preserve">Voor de eetbuistoornis (binge-eating disorder), waarbij eetbuien zonder compenserend gedrag optreden, zijn er daarentegen eerste aanwijzingen dat GLP-1-geneesmiddelen eetbuien zouden kunnen verminderen (Keshen 2026, PMID 42742590). Dat laat zien hoe belangrijk een nauwkeurige diagnose is. Via de grijze markt en via online-aanbieders met weinig medische begeleiding valt juist dit doorvragen weg.</w:t>
      </w:r>
    </w:p>
    <w:bookmarkEnd w:id="1022"/>
    <w:bookmarkStart w:id="1023" w:name="topsport-en-dopingcontroles"/>
    <w:p>
      <w:pPr>
        <w:pStyle w:val="Heading3"/>
      </w:pPr>
      <w:r>
        <w:t xml:space="preserve">Topsport en dopingcontroles</w:t>
      </w:r>
    </w:p>
    <w:p>
      <w:pPr>
        <w:pStyle w:val="FirstParagraph"/>
      </w:pPr>
      <w:r>
        <w:t xml:space="preserve">Voor sporters die aan dopingcontroles onderworpen zijn, is de situatie bij peptiden bijzonder delicaat. Volgens de verboden lijst van het Wereldantidopingagentschap (WADA) geldt grofweg (stand 2026, actuele situatie controleren):</w:t>
      </w:r>
    </w:p>
    <w:p>
      <w:pPr>
        <w:numPr>
          <w:ilvl w:val="0"/>
          <w:numId w:val="1351"/>
        </w:numPr>
        <w:pStyle w:val="Compact"/>
      </w:pPr>
      <w:r>
        <w:rPr>
          <w:bCs/>
          <w:b/>
        </w:rPr>
        <w:t xml:space="preserve">Verboden (S2, peptidehormonen en groeifactoren):</w:t>
      </w:r>
      <w:r>
        <w:t xml:space="preserve"> </w:t>
      </w:r>
      <w:r>
        <w:t xml:space="preserve">alle groeihormoonvrijmakers en IGF-1-varianten, thymosine bèta-4 en TB-500, ARA-290, bij mannen gonadoreline en LH-vrijmakers zoals kisspeptine.</w:t>
      </w:r>
    </w:p>
    <w:p>
      <w:pPr>
        <w:numPr>
          <w:ilvl w:val="0"/>
          <w:numId w:val="1351"/>
        </w:numPr>
        <w:pStyle w:val="Compact"/>
      </w:pPr>
      <w:r>
        <w:rPr>
          <w:bCs/>
          <w:b/>
        </w:rPr>
        <w:t xml:space="preserve">Verboden (S0, niet-goedgekeurde stoffen):</w:t>
      </w:r>
      <w:r>
        <w:t xml:space="preserve"> </w:t>
      </w:r>
      <w:r>
        <w:t xml:space="preserve">stoffen zonder registratie als geneesmiddel voor mensen, zoals BPC-157, Melanotan II en de nog in studies verkerende meervoudige GLP-1-agonisten zoals retatrutide.</w:t>
      </w:r>
    </w:p>
    <w:p>
      <w:pPr>
        <w:numPr>
          <w:ilvl w:val="0"/>
          <w:numId w:val="1351"/>
        </w:numPr>
        <w:pStyle w:val="Compact"/>
      </w:pPr>
      <w:r>
        <w:rPr>
          <w:bCs/>
          <w:b/>
        </w:rPr>
        <w:t xml:space="preserve">Verboden (S4):</w:t>
      </w:r>
      <w:r>
        <w:t xml:space="preserve"> </w:t>
      </w:r>
      <w:r>
        <w:t xml:space="preserve">MOTS-c als activator van het enzym AMPK.</w:t>
      </w:r>
    </w:p>
    <w:p>
      <w:pPr>
        <w:numPr>
          <w:ilvl w:val="0"/>
          <w:numId w:val="1351"/>
        </w:numPr>
        <w:pStyle w:val="Compact"/>
      </w:pPr>
      <w:r>
        <w:rPr>
          <w:bCs/>
          <w:b/>
        </w:rPr>
        <w:t xml:space="preserve">Niet verboden:</w:t>
      </w:r>
      <w:r>
        <w:t xml:space="preserve"> </w:t>
      </w:r>
      <w:r>
        <w:t xml:space="preserve">de geregistreerde GLP-1-geneesmiddelen. Semaglutide en tirzepatide zijn echter opgenomen in het monitoringprogramma van het WADA om mogelijk misbruik vast te leggen; laboratoria hebben al opsporingsmethoden ontwikkeld voor bloed en gedroogde bloeddruppels (Borschel 2026, PMID 42874322).</w:t>
      </w:r>
    </w:p>
    <w:p>
      <w:pPr>
        <w:pStyle w:val="FirstParagraph"/>
      </w:pPr>
      <w:r>
        <w:t xml:space="preserve">De details staan in de betreffende hoofdstukken. Drie punten zijn voor alle peptiden belangrijk.</w:t>
      </w:r>
    </w:p>
    <w:p>
      <w:pPr>
        <w:pStyle w:val="BodyText"/>
      </w:pPr>
      <w:r>
        <w:rPr>
          <w:bCs/>
          <w:b/>
        </w:rPr>
        <w:t xml:space="preserve">Verontreinigde producten.</w:t>
      </w:r>
      <w:r>
        <w:t xml:space="preserve"> </w:t>
      </w:r>
      <w:r>
        <w:t xml:space="preserve">Een sporter is verantwoordelijk voor elke verboden stof in zijn lichaam – ook als die afkomstig is uit een verkeerd gedeclareerd product. De laboratoriumanalyses in het hoofdstuk „Grijze-marktproducten” laten zien dat grijze-marktwaar vaak andere of extra stoffen bevat en dat verboden werkzame stoffen ook opduiken in producten die als voedingssupplement zijn verpakt (Barrios 2025, PMID 40551438).</w:t>
      </w:r>
    </w:p>
    <w:p>
      <w:pPr>
        <w:pStyle w:val="BodyText"/>
      </w:pPr>
      <w:r>
        <w:rPr>
          <w:bCs/>
          <w:b/>
        </w:rPr>
        <w:t xml:space="preserve">Designervarianten.</w:t>
      </w:r>
      <w:r>
        <w:t xml:space="preserve"> </w:t>
      </w:r>
      <w:r>
        <w:t xml:space="preserve">Gewijzigde peptiden zoals Gly-GHRP-2 of Gly-ipamoreline zijn vermoedelijk bedoeld om tests te omzeilen (Gajda 2019, PMID 30136411). Hun werking en veiligheid zijn volledig onbekend. De ervaring leert dat antidopinglaboratoria hun methoden bijwerken; monsters worden bovendien langdurig bewaard en kunnen later opnieuw worden onderzocht.</w:t>
      </w:r>
    </w:p>
    <w:p>
      <w:pPr>
        <w:pStyle w:val="BodyText"/>
      </w:pPr>
      <w:r>
        <w:rPr>
          <w:bCs/>
          <w:b/>
        </w:rPr>
        <w:t xml:space="preserve">Twijfelachtig voordeel.</w:t>
      </w:r>
      <w:r>
        <w:t xml:space="preserve"> </w:t>
      </w:r>
      <w:r>
        <w:t xml:space="preserve">Een overzicht over incretinegeneesmiddelen in de sport concludeert dat klinische studies geen eenduidige verbetering van het lichamelijk prestatievermogen bij de mens laten zien en dat 20 tot 30% van het gewichtsverlies voor rekening van vetvrije massa komt (La Vignera 2026, PMID 42511463). Voor de regeneratieve peptiden en de groeihormoonvrijmakers concludeert een sportmedisch overzicht dat ze experimenteel blijven, met een onzeker veiligheidsprofiel, twijfelachtige productkwaliteit en verregaande dopingverboden (Villegas Meza 2026, PMID 42160466).</w:t>
      </w:r>
    </w:p>
    <w:bookmarkEnd w:id="1023"/>
    <w:bookmarkStart w:id="1024" w:name="het-belangrijkste-in-het-kort-7"/>
    <w:p>
      <w:pPr>
        <w:pStyle w:val="Heading3"/>
      </w:pPr>
      <w:r>
        <w:t xml:space="preserve">Het belangrijkste in het kort</w:t>
      </w:r>
    </w:p>
    <w:p>
      <w:pPr>
        <w:numPr>
          <w:ilvl w:val="0"/>
          <w:numId w:val="1352"/>
        </w:numPr>
        <w:pStyle w:val="Compact"/>
      </w:pPr>
      <w:r>
        <w:t xml:space="preserve">Tijdens de zwangerschap zijn bijna alle peptiden niet onderzocht of niet geïndiceerd. Voor een onbedoelde blootstelling aan GLP-1-geneesmiddelen zijn de gegevens overwegend geruststellend, maar onzeker.</w:t>
      </w:r>
    </w:p>
    <w:p>
      <w:pPr>
        <w:numPr>
          <w:ilvl w:val="0"/>
          <w:numId w:val="1352"/>
        </w:numPr>
        <w:pStyle w:val="Compact"/>
      </w:pPr>
      <w:r>
        <w:t xml:space="preserve">Tirzepatide kan de opname van de pil verminderen; bij semaglutide werd dat niet gevonden. Braken en diarree belemmeren de inname van elke tablet.</w:t>
      </w:r>
    </w:p>
    <w:p>
      <w:pPr>
        <w:numPr>
          <w:ilvl w:val="0"/>
          <w:numId w:val="1352"/>
        </w:numPr>
        <w:pStyle w:val="Compact"/>
      </w:pPr>
      <w:r>
        <w:t xml:space="preserve">Met GLP-1-geneesmiddelen blijft de maag vaker gevuld. Vóór narcoses en gastroscopieën moet het behandelteam daarvan op de hoogte zijn.</w:t>
      </w:r>
    </w:p>
    <w:p>
      <w:pPr>
        <w:numPr>
          <w:ilvl w:val="0"/>
          <w:numId w:val="1352"/>
        </w:numPr>
        <w:pStyle w:val="Compact"/>
      </w:pPr>
      <w:r>
        <w:t xml:space="preserve">In combinatie met insuline of sulfonylureumderivaten stijgt het risico op hypoglykemie.</w:t>
      </w:r>
    </w:p>
    <w:p>
      <w:pPr>
        <w:numPr>
          <w:ilvl w:val="0"/>
          <w:numId w:val="1352"/>
        </w:numPr>
        <w:pStyle w:val="Compact"/>
      </w:pPr>
      <w:r>
        <w:t xml:space="preserve">Jongeren vallen in gegevens van vergiftigingenlijnen op door opzettelijk misbruik; bij eetstoornissen zouden GLP-1-geneesmiddelen in de regel niet moeten worden ingezet.</w:t>
      </w:r>
    </w:p>
    <w:p>
      <w:pPr>
        <w:numPr>
          <w:ilvl w:val="0"/>
          <w:numId w:val="1352"/>
        </w:numPr>
        <w:pStyle w:val="Compact"/>
      </w:pPr>
      <w:r>
        <w:t xml:space="preserve">Ongeveer een kwart van het gewichtsverlies met GLP-1-geneesmiddelen komt voor rekening van vetvrije massa; of dat functionele gevolgen heeft, is open.</w:t>
      </w:r>
    </w:p>
    <w:p>
      <w:pPr>
        <w:numPr>
          <w:ilvl w:val="0"/>
          <w:numId w:val="1352"/>
        </w:numPr>
        <w:pStyle w:val="Compact"/>
      </w:pPr>
      <w:r>
        <w:t xml:space="preserve">Voor sporters zijn de meeste peptiden verboden, en grijze-marktproducten bergen daarnaast het risico op niet-gedeclareerde dopingmiddelen.</w:t>
      </w:r>
    </w:p>
    <w:bookmarkEnd w:id="1024"/>
    <w:bookmarkEnd w:id="1025"/>
    <w:bookmarkEnd w:id="1026"/>
    <w:bookmarkStart w:id="1079" w:name="deel-v-toekomst"/>
    <w:p>
      <w:pPr>
        <w:pStyle w:val="Heading1"/>
      </w:pPr>
      <w:r>
        <w:t xml:space="preserve">Deel V – Toekomst</w:t>
      </w:r>
    </w:p>
    <w:p>
      <w:pPr>
        <w:pStyle w:val="FirstParagraph"/>
      </w:pPr>
      <w:r>
        <w:t xml:space="preserve">De voorgaande delen hebben beschreven wat er vandaag over peptiden bekend is. Dit laatste deel kijkt vooruit: welke werkzame stoffen zitten in de grote studies die in de komende jaren eindigen? Worden injecties vervangen door tabletten? Wat betekenen aflopende octrooien voor prijzen en beschikbaarheid? En welke ontwikkelingen zijn tot 2035 te verwachten?</w:t>
      </w:r>
    </w:p>
    <w:p>
      <w:pPr>
        <w:pStyle w:val="BodyText"/>
      </w:pPr>
      <w:r>
        <w:t xml:space="preserve">Uitspraken over de toekomst zijn in dit boek strikt gescheiden.</w:t>
      </w:r>
      <w:r>
        <w:t xml:space="preserve"> </w:t>
      </w:r>
      <w:r>
        <w:rPr>
          <w:bCs/>
          <w:b/>
        </w:rPr>
        <w:t xml:space="preserve">Vaststaand</w:t>
      </w:r>
      <w:r>
        <w:t xml:space="preserve"> </w:t>
      </w:r>
      <w:r>
        <w:t xml:space="preserve">is wat in een studieregister is ingeschreven, in een peer-reviewed studie is gepubliceerd of door autoriteiten is besloten. Ook dat is slechts een momentopname: studies worden verlengd, verkleind of afgebroken, geplande einddata verschuiven vaak met jaren. Al het andere is een</w:t>
      </w:r>
      <w:r>
        <w:t xml:space="preserve"> </w:t>
      </w:r>
      <w:r>
        <w:rPr>
          <w:bCs/>
          <w:b/>
        </w:rPr>
        <w:t xml:space="preserve">inschatting van de auteur</w:t>
      </w:r>
      <w:r>
        <w:t xml:space="preserve"> </w:t>
      </w:r>
      <w:r>
        <w:t xml:space="preserve">en wordt uitdrukkelijk zo aangeduid. Het onderzoek geeft de stand van oktober 2026 weer.</w:t>
      </w:r>
    </w:p>
    <w:bookmarkStart w:id="1038" w:name="de-pijplijn-wat-er-in-fase-2-en-3-zit"/>
    <w:p>
      <w:pPr>
        <w:pStyle w:val="Heading2"/>
      </w:pPr>
      <w:r>
        <w:t xml:space="preserve">De pijplijn: wat er in fase 2 en 3 zit</w:t>
      </w:r>
    </w:p>
    <w:p>
      <w:pPr>
        <w:pStyle w:val="FirstParagraph"/>
      </w:pPr>
      <w:r>
        <w:t xml:space="preserve">Met „pijplijn” (pipeline) bedoelt de farmaceutische industrie het geheel van werkzame stoffen die in ontwikkeling zijn. De stadia zijn in Deel I uitgelegd: in</w:t>
      </w:r>
      <w:r>
        <w:t xml:space="preserve"> </w:t>
      </w:r>
      <w:r>
        <w:rPr>
          <w:bCs/>
          <w:b/>
        </w:rPr>
        <w:t xml:space="preserve">fase 1</w:t>
      </w:r>
      <w:r>
        <w:t xml:space="preserve"> </w:t>
      </w:r>
      <w:r>
        <w:t xml:space="preserve">wordt een werkzame stof meestal bij enkele gezonde mensen op verdraagbaarheid getest, in</w:t>
      </w:r>
      <w:r>
        <w:t xml:space="preserve"> </w:t>
      </w:r>
      <w:r>
        <w:rPr>
          <w:bCs/>
          <w:b/>
        </w:rPr>
        <w:t xml:space="preserve">fase 2</w:t>
      </w:r>
      <w:r>
        <w:t xml:space="preserve"> </w:t>
      </w:r>
      <w:r>
        <w:t xml:space="preserve">bij enkele honderden patiënten op werkzaamheid en geschikte dosis, in</w:t>
      </w:r>
      <w:r>
        <w:t xml:space="preserve"> </w:t>
      </w:r>
      <w:r>
        <w:rPr>
          <w:bCs/>
          <w:b/>
        </w:rPr>
        <w:t xml:space="preserve">fase 3</w:t>
      </w:r>
      <w:r>
        <w:t xml:space="preserve"> </w:t>
      </w:r>
      <w:r>
        <w:t xml:space="preserve">bij duizenden voor de registratie.</w:t>
      </w:r>
      <w:r>
        <w:t xml:space="preserve"> </w:t>
      </w:r>
      <w:r>
        <w:rPr>
          <w:bCs/>
          <w:b/>
        </w:rPr>
        <w:t xml:space="preserve">Fase 4</w:t>
      </w:r>
      <w:r>
        <w:t xml:space="preserve"> </w:t>
      </w:r>
      <w:r>
        <w:t xml:space="preserve">duidt op studies met al geregistreerde geneesmiddelen. Wie wil weten wat er in de komende vijf jaar op de markt zou kunnen komen, moet vooral naar fase 3 kijken.</w:t>
      </w:r>
    </w:p>
    <w:bookmarkStart w:id="1027" w:name="hoe-de-analyse-is-uitgevoerd"/>
    <w:p>
      <w:pPr>
        <w:pStyle w:val="Heading3"/>
      </w:pPr>
      <w:r>
        <w:t xml:space="preserve">Hoe de analyse is uitgevoerd</w:t>
      </w:r>
    </w:p>
    <w:p>
      <w:pPr>
        <w:pStyle w:val="FirstParagraph"/>
      </w:pPr>
      <w:r>
        <w:t xml:space="preserve">Basis zijn de registerlijsten van ClinicalTrials.gov, die voor de 58 werkzame stoffen in dit boek in oktober 2026 zijn opgevraagd (zie Methodologie in de bijlage). Een klein analyseprogramma heeft daaruit alle vermeldingen gefilterd die</w:t>
      </w:r>
    </w:p>
    <w:p>
      <w:pPr>
        <w:numPr>
          <w:ilvl w:val="0"/>
          <w:numId w:val="1353"/>
        </w:numPr>
        <w:pStyle w:val="Compact"/>
      </w:pPr>
      <w:r>
        <w:t xml:space="preserve">een</w:t>
      </w:r>
      <w:r>
        <w:t xml:space="preserve"> </w:t>
      </w:r>
      <w:r>
        <w:rPr>
          <w:bCs/>
          <w:b/>
        </w:rPr>
        <w:t xml:space="preserve">interventionele</w:t>
      </w:r>
      <w:r>
        <w:t xml:space="preserve"> </w:t>
      </w:r>
      <w:r>
        <w:t xml:space="preserve">studie beschrijven, dus een studie waarin een werkzame stof gericht wordt toegediend (geen zuivere observatie), en</w:t>
      </w:r>
    </w:p>
    <w:p>
      <w:pPr>
        <w:numPr>
          <w:ilvl w:val="0"/>
          <w:numId w:val="1353"/>
        </w:numPr>
        <w:pStyle w:val="Compact"/>
      </w:pPr>
      <w:r>
        <w:t xml:space="preserve">als</w:t>
      </w:r>
      <w:r>
        <w:t xml:space="preserve"> </w:t>
      </w:r>
      <w:r>
        <w:rPr>
          <w:bCs/>
          <w:b/>
        </w:rPr>
        <w:t xml:space="preserve">lopend</w:t>
      </w:r>
      <w:r>
        <w:t xml:space="preserve"> </w:t>
      </w:r>
      <w:r>
        <w:t xml:space="preserve">zijn gemarkeerd: werving gaande, actief zonder verdere werving, nog niet aan het werven, of deelname alleen op uitnodiging.</w:t>
      </w:r>
    </w:p>
    <w:p>
      <w:pPr>
        <w:pStyle w:val="FirstParagraph"/>
      </w:pPr>
      <w:r>
        <w:t xml:space="preserve">Studies die onder meerdere werkzame stoffen voorkomen – bijvoorbeeld een vergelijking van retatrutide met tirzepatide – zijn maar één keer geteld.</w:t>
      </w:r>
    </w:p>
    <w:p>
      <w:pPr>
        <w:pStyle w:val="BodyText"/>
      </w:pPr>
      <w:r>
        <w:rPr>
          <w:bCs/>
          <w:b/>
        </w:rPr>
        <w:t xml:space="preserve">Wat werd uitgesloten – en waarom:</w:t>
      </w:r>
    </w:p>
    <w:p>
      <w:pPr>
        <w:numPr>
          <w:ilvl w:val="0"/>
          <w:numId w:val="1354"/>
        </w:numPr>
        <w:pStyle w:val="Compact"/>
      </w:pPr>
      <w:r>
        <w:rPr>
          <w:bCs/>
          <w:b/>
        </w:rPr>
        <w:t xml:space="preserve">Acht vermeldingen van de sponsor „Hudson Biotech”</w:t>
      </w:r>
      <w:r>
        <w:t xml:space="preserve"> </w:t>
      </w:r>
      <w:r>
        <w:t xml:space="preserve">(telkens één over BPC-157, GHK-Cu, Melanotan II, MOTS-c, retatrutide, TB-500, tesamoreline en tirzepatide). Eén vermelding van deze sponsor noemt zichzelf in de eigen beschrijving een fictief voorbeeld (zie hoofdstukken BPC-157 en TB-500). Geen van deze vermeldingen wordt in dit boek als echte studie beschouwd.</w:t>
      </w:r>
    </w:p>
    <w:p>
      <w:pPr>
        <w:numPr>
          <w:ilvl w:val="0"/>
          <w:numId w:val="1354"/>
        </w:numPr>
        <w:pStyle w:val="Compact"/>
      </w:pPr>
      <w:r>
        <w:rPr>
          <w:bCs/>
          <w:b/>
        </w:rPr>
        <w:t xml:space="preserve">Alle 1.000 treffers voor de zoekterm „gonadorelin”.</w:t>
      </w:r>
      <w:r>
        <w:t xml:space="preserve"> </w:t>
      </w:r>
      <w:r>
        <w:t xml:space="preserve">Die betreffen overwegend synthetische varianten van het hormoon GnRH (zoals leuproreline of triptoreline) bij de behandeling van prostaat- en borstkanker of in de vruchtbaarheidsgeneeskunde – dus andere geneesmiddelen. De weinige vermeldingen over natuurlijk GnRH worden besproken in het hoofdstuk Gonadoreline; geen daarvan is een lopende fase 3-studie.</w:t>
      </w:r>
    </w:p>
    <w:p>
      <w:pPr>
        <w:pStyle w:val="FirstParagraph"/>
      </w:pPr>
      <w:r>
        <w:rPr>
          <w:bCs/>
          <w:b/>
        </w:rPr>
        <w:t xml:space="preserve">Wat niet werd uitgesloten, maar wel gecontroleerd:</w:t>
      </w:r>
      <w:r>
        <w:t xml:space="preserve"> </w:t>
      </w:r>
      <w:r>
        <w:t xml:space="preserve">bij glutathion, collageen en carnosine zijn de zoektermen zo algemeen dat veel treffers de stof alleen als bestanddeel van een mengsel, als vergelijking of als meetwaarde noemen. Zo verschijnt onder glutathion een grote denguestudie, omdat daarin N-acetylcysteïne – een voorloper van glutathion – wordt getest (NCT07543458). Onder larazotide duiken twee studies op over een totaal andere werkzame stof tegen de ziekte van Fabry (NCT04020055, NCT06904261). Deze treffers zijn in de totaalaantallen opgenomen, maar in de beoordeling niet als peptidestudies geteld.</w:t>
      </w:r>
    </w:p>
    <w:p>
      <w:pPr>
        <w:pStyle w:val="BodyText"/>
      </w:pPr>
      <w:r>
        <w:rPr>
          <w:bCs/>
          <w:b/>
        </w:rPr>
        <w:t xml:space="preserve">Twee grenzen van de analyse:</w:t>
      </w:r>
      <w:r>
        <w:t xml:space="preserve"> </w:t>
      </w:r>
      <w:r>
        <w:t xml:space="preserve">ten eerste melden niet alle sponsors de afronding van hun studie tijdig; sommige vermeldingen met einddatum 2025 staan nog als „lopend” in het register. Ten tweede omvat de zoekopdracht alleen de 58 werkzame stoffen in dit boek. Nieuwe moleculen zonder eigen hoofdstuk verschijnen alleen als ze tegen een van deze werkzame stoffen worden getest. Daarom is voor de nieuwe werkingsprincipes verderop gericht nagezocht.</w:t>
      </w:r>
    </w:p>
    <w:bookmarkEnd w:id="1027"/>
    <w:bookmarkStart w:id="1028" w:name="het-resultaat-in-cijfers"/>
    <w:p>
      <w:pPr>
        <w:pStyle w:val="Heading3"/>
      </w:pPr>
      <w:r>
        <w:t xml:space="preserve">Het resultaat in cijfers</w:t>
      </w:r>
    </w:p>
    <w:p>
      <w:pPr>
        <w:pStyle w:val="FirstParagraph"/>
      </w:pPr>
      <w:r>
        <w:t xml:space="preserve">Na de uitsluitingen bleven 730 lopende interventionele studies over. Daarvan betreffen er 568 – ruim drie kwart – werkzame stoffen uit groep A (stofwisseling en gewicht).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Fase</w:t>
            </w:r>
          </w:p>
        </w:tc>
        <w:tc>
          <w:tcPr/>
          <w:p>
            <w:pPr>
              <w:pStyle w:val="Compact"/>
              <w:jc w:val="left"/>
            </w:pPr>
            <w:r>
              <w:t xml:space="preserve">lopende studies in totaal</w:t>
            </w:r>
          </w:p>
        </w:tc>
        <w:tc>
          <w:tcPr/>
          <w:p>
            <w:pPr>
              <w:pStyle w:val="Compact"/>
              <w:jc w:val="left"/>
            </w:pPr>
            <w:r>
              <w:t xml:space="preserve">waarvan groep A</w:t>
            </w:r>
          </w:p>
        </w:tc>
      </w:tr>
      <w:tr>
        <w:tc>
          <w:tcPr/>
          <w:p>
            <w:pPr>
              <w:pStyle w:val="Compact"/>
              <w:jc w:val="left"/>
            </w:pPr>
            <w:r>
              <w:t xml:space="preserve">Fase 1</w:t>
            </w:r>
          </w:p>
        </w:tc>
        <w:tc>
          <w:tcPr/>
          <w:p>
            <w:pPr>
              <w:pStyle w:val="Compact"/>
              <w:jc w:val="left"/>
            </w:pPr>
            <w:r>
              <w:t xml:space="preserve">80</w:t>
            </w:r>
          </w:p>
        </w:tc>
        <w:tc>
          <w:tcPr/>
          <w:p>
            <w:pPr>
              <w:pStyle w:val="Compact"/>
              <w:jc w:val="left"/>
            </w:pPr>
            <w:r>
              <w:t xml:space="preserve">55</w:t>
            </w:r>
          </w:p>
        </w:tc>
      </w:tr>
      <w:tr>
        <w:tc>
          <w:tcPr/>
          <w:p>
            <w:pPr>
              <w:pStyle w:val="Compact"/>
              <w:jc w:val="left"/>
            </w:pPr>
            <w:r>
              <w:t xml:space="preserve">Fase 1/2</w:t>
            </w:r>
          </w:p>
        </w:tc>
        <w:tc>
          <w:tcPr/>
          <w:p>
            <w:pPr>
              <w:pStyle w:val="Compact"/>
              <w:jc w:val="left"/>
            </w:pPr>
            <w:r>
              <w:t xml:space="preserve">19</w:t>
            </w:r>
          </w:p>
        </w:tc>
        <w:tc>
          <w:tcPr/>
          <w:p>
            <w:pPr>
              <w:pStyle w:val="Compact"/>
              <w:jc w:val="left"/>
            </w:pPr>
            <w:r>
              <w:t xml:space="preserve">16</w:t>
            </w:r>
          </w:p>
        </w:tc>
      </w:tr>
      <w:tr>
        <w:tc>
          <w:tcPr/>
          <w:p>
            <w:pPr>
              <w:pStyle w:val="Compact"/>
              <w:jc w:val="left"/>
            </w:pPr>
            <w:r>
              <w:t xml:space="preserve">Fase 2</w:t>
            </w:r>
          </w:p>
        </w:tc>
        <w:tc>
          <w:tcPr/>
          <w:p>
            <w:pPr>
              <w:pStyle w:val="Compact"/>
              <w:jc w:val="left"/>
            </w:pPr>
            <w:r>
              <w:t xml:space="preserve">179</w:t>
            </w:r>
          </w:p>
        </w:tc>
        <w:tc>
          <w:tcPr/>
          <w:p>
            <w:pPr>
              <w:pStyle w:val="Compact"/>
              <w:jc w:val="left"/>
            </w:pPr>
            <w:r>
              <w:t xml:space="preserve">125</w:t>
            </w:r>
          </w:p>
        </w:tc>
      </w:tr>
      <w:tr>
        <w:tc>
          <w:tcPr/>
          <w:p>
            <w:pPr>
              <w:pStyle w:val="Compact"/>
              <w:jc w:val="left"/>
            </w:pPr>
            <w:r>
              <w:t xml:space="preserve">Fase 2/3</w:t>
            </w:r>
          </w:p>
        </w:tc>
        <w:tc>
          <w:tcPr/>
          <w:p>
            <w:pPr>
              <w:pStyle w:val="Compact"/>
              <w:jc w:val="left"/>
            </w:pPr>
            <w:r>
              <w:t xml:space="preserve">19</w:t>
            </w:r>
          </w:p>
        </w:tc>
        <w:tc>
          <w:tcPr/>
          <w:p>
            <w:pPr>
              <w:pStyle w:val="Compact"/>
              <w:jc w:val="left"/>
            </w:pPr>
            <w:r>
              <w:t xml:space="preserve">15</w:t>
            </w:r>
          </w:p>
        </w:tc>
      </w:tr>
      <w:tr>
        <w:tc>
          <w:tcPr/>
          <w:p>
            <w:pPr>
              <w:pStyle w:val="Compact"/>
              <w:jc w:val="left"/>
            </w:pPr>
            <w:r>
              <w:t xml:space="preserve">Fase 3</w:t>
            </w:r>
          </w:p>
        </w:tc>
        <w:tc>
          <w:tcPr/>
          <w:p>
            <w:pPr>
              <w:pStyle w:val="Compact"/>
              <w:jc w:val="left"/>
            </w:pPr>
            <w:r>
              <w:t xml:space="preserve">157</w:t>
            </w:r>
          </w:p>
        </w:tc>
        <w:tc>
          <w:tcPr/>
          <w:p>
            <w:pPr>
              <w:pStyle w:val="Compact"/>
              <w:jc w:val="left"/>
            </w:pPr>
            <w:r>
              <w:t xml:space="preserve">142</w:t>
            </w:r>
          </w:p>
        </w:tc>
      </w:tr>
      <w:tr>
        <w:tc>
          <w:tcPr/>
          <w:p>
            <w:pPr>
              <w:pStyle w:val="Compact"/>
              <w:jc w:val="left"/>
            </w:pPr>
            <w:r>
              <w:t xml:space="preserve">Fase 4</w:t>
            </w:r>
          </w:p>
        </w:tc>
        <w:tc>
          <w:tcPr/>
          <w:p>
            <w:pPr>
              <w:pStyle w:val="Compact"/>
              <w:jc w:val="left"/>
            </w:pPr>
            <w:r>
              <w:t xml:space="preserve">140</w:t>
            </w:r>
          </w:p>
        </w:tc>
        <w:tc>
          <w:tcPr/>
          <w:p>
            <w:pPr>
              <w:pStyle w:val="Compact"/>
              <w:jc w:val="left"/>
            </w:pPr>
            <w:r>
              <w:t xml:space="preserve">132</w:t>
            </w:r>
          </w:p>
        </w:tc>
      </w:tr>
      <w:tr>
        <w:tc>
          <w:tcPr/>
          <w:p>
            <w:pPr>
              <w:pStyle w:val="Compact"/>
              <w:jc w:val="left"/>
            </w:pPr>
            <w:r>
              <w:t xml:space="preserve">zonder vermelding van fase</w:t>
            </w:r>
          </w:p>
        </w:tc>
        <w:tc>
          <w:tcPr/>
          <w:p>
            <w:pPr>
              <w:pStyle w:val="Compact"/>
              <w:jc w:val="left"/>
            </w:pPr>
            <w:r>
              <w:t xml:space="preserve">136</w:t>
            </w:r>
          </w:p>
        </w:tc>
        <w:tc>
          <w:tcPr/>
          <w:p>
            <w:pPr>
              <w:pStyle w:val="Compact"/>
              <w:jc w:val="left"/>
            </w:pPr>
            <w:r>
              <w:t xml:space="preserve">83</w:t>
            </w:r>
          </w:p>
        </w:tc>
      </w:tr>
      <w:tr>
        <w:tc>
          <w:tcPr/>
          <w:p>
            <w:pPr>
              <w:pStyle w:val="Compact"/>
              <w:jc w:val="left"/>
            </w:pPr>
            <w:r>
              <w:rPr>
                <w:bCs/>
                <w:b/>
              </w:rPr>
              <w:t xml:space="preserve">Totaal</w:t>
            </w:r>
          </w:p>
        </w:tc>
        <w:tc>
          <w:tcPr/>
          <w:p>
            <w:pPr>
              <w:pStyle w:val="Compact"/>
              <w:jc w:val="left"/>
            </w:pPr>
            <w:r>
              <w:rPr>
                <w:bCs/>
                <w:b/>
              </w:rPr>
              <w:t xml:space="preserve">730</w:t>
            </w:r>
          </w:p>
        </w:tc>
        <w:tc>
          <w:tcPr/>
          <w:p>
            <w:pPr>
              <w:pStyle w:val="Compact"/>
              <w:jc w:val="left"/>
            </w:pPr>
            <w:r>
              <w:rPr>
                <w:bCs/>
                <w:b/>
              </w:rPr>
              <w:t xml:space="preserve">568</w:t>
            </w:r>
          </w:p>
        </w:tc>
      </w:tr>
    </w:tbl>
    <w:p>
      <w:pPr>
        <w:pStyle w:val="BodyText"/>
      </w:pPr>
      <w:r>
        <w:t xml:space="preserve">Van de 157 lopende fase 3-studies waren er 68 nog aan het werven, 54 actief zonder verdere opname, en 35 waren nog niet begonnen. Telt men de gecombineerde fase 2/3-studies mee, dan zijn er 176 late studies; 157 daarvan (142 in fase 3, 15 in fase 2/3) – bijna negen op de tien – horen bij groep A.</w:t>
      </w:r>
    </w:p>
    <w:p>
      <w:pPr>
        <w:pStyle w:val="BodyText"/>
      </w:pPr>
      <w:r>
        <w:t xml:space="preserve">In groep A wordt ongeveer één op de drie van deze late studies gedragen door universiteiten en ziekenhuizen, de overige door bedrijven. De geplande einddata zijn als volgt verdeeld: 21 studies moeten in 2026 eindigen, 49 in 2027, 41 in 2028 en 44 tussen 2029 en 2033. De eigenlijke golf nieuwe resultaten staat dus in 2027 en 2028 te wachten.</w:t>
      </w:r>
    </w:p>
    <w:p>
      <w:pPr>
        <w:pStyle w:val="BodyText"/>
      </w:pPr>
      <w:r>
        <w:rPr>
          <w:bCs/>
          <w:b/>
        </w:rPr>
        <w:t xml:space="preserve">De groepen B tot en met F</w:t>
      </w:r>
      <w:r>
        <w:t xml:space="preserve"> </w:t>
      </w:r>
      <w:r>
        <w:t xml:space="preserve">zien er totaal anders uit. Na doorlichting van de vermeldingen blijven slechts vijf lopende fase 3-studies over waarin een werkzame stof uit dit boek werkelijk de onderzochte stof is: thymosine alfa-1 na een darmkankeroperatie (NCT05086614), oogdruppels met thymosine bèta-4 bij neurotrofe keratopathie (NCT05555589), elamipretide bij droge maculadegeneratie (NCT06373731), afamelanotide bij vitiligo (NCT06109649) en ibutamoren, dat geen peptide is, bij kinderen met groeihormoontekort (NCT06948214). Daarbij komen enkele gecombineerde fase 2/3-studies, bijvoorbeeld naar oxytocine-neusspray bij chronische pijn (NCT04903002) en naar thymosine alfa-1 bij herhaald innestelingsfalen na kunstmatige bevruchting (NCT07675980). Voor de op internet populairste „onderzoekspeptiden” – BPC-157, CJC-1295, ipamoreline, Epitalon, Semax, Selank – loopt geen enkele fase 3-studie.</w:t>
      </w:r>
    </w:p>
    <w:bookmarkEnd w:id="1028"/>
    <w:bookmarkStart w:id="1029" w:name="de-belangrijkste-lopende-fase-3-studies"/>
    <w:p>
      <w:pPr>
        <w:pStyle w:val="Heading3"/>
      </w:pPr>
      <w:r>
        <w:t xml:space="preserve">De belangrijkste lopende fase 3-studies</w:t>
      </w:r>
    </w:p>
    <w:p>
      <w:pPr>
        <w:pStyle w:val="FirstParagraph"/>
      </w:pPr>
      <w:r>
        <w:t xml:space="preserve">De volgende tabellen tonen een selectie naar grootte en belang. „Verwacht einde” is het in het register vermelde einde van de studie (stand oktober 2026); het primaire eindpunt wordt vaak enkele maanden eerder geanalyseerd, publicaties volgen meestal een half tot een heel jaar later.</w:t>
      </w:r>
    </w:p>
    <w:p>
      <w:pPr>
        <w:pStyle w:val="BodyText"/>
      </w:pPr>
      <w:r>
        <w:rPr>
          <w:bCs/>
          <w:b/>
        </w:rPr>
        <w:t xml:space="preserve">Stofwisseling en gewicht (groep 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 / NCT</w:t>
            </w:r>
          </w:p>
        </w:tc>
        <w:tc>
          <w:tcPr/>
          <w:p>
            <w:pPr>
              <w:pStyle w:val="Compact"/>
              <w:jc w:val="left"/>
            </w:pPr>
            <w:r>
              <w:t xml:space="preserve">Werkzame stof</w:t>
            </w:r>
          </w:p>
        </w:tc>
        <w:tc>
          <w:tcPr/>
          <w:p>
            <w:pPr>
              <w:pStyle w:val="Compact"/>
              <w:jc w:val="left"/>
            </w:pPr>
            <w:r>
              <w:t xml:space="preserve">Vraagstelling</w:t>
            </w:r>
          </w:p>
        </w:tc>
        <w:tc>
          <w:tcPr/>
          <w:p>
            <w:pPr>
              <w:pStyle w:val="Compact"/>
              <w:jc w:val="left"/>
            </w:pPr>
            <w:r>
              <w:t xml:space="preserve">Verwacht einde</w:t>
            </w:r>
          </w:p>
        </w:tc>
      </w:tr>
      <w:tr>
        <w:tc>
          <w:tcPr/>
          <w:p>
            <w:pPr>
              <w:pStyle w:val="Compact"/>
              <w:jc w:val="left"/>
            </w:pPr>
            <w:r>
              <w:t xml:space="preserve">TRIUMPH-5, NCT06662383</w:t>
            </w:r>
          </w:p>
        </w:tc>
        <w:tc>
          <w:tcPr/>
          <w:p>
            <w:pPr>
              <w:pStyle w:val="Compact"/>
              <w:jc w:val="left"/>
            </w:pPr>
            <w:r>
              <w:t xml:space="preserve">Retatrutide vs. tirzepatide</w:t>
            </w:r>
          </w:p>
        </w:tc>
        <w:tc>
          <w:tcPr/>
          <w:p>
            <w:pPr>
              <w:pStyle w:val="Compact"/>
              <w:jc w:val="left"/>
            </w:pPr>
            <w:r>
              <w:t xml:space="preserve">gewichtsverlies, 800 volwassenen</w:t>
            </w:r>
          </w:p>
        </w:tc>
        <w:tc>
          <w:tcPr/>
          <w:p>
            <w:pPr>
              <w:pStyle w:val="Compact"/>
              <w:jc w:val="left"/>
            </w:pPr>
            <w:r>
              <w:t xml:space="preserve">december 2026</w:t>
            </w:r>
          </w:p>
        </w:tc>
      </w:tr>
      <w:tr>
        <w:tc>
          <w:tcPr/>
          <w:p>
            <w:pPr>
              <w:pStyle w:val="Compact"/>
              <w:jc w:val="left"/>
            </w:pPr>
            <w:r>
              <w:t xml:space="preserve">MARITIME-1, NCT06858839</w:t>
            </w:r>
          </w:p>
        </w:tc>
        <w:tc>
          <w:tcPr/>
          <w:p>
            <w:pPr>
              <w:pStyle w:val="Compact"/>
              <w:jc w:val="left"/>
            </w:pPr>
            <w:r>
              <w:t xml:space="preserve">Maridebart cafraglutide</w:t>
            </w:r>
          </w:p>
        </w:tc>
        <w:tc>
          <w:tcPr/>
          <w:p>
            <w:pPr>
              <w:pStyle w:val="Compact"/>
              <w:jc w:val="left"/>
            </w:pPr>
            <w:r>
              <w:t xml:space="preserve">gewichtsverlies zonder diabetes, 3.853 deelnemers</w:t>
            </w:r>
          </w:p>
        </w:tc>
        <w:tc>
          <w:tcPr/>
          <w:p>
            <w:pPr>
              <w:pStyle w:val="Compact"/>
              <w:jc w:val="left"/>
            </w:pPr>
            <w:r>
              <w:t xml:space="preserve">april 2027</w:t>
            </w:r>
          </w:p>
        </w:tc>
      </w:tr>
      <w:tr>
        <w:tc>
          <w:tcPr/>
          <w:p>
            <w:pPr>
              <w:pStyle w:val="Compact"/>
              <w:jc w:val="left"/>
            </w:pPr>
            <w:r>
              <w:t xml:space="preserve">SURMOUNT-MMO, NCT05556512</w:t>
            </w:r>
          </w:p>
        </w:tc>
        <w:tc>
          <w:tcPr/>
          <w:p>
            <w:pPr>
              <w:pStyle w:val="Compact"/>
              <w:jc w:val="left"/>
            </w:pPr>
            <w:r>
              <w:t xml:space="preserve">Tirzepatide</w:t>
            </w:r>
          </w:p>
        </w:tc>
        <w:tc>
          <w:tcPr/>
          <w:p>
            <w:pPr>
              <w:pStyle w:val="Compact"/>
              <w:jc w:val="left"/>
            </w:pPr>
            <w:r>
              <w:t xml:space="preserve">cardiovasculaire gebeurtenissen en overlijden, 15.374 deelnemers</w:t>
            </w:r>
          </w:p>
        </w:tc>
        <w:tc>
          <w:tcPr/>
          <w:p>
            <w:pPr>
              <w:pStyle w:val="Compact"/>
              <w:jc w:val="left"/>
            </w:pPr>
            <w:r>
              <w:t xml:space="preserve">oktober 2027</w:t>
            </w:r>
          </w:p>
        </w:tc>
      </w:tr>
      <w:tr>
        <w:tc>
          <w:tcPr/>
          <w:p>
            <w:pPr>
              <w:pStyle w:val="Compact"/>
              <w:jc w:val="left"/>
            </w:pPr>
            <w:r>
              <w:t xml:space="preserve">REDEFINE 3, NCT05669755</w:t>
            </w:r>
          </w:p>
        </w:tc>
        <w:tc>
          <w:tcPr/>
          <w:p>
            <w:pPr>
              <w:pStyle w:val="Compact"/>
              <w:jc w:val="left"/>
            </w:pPr>
            <w:r>
              <w:t xml:space="preserve">CagriSema</w:t>
            </w:r>
          </w:p>
        </w:tc>
        <w:tc>
          <w:tcPr/>
          <w:p>
            <w:pPr>
              <w:pStyle w:val="Compact"/>
              <w:jc w:val="left"/>
            </w:pPr>
            <w:r>
              <w:t xml:space="preserve">cardiovasculaire gebeurtenissen, 7.101 deelnemers</w:t>
            </w:r>
          </w:p>
        </w:tc>
        <w:tc>
          <w:tcPr/>
          <w:p>
            <w:pPr>
              <w:pStyle w:val="Compact"/>
              <w:jc w:val="left"/>
            </w:pPr>
            <w:r>
              <w:t xml:space="preserve">oktober 2027</w:t>
            </w:r>
          </w:p>
        </w:tc>
      </w:tr>
      <w:tr>
        <w:tc>
          <w:tcPr/>
          <w:p>
            <w:pPr>
              <w:pStyle w:val="Compact"/>
              <w:jc w:val="left"/>
            </w:pPr>
            <w:r>
              <w:t xml:space="preserve">NCT07564414</w:t>
            </w:r>
          </w:p>
        </w:tc>
        <w:tc>
          <w:tcPr/>
          <w:p>
            <w:pPr>
              <w:pStyle w:val="Compact"/>
              <w:jc w:val="left"/>
            </w:pPr>
            <w:r>
              <w:t xml:space="preserve">CagriSema (hogere doses) vs. semaglutide</w:t>
            </w:r>
          </w:p>
        </w:tc>
        <w:tc>
          <w:tcPr/>
          <w:p>
            <w:pPr>
              <w:pStyle w:val="Compact"/>
              <w:jc w:val="left"/>
            </w:pPr>
            <w:r>
              <w:t xml:space="preserve">gewichtsverlies, 2.500 deelnemers</w:t>
            </w:r>
          </w:p>
        </w:tc>
        <w:tc>
          <w:tcPr/>
          <w:p>
            <w:pPr>
              <w:pStyle w:val="Compact"/>
              <w:jc w:val="left"/>
            </w:pPr>
            <w:r>
              <w:t xml:space="preserve">april 2028</w:t>
            </w:r>
          </w:p>
        </w:tc>
      </w:tr>
      <w:tr>
        <w:tc>
          <w:tcPr/>
          <w:p>
            <w:pPr>
              <w:pStyle w:val="Compact"/>
              <w:jc w:val="left"/>
            </w:pPr>
            <w:r>
              <w:t xml:space="preserve">TRIUMPH-6, NCT06859268</w:t>
            </w:r>
          </w:p>
        </w:tc>
        <w:tc>
          <w:tcPr/>
          <w:p>
            <w:pPr>
              <w:pStyle w:val="Compact"/>
              <w:jc w:val="left"/>
            </w:pPr>
            <w:r>
              <w:t xml:space="preserve">Retatrutide</w:t>
            </w:r>
          </w:p>
        </w:tc>
        <w:tc>
          <w:tcPr/>
          <w:p>
            <w:pPr>
              <w:pStyle w:val="Compact"/>
              <w:jc w:val="left"/>
            </w:pPr>
            <w:r>
              <w:t xml:space="preserve">gewichtsbehoud na afvallen, 643 deelnemers</w:t>
            </w:r>
          </w:p>
        </w:tc>
        <w:tc>
          <w:tcPr/>
          <w:p>
            <w:pPr>
              <w:pStyle w:val="Compact"/>
              <w:jc w:val="left"/>
            </w:pPr>
            <w:r>
              <w:t xml:space="preserve">april 2028</w:t>
            </w:r>
          </w:p>
        </w:tc>
      </w:tr>
      <w:tr>
        <w:tc>
          <w:tcPr/>
          <w:p>
            <w:pPr>
              <w:pStyle w:val="Compact"/>
              <w:jc w:val="left"/>
            </w:pPr>
            <w:r>
              <w:t xml:space="preserve">TRIUMPH-Outcomes, NCT06383390</w:t>
            </w:r>
          </w:p>
        </w:tc>
        <w:tc>
          <w:tcPr/>
          <w:p>
            <w:pPr>
              <w:pStyle w:val="Compact"/>
              <w:jc w:val="left"/>
            </w:pPr>
            <w:r>
              <w:t xml:space="preserve">Retatrutide</w:t>
            </w:r>
          </w:p>
        </w:tc>
        <w:tc>
          <w:tcPr/>
          <w:p>
            <w:pPr>
              <w:pStyle w:val="Compact"/>
              <w:jc w:val="left"/>
            </w:pPr>
            <w:r>
              <w:t xml:space="preserve">hart- en niergebeurtenissen, 10.000 deelnemers</w:t>
            </w:r>
          </w:p>
        </w:tc>
        <w:tc>
          <w:tcPr/>
          <w:p>
            <w:pPr>
              <w:pStyle w:val="Compact"/>
              <w:jc w:val="left"/>
            </w:pPr>
            <w:r>
              <w:t xml:space="preserve">februari 2029</w:t>
            </w:r>
          </w:p>
        </w:tc>
      </w:tr>
      <w:tr>
        <w:tc>
          <w:tcPr/>
          <w:p>
            <w:pPr>
              <w:pStyle w:val="Compact"/>
              <w:jc w:val="left"/>
            </w:pPr>
            <w:r>
              <w:t xml:space="preserve">ESSENCE, NCT04822181</w:t>
            </w:r>
          </w:p>
        </w:tc>
        <w:tc>
          <w:tcPr/>
          <w:p>
            <w:pPr>
              <w:pStyle w:val="Compact"/>
              <w:jc w:val="left"/>
            </w:pPr>
            <w:r>
              <w:t xml:space="preserve">Semaglutide</w:t>
            </w:r>
          </w:p>
        </w:tc>
        <w:tc>
          <w:tcPr/>
          <w:p>
            <w:pPr>
              <w:pStyle w:val="Compact"/>
              <w:jc w:val="left"/>
            </w:pPr>
            <w:r>
              <w:t xml:space="preserve">leververvetting (MASH), 1.205 deelnemers</w:t>
            </w:r>
          </w:p>
        </w:tc>
        <w:tc>
          <w:tcPr/>
          <w:p>
            <w:pPr>
              <w:pStyle w:val="Compact"/>
              <w:jc w:val="left"/>
            </w:pPr>
            <w:r>
              <w:t xml:space="preserve">april 2029</w:t>
            </w:r>
          </w:p>
        </w:tc>
      </w:tr>
      <w:tr>
        <w:tc>
          <w:tcPr/>
          <w:p>
            <w:pPr>
              <w:pStyle w:val="Compact"/>
              <w:jc w:val="left"/>
            </w:pPr>
            <w:r>
              <w:t xml:space="preserve">LIVERAGE-Cirrhosis, NCT06632457</w:t>
            </w:r>
          </w:p>
        </w:tc>
        <w:tc>
          <w:tcPr/>
          <w:p>
            <w:pPr>
              <w:pStyle w:val="Compact"/>
              <w:jc w:val="left"/>
            </w:pPr>
            <w:r>
              <w:t xml:space="preserve">Survodutide</w:t>
            </w:r>
          </w:p>
        </w:tc>
        <w:tc>
          <w:tcPr/>
          <w:p>
            <w:pPr>
              <w:pStyle w:val="Compact"/>
              <w:jc w:val="left"/>
            </w:pPr>
            <w:r>
              <w:t xml:space="preserve">levercomplicaties bij cirrose, 1.590 deelnemers</w:t>
            </w:r>
          </w:p>
        </w:tc>
        <w:tc>
          <w:tcPr/>
          <w:p>
            <w:pPr>
              <w:pStyle w:val="Compact"/>
              <w:jc w:val="left"/>
            </w:pPr>
            <w:r>
              <w:t xml:space="preserve">juni 2029</w:t>
            </w:r>
          </w:p>
        </w:tc>
      </w:tr>
      <w:tr>
        <w:tc>
          <w:tcPr/>
          <w:p>
            <w:pPr>
              <w:pStyle w:val="Compact"/>
              <w:jc w:val="left"/>
            </w:pPr>
            <w:r>
              <w:t xml:space="preserve">AMAZE 1, NCT07339423</w:t>
            </w:r>
          </w:p>
        </w:tc>
        <w:tc>
          <w:tcPr/>
          <w:p>
            <w:pPr>
              <w:pStyle w:val="Compact"/>
              <w:jc w:val="left"/>
            </w:pPr>
            <w:r>
              <w:t xml:space="preserve">Amycretine (zenagamtide)</w:t>
            </w:r>
          </w:p>
        </w:tc>
        <w:tc>
          <w:tcPr/>
          <w:p>
            <w:pPr>
              <w:pStyle w:val="Compact"/>
              <w:jc w:val="left"/>
            </w:pPr>
            <w:r>
              <w:t xml:space="preserve">gewichtsverlies, 1.150 deelnemers</w:t>
            </w:r>
          </w:p>
        </w:tc>
        <w:tc>
          <w:tcPr/>
          <w:p>
            <w:pPr>
              <w:pStyle w:val="Compact"/>
              <w:jc w:val="left"/>
            </w:pPr>
            <w:r>
              <w:t xml:space="preserve">augustus 2029</w:t>
            </w:r>
          </w:p>
        </w:tc>
      </w:tr>
      <w:tr>
        <w:tc>
          <w:tcPr/>
          <w:p>
            <w:pPr>
              <w:pStyle w:val="Compact"/>
              <w:jc w:val="left"/>
            </w:pPr>
            <w:r>
              <w:t xml:space="preserve">MARITIME-CV, NCT07037433</w:t>
            </w:r>
          </w:p>
        </w:tc>
        <w:tc>
          <w:tcPr/>
          <w:p>
            <w:pPr>
              <w:pStyle w:val="Compact"/>
              <w:jc w:val="left"/>
            </w:pPr>
            <w:r>
              <w:t xml:space="preserve">Maridebart cafraglutide</w:t>
            </w:r>
          </w:p>
        </w:tc>
        <w:tc>
          <w:tcPr/>
          <w:p>
            <w:pPr>
              <w:pStyle w:val="Compact"/>
              <w:jc w:val="left"/>
            </w:pPr>
            <w:r>
              <w:t xml:space="preserve">cardiovasculaire gebeurtenissen, 12.800 deelnemers</w:t>
            </w:r>
          </w:p>
        </w:tc>
        <w:tc>
          <w:tcPr/>
          <w:p>
            <w:pPr>
              <w:pStyle w:val="Compact"/>
              <w:jc w:val="left"/>
            </w:pPr>
            <w:r>
              <w:t xml:space="preserve">september 2030</w:t>
            </w:r>
          </w:p>
        </w:tc>
      </w:tr>
      <w:tr>
        <w:tc>
          <w:tcPr/>
          <w:p>
            <w:pPr>
              <w:pStyle w:val="Compact"/>
              <w:jc w:val="left"/>
            </w:pPr>
            <w:r>
              <w:t xml:space="preserve">MARITIME-HF, NCT07037459</w:t>
            </w:r>
          </w:p>
        </w:tc>
        <w:tc>
          <w:tcPr/>
          <w:p>
            <w:pPr>
              <w:pStyle w:val="Compact"/>
              <w:jc w:val="left"/>
            </w:pPr>
            <w:r>
              <w:t xml:space="preserve">Maridebart cafraglutide</w:t>
            </w:r>
          </w:p>
        </w:tc>
        <w:tc>
          <w:tcPr/>
          <w:p>
            <w:pPr>
              <w:pStyle w:val="Compact"/>
              <w:jc w:val="left"/>
            </w:pPr>
            <w:r>
              <w:t xml:space="preserve">hartfalen met obesitas, 5.056 deelnemers</w:t>
            </w:r>
          </w:p>
        </w:tc>
        <w:tc>
          <w:tcPr/>
          <w:p>
            <w:pPr>
              <w:pStyle w:val="Compact"/>
              <w:jc w:val="left"/>
            </w:pPr>
            <w:r>
              <w:t xml:space="preserve">september 2030</w:t>
            </w:r>
          </w:p>
        </w:tc>
      </w:tr>
      <w:tr>
        <w:tc>
          <w:tcPr/>
          <w:p>
            <w:pPr>
              <w:pStyle w:val="Compact"/>
              <w:jc w:val="left"/>
            </w:pPr>
            <w:r>
              <w:t xml:space="preserve">AMBIENCE, NCT07861100</w:t>
            </w:r>
          </w:p>
        </w:tc>
        <w:tc>
          <w:tcPr/>
          <w:p>
            <w:pPr>
              <w:pStyle w:val="Compact"/>
              <w:jc w:val="left"/>
            </w:pPr>
            <w:r>
              <w:t xml:space="preserve">Amycretine (zenagamtide)</w:t>
            </w:r>
          </w:p>
        </w:tc>
        <w:tc>
          <w:tcPr/>
          <w:p>
            <w:pPr>
              <w:pStyle w:val="Compact"/>
              <w:jc w:val="left"/>
            </w:pPr>
            <w:r>
              <w:t xml:space="preserve">cardiovasculaire gebeurtenissen, 8.500 gepland</w:t>
            </w:r>
          </w:p>
        </w:tc>
        <w:tc>
          <w:tcPr/>
          <w:p>
            <w:pPr>
              <w:pStyle w:val="Compact"/>
              <w:jc w:val="left"/>
            </w:pPr>
            <w:r>
              <w:t xml:space="preserve">september 2030</w:t>
            </w:r>
          </w:p>
        </w:tc>
      </w:tr>
      <w:tr>
        <w:tc>
          <w:tcPr/>
          <w:p>
            <w:pPr>
              <w:pStyle w:val="Compact"/>
              <w:jc w:val="left"/>
            </w:pPr>
            <w:r>
              <w:t xml:space="preserve">ATTAIN-Outcomes, NCT07241390</w:t>
            </w:r>
          </w:p>
        </w:tc>
        <w:tc>
          <w:tcPr/>
          <w:p>
            <w:pPr>
              <w:pStyle w:val="Compact"/>
              <w:jc w:val="left"/>
            </w:pPr>
            <w:r>
              <w:t xml:space="preserve">Orforglipron (geen peptide)</w:t>
            </w:r>
          </w:p>
        </w:tc>
        <w:tc>
          <w:tcPr/>
          <w:p>
            <w:pPr>
              <w:pStyle w:val="Compact"/>
              <w:jc w:val="left"/>
            </w:pPr>
            <w:r>
              <w:t xml:space="preserve">cardiovasculaire gebeurtenissen, 7.140 deelnemers</w:t>
            </w:r>
          </w:p>
        </w:tc>
        <w:tc>
          <w:tcPr/>
          <w:p>
            <w:pPr>
              <w:pStyle w:val="Compact"/>
              <w:jc w:val="left"/>
            </w:pPr>
            <w:r>
              <w:t xml:space="preserve">augustus 2031</w:t>
            </w:r>
          </w:p>
        </w:tc>
      </w:tr>
      <w:tr>
        <w:tc>
          <w:tcPr/>
          <w:p>
            <w:pPr>
              <w:pStyle w:val="Compact"/>
              <w:jc w:val="left"/>
            </w:pPr>
            <w:r>
              <w:t xml:space="preserve">LIVERAGE, NCT06632444</w:t>
            </w:r>
          </w:p>
        </w:tc>
        <w:tc>
          <w:tcPr/>
          <w:p>
            <w:pPr>
              <w:pStyle w:val="Compact"/>
              <w:jc w:val="left"/>
            </w:pPr>
            <w:r>
              <w:t xml:space="preserve">Survodutide</w:t>
            </w:r>
          </w:p>
        </w:tc>
        <w:tc>
          <w:tcPr/>
          <w:p>
            <w:pPr>
              <w:pStyle w:val="Compact"/>
              <w:jc w:val="left"/>
            </w:pPr>
            <w:r>
              <w:t xml:space="preserve">MASH met fibrose, 1.800 deelnemers</w:t>
            </w:r>
          </w:p>
        </w:tc>
        <w:tc>
          <w:tcPr/>
          <w:p>
            <w:pPr>
              <w:pStyle w:val="Compact"/>
              <w:jc w:val="left"/>
            </w:pPr>
            <w:r>
              <w:t xml:space="preserve">december 2031</w:t>
            </w:r>
          </w:p>
        </w:tc>
      </w:tr>
      <w:tr>
        <w:tc>
          <w:tcPr/>
          <w:p>
            <w:pPr>
              <w:pStyle w:val="Compact"/>
              <w:jc w:val="left"/>
            </w:pPr>
            <w:r>
              <w:t xml:space="preserve">SYNERGY-Outcomes, NCT07165028</w:t>
            </w:r>
          </w:p>
        </w:tc>
        <w:tc>
          <w:tcPr/>
          <w:p>
            <w:pPr>
              <w:pStyle w:val="Compact"/>
              <w:jc w:val="left"/>
            </w:pPr>
            <w:r>
              <w:t xml:space="preserve">Tirzepatide en retatrutide</w:t>
            </w:r>
          </w:p>
        </w:tc>
        <w:tc>
          <w:tcPr/>
          <w:p>
            <w:pPr>
              <w:pStyle w:val="Compact"/>
              <w:jc w:val="left"/>
            </w:pPr>
            <w:r>
              <w:t xml:space="preserve">ernstige levergebeurtenissen, 4.500 deelnemers</w:t>
            </w:r>
          </w:p>
        </w:tc>
        <w:tc>
          <w:tcPr/>
          <w:p>
            <w:pPr>
              <w:pStyle w:val="Compact"/>
              <w:jc w:val="left"/>
            </w:pPr>
            <w:r>
              <w:t xml:space="preserve">augustus 2032</w:t>
            </w:r>
          </w:p>
        </w:tc>
      </w:tr>
    </w:tbl>
    <w:p>
      <w:pPr>
        <w:pStyle w:val="BodyText"/>
      </w:pPr>
      <w:r>
        <w:rPr>
          <w:bCs/>
          <w:b/>
        </w:rPr>
        <w:t xml:space="preserve">Andere groepen: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 / NCT</w:t>
            </w:r>
          </w:p>
        </w:tc>
        <w:tc>
          <w:tcPr/>
          <w:p>
            <w:pPr>
              <w:pStyle w:val="Compact"/>
              <w:jc w:val="left"/>
            </w:pPr>
            <w:r>
              <w:t xml:space="preserve">Werkzame stof</w:t>
            </w:r>
          </w:p>
        </w:tc>
        <w:tc>
          <w:tcPr/>
          <w:p>
            <w:pPr>
              <w:pStyle w:val="Compact"/>
              <w:jc w:val="left"/>
            </w:pPr>
            <w:r>
              <w:t xml:space="preserve">Vraagstelling</w:t>
            </w:r>
          </w:p>
        </w:tc>
        <w:tc>
          <w:tcPr/>
          <w:p>
            <w:pPr>
              <w:pStyle w:val="Compact"/>
              <w:jc w:val="left"/>
            </w:pPr>
            <w:r>
              <w:t xml:space="preserve">Verwacht einde</w:t>
            </w:r>
          </w:p>
        </w:tc>
      </w:tr>
      <w:tr>
        <w:tc>
          <w:tcPr/>
          <w:p>
            <w:pPr>
              <w:pStyle w:val="Compact"/>
              <w:jc w:val="left"/>
            </w:pPr>
            <w:r>
              <w:t xml:space="preserve">SEER-2, NCT05555589</w:t>
            </w:r>
          </w:p>
        </w:tc>
        <w:tc>
          <w:tcPr/>
          <w:p>
            <w:pPr>
              <w:pStyle w:val="Compact"/>
              <w:jc w:val="left"/>
            </w:pPr>
            <w:r>
              <w:t xml:space="preserve">Thymosine bèta-4 (oogdruppels)</w:t>
            </w:r>
          </w:p>
        </w:tc>
        <w:tc>
          <w:tcPr/>
          <w:p>
            <w:pPr>
              <w:pStyle w:val="Compact"/>
              <w:jc w:val="left"/>
            </w:pPr>
            <w:r>
              <w:t xml:space="preserve">genezing van het hoornvlies, 70 deelnemers</w:t>
            </w:r>
          </w:p>
        </w:tc>
        <w:tc>
          <w:tcPr/>
          <w:p>
            <w:pPr>
              <w:pStyle w:val="Compact"/>
              <w:jc w:val="left"/>
            </w:pPr>
            <w:r>
              <w:t xml:space="preserve">mei 2026 (resultaat nog niet bekend)</w:t>
            </w:r>
          </w:p>
        </w:tc>
      </w:tr>
      <w:tr>
        <w:tc>
          <w:tcPr/>
          <w:p>
            <w:pPr>
              <w:pStyle w:val="Compact"/>
              <w:jc w:val="left"/>
            </w:pPr>
            <w:r>
              <w:t xml:space="preserve">NCT06109649</w:t>
            </w:r>
          </w:p>
        </w:tc>
        <w:tc>
          <w:tcPr/>
          <w:p>
            <w:pPr>
              <w:pStyle w:val="Compact"/>
              <w:jc w:val="left"/>
            </w:pPr>
            <w:r>
              <w:t xml:space="preserve">Afamelanotide</w:t>
            </w:r>
          </w:p>
        </w:tc>
        <w:tc>
          <w:tcPr/>
          <w:p>
            <w:pPr>
              <w:pStyle w:val="Compact"/>
              <w:jc w:val="left"/>
            </w:pPr>
            <w:r>
              <w:t xml:space="preserve">vitiligo met lichttherapie, 200 deelnemers</w:t>
            </w:r>
          </w:p>
        </w:tc>
        <w:tc>
          <w:tcPr/>
          <w:p>
            <w:pPr>
              <w:pStyle w:val="Compact"/>
              <w:jc w:val="left"/>
            </w:pPr>
            <w:r>
              <w:t xml:space="preserve">juni 2026 (resultaat nog niet bekend)</w:t>
            </w:r>
          </w:p>
        </w:tc>
      </w:tr>
      <w:tr>
        <w:tc>
          <w:tcPr/>
          <w:p>
            <w:pPr>
              <w:pStyle w:val="Compact"/>
              <w:jc w:val="left"/>
            </w:pPr>
            <w:r>
              <w:t xml:space="preserve">NCT05086614</w:t>
            </w:r>
          </w:p>
        </w:tc>
        <w:tc>
          <w:tcPr/>
          <w:p>
            <w:pPr>
              <w:pStyle w:val="Compact"/>
              <w:jc w:val="left"/>
            </w:pPr>
            <w:r>
              <w:t xml:space="preserve">Thymosine alfa-1</w:t>
            </w:r>
          </w:p>
        </w:tc>
        <w:tc>
          <w:tcPr/>
          <w:p>
            <w:pPr>
              <w:pStyle w:val="Compact"/>
              <w:jc w:val="left"/>
            </w:pPr>
            <w:r>
              <w:t xml:space="preserve">ziektevrije overleving na darmkanker, 2.500 deelnemers</w:t>
            </w:r>
          </w:p>
        </w:tc>
        <w:tc>
          <w:tcPr/>
          <w:p>
            <w:pPr>
              <w:pStyle w:val="Compact"/>
              <w:jc w:val="left"/>
            </w:pPr>
            <w:r>
              <w:t xml:space="preserve">maart 2027</w:t>
            </w:r>
          </w:p>
        </w:tc>
      </w:tr>
      <w:tr>
        <w:tc>
          <w:tcPr/>
          <w:p>
            <w:pPr>
              <w:pStyle w:val="Compact"/>
              <w:jc w:val="left"/>
            </w:pPr>
            <w:r>
              <w:t xml:space="preserve">ReNEW, NCT06373731</w:t>
            </w:r>
          </w:p>
        </w:tc>
        <w:tc>
          <w:tcPr/>
          <w:p>
            <w:pPr>
              <w:pStyle w:val="Compact"/>
              <w:jc w:val="left"/>
            </w:pPr>
            <w:r>
              <w:t xml:space="preserve">Elamipretide (SS-31)</w:t>
            </w:r>
          </w:p>
        </w:tc>
        <w:tc>
          <w:tcPr/>
          <w:p>
            <w:pPr>
              <w:pStyle w:val="Compact"/>
              <w:jc w:val="left"/>
            </w:pPr>
            <w:r>
              <w:t xml:space="preserve">droge maculadegeneratie, 313 deelnemers</w:t>
            </w:r>
          </w:p>
        </w:tc>
        <w:tc>
          <w:tcPr/>
          <w:p>
            <w:pPr>
              <w:pStyle w:val="Compact"/>
              <w:jc w:val="left"/>
            </w:pPr>
            <w:r>
              <w:t xml:space="preserve">september 2027</w:t>
            </w:r>
          </w:p>
        </w:tc>
      </w:tr>
      <w:tr>
        <w:tc>
          <w:tcPr/>
          <w:p>
            <w:pPr>
              <w:pStyle w:val="Compact"/>
              <w:jc w:val="left"/>
            </w:pPr>
            <w:r>
              <w:t xml:space="preserve">NCT06948214</w:t>
            </w:r>
          </w:p>
        </w:tc>
        <w:tc>
          <w:tcPr/>
          <w:p>
            <w:pPr>
              <w:pStyle w:val="Compact"/>
              <w:jc w:val="left"/>
            </w:pPr>
            <w:r>
              <w:t xml:space="preserve">Ibutamoren (LUM-201, geen peptide)</w:t>
            </w:r>
          </w:p>
        </w:tc>
        <w:tc>
          <w:tcPr/>
          <w:p>
            <w:pPr>
              <w:pStyle w:val="Compact"/>
              <w:jc w:val="left"/>
            </w:pPr>
            <w:r>
              <w:t xml:space="preserve">groei bij kinderen met hormoontekort, 150 deelnemers</w:t>
            </w:r>
          </w:p>
        </w:tc>
        <w:tc>
          <w:tcPr/>
          <w:p>
            <w:pPr>
              <w:pStyle w:val="Compact"/>
              <w:jc w:val="left"/>
            </w:pPr>
            <w:r>
              <w:t xml:space="preserve">januari 2028</w:t>
            </w:r>
          </w:p>
        </w:tc>
      </w:tr>
    </w:tbl>
    <w:p>
      <w:pPr>
        <w:pStyle w:val="BodyText"/>
      </w:pPr>
      <w:r>
        <w:t xml:space="preserve">Details over elke studie staan in de paragraaf „Lopende studies en vooruitzichten” van het betreffende hoofdstuk.</w:t>
      </w:r>
    </w:p>
    <w:bookmarkEnd w:id="1029"/>
    <w:bookmarkStart w:id="1030" w:name="Xe6fc835edec5e7a77303bc85edf79fc183f11bc"/>
    <w:p>
      <w:pPr>
        <w:pStyle w:val="Heading3"/>
      </w:pPr>
      <w:r>
        <w:t xml:space="preserve">Wat het register verraadt over de richting</w:t>
      </w:r>
    </w:p>
    <w:p>
      <w:pPr>
        <w:pStyle w:val="FirstParagraph"/>
      </w:pPr>
      <w:r>
        <w:rPr>
          <w:bCs/>
          <w:b/>
        </w:rPr>
        <w:t xml:space="preserve">Van de weegschaal naar harde eindpunten.</w:t>
      </w:r>
      <w:r>
        <w:t xml:space="preserve"> </w:t>
      </w:r>
      <w:r>
        <w:t xml:space="preserve">De eerste generatie afslankstudies mat vooral kilogrammen. De grote studies van de komende jaren vragen of hartinfarcten, beroertes, hartfalen, nierfalen of levercirrose minder vaak voorkomen. Alle zes lopende fase 3-studies uit groep A met elk meer dan 5.000 deelnemers zijn zulke eindpuntstudies. Voor zorgverzekeraars die over de vergoeding beslissen, zijn deze resultaten belangrijker dan elk record in gewichtsverlies.</w:t>
      </w:r>
    </w:p>
    <w:p>
      <w:pPr>
        <w:pStyle w:val="BodyText"/>
      </w:pPr>
      <w:r>
        <w:rPr>
          <w:bCs/>
          <w:b/>
        </w:rPr>
        <w:t xml:space="preserve">Directe vergelijkingen.</w:t>
      </w:r>
      <w:r>
        <w:t xml:space="preserve"> </w:t>
      </w:r>
      <w:r>
        <w:t xml:space="preserve">Nieuwe werkzame stoffen moeten zich steeds vaker meten met de gevestigde, niet alleen met placebo: retatrutide tegen tirzepatide (NCT06662383), zenagamtide tegen semaglutide (AMAZE 7, NCT07668414), maridebart cafraglutide tegen semaglutide bij diabetes type 2 (MARITIME-T2D-3, NCT07866066). Ook nieuwe aanbieders gaan de directe confrontatie aan: Roche test de GLP-1/GIP-duale agonist enicepatide tegen tirzepatide (NCT07889648), het bedrijf Kailera de werkzame stof ribupatide tegen semaglutide (KaiNETIC-3, NCT07284979), AstraZeneca de dagelijks in te nemen werkzame stof elecoglipron tegen de semaglutide-tablet (Eluminate-2, NCT07662213).</w:t>
      </w:r>
    </w:p>
    <w:p>
      <w:pPr>
        <w:pStyle w:val="BodyText"/>
      </w:pPr>
      <w:r>
        <w:rPr>
          <w:bCs/>
          <w:b/>
        </w:rPr>
        <w:t xml:space="preserve">Gewicht behouden in plaats van alleen verliezen.</w:t>
      </w:r>
      <w:r>
        <w:t xml:space="preserve"> </w:t>
      </w:r>
      <w:r>
        <w:t xml:space="preserve">Meerdere studies onderzoeken uitdrukkelijk de periode na het afvallen: retatrutide voor gewichtsbehoud (TRIUMPH-6, NCT06859268), een langetermijnstudie met CagriSema over twee jaar plus verlenging (NCT06780449), de overstap van andere GLP-1-geneesmiddelen op het maandelijks toegediende maridebart cafraglutide (NCT07575399) of op berobenatide, een maandelijks te injecteren onderzoeksmiddel van Pfizer (NCT07845500). Achtergrond zijn studies als SURMOUNT-4: wie na 36 weken met tirzepatide stopte, kwam in het daaropvolgende jaar gemiddeld weer 14,0% aan, terwijl het gewicht met voortgezette behandeling met nog eens 5,5% daalde (Aronne 2024, PMID 38078870).</w:t>
      </w:r>
    </w:p>
    <w:p>
      <w:pPr>
        <w:pStyle w:val="BodyText"/>
      </w:pPr>
      <w:r>
        <w:rPr>
          <w:bCs/>
          <w:b/>
        </w:rPr>
        <w:t xml:space="preserve">Nieuwe landen, nieuwe moleculen.</w:t>
      </w:r>
      <w:r>
        <w:t xml:space="preserve"> </w:t>
      </w:r>
      <w:r>
        <w:t xml:space="preserve">Een groot deel van de nieuwe fase 3-studies komt van Chinese bedrijven die eigen op GLP-1 gebaseerde werkzame stoffen testen tegen semaglutide of dulaglutide – bijvoorbeeld het om de twee weken geïnjecteerde bofanglutide (BALANCE-OBS, NCT07622810) of het exendine-4-fusie-eiwit JY09 (NCT06257966). De markt wordt dus breder, niet alleen sterker.</w:t>
      </w:r>
    </w:p>
    <w:p>
      <w:pPr>
        <w:pStyle w:val="BodyText"/>
      </w:pPr>
      <w:r>
        <w:rPr>
          <w:bCs/>
          <w:b/>
        </w:rPr>
        <w:t xml:space="preserve">Kinderen en jongeren.</w:t>
      </w:r>
      <w:r>
        <w:t xml:space="preserve"> </w:t>
      </w:r>
      <w:r>
        <w:t xml:space="preserve">Voor bijna alle grote werkzame stoffen lopen studies bij jongeren, deels ook bij kinderen, bijvoorbeeld voor tirzepatide (NCT06439277, NCT07817875), orforglipron (NCT06672939) en CagriSema (NCT07253285, gepland einde 2033).</w:t>
      </w:r>
    </w:p>
    <w:p>
      <w:pPr>
        <w:pStyle w:val="BodyText"/>
      </w:pPr>
      <w:r>
        <w:rPr>
          <w:bCs/>
          <w:b/>
        </w:rPr>
        <w:t xml:space="preserve">En buiten de stofwisseling?</w:t>
      </w:r>
      <w:r>
        <w:t xml:space="preserve"> </w:t>
      </w:r>
      <w:r>
        <w:t xml:space="preserve">Hier is de pijplijn dun. Waar een peptide niet octrooieerbaar is, al als voedingssupplement wordt verkocht of alleen op de grijze markt bestaat, financiert vrijwel niemand dure registratiestudies. Dat verklaart waarom juist de op internet meest besproken peptiden in de registers praktisch ontbreken.</w:t>
      </w:r>
    </w:p>
    <w:bookmarkEnd w:id="1030"/>
    <w:bookmarkStart w:id="1036" w:name="nieuwe-werkingsprincipes"/>
    <w:p>
      <w:pPr>
        <w:pStyle w:val="Heading3"/>
      </w:pPr>
      <w:r>
        <w:t xml:space="preserve">Nieuwe werkingsprincipes</w:t>
      </w:r>
    </w:p>
    <w:bookmarkStart w:id="1031" w:name="drievoudige-agonisten"/>
    <w:p>
      <w:pPr>
        <w:pStyle w:val="Heading4"/>
      </w:pPr>
      <w:r>
        <w:t xml:space="preserve">Drievoudige agonisten</w:t>
      </w:r>
    </w:p>
    <w:p>
      <w:pPr>
        <w:pStyle w:val="FirstParagraph"/>
      </w:pPr>
      <w:r>
        <w:t xml:space="preserve">Retatrutide activeert drie receptoren tegelijk: GLP-1, GIP en glucagon. De glucagoncomponent moet het energieverbruik en de vetafbraak in de lever verhogen. In de fase 2-studie met 338 volwassenen daalde het gewicht na 48 weken bij de hoogste onderzochte dosis met 24,2%, met placebo met 2,1% (Jastreboff 2023, PMID 37366315). De eerste fase 3-studie TRIUMPH-1 met 2.339 volwassenen bevestigde dat: na 80 weken bedroeg het gewichtsverlies afhankelijk van de dosis 17,6 tot 25,0%, met placebo 3,9%. Bij deelnemers met knieartrose verminderde de pijn, bij slaapapneu het aantal ademstops (Jastreboff 2026, PMID 42814954). Of dit extra gewichtsverlies ook tot minder hart- en niergebeurtenissen leidt, moet TRIUMPH-Outcomes tegen 2029 laten zien (NCT06383390). Details en bijwerkingen beschrijft het hoofdstuk Retatrutide.</w:t>
      </w:r>
    </w:p>
    <w:bookmarkEnd w:id="1031"/>
    <w:bookmarkStart w:id="1032" w:name="amyline-de-vierde-hormoonroute"/>
    <w:p>
      <w:pPr>
        <w:pStyle w:val="Heading4"/>
      </w:pPr>
      <w:r>
        <w:t xml:space="preserve">Amyline: de vierde hormoonroute</w:t>
      </w:r>
    </w:p>
    <w:p>
      <w:pPr>
        <w:pStyle w:val="FirstParagraph"/>
      </w:pPr>
      <w:r>
        <w:t xml:space="preserve">Amyline wordt samen met insuline afgegeven en werkt in de hersenstam verzadigend. Er zijn drie ontwikkelingslijnen te onderscheiden:</w:t>
      </w:r>
    </w:p>
    <w:p>
      <w:pPr>
        <w:numPr>
          <w:ilvl w:val="0"/>
          <w:numId w:val="1355"/>
        </w:numPr>
        <w:pStyle w:val="Compact"/>
      </w:pPr>
      <w:r>
        <w:rPr>
          <w:bCs/>
          <w:b/>
        </w:rPr>
        <w:t xml:space="preserve">Combinatie in één injectie:</w:t>
      </w:r>
      <w:r>
        <w:t xml:space="preserve"> </w:t>
      </w:r>
      <w:r>
        <w:t xml:space="preserve">CagriSema combineert de amylineanaloog cagrilintide met semaglutide. In REDEFINE 1 met 3.417 volwassenen daalde het gewicht na 68 weken met 20,4%, met placebo met 3,0%; maag-darmklachten traden op bij 79,6% tegenover 39,9% (Garvey 2025, PMID 40544433).</w:t>
      </w:r>
    </w:p>
    <w:p>
      <w:pPr>
        <w:numPr>
          <w:ilvl w:val="0"/>
          <w:numId w:val="1355"/>
        </w:numPr>
        <w:pStyle w:val="Compact"/>
      </w:pPr>
      <w:r>
        <w:rPr>
          <w:bCs/>
          <w:b/>
        </w:rPr>
        <w:t xml:space="preserve">Eén molecuul voor twee receptoren:</w:t>
      </w:r>
      <w:r>
        <w:t xml:space="preserve"> </w:t>
      </w:r>
      <w:r>
        <w:t xml:space="preserve">amycretine, sinds 2026 zenagamtide, activeert GLP-1- en amylinereceptoren tegelijk. In een kleine fase 1b/2a-studie met 125 deelnemers daalde het gewicht bij de hoogste dosisstap na 36 weken met 24,3% (Dahl 2025, PMID 40550231). Het fase 3-programma AMAZE loopt sinds 2026.</w:t>
      </w:r>
    </w:p>
    <w:p>
      <w:pPr>
        <w:numPr>
          <w:ilvl w:val="0"/>
          <w:numId w:val="1355"/>
        </w:numPr>
        <w:pStyle w:val="Compact"/>
      </w:pPr>
      <w:r>
        <w:rPr>
          <w:bCs/>
          <w:b/>
        </w:rPr>
        <w:t xml:space="preserve">Amyline alleen:</w:t>
      </w:r>
      <w:r>
        <w:t xml:space="preserve"> </w:t>
      </w:r>
      <w:r>
        <w:t xml:space="preserve">hier is de hoop een betere verdraagbaarheid. Eloralintide, een selectieve amylinereceptoragonist van Lilly, leidde in een fase 2-studie met 263 volwassenen na 48 weken tot 9 tot 20% gewichtsverlies tegenover 0,4% met placebo; misselijkheid en vermoeidheid kwamen afhankelijk van de dosis duidelijk vaker voor dan met placebo (Billings 2025, PMID 41207310). Petrelintide van Zealand Pharma verlaagde het gewicht in de fase 2-studie ZUPREME 1 met 493 deelnemers na 28 weken met 7,9 tot 9,8% (placebo 1,7%). Misselijkheid trad op bij 20% tegenover 6%, braken echter niet vaker dan met placebo (Garvey 2026, PMID 42810355).</w:t>
      </w:r>
    </w:p>
    <w:p>
      <w:pPr>
        <w:pStyle w:val="FirstParagraph"/>
      </w:pPr>
      <w:r>
        <w:t xml:space="preserve">Beide zuivere amylinemiddelen zijn inmiddels in fase 3: eloralintide in ENLIGHTEN-1 met 1.980 geplande deelnemers (NCT07321886, einde juli 2030), petrelintide in ZUPREME-3 met 3.900 geplande deelnemers onder leiding van Roche (NCT07843498, einde maart 2029). Lilly test daarnaast een combinatie van eloralintide en tirzepatide (AMPLIFY-1, NCT07881432, 2.115 geplande deelnemers).</w:t>
      </w:r>
    </w:p>
    <w:bookmarkEnd w:id="1032"/>
    <w:bookmarkStart w:id="1033" w:name="antistof-peptideconjugaten"/>
    <w:p>
      <w:pPr>
        <w:pStyle w:val="Heading4"/>
      </w:pPr>
      <w:r>
        <w:t xml:space="preserve">Antistof-peptideconjugaten</w:t>
      </w:r>
    </w:p>
    <w:p>
      <w:pPr>
        <w:pStyle w:val="FirstParagraph"/>
      </w:pPr>
      <w:r>
        <w:t xml:space="preserve">Peptiden worden in het lichaam snel afgebroken en via de nieren uitgescheiden. Een oplossing is ze te koppelen aan een antistof die wekenlang in het bloed blijft. Een overzichtsartikel beschrijft zulke antistof-peptideconjugaten als een eigen, nieuwe klasse werkzame stoffen: anders dan bij fusie-eiwitten wordt het peptide chemisch geproduceerd en pas daarna aan de antistof gebonden, zodat het ook ongebruikelijke bouwstenen kan bevatten (Yie 2026, PMID 42592044).</w:t>
      </w:r>
    </w:p>
    <w:p>
      <w:pPr>
        <w:pStyle w:val="BodyText"/>
      </w:pPr>
      <w:r>
        <w:t xml:space="preserve">Het bekendste voorbeeld is maridebart cafraglutide (MariTide). Het verbindt een antistof die de GIP-receptor blokkeert met GLP-1-achtige peptiden die de GLP-1-receptor activeren. In de fase 2-studie met 592 deelnemers werd het om de vier of acht weken geïnjecteerd. Na 52 weken bedroeg het gewichtsverlies zonder diabetes 12,3 tot 16,2% (placebo 2,5%), met diabetes type 2 8,4 tot 12,3% (placebo 1,7%). Maag-darmklachten kwamen vaak voor, maar minder vaak als de dosis langzaam werd verhoogd (Jastreboff 2025, PMID 40549887). Het concept luidt: minder injecties in plaats van maximale werking.</w:t>
      </w:r>
    </w:p>
    <w:bookmarkEnd w:id="1033"/>
    <w:bookmarkStart w:id="1034" w:name="spieren-sparen-bij-het-afvallen"/>
    <w:p>
      <w:pPr>
        <w:pStyle w:val="Heading4"/>
      </w:pPr>
      <w:r>
        <w:t xml:space="preserve">Spieren sparen bij het afvallen</w:t>
      </w:r>
    </w:p>
    <w:p>
      <w:pPr>
        <w:pStyle w:val="FirstParagraph"/>
      </w:pPr>
      <w:r>
        <w:t xml:space="preserve">Bij elk sterk gewichtsverlies gaat ook spier- en botmassa verloren. Eén benadering is de antistof</w:t>
      </w:r>
      <w:r>
        <w:t xml:space="preserve"> </w:t>
      </w:r>
      <w:r>
        <w:rPr>
          <w:bCs/>
          <w:b/>
        </w:rPr>
        <w:t xml:space="preserve">bimagrumab</w:t>
      </w:r>
      <w:r>
        <w:t xml:space="preserve">, die activine-type-II-receptoren blokkeert – schakelaars die de spiergroei afremmen. Bimagrumab is geen peptide, maar wordt gericht gecombineerd met peptidegeneesmiddelen.</w:t>
      </w:r>
    </w:p>
    <w:p>
      <w:pPr>
        <w:numPr>
          <w:ilvl w:val="0"/>
          <w:numId w:val="1356"/>
        </w:numPr>
        <w:pStyle w:val="Compact"/>
      </w:pPr>
      <w:r>
        <w:t xml:space="preserve">In een fase 2-studie met 75 volwassenen met diabetes type 2 en overgewicht daalde met bimagrumab alleen na 48 weken de vetmassa met 20,5%, terwijl de vetvrije massa met 3,6% toenam (placebo −0,5% en −0,8%) (Heymsfield 2021, PMID 33439265).</w:t>
      </w:r>
    </w:p>
    <w:p>
      <w:pPr>
        <w:numPr>
          <w:ilvl w:val="0"/>
          <w:numId w:val="1356"/>
        </w:numPr>
        <w:pStyle w:val="Compact"/>
      </w:pPr>
      <w:r>
        <w:t xml:space="preserve">In een fase 2-studie met 507 volwassenen met obesitas bedroeg het gewichtsverlies na 48 weken met bimagrumab alleen 9,3 kg, met semaglutide alleen 14,2 kg en met de combinatie 17,8 kg (placebo 3,3 kg). Veelvoorkomende bijwerkingen van bimagrumab waren spierkrampen, diarree en acne (Heymsfield 2026, PMID 41772149).</w:t>
      </w:r>
    </w:p>
    <w:p>
      <w:pPr>
        <w:pStyle w:val="FirstParagraph"/>
      </w:pPr>
      <w:r>
        <w:t xml:space="preserve">Lilly test bimagrumab nu met tirzepatide (NCT06643728, 252 deelnemers, einde januari 2027). Een kleinere studie in het Massachusetts General Hospital onderzoekt dezelfde combinatie met het oog op lichaamssamenstelling en botten (NCT05933499). Of meer spiermassa op de scan ook meer kracht, minder vallen of minder botbreuken betekent, is tot nu toe niet aangetoond. Fase 3-studies staan niet in het register.</w:t>
      </w:r>
    </w:p>
    <w:bookmarkEnd w:id="1034"/>
    <w:bookmarkStart w:id="1035" w:name="tabletten"/>
    <w:p>
      <w:pPr>
        <w:pStyle w:val="Heading4"/>
      </w:pPr>
      <w:r>
        <w:t xml:space="preserve">Tabletten</w:t>
      </w:r>
    </w:p>
    <w:p>
      <w:pPr>
        <w:pStyle w:val="FirstParagraph"/>
      </w:pPr>
      <w:r>
        <w:t xml:space="preserve">De misschien meest ingrijpende verandering betreft niet de receptor, maar de weg naar het lichaam: tabletten met peptiden en kleine moleculen die werken zoals peptiden. Aan dit onderwerp is het volgende hoofdstuk gewijd.</w:t>
      </w:r>
    </w:p>
    <w:bookmarkEnd w:id="1035"/>
    <w:bookmarkEnd w:id="1036"/>
    <w:bookmarkStart w:id="1037" w:name="het-belangrijkste-in-het-kort-8"/>
    <w:p>
      <w:pPr>
        <w:pStyle w:val="Heading3"/>
      </w:pPr>
      <w:r>
        <w:t xml:space="preserve">Het belangrijkste in het kort</w:t>
      </w:r>
    </w:p>
    <w:p>
      <w:pPr>
        <w:numPr>
          <w:ilvl w:val="0"/>
          <w:numId w:val="1357"/>
        </w:numPr>
        <w:pStyle w:val="Compact"/>
      </w:pPr>
      <w:r>
        <w:t xml:space="preserve">Na uitsluiting van fictieve en vakvreemde vermeldingen lopen er 730 interventionele studies naar de werkzame stoffen in dit boek, waaronder 157 in fase 3.</w:t>
      </w:r>
    </w:p>
    <w:p>
      <w:pPr>
        <w:numPr>
          <w:ilvl w:val="0"/>
          <w:numId w:val="1357"/>
        </w:numPr>
        <w:pStyle w:val="Compact"/>
      </w:pPr>
      <w:r>
        <w:t xml:space="preserve">Bijna negen op de tien late studies betreffen stofwisseling en gewicht. Voor de populaire grijze-marktpeptiden loopt geen enkele fase 3-studie.</w:t>
      </w:r>
    </w:p>
    <w:p>
      <w:pPr>
        <w:numPr>
          <w:ilvl w:val="0"/>
          <w:numId w:val="1357"/>
        </w:numPr>
        <w:pStyle w:val="Compact"/>
      </w:pPr>
      <w:r>
        <w:t xml:space="preserve">De grote studies naar hart en bloedvaten, nieren en lever eindigen tussen 2027 en 2032. Pas die zullen laten zien of de nieuwe werkzame stoffen meer bereiken dan gewicht verlagen.</w:t>
      </w:r>
    </w:p>
    <w:p>
      <w:pPr>
        <w:numPr>
          <w:ilvl w:val="0"/>
          <w:numId w:val="1357"/>
        </w:numPr>
        <w:pStyle w:val="Compact"/>
      </w:pPr>
      <w:r>
        <w:t xml:space="preserve">Nieuwe werkingsprincipes – drievoudige agonisten, amyline, antistof-peptideconjugaten, spierbescherming – zijn in fase 2-studies aangetoond, de meeste bevinden zich in fase 3. Een registratie is voor geen van deze nieuwe werkzame stoffen zeker.</w:t>
      </w:r>
    </w:p>
    <w:bookmarkEnd w:id="1037"/>
    <w:bookmarkEnd w:id="1038"/>
    <w:bookmarkStart w:id="1052" w:name="tabletten-in-plaats-van-injecties"/>
    <w:p>
      <w:pPr>
        <w:pStyle w:val="Heading2"/>
      </w:pPr>
      <w:r>
        <w:t xml:space="preserve">Tabletten in plaats van injecties</w:t>
      </w:r>
    </w:p>
    <w:p>
      <w:pPr>
        <w:pStyle w:val="FirstParagraph"/>
      </w:pPr>
      <w:r>
        <w:t xml:space="preserve">Bijna alle peptidegeneesmiddelen in dit boek worden geïnjecteerd. Daar is een eenvoudige reden voor: het maag-darmkanaal is erop ingericht eiwitten en peptiden in hun bouwstenen af te breken. Wat als voeding zinvol is, maakt een peptide als geneesmiddel onbruikbaar voordat het het bloed bereikt. Deel I heeft deze hindernissen uitvoerig beschreven (hoofdstuk „Hoe peptiden in het lichaam komen”).</w:t>
      </w:r>
    </w:p>
    <w:p>
      <w:pPr>
        <w:pStyle w:val="BodyText"/>
      </w:pPr>
      <w:r>
        <w:t xml:space="preserve">Dat er toch intensief onderzoek naar tabletten wordt gedaan, heeft meerdere redenen. Veel mensen injecteren zichzelf niet graag. Injecties moeten meestal gekoeld worden bewaard, pennen zijn bewerkelijk om te produceren. En omdat geneesmiddelen tegen obesitas volgens de huidige kennis blijvend moeten worden gebruikt om te werken, telt elke vereenvoudiging voor de langdurige behandeling. Een overzichtsartikel beschrijft dat in klinische studies al orale vormen van insuline, calcitonine, parathormoon en vasopressine zijn uitgeprobeerd en dat pas semaglutide de doorbraak bracht voor een breed ingezette werkzame stof (Drucker 2020, PMID 31848464).</w:t>
      </w:r>
    </w:p>
    <w:p>
      <w:pPr>
        <w:pStyle w:val="BodyText"/>
      </w:pPr>
      <w:r>
        <w:t xml:space="preserve">Tegenwoordig zijn er twee principieel verschillende wegen naar een tablet: men beschermt een</w:t>
      </w:r>
      <w:r>
        <w:t xml:space="preserve"> </w:t>
      </w:r>
      <w:r>
        <w:rPr>
          <w:bCs/>
          <w:b/>
        </w:rPr>
        <w:t xml:space="preserve">peptide</w:t>
      </w:r>
      <w:r>
        <w:t xml:space="preserve"> </w:t>
      </w:r>
      <w:r>
        <w:t xml:space="preserve">zo dat er tenminste een klein deel wordt opgenomen – of men vervangt het peptide door een</w:t>
      </w:r>
      <w:r>
        <w:t xml:space="preserve"> </w:t>
      </w:r>
      <w:r>
        <w:rPr>
          <w:bCs/>
          <w:b/>
        </w:rPr>
        <w:t xml:space="preserve">klein molecuul</w:t>
      </w:r>
      <w:r>
        <w:t xml:space="preserve"> </w:t>
      </w:r>
      <w:r>
        <w:t xml:space="preserve">dat zoals een gewoon geneesmiddel vanuit de darm in het bloed komt en toch op dezelfde receptor werkt.</w:t>
      </w:r>
    </w:p>
    <w:bookmarkStart w:id="1044" w:name="weg-1-peptide-plus-absorptieversterker"/>
    <w:p>
      <w:pPr>
        <w:pStyle w:val="Heading3"/>
      </w:pPr>
      <w:r>
        <w:t xml:space="preserve">Weg 1: peptide plus absorptieversterker</w:t>
      </w:r>
    </w:p>
    <w:bookmarkStart w:id="1039" w:name="het-principe"/>
    <w:p>
      <w:pPr>
        <w:pStyle w:val="Heading4"/>
      </w:pPr>
      <w:r>
        <w:t xml:space="preserve">Het principe</w:t>
      </w:r>
    </w:p>
    <w:p>
      <w:pPr>
        <w:pStyle w:val="FirstParagraph"/>
      </w:pPr>
      <w:r>
        <w:t xml:space="preserve">Een</w:t>
      </w:r>
      <w:r>
        <w:t xml:space="preserve"> </w:t>
      </w:r>
      <w:r>
        <w:rPr>
          <w:bCs/>
          <w:b/>
        </w:rPr>
        <w:t xml:space="preserve">absorptieversterker</w:t>
      </w:r>
      <w:r>
        <w:t xml:space="preserve"> </w:t>
      </w:r>
      <w:r>
        <w:t xml:space="preserve">(vakterm: permeatieversterker) is een hulpstof die het slijmvlies kortstondig doorlaatbaarder maakt of het peptide tegen afbraak beschermt. Bij de semaglutide-tablet is dat de hulpstof</w:t>
      </w:r>
      <w:r>
        <w:t xml:space="preserve"> </w:t>
      </w:r>
      <w:r>
        <w:rPr>
          <w:bCs/>
          <w:b/>
        </w:rPr>
        <w:t xml:space="preserve">SNAC</w:t>
      </w:r>
      <w:r>
        <w:t xml:space="preserve">. Die verhoogt in de directe omgeving van de tablet de pH-waarde, dempt de activering van het verteringsenzym pepsine en zorgt ervoor dat semaglutide als afzonderlijk molecuul aanwezig is, dat gemakkelijker wordt opgenomen. Toch komt volgens een overzichtsartikel maar ongeveer 0,4 tot 1% van de werkzame stof in het bloed – en dan alleen nuchter en met weinig water. Na een maaltijd is praktisch geen semaglutide in het bloed aantoonbaar (Vahora 2026, PMID 42687069). Daaruit volgen de strikte innameregels die in de productinformatie staan.</w:t>
      </w:r>
    </w:p>
    <w:bookmarkEnd w:id="1039"/>
    <w:bookmarkStart w:id="1040" w:name="de-semaglutide-tablet-bij-obesitas"/>
    <w:p>
      <w:pPr>
        <w:pStyle w:val="Heading4"/>
      </w:pPr>
      <w:r>
        <w:t xml:space="preserve">De semaglutide-tablet bij obesitas</w:t>
      </w:r>
    </w:p>
    <w:p>
      <w:pPr>
        <w:pStyle w:val="FirstParagraph"/>
      </w:pPr>
      <w:r>
        <w:t xml:space="preserve">Voor diabetes type 2 is de semaglutide-tablet (Rybelsus) in de EU sinds 2020 geregistreerd. Voor obesitas zijn hogere doses getest: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Studie</w:t>
            </w:r>
          </w:p>
        </w:tc>
        <w:tc>
          <w:tcPr/>
          <w:p>
            <w:pPr>
              <w:pStyle w:val="Compact"/>
              <w:jc w:val="left"/>
            </w:pPr>
            <w:r>
              <w:t xml:space="preserve">Deelnemers en opzet</w:t>
            </w:r>
          </w:p>
        </w:tc>
        <w:tc>
          <w:tcPr/>
          <w:p>
            <w:pPr>
              <w:pStyle w:val="Compact"/>
              <w:jc w:val="left"/>
            </w:pPr>
            <w:r>
              <w:t xml:space="preserve">Duur</w:t>
            </w:r>
          </w:p>
        </w:tc>
        <w:tc>
          <w:tcPr/>
          <w:p>
            <w:pPr>
              <w:pStyle w:val="Compact"/>
              <w:jc w:val="left"/>
            </w:pPr>
            <w:r>
              <w:t xml:space="preserve">Resultaat</w:t>
            </w:r>
          </w:p>
        </w:tc>
      </w:tr>
      <w:tr>
        <w:tc>
          <w:tcPr/>
          <w:p>
            <w:pPr>
              <w:pStyle w:val="Compact"/>
              <w:jc w:val="left"/>
            </w:pPr>
            <w:r>
              <w:t xml:space="preserve">OASIS 1 (Knop 2023), PMID 37385278</w:t>
            </w:r>
          </w:p>
        </w:tc>
        <w:tc>
          <w:tcPr/>
          <w:p>
            <w:pPr>
              <w:pStyle w:val="Compact"/>
              <w:jc w:val="left"/>
            </w:pPr>
            <w:r>
              <w:t xml:space="preserve">667 volwassenen zonder diabetes, tablet tegen placebo</w:t>
            </w:r>
          </w:p>
        </w:tc>
        <w:tc>
          <w:tcPr/>
          <w:p>
            <w:pPr>
              <w:pStyle w:val="Compact"/>
              <w:jc w:val="left"/>
            </w:pPr>
            <w:r>
              <w:t xml:space="preserve">68 weken</w:t>
            </w:r>
          </w:p>
        </w:tc>
        <w:tc>
          <w:tcPr/>
          <w:p>
            <w:pPr>
              <w:pStyle w:val="Compact"/>
              <w:jc w:val="left"/>
            </w:pPr>
            <w:r>
              <w:t xml:space="preserve">−15,1% gewicht vs. −2,4%</w:t>
            </w:r>
          </w:p>
        </w:tc>
      </w:tr>
      <w:tr>
        <w:tc>
          <w:tcPr/>
          <w:p>
            <w:pPr>
              <w:pStyle w:val="Compact"/>
              <w:jc w:val="left"/>
            </w:pPr>
            <w:r>
              <w:t xml:space="preserve">OASIS 4 (Wharton 2025), PMID 40934115</w:t>
            </w:r>
          </w:p>
        </w:tc>
        <w:tc>
          <w:tcPr/>
          <w:p>
            <w:pPr>
              <w:pStyle w:val="Compact"/>
              <w:jc w:val="left"/>
            </w:pPr>
            <w:r>
              <w:t xml:space="preserve">307 volwassenen zonder diabetes, lagere tabletdosis tegen placebo</w:t>
            </w:r>
          </w:p>
        </w:tc>
        <w:tc>
          <w:tcPr/>
          <w:p>
            <w:pPr>
              <w:pStyle w:val="Compact"/>
              <w:jc w:val="left"/>
            </w:pPr>
            <w:r>
              <w:t xml:space="preserve">64 weken</w:t>
            </w:r>
          </w:p>
        </w:tc>
        <w:tc>
          <w:tcPr/>
          <w:p>
            <w:pPr>
              <w:pStyle w:val="Compact"/>
              <w:jc w:val="left"/>
            </w:pPr>
            <w:r>
              <w:t xml:space="preserve">−13,6% vs. −2,2%</w:t>
            </w:r>
          </w:p>
        </w:tc>
      </w:tr>
      <w:tr>
        <w:tc>
          <w:tcPr/>
          <w:p>
            <w:pPr>
              <w:pStyle w:val="Compact"/>
              <w:jc w:val="left"/>
            </w:pPr>
            <w:r>
              <w:t xml:space="preserve">Ter vergelijking: STEP 1 (Wilding 2021), PMID 33567185</w:t>
            </w:r>
          </w:p>
        </w:tc>
        <w:tc>
          <w:tcPr/>
          <w:p>
            <w:pPr>
              <w:pStyle w:val="Compact"/>
              <w:jc w:val="left"/>
            </w:pPr>
            <w:r>
              <w:t xml:space="preserve">1.961 volwassenen zonder diabetes, wekelijkse injectie tegen placebo</w:t>
            </w:r>
          </w:p>
        </w:tc>
        <w:tc>
          <w:tcPr/>
          <w:p>
            <w:pPr>
              <w:pStyle w:val="Compact"/>
              <w:jc w:val="left"/>
            </w:pPr>
            <w:r>
              <w:t xml:space="preserve">68 weken</w:t>
            </w:r>
          </w:p>
        </w:tc>
        <w:tc>
          <w:tcPr/>
          <w:p>
            <w:pPr>
              <w:pStyle w:val="Compact"/>
              <w:jc w:val="left"/>
            </w:pPr>
            <w:r>
              <w:t xml:space="preserve">−14,9% vs. −2,4%</w:t>
            </w:r>
          </w:p>
        </w:tc>
      </w:tr>
    </w:tbl>
    <w:p>
      <w:pPr>
        <w:pStyle w:val="BodyText"/>
      </w:pPr>
      <w:r>
        <w:t xml:space="preserve">In beide tabletstudies kwamen maag-darmklachten vaak voor: 80% tegenover 46% met placebo in OASIS 1, 74,0% tegenover 42,2% in OASIS 4. De studie OASIS 4 vormt volgens het hoofdstuk Semaglutide de basis van de in de VS geregistreerde Wegovy-tablet (actuele registratiestatus controleren). Een verdere fase 3-studie met de tablet loopt (OASIS 5, NCT07770841, einde april 2028).</w:t>
      </w:r>
    </w:p>
    <w:p>
      <w:pPr>
        <w:pStyle w:val="BodyText"/>
      </w:pPr>
      <w:r>
        <w:t xml:space="preserve">De cijfers liggen dicht bij die van de injectie. Een grote directe vergelijking tussen tablet en injectie bij obesitas ontbreekt echter, en kruisvergelijkingen tussen studies zijn slechts een grove oriëntatie.</w:t>
      </w:r>
    </w:p>
    <w:p>
      <w:pPr>
        <w:pStyle w:val="BodyText"/>
      </w:pPr>
      <w:r>
        <w:rPr>
          <w:bCs/>
          <w:b/>
        </w:rPr>
        <w:t xml:space="preserve">Een nadeel dat zelden wordt genoemd:</w:t>
      </w:r>
      <w:r>
        <w:t xml:space="preserve"> </w:t>
      </w:r>
      <w:r>
        <w:t xml:space="preserve">omdat slechts een fractie wordt opgenomen, heeft de tablet een veelvoud aan werkzame stof nodig. Een kostenraming voor generieke preparaten na het aflopen van het octrooi kwam voor geïnjecteerd semaglutide uit op 28 tot 140 Amerikaanse dollar per persoon per jaar, voor de tablet op 186 tot 380 Amerikaanse dollar (Levi 2026, PMID 42437874). De tablet is dus niet automatisch de goedkopere oplossing (meer hierover in het hoofdstuk „Octrooien, generieken en prijzen”).</w:t>
      </w:r>
    </w:p>
    <w:bookmarkEnd w:id="1040"/>
    <w:bookmarkStart w:id="1041" w:name="harde-eindpunten-soul"/>
    <w:p>
      <w:pPr>
        <w:pStyle w:val="Heading4"/>
      </w:pPr>
      <w:r>
        <w:t xml:space="preserve">Harde eindpunten: SOUL</w:t>
      </w:r>
    </w:p>
    <w:p>
      <w:pPr>
        <w:pStyle w:val="FirstParagraph"/>
      </w:pPr>
      <w:r>
        <w:t xml:space="preserve">Voor diabetes type 2 is het voordeel van de semaglutide-tablet aangetoond, ook buiten de bloedsuiker. In SOUL met 9.650 mensen met diabetes type 2 en vaat- of nierziekte traden ernstige cardiovasculaire gebeurtenissen over een gemiddelde observatieperiode van ongeveer vier jaar op bij 12,0% met de tablet en bij 13,8% met placebo (hazard ratio 0,86). De bevestigende niereindpunten verschilden niet significant (McGuire 2025, PMID 40162642). Voor mensen met obesitas zonder diabetes bestaat zo’n studie met de tablet tot nu toe niet.</w:t>
      </w:r>
    </w:p>
    <w:bookmarkEnd w:id="1041"/>
    <w:bookmarkStart w:id="1042" w:name="amyline-en-glp-1-als-tablet"/>
    <w:p>
      <w:pPr>
        <w:pStyle w:val="Heading4"/>
      </w:pPr>
      <w:r>
        <w:t xml:space="preserve">Amyline en GLP-1 als tablet</w:t>
      </w:r>
    </w:p>
    <w:p>
      <w:pPr>
        <w:pStyle w:val="FirstParagraph"/>
      </w:pPr>
      <w:r>
        <w:t xml:space="preserve">Novo Nordisk ontwikkelt ook amycretine (sinds 2026 zenagamtide) als tablet. Het peptide werkt volgens de studiepublicatie op GLP-1-, amyline- en calcitoninereceptoren. In een fase 2-studie met 186 volwassenen met diabetes type 2 daalde de HbA1c-waarde na 36 weken in de drie dosisgroepen 0,5 tot 1,1 procentpunt sterker dan met placebo. Maag-darmklachten traden, afhankelijk van de dosis, op bij 26 tot 47% (placebo 23%); ernstige ongewenste voorvallen troffen 4% met zenagamtide en niemand met placebo (Mora 2026, PMID 42532079). De fase 3-studie AMAZE 9 test de tablet bij overgewicht met 950 deelnemers (NCT07720271, einde augustus 2028). Een fase 1-studie onderzoekt uitdrukkelijk hoe de hoeveelheid water en het tijdstip van de maaltijd de opname beïnvloeden (NCT07815067) – een aanwijzing dat ook voor deze tablet innameregels zullen gelden.</w:t>
      </w:r>
    </w:p>
    <w:bookmarkEnd w:id="1042"/>
    <w:bookmarkStart w:id="1043" w:name="orale-peptiden-buiten-de-stofwisseling"/>
    <w:p>
      <w:pPr>
        <w:pStyle w:val="Heading4"/>
      </w:pPr>
      <w:r>
        <w:t xml:space="preserve">Orale peptiden buiten de stofwisseling</w:t>
      </w:r>
    </w:p>
    <w:p>
      <w:pPr>
        <w:pStyle w:val="FirstParagraph"/>
      </w:pPr>
      <w:r>
        <w:t xml:space="preserve">De doorbraak beperkt zich niet tot afslankmiddelen. Twee voorbeelden laten zien dat orale peptiden een eigen klasse geneesmiddelen worden:</w:t>
      </w:r>
    </w:p>
    <w:p>
      <w:pPr>
        <w:numPr>
          <w:ilvl w:val="0"/>
          <w:numId w:val="1358"/>
        </w:numPr>
        <w:pStyle w:val="Compact"/>
      </w:pPr>
      <w:r>
        <w:rPr>
          <w:bCs/>
          <w:b/>
        </w:rPr>
        <w:t xml:space="preserve">Enlicitide</w:t>
      </w:r>
      <w:r>
        <w:t xml:space="preserve"> </w:t>
      </w:r>
      <w:r>
        <w:t xml:space="preserve">is een ringvormig (macrocyclisch) peptide dat het eiwit PCSK9 remt en zo het LDL-cholesterol verlaagt. Tot nu toe bestonden zulke remmers alleen als injectie (antistoffen). De werkzame stof werd gevonden met een methode die zeer grote peptidebibliotheken doorzoekt naar geschikte bindingspartners, en daarna gericht chemisch geoptimaliseerd (Johns 2023, PMID 37125593). In de fase 3-studie CORALreef Lipids met 2.909 deelnemers daalde het LDL-cholesterol na 24 weken met 57,1%, met placebo steeg het met 3,0%. Ongewenste voorvallen kwamen in beide groepen ongeveer even vaak voor (Navar 2026, PMID 41879224). Of dit ook hartinfarcten en beroertes voorkomt, moet CORALreef Outcomes met 14.550 deelnemers laten zien (NCT06008756, einde november 2031).</w:t>
      </w:r>
    </w:p>
    <w:p>
      <w:pPr>
        <w:numPr>
          <w:ilvl w:val="0"/>
          <w:numId w:val="1358"/>
        </w:numPr>
        <w:pStyle w:val="Compact"/>
      </w:pPr>
      <w:r>
        <w:rPr>
          <w:bCs/>
          <w:b/>
        </w:rPr>
        <w:t xml:space="preserve">Icotrokinra</w:t>
      </w:r>
      <w:r>
        <w:t xml:space="preserve"> </w:t>
      </w:r>
      <w:r>
        <w:t xml:space="preserve">is een oraal peptide dat de receptor voor de ontstekingssignaalstof interleukine-23 blokkeert. In de fase 3-studie ICONIC-LEAD met 684 volwassenen en jongeren met matige tot ernstige psoriasis bereikte na 16 weken 65% een (bijna) symptoomvrije huid tegenover 8% met placebo; ongewenste voorvallen kwamen in beide groepen even vaak voor (49%) (Bissonnette 2025, PMID 41191940). In maart 2026 werd icotrokinra in de VS geregistreerd; in de EU liep de beoordeling (Keam 2026, PMID 42243571; actuele stand controleren). Opmerkelijk is de weg daarnaartoe: volgens een farmacologisch onderzoek heeft icotrokinra</w:t>
      </w:r>
      <w:r>
        <w:t xml:space="preserve"> </w:t>
      </w:r>
      <w:r>
        <w:rPr>
          <w:bCs/>
          <w:b/>
        </w:rPr>
        <w:t xml:space="preserve">geen</w:t>
      </w:r>
      <w:r>
        <w:t xml:space="preserve"> </w:t>
      </w:r>
      <w:r>
        <w:t xml:space="preserve">absorptieversterker nodig. In dierproeven kwam slechts 0,1 tot 0,3% in het bloed, en toch was een werking in het hele lichaam meetbaar, omdat het peptide zeer stabiel en zeer werkzaam is (Knight 2025, PMID 40629250). Studies bij colitis ulcerosa lopen (ICONIC-UC, NCT07196748).</w:t>
      </w:r>
    </w:p>
    <w:p>
      <w:pPr>
        <w:pStyle w:val="FirstParagraph"/>
      </w:pPr>
      <w:r>
        <w:t xml:space="preserve">Beide werkzame stoffen zijn geen peptiden van de grijze markt, maar doelbewust op de tekentafel ontworpen moleculen die jarenlang in grote studies zijn getest. Met de „orale” peptiden die op internet worden aangeboden, hebben ze niets gemeen.</w:t>
      </w:r>
    </w:p>
    <w:bookmarkEnd w:id="1043"/>
    <w:bookmarkEnd w:id="1044"/>
    <w:bookmarkStart w:id="1047" w:name="X117a413f864920b0112508ea94c9202fd3d8484"/>
    <w:p>
      <w:pPr>
        <w:pStyle w:val="Heading3"/>
      </w:pPr>
      <w:r>
        <w:t xml:space="preserve">Weg 2: kleine moleculen in plaats van peptiden</w:t>
      </w:r>
    </w:p>
    <w:bookmarkStart w:id="1045" w:name="orforglipron"/>
    <w:p>
      <w:pPr>
        <w:pStyle w:val="Heading4"/>
      </w:pPr>
      <w:r>
        <w:t xml:space="preserve">Orforglipron</w:t>
      </w:r>
    </w:p>
    <w:p>
      <w:pPr>
        <w:pStyle w:val="FirstParagraph"/>
      </w:pPr>
      <w:r>
        <w:t xml:space="preserve">Orforglipron is geen peptide, maar een klein, chemisch geproduceerd molecuul dat de GLP-1-receptor activeert (uitvoerig in het hoofdstuk Orforglipron in Deel II · A). Het wordt als een gewone tablet eenmaal daags ingenomen, volgens de studies zonder rekening te houden met maaltijden of hoeveelheid water (Rosenstock 2026, PMID 41765029).</w:t>
      </w:r>
    </w:p>
    <w:p>
      <w:pPr>
        <w:numPr>
          <w:ilvl w:val="0"/>
          <w:numId w:val="1359"/>
        </w:numPr>
        <w:pStyle w:val="Compact"/>
      </w:pPr>
      <w:r>
        <w:rPr>
          <w:bCs/>
          <w:b/>
        </w:rPr>
        <w:t xml:space="preserve">Gewicht:</w:t>
      </w:r>
      <w:r>
        <w:t xml:space="preserve"> </w:t>
      </w:r>
      <w:r>
        <w:t xml:space="preserve">in ATTAIN-1 met 3.127 volwassenen met obesitas daalde het gewicht na 72 weken bij de hoogste dosis met 11,2%, met placebo met 2,1%. Wegens bijwerkingen stopte 5,3 tot 10,3% (placebo 2,7%) (Wharton 2025, PMID 40960239).</w:t>
      </w:r>
    </w:p>
    <w:p>
      <w:pPr>
        <w:numPr>
          <w:ilvl w:val="0"/>
          <w:numId w:val="1359"/>
        </w:numPr>
        <w:pStyle w:val="Compact"/>
      </w:pPr>
      <w:r>
        <w:rPr>
          <w:bCs/>
          <w:b/>
        </w:rPr>
        <w:t xml:space="preserve">Bloedsuiker:</w:t>
      </w:r>
      <w:r>
        <w:t xml:space="preserve"> </w:t>
      </w:r>
      <w:r>
        <w:t xml:space="preserve">in de open vergelijking met de semaglutide-tablet (ACHIEVE-3, 1.698 deelnemers) verlaagde orforglipron de HbA1c-waarde na 52 weken sterker, bij de telkens hogere doses met 1,91 tegenover 1,47 procentpunt (Rosenstock 2026, PMID 41765029).</w:t>
      </w:r>
    </w:p>
    <w:p>
      <w:pPr>
        <w:numPr>
          <w:ilvl w:val="0"/>
          <w:numId w:val="1359"/>
        </w:numPr>
        <w:pStyle w:val="Compact"/>
      </w:pPr>
      <w:r>
        <w:rPr>
          <w:bCs/>
          <w:b/>
        </w:rPr>
        <w:t xml:space="preserve">Gewicht behouden:</w:t>
      </w:r>
      <w:r>
        <w:t xml:space="preserve"> </w:t>
      </w:r>
      <w:r>
        <w:t xml:space="preserve">in ATTAIN-MAINTAIN stapten deelnemers na afvallen met geïnjecteerd tirzepatide of semaglutide over op orforglipron of placebo. Na 52 weken behielden ze met orforglipron 74,7% resp. 79,3% van hun gewichtsverlies, met placebo 49,2% resp. 37,6%. Een groep die gewoon de injectie bleef krijgen, was er niet; de auteurs noemen dat zelf als beperking (Aronne 2026, PMID 42120723).</w:t>
      </w:r>
    </w:p>
    <w:p>
      <w:pPr>
        <w:numPr>
          <w:ilvl w:val="0"/>
          <w:numId w:val="1359"/>
        </w:numPr>
        <w:pStyle w:val="Compact"/>
      </w:pPr>
      <w:r>
        <w:rPr>
          <w:bCs/>
          <w:b/>
        </w:rPr>
        <w:t xml:space="preserve">Lever:</w:t>
      </w:r>
      <w:r>
        <w:t xml:space="preserve"> </w:t>
      </w:r>
      <w:r>
        <w:t xml:space="preserve">bij kleine GLP-1-moleculen waren leverwaarden een bijzondere zorg. Een gepoolde analyse van zeven fase 3-studies met 11.220 deelnemers vond voor orforglipron geen enkel geval dat voldeed aan de criteria van door geneesmiddelen veroorzaakte leverschade (Wharton 2026, PMID 42338042).</w:t>
      </w:r>
    </w:p>
    <w:bookmarkEnd w:id="1045"/>
    <w:bookmarkStart w:id="1046" w:name="niet-elk-klein-molecuul-haalt-het"/>
    <w:p>
      <w:pPr>
        <w:pStyle w:val="Heading4"/>
      </w:pPr>
      <w:r>
        <w:t xml:space="preserve">Niet elk klein molecuul haalt het</w:t>
      </w:r>
    </w:p>
    <w:p>
      <w:pPr>
        <w:pStyle w:val="FirstParagraph"/>
      </w:pPr>
      <w:r>
        <w:t xml:space="preserve">Dat de weg moeilijk is, laat</w:t>
      </w:r>
      <w:r>
        <w:t xml:space="preserve"> </w:t>
      </w:r>
      <w:r>
        <w:rPr>
          <w:bCs/>
          <w:b/>
        </w:rPr>
        <w:t xml:space="preserve">danuglipron</w:t>
      </w:r>
      <w:r>
        <w:t xml:space="preserve"> </w:t>
      </w:r>
      <w:r>
        <w:t xml:space="preserve">van Pfizer zien. In een fase 2b-studie met 628 volwassenen met obesitas, waarin de tabletten tweemaal daags werden ingenomen, daalde het gewicht weliswaar duidelijk sterker dan met placebo, maar slechts 39,3% voltooide de behandeling; ongeveer 38% stopte wegens bijwerkingen (Buckeridge 2025, PMID 40539310). Volgens mededelingen van de fabrikant werd de ontwikkeling stopgezet (stand 2026, controleren). Andere bedrijven ontwikkelen eigen tabletten; AstraZeneca test bijvoorbeeld de werkzame stof elecoglipron in een fase 3-studie tegen de semaglutide-tablet (Eluminate-2, NCT07662213).</w:t>
      </w:r>
    </w:p>
    <w:bookmarkEnd w:id="1046"/>
    <w:bookmarkEnd w:id="1047"/>
    <w:bookmarkStart w:id="1048" w:name="X6fb0dc6b1e8c22831eda312a4f0fd9097c3fb47"/>
    <w:p>
      <w:pPr>
        <w:pStyle w:val="Heading3"/>
      </w:pPr>
      <w:r>
        <w:t xml:space="preserve">Peptidetablet of klein molecuul: een vergelijking</w:t>
      </w:r>
    </w:p>
    <w:p>
      <w:pPr>
        <w:pStyle w:val="FirstParagraph"/>
      </w:pPr>
      <w:r>
        <w:t xml:space="preserve">Een directe vergelijking van de semaglutide-tablet met orforglipron bij obesitas ontbreekt. Een analyse vergeleek de twee indirect door de individuele gegevens van OASIS 4 af te zetten tegen de gepubliceerde totaalgegevens van ATTAIN-1. Daarbij was het gewichtsverlies met de semaglutide-tablet ongeveer 3 procentpunten groter, en stoppen wegens bijwerkingen kwam met orforglipron vaker voor (Michalak 2026, PMID 42225305). Zulke indirecte vergelijkingen moeten met voorzichtigheid worden gelezen: alleen voor één van de twee studies waren de individuele gegevens beschikbaar, en wel die van het semaglutideprogramma.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Kenmerk</w:t>
            </w:r>
          </w:p>
        </w:tc>
        <w:tc>
          <w:tcPr/>
          <w:p>
            <w:pPr>
              <w:pStyle w:val="Compact"/>
              <w:jc w:val="left"/>
            </w:pPr>
            <w:r>
              <w:t xml:space="preserve">Peptide-injectie</w:t>
            </w:r>
          </w:p>
        </w:tc>
        <w:tc>
          <w:tcPr/>
          <w:p>
            <w:pPr>
              <w:pStyle w:val="Compact"/>
              <w:jc w:val="left"/>
            </w:pPr>
            <w:r>
              <w:t xml:space="preserve">Peptidetablet</w:t>
            </w:r>
          </w:p>
        </w:tc>
        <w:tc>
          <w:tcPr/>
          <w:p>
            <w:pPr>
              <w:pStyle w:val="Compact"/>
              <w:jc w:val="left"/>
            </w:pPr>
            <w:r>
              <w:t xml:space="preserve">Klein molecuul</w:t>
            </w:r>
          </w:p>
        </w:tc>
      </w:tr>
      <w:tr>
        <w:tc>
          <w:tcPr/>
          <w:p>
            <w:pPr>
              <w:pStyle w:val="Compact"/>
              <w:jc w:val="left"/>
            </w:pPr>
            <w:r>
              <w:t xml:space="preserve">Voorbeeld</w:t>
            </w:r>
          </w:p>
        </w:tc>
        <w:tc>
          <w:tcPr/>
          <w:p>
            <w:pPr>
              <w:pStyle w:val="Compact"/>
              <w:jc w:val="left"/>
            </w:pPr>
            <w:r>
              <w:t xml:space="preserve">Semaglutide, tirzepatide</w:t>
            </w:r>
          </w:p>
        </w:tc>
        <w:tc>
          <w:tcPr/>
          <w:p>
            <w:pPr>
              <w:pStyle w:val="Compact"/>
              <w:jc w:val="left"/>
            </w:pPr>
            <w:r>
              <w:t xml:space="preserve">Semaglutide-tablet, zenagamtide-tablet</w:t>
            </w:r>
          </w:p>
        </w:tc>
        <w:tc>
          <w:tcPr/>
          <w:p>
            <w:pPr>
              <w:pStyle w:val="Compact"/>
              <w:jc w:val="left"/>
            </w:pPr>
            <w:r>
              <w:t xml:space="preserve">Orforglipron</w:t>
            </w:r>
          </w:p>
        </w:tc>
      </w:tr>
      <w:tr>
        <w:tc>
          <w:tcPr/>
          <w:p>
            <w:pPr>
              <w:pStyle w:val="Compact"/>
              <w:jc w:val="left"/>
            </w:pPr>
            <w:r>
              <w:t xml:space="preserve">Inname</w:t>
            </w:r>
          </w:p>
        </w:tc>
        <w:tc>
          <w:tcPr/>
          <w:p>
            <w:pPr>
              <w:pStyle w:val="Compact"/>
              <w:jc w:val="left"/>
            </w:pPr>
            <w:r>
              <w:t xml:space="preserve">wekelijks tot maandelijks</w:t>
            </w:r>
          </w:p>
        </w:tc>
        <w:tc>
          <w:tcPr/>
          <w:p>
            <w:pPr>
              <w:pStyle w:val="Compact"/>
              <w:jc w:val="left"/>
            </w:pPr>
            <w:r>
              <w:t xml:space="preserve">dagelijks, nuchter, met innameregels</w:t>
            </w:r>
          </w:p>
        </w:tc>
        <w:tc>
          <w:tcPr/>
          <w:p>
            <w:pPr>
              <w:pStyle w:val="Compact"/>
              <w:jc w:val="left"/>
            </w:pPr>
            <w:r>
              <w:t xml:space="preserve">dagelijks, zonder maaltijdregels</w:t>
            </w:r>
          </w:p>
        </w:tc>
      </w:tr>
      <w:tr>
        <w:tc>
          <w:tcPr/>
          <w:p>
            <w:pPr>
              <w:pStyle w:val="Compact"/>
              <w:jc w:val="left"/>
            </w:pPr>
            <w:r>
              <w:t xml:space="preserve">Behoefte aan werkzame stof</w:t>
            </w:r>
          </w:p>
        </w:tc>
        <w:tc>
          <w:tcPr/>
          <w:p>
            <w:pPr>
              <w:pStyle w:val="Compact"/>
              <w:jc w:val="left"/>
            </w:pPr>
            <w:r>
              <w:t xml:space="preserve">gering</w:t>
            </w:r>
          </w:p>
        </w:tc>
        <w:tc>
          <w:tcPr/>
          <w:p>
            <w:pPr>
              <w:pStyle w:val="Compact"/>
              <w:jc w:val="left"/>
            </w:pPr>
            <w:r>
              <w:t xml:space="preserve">zeer hoog (opname ongeveer 1%)</w:t>
            </w:r>
          </w:p>
        </w:tc>
        <w:tc>
          <w:tcPr/>
          <w:p>
            <w:pPr>
              <w:pStyle w:val="Compact"/>
              <w:jc w:val="left"/>
            </w:pPr>
            <w:r>
              <w:t xml:space="preserve">normaal voor tabletten</w:t>
            </w:r>
          </w:p>
        </w:tc>
      </w:tr>
      <w:tr>
        <w:tc>
          <w:tcPr/>
          <w:p>
            <w:pPr>
              <w:pStyle w:val="Compact"/>
              <w:jc w:val="left"/>
            </w:pPr>
            <w:r>
              <w:t xml:space="preserve">Gewichtsverlies in studies</w:t>
            </w:r>
          </w:p>
        </w:tc>
        <w:tc>
          <w:tcPr/>
          <w:p>
            <w:pPr>
              <w:pStyle w:val="Compact"/>
              <w:jc w:val="left"/>
            </w:pPr>
            <w:r>
              <w:t xml:space="preserve">het hoogst</w:t>
            </w:r>
          </w:p>
        </w:tc>
        <w:tc>
          <w:tcPr/>
          <w:p>
            <w:pPr>
              <w:pStyle w:val="Compact"/>
              <w:jc w:val="left"/>
            </w:pPr>
            <w:r>
              <w:t xml:space="preserve">vergelijkbaar met de semaglutide-injectie</w:t>
            </w:r>
          </w:p>
        </w:tc>
        <w:tc>
          <w:tcPr/>
          <w:p>
            <w:pPr>
              <w:pStyle w:val="Compact"/>
              <w:jc w:val="left"/>
            </w:pPr>
            <w:r>
              <w:t xml:space="preserve">iets lager</w:t>
            </w:r>
          </w:p>
        </w:tc>
      </w:tr>
      <w:tr>
        <w:tc>
          <w:tcPr/>
          <w:p>
            <w:pPr>
              <w:pStyle w:val="Compact"/>
              <w:jc w:val="left"/>
            </w:pPr>
            <w:r>
              <w:t xml:space="preserve">Afbraak, interacties</w:t>
            </w:r>
          </w:p>
        </w:tc>
        <w:tc>
          <w:tcPr/>
          <w:p>
            <w:pPr>
              <w:pStyle w:val="Compact"/>
              <w:jc w:val="left"/>
            </w:pPr>
            <w:r>
              <w:t xml:space="preserve">zoals eiwit, nauwelijks interacties</w:t>
            </w:r>
          </w:p>
        </w:tc>
        <w:tc>
          <w:tcPr/>
          <w:p>
            <w:pPr>
              <w:pStyle w:val="Compact"/>
              <w:jc w:val="left"/>
            </w:pPr>
            <w:r>
              <w:t xml:space="preserve">zoals eiwit</w:t>
            </w:r>
          </w:p>
        </w:tc>
        <w:tc>
          <w:tcPr/>
          <w:p>
            <w:pPr>
              <w:pStyle w:val="Compact"/>
              <w:jc w:val="left"/>
            </w:pPr>
            <w:r>
              <w:t xml:space="preserve">via leverenzymen, interacties mogelijk</w:t>
            </w:r>
          </w:p>
        </w:tc>
      </w:tr>
      <w:tr>
        <w:tc>
          <w:tcPr/>
          <w:p>
            <w:pPr>
              <w:pStyle w:val="Compact"/>
              <w:jc w:val="left"/>
            </w:pPr>
            <w:r>
              <w:t xml:space="preserve">Harde eindpunten</w:t>
            </w:r>
          </w:p>
        </w:tc>
        <w:tc>
          <w:tcPr/>
          <w:p>
            <w:pPr>
              <w:pStyle w:val="Compact"/>
              <w:jc w:val="left"/>
            </w:pPr>
            <w:r>
              <w:t xml:space="preserve">voor meerdere werkzame stoffen aangetoond</w:t>
            </w:r>
          </w:p>
        </w:tc>
        <w:tc>
          <w:tcPr/>
          <w:p>
            <w:pPr>
              <w:pStyle w:val="Compact"/>
              <w:jc w:val="left"/>
            </w:pPr>
            <w:r>
              <w:t xml:space="preserve">bij diabetes type 2 aangetoond (SOUL)</w:t>
            </w:r>
          </w:p>
        </w:tc>
        <w:tc>
          <w:tcPr/>
          <w:p>
            <w:pPr>
              <w:pStyle w:val="Compact"/>
              <w:jc w:val="left"/>
            </w:pPr>
            <w:r>
              <w:t xml:space="preserve">eindpuntstudie loopt tot 2031</w:t>
            </w:r>
          </w:p>
        </w:tc>
      </w:tr>
    </w:tbl>
    <w:p>
      <w:pPr>
        <w:pStyle w:val="BodyText"/>
      </w:pPr>
      <w:r>
        <w:t xml:space="preserve">Het punt „interacties” verdient een toelichting: peptiden worden in het lichaam afgebroken zoals andere eiwitten. Kleine moleculen zoals orforglipron worden daarentegen omgezet via leverenzymen, waarlangs ook veel andere geneesmiddelen lopen. Daarom zijn voor orforglipron talrijke interactiestudies uitgevoerd (zie hoofdstuk Orforglipron).</w:t>
      </w:r>
    </w:p>
    <w:bookmarkEnd w:id="1048"/>
    <w:bookmarkStart w:id="1049" w:name="open-vragen"/>
    <w:p>
      <w:pPr>
        <w:pStyle w:val="Heading3"/>
      </w:pPr>
      <w:r>
        <w:t xml:space="preserve">Open vragen</w:t>
      </w:r>
    </w:p>
    <w:p>
      <w:pPr>
        <w:pStyle w:val="FirstParagraph"/>
      </w:pPr>
      <w:r>
        <w:rPr>
          <w:bCs/>
          <w:b/>
        </w:rPr>
        <w:t xml:space="preserve">Neemt men een dagelijkse tablet betrouwbaarder in dan een wekelijkse injectie?</w:t>
      </w:r>
      <w:r>
        <w:t xml:space="preserve"> </w:t>
      </w:r>
      <w:r>
        <w:t xml:space="preserve">Dat staat allerminst vast. Wie één injectie per week inruilt voor zeven tabletten, heeft zeven gelegenheden per week om een dosis te vergeten. Bij de semaglutide-tablet komt daarbij dat al een te vroege maaltijd de opname praktisch kan verhinderen (Vahora 2026, PMID 42687069). Hoe dat in het dagelijks leven op de werking uitpakt, laten registratiestudies met hun nauw begeleide deelnemers niet zien.</w:t>
      </w:r>
    </w:p>
    <w:p>
      <w:pPr>
        <w:pStyle w:val="BodyText"/>
      </w:pPr>
      <w:r>
        <w:rPr>
          <w:bCs/>
          <w:b/>
        </w:rPr>
        <w:t xml:space="preserve">Zijn er harde eindpunten voor tabletten bij obesitas?</w:t>
      </w:r>
      <w:r>
        <w:t xml:space="preserve"> </w:t>
      </w:r>
      <w:r>
        <w:t xml:space="preserve">Nog niet. SOUL betrof mensen met diabetes type 2. De cardiovasculaire studie met orforglipron loopt tot 2031 (NCT07241390), en orforglipron wordt zelfs getest bij mensen met overgewicht om de overgang naar obesitas of naar gevolgziekten te voorkomen (ATTAIN-NOW, NCT07794579, 2.001 deelnemers, einde september 2030).</w:t>
      </w:r>
    </w:p>
    <w:p>
      <w:pPr>
        <w:pStyle w:val="BodyText"/>
      </w:pPr>
      <w:r>
        <w:rPr>
          <w:bCs/>
          <w:b/>
        </w:rPr>
        <w:t xml:space="preserve">Is de tablet het middel voor de onderhoudsfase?</w:t>
      </w:r>
      <w:r>
        <w:t xml:space="preserve"> </w:t>
      </w:r>
      <w:r>
        <w:t xml:space="preserve">ATTAIN-MAINTAIN suggereert dat een overstap van de injectie op een tablet een groot deel van het gewichtsverlies kan behouden. Of dat even goed is als de injectie voortzetten, is niet onderzocht.</w:t>
      </w:r>
    </w:p>
    <w:p>
      <w:pPr>
        <w:pStyle w:val="BodyText"/>
      </w:pPr>
      <w:r>
        <w:rPr>
          <w:bCs/>
          <w:b/>
        </w:rPr>
        <w:t xml:space="preserve">Worden tabletten goedkoper?</w:t>
      </w:r>
      <w:r>
        <w:t xml:space="preserve"> </w:t>
      </w:r>
      <w:r>
        <w:t xml:space="preserve">Voor kleine moleculen is dat aannemelijk, omdat ze met standaardmethoden uit de chemie worden geproduceerd. Voor peptidetabletten spreekt de kostenraming dat eerder tegen, omdat ze veel meer werkzame stof nodig hebben (Levi 2026, PMID 42437874). Concrete prijzen in Europa zijn onbekend.</w:t>
      </w:r>
    </w:p>
    <w:p>
      <w:pPr>
        <w:pStyle w:val="BodyText"/>
      </w:pPr>
      <w:r>
        <w:rPr>
          <w:bCs/>
          <w:b/>
        </w:rPr>
        <w:t xml:space="preserve">Hoe zit het met druppels, smelttabletten en neussprays van internet?</w:t>
      </w:r>
      <w:r>
        <w:t xml:space="preserve"> </w:t>
      </w:r>
      <w:r>
        <w:t xml:space="preserve">Hier is voorzichtigheid geboden. Een onderzoek naar in de VS geproduceerde apotheekbereidingen vond semaglutide- of tirzepatidebereidingen voor gebruik onder de tong en als smelttablet, waarvoor geen bewijs van werkzaamheid en veiligheid bestaat (Belcourt 2026, PMID 41689811). Namaakproducten van oraal semaglutide bevatten in een laboratoriumanalyse deels duidelijk minder werkzame stof dan opgegeven en gaven werkzame stof en SNAC anders af dan het origineel (Hach 2024, PMID 39379664). Een peptide dat „als tablet” wordt verkocht, wordt zonder een geteste formulering nauwelijks opgenomen – dat geldt voor semaglutide net zo goed als voor BPC-157 of andere grijze-marktpeptiden.</w:t>
      </w:r>
    </w:p>
    <w:bookmarkEnd w:id="1049"/>
    <w:bookmarkStart w:id="1050" w:name="inschatting-van-de-auteur"/>
    <w:p>
      <w:pPr>
        <w:pStyle w:val="Heading3"/>
      </w:pPr>
      <w:r>
        <w:t xml:space="preserve">Inschatting van de auteur</w:t>
      </w:r>
    </w:p>
    <w:p>
      <w:pPr>
        <w:pStyle w:val="FirstParagraph"/>
      </w:pPr>
      <w:r>
        <w:t xml:space="preserve">De injectie zal niet verdwijnen, maar haar monopoliepositie is voorbij. Voor de fase van sterk gewichtsverlies zullen geïnjecteerde werkzame stoffen in de komende jaren waarschijnlijk vooraan blijven, omdat ze in studies het meeste effect hebben en de cardiovasculaire gegevens tot nu toe bijna uitsluitend voor hen beschikbaar zijn. Voor jarenlang onderhoud, voor mensen met angst voor injecties en voor landen zonder betrouwbare koudeketen zijn tabletten daarentegen een echte vooruitgang. Of peptidetabletten of kleine moleculen de overhand krijgen, zal minder door de werking worden beslist dan door prijs, innamegemak en veiligheid op lange termijn. Dat is een inschatting; vast staat alleen dat beide wegen in grote fase 3-studies worden getest.</w:t>
      </w:r>
    </w:p>
    <w:bookmarkEnd w:id="1050"/>
    <w:bookmarkStart w:id="1051" w:name="het-belangrijkste-in-het-kort-9"/>
    <w:p>
      <w:pPr>
        <w:pStyle w:val="Heading3"/>
      </w:pPr>
      <w:r>
        <w:t xml:space="preserve">Het belangrijkste in het kort</w:t>
      </w:r>
    </w:p>
    <w:p>
      <w:pPr>
        <w:numPr>
          <w:ilvl w:val="0"/>
          <w:numId w:val="1360"/>
        </w:numPr>
        <w:pStyle w:val="Compact"/>
      </w:pPr>
      <w:r>
        <w:t xml:space="preserve">Peptiden als tablet werken alleen met grote technische inspanning. Bij de semaglutide-tablet komt ongeveer 1% van de werkzame stof in het bloed, toch bereikt ze in studies een vergelijkbaar gewichtsverlies als de injectie.</w:t>
      </w:r>
    </w:p>
    <w:p>
      <w:pPr>
        <w:numPr>
          <w:ilvl w:val="0"/>
          <w:numId w:val="1360"/>
        </w:numPr>
        <w:pStyle w:val="Compact"/>
      </w:pPr>
      <w:r>
        <w:t xml:space="preserve">Kleine moleculen zoals orforglipron omzeilen het probleem, maar gaven in studies iets minder gewichtsverlies en worden via leverenzymen afgebroken.</w:t>
      </w:r>
    </w:p>
    <w:p>
      <w:pPr>
        <w:numPr>
          <w:ilvl w:val="0"/>
          <w:numId w:val="1360"/>
        </w:numPr>
        <w:pStyle w:val="Compact"/>
      </w:pPr>
      <w:r>
        <w:t xml:space="preserve">Orale peptiden worden ook buiten de stofwisseling een eigen klasse geneesmiddelen, bijvoorbeeld tegen hoog cholesterol (enlicitide) en psoriasis (icotrokinra).</w:t>
      </w:r>
    </w:p>
    <w:p>
      <w:pPr>
        <w:numPr>
          <w:ilvl w:val="0"/>
          <w:numId w:val="1360"/>
        </w:numPr>
        <w:pStyle w:val="Compact"/>
      </w:pPr>
      <w:r>
        <w:t xml:space="preserve">Open zijn langetermijngegevens, harde eindpunten bij obesitas, therapietrouw in het dagelijks leven en de prijzen.</w:t>
      </w:r>
    </w:p>
    <w:p>
      <w:pPr>
        <w:numPr>
          <w:ilvl w:val="0"/>
          <w:numId w:val="1360"/>
        </w:numPr>
        <w:pStyle w:val="Compact"/>
      </w:pPr>
      <w:r>
        <w:t xml:space="preserve">Geneesmiddelen horen alleen onder medische begeleiding en volgens de productinformatie te worden gebruikt; „orale” grijze-marktpeptiden hebben met deze ontwikkelingen niets te maken.</w:t>
      </w:r>
    </w:p>
    <w:bookmarkEnd w:id="1051"/>
    <w:bookmarkEnd w:id="1052"/>
    <w:bookmarkStart w:id="1063" w:name="octrooien-generieken-en-prijzen"/>
    <w:p>
      <w:pPr>
        <w:pStyle w:val="Heading2"/>
      </w:pPr>
      <w:r>
        <w:t xml:space="preserve">Octrooien, generieken en prijzen</w:t>
      </w:r>
    </w:p>
    <w:p>
      <w:pPr>
        <w:pStyle w:val="FirstParagraph"/>
      </w:pPr>
      <w:r>
        <w:t xml:space="preserve">Of een geneesmiddel werkt, wordt bepaald door studies. Of het bij de mensen terechtkomt, wordt bepaald door octrooien, prijzen, toeleveringsketens en zorgverzekeraars. Bij de GLP-1-geneesmiddelen is dit tweede deel van het verhaal bijna net zo dramatisch als het eerste: leveringstekorten, een markt voor apotheekkopieën in de VS, vervalsingen wereldwijd – en in 2026 het aflopen van de eerste semaglutide-octrooien in grote landen.</w:t>
      </w:r>
    </w:p>
    <w:p>
      <w:pPr>
        <w:pStyle w:val="BodyText"/>
      </w:pPr>
      <w:r>
        <w:rPr>
          <w:bCs/>
          <w:b/>
        </w:rPr>
        <w:t xml:space="preserve">Een belangrijke opmerking vooraf:</w:t>
      </w:r>
      <w:r>
        <w:t xml:space="preserve"> </w:t>
      </w:r>
      <w:r>
        <w:t xml:space="preserve">prijzen, octrooitermijnen en vergoedingsregels veranderen snel en zijn maar gedeeltelijk in wetenschappelijke publicaties vastgelegd. Waar dit hoofdstuk gegevens zonder studiebewijs geeft, zijn die gemarkeerd met „stand 2026, controleren”. Concrete prijzen in euro worden bewust niet genoemd, omdat ze verschillen per land, verpakking en tijdstip.</w:t>
      </w:r>
    </w:p>
    <w:bookmarkStart w:id="1053" w:name="X67db25653b31b7df8ec5674dee63ad003819e7a"/>
    <w:p>
      <w:pPr>
        <w:pStyle w:val="Heading3"/>
      </w:pPr>
      <w:r>
        <w:t xml:space="preserve">Octrooien, generieken en biosimilars: de begrippen</w:t>
      </w:r>
    </w:p>
    <w:p>
      <w:pPr>
        <w:pStyle w:val="FirstParagraph"/>
      </w:pPr>
      <w:r>
        <w:t xml:space="preserve">Een</w:t>
      </w:r>
      <w:r>
        <w:t xml:space="preserve"> </w:t>
      </w:r>
      <w:r>
        <w:rPr>
          <w:bCs/>
          <w:b/>
        </w:rPr>
        <w:t xml:space="preserve">octrooi</w:t>
      </w:r>
      <w:r>
        <w:t xml:space="preserve"> </w:t>
      </w:r>
      <w:r>
        <w:t xml:space="preserve">geeft de fabrikant voor een beperkte tijd het alleenrecht om een werkzame stof te verkopen. In de EU en de VS bedraagt de basistermijn 20 jaar vanaf de aanvraag; omdat de ontwikkeling vele jaren duurt, kan die voor geneesmiddelen met een aanvullend beschermingscertificaat met maximaal vijf jaar worden verlengd. Naast het octrooi op de werkzame stof zelf zijn er vaak nog andere octrooien op productieprocessen, toedieningsvormen of pennen (stand 2026, controleren).</w:t>
      </w:r>
    </w:p>
    <w:p>
      <w:pPr>
        <w:pStyle w:val="BodyText"/>
      </w:pPr>
      <w:r>
        <w:t xml:space="preserve">Na afloop van de bescherming mogen andere fabrikanten namaakpreparaten aanbieden:</w:t>
      </w:r>
    </w:p>
    <w:p>
      <w:pPr>
        <w:numPr>
          <w:ilvl w:val="0"/>
          <w:numId w:val="1361"/>
        </w:numPr>
        <w:pStyle w:val="Compact"/>
      </w:pPr>
      <w:r>
        <w:rPr>
          <w:bCs/>
          <w:b/>
        </w:rPr>
        <w:t xml:space="preserve">Generieken</w:t>
      </w:r>
      <w:r>
        <w:t xml:space="preserve"> </w:t>
      </w:r>
      <w:r>
        <w:t xml:space="preserve">zijn kopieën van chemisch geproduceerde werkzame stoffen. Ze moeten aantonen dat ze dezelfde werkzame stof bevatten en in het lichaam op dezelfde manier beschikbaar zijn; nieuwe grote werkzaamheidsstudies zijn niet nodig.</w:t>
      </w:r>
    </w:p>
    <w:p>
      <w:pPr>
        <w:numPr>
          <w:ilvl w:val="0"/>
          <w:numId w:val="1361"/>
        </w:numPr>
        <w:pStyle w:val="Compact"/>
      </w:pPr>
      <w:r>
        <w:rPr>
          <w:bCs/>
          <w:b/>
        </w:rPr>
        <w:t xml:space="preserve">Biosimilars</w:t>
      </w:r>
      <w:r>
        <w:t xml:space="preserve"> </w:t>
      </w:r>
      <w:r>
        <w:t xml:space="preserve">zijn opvolgers van biologisch geproduceerde werkzame stoffen, zoals antistoffen of fusie-eiwitten. Omdat biologische productie nooit volledig identieke moleculen oplevert, is de registratie ervan bewerkelijker.</w:t>
      </w:r>
    </w:p>
    <w:p>
      <w:pPr>
        <w:pStyle w:val="FirstParagraph"/>
      </w:pPr>
      <w:r>
        <w:t xml:space="preserve">Korte peptiden zoals liraglutide of semaglutide staan daartussenin: ze kunnen genetisch gemodificeerd of chemisch worden geproduceerd. Dat heeft praktische gevolgen. Een laboratoriumanalyse vergeleek 16 geïnjecteerde en 8 orale namaakproducten van semaglutide en 2 namaakproducten van liraglutide met de originelen. Ze vond nieuwe verontreinigingen, bij meerdere semaglutide-tabletten duidelijk minder werkzame stof dan opgegeven en bij liraglutide een sterkere neiging tot klontering (Hach 2024, PMID 39379664). Of de verschillen klinisch iets betekenen, is volgens de auteurs onbekend. De analyse laat echter zien waarom autoriteiten bij namaakpeptiden goed opletten.</w:t>
      </w:r>
    </w:p>
    <w:bookmarkEnd w:id="1053"/>
    <w:bookmarkStart w:id="1054" w:name="X9e75dc586b2a05c06d7215252284c92b40a7cce"/>
    <w:p>
      <w:pPr>
        <w:pStyle w:val="Heading3"/>
      </w:pPr>
      <w:r>
        <w:t xml:space="preserve">Liraglutide: het eerste generieke GLP-1-middel</w:t>
      </w:r>
    </w:p>
    <w:p>
      <w:pPr>
        <w:pStyle w:val="FirstParagraph"/>
      </w:pPr>
      <w:r>
        <w:t xml:space="preserve">Liraglutide is de eerste GLP-1-werkzame stof waarvan de bescherming in grote markten is afgelopen. In de VS zijn sinds 2024 generieken van de diabetesvorm (Victoza) en sinds 2025 ook van de obesitasvorm (Saxenda) op de markt. In Europa komen er geleidelijk namaakpreparaten bij; de stand verschilt per land (zie hoofdstuk Liraglutide; stand 2026, controleren).</w:t>
      </w:r>
    </w:p>
    <w:p>
      <w:pPr>
        <w:pStyle w:val="BodyText"/>
      </w:pPr>
      <w:r>
        <w:t xml:space="preserve">Voor de beschikbaarheid heeft dat twee kanten. Enerzijds wordt een werkzame stof met aangetoond cardiovasculair voordeel bij diabetes type 2 goedkoper. Anderzijds moet liraglutide dagelijks worden geïnjecteerd en werkt het op het gewicht duidelijk zwakker dan semaglutide: in STEP 8 daalde het gewicht met wekelijks semaglutide gemiddeld met 15,8%, met dagelijks liraglutide met 6,4%; minstens een vijfde van hun gewicht verloor 38,5% tegenover 6,0% (Rubino 2022, PMID 35015037). Voor mensen die het nieuwere middel niet kunnen betalen, kan een goedkoop ouder middel toch een betere keuze zijn dan helemaal geen.</w:t>
      </w:r>
    </w:p>
    <w:bookmarkEnd w:id="1054"/>
    <w:bookmarkStart w:id="1055" w:name="semaglutide-2026-als-keerpunt"/>
    <w:p>
      <w:pPr>
        <w:pStyle w:val="Heading3"/>
      </w:pPr>
      <w:r>
        <w:t xml:space="preserve">Semaglutide: 2026 als keerpunt</w:t>
      </w:r>
    </w:p>
    <w:p>
      <w:pPr>
        <w:pStyle w:val="FirstParagraph"/>
      </w:pPr>
      <w:r>
        <w:t xml:space="preserve">Voor semaglutide lopen de octrooien in meerdere grote landen buiten de EU en de VS in 2026 af, waaronder volgens het hoofdstuk Semaglutide Canada, China, India en Brazilië. Een analyse van octrooidatabanken kwam tot het volgende beeld (Levi 2026, PMID 42437874):</w:t>
      </w:r>
    </w:p>
    <w:p>
      <w:pPr>
        <w:numPr>
          <w:ilvl w:val="0"/>
          <w:numId w:val="1362"/>
        </w:numPr>
        <w:pStyle w:val="Compact"/>
      </w:pPr>
      <w:r>
        <w:t xml:space="preserve">In twaalf landen eindigt de octrooibescherming in 2026. Daar woont 47% van de mensen met obesitas en 49% van de mensen met diabetes type 2 wereldwijd.</w:t>
      </w:r>
    </w:p>
    <w:p>
      <w:pPr>
        <w:numPr>
          <w:ilvl w:val="0"/>
          <w:numId w:val="1362"/>
        </w:numPr>
        <w:pStyle w:val="Compact"/>
      </w:pPr>
      <w:r>
        <w:t xml:space="preserve">In 150 andere landen vonden de auteurs helemaal geen octrooiaanvraag.</w:t>
      </w:r>
    </w:p>
    <w:p>
      <w:pPr>
        <w:numPr>
          <w:ilvl w:val="0"/>
          <w:numId w:val="1362"/>
        </w:numPr>
        <w:pStyle w:val="Compact"/>
      </w:pPr>
      <w:r>
        <w:t xml:space="preserve">Tegen eind 2026 zouden geïnjecteerde semaglutide-generieken daarmee beschikbaar kunnen zijn in 162 landen, waar 69% van de mensen met diabetes type 2 en 84% van de mensen met klinische obesitas woont.</w:t>
      </w:r>
    </w:p>
    <w:p>
      <w:pPr>
        <w:numPr>
          <w:ilvl w:val="0"/>
          <w:numId w:val="1362"/>
        </w:numPr>
        <w:pStyle w:val="Compact"/>
      </w:pPr>
      <w:r>
        <w:t xml:space="preserve">Uit gegevens over leveringen van werkzame stof vanuit India schatten ze de productiekosten: een jaar geïnjecteerd semaglutide zou als generiek middel kunnen worden aangeboden voor 28 tot 140 Amerikaanse dollar per persoon, de tablet voor 186 tot 380 Amerikaanse dollar. De pen nam een onevenredig groot deel van de kosten voor zijn rekening.</w:t>
      </w:r>
    </w:p>
    <w:p>
      <w:pPr>
        <w:pStyle w:val="FirstParagraph"/>
      </w:pPr>
      <w:r>
        <w:t xml:space="preserve">De auteurs benadrukken zelf dat penkosten, verdere octrooien en zwakke gezondheidssystemen de toegang toch kunnen beperken. Hoe sterk generieken prijzen kunnen drukken, laat een analyse uit India zien: daar daalden de prijzen van SGLT2-remmers en GLP-1-receptoragonisten na het aflopen van het octrooi met ongeveer 60 tot 90%. Tussen Indiase generieke prijzen en Amerikaanse lijstprijzen vonden de auteurs verschillen van een factor 15 tot 65. Ze wijzen er echter ook op dat generieken van verschillende fabrikanten kunnen verschillen in kwaliteit en opname in het lichaam (Mohan 2026, PMID 42747945).</w:t>
      </w:r>
    </w:p>
    <w:p>
      <w:pPr>
        <w:pStyle w:val="BodyText"/>
      </w:pPr>
      <w:r>
        <w:rPr>
          <w:bCs/>
          <w:b/>
        </w:rPr>
        <w:t xml:space="preserve">In de EU en de VS</w:t>
      </w:r>
      <w:r>
        <w:t xml:space="preserve"> </w:t>
      </w:r>
      <w:r>
        <w:t xml:space="preserve">wordt pas rond 2031/2032 op semaglutide-generieken gerekend (stand 2026, controleren). Voor lezers in Oostenrijk en Duitsland betekent dat: een in Canada of India legaal verkocht generiek semaglutide is hier geen geregistreerd geneesmiddel. De regels voor invoer voor persoonlijk gebruik zijn strikt (zie hoofdstuk „Juridisch kader” in Deel I), en online-aanbiedingen die zich op zulke generieken beroepen, zijn een typische toegangspoort voor vervalsingen (zie hoofdstuk „De grijze markt”).</w:t>
      </w:r>
    </w:p>
    <w:p>
      <w:pPr>
        <w:pStyle w:val="BodyText"/>
      </w:pPr>
      <w:r>
        <w:rPr>
          <w:bCs/>
          <w:b/>
        </w:rPr>
        <w:t xml:space="preserve">Een politiek signaal:</w:t>
      </w:r>
      <w:r>
        <w:t xml:space="preserve"> </w:t>
      </w:r>
      <w:r>
        <w:t xml:space="preserve">de Wereldgezondheidsorganisatie heeft semaglutide, liraglutide, dulaglutide en tirzepatide in september 2025 opgenomen in haar lijst van essentiële geneesmiddelen. Een beschouwing ziet daarin een stap die prijsonderhandelingen en de ontwikkeling van generieken in lage- en middeninkomenslanden moet vergemakkelijken; tegelijk noemt ze ontbrekende middelen, zwakke infrastructuur en het risico van onkritisch gebruik als hindernissen (Mani 2025, PMID 41358329). In haar eerste richtlijn over GLP-1-therapieën bij obesitas spreekt de WHO een voorwaardelijke aanbeveling uit voor langdurige behandeling samen met intensieve gedragstherapie. Als redenen voor de beperking noemt ze onder meer beperkte langetermijngegevens, kosten en de vraag van rechtvaardige toegang (Celletti 2026, PMID 41324410).</w:t>
      </w:r>
    </w:p>
    <w:bookmarkEnd w:id="1055"/>
    <w:bookmarkStart w:id="1056" w:name="tirzepatide-en-de-opvolgers"/>
    <w:p>
      <w:pPr>
        <w:pStyle w:val="Heading3"/>
      </w:pPr>
      <w:r>
        <w:t xml:space="preserve">Tirzepatide en de opvolgers</w:t>
      </w:r>
    </w:p>
    <w:p>
      <w:pPr>
        <w:pStyle w:val="FirstParagraph"/>
      </w:pPr>
      <w:r>
        <w:t xml:space="preserve">Voor tirzepatide en alle nieuwere werkzame stoffen – retatrutide, CagriSema, amycretine, maridebart cafraglutide, orforglipron – is het aflopen van het octrooi in dit decennium niet te verwachten. Voor tirzepatide wordt volgens bronnen uit de sector op zijn vroegst in de tweede helft van de jaren 2030 op generieken gerekend (stand 2026, controleren). Daaruit volgt een voorspelbaar patroon: de oudere werkzame stoffen worden goedkoper, de sterkste blijven duur.</w:t>
      </w:r>
    </w:p>
    <w:bookmarkEnd w:id="1056"/>
    <w:bookmarkStart w:id="1057" w:name="het-einde-van-compounding-in-de-vs"/>
    <w:p>
      <w:pPr>
        <w:pStyle w:val="Heading3"/>
      </w:pPr>
      <w:r>
        <w:t xml:space="preserve">Het einde van compounding in de VS</w:t>
      </w:r>
    </w:p>
    <w:p>
      <w:pPr>
        <w:pStyle w:val="FirstParagraph"/>
      </w:pPr>
      <w:r>
        <w:t xml:space="preserve">Tijdens de officiële leveringstekorten mochten Amerikaanse apotheken semaglutide en tirzepatide zelf bereiden („compounding”, zie Deel I). Daaruit ontstond een grote markt. Een onderzoek in de Amerikaanse staat Colorado vond in het voorjaar van 2024 93 bedrijven met 188 vestigingen die zulke preparaten aanprezen – meestal als medische spa’s of afslankdiensten. 41 van deze websites verwezen in hun productbeschrijvingen naar FDA-registratie, hoewel de preparaten die niet hadden. Eén aanbieder prees een mengsel met BPC-157 aan, een stof die de FDA als ongeschikt voor compounding heeft aangemerkt (DiStefano 2025, PMID 39776466).</w:t>
      </w:r>
    </w:p>
    <w:p>
      <w:pPr>
        <w:pStyle w:val="BodyText"/>
      </w:pPr>
      <w:r>
        <w:t xml:space="preserve">Nadat de FDA de tekorten voor beëindigd had verklaard – voor tirzepatide eind 2024, voor semaglutide begin 2025 –, liepen de overgangstermijnen voor kopieën van de geregistreerde preparaten in de loop van 2025 af (stand 2026, controleren). Sindsdien zijn alleen nog bereidingen toegestaan die verschillen van de geregistreerde preparaten. Een analyse vond 33 van zulke producten, waaronder mengsels met vitamine B12, glycine of een laxeermiddel en ook druppels en smelttabletten, waarvan voordeel en veiligheid grotendeels onbekend zijn (Belcourt 2026, PMID 41689811). Een laboratorium vond in tirzepatide-B12-mengsels van verschillende aanbieders een tot dan toe onbekende verontreiniging, die ontstaat door een chemische reactie tussen tirzepatide en bepaalde B12-vormen; welke gevolgen die voor de gezondheid heeft, is onbekend (Jordan 2026, PMID 42010938).</w:t>
      </w:r>
    </w:p>
    <w:p>
      <w:pPr>
        <w:pStyle w:val="BodyText"/>
      </w:pPr>
      <w:r>
        <w:t xml:space="preserve">Compounding is daarmee niet verdwenen, maar verschoven naar een niche waarin „gepersonaliseerde” toevoegingen de juridische basis leveren. In Europa bestaat geen vergelijkbaar systeem.</w:t>
      </w:r>
    </w:p>
    <w:bookmarkEnd w:id="1057"/>
    <w:bookmarkStart w:id="1058" w:name="leveringstekorten"/>
    <w:p>
      <w:pPr>
        <w:pStyle w:val="Heading3"/>
      </w:pPr>
      <w:r>
        <w:t xml:space="preserve">Leveringstekorten</w:t>
      </w:r>
    </w:p>
    <w:p>
      <w:pPr>
        <w:pStyle w:val="FirstParagraph"/>
      </w:pPr>
      <w:r>
        <w:t xml:space="preserve">Vanaf 2022 overtrof de vraag naar semaglutide en later tirzepatide de productie. Mensen met diabetes type 2 kregen hun geneesmiddelen tijdelijk niet. In Duitsland en Oostenrijk riepen autoriteiten en beroepsverenigingen ertoe op Ozempic voor te behouden aan mensen met diabetes type 2 en het niet voor te schrijven voor alleen gewichtsverlies (stand 2026, controleren).</w:t>
      </w:r>
    </w:p>
    <w:p>
      <w:pPr>
        <w:pStyle w:val="BodyText"/>
      </w:pPr>
      <w:r>
        <w:t xml:space="preserve">Hoe groot was het aandeel voorschriften buiten de registratie? Een landelijke registerstudie uit Denemarken geeft een antwoord. Het aantal nieuwe gebruikers van Ozempic steeg vanaf 2022 sterk, tot een piek van 10 per 1.000 volwassenen per jaar begin 2023. In 2022 had een derde van de nieuwe gebruikers geen gedocumenteerde diabetes type 2; in 2023 daalde dit aandeel weer. De auteurs concluderen dat voorschriften voor gewichtsverlies slechts een kleiner deel van het tekort verklaren (Mailhac 2024, PMID 38685990).</w:t>
      </w:r>
    </w:p>
    <w:p>
      <w:pPr>
        <w:pStyle w:val="BodyText"/>
      </w:pPr>
      <w:r>
        <w:t xml:space="preserve">Tekorten hebben directe gevolgen voor de behandeling. In een Amerikaans onderzoek bij 288 mensen die binnen het eerste jaar stopten met semaglutide of tirzepatide voor gewichtsverlies, noemde 11,8% leveringstekorten als hoofdreden. Het vaakst waren echter kosten- of verzekeringsproblemen (47,6%), gevolgd door bijwerkingen (14,6%); 2,4% stapte over op een apotheekbereiding (Gasoyan 2025, PMID 41039650).</w:t>
      </w:r>
    </w:p>
    <w:p>
      <w:pPr>
        <w:pStyle w:val="BodyText"/>
      </w:pPr>
      <w:r>
        <w:t xml:space="preserve">De fabrikanten hebben hun productiecapaciteit sindsdien sterk uitgebreid, en de officiële tekorten gelden in de VS als beëindigd. In Europa is de situatie per preparaat en land verschillend (stand 2026, controleren).</w:t>
      </w:r>
    </w:p>
    <w:bookmarkEnd w:id="1058"/>
    <w:bookmarkStart w:id="1059" w:name="prijzen-wat-is-een-afslankmiddel-waard"/>
    <w:p>
      <w:pPr>
        <w:pStyle w:val="Heading3"/>
      </w:pPr>
      <w:r>
        <w:t xml:space="preserve">Prijzen: wat is een afslankmiddel waard?</w:t>
      </w:r>
    </w:p>
    <w:p>
      <w:pPr>
        <w:pStyle w:val="FirstParagraph"/>
      </w:pPr>
      <w:r>
        <w:t xml:space="preserve">In de VS liggen de lijstprijzen voor GLP-1-geneesmiddelen duidelijk hoger dan in Europa. Gezondheidseconomische studies uit de VS vragen zich daarom af of het voordeel de prijs rechtvaardigt:</w:t>
      </w:r>
    </w:p>
    <w:p>
      <w:pPr>
        <w:numPr>
          <w:ilvl w:val="0"/>
          <w:numId w:val="1363"/>
        </w:numPr>
        <w:pStyle w:val="Compact"/>
      </w:pPr>
      <w:r>
        <w:t xml:space="preserve">Een modelberekening voor Amerikaanse volwassenen liet zien dat tirzepatide en semaglutide over de levensduur weliswaar veel gevallen van diabetes en hart- en vaatziekten zouden voorkomen, maar tegen de toenmalige nettoprijzen niet kosteneffectief waren. Om een gangbare drempel te halen, hadden de prijzen nog eens met 30,5% (tirzepatide) resp. 81,9% (semaglutide) moeten dalen (Hwang 2025, PMID 40085108).</w:t>
      </w:r>
    </w:p>
    <w:p>
      <w:pPr>
        <w:numPr>
          <w:ilvl w:val="0"/>
          <w:numId w:val="1363"/>
        </w:numPr>
        <w:pStyle w:val="Compact"/>
      </w:pPr>
      <w:r>
        <w:t xml:space="preserve">Een meta-analyse van negen gezondheidseconomische studies uit hoge-inkomenslanden concludeerde dat GLP-1-receptoragonisten voor de behandeling van obesitas zonder diabetes vanuit het oogpunt van de betalers in het algemeen niet kosteneffectief zijn; in subgroepen en over langere perioden zou dat anders kunnen zijn (Dhippayom 2026, PMID 41365841).</w:t>
      </w:r>
    </w:p>
    <w:p>
      <w:pPr>
        <w:numPr>
          <w:ilvl w:val="0"/>
          <w:numId w:val="1363"/>
        </w:numPr>
        <w:pStyle w:val="Compact"/>
      </w:pPr>
      <w:r>
        <w:t xml:space="preserve">Voor mensen zonder diabetes die al een hartinfarct of beroerte hadden gehad, viel een modelberekening gunstiger uit: tegen de prijs die zelfbetalers in de VS ten tijde van de analyse betaalden, zou semaglutide in deze groep kosteneffectief zijn (Hennessy 2026, PMID 41637062).</w:t>
      </w:r>
    </w:p>
    <w:p>
      <w:pPr>
        <w:pStyle w:val="FirstParagraph"/>
      </w:pPr>
      <w:r>
        <w:t xml:space="preserve">Zulke berekeningen hangen sterk af van prijsaannames, en de prijzen bewegen. In de VS hebben de fabrikanten sinds 2025 duidelijk goedkopere directe aanbiedingen voor zelfbetalers ingevoerd en prijsafspraken met de overheid gemaakt; semaglutide is bovendien onderwerp van de overheidsonderhandelingen over prijzen voor het ouderenprogramma Medicare (stand 2026, controleren). Hoe sterk vergoeding het gebruik beïnvloedt, laat een Amerikaanse analyse zien: nadat Wegovy in maart 2024 was geregistreerd voor het verlagen van het cardiovasculaire risico en door Medicare voor deze toepassing werd vergoed, steeg het aantal via Medicare verstrekte Wegovy-verpakkingen relatief met 598,1% (Scannell 2026, PMID 42640207).</w:t>
      </w:r>
    </w:p>
    <w:p>
      <w:pPr>
        <w:pStyle w:val="BodyText"/>
      </w:pPr>
      <w:r>
        <w:rPr>
          <w:bCs/>
          <w:b/>
        </w:rPr>
        <w:t xml:space="preserve">Inschatting van de auteur:</w:t>
      </w:r>
      <w:r>
        <w:t xml:space="preserve"> </w:t>
      </w:r>
      <w:r>
        <w:t xml:space="preserve">de prijzen van op GLP-1 gebaseerde geneesmiddelen zullen in de komende jaren dalen – door generieken van oudere werkzame stoffen, door concurrentie tussen de fabrikanten, door tabletten met kleine moleculen en door politieke druk. Het sterkst zal dat merkbaar zijn in landen waar het octrooi vroeg afloopt. In de EU zal de grote prijsdaling waarschijnlijk pas komen met semaglutide-generieken begin jaren 2030.</w:t>
      </w:r>
    </w:p>
    <w:bookmarkEnd w:id="1059"/>
    <w:bookmarkStart w:id="1060" w:name="vergoeding-in-duitsland-en-oostenrijk"/>
    <w:p>
      <w:pPr>
        <w:pStyle w:val="Heading3"/>
      </w:pPr>
      <w:r>
        <w:t xml:space="preserve">Vergoeding in Duitsland en Oostenrijk</w:t>
      </w:r>
    </w:p>
    <w:p>
      <w:pPr>
        <w:pStyle w:val="FirstParagraph"/>
      </w:pPr>
      <w:r>
        <w:rPr>
          <w:bCs/>
          <w:b/>
        </w:rPr>
        <w:t xml:space="preserve">Duitsland:</w:t>
      </w:r>
      <w:r>
        <w:t xml:space="preserve"> </w:t>
      </w:r>
      <w:r>
        <w:t xml:space="preserve">bij diabetes type 2 vergoedt de wettelijke ziektekostenverzekering de kosten van geregistreerde GLP-1-geneesmiddelen zoals Ozempic, Rybelsus, Trulicity of Mounjaro binnen de registratie. Geneesmiddelen die overwegend voor gewichtsvermindering dienen, zijn daarentegen volgens § 34 SGB V van vergoeding uitgesloten; Wegovy, Saxenda en Mounjaro voor gewichtsbeheersing moeten wettelijk verzekerden daarom doorgaans zelf betalen. Of deze regel voor mensen met een hoog cardiovasculair risico wordt gewijzigd, wordt politiek en binnen het zelfbestuur van de zorg besproken. Particuliere ziektekostenverzekeraars beslissen volgens hun eigen polisvoorwaarden (stand 2026, controleren).</w:t>
      </w:r>
    </w:p>
    <w:p>
      <w:pPr>
        <w:pStyle w:val="BodyText"/>
      </w:pPr>
      <w:r>
        <w:rPr>
          <w:bCs/>
          <w:b/>
        </w:rPr>
        <w:t xml:space="preserve">Oostenrijk:</w:t>
      </w:r>
      <w:r>
        <w:t xml:space="preserve"> </w:t>
      </w:r>
      <w:r>
        <w:t xml:space="preserve">voor diabetes type 2 komen GLP-1-geneesmiddelen in aanmerking voor vergoeding, maar de vergoeding is deels gekoppeld aan voorwaarden of aan toestemming van de ziektekostenverzekeraar. Voor alleen gewichtsbeheersing worden de kosten doorgaans niet of slechts in uitzonderingsgevallen vergoed (stand 2026, controleren).</w:t>
      </w:r>
    </w:p>
    <w:p>
      <w:pPr>
        <w:pStyle w:val="BodyText"/>
      </w:pPr>
      <w:r>
        <w:t xml:space="preserve">In beide landen geldt: of een behandeling wordt vergoed, hangt af van het indicatiegebied, de bevindingen en de actuele juridische situatie. De behandelend arts en de ziektekostenverzekeraar zijn de juiste aanspreekpunten. Een voorschrift voor gewichtsverlies met een preparaat dat alleen voor diabetes is geregistreerd, is gebruik buiten de registratie (off-label) en wordt niet vergoed.</w:t>
      </w:r>
    </w:p>
    <w:bookmarkEnd w:id="1060"/>
    <w:bookmarkStart w:id="1061" w:name="wat-dit-voor-patiënten-betekent"/>
    <w:p>
      <w:pPr>
        <w:pStyle w:val="Heading3"/>
      </w:pPr>
      <w:r>
        <w:t xml:space="preserve">Wat dit voor patiënten betekent</w:t>
      </w:r>
    </w:p>
    <w:p>
      <w:pPr>
        <w:numPr>
          <w:ilvl w:val="0"/>
          <w:numId w:val="1364"/>
        </w:numPr>
        <w:pStyle w:val="Compact"/>
      </w:pPr>
      <w:r>
        <w:rPr>
          <w:bCs/>
          <w:b/>
        </w:rPr>
        <w:t xml:space="preserve">Goedkoper betekent niet grijze markt.</w:t>
      </w:r>
      <w:r>
        <w:t xml:space="preserve"> </w:t>
      </w:r>
      <w:r>
        <w:t xml:space="preserve">Met het aflopen van octrooien in andere landen zullen aanbiedingen toenemen die zich op „generieken” beroepen. Voor Oostenrijk en Duitsland zijn alleen hier geregistreerde preparaten uit apotheken geteste geneesmiddelen.</w:t>
      </w:r>
    </w:p>
    <w:p>
      <w:pPr>
        <w:numPr>
          <w:ilvl w:val="0"/>
          <w:numId w:val="1364"/>
        </w:numPr>
        <w:pStyle w:val="Compact"/>
      </w:pPr>
      <w:r>
        <w:rPr>
          <w:bCs/>
          <w:b/>
        </w:rPr>
        <w:t xml:space="preserve">Stoppen om kostenredenen komt vaak voor – en heeft gevolgen.</w:t>
      </w:r>
      <w:r>
        <w:t xml:space="preserve"> </w:t>
      </w:r>
      <w:r>
        <w:t xml:space="preserve">In de verlenging van STEP 1 kwamen deelnemers een jaar na het stoppen met semaglutide gemiddeld twee derde van hun gewichtsverlies weer aan, en de verbeteringen van bloeddruk en bloedwaarden gingen grotendeels verloren (Wilding 2022, PMID 35441470). Wie om kostenredenen overweegt te stoppen, doet er goed aan dit met een arts te bespreken.</w:t>
      </w:r>
    </w:p>
    <w:p>
      <w:pPr>
        <w:numPr>
          <w:ilvl w:val="0"/>
          <w:numId w:val="1364"/>
        </w:numPr>
        <w:pStyle w:val="Compact"/>
      </w:pPr>
      <w:r>
        <w:rPr>
          <w:bCs/>
          <w:b/>
        </w:rPr>
        <w:t xml:space="preserve">Oudere werkzame stoffen zijn niet waardeloos.</w:t>
      </w:r>
      <w:r>
        <w:t xml:space="preserve"> </w:t>
      </w:r>
      <w:r>
        <w:t xml:space="preserve">Liraglutide of dulaglutide zijn goed onderzocht en hebben bij diabetes type 2 een aangetoond cardiovasculair voordeel. Welke werkzame stof in een individueel geval in aanmerking komt, is een medische beslissing.</w:t>
      </w:r>
    </w:p>
    <w:bookmarkEnd w:id="1061"/>
    <w:bookmarkStart w:id="1062" w:name="het-belangrijkste-in-het-kort-10"/>
    <w:p>
      <w:pPr>
        <w:pStyle w:val="Heading3"/>
      </w:pPr>
      <w:r>
        <w:t xml:space="preserve">Het belangrijkste in het kort</w:t>
      </w:r>
    </w:p>
    <w:p>
      <w:pPr>
        <w:numPr>
          <w:ilvl w:val="0"/>
          <w:numId w:val="1365"/>
        </w:numPr>
        <w:pStyle w:val="Compact"/>
      </w:pPr>
      <w:r>
        <w:t xml:space="preserve">In 2026 eindigt de octrooibescherming voor semaglutide in landen waar bijna de helft van de mensen met obesitas woont. Generieken zouden daar een fractie van de huidige prijzen kunnen kosten; in de EU en de VS wordt daar pas rond 2031/2032 op gerekend (controleren).</w:t>
      </w:r>
    </w:p>
    <w:p>
      <w:pPr>
        <w:numPr>
          <w:ilvl w:val="0"/>
          <w:numId w:val="1365"/>
        </w:numPr>
        <w:pStyle w:val="Compact"/>
      </w:pPr>
      <w:r>
        <w:t xml:space="preserve">Voor liraglutide zijn er al generieken; tirzepatide en alle nieuwere werkzame stoffen blijven naar verwachting tot ver in de jaren 2030 door octrooien beschermd.</w:t>
      </w:r>
    </w:p>
    <w:p>
      <w:pPr>
        <w:numPr>
          <w:ilvl w:val="0"/>
          <w:numId w:val="1365"/>
        </w:numPr>
        <w:pStyle w:val="Compact"/>
      </w:pPr>
      <w:r>
        <w:t xml:space="preserve">Compounding in de VS met kopieën van geregistreerde preparaten is na het einde van de tekorten grotendeels beëindigd; wat overblijft zijn gewijzigde bereidingen met ongeteste toevoegingen.</w:t>
      </w:r>
    </w:p>
    <w:p>
      <w:pPr>
        <w:numPr>
          <w:ilvl w:val="0"/>
          <w:numId w:val="1365"/>
        </w:numPr>
        <w:pStyle w:val="Compact"/>
      </w:pPr>
      <w:r>
        <w:t xml:space="preserve">Kosten zijn in studies de meest voorkomende reden om een behandeling te stoppen. In Duitsland zijn afslankmiddelen uitgesloten van vergoeding, in Oostenrijk wordt slechts beperkt vergoed (stand 2026, controleren).</w:t>
      </w:r>
    </w:p>
    <w:bookmarkEnd w:id="1062"/>
    <w:bookmarkEnd w:id="1063"/>
    <w:bookmarkStart w:id="1078" w:name="prognoses-2030-tot-2035"/>
    <w:p>
      <w:pPr>
        <w:pStyle w:val="Heading2"/>
      </w:pPr>
      <w:r>
        <w:t xml:space="preserve">Prognoses 2030 tot 2035</w:t>
      </w:r>
    </w:p>
    <w:p>
      <w:pPr>
        <w:pStyle w:val="FirstParagraph"/>
      </w:pPr>
      <w:r>
        <w:t xml:space="preserve">Voorspellingen in de geneeskunde hebben een slechte staat van dienst. Ook dit boek kent voorbeelden: dierproeven en observationele gegevens wekten de hoop dat GLP-1-geneesmiddelen de cognitieve achteruitgang bij alzheimer zouden afremmen. In de twee fase 3-studies evoke en evoke+ met samen 3.808 deelnemers verliep de ziekte met semaglutide-tabletten echter net zo snel als met placebo (Cummings 2026, PMID 41865758). Bij parkinson vond de fase 3-studie Exenatide-PD3 met 194 deelnemers geen aanwijzing dat exenatide de progressie vertraagt (Vijiaratnam 2025, PMID 39919773).</w:t>
      </w:r>
    </w:p>
    <w:p>
      <w:pPr>
        <w:pStyle w:val="BodyText"/>
      </w:pPr>
      <w:r>
        <w:t xml:space="preserve">Dit hoofdstuk maakt daarom in elke paragraaf een strikt onderscheid:</w:t>
      </w:r>
    </w:p>
    <w:p>
      <w:pPr>
        <w:numPr>
          <w:ilvl w:val="0"/>
          <w:numId w:val="1366"/>
        </w:numPr>
        <w:pStyle w:val="Compact"/>
      </w:pPr>
      <w:r>
        <w:rPr>
          <w:bCs/>
          <w:b/>
        </w:rPr>
        <w:t xml:space="preserve">Vaststaand:</w:t>
      </w:r>
      <w:r>
        <w:t xml:space="preserve"> </w:t>
      </w:r>
      <w:r>
        <w:t xml:space="preserve">wat in studieregisters is ingeschreven (met geplande einddatum), wat in peer-reviewed studies is gepubliceerd en wat autoriteiten hebben besloten. Ook wat vaststaat kan veranderen – einddata verschuiven, studies worden afgebroken.</w:t>
      </w:r>
    </w:p>
    <w:p>
      <w:pPr>
        <w:numPr>
          <w:ilvl w:val="0"/>
          <w:numId w:val="1366"/>
        </w:numPr>
        <w:pStyle w:val="Compact"/>
      </w:pPr>
      <w:r>
        <w:rPr>
          <w:bCs/>
          <w:b/>
        </w:rPr>
        <w:t xml:space="preserve">Inschatting van de auteur:</w:t>
      </w:r>
      <w:r>
        <w:t xml:space="preserve"> </w:t>
      </w:r>
      <w:r>
        <w:t xml:space="preserve">een onderbouwde verwachting die onjuist kan zijn. Ze is als zodanig aangeduid en wordt telkens onderbouwd.</w:t>
      </w:r>
    </w:p>
    <w:p>
      <w:pPr>
        <w:pStyle w:val="FirstParagraph"/>
      </w:pPr>
      <w:r>
        <w:t xml:space="preserve">De registergegevens geven de stand van oktober 2026 weer.</w:t>
      </w:r>
    </w:p>
    <w:bookmarkStart w:id="1064" w:name="groep-a-stofwisseling-en-gewicht"/>
    <w:p>
      <w:pPr>
        <w:pStyle w:val="Heading3"/>
      </w:pPr>
      <w:r>
        <w:t xml:space="preserve">Groep A – stofwisseling en gewicht</w:t>
      </w:r>
    </w:p>
    <w:p>
      <w:pPr>
        <w:pStyle w:val="FirstParagraph"/>
      </w:pPr>
      <w:r>
        <w:rPr>
          <w:bCs/>
          <w:b/>
        </w:rPr>
        <w:t xml:space="preserve">Vaststaand:</w:t>
      </w:r>
    </w:p>
    <w:p>
      <w:pPr>
        <w:numPr>
          <w:ilvl w:val="0"/>
          <w:numId w:val="1367"/>
        </w:numPr>
        <w:pStyle w:val="Compact"/>
      </w:pPr>
      <w:r>
        <w:t xml:space="preserve">Tot 2032 eindigen minstens negen grote eindpunt- en leverstudies: SURMOUNT-MMO naar tirzepatide (NCT05556512) en REDEFINE 3 naar CagriSema (NCT05669755) in 2027, TRIUMPH-Outcomes naar retatrutide (NCT06383390) en LIVERAGE-Cirrhosis naar survodutide (NCT06632457) in 2029, MARITIME-CV en MARITIME-HF naar maridebart cafraglutide (NCT07037433, NCT07037459) en AMBIENCE naar zenagamtide (NCT07861100) in 2030, ATTAIN-Outcomes naar orforglipron (NCT07241390) in 2031 en SYNERGY-Outcomes naar tirzepatide en retatrutide (NCT07165028) in 2032.</w:t>
      </w:r>
    </w:p>
    <w:p>
      <w:pPr>
        <w:numPr>
          <w:ilvl w:val="0"/>
          <w:numId w:val="1367"/>
        </w:numPr>
        <w:pStyle w:val="Compact"/>
      </w:pPr>
      <w:r>
        <w:t xml:space="preserve">Zuivere amylinemiddelen zijn in fase 3: eloralintide (ENLIGHTEN-1, NCT07321886, einde 2030) en petrelintide (ZUPREME-3, NCT07843498, einde 2029).</w:t>
      </w:r>
    </w:p>
    <w:p>
      <w:pPr>
        <w:numPr>
          <w:ilvl w:val="0"/>
          <w:numId w:val="1367"/>
        </w:numPr>
        <w:pStyle w:val="Compact"/>
      </w:pPr>
      <w:r>
        <w:t xml:space="preserve">Voor CagriSema en orforglipron zijn volgens de betreffende hoofdstukken registratieaanvragen ingediend of aangekondigd; voor retatrutide worden ze verwacht na afronding van TRIUMPH-1 en TRIUMPH-2 (stand oktober 2026, controleren).</w:t>
      </w:r>
    </w:p>
    <w:p>
      <w:pPr>
        <w:numPr>
          <w:ilvl w:val="0"/>
          <w:numId w:val="1367"/>
        </w:numPr>
        <w:pStyle w:val="Compact"/>
      </w:pPr>
      <w:r>
        <w:t xml:space="preserve">In twaalf landen eindigt in 2026 de octrooibescherming voor semaglutide, waaronder grote markten buiten de EU en de VS (Levi 2026, PMID 42437874). In de EU en de VS wordt rond 2031/2032 op generieken gerekend (stand 2026, controleren).</w:t>
      </w:r>
    </w:p>
    <w:p>
      <w:pPr>
        <w:pStyle w:val="FirstParagraph"/>
      </w:pPr>
      <w:r>
        <w:rPr>
          <w:bCs/>
          <w:b/>
        </w:rPr>
        <w:t xml:space="preserve">Inschatting van de auteur:</w:t>
      </w:r>
      <w:r>
        <w:t xml:space="preserve"> </w:t>
      </w:r>
      <w:r>
        <w:t xml:space="preserve">tegen 2030 zullen in de EU naar verwachting meerdere nieuwe klassen werkzame stoffen geregistreerd zijn – minstens één amylinecombinatie, één drievoudige agonist en één klein molecuul als tablet. Onderbouwing: de fase 3-programma’s zijn ver gevorderd, de tot nu toe gepubliceerde resultaten zijn duidelijk positief, en de fabrikanten hebben registratieaanvragen ingediend of aangekondigd. Een gemiddeld gewichtsverlies van 20 tot 25% in studies zal dan waarschijnlijk geen uitzondering meer zijn. Belangrijker dan een nieuw record wordt echter de vraag welke werkzame stof bij welke persoon past: wie vooral hartbescherming nodig heeft, wie leververvetting heeft, wie injecties wil vermijden, wie bijwerkingen slecht verdraagt. Tussen 2030 en 2035 reken ik op duidelijk dalende prijzen voor semaglutide in Europa door generieken, terwijl de nieuwste werkzame stoffen duur blijven. Het risico van een zorg met twee snelheden – de sterkste middelen voor zelfbetalers, oudere middelen voor alle anderen – acht ik reëel.</w:t>
      </w:r>
    </w:p>
    <w:bookmarkEnd w:id="1064"/>
    <w:bookmarkStart w:id="1065" w:name="X33115963980bb0efd3e1a4ed23db4613ea9b7c9"/>
    <w:p>
      <w:pPr>
        <w:pStyle w:val="Heading3"/>
      </w:pPr>
      <w:r>
        <w:t xml:space="preserve">Groep B – herstel, regeneratie en immuunsysteem</w:t>
      </w:r>
    </w:p>
    <w:p>
      <w:pPr>
        <w:pStyle w:val="FirstParagraph"/>
      </w:pPr>
      <w:r>
        <w:rPr>
          <w:bCs/>
          <w:b/>
        </w:rPr>
        <w:t xml:space="preserve">Vaststaand:</w:t>
      </w:r>
    </w:p>
    <w:p>
      <w:pPr>
        <w:numPr>
          <w:ilvl w:val="0"/>
          <w:numId w:val="1368"/>
        </w:numPr>
        <w:pStyle w:val="Compact"/>
      </w:pPr>
      <w:r>
        <w:t xml:space="preserve">De fase 3-studie naar thymosine alfa-1 na een darmkankeroperatie met 2.500 deelnemers moet in maart 2027 eindigen (NCT05086614).</w:t>
      </w:r>
    </w:p>
    <w:p>
      <w:pPr>
        <w:numPr>
          <w:ilvl w:val="0"/>
          <w:numId w:val="1368"/>
        </w:numPr>
        <w:pStyle w:val="Compact"/>
      </w:pPr>
      <w:r>
        <w:t xml:space="preserve">De fase 3-studie SEER-2 met oogdruppels met thymosine bèta-4 bij neurotrofe keratopathie was volgens het register in mei 2026 afgerond; resultaten waren in oktober 2026 niet beschikbaar (NCT05555589).</w:t>
      </w:r>
    </w:p>
    <w:p>
      <w:pPr>
        <w:numPr>
          <w:ilvl w:val="0"/>
          <w:numId w:val="1368"/>
        </w:numPr>
        <w:pStyle w:val="Compact"/>
      </w:pPr>
      <w:r>
        <w:t xml:space="preserve">Een Chinese fase 2-studie met recombinant thymosine bèta-4 na een hartinfarct is gepland (NCT07586865, 189 deelnemers, einde mei 2028).</w:t>
      </w:r>
    </w:p>
    <w:p>
      <w:pPr>
        <w:numPr>
          <w:ilvl w:val="0"/>
          <w:numId w:val="1368"/>
        </w:numPr>
        <w:pStyle w:val="Compact"/>
      </w:pPr>
      <w:r>
        <w:t xml:space="preserve">Voor BPC-157 is een kleine gerandomiseerde studie met 30 deelnemers na schouderoperaties geregistreerd, die nog niet is begonnen (NCT07803250, gepland einde augustus 2027).</w:t>
      </w:r>
    </w:p>
    <w:p>
      <w:pPr>
        <w:pStyle w:val="FirstParagraph"/>
      </w:pPr>
      <w:r>
        <w:rPr>
          <w:bCs/>
          <w:b/>
        </w:rPr>
        <w:t xml:space="preserve">Inschatting van de auteur:</w:t>
      </w:r>
      <w:r>
        <w:t xml:space="preserve"> </w:t>
      </w:r>
      <w:r>
        <w:t xml:space="preserve">een registratie van BPC-157, TB-500 of KPV in de EU tegen 2035 acht ik zeer onwaarschijnlijk. Onderbouwing: er zijn geen fase 2- of fase 3-programma’s, geen fabrikant met herkenbare interesse in registratie, en zelfs een positief resultaat van de kleine schouderstudie zou slechts een eerste aanwijzing zijn. Realistischer is een nicheregistratie voor oogdruppels met thymosine bèta-4 bij een zeldzame hoornvliesaandoening, mits SEER-2 positief uitvalt. Thymosine alfa-1 zou in China een grotere rol kunnen spelen in de nazorg na kanker als de darmkankerstudie positief is – vanwege de ontbrekende dubbele blindering echter onder voorbehoud.</w:t>
      </w:r>
    </w:p>
    <w:bookmarkEnd w:id="1065"/>
    <w:bookmarkStart w:id="1066" w:name="groep-c-groeihormoonas"/>
    <w:p>
      <w:pPr>
        <w:pStyle w:val="Heading3"/>
      </w:pPr>
      <w:r>
        <w:t xml:space="preserve">Groep C – groeihormoonas</w:t>
      </w:r>
    </w:p>
    <w:p>
      <w:pPr>
        <w:pStyle w:val="FirstParagraph"/>
      </w:pPr>
      <w:r>
        <w:rPr>
          <w:bCs/>
          <w:b/>
        </w:rPr>
        <w:t xml:space="preserve">Vaststaand:</w:t>
      </w:r>
    </w:p>
    <w:p>
      <w:pPr>
        <w:numPr>
          <w:ilvl w:val="0"/>
          <w:numId w:val="1369"/>
        </w:numPr>
        <w:pStyle w:val="Compact"/>
      </w:pPr>
      <w:r>
        <w:t xml:space="preserve">Ibutamoren (geen peptide) wordt als LUM-201 getest in een fase 3-studie met 150 kinderen met groeihormoontekort (NCT06948214, einde januari 2028). Een fase 2-studie met 202 oudere mensen met obesitas moet LUM-201 als aanvulling op semaglutide onderzoeken (NCT07754045, einde februari 2028).</w:t>
      </w:r>
    </w:p>
    <w:p>
      <w:pPr>
        <w:numPr>
          <w:ilvl w:val="0"/>
          <w:numId w:val="1369"/>
        </w:numPr>
        <w:pStyle w:val="Compact"/>
      </w:pPr>
      <w:r>
        <w:t xml:space="preserve">Het langetermijnregister voor mecasermine loopt tot eind 2027 (NCT00903110).</w:t>
      </w:r>
    </w:p>
    <w:p>
      <w:pPr>
        <w:numPr>
          <w:ilvl w:val="0"/>
          <w:numId w:val="1369"/>
        </w:numPr>
        <w:pStyle w:val="Compact"/>
      </w:pPr>
      <w:r>
        <w:t xml:space="preserve">Voor sermoreline, CJC-1295, ipamoreline, GHRP-2, GHRP-6, hexareline en IGF-1 LR3 is geen lopende studie geregistreerd (zie de betreffende hoofdstukken).</w:t>
      </w:r>
    </w:p>
    <w:p>
      <w:pPr>
        <w:pStyle w:val="FirstParagraph"/>
      </w:pPr>
      <w:r>
        <w:rPr>
          <w:bCs/>
          <w:b/>
        </w:rPr>
        <w:t xml:space="preserve">Inschatting van de auteur:</w:t>
      </w:r>
      <w:r>
        <w:t xml:space="preserve"> </w:t>
      </w:r>
      <w:r>
        <w:t xml:space="preserve">een nieuwe registratie van een groeihormoonvrijmakend peptide voor volwassenen acht ik tegen 2035 onwaarschijnlijk. Onderbouwing: de stoffen zijn oud, nauwelijks octrooieerbaar, en de veiligheidsvragen rond blijvend verhoogde IGF-1-spiegels (zie Deel IV) maken grote studies duur en riskant. Interessant is een andere trend: omdat sterk gewichtsverlies ook spieren kost, zou de groeihormoonas als mogelijke spierbescherming nieuwe aandacht kunnen krijgen – de studie met LUM-201 en semaglutide is een eerste voorbeeld. Of daar een voordeel uit voortkomt, is volledig open.</w:t>
      </w:r>
    </w:p>
    <w:bookmarkEnd w:id="1066"/>
    <w:bookmarkStart w:id="1067" w:name="groep-d-hersenen-slaap-en-een-lang-leven"/>
    <w:p>
      <w:pPr>
        <w:pStyle w:val="Heading3"/>
      </w:pPr>
      <w:r>
        <w:t xml:space="preserve">Groep D – hersenen, slaap en een lang leven</w:t>
      </w:r>
    </w:p>
    <w:p>
      <w:pPr>
        <w:pStyle w:val="FirstParagraph"/>
      </w:pPr>
      <w:r>
        <w:rPr>
          <w:bCs/>
          <w:b/>
        </w:rPr>
        <w:t xml:space="preserve">Vaststaand:</w:t>
      </w:r>
    </w:p>
    <w:p>
      <w:pPr>
        <w:numPr>
          <w:ilvl w:val="0"/>
          <w:numId w:val="1370"/>
        </w:numPr>
        <w:pStyle w:val="Compact"/>
      </w:pPr>
      <w:r>
        <w:t xml:space="preserve">Elamipretide (SS-31) is in de VS sinds september 2025 versneld geregistreerd voor het syndroom van Barth, gekoppeld aan een bevestigende studie (4TAZPower, NCT07531251, einde november 2029). De fase 3-studie ReNEW bij droge maculadegeneratie moet in september 2027 eindigen (NCT06373731).</w:t>
      </w:r>
    </w:p>
    <w:p>
      <w:pPr>
        <w:numPr>
          <w:ilvl w:val="0"/>
          <w:numId w:val="1370"/>
        </w:numPr>
        <w:pStyle w:val="Compact"/>
      </w:pPr>
      <w:r>
        <w:t xml:space="preserve">Voor cerebrolysine lopen alleen kleinere studies, bijvoorbeeld bij CADASIL (NCT05755997).</w:t>
      </w:r>
    </w:p>
    <w:p>
      <w:pPr>
        <w:numPr>
          <w:ilvl w:val="0"/>
          <w:numId w:val="1370"/>
        </w:numPr>
        <w:pStyle w:val="Compact"/>
      </w:pPr>
      <w:r>
        <w:t xml:space="preserve">Voor Semax, Selank, Dihexa, DSIP, Pinealon, humanine, FOXO4-DRI en MOTS-c is geen betrouwbaar geregistreerde studie met toediening van de werkzame stof vermeld. Voor Epitalon is er alleen een ongecontroleerde studie waarin het een van de vijf bestanddelen van een huidserum is (NCT07888595).</w:t>
      </w:r>
    </w:p>
    <w:p>
      <w:pPr>
        <w:numPr>
          <w:ilvl w:val="0"/>
          <w:numId w:val="1370"/>
        </w:numPr>
        <w:pStyle w:val="Compact"/>
      </w:pPr>
      <w:r>
        <w:t xml:space="preserve">In de VS wordt de indeling van meerdere van deze peptiden voor apotheekbereidingen opnieuw beoordeeld (zie hoofdstukken Semax en Dihexa; Willis 2026, PMID 42752426).</w:t>
      </w:r>
    </w:p>
    <w:p>
      <w:pPr>
        <w:pStyle w:val="FirstParagraph"/>
      </w:pPr>
      <w:r>
        <w:rPr>
          <w:bCs/>
          <w:b/>
        </w:rPr>
        <w:t xml:space="preserve">Inschatting van de auteur:</w:t>
      </w:r>
      <w:r>
        <w:t xml:space="preserve"> </w:t>
      </w:r>
      <w:r>
        <w:t xml:space="preserve">de longevity-peptiden zullen tegen 2035 naar verwachting blijven wat ze nu zijn: stoffen met interessante dierlijke gegevens en een grote online-vraag, maar zonder aangetoond voordeel bij mensen. Onderbouwing: studies naar „gezond ouder worden” vergen vele jaren en duidelijke eindpunten, die er daarvoor nog nauwelijks zijn; geen enkele fabrikant heeft een herkenbaar programma. Mochten Amerikaanse autoriteiten afzonderlijke peptiden vrijgeven voor bereidingen, dan zou dat de verspreiding vergroten zonder de bewijslast te verbeteren. Elamipretide is de enige werkzame stof in deze groep met een realistische weg naar een bredere registratie, en ook dat alleen als ReNEW positief uitvalt.</w:t>
      </w:r>
    </w:p>
    <w:bookmarkEnd w:id="1067"/>
    <w:bookmarkStart w:id="1068" w:name="X96a90e59ff21e15c5efcc7529624f6f16931239"/>
    <w:p>
      <w:pPr>
        <w:pStyle w:val="Heading3"/>
      </w:pPr>
      <w:r>
        <w:t xml:space="preserve">Groep E – hormonen, seksualiteit en pigmentatie</w:t>
      </w:r>
    </w:p>
    <w:p>
      <w:pPr>
        <w:pStyle w:val="FirstParagraph"/>
      </w:pPr>
      <w:r>
        <w:rPr>
          <w:bCs/>
          <w:b/>
        </w:rPr>
        <w:t xml:space="preserve">Vaststaand:</w:t>
      </w:r>
    </w:p>
    <w:p>
      <w:pPr>
        <w:numPr>
          <w:ilvl w:val="0"/>
          <w:numId w:val="1371"/>
        </w:numPr>
        <w:pStyle w:val="Compact"/>
      </w:pPr>
      <w:r>
        <w:t xml:space="preserve">De fase 3-studie naar afamelanotide bij vitiligo met 200 deelnemers was volgens het register in juni 2026 afgerond; peer-reviewed resultaten waren in oktober 2026 niet beschikbaar (NCT06109649).</w:t>
      </w:r>
    </w:p>
    <w:p>
      <w:pPr>
        <w:numPr>
          <w:ilvl w:val="0"/>
          <w:numId w:val="1371"/>
        </w:numPr>
        <w:pStyle w:val="Compact"/>
      </w:pPr>
      <w:r>
        <w:t xml:space="preserve">Kisspeptine wordt onderzocht in kleine fase 2-studies bij aangeboren hormoontekort (NCT05896293, einde mei 2028) en bij hypothalame amenorroe (NCT07224438, einde mei 2030).</w:t>
      </w:r>
    </w:p>
    <w:p>
      <w:pPr>
        <w:numPr>
          <w:ilvl w:val="0"/>
          <w:numId w:val="1371"/>
        </w:numPr>
        <w:pStyle w:val="Compact"/>
      </w:pPr>
      <w:r>
        <w:t xml:space="preserve">Oxytocine-neusspray wordt getest als aanvulling op relatietherapie bij posttraumatische stressstoornis met 240 deelnemers (NCT06194851, einde september 2028).</w:t>
      </w:r>
    </w:p>
    <w:p>
      <w:pPr>
        <w:pStyle w:val="FirstParagraph"/>
      </w:pPr>
      <w:r>
        <w:rPr>
          <w:bCs/>
          <w:b/>
        </w:rPr>
        <w:t xml:space="preserve">Inschatting van de auteur:</w:t>
      </w:r>
      <w:r>
        <w:t xml:space="preserve"> </w:t>
      </w:r>
      <w:r>
        <w:t xml:space="preserve">het meest denkbaar tegen 2030 is een uitbreiding van de registratie van afamelanotide naar vitiligo – als de fase 3-studie positief is. Kisspeptine blijft waarschijnlijk een onderzoeks- en diagnostisch hulpmiddel; een registratie tegen 2035 veronderstelt grotere vergelijkende studies, die tot nu toe ontbreken. Bij oxytocine-neusspray verwacht ik geen registratie voor autisme of sociale angst, hooguit bewijs voor nauw omschreven toepassingen in combinatie met psychotherapie. Melanotan II blijft een grijze-marktproduct.</w:t>
      </w:r>
    </w:p>
    <w:bookmarkEnd w:id="1068"/>
    <w:bookmarkStart w:id="1069" w:name="groep-f-collageen-voeding-en-cosmetica"/>
    <w:p>
      <w:pPr>
        <w:pStyle w:val="Heading3"/>
      </w:pPr>
      <w:r>
        <w:t xml:space="preserve">Groep F – collageen, voeding en cosmetica</w:t>
      </w:r>
    </w:p>
    <w:p>
      <w:pPr>
        <w:pStyle w:val="FirstParagraph"/>
      </w:pPr>
      <w:r>
        <w:rPr>
          <w:bCs/>
          <w:b/>
        </w:rPr>
        <w:t xml:space="preserve">Vaststaand:</w:t>
      </w:r>
    </w:p>
    <w:p>
      <w:pPr>
        <w:numPr>
          <w:ilvl w:val="0"/>
          <w:numId w:val="1372"/>
        </w:numPr>
        <w:pStyle w:val="Compact"/>
      </w:pPr>
      <w:r>
        <w:t xml:space="preserve">Een placebogecontroleerde studie met 204 deelnemers test collageenhydrolysaat bij knieartrose; het primaire eindpunt is pijn (NCT04998188, einde december 2027).</w:t>
      </w:r>
    </w:p>
    <w:p>
      <w:pPr>
        <w:numPr>
          <w:ilvl w:val="0"/>
          <w:numId w:val="1372"/>
        </w:numPr>
        <w:pStyle w:val="Compact"/>
      </w:pPr>
      <w:r>
        <w:t xml:space="preserve">Een fase 1/2-studie met 144 deelnemers onderzoekt carnosine bij perifeer arterieel vaatlijden; het primaire eindpunt is de loopafstand in zes minuten (NCT06480760, einde oktober 2028).</w:t>
      </w:r>
    </w:p>
    <w:p>
      <w:pPr>
        <w:numPr>
          <w:ilvl w:val="0"/>
          <w:numId w:val="1372"/>
        </w:numPr>
        <w:pStyle w:val="Compact"/>
      </w:pPr>
      <w:r>
        <w:t xml:space="preserve">Voor lactotripeptiden, Matrixyl en Argireline is geen lopende studie geregistreerd.</w:t>
      </w:r>
    </w:p>
    <w:p>
      <w:pPr>
        <w:pStyle w:val="FirstParagraph"/>
      </w:pPr>
      <w:r>
        <w:rPr>
          <w:bCs/>
          <w:b/>
        </w:rPr>
        <w:t xml:space="preserve">Inschatting van de auteur:</w:t>
      </w:r>
      <w:r>
        <w:t xml:space="preserve"> </w:t>
      </w:r>
      <w:r>
        <w:t xml:space="preserve">deze groep blijft voeding en cosmetica; registraties als geneesmiddel zijn niet te verwachten, omdat de producten al vrij verkrijgbaar zijn en niemand de kosten van een registratieprogramma zou moeten dragen. Wat zou kunnen veranderen, is de kwaliteit van het bewijs: onafhankelijk gefinancierde, vooraf geregistreerde studies zoals die naar knieartrose zullen laten zien of de kleine effecten uit door fabrikanten gefinancierde studies standhouden. Ik verwacht dat de effecten in zulke studies eerder kleiner uitvallen.</w:t>
      </w:r>
    </w:p>
    <w:bookmarkEnd w:id="1069"/>
    <w:bookmarkStart w:id="1075" w:name="overkoepelende-themas"/>
    <w:p>
      <w:pPr>
        <w:pStyle w:val="Heading3"/>
      </w:pPr>
      <w:r>
        <w:t xml:space="preserve">Overkoepelende thema’s</w:t>
      </w:r>
    </w:p>
    <w:bookmarkStart w:id="1070" w:name="langetermijngegevens"/>
    <w:p>
      <w:pPr>
        <w:pStyle w:val="Heading4"/>
      </w:pPr>
      <w:r>
        <w:t xml:space="preserve">Langetermijngegevens</w:t>
      </w:r>
    </w:p>
    <w:p>
      <w:pPr>
        <w:pStyle w:val="FirstParagraph"/>
      </w:pPr>
      <w:r>
        <w:rPr>
          <w:bCs/>
          <w:b/>
        </w:rPr>
        <w:t xml:space="preserve">Vaststaand:</w:t>
      </w:r>
      <w:r>
        <w:t xml:space="preserve"> </w:t>
      </w:r>
      <w:r>
        <w:t xml:space="preserve">de WHO-richtlijn over GLP-1-therapieën bij obesitas spreekt slechts een voorwaardelijke aanbeveling uit en noemt beperkte langetermijngegevens als een van de redenen (Celletti 2026, PMID 41324410). De lopende eindpuntstudies volgen hun deelnemers meerdere jaren, maar vrijwel geen enkele langer dan tien jaar.</w:t>
      </w:r>
    </w:p>
    <w:p>
      <w:pPr>
        <w:pStyle w:val="BodyText"/>
      </w:pPr>
      <w:r>
        <w:rPr>
          <w:bCs/>
          <w:b/>
        </w:rPr>
        <w:t xml:space="preserve">Inschatting van de auteur:</w:t>
      </w:r>
      <w:r>
        <w:t xml:space="preserve"> </w:t>
      </w:r>
      <w:r>
        <w:t xml:space="preserve">tegen 2035 zullen tienjarige gegevens vooral komen uit nationale registers en gegevens van zorgverzekeraars, niet uit gerandomiseerde studies. Ze zullen zeldzame bijwerkingen beter vastleggen, maar oorzaak en gevolg moeilijker kunnen scheiden. Bij kinderen en jongeren, voor wie meerdere studies tot in de vroege jaren 2030 lopen, is de vraag naar langetermijngevolgen bijzonder dringend.</w:t>
      </w:r>
    </w:p>
    <w:bookmarkEnd w:id="1070"/>
    <w:bookmarkStart w:id="1071" w:name="onderhoudsbehandeling"/>
    <w:p>
      <w:pPr>
        <w:pStyle w:val="Heading4"/>
      </w:pPr>
      <w:r>
        <w:t xml:space="preserve">Onderhoudsbehandeling</w:t>
      </w:r>
    </w:p>
    <w:p>
      <w:pPr>
        <w:pStyle w:val="FirstParagraph"/>
      </w:pPr>
      <w:r>
        <w:rPr>
          <w:bCs/>
          <w:b/>
        </w:rPr>
        <w:t xml:space="preserve">Vaststaand:</w:t>
      </w:r>
      <w:r>
        <w:t xml:space="preserve"> </w:t>
      </w:r>
      <w:r>
        <w:t xml:space="preserve">na het stoppen komt een groot deel van het verloren gewicht terug. In de verlenging van STEP 1 was dat een jaar na het einde van de semaglutidebehandeling gemiddeld twee derde (Wilding 2022, PMID 35441470). In SURMOUNT-4 kwamen deelnemers na de overstap van tirzepatide op placebo in het daaropvolgende jaar 14,0% aan (Aronne 2024, PMID 38078870). De overstap van de injectie op orforglipron behield in ATTAIN-MAINTAIN een groot deel van het gewichtsverlies (Aronne 2026, PMID 42120723). Verdere studies naar gewichtsbehoud lopen (TRIUMPH-6, NCT06859268; overstap op maandelijkse werkzame stoffen, NCT07575399, NCT07845500). Modelberekeningen suggereren dat minder frequente toediening een deel van de werking zou kunnen behouden; dat is tot nu toe niet in studies getest en geen basis voor het eigenmachtig veranderen van de behandeling (Cengiz 2025, PMID 39950222).</w:t>
      </w:r>
    </w:p>
    <w:p>
      <w:pPr>
        <w:pStyle w:val="BodyText"/>
      </w:pPr>
      <w:r>
        <w:rPr>
          <w:bCs/>
          <w:b/>
        </w:rPr>
        <w:t xml:space="preserve">Inschatting van de auteur:</w:t>
      </w:r>
      <w:r>
        <w:t xml:space="preserve"> </w:t>
      </w:r>
      <w:r>
        <w:t xml:space="preserve">tegen 2030 zal een getrapt model de overhand krijgen: eerst een fase met een sterk werkzame stof, daarna onderhoud met een tablet, een maandelijks preparaat of een lagere intensiteit. Onderbouwing: meerdere fabrikanten testen precies deze volgorde, en ze is aantrekkelijk voor betalers. Of het onderhoud levenslang nodig is of bij sommige mensen stoppen zonder grote gewichtstoename lukt, blijft een van de belangrijkste open vragen.</w:t>
      </w:r>
    </w:p>
    <w:bookmarkEnd w:id="1071"/>
    <w:bookmarkStart w:id="1072" w:name="personalisatie"/>
    <w:p>
      <w:pPr>
        <w:pStyle w:val="Heading4"/>
      </w:pPr>
      <w:r>
        <w:t xml:space="preserve">Personalisatie</w:t>
      </w:r>
    </w:p>
    <w:p>
      <w:pPr>
        <w:pStyle w:val="FirstParagraph"/>
      </w:pPr>
      <w:r>
        <w:rPr>
          <w:bCs/>
          <w:b/>
        </w:rPr>
        <w:t xml:space="preserve">Vaststaand:</w:t>
      </w:r>
      <w:r>
        <w:t xml:space="preserve"> </w:t>
      </w:r>
      <w:r>
        <w:t xml:space="preserve">precisiegeneeskunde bij obesitas bestaat al voor zeldzame genetische vormen: setmelanotide is alleen voor bepaalde genetische defecten geregistreerd (zie hoofdstuk Setmelanotide). Orforglipron wordt in een studie met 2.001 deelnemers getest bij overgewicht om de overgang naar obesitas of gevolgziekten te voorkomen (ATTAIN-NOW, NCT07794579, einde september 2030). De WHO kondigt aan als volgende stap criteria op te stellen voor wie bij beperkte middelen het eerst behandeld moet worden (Celletti 2026, PMID 41324410).</w:t>
      </w:r>
    </w:p>
    <w:p>
      <w:pPr>
        <w:pStyle w:val="BodyText"/>
      </w:pPr>
      <w:r>
        <w:rPr>
          <w:bCs/>
          <w:b/>
        </w:rPr>
        <w:t xml:space="preserve">Inschatting van de auteur:</w:t>
      </w:r>
      <w:r>
        <w:t xml:space="preserve"> </w:t>
      </w:r>
      <w:r>
        <w:t xml:space="preserve">een betrouwbare test die vooraf zegt wie goed reageert op welke werkzame stof, is tegen 2030 niet in zicht. Personalisatie zal aanvankelijk pragmatisch zijn: naar bijkomende aandoeningen, verdraagbaarheid, bereidheid tot injecteren en kosten. De vraag of geneesmiddelen al vóór het ontstaan van obesitas moeten worden ingezet, blijft ethisch en economisch omstreden.</w:t>
      </w:r>
    </w:p>
    <w:bookmarkEnd w:id="1072"/>
    <w:bookmarkStart w:id="1073" w:name="regulering-van-de-grijze-markt"/>
    <w:p>
      <w:pPr>
        <w:pStyle w:val="Heading4"/>
      </w:pPr>
      <w:r>
        <w:t xml:space="preserve">Regulering van de grijze markt</w:t>
      </w:r>
    </w:p>
    <w:p>
      <w:pPr>
        <w:pStyle w:val="FirstParagraph"/>
      </w:pPr>
      <w:r>
        <w:rPr>
          <w:bCs/>
          <w:b/>
        </w:rPr>
        <w:t xml:space="preserve">Vaststaand:</w:t>
      </w:r>
      <w:r>
        <w:t xml:space="preserve"> </w:t>
      </w:r>
      <w:r>
        <w:t xml:space="preserve">de laboratoriumanalyses en casusbeschrijvingen uit Deel I en Deel IV laten vervalsingen, verkeerde doseringen en verontreinigingen zien. Inmiddels worden ook niet-geregistreerde werkzame stoffen zoals retatrutide en zenagamtide online verkocht (Rubin 2026, PMID 42853576). In de VS werden apotheekkopieën van semaglutide en tirzepatide na het einde van de tekorten grotendeels beëindigd; gewijzigde bereidingen bestaan nog steeds (Belcourt 2026, PMID 41689811). De indeling van peptiden voor apotheekbereidingen wordt in de VS opnieuw onderhandeld (Willis 2026, PMID 42752426).</w:t>
      </w:r>
    </w:p>
    <w:p>
      <w:pPr>
        <w:pStyle w:val="BodyText"/>
      </w:pPr>
      <w:r>
        <w:rPr>
          <w:bCs/>
          <w:b/>
        </w:rPr>
        <w:t xml:space="preserve">Inschatting van de auteur:</w:t>
      </w:r>
      <w:r>
        <w:t xml:space="preserve"> </w:t>
      </w:r>
      <w:r>
        <w:t xml:space="preserve">de grijze markt zal tegen 2035 niet verdwijnen, maar wel veranderen. Dalende prijzen voor geregistreerde geneesmiddelen zullen de prikkel voor vervalsingen van semaglutide waarschijnlijk verkleinen. Tegelijk zal elke nieuwe werkzame stof die in studies opzien baart, al vóór de registratie als „research peptide” worden aangeboden. Ik verwacht strengere controles op online-handelaren en betaalkanalen in de EU, maar geen werkzame oplossing zolang bestellingen uit landen met zwak toezicht mogelijk zijn.</w:t>
      </w:r>
    </w:p>
    <w:bookmarkEnd w:id="1073"/>
    <w:bookmarkStart w:id="1074" w:name="X61ca28813846e613610cc589e2c7fa7f32713b9"/>
    <w:p>
      <w:pPr>
        <w:pStyle w:val="Heading4"/>
      </w:pPr>
      <w:r>
        <w:t xml:space="preserve">Kunstmatige intelligentie bij het ontwerpen van peptiden</w:t>
      </w:r>
    </w:p>
    <w:p>
      <w:pPr>
        <w:pStyle w:val="FirstParagraph"/>
      </w:pPr>
      <w:r>
        <w:rPr>
          <w:bCs/>
          <w:b/>
        </w:rPr>
        <w:t xml:space="preserve">Vaststaand:</w:t>
      </w:r>
      <w:r>
        <w:t xml:space="preserve"> </w:t>
      </w:r>
      <w:r>
        <w:t xml:space="preserve">tot nu toe komt al het gepubliceerde bewijs uit laboratorium- en dierproeven. Een onderzoeksteam ontwierp met methoden van machine learning 10.000 nieuwe GLP-1-receptoragonisten, selecteerde er op de computer 60 en testte die in het laboratorium; twee kandidaten werkten bij muizen ongeveer drie keer zo lang als semaglutide (Wei 2025, PMID 40787887). Een andere methode ontwierp ringvormige peptiden die gericht binden aan vooraf gekozen eiwitten; de in het laboratorium bepaalde structuren kwamen nauw overeen met de computermodellen (Rettie 2025, PMID 40542165). Met een lerend model werden uit bacteriële peptiden nieuwe antimicrobiële peptiden afgeleid, waarvan er één bij muizen met een infectie van de dij de bacteriële belasting met meer dan 95% verlaagde (Wang 2025, PMID 39825096). Het orale PCSK9-peptide enlicitide werd met een andere high-throughputmethode gevonden en is al in fase 3 (Johns 2023, PMID 37125593; NCT06008756).</w:t>
      </w:r>
    </w:p>
    <w:p>
      <w:pPr>
        <w:pStyle w:val="BodyText"/>
      </w:pPr>
      <w:r>
        <w:rPr>
          <w:bCs/>
          <w:b/>
        </w:rPr>
        <w:t xml:space="preserve">Inschatting van de auteur:</w:t>
      </w:r>
      <w:r>
        <w:t xml:space="preserve"> </w:t>
      </w:r>
      <w:r>
        <w:t xml:space="preserve">tegen 2030 zullen de eerste met AI-methoden ontworpen peptiden in vroege studies bij mensen zijn; een registratie tegen 2035 is mogelijk, maar niet waarschijnlijk, omdat ook een snel gevonden molecuul alle klinische fasen moet doorlopen. AI verkort de zoektocht naar kandidaten, niet het testen bij mensen. Voor lezers betekent dit: aanbiedingen die „AI-geoptimaliseerde peptiden” beloven, zijn reclame, geen bewijs van werkzaamheid.</w:t>
      </w:r>
    </w:p>
    <w:bookmarkEnd w:id="1074"/>
    <w:bookmarkEnd w:id="1075"/>
    <w:bookmarkStart w:id="1076" w:name="X0f5c6e7537f10992b002f544d4f9f2e9b7dbdd7"/>
    <w:p>
      <w:pPr>
        <w:pStyle w:val="Heading3"/>
      </w:pPr>
      <w:r>
        <w:t xml:space="preserve">Tijdlijn: wat er tot 2032 in het register is aangekondigd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Periode</w:t>
            </w:r>
          </w:p>
        </w:tc>
        <w:tc>
          <w:tcPr/>
          <w:p>
            <w:pPr>
              <w:pStyle w:val="Compact"/>
              <w:jc w:val="left"/>
            </w:pPr>
            <w:r>
              <w:t xml:space="preserve">Verwachte gebeurtenis volgens register</w:t>
            </w:r>
          </w:p>
        </w:tc>
        <w:tc>
          <w:tcPr/>
          <w:p>
            <w:pPr>
              <w:pStyle w:val="Compact"/>
              <w:jc w:val="left"/>
            </w:pPr>
            <w:r>
              <w:t xml:space="preserve">Werkzame stof</w:t>
            </w:r>
          </w:p>
        </w:tc>
        <w:tc>
          <w:tcPr/>
          <w:p>
            <w:pPr>
              <w:pStyle w:val="Compact"/>
              <w:jc w:val="left"/>
            </w:pPr>
            <w:r>
              <w:t xml:space="preserve">Studie</w:t>
            </w:r>
          </w:p>
        </w:tc>
      </w:tr>
      <w:tr>
        <w:tc>
          <w:tcPr/>
          <w:p>
            <w:pPr>
              <w:pStyle w:val="Compact"/>
              <w:jc w:val="left"/>
            </w:pPr>
            <w:r>
              <w:t xml:space="preserve">2026/2027</w:t>
            </w:r>
          </w:p>
        </w:tc>
        <w:tc>
          <w:tcPr/>
          <w:p>
            <w:pPr>
              <w:pStyle w:val="Compact"/>
              <w:jc w:val="left"/>
            </w:pPr>
            <w:r>
              <w:t xml:space="preserve">resultaten directe vergelijking met tirzepatide</w:t>
            </w:r>
          </w:p>
        </w:tc>
        <w:tc>
          <w:tcPr/>
          <w:p>
            <w:pPr>
              <w:pStyle w:val="Compact"/>
              <w:jc w:val="left"/>
            </w:pPr>
            <w:r>
              <w:t xml:space="preserve">Retatrutide</w:t>
            </w:r>
          </w:p>
        </w:tc>
        <w:tc>
          <w:tcPr/>
          <w:p>
            <w:pPr>
              <w:pStyle w:val="Compact"/>
              <w:jc w:val="left"/>
            </w:pPr>
            <w:r>
              <w:t xml:space="preserve">NCT06662383</w:t>
            </w:r>
          </w:p>
        </w:tc>
      </w:tr>
      <w:tr>
        <w:tc>
          <w:tcPr/>
          <w:p>
            <w:pPr>
              <w:pStyle w:val="Compact"/>
              <w:jc w:val="left"/>
            </w:pPr>
            <w:r>
              <w:t xml:space="preserve">2027</w:t>
            </w:r>
          </w:p>
        </w:tc>
        <w:tc>
          <w:tcPr/>
          <w:p>
            <w:pPr>
              <w:pStyle w:val="Compact"/>
              <w:jc w:val="left"/>
            </w:pPr>
            <w:r>
              <w:t xml:space="preserve">cardiovasculaire resultaten zonder diabetes</w:t>
            </w:r>
          </w:p>
        </w:tc>
        <w:tc>
          <w:tcPr/>
          <w:p>
            <w:pPr>
              <w:pStyle w:val="Compact"/>
              <w:jc w:val="left"/>
            </w:pPr>
            <w:r>
              <w:t xml:space="preserve">Tirzepatide</w:t>
            </w:r>
          </w:p>
        </w:tc>
        <w:tc>
          <w:tcPr/>
          <w:p>
            <w:pPr>
              <w:pStyle w:val="Compact"/>
              <w:jc w:val="left"/>
            </w:pPr>
            <w:r>
              <w:t xml:space="preserve">NCT05556512</w:t>
            </w:r>
          </w:p>
        </w:tc>
      </w:tr>
      <w:tr>
        <w:tc>
          <w:tcPr/>
          <w:p>
            <w:pPr>
              <w:pStyle w:val="Compact"/>
              <w:jc w:val="left"/>
            </w:pPr>
            <w:r>
              <w:t xml:space="preserve">2027</w:t>
            </w:r>
          </w:p>
        </w:tc>
        <w:tc>
          <w:tcPr/>
          <w:p>
            <w:pPr>
              <w:pStyle w:val="Compact"/>
              <w:jc w:val="left"/>
            </w:pPr>
            <w:r>
              <w:t xml:space="preserve">cardiovasculaire resultaten</w:t>
            </w:r>
          </w:p>
        </w:tc>
        <w:tc>
          <w:tcPr/>
          <w:p>
            <w:pPr>
              <w:pStyle w:val="Compact"/>
              <w:jc w:val="left"/>
            </w:pPr>
            <w:r>
              <w:t xml:space="preserve">CagriSema</w:t>
            </w:r>
          </w:p>
        </w:tc>
        <w:tc>
          <w:tcPr/>
          <w:p>
            <w:pPr>
              <w:pStyle w:val="Compact"/>
              <w:jc w:val="left"/>
            </w:pPr>
            <w:r>
              <w:t xml:space="preserve">NCT05669755</w:t>
            </w:r>
          </w:p>
        </w:tc>
      </w:tr>
      <w:tr>
        <w:tc>
          <w:tcPr/>
          <w:p>
            <w:pPr>
              <w:pStyle w:val="Compact"/>
              <w:jc w:val="left"/>
            </w:pPr>
            <w:r>
              <w:t xml:space="preserve">2027</w:t>
            </w:r>
          </w:p>
        </w:tc>
        <w:tc>
          <w:tcPr/>
          <w:p>
            <w:pPr>
              <w:pStyle w:val="Compact"/>
              <w:jc w:val="left"/>
            </w:pPr>
            <w:r>
              <w:t xml:space="preserve">nazorg na darmkanker</w:t>
            </w:r>
          </w:p>
        </w:tc>
        <w:tc>
          <w:tcPr/>
          <w:p>
            <w:pPr>
              <w:pStyle w:val="Compact"/>
              <w:jc w:val="left"/>
            </w:pPr>
            <w:r>
              <w:t xml:space="preserve">Thymosine alfa-1</w:t>
            </w:r>
          </w:p>
        </w:tc>
        <w:tc>
          <w:tcPr/>
          <w:p>
            <w:pPr>
              <w:pStyle w:val="Compact"/>
              <w:jc w:val="left"/>
            </w:pPr>
            <w:r>
              <w:t xml:space="preserve">NCT05086614</w:t>
            </w:r>
          </w:p>
        </w:tc>
      </w:tr>
      <w:tr>
        <w:tc>
          <w:tcPr/>
          <w:p>
            <w:pPr>
              <w:pStyle w:val="Compact"/>
              <w:jc w:val="left"/>
            </w:pPr>
            <w:r>
              <w:t xml:space="preserve">2027</w:t>
            </w:r>
          </w:p>
        </w:tc>
        <w:tc>
          <w:tcPr/>
          <w:p>
            <w:pPr>
              <w:pStyle w:val="Compact"/>
              <w:jc w:val="left"/>
            </w:pPr>
            <w:r>
              <w:t xml:space="preserve">maculadegeneratie</w:t>
            </w:r>
          </w:p>
        </w:tc>
        <w:tc>
          <w:tcPr/>
          <w:p>
            <w:pPr>
              <w:pStyle w:val="Compact"/>
              <w:jc w:val="left"/>
            </w:pPr>
            <w:r>
              <w:t xml:space="preserve">Elamipretide</w:t>
            </w:r>
          </w:p>
        </w:tc>
        <w:tc>
          <w:tcPr/>
          <w:p>
            <w:pPr>
              <w:pStyle w:val="Compact"/>
              <w:jc w:val="left"/>
            </w:pPr>
            <w:r>
              <w:t xml:space="preserve">NCT06373731</w:t>
            </w:r>
          </w:p>
        </w:tc>
      </w:tr>
      <w:tr>
        <w:tc>
          <w:tcPr/>
          <w:p>
            <w:pPr>
              <w:pStyle w:val="Compact"/>
              <w:jc w:val="left"/>
            </w:pPr>
            <w:r>
              <w:t xml:space="preserve">2028</w:t>
            </w:r>
          </w:p>
        </w:tc>
        <w:tc>
          <w:tcPr/>
          <w:p>
            <w:pPr>
              <w:pStyle w:val="Compact"/>
              <w:jc w:val="left"/>
            </w:pPr>
            <w:r>
              <w:t xml:space="preserve">groei bij kinderen</w:t>
            </w:r>
          </w:p>
        </w:tc>
        <w:tc>
          <w:tcPr/>
          <w:p>
            <w:pPr>
              <w:pStyle w:val="Compact"/>
              <w:jc w:val="left"/>
            </w:pPr>
            <w:r>
              <w:t xml:space="preserve">Ibutamoren (LUM-201)</w:t>
            </w:r>
          </w:p>
        </w:tc>
        <w:tc>
          <w:tcPr/>
          <w:p>
            <w:pPr>
              <w:pStyle w:val="Compact"/>
              <w:jc w:val="left"/>
            </w:pPr>
            <w:r>
              <w:t xml:space="preserve">NCT06948214</w:t>
            </w:r>
          </w:p>
        </w:tc>
      </w:tr>
      <w:tr>
        <w:tc>
          <w:tcPr/>
          <w:p>
            <w:pPr>
              <w:pStyle w:val="Compact"/>
              <w:jc w:val="left"/>
            </w:pPr>
            <w:r>
              <w:t xml:space="preserve">2029</w:t>
            </w:r>
          </w:p>
        </w:tc>
        <w:tc>
          <w:tcPr/>
          <w:p>
            <w:pPr>
              <w:pStyle w:val="Compact"/>
              <w:jc w:val="left"/>
            </w:pPr>
            <w:r>
              <w:t xml:space="preserve">hart- en niergebeurtenissen</w:t>
            </w:r>
          </w:p>
        </w:tc>
        <w:tc>
          <w:tcPr/>
          <w:p>
            <w:pPr>
              <w:pStyle w:val="Compact"/>
              <w:jc w:val="left"/>
            </w:pPr>
            <w:r>
              <w:t xml:space="preserve">Retatrutide</w:t>
            </w:r>
          </w:p>
        </w:tc>
        <w:tc>
          <w:tcPr/>
          <w:p>
            <w:pPr>
              <w:pStyle w:val="Compact"/>
              <w:jc w:val="left"/>
            </w:pPr>
            <w:r>
              <w:t xml:space="preserve">NCT06383390</w:t>
            </w:r>
          </w:p>
        </w:tc>
      </w:tr>
      <w:tr>
        <w:tc>
          <w:tcPr/>
          <w:p>
            <w:pPr>
              <w:pStyle w:val="Compact"/>
              <w:jc w:val="left"/>
            </w:pPr>
            <w:r>
              <w:t xml:space="preserve">2030</w:t>
            </w:r>
          </w:p>
        </w:tc>
        <w:tc>
          <w:tcPr/>
          <w:p>
            <w:pPr>
              <w:pStyle w:val="Compact"/>
              <w:jc w:val="left"/>
            </w:pPr>
            <w:r>
              <w:t xml:space="preserve">cardiovasculaire resultaten, hartfalen</w:t>
            </w:r>
          </w:p>
        </w:tc>
        <w:tc>
          <w:tcPr/>
          <w:p>
            <w:pPr>
              <w:pStyle w:val="Compact"/>
              <w:jc w:val="left"/>
            </w:pPr>
            <w:r>
              <w:t xml:space="preserve">Maridebart cafraglutide</w:t>
            </w:r>
          </w:p>
        </w:tc>
        <w:tc>
          <w:tcPr/>
          <w:p>
            <w:pPr>
              <w:pStyle w:val="Compact"/>
              <w:jc w:val="left"/>
            </w:pPr>
            <w:r>
              <w:t xml:space="preserve">NCT07037433, NCT07037459</w:t>
            </w:r>
          </w:p>
        </w:tc>
      </w:tr>
      <w:tr>
        <w:tc>
          <w:tcPr/>
          <w:p>
            <w:pPr>
              <w:pStyle w:val="Compact"/>
              <w:jc w:val="left"/>
            </w:pPr>
            <w:r>
              <w:t xml:space="preserve">2030</w:t>
            </w:r>
          </w:p>
        </w:tc>
        <w:tc>
          <w:tcPr/>
          <w:p>
            <w:pPr>
              <w:pStyle w:val="Compact"/>
              <w:jc w:val="left"/>
            </w:pPr>
            <w:r>
              <w:t xml:space="preserve">cardiovasculaire resultaten</w:t>
            </w:r>
          </w:p>
        </w:tc>
        <w:tc>
          <w:tcPr/>
          <w:p>
            <w:pPr>
              <w:pStyle w:val="Compact"/>
              <w:jc w:val="left"/>
            </w:pPr>
            <w:r>
              <w:t xml:space="preserve">Zenagamtide</w:t>
            </w:r>
          </w:p>
        </w:tc>
        <w:tc>
          <w:tcPr/>
          <w:p>
            <w:pPr>
              <w:pStyle w:val="Compact"/>
              <w:jc w:val="left"/>
            </w:pPr>
            <w:r>
              <w:t xml:space="preserve">NCT07861100</w:t>
            </w:r>
          </w:p>
        </w:tc>
      </w:tr>
      <w:tr>
        <w:tc>
          <w:tcPr/>
          <w:p>
            <w:pPr>
              <w:pStyle w:val="Compact"/>
              <w:jc w:val="left"/>
            </w:pPr>
            <w:r>
              <w:t xml:space="preserve">2031</w:t>
            </w:r>
          </w:p>
        </w:tc>
        <w:tc>
          <w:tcPr/>
          <w:p>
            <w:pPr>
              <w:pStyle w:val="Compact"/>
              <w:jc w:val="left"/>
            </w:pPr>
            <w:r>
              <w:t xml:space="preserve">cardiovasculaire resultaten</w:t>
            </w:r>
          </w:p>
        </w:tc>
        <w:tc>
          <w:tcPr/>
          <w:p>
            <w:pPr>
              <w:pStyle w:val="Compact"/>
              <w:jc w:val="left"/>
            </w:pPr>
            <w:r>
              <w:t xml:space="preserve">Orforglipron</w:t>
            </w:r>
          </w:p>
        </w:tc>
        <w:tc>
          <w:tcPr/>
          <w:p>
            <w:pPr>
              <w:pStyle w:val="Compact"/>
              <w:jc w:val="left"/>
            </w:pPr>
            <w:r>
              <w:t xml:space="preserve">NCT07241390</w:t>
            </w:r>
          </w:p>
        </w:tc>
      </w:tr>
      <w:tr>
        <w:tc>
          <w:tcPr/>
          <w:p>
            <w:pPr>
              <w:pStyle w:val="Compact"/>
              <w:jc w:val="left"/>
            </w:pPr>
            <w:r>
              <w:t xml:space="preserve">2031</w:t>
            </w:r>
          </w:p>
        </w:tc>
        <w:tc>
          <w:tcPr/>
          <w:p>
            <w:pPr>
              <w:pStyle w:val="Compact"/>
              <w:jc w:val="left"/>
            </w:pPr>
            <w:r>
              <w:t xml:space="preserve">cardiovasculaire resultaten</w:t>
            </w:r>
          </w:p>
        </w:tc>
        <w:tc>
          <w:tcPr/>
          <w:p>
            <w:pPr>
              <w:pStyle w:val="Compact"/>
              <w:jc w:val="left"/>
            </w:pPr>
            <w:r>
              <w:t xml:space="preserve">Enlicitide (oraal peptide)</w:t>
            </w:r>
          </w:p>
        </w:tc>
        <w:tc>
          <w:tcPr/>
          <w:p>
            <w:pPr>
              <w:pStyle w:val="Compact"/>
              <w:jc w:val="left"/>
            </w:pPr>
            <w:r>
              <w:t xml:space="preserve">NCT06008756</w:t>
            </w:r>
          </w:p>
        </w:tc>
      </w:tr>
      <w:tr>
        <w:tc>
          <w:tcPr/>
          <w:p>
            <w:pPr>
              <w:pStyle w:val="Compact"/>
              <w:jc w:val="left"/>
            </w:pPr>
            <w:r>
              <w:t xml:space="preserve">2032</w:t>
            </w:r>
          </w:p>
        </w:tc>
        <w:tc>
          <w:tcPr/>
          <w:p>
            <w:pPr>
              <w:pStyle w:val="Compact"/>
              <w:jc w:val="left"/>
            </w:pPr>
            <w:r>
              <w:t xml:space="preserve">ernstige levergebeurtenissen</w:t>
            </w:r>
          </w:p>
        </w:tc>
        <w:tc>
          <w:tcPr/>
          <w:p>
            <w:pPr>
              <w:pStyle w:val="Compact"/>
              <w:jc w:val="left"/>
            </w:pPr>
            <w:r>
              <w:t xml:space="preserve">Tirzepatide, retatrutide</w:t>
            </w:r>
          </w:p>
        </w:tc>
        <w:tc>
          <w:tcPr/>
          <w:p>
            <w:pPr>
              <w:pStyle w:val="Compact"/>
              <w:jc w:val="left"/>
            </w:pPr>
            <w:r>
              <w:t xml:space="preserve">NCT07165028</w:t>
            </w:r>
          </w:p>
        </w:tc>
      </w:tr>
    </w:tbl>
    <w:p>
      <w:pPr>
        <w:pStyle w:val="BodyText"/>
      </w:pPr>
      <w:r>
        <w:t xml:space="preserve">De jaartallen zijn de in het register vermelde einddata van de studies. Publicaties volgen meestal later, en verschuivingen komen vaak voor.</w:t>
      </w:r>
    </w:p>
    <w:bookmarkEnd w:id="1076"/>
    <w:bookmarkStart w:id="1077" w:name="conclusie-van-het-boek"/>
    <w:p>
      <w:pPr>
        <w:pStyle w:val="Heading3"/>
      </w:pPr>
      <w:r>
        <w:t xml:space="preserve">Conclusie van het boek</w:t>
      </w:r>
    </w:p>
    <w:p>
      <w:pPr>
        <w:pStyle w:val="FirstParagraph"/>
      </w:pPr>
      <w:r>
        <w:t xml:space="preserve">Van de peptiden in dit boek hebben er maar weinig in grote studies bij mensen bewezen wat ze kunnen – voorop de op GLP-1 gebaseerde geneesmiddelen, waarvan het voordeel is aangetoond tot en met minder cardiovasculaire gebeurtenissen. Voor de meeste peptiden die op internet worden aangeprezen als wondermiddel voor herstel, spieren of een lang leven, zijn er daarentegen alleen dierproeven, kleine studies of helemaal geen gegevens – en ook geen lopende grote studie die dat binnenkort zou veranderen. De toekomst van de peptidegeneeskunde wordt daarom niet in webwinkels beslist, maar in de eindpuntstudies die tussen 2027 en 2032 eindigen. Wie belangstelling heeft voor een peptide, doet er het best aan drie vragen te stellen: zijn er gerandomiseerde studies bij mensen, is het product een getest geneesmiddel, en begeleidt een arts het gebruik?</w:t>
      </w:r>
    </w:p>
    <w:bookmarkEnd w:id="1077"/>
    <w:bookmarkEnd w:id="1078"/>
    <w:bookmarkEnd w:id="1079"/>
    <w:bookmarkStart w:id="1099" w:name="woordenlijst"/>
    <w:p>
      <w:pPr>
        <w:pStyle w:val="Heading1"/>
      </w:pPr>
      <w:r>
        <w:t xml:space="preserve">Woordenlijst</w:t>
      </w:r>
    </w:p>
    <w:p>
      <w:pPr>
        <w:pStyle w:val="FirstParagraph"/>
      </w:pPr>
      <w:r>
        <w:t xml:space="preserve">De volgende uitleg is bewust kort gehouden. Uitgebreidere toelichtingen vindt u in de hoofdstukken van Deel I, met name in „Wat peptiden zijn – en wat niet” en „Studies goed lezen”.</w:t>
      </w:r>
    </w:p>
    <w:bookmarkStart w:id="1080" w:name="a"/>
    <w:p>
      <w:pPr>
        <w:pStyle w:val="Heading3"/>
      </w:pPr>
      <w:r>
        <w:t xml:space="preserve">A</w:t>
      </w:r>
    </w:p>
    <w:p>
      <w:pPr>
        <w:pStyle w:val="FirstParagraph"/>
      </w:pPr>
      <w:r>
        <w:rPr>
          <w:bCs/>
          <w:b/>
        </w:rPr>
        <w:t xml:space="preserve">Absolute risicoreductie</w:t>
      </w:r>
      <w:r>
        <w:t xml:space="preserve">: Het verschil in de frequentie van een gebeurtenis tussen twee groepen, uitgedrukt in procentpunten. Daalt een risico van 8% naar 6,5%, dan bedraagt de absolute risicoreductie 1,5 procentpunt.</w:t>
      </w:r>
    </w:p>
    <w:p>
      <w:pPr>
        <w:pStyle w:val="BodyText"/>
      </w:pPr>
      <w:r>
        <w:rPr>
          <w:bCs/>
          <w:b/>
        </w:rPr>
        <w:t xml:space="preserve">Acromegalie</w:t>
      </w:r>
      <w:r>
        <w:t xml:space="preserve">: Aandoening door een blijvende overproductie van groeihormoon op volwassen leeftijd, meestal door een goedaardige tumor van de hypofyse. Typisch zijn vergrote handen, voeten en gelaatstrekken.</w:t>
      </w:r>
    </w:p>
    <w:p>
      <w:pPr>
        <w:pStyle w:val="BodyText"/>
      </w:pPr>
      <w:r>
        <w:rPr>
          <w:bCs/>
          <w:b/>
        </w:rPr>
        <w:t xml:space="preserve">Agonist</w:t>
      </w:r>
      <w:r>
        <w:t xml:space="preserve">: Een stof die aan een receptor bindt en die activeert, dus een signaal uitlokt. Semaglutide is bijvoorbeeld een agonist van de GLP-1-receptor.</w:t>
      </w:r>
    </w:p>
    <w:p>
      <w:pPr>
        <w:pStyle w:val="BodyText"/>
      </w:pPr>
      <w:r>
        <w:rPr>
          <w:bCs/>
          <w:b/>
        </w:rPr>
        <w:t xml:space="preserve">Albumine</w:t>
      </w:r>
      <w:r>
        <w:t xml:space="preserve">: Het meest voorkomende eiwit in het bloedplasma. Sommige peptidegeneesmiddelen zijn zo gebouwd dat ze zich aan albumine binden en daardoor langer in het lichaam blijven.</w:t>
      </w:r>
    </w:p>
    <w:p>
      <w:pPr>
        <w:pStyle w:val="BodyText"/>
      </w:pPr>
      <w:r>
        <w:rPr>
          <w:bCs/>
          <w:b/>
        </w:rPr>
        <w:t xml:space="preserve">Aminozuur</w:t>
      </w:r>
      <w:r>
        <w:t xml:space="preserve">: Basisbouwsteen van peptiden en eiwitten. De mens gebruikt in wezen 20 standaardaminozuren, die via peptidebindingen tot ketens worden verbonden.</w:t>
      </w:r>
    </w:p>
    <w:p>
      <w:pPr>
        <w:pStyle w:val="BodyText"/>
      </w:pPr>
      <w:r>
        <w:rPr>
          <w:bCs/>
          <w:b/>
        </w:rPr>
        <w:t xml:space="preserve">Amyline</w:t>
      </w:r>
      <w:r>
        <w:t xml:space="preserve">: Een peptidehormoon dat samen met insuline door de alvleesklier wordt afgegeven en onder meer verzadiging en maaglediging beïnvloedt. Varianten zoals pramlintide en cagrilintide worden als geneesmiddel gebruikt of onderzocht.</w:t>
      </w:r>
    </w:p>
    <w:p>
      <w:pPr>
        <w:pStyle w:val="BodyText"/>
      </w:pPr>
      <w:r>
        <w:rPr>
          <w:bCs/>
          <w:b/>
        </w:rPr>
        <w:t xml:space="preserve">Analoog</w:t>
      </w:r>
      <w:r>
        <w:t xml:space="preserve">: Een molecuul dat is nagebouwd naar een natuurlijk voorbeeld, maar gericht is gewijzigd – bijvoorbeeld om het stabieler of langer werkzaam te maken.</w:t>
      </w:r>
    </w:p>
    <w:p>
      <w:pPr>
        <w:pStyle w:val="BodyText"/>
      </w:pPr>
      <w:r>
        <w:rPr>
          <w:bCs/>
          <w:b/>
        </w:rPr>
        <w:t xml:space="preserve">Angiogenese</w:t>
      </w:r>
      <w:r>
        <w:t xml:space="preserve">: Vorming van nieuwe bloedvaten. Ze is belangrijk voor wondgenezing, maar kan ook de groei van tumoren bevorderen.</w:t>
      </w:r>
    </w:p>
    <w:p>
      <w:pPr>
        <w:pStyle w:val="BodyText"/>
      </w:pPr>
      <w:r>
        <w:rPr>
          <w:bCs/>
          <w:b/>
        </w:rPr>
        <w:t xml:space="preserve">Antagonist</w:t>
      </w:r>
      <w:r>
        <w:t xml:space="preserve">: Een stof die aan een receptor bindt zonder die te activeren, en daardoor de werking van lichaamseigen signaalstoffen blokkeert.</w:t>
      </w:r>
    </w:p>
    <w:p>
      <w:pPr>
        <w:pStyle w:val="BodyText"/>
      </w:pPr>
      <w:r>
        <w:rPr>
          <w:bCs/>
          <w:b/>
        </w:rPr>
        <w:t xml:space="preserve">Antimicrobiële peptiden</w:t>
      </w:r>
      <w:r>
        <w:t xml:space="preserve">: Lichaamseigen peptiden die deel uitmaken van de aangeboren afweer en bacteriën, schimmels of virussen kunnen beschadigen. Een voorbeeld is LL-37.</w:t>
      </w:r>
    </w:p>
    <w:p>
      <w:pPr>
        <w:pStyle w:val="BodyText"/>
      </w:pPr>
      <w:r>
        <w:rPr>
          <w:bCs/>
          <w:b/>
        </w:rPr>
        <w:t xml:space="preserve">Antistoffen (antilichamen)</w:t>
      </w:r>
      <w:r>
        <w:t xml:space="preserve">: Eiwitmoleculen van het immuunsysteem die gericht aan vreemde structuren binden. Antistoffen die tegen peptidegeneesmiddelen worden gevormd, kunnen de werking ervan verzwakken of reacties uitlokken.</w:t>
      </w:r>
    </w:p>
    <w:bookmarkEnd w:id="1080"/>
    <w:bookmarkStart w:id="1081" w:name="b"/>
    <w:p>
      <w:pPr>
        <w:pStyle w:val="Heading3"/>
      </w:pPr>
      <w:r>
        <w:t xml:space="preserve">B</w:t>
      </w:r>
    </w:p>
    <w:p>
      <w:pPr>
        <w:pStyle w:val="FirstParagraph"/>
      </w:pPr>
      <w:r>
        <w:rPr>
          <w:bCs/>
          <w:b/>
        </w:rPr>
        <w:t xml:space="preserve">Belangenconflict</w:t>
      </w:r>
      <w:r>
        <w:t xml:space="preserve">: Een situatie waarin financiële of andere belangen het oordeel van onderzoekers of auteurs zouden kunnen beïnvloeden, bijvoorbeeld door financiering van een studie door de fabrikant.</w:t>
      </w:r>
    </w:p>
    <w:p>
      <w:pPr>
        <w:pStyle w:val="BodyText"/>
      </w:pPr>
      <w:r>
        <w:rPr>
          <w:bCs/>
          <w:b/>
        </w:rPr>
        <w:t xml:space="preserve">Betrouwbaarheidsinterval</w:t>
      </w:r>
      <w:r>
        <w:t xml:space="preserve">: Een bereik rond een studieresultaat waarbinnen de werkelijke waarde met een bepaalde waarschijnlijkheid (meestal 95%) ligt. Brede intervallen wijzen op een onzekere schatting.</w:t>
      </w:r>
    </w:p>
    <w:p>
      <w:pPr>
        <w:pStyle w:val="BodyText"/>
      </w:pPr>
      <w:r>
        <w:rPr>
          <w:bCs/>
          <w:b/>
        </w:rPr>
        <w:t xml:space="preserve">Bewijsniveau</w:t>
      </w:r>
      <w:r>
        <w:t xml:space="preserve">: In dit boek een indeling van A tot D die aangeeft hoe goed de werking van een peptide bij de mens is aangetoond. A staat voor meerdere grote gerandomiseerde studies en registratie, D voor uitsluitend dier- en laboratoriumstudies.</w:t>
      </w:r>
    </w:p>
    <w:p>
      <w:pPr>
        <w:pStyle w:val="BodyText"/>
      </w:pPr>
      <w:r>
        <w:rPr>
          <w:bCs/>
          <w:b/>
        </w:rPr>
        <w:t xml:space="preserve">Bewijspiramide</w:t>
      </w:r>
      <w:r>
        <w:t xml:space="preserve">: Een rangorde van studietypen naar hun zeggingskracht, van laboratorium- en dierstudies onderaan tot meta-analyses van gerandomiseerde studies bovenaan.</w:t>
      </w:r>
    </w:p>
    <w:p>
      <w:pPr>
        <w:pStyle w:val="BodyText"/>
      </w:pPr>
      <w:r>
        <w:rPr>
          <w:bCs/>
          <w:b/>
        </w:rPr>
        <w:t xml:space="preserve">Biologische beschikbaarheid</w:t>
      </w:r>
      <w:r>
        <w:t xml:space="preserve">: Het deel van een toegediende werkzame stof dat onveranderd in de bloedsomloop terechtkomt. Bij een infuus in een ader bedraagt die 100%, bij peptidetabletten vaak maar enkele procenten of minder.</w:t>
      </w:r>
    </w:p>
    <w:p>
      <w:pPr>
        <w:pStyle w:val="BodyText"/>
      </w:pPr>
      <w:r>
        <w:rPr>
          <w:bCs/>
          <w:b/>
        </w:rPr>
        <w:t xml:space="preserve">Biologisch geneesmiddel (biological)</w:t>
      </w:r>
      <w:r>
        <w:t xml:space="preserve">: Een geneesmiddel waarvan de werkzame stof met behulp van levende cellen wordt geproduceerd, bijvoorbeeld genetisch gemodificeerd in bacteriën of zoogdiercellen. Veel grotere peptiden en alle antistofgeneesmiddelen behoren daartoe.</w:t>
      </w:r>
    </w:p>
    <w:p>
      <w:pPr>
        <w:pStyle w:val="BodyText"/>
      </w:pPr>
      <w:r>
        <w:rPr>
          <w:bCs/>
          <w:b/>
        </w:rPr>
        <w:t xml:space="preserve">Biosimilar</w:t>
      </w:r>
      <w:r>
        <w:t xml:space="preserve">: Een opvolgerpreparaat van een biologisch geneesmiddel na afloop van de octrooibescherming. Het moet aantoonbaar zeer sterk op het origineel lijken wat kwaliteit, werkzaamheid en veiligheid betreft.</w:t>
      </w:r>
    </w:p>
    <w:p>
      <w:pPr>
        <w:pStyle w:val="BodyText"/>
      </w:pPr>
      <w:r>
        <w:rPr>
          <w:bCs/>
          <w:b/>
        </w:rPr>
        <w:t xml:space="preserve">Blindering</w:t>
      </w:r>
      <w:r>
        <w:t xml:space="preserve">: Het verbergen van de groepstoewijzing voor deelnemers en/of studiepersoneel, om effecten van verwachtingen te vermijden.</w:t>
      </w:r>
    </w:p>
    <w:p>
      <w:pPr>
        <w:pStyle w:val="BodyText"/>
      </w:pPr>
      <w:r>
        <w:rPr>
          <w:bCs/>
          <w:b/>
        </w:rPr>
        <w:t xml:space="preserve">BMI (body-mass-index)</w:t>
      </w:r>
      <w:r>
        <w:t xml:space="preserve">: Lichaamsgewicht in kilogram gedeeld door het kwadraat van de lichaamslengte in meter. Grove maat voor onder-, normaal en overgewicht.</w:t>
      </w:r>
    </w:p>
    <w:bookmarkEnd w:id="1081"/>
    <w:bookmarkStart w:id="1082" w:name="c"/>
    <w:p>
      <w:pPr>
        <w:pStyle w:val="Heading3"/>
      </w:pPr>
      <w:r>
        <w:t xml:space="preserve">C</w:t>
      </w:r>
    </w:p>
    <w:p>
      <w:pPr>
        <w:pStyle w:val="FirstParagraph"/>
      </w:pPr>
      <w:r>
        <w:rPr>
          <w:bCs/>
          <w:b/>
        </w:rPr>
        <w:t xml:space="preserve">Casusbeschrijving</w:t>
      </w:r>
      <w:r>
        <w:t xml:space="preserve">: De beschrijving van één enkel ziektegeval in een vaktijdschrift. Casusbeschrijvingen zijn belangrijk om zeldzame bijwerkingen te herkennen, maar zeggen weinig over werkzaamheid.</w:t>
      </w:r>
    </w:p>
    <w:p>
      <w:pPr>
        <w:pStyle w:val="BodyText"/>
      </w:pPr>
      <w:r>
        <w:rPr>
          <w:bCs/>
          <w:b/>
        </w:rPr>
        <w:t xml:space="preserve">Cohortstudie</w:t>
      </w:r>
      <w:r>
        <w:t xml:space="preserve">: Een observationele studie die een groep mensen langdurig volgt en vergelijkt hoe vaak bepaalde gebeurtenissen optreden bij verschillende kenmerken of behandelingen.</w:t>
      </w:r>
    </w:p>
    <w:p>
      <w:pPr>
        <w:pStyle w:val="BodyText"/>
      </w:pPr>
      <w:r>
        <w:rPr>
          <w:bCs/>
          <w:b/>
        </w:rPr>
        <w:t xml:space="preserve">Compounding</w:t>
      </w:r>
      <w:r>
        <w:t xml:space="preserve">: In de VS het zelf bereiden van geneesmiddelen door apotheken, bijvoorbeeld bij leveringstekorten. Zulke bereidingen zijn geen geregistreerde, industrieel vervaardigde geneesmiddelen.</w:t>
      </w:r>
    </w:p>
    <w:p>
      <w:pPr>
        <w:pStyle w:val="BodyText"/>
      </w:pPr>
      <w:r>
        <w:rPr>
          <w:bCs/>
          <w:b/>
        </w:rPr>
        <w:t xml:space="preserve">Confounding (verstorende variabele)</w:t>
      </w:r>
      <w:r>
        <w:t xml:space="preserve">: Een factor die zowel met een behandeling als met een uitkomst samenhangt en zo een schijnbaar verband kan veroorzaken. Typisch probleem van observationele studies.</w:t>
      </w:r>
    </w:p>
    <w:p>
      <w:pPr>
        <w:pStyle w:val="BodyText"/>
      </w:pPr>
      <w:r>
        <w:rPr>
          <w:bCs/>
          <w:b/>
        </w:rPr>
        <w:t xml:space="preserve">Controlegroep</w:t>
      </w:r>
      <w:r>
        <w:t xml:space="preserve">: De vergelijkingsgroep in een studie, die geen werkzame stof, een placebo of een standaardbehandeling krijgt.</w:t>
      </w:r>
    </w:p>
    <w:p>
      <w:pPr>
        <w:pStyle w:val="BodyText"/>
      </w:pPr>
      <w:r>
        <w:rPr>
          <w:bCs/>
          <w:b/>
        </w:rPr>
        <w:t xml:space="preserve">Cosmetisch product</w:t>
      </w:r>
      <w:r>
        <w:t xml:space="preserve">: Een product voor uitwendig gebruik dat reinigt, verzorgt, beschermt of het uiterlijk verandert. Het mag geen geneeskundige werking claimen en heeft in de EU geen registratie nodig.</w:t>
      </w:r>
    </w:p>
    <w:p>
      <w:pPr>
        <w:pStyle w:val="BodyText"/>
      </w:pPr>
      <w:r>
        <w:rPr>
          <w:bCs/>
          <w:b/>
        </w:rPr>
        <w:t xml:space="preserve">C-terminus</w:t>
      </w:r>
      <w:r>
        <w:t xml:space="preserve">: Het uiteinde van een peptideketen met de vrije zuurgroep. Peptidesequenties worden van de N-terminus naar de C-terminus geschreven.</w:t>
      </w:r>
    </w:p>
    <w:p>
      <w:pPr>
        <w:pStyle w:val="BodyText"/>
      </w:pPr>
      <w:r>
        <w:rPr>
          <w:bCs/>
          <w:b/>
        </w:rPr>
        <w:t xml:space="preserve">Cyclisch peptide</w:t>
      </w:r>
      <w:r>
        <w:t xml:space="preserve">: Een peptide waarvan de keten tot een ring is gesloten. Ringstructuren maken peptiden vaak stabieler tegenover enzymen.</w:t>
      </w:r>
    </w:p>
    <w:bookmarkEnd w:id="1082"/>
    <w:bookmarkStart w:id="1083" w:name="d"/>
    <w:p>
      <w:pPr>
        <w:pStyle w:val="Heading3"/>
      </w:pPr>
      <w:r>
        <w:t xml:space="preserve">D</w:t>
      </w:r>
    </w:p>
    <w:p>
      <w:pPr>
        <w:pStyle w:val="FirstParagraph"/>
      </w:pPr>
      <w:r>
        <w:rPr>
          <w:bCs/>
          <w:b/>
        </w:rPr>
        <w:t xml:space="preserve">Dalton</w:t>
      </w:r>
      <w:r>
        <w:t xml:space="preserve">: Eenheid voor de massa van moleculen. Een aminozuur in een peptideketen weegt gemiddeld iets meer dan 100 dalton.</w:t>
      </w:r>
    </w:p>
    <w:p>
      <w:pPr>
        <w:pStyle w:val="BodyText"/>
      </w:pPr>
      <w:r>
        <w:rPr>
          <w:bCs/>
          <w:b/>
        </w:rPr>
        <w:t xml:space="preserve">Diabetes type 2</w:t>
      </w:r>
      <w:r>
        <w:t xml:space="preserve">: De meest voorkomende vorm van suikerziekte, waarbij het lichaam insuline minder effectief gebruikt en de alvleesklier niet genoeg bijlevert. Vaak gekoppeld aan overgewicht.</w:t>
      </w:r>
    </w:p>
    <w:p>
      <w:pPr>
        <w:pStyle w:val="BodyText"/>
      </w:pPr>
      <w:r>
        <w:rPr>
          <w:bCs/>
          <w:b/>
        </w:rPr>
        <w:t xml:space="preserve">Dipeptidylpeptidase-4 (DPP-4)</w:t>
      </w:r>
      <w:r>
        <w:t xml:space="preserve">: Een enzym dat onder meer het darmhormoon GLP-1 snel afbreekt. Remmers van dit enzym (gliptinen) worden gebruikt als diabetestabletten.</w:t>
      </w:r>
    </w:p>
    <w:p>
      <w:pPr>
        <w:pStyle w:val="BodyText"/>
      </w:pPr>
      <w:r>
        <w:rPr>
          <w:bCs/>
          <w:b/>
        </w:rPr>
        <w:t xml:space="preserve">Dubbelblind</w:t>
      </w:r>
      <w:r>
        <w:t xml:space="preserve">: Een studie waarin noch de deelnemers noch het studiepersoneel weten wie de werkzame stof en wie placebo krijgt. Dat vermindert de invloed van verwachtingen op de resultaten.</w:t>
      </w:r>
    </w:p>
    <w:bookmarkEnd w:id="1083"/>
    <w:bookmarkStart w:id="1084" w:name="e"/>
    <w:p>
      <w:pPr>
        <w:pStyle w:val="Heading3"/>
      </w:pPr>
      <w:r>
        <w:t xml:space="preserve">E</w:t>
      </w:r>
    </w:p>
    <w:p>
      <w:pPr>
        <w:pStyle w:val="FirstParagraph"/>
      </w:pPr>
      <w:r>
        <w:rPr>
          <w:bCs/>
          <w:b/>
        </w:rPr>
        <w:t xml:space="preserve">Eindpunt</w:t>
      </w:r>
      <w:r>
        <w:t xml:space="preserve">: Het kenmerk waaraan in een studie het succes van een behandeling wordt afgemeten, bijvoorbeeld gewichtsverlies, bloedsuiker of hartinfarcten. Het belangrijkste wordt vóór de start van de studie vastgelegd als primair eindpunt.</w:t>
      </w:r>
    </w:p>
    <w:p>
      <w:pPr>
        <w:pStyle w:val="BodyText"/>
      </w:pPr>
      <w:r>
        <w:rPr>
          <w:bCs/>
          <w:b/>
        </w:rPr>
        <w:t xml:space="preserve">Eiwit (proteïne)</w:t>
      </w:r>
      <w:r>
        <w:t xml:space="preserve">: Een groot eiwitmolecuul van meestal meer dan 50 aminozuren met een bepaalde ruimtelijke vouwing.</w:t>
      </w:r>
    </w:p>
    <w:p>
      <w:pPr>
        <w:pStyle w:val="BodyText"/>
      </w:pPr>
      <w:r>
        <w:rPr>
          <w:bCs/>
          <w:b/>
        </w:rPr>
        <w:t xml:space="preserve">Endotoxinen</w:t>
      </w:r>
      <w:r>
        <w:t xml:space="preserve">: Hittestabiele bestanddelen van de celwand van bepaalde bacteriën. Komen ze in het bloed, dan kunnen ze koorts, ontstekingen en circulatoire reacties uitlokken; ze blijven ook na het doden van de bacteriën werkzaam.</w:t>
      </w:r>
    </w:p>
    <w:p>
      <w:pPr>
        <w:pStyle w:val="BodyText"/>
      </w:pPr>
      <w:r>
        <w:rPr>
          <w:bCs/>
          <w:b/>
        </w:rPr>
        <w:t xml:space="preserve">Estimand</w:t>
      </w:r>
      <w:r>
        <w:t xml:space="preserve">: Een nauwkeurige beschrijving van welk behandeleffect in een studie wordt geschat – bijvoorbeeld ongeacht of deelnemers met de behandeling stoppen, of alleen voor de periode waarin het middel daadwerkelijk werd gebruikt.</w:t>
      </w:r>
    </w:p>
    <w:p>
      <w:pPr>
        <w:pStyle w:val="BodyText"/>
      </w:pPr>
      <w:r>
        <w:rPr>
          <w:bCs/>
          <w:b/>
        </w:rPr>
        <w:t xml:space="preserve">EudraVigilance</w:t>
      </w:r>
      <w:r>
        <w:t xml:space="preserve">: De databank van het Europees Geneesmiddelenbureau voor meldingen van vermoedelijke bijwerkingen.</w:t>
      </w:r>
    </w:p>
    <w:bookmarkEnd w:id="1084"/>
    <w:bookmarkStart w:id="1085" w:name="f"/>
    <w:p>
      <w:pPr>
        <w:pStyle w:val="Heading3"/>
      </w:pPr>
      <w:r>
        <w:t xml:space="preserve">F</w:t>
      </w:r>
    </w:p>
    <w:p>
      <w:pPr>
        <w:pStyle w:val="FirstParagraph"/>
      </w:pPr>
      <w:r>
        <w:rPr>
          <w:bCs/>
          <w:b/>
        </w:rPr>
        <w:t xml:space="preserve">FAERS</w:t>
      </w:r>
      <w:r>
        <w:t xml:space="preserve">: Het meldsysteem van de Amerikaanse geneesmiddelenautoriteit FDA voor vermoedelijke bijwerkingen.</w:t>
      </w:r>
    </w:p>
    <w:p>
      <w:pPr>
        <w:pStyle w:val="BodyText"/>
      </w:pPr>
      <w:r>
        <w:rPr>
          <w:bCs/>
          <w:b/>
        </w:rPr>
        <w:t xml:space="preserve">Farmacodynamiek</w:t>
      </w:r>
      <w:r>
        <w:t xml:space="preserve">: De leer van wat een werkzame stof in het lichaam teweegbrengt – dus de effecten en werkingsmechanismen ervan.</w:t>
      </w:r>
    </w:p>
    <w:p>
      <w:pPr>
        <w:pStyle w:val="BodyText"/>
      </w:pPr>
      <w:r>
        <w:rPr>
          <w:bCs/>
          <w:b/>
        </w:rPr>
        <w:t xml:space="preserve">Farmacokinetiek</w:t>
      </w:r>
      <w:r>
        <w:t xml:space="preserve">: De leer van wat het lichaam met een werkzame stof doet – opname, verdeling, afbraak en uitscheiding.</w:t>
      </w:r>
    </w:p>
    <w:bookmarkEnd w:id="1085"/>
    <w:bookmarkStart w:id="1086" w:name="g"/>
    <w:p>
      <w:pPr>
        <w:pStyle w:val="Heading3"/>
      </w:pPr>
      <w:r>
        <w:t xml:space="preserve">G</w:t>
      </w:r>
    </w:p>
    <w:p>
      <w:pPr>
        <w:pStyle w:val="FirstParagraph"/>
      </w:pPr>
      <w:r>
        <w:rPr>
          <w:bCs/>
          <w:b/>
        </w:rPr>
        <w:t xml:space="preserve">Geneesmiddel</w:t>
      </w:r>
      <w:r>
        <w:t xml:space="preserve">: Een stof of bereiding die bestemd is voor het genezen, verlichten of voorkomen van ziekten, of die lichaamsfuncties farmacologisch, immunologisch of metabool beïnvloedt. In de EU heeft een geneesmiddel vóór de verkoop een registratie (handelsvergunning) nodig.</w:t>
      </w:r>
    </w:p>
    <w:p>
      <w:pPr>
        <w:pStyle w:val="BodyText"/>
      </w:pPr>
      <w:r>
        <w:rPr>
          <w:bCs/>
          <w:b/>
        </w:rPr>
        <w:t xml:space="preserve">Geneesmiddelenbewaking (farmacovigilantie)</w:t>
      </w:r>
      <w:r>
        <w:t xml:space="preserve">: Het systematische toezicht op geneesmiddelen na de registratie, om bijwerkingen te herkennen en te beoordelen.</w:t>
      </w:r>
    </w:p>
    <w:p>
      <w:pPr>
        <w:pStyle w:val="BodyText"/>
      </w:pPr>
      <w:r>
        <w:rPr>
          <w:bCs/>
          <w:b/>
        </w:rPr>
        <w:t xml:space="preserve">Geneesmiddel naar functie</w:t>
      </w:r>
      <w:r>
        <w:t xml:space="preserve">: Juridisch begrip voor een product dat vanwege zijn farmacologische, immunologische of metabole werking als geneesmiddel geldt – ongeacht hoe het wordt aangeprezen.</w:t>
      </w:r>
    </w:p>
    <w:p>
      <w:pPr>
        <w:pStyle w:val="BodyText"/>
      </w:pPr>
      <w:r>
        <w:rPr>
          <w:bCs/>
          <w:b/>
        </w:rPr>
        <w:t xml:space="preserve">Geneesmiddel naar presentatie</w:t>
      </w:r>
      <w:r>
        <w:t xml:space="preserve">: Juridisch begrip voor een product dat als geneesmiddel geldt omdat het wordt voorgesteld of aangeprezen als middel tegen ziekten.</w:t>
      </w:r>
    </w:p>
    <w:p>
      <w:pPr>
        <w:pStyle w:val="BodyText"/>
      </w:pPr>
      <w:r>
        <w:rPr>
          <w:bCs/>
          <w:b/>
        </w:rPr>
        <w:t xml:space="preserve">Ghreline</w:t>
      </w:r>
      <w:r>
        <w:t xml:space="preserve">: Een peptidehormoon dat vooral in de maag wordt aangemaakt, honger opwekt en de afgifte van groeihormoon stimuleert.</w:t>
      </w:r>
    </w:p>
    <w:p>
      <w:pPr>
        <w:pStyle w:val="BodyText"/>
      </w:pPr>
      <w:r>
        <w:rPr>
          <w:bCs/>
          <w:b/>
        </w:rPr>
        <w:t xml:space="preserve">GHRH (growth-hormone-releasing hormone)</w:t>
      </w:r>
      <w:r>
        <w:t xml:space="preserve">: Een hormoon uit de hypothalamus dat de hypofyse aanzet tot afgifte van groeihormoon. Sermoreline, tesamoreline en CJC-1295 zijn ervan afgeleid.</w:t>
      </w:r>
    </w:p>
    <w:p>
      <w:pPr>
        <w:pStyle w:val="BodyText"/>
      </w:pPr>
      <w:r>
        <w:rPr>
          <w:bCs/>
          <w:b/>
        </w:rPr>
        <w:t xml:space="preserve">GHRP (growth-hormone-releasing peptides)</w:t>
      </w:r>
      <w:r>
        <w:t xml:space="preserve">: Een groep synthetische peptiden die via de ghrelinereceptor de afgifte van groeihormoon verhogen, zoals GHRP-2, GHRP-6, hexareline en ipamoreline.</w:t>
      </w:r>
    </w:p>
    <w:p>
      <w:pPr>
        <w:pStyle w:val="BodyText"/>
      </w:pPr>
      <w:r>
        <w:rPr>
          <w:bCs/>
          <w:b/>
        </w:rPr>
        <w:t xml:space="preserve">GIP (glucoseafhankelijk insulinotroop polypeptide)</w:t>
      </w:r>
      <w:r>
        <w:t xml:space="preserve">: Een darmhormoon uit de groep van de incretinen. Tirzepatide activeert naast de GLP-1- ook de GIP-receptor.</w:t>
      </w:r>
    </w:p>
    <w:p>
      <w:pPr>
        <w:pStyle w:val="BodyText"/>
      </w:pPr>
      <w:r>
        <w:rPr>
          <w:bCs/>
          <w:b/>
        </w:rPr>
        <w:t xml:space="preserve">GLP-1 (glucagon-like peptide-1)</w:t>
      </w:r>
      <w:r>
        <w:t xml:space="preserve">: Een darmhormoon dat na het eten wordt afgegeven, de insulineafgifte afhankelijk van de bloedsuiker versterkt, de maaglediging vertraagt en het verzadigingsgevoel beïnvloedt.</w:t>
      </w:r>
    </w:p>
    <w:p>
      <w:pPr>
        <w:pStyle w:val="BodyText"/>
      </w:pPr>
      <w:r>
        <w:rPr>
          <w:bCs/>
          <w:b/>
        </w:rPr>
        <w:t xml:space="preserve">GLP-1-receptoragonist</w:t>
      </w:r>
      <w:r>
        <w:t xml:space="preserve">: Een werkzame stof die de GLP-1-receptor activeert, bijvoorbeeld exenatide, liraglutide, dulaglutide of semaglutide.</w:t>
      </w:r>
    </w:p>
    <w:p>
      <w:pPr>
        <w:pStyle w:val="BodyText"/>
      </w:pPr>
      <w:r>
        <w:rPr>
          <w:bCs/>
          <w:b/>
        </w:rPr>
        <w:t xml:space="preserve">Glucagon</w:t>
      </w:r>
      <w:r>
        <w:t xml:space="preserve">: Een peptidehormoon van de alvleesklier dat de bloedsuiker verhoogt. Sommige nieuwe werkzame stoffen activeren daarnaast de glucagonreceptor.</w:t>
      </w:r>
    </w:p>
    <w:p>
      <w:pPr>
        <w:pStyle w:val="BodyText"/>
      </w:pPr>
      <w:r>
        <w:rPr>
          <w:bCs/>
          <w:b/>
        </w:rPr>
        <w:t xml:space="preserve">GnRH (gonadotropine-releasing hormone)</w:t>
      </w:r>
      <w:r>
        <w:t xml:space="preserve">: Een hormoon uit de hypothalamus dat de afgifte regelt van LH en FSH, de hormonen die de geslachtshormonen aansturen. Gonadoreline is een synthetische vorm.</w:t>
      </w:r>
    </w:p>
    <w:p>
      <w:pPr>
        <w:pStyle w:val="BodyText"/>
      </w:pPr>
      <w:r>
        <w:rPr>
          <w:bCs/>
          <w:b/>
        </w:rPr>
        <w:t xml:space="preserve">Groeihormoon (somatotropine)</w:t>
      </w:r>
      <w:r>
        <w:t xml:space="preserve">: Een eiwit uit de hypofyse dat groei, stofwisseling en lichaamssamenstelling beïnvloedt. Veel peptiden in dit boek zouden de afgifte ervan verhogen.</w:t>
      </w:r>
    </w:p>
    <w:bookmarkEnd w:id="1086"/>
    <w:bookmarkStart w:id="1087" w:name="h"/>
    <w:p>
      <w:pPr>
        <w:pStyle w:val="Heading3"/>
      </w:pPr>
      <w:r>
        <w:t xml:space="preserve">H</w:t>
      </w:r>
    </w:p>
    <w:p>
      <w:pPr>
        <w:pStyle w:val="FirstParagraph"/>
      </w:pPr>
      <w:r>
        <w:rPr>
          <w:bCs/>
          <w:b/>
        </w:rPr>
        <w:t xml:space="preserve">Halfwaardetijd</w:t>
      </w:r>
      <w:r>
        <w:t xml:space="preserve">: De tijd waarna de helft van een werkzame stof in het lichaam is afgebroken of uitgescheiden. Ze bepaalt in hoge mate hoe vaak een geneesmiddel moet worden toegediend.</w:t>
      </w:r>
    </w:p>
    <w:p>
      <w:pPr>
        <w:pStyle w:val="BodyText"/>
      </w:pPr>
      <w:r>
        <w:rPr>
          <w:bCs/>
          <w:b/>
        </w:rPr>
        <w:t xml:space="preserve">Hard eindpunt</w:t>
      </w:r>
      <w:r>
        <w:t xml:space="preserve">: Een studie-uitkomst die voor patiënten direct telt, zoals overlijden, hartinfarct, beroerte of botbreuk.</w:t>
      </w:r>
    </w:p>
    <w:p>
      <w:pPr>
        <w:pStyle w:val="BodyText"/>
      </w:pPr>
      <w:r>
        <w:rPr>
          <w:bCs/>
          <w:b/>
        </w:rPr>
        <w:t xml:space="preserve">Hazard ratio</w:t>
      </w:r>
      <w:r>
        <w:t xml:space="preserve">: Een maat voor hoe het risico op een gebeurtenis in de loop van de tijd verschilt tussen twee groepen. Een waarde van 0,80 betekent een ongeveer 20% lager relatief risico.</w:t>
      </w:r>
    </w:p>
    <w:p>
      <w:pPr>
        <w:pStyle w:val="BodyText"/>
      </w:pPr>
      <w:r>
        <w:rPr>
          <w:bCs/>
          <w:b/>
        </w:rPr>
        <w:t xml:space="preserve">HbA1c</w:t>
      </w:r>
      <w:r>
        <w:t xml:space="preserve">: Het deel van de rode bloedkleurstof waaraan suiker is gebonden. Het weerspiegelt de gemiddelde bloedsuiker van de afgelopen twee tot drie maanden en is een belangrijk surrogaateindpunt in diabetesstudies.</w:t>
      </w:r>
    </w:p>
    <w:p>
      <w:pPr>
        <w:pStyle w:val="BodyText"/>
      </w:pPr>
      <w:r>
        <w:rPr>
          <w:bCs/>
          <w:b/>
        </w:rPr>
        <w:t xml:space="preserve">HPLC (hogedrukvloeistofchromatografie)</w:t>
      </w:r>
      <w:r>
        <w:t xml:space="preserve">: Een laboratoriummethode waarmee stofmengsels kunnen worden gescheiden en de zuiverheid van peptiden kan worden bepaald.</w:t>
      </w:r>
    </w:p>
    <w:p>
      <w:pPr>
        <w:pStyle w:val="BodyText"/>
      </w:pPr>
      <w:r>
        <w:rPr>
          <w:bCs/>
          <w:b/>
        </w:rPr>
        <w:t xml:space="preserve">Hydrolysaat</w:t>
      </w:r>
      <w:r>
        <w:t xml:space="preserve">: Een mengsel van fragmenten dat ontstaat wanneer eiwitten met enzymen of zuur worden gesplitst. Collageenpeptiden worden zo gewonnen.</w:t>
      </w:r>
    </w:p>
    <w:p>
      <w:pPr>
        <w:pStyle w:val="BodyText"/>
      </w:pPr>
      <w:r>
        <w:rPr>
          <w:bCs/>
          <w:b/>
        </w:rPr>
        <w:t xml:space="preserve">Hypofyse</w:t>
      </w:r>
      <w:r>
        <w:t xml:space="preserve">: Een kleine hormoonklier aan de schedelbasis die onder meer groeihormoon afgeeft en de stuurhormonen voor schildklier, bijnieren en geslachtsklieren.</w:t>
      </w:r>
    </w:p>
    <w:p>
      <w:pPr>
        <w:pStyle w:val="BodyText"/>
      </w:pPr>
      <w:r>
        <w:rPr>
          <w:bCs/>
          <w:b/>
        </w:rPr>
        <w:t xml:space="preserve">Hypoglykemie</w:t>
      </w:r>
      <w:r>
        <w:t xml:space="preserve">: Te lage bloedsuikerspiegel. Ze kan leiden tot trillen, zweten, verwardheid en bewusteloosheid en is een noodgeval.</w:t>
      </w:r>
    </w:p>
    <w:p>
      <w:pPr>
        <w:pStyle w:val="BodyText"/>
      </w:pPr>
      <w:r>
        <w:rPr>
          <w:bCs/>
          <w:b/>
        </w:rPr>
        <w:t xml:space="preserve">Hypothalamus</w:t>
      </w:r>
      <w:r>
        <w:t xml:space="preserve">: Een hersengebied dat via vrijmakende hormonen de hypofyse aanstuurt en betrokken is bij honger, dorst, slaap en lichaamstemperatuur.</w:t>
      </w:r>
    </w:p>
    <w:bookmarkEnd w:id="1087"/>
    <w:bookmarkStart w:id="1088" w:name="i"/>
    <w:p>
      <w:pPr>
        <w:pStyle w:val="Heading3"/>
      </w:pPr>
      <w:r>
        <w:t xml:space="preserve">I</w:t>
      </w:r>
    </w:p>
    <w:p>
      <w:pPr>
        <w:pStyle w:val="FirstParagraph"/>
      </w:pPr>
      <w:r>
        <w:rPr>
          <w:bCs/>
          <w:b/>
        </w:rPr>
        <w:t xml:space="preserve">IGF-1 (insulineachtige groeifactor 1)</w:t>
      </w:r>
      <w:r>
        <w:t xml:space="preserve">: Een groeifactor die vooral in de lever onder invloed van groeihormoon wordt aangemaakt. Hij bemiddelt veel effecten van groeihormoon en dient als laboratoriumwaarde om dat te beoordelen.</w:t>
      </w:r>
    </w:p>
    <w:p>
      <w:pPr>
        <w:pStyle w:val="BodyText"/>
      </w:pPr>
      <w:r>
        <w:rPr>
          <w:bCs/>
          <w:b/>
        </w:rPr>
        <w:t xml:space="preserve">Immunogeniciteit</w:t>
      </w:r>
      <w:r>
        <w:t xml:space="preserve">: Het vermogen van een stof om een reactie van het immuunsysteem uit te lokken, zoals de vorming van antistoffen.</w:t>
      </w:r>
    </w:p>
    <w:p>
      <w:pPr>
        <w:pStyle w:val="BodyText"/>
      </w:pPr>
      <w:r>
        <w:rPr>
          <w:bCs/>
          <w:b/>
        </w:rPr>
        <w:t xml:space="preserve">Incretinen</w:t>
      </w:r>
      <w:r>
        <w:t xml:space="preserve">: Darmhormonen die na een maaltijd de insulineafgifte versterken. De belangrijkste zijn GLP-1 en GIP.</w:t>
      </w:r>
    </w:p>
    <w:p>
      <w:pPr>
        <w:pStyle w:val="BodyText"/>
      </w:pPr>
      <w:r>
        <w:rPr>
          <w:bCs/>
          <w:b/>
        </w:rPr>
        <w:t xml:space="preserve">Insuline</w:t>
      </w:r>
      <w:r>
        <w:t xml:space="preserve">: Een peptidehormoon van de alvleesklier van 51 aminozuren dat de bloedsuiker verlaagt. Het was in 1922 het eerste als geneesmiddel gebruikte peptide.</w:t>
      </w:r>
    </w:p>
    <w:p>
      <w:pPr>
        <w:pStyle w:val="BodyText"/>
      </w:pPr>
      <w:r>
        <w:rPr>
          <w:bCs/>
          <w:b/>
        </w:rPr>
        <w:t xml:space="preserve">Intention-to-treat-analyse</w:t>
      </w:r>
      <w:r>
        <w:t xml:space="preserve">: Analyse van een studie waarbij alle deelnemers worden meegeteld in de groep waaraan ze zijn toegewezen – ook als ze met de behandeling zijn gestopt. Ze geldt als een realistischere schatting van het effect in de dagelijkse praktijk.</w:t>
      </w:r>
    </w:p>
    <w:p>
      <w:pPr>
        <w:pStyle w:val="BodyText"/>
      </w:pPr>
      <w:r>
        <w:rPr>
          <w:bCs/>
          <w:b/>
        </w:rPr>
        <w:t xml:space="preserve">In vitro</w:t>
      </w:r>
      <w:r>
        <w:t xml:space="preserve">: „In het glas” – proeven in het laboratorium op cellen, weefsels of geïsoleerde moleculen buiten een levend organisme.</w:t>
      </w:r>
    </w:p>
    <w:bookmarkEnd w:id="1088"/>
    <w:bookmarkStart w:id="1089" w:name="l"/>
    <w:p>
      <w:pPr>
        <w:pStyle w:val="Heading3"/>
      </w:pPr>
      <w:r>
        <w:t xml:space="preserve">L</w:t>
      </w:r>
    </w:p>
    <w:p>
      <w:pPr>
        <w:pStyle w:val="FirstParagraph"/>
      </w:pPr>
      <w:r>
        <w:rPr>
          <w:bCs/>
          <w:b/>
        </w:rPr>
        <w:t xml:space="preserve">Lyofilisaat</w:t>
      </w:r>
      <w:r>
        <w:t xml:space="preserve">: Een gevriesdroogd poeder. Veel peptiden worden in deze vorm bewaard en moeten vóór gebruik in een vloeistof worden opgelost.</w:t>
      </w:r>
    </w:p>
    <w:bookmarkEnd w:id="1089"/>
    <w:bookmarkStart w:id="1090" w:name="m"/>
    <w:p>
      <w:pPr>
        <w:pStyle w:val="Heading3"/>
      </w:pPr>
      <w:r>
        <w:t xml:space="preserve">M</w:t>
      </w:r>
    </w:p>
    <w:p>
      <w:pPr>
        <w:pStyle w:val="FirstParagraph"/>
      </w:pPr>
      <w:r>
        <w:rPr>
          <w:bCs/>
          <w:b/>
        </w:rPr>
        <w:t xml:space="preserve">Massaspectrometrie</w:t>
      </w:r>
      <w:r>
        <w:t xml:space="preserve">: Een meetmethode die moleculen bepaalt aan de hand van hun massa. Daarmee kunnen peptiden in producten en lichaamsvloeistoffen eenduidig worden geïdentificeerd, bijvoorbeeld bij dopingcontroles.</w:t>
      </w:r>
    </w:p>
    <w:p>
      <w:pPr>
        <w:pStyle w:val="BodyText"/>
      </w:pPr>
      <w:r>
        <w:rPr>
          <w:bCs/>
          <w:b/>
        </w:rPr>
        <w:t xml:space="preserve">Melanocortinereceptoren</w:t>
      </w:r>
      <w:r>
        <w:t xml:space="preserve">: Een familie receptoren die onder meer huidpigmentatie, eetlust en seksuele functie beïnvloeden. Afamelanotide, bremelanotide, Melanotan II en setmelanotide werken op deze receptoren.</w:t>
      </w:r>
    </w:p>
    <w:p>
      <w:pPr>
        <w:pStyle w:val="BodyText"/>
      </w:pPr>
      <w:r>
        <w:rPr>
          <w:bCs/>
          <w:b/>
        </w:rPr>
        <w:t xml:space="preserve">Meta-analyse</w:t>
      </w:r>
      <w:r>
        <w:t xml:space="preserve">: Een statistische samenvatting van de resultaten van meerdere studies over dezelfde vraag. Ze is maar zo goed als de studies die erin worden opgenomen.</w:t>
      </w:r>
    </w:p>
    <w:p>
      <w:pPr>
        <w:pStyle w:val="BodyText"/>
      </w:pPr>
      <w:r>
        <w:rPr>
          <w:bCs/>
          <w:b/>
        </w:rPr>
        <w:t xml:space="preserve">Mimeticum</w:t>
      </w:r>
      <w:r>
        <w:t xml:space="preserve">: Een stof die de werking van een andere stof nabootst zonder diens structuur te hebben – bijvoorbeeld een klein molecuul dat zoals een peptidehormoon een receptor activeert.</w:t>
      </w:r>
    </w:p>
    <w:bookmarkEnd w:id="1090"/>
    <w:bookmarkStart w:id="1091" w:name="n"/>
    <w:p>
      <w:pPr>
        <w:pStyle w:val="Heading3"/>
      </w:pPr>
      <w:r>
        <w:t xml:space="preserve">N</w:t>
      </w:r>
    </w:p>
    <w:p>
      <w:pPr>
        <w:pStyle w:val="FirstParagraph"/>
      </w:pPr>
      <w:r>
        <w:rPr>
          <w:bCs/>
          <w:b/>
        </w:rPr>
        <w:t xml:space="preserve">NCT-nummer</w:t>
      </w:r>
      <w:r>
        <w:t xml:space="preserve">: Het identificatienummer van een studie in het register ClinicalTrials.gov, bestaande uit „NCT” en acht cijfers.</w:t>
      </w:r>
    </w:p>
    <w:p>
      <w:pPr>
        <w:pStyle w:val="BodyText"/>
      </w:pPr>
      <w:r>
        <w:rPr>
          <w:bCs/>
          <w:b/>
        </w:rPr>
        <w:t xml:space="preserve">Novel food</w:t>
      </w:r>
      <w:r>
        <w:t xml:space="preserve">: In de EU een levensmiddel of ingrediënt dat vóór 15 mei 1997 niet in noemenswaardige mate werd geconsumeerd. Zulke producten hebben vóór de verkoop een toelating nodig.</w:t>
      </w:r>
    </w:p>
    <w:p>
      <w:pPr>
        <w:pStyle w:val="BodyText"/>
      </w:pPr>
      <w:r>
        <w:rPr>
          <w:bCs/>
          <w:b/>
        </w:rPr>
        <w:t xml:space="preserve">N-terminus</w:t>
      </w:r>
      <w:r>
        <w:t xml:space="preserve">: Het begin van een peptideketen met de vrije aminogroep.</w:t>
      </w:r>
    </w:p>
    <w:p>
      <w:pPr>
        <w:pStyle w:val="BodyText"/>
      </w:pPr>
      <w:r>
        <w:rPr>
          <w:bCs/>
          <w:b/>
        </w:rPr>
        <w:t xml:space="preserve">Number needed to treat (NNT)</w:t>
      </w:r>
      <w:r>
        <w:t xml:space="preserve">: Het aantal mensen dat gedurende een bepaalde tijd moet worden behandeld om bij één persoon een gebeurtenis te voorkomen. Het wordt berekend uit de absolute risicoreductie.</w:t>
      </w:r>
    </w:p>
    <w:bookmarkEnd w:id="1091"/>
    <w:bookmarkStart w:id="1092" w:name="o"/>
    <w:p>
      <w:pPr>
        <w:pStyle w:val="Heading3"/>
      </w:pPr>
      <w:r>
        <w:t xml:space="preserve">O</w:t>
      </w:r>
    </w:p>
    <w:p>
      <w:pPr>
        <w:pStyle w:val="FirstParagraph"/>
      </w:pPr>
      <w:r>
        <w:rPr>
          <w:bCs/>
          <w:b/>
        </w:rPr>
        <w:t xml:space="preserve">Obesitas</w:t>
      </w:r>
      <w:r>
        <w:t xml:space="preserve">: Ziekelijk overgewicht, meestal gedefinieerd als een body-mass-index van 30 of meer. Obesitas geldt als een chronische ziekte met een verhoogd risico op diabetes, hart- en vaatziekten en gewrichtsaandoeningen.</w:t>
      </w:r>
    </w:p>
    <w:p>
      <w:pPr>
        <w:pStyle w:val="BodyText"/>
      </w:pPr>
      <w:r>
        <w:rPr>
          <w:bCs/>
          <w:b/>
        </w:rPr>
        <w:t xml:space="preserve">Off-labelgebruik</w:t>
      </w:r>
      <w:r>
        <w:t xml:space="preserve">: Het gebruik van een geregistreerd geneesmiddel buiten de geregistreerde indicaties, doseringen of patiëntengroepen.</w:t>
      </w:r>
    </w:p>
    <w:p>
      <w:pPr>
        <w:pStyle w:val="BodyText"/>
      </w:pPr>
      <w:r>
        <w:rPr>
          <w:bCs/>
          <w:b/>
        </w:rPr>
        <w:t xml:space="preserve">Oligopeptide</w:t>
      </w:r>
      <w:r>
        <w:t xml:space="preserve">: Een kort peptide van ongeveer twee tot tien aminozuren.</w:t>
      </w:r>
    </w:p>
    <w:p>
      <w:pPr>
        <w:pStyle w:val="BodyText"/>
      </w:pPr>
      <w:r>
        <w:rPr>
          <w:bCs/>
          <w:b/>
        </w:rPr>
        <w:t xml:space="preserve">Ongewenst voorval</w:t>
      </w:r>
      <w:r>
        <w:t xml:space="preserve">: Elk gezondheidsprobleem dat tijdens een studie optreedt, ongeacht of het door de behandeling is veroorzaakt. Pas de vergelijking met de controlegroep laat zien of een verband waarschijnlijk is.</w:t>
      </w:r>
    </w:p>
    <w:p>
      <w:pPr>
        <w:pStyle w:val="BodyText"/>
      </w:pPr>
      <w:r>
        <w:rPr>
          <w:bCs/>
          <w:b/>
        </w:rPr>
        <w:t xml:space="preserve">Open studie</w:t>
      </w:r>
      <w:r>
        <w:t xml:space="preserve">: Een studie zonder blindering, waarin deelnemers en studiepersoneel weten welke behandeling wordt gegeven.</w:t>
      </w:r>
    </w:p>
    <w:bookmarkEnd w:id="1092"/>
    <w:bookmarkStart w:id="1093" w:name="p"/>
    <w:p>
      <w:pPr>
        <w:pStyle w:val="Heading3"/>
      </w:pPr>
      <w:r>
        <w:t xml:space="preserve">P</w:t>
      </w:r>
    </w:p>
    <w:p>
      <w:pPr>
        <w:pStyle w:val="FirstParagraph"/>
      </w:pPr>
      <w:r>
        <w:rPr>
          <w:bCs/>
          <w:b/>
        </w:rPr>
        <w:t xml:space="preserve">Pancreatitis</w:t>
      </w:r>
      <w:r>
        <w:t xml:space="preserve">: Ontsteking van de alvleesklier. Ze wordt besproken als mogelijke, zeldzame bijwerking van GLP-1-geneesmiddelen.</w:t>
      </w:r>
    </w:p>
    <w:p>
      <w:pPr>
        <w:pStyle w:val="BodyText"/>
      </w:pPr>
      <w:r>
        <w:rPr>
          <w:bCs/>
          <w:b/>
        </w:rPr>
        <w:t xml:space="preserve">Peptide</w:t>
      </w:r>
      <w:r>
        <w:t xml:space="preserve">: Een keten van aminozuren die via peptidebindingen met elkaar zijn verbonden. Vanaf ongeveer 50 aminozuren spreekt men meestal van een eiwit.</w:t>
      </w:r>
    </w:p>
    <w:p>
      <w:pPr>
        <w:pStyle w:val="BodyText"/>
      </w:pPr>
      <w:r>
        <w:rPr>
          <w:bCs/>
          <w:b/>
        </w:rPr>
        <w:t xml:space="preserve">Peptidebinding</w:t>
      </w:r>
      <w:r>
        <w:t xml:space="preserve">: De chemische verbinding tussen de zuurgroep van het ene aminozuur en de aminogroep van het volgende, waarbij bij de vorming water wordt afgesplitst.</w:t>
      </w:r>
    </w:p>
    <w:p>
      <w:pPr>
        <w:pStyle w:val="BodyText"/>
      </w:pPr>
      <w:r>
        <w:rPr>
          <w:bCs/>
          <w:b/>
        </w:rPr>
        <w:t xml:space="preserve">Placebo</w:t>
      </w:r>
      <w:r>
        <w:t xml:space="preserve">: Een schijnpreparaat zonder werkzame stof dat in studies ter vergelijking wordt gebruikt.</w:t>
      </w:r>
    </w:p>
    <w:p>
      <w:pPr>
        <w:pStyle w:val="BodyText"/>
      </w:pPr>
      <w:r>
        <w:rPr>
          <w:bCs/>
          <w:b/>
        </w:rPr>
        <w:t xml:space="preserve">Placebo-effect</w:t>
      </w:r>
      <w:r>
        <w:t xml:space="preserve">: Een verbetering van klachten die niet het gevolg is van een werkzame stof, maar van verwachtingen, aandacht of het natuurlijke beloop.</w:t>
      </w:r>
    </w:p>
    <w:p>
      <w:pPr>
        <w:pStyle w:val="BodyText"/>
      </w:pPr>
      <w:r>
        <w:rPr>
          <w:bCs/>
          <w:b/>
        </w:rPr>
        <w:t xml:space="preserve">PMID</w:t>
      </w:r>
      <w:r>
        <w:t xml:space="preserve">: Het PubMed-identificatienummer, een uniek nummer voor elke vermelding in de literatuurdatabank PubMed.</w:t>
      </w:r>
    </w:p>
    <w:p>
      <w:pPr>
        <w:pStyle w:val="BodyText"/>
      </w:pPr>
      <w:r>
        <w:rPr>
          <w:bCs/>
          <w:b/>
        </w:rPr>
        <w:t xml:space="preserve">Polypeptide</w:t>
      </w:r>
      <w:r>
        <w:t xml:space="preserve">: Een langere peptideketen, meestal met meer dan tien aminozuren.</w:t>
      </w:r>
    </w:p>
    <w:p>
      <w:pPr>
        <w:pStyle w:val="BodyText"/>
      </w:pPr>
      <w:r>
        <w:rPr>
          <w:bCs/>
          <w:b/>
        </w:rPr>
        <w:t xml:space="preserve">Preklinische studies</w:t>
      </w:r>
      <w:r>
        <w:t xml:space="preserve">: Onderzoeken in het laboratorium en bij dieren die vóór de eerste studies bij mensen worden uitgevoerd.</w:t>
      </w:r>
    </w:p>
    <w:p>
      <w:pPr>
        <w:pStyle w:val="BodyText"/>
      </w:pPr>
      <w:r>
        <w:rPr>
          <w:bCs/>
          <w:b/>
        </w:rPr>
        <w:t xml:space="preserve">Preprint</w:t>
      </w:r>
      <w:r>
        <w:t xml:space="preserve">: Een wetenschappelijk artikel dat openbaar wordt gemaakt vóór de beoordeling door vakgenoten (peer review).</w:t>
      </w:r>
    </w:p>
    <w:p>
      <w:pPr>
        <w:pStyle w:val="BodyText"/>
      </w:pPr>
      <w:r>
        <w:rPr>
          <w:bCs/>
          <w:b/>
        </w:rPr>
        <w:t xml:space="preserve">Productinformatie (SmPC)</w:t>
      </w:r>
      <w:r>
        <w:t xml:space="preserve">: De voor artsen en apotheken bestemde, door de autoriteiten goedgekeurde informatie over een geregistreerd geneesmiddel, met indicaties, dosering, contra-indicaties en bijwerkingen.</w:t>
      </w:r>
    </w:p>
    <w:p>
      <w:pPr>
        <w:pStyle w:val="BodyText"/>
      </w:pPr>
      <w:r>
        <w:rPr>
          <w:bCs/>
          <w:b/>
        </w:rPr>
        <w:t xml:space="preserve">Protease</w:t>
      </w:r>
      <w:r>
        <w:t xml:space="preserve">: Een enzym dat peptidebindingen splitst en zo eiwitten en peptiden afbreekt. Ook peptidase genoemd.</w:t>
      </w:r>
    </w:p>
    <w:p>
      <w:pPr>
        <w:pStyle w:val="BodyText"/>
      </w:pPr>
      <w:r>
        <w:rPr>
          <w:bCs/>
          <w:b/>
        </w:rPr>
        <w:t xml:space="preserve">Publicatiebias</w:t>
      </w:r>
      <w:r>
        <w:t xml:space="preserve">: De vertekening van het totaalbeeld wanneer studies met positieve resultaten vaker worden gepubliceerd dan studies met negatieve.</w:t>
      </w:r>
    </w:p>
    <w:p>
      <w:pPr>
        <w:pStyle w:val="BodyText"/>
      </w:pPr>
      <w:r>
        <w:rPr>
          <w:bCs/>
          <w:b/>
        </w:rPr>
        <w:t xml:space="preserve">PubMed</w:t>
      </w:r>
      <w:r>
        <w:t xml:space="preserve">: Een vrij toegankelijke literatuurdatabank van de Amerikaanse National Library of Medicine met miljoenen vermeldingen uit biomedisch onderzoek.</w:t>
      </w:r>
    </w:p>
    <w:p>
      <w:pPr>
        <w:pStyle w:val="BodyText"/>
      </w:pPr>
      <w:r>
        <w:rPr>
          <w:bCs/>
          <w:b/>
        </w:rPr>
        <w:t xml:space="preserve">P-waarde</w:t>
      </w:r>
      <w:r>
        <w:t xml:space="preserve">: Een statistische maat voor hoe waarschijnlijk een minstens even groot verschil zou zijn als er in werkelijkheid geen effect was. Waarden onder 0,05 gelden gewoonlijk als statistisch significant.</w:t>
      </w:r>
    </w:p>
    <w:bookmarkEnd w:id="1093"/>
    <w:bookmarkStart w:id="1094" w:name="r"/>
    <w:p>
      <w:pPr>
        <w:pStyle w:val="Heading3"/>
      </w:pPr>
      <w:r>
        <w:t xml:space="preserve">R</w:t>
      </w:r>
    </w:p>
    <w:p>
      <w:pPr>
        <w:pStyle w:val="FirstParagraph"/>
      </w:pPr>
      <w:r>
        <w:rPr>
          <w:bCs/>
          <w:b/>
        </w:rPr>
        <w:t xml:space="preserve">Rabdomyolyse</w:t>
      </w:r>
      <w:r>
        <w:t xml:space="preserve">: Afbraak van spierweefsel waarbij spierbestanddelen in het bloed terechtkomen en de nieren kunnen beschadigen.</w:t>
      </w:r>
    </w:p>
    <w:p>
      <w:pPr>
        <w:pStyle w:val="BodyText"/>
      </w:pPr>
      <w:r>
        <w:rPr>
          <w:bCs/>
          <w:b/>
        </w:rPr>
        <w:t xml:space="preserve">Randomisatie</w:t>
      </w:r>
      <w:r>
        <w:t xml:space="preserve">: De willekeurige toewijzing van deelnemers aan de groepen van een studie. Ze zorgt ervoor dat de groepen alleen in de behandeling systematisch verschillen.</w:t>
      </w:r>
    </w:p>
    <w:p>
      <w:pPr>
        <w:pStyle w:val="BodyText"/>
      </w:pPr>
      <w:r>
        <w:rPr>
          <w:bCs/>
          <w:b/>
        </w:rPr>
        <w:t xml:space="preserve">RCT (gerandomiseerde gecontroleerde studie)</w:t>
      </w:r>
      <w:r>
        <w:t xml:space="preserve">: Een studie met willekeurige toewijzing aan een behandel- en een controlegroep. Ze geldt als de betrouwbaarste manier om de werking van een behandeling aan te tonen.</w:t>
      </w:r>
    </w:p>
    <w:p>
      <w:pPr>
        <w:pStyle w:val="BodyText"/>
      </w:pPr>
      <w:r>
        <w:rPr>
          <w:bCs/>
          <w:b/>
        </w:rPr>
        <w:t xml:space="preserve">Receptor</w:t>
      </w:r>
      <w:r>
        <w:t xml:space="preserve">: Een eiwitmolecuul, meestal aan het celoppervlak, waaraan een signaalstof bindt en zo een signaal in de cel uitlokt.</w:t>
      </w:r>
    </w:p>
    <w:p>
      <w:pPr>
        <w:pStyle w:val="BodyText"/>
      </w:pPr>
      <w:r>
        <w:rPr>
          <w:bCs/>
          <w:b/>
        </w:rPr>
        <w:t xml:space="preserve">Recombinant</w:t>
      </w:r>
      <w:r>
        <w:t xml:space="preserve">: Genetisch gemodificeerd geproduceerd, doordat de bouwinstructie voor een peptide of eiwit in bacteriën, gisten of andere cellen wordt ingebracht.</w:t>
      </w:r>
    </w:p>
    <w:p>
      <w:pPr>
        <w:pStyle w:val="BodyText"/>
      </w:pPr>
      <w:r>
        <w:rPr>
          <w:bCs/>
          <w:b/>
        </w:rPr>
        <w:t xml:space="preserve">Registratie (handelsvergunning)</w:t>
      </w:r>
      <w:r>
        <w:t xml:space="preserve">: De toestemming van de autoriteiten om een geneesmiddel in de handel te brengen, na beoordeling van kwaliteit, werkzaamheid en veiligheid.</w:t>
      </w:r>
    </w:p>
    <w:p>
      <w:pPr>
        <w:pStyle w:val="BodyText"/>
      </w:pPr>
      <w:r>
        <w:rPr>
          <w:bCs/>
          <w:b/>
        </w:rPr>
        <w:t xml:space="preserve">Relatief risico</w:t>
      </w:r>
      <w:r>
        <w:t xml:space="preserve">: De verhouding van de frequentie van een gebeurtenis in twee groepen. Een relatief risico van 0,5 betekent een halvering – ongeacht hoe vaak de gebeurtenis in totaal voorkomt.</w:t>
      </w:r>
    </w:p>
    <w:p>
      <w:pPr>
        <w:pStyle w:val="BodyText"/>
      </w:pPr>
      <w:r>
        <w:rPr>
          <w:bCs/>
          <w:b/>
        </w:rPr>
        <w:t xml:space="preserve">Research peptides</w:t>
      </w:r>
      <w:r>
        <w:t xml:space="preserve">: Peptiden die worden verkocht met de vermelding „alleen voor onderzoeksdoeleinden” of „niet voor gebruik bij mensen”, maar vaak aan particulieren. Het zijn geen geteste geneesmiddelen.</w:t>
      </w:r>
    </w:p>
    <w:bookmarkEnd w:id="1094"/>
    <w:bookmarkStart w:id="1095" w:name="s"/>
    <w:p>
      <w:pPr>
        <w:pStyle w:val="Heading3"/>
      </w:pPr>
      <w:r>
        <w:t xml:space="preserve">S</w:t>
      </w:r>
    </w:p>
    <w:p>
      <w:pPr>
        <w:pStyle w:val="FirstParagraph"/>
      </w:pPr>
      <w:r>
        <w:rPr>
          <w:bCs/>
          <w:b/>
        </w:rPr>
        <w:t xml:space="preserve">Secretagoog</w:t>
      </w:r>
      <w:r>
        <w:t xml:space="preserve">: Een stof die de afgifte van een andere stof stimuleert. Groeihormoonsecretagogen verhogen de vrijzetting van groeihormoon.</w:t>
      </w:r>
    </w:p>
    <w:p>
      <w:pPr>
        <w:pStyle w:val="BodyText"/>
      </w:pPr>
      <w:r>
        <w:rPr>
          <w:bCs/>
          <w:b/>
        </w:rPr>
        <w:t xml:space="preserve">Sequentie</w:t>
      </w:r>
      <w:r>
        <w:t xml:space="preserve">: De volgorde van de aminozuren in een peptideketen. Ze bepaalt de eigenschappen van het peptide.</w:t>
      </w:r>
    </w:p>
    <w:p>
      <w:pPr>
        <w:pStyle w:val="BodyText"/>
      </w:pPr>
      <w:r>
        <w:rPr>
          <w:bCs/>
          <w:b/>
        </w:rPr>
        <w:t xml:space="preserve">Significantie (statistische)</w:t>
      </w:r>
      <w:r>
        <w:t xml:space="preserve">: De uitspraak dat een waargenomen verschil waarschijnlijk niet alleen door toeval is ontstaan. Ze zegt niets over de vraag of het verschil groot of betekenisvol is.</w:t>
      </w:r>
    </w:p>
    <w:p>
      <w:pPr>
        <w:pStyle w:val="BodyText"/>
      </w:pPr>
      <w:r>
        <w:rPr>
          <w:bCs/>
          <w:b/>
        </w:rPr>
        <w:t xml:space="preserve">SNAC</w:t>
      </w:r>
      <w:r>
        <w:t xml:space="preserve">: Een hulpstof (natrium-N-[8-(2-hydroxybenzoyl)amino]caprylaat) die in de semaglutide-tablet de opname van het peptide in de maag mogelijk maakt.</w:t>
      </w:r>
    </w:p>
    <w:p>
      <w:pPr>
        <w:pStyle w:val="BodyText"/>
      </w:pPr>
      <w:r>
        <w:rPr>
          <w:bCs/>
          <w:b/>
        </w:rPr>
        <w:t xml:space="preserve">Steriliteit</w:t>
      </w:r>
      <w:r>
        <w:t xml:space="preserve">: Vrij zijn van levende micro-organismen. Een steriel product kan toch endotoxinen bevatten.</w:t>
      </w:r>
    </w:p>
    <w:p>
      <w:pPr>
        <w:pStyle w:val="BodyText"/>
      </w:pPr>
      <w:r>
        <w:rPr>
          <w:bCs/>
          <w:b/>
        </w:rPr>
        <w:t xml:space="preserve">Studiefasen</w:t>
      </w:r>
      <w:r>
        <w:t xml:space="preserve">: De stadia van het testen van geneesmiddelen bij mensen, van fase 1 (verdraagbaarheid bij enkele personen) tot fase 3 (grote vergelijkende studies) en fase 4 (observatie na de registratie).</w:t>
      </w:r>
    </w:p>
    <w:p>
      <w:pPr>
        <w:pStyle w:val="BodyText"/>
      </w:pPr>
      <w:r>
        <w:rPr>
          <w:bCs/>
          <w:b/>
        </w:rPr>
        <w:t xml:space="preserve">Studieregister</w:t>
      </w:r>
      <w:r>
        <w:t xml:space="preserve">: Openbare databanken waarin klinische studies vóór de start worden ingeschreven, zoals ClinicalTrials.gov of het EU-register.</w:t>
      </w:r>
    </w:p>
    <w:p>
      <w:pPr>
        <w:pStyle w:val="BodyText"/>
      </w:pPr>
      <w:r>
        <w:rPr>
          <w:bCs/>
          <w:b/>
        </w:rPr>
        <w:t xml:space="preserve">Subcutaan</w:t>
      </w:r>
      <w:r>
        <w:t xml:space="preserve">: Onder de huid, in het onderhuidse vetweefsel geïnjecteerd. De meest gebruikte toedieningsweg voor peptidegeneesmiddelen.</w:t>
      </w:r>
    </w:p>
    <w:p>
      <w:pPr>
        <w:pStyle w:val="BodyText"/>
      </w:pPr>
      <w:r>
        <w:rPr>
          <w:bCs/>
          <w:b/>
        </w:rPr>
        <w:t xml:space="preserve">Surrogaateindpunt</w:t>
      </w:r>
      <w:r>
        <w:t xml:space="preserve">: Een meetwaarde die wordt gebruikt als vervanging voor een klinisch betekenisvolle gebeurtenis, bijvoorbeeld bloedsuiker in plaats van hartinfarct. Verbeteringen van een surrogaat betekenen niet automatisch een voordeel voor patiënten.</w:t>
      </w:r>
    </w:p>
    <w:p>
      <w:pPr>
        <w:pStyle w:val="BodyText"/>
      </w:pPr>
      <w:r>
        <w:rPr>
          <w:bCs/>
          <w:b/>
        </w:rPr>
        <w:t xml:space="preserve">Systematisch overzicht (systematische review)</w:t>
      </w:r>
      <w:r>
        <w:t xml:space="preserve">: Een artikel dat volgens vastgelegde regels alle beschikbare studies over een vraag opzoekt, beoordeelt en samenvat.</w:t>
      </w:r>
    </w:p>
    <w:bookmarkEnd w:id="1095"/>
    <w:bookmarkStart w:id="1096" w:name="t"/>
    <w:p>
      <w:pPr>
        <w:pStyle w:val="Heading3"/>
      </w:pPr>
      <w:r>
        <w:t xml:space="preserve">T</w:t>
      </w:r>
    </w:p>
    <w:p>
      <w:pPr>
        <w:pStyle w:val="FirstParagraph"/>
      </w:pPr>
      <w:r>
        <w:rPr>
          <w:bCs/>
          <w:b/>
        </w:rPr>
        <w:t xml:space="preserve">Therapeutic Use Exemption (TUE)</w:t>
      </w:r>
      <w:r>
        <w:t xml:space="preserve">: Een medische uitzonderingsvergunning in de sport, die het gebruik toestaat van een verboden, maar medisch noodzakelijk geneesmiddel.</w:t>
      </w:r>
    </w:p>
    <w:bookmarkEnd w:id="1096"/>
    <w:bookmarkStart w:id="1097" w:name="v"/>
    <w:p>
      <w:pPr>
        <w:pStyle w:val="Heading3"/>
      </w:pPr>
      <w:r>
        <w:t xml:space="preserve">V</w:t>
      </w:r>
    </w:p>
    <w:p>
      <w:pPr>
        <w:pStyle w:val="FirstParagraph"/>
      </w:pPr>
      <w:r>
        <w:rPr>
          <w:bCs/>
          <w:b/>
        </w:rPr>
        <w:t xml:space="preserve">Vastefase-peptidesynthese</w:t>
      </w:r>
      <w:r>
        <w:t xml:space="preserve">: Chemische methode waarbij een peptideketen bouwsteen voor bouwsteen op een vast dragermateriaal wordt opgebouwd. Basis voor de productie van de meeste korte peptiden.</w:t>
      </w:r>
    </w:p>
    <w:p>
      <w:pPr>
        <w:pStyle w:val="BodyText"/>
      </w:pPr>
      <w:r>
        <w:rPr>
          <w:bCs/>
          <w:b/>
        </w:rPr>
        <w:t xml:space="preserve">Verontreiniging</w:t>
      </w:r>
      <w:r>
        <w:t xml:space="preserve">: Ongewenste bestanddelen van een product, zoals foutieve peptideketens uit de synthese, resten van oplosmiddelen, metalen of bacteriële bestanddelen.</w:t>
      </w:r>
    </w:p>
    <w:p>
      <w:pPr>
        <w:pStyle w:val="BodyText"/>
      </w:pPr>
      <w:r>
        <w:rPr>
          <w:bCs/>
          <w:b/>
        </w:rPr>
        <w:t xml:space="preserve">Voedingssupplement</w:t>
      </w:r>
      <w:r>
        <w:t xml:space="preserve">: Een levensmiddel dat bedoeld is om de normale voeding aan te vullen met voedingsstoffen of andere stoffen. Het heeft geen registratie nodig, maar mag geen farmacologische werking hebben.</w:t>
      </w:r>
    </w:p>
    <w:bookmarkEnd w:id="1097"/>
    <w:bookmarkStart w:id="1098" w:name="w"/>
    <w:p>
      <w:pPr>
        <w:pStyle w:val="Heading3"/>
      </w:pPr>
      <w:r>
        <w:t xml:space="preserve">W</w:t>
      </w:r>
    </w:p>
    <w:p>
      <w:pPr>
        <w:pStyle w:val="FirstParagraph"/>
      </w:pPr>
      <w:r>
        <w:rPr>
          <w:bCs/>
          <w:b/>
        </w:rPr>
        <w:t xml:space="preserve">WADA (Wereldantidopingagentschap)</w:t>
      </w:r>
      <w:r>
        <w:t xml:space="preserve">: De internationale organisatie die jaarlijks de lijst uitbrengt van stoffen en methoden die in de sport verboden zijn.</w:t>
      </w:r>
    </w:p>
    <w:bookmarkEnd w:id="1098"/>
    <w:bookmarkEnd w:id="1099"/>
    <w:bookmarkStart w:id="1115" w:name="methodologie"/>
    <w:p>
      <w:pPr>
        <w:pStyle w:val="Heading1"/>
      </w:pPr>
      <w:r>
        <w:t xml:space="preserve">Methodologie</w:t>
      </w:r>
    </w:p>
    <w:p>
      <w:pPr>
        <w:pStyle w:val="FirstParagraph"/>
      </w:pPr>
      <w:r>
        <w:t xml:space="preserve">Deze bijlage beschrijft hoe de studies voor dit boek zijn gezocht, geselecteerd en gecontroleerd. Ze moet u in staat stellen het onderzoek na te gaan en het zo nodig zelf te herhalen of bij te werken.</w:t>
      </w:r>
    </w:p>
    <w:bookmarkStart w:id="1100" w:name="databanken"/>
    <w:p>
      <w:pPr>
        <w:pStyle w:val="Heading3"/>
      </w:pPr>
      <w:r>
        <w:t xml:space="preserve">Databanken</w:t>
      </w:r>
    </w:p>
    <w:p>
      <w:pPr>
        <w:pStyle w:val="FirstParagraph"/>
      </w:pPr>
      <w:r>
        <w:t xml:space="preserve">Basis van het onderzoek zijn twee vrij toegankelijke databanken:</w:t>
      </w:r>
    </w:p>
    <w:p>
      <w:pPr>
        <w:numPr>
          <w:ilvl w:val="0"/>
          <w:numId w:val="1373"/>
        </w:numPr>
        <w:pStyle w:val="Compact"/>
      </w:pPr>
      <w:r>
        <w:rPr>
          <w:bCs/>
          <w:b/>
        </w:rPr>
        <w:t xml:space="preserve">PubMed</w:t>
      </w:r>
      <w:r>
        <w:t xml:space="preserve"> </w:t>
      </w:r>
      <w:r>
        <w:t xml:space="preserve">(pubmed.ncbi.nlm.nih.gov), de literatuurdatabank van de Amerikaanse National Library of Medicine. Ze bevat publicaties uit biomedische vaktijdschriften met titel, auteurs, samenvatting (abstract) en trefwoorden. Elke vermelding heeft een uniek nummer, het PMID.</w:t>
      </w:r>
    </w:p>
    <w:p>
      <w:pPr>
        <w:numPr>
          <w:ilvl w:val="0"/>
          <w:numId w:val="1373"/>
        </w:numPr>
        <w:pStyle w:val="Compact"/>
      </w:pPr>
      <w:r>
        <w:rPr>
          <w:bCs/>
          <w:b/>
        </w:rPr>
        <w:t xml:space="preserve">ClinicalTrials.gov</w:t>
      </w:r>
      <w:r>
        <w:t xml:space="preserve"> </w:t>
      </w:r>
      <w:r>
        <w:t xml:space="preserve">(clinicaltrials.gov), het studieregister van de Amerikaanse National Institutes of Health. Hier worden klinische studies uit de hele wereld vóór de start geregistreerd, met opzet, gepland aantal deelnemers, eindpunten en status. Elke studie heeft een NCT-nummer.</w:t>
      </w:r>
    </w:p>
    <w:p>
      <w:pPr>
        <w:pStyle w:val="FirstParagraph"/>
      </w:pPr>
      <w:r>
        <w:t xml:space="preserve">Beide databanken zijn bevraagd via hun officiële, openbaar toegankelijke programmeerinterfaces: PubMed via de E-Utilities van het National Center for Biotechnology Information, ClinicalTrials.gov via de programmeerinterface in versie 2. Andere databanken zoals Embase, de Cochrane Library, Web of Science, het EU-studieregister of nationale registers zijn niet systematisch doorzocht.</w:t>
      </w:r>
    </w:p>
    <w:bookmarkEnd w:id="1100"/>
    <w:bookmarkStart w:id="1101" w:name="periode-van-de-zoekopdrachten"/>
    <w:p>
      <w:pPr>
        <w:pStyle w:val="Heading3"/>
      </w:pPr>
      <w:r>
        <w:t xml:space="preserve">Periode van de zoekopdrachten</w:t>
      </w:r>
    </w:p>
    <w:p>
      <w:pPr>
        <w:pStyle w:val="FirstParagraph"/>
      </w:pPr>
      <w:r>
        <w:t xml:space="preserve">De systematische zoekopdrachten zijn uitgevoerd in</w:t>
      </w:r>
      <w:r>
        <w:t xml:space="preserve"> </w:t>
      </w:r>
      <w:r>
        <w:rPr>
          <w:bCs/>
          <w:b/>
        </w:rPr>
        <w:t xml:space="preserve">oktober 2026</w:t>
      </w:r>
      <w:r>
        <w:t xml:space="preserve">; de telling van de treffers voor alle peptiden dateert van 28 oktober 2026. Aanvullende gerichte zoekopdrachten naar afzonderlijke studies, casusbeschrijvingen en overzichtsartikelen zijn in dezelfde periode uitgevoerd. Later verschenen studies zijn niet meegenomen. De stand van het boek is november 2026.</w:t>
      </w:r>
    </w:p>
    <w:bookmarkEnd w:id="1101"/>
    <w:bookmarkStart w:id="1102" w:name="zoekstrategie"/>
    <w:p>
      <w:pPr>
        <w:pStyle w:val="Heading3"/>
      </w:pPr>
      <w:r>
        <w:t xml:space="preserve">Zoekstrategie</w:t>
      </w:r>
    </w:p>
    <w:p>
      <w:pPr>
        <w:pStyle w:val="FirstParagraph"/>
      </w:pPr>
      <w:r>
        <w:t xml:space="preserve">Voor elk van de 58 peptiden en vergelijkingsstoffen is een eigen PubMed-zoekterm vastgelegd. Die omvat de internationale naam van de werkzame stof en gangbare afkortingen, codenamen en handelsnamen, en zoekt in titel en samenvatting (aanduiding</w:t>
      </w:r>
      <w:r>
        <w:t xml:space="preserve"> </w:t>
      </w:r>
      <w:r>
        <w:rPr>
          <w:rStyle w:val="VerbatimChar"/>
        </w:rPr>
        <w:t xml:space="preserve">[tiab]</w:t>
      </w:r>
      <w:r>
        <w:t xml:space="preserve">) of alleen in de titel (</w:t>
      </w:r>
      <w:r>
        <w:rPr>
          <w:rStyle w:val="VerbatimChar"/>
        </w:rPr>
        <w:t xml:space="preserve">[ti]</w:t>
      </w:r>
      <w:r>
        <w:t xml:space="preserve">). Bij meerduidige begrippen is de zoekterm ingeperkt, bijvoorbeeld bij collageenpeptiden tot artikelen over inname of bij kisspeptine tot artikelen over toediening van het peptide.</w:t>
      </w:r>
    </w:p>
    <w:p>
      <w:pPr>
        <w:pStyle w:val="BodyText"/>
      </w:pPr>
      <w:r>
        <w:t xml:space="preserve">Op deze zoekterm zijn drie filters toegepast:</w:t>
      </w:r>
    </w:p>
    <w:p>
      <w:pPr>
        <w:pStyle w:val="BodyText"/>
      </w:pPr>
      <w:r>
        <w:rPr>
          <w:bCs/>
          <w:b/>
        </w:rPr>
        <w:t xml:space="preserve">Studies bij mensen.</w:t>
      </w:r>
      <w:r>
        <w:t xml:space="preserve"> </w:t>
      </w:r>
      <w:r>
        <w:t xml:space="preserve">Om klinische studies bij mensen te vinden, is de zoekterm gecombineerd met het volgende filter:</w:t>
      </w:r>
    </w:p>
    <w:p>
      <w:pPr>
        <w:pStyle w:val="BodyText"/>
      </w:pPr>
      <w:r>
        <w:rPr>
          <w:rStyle w:val="VerbatimChar"/>
        </w:rPr>
        <w:t xml:space="preserve">(clinical trial[pt] OR randomized controlled trial[pt]) AND humans[mh]</w:t>
      </w:r>
    </w:p>
    <w:p>
      <w:pPr>
        <w:pStyle w:val="BodyText"/>
      </w:pPr>
      <w:r>
        <w:t xml:space="preserve">Het deel</w:t>
      </w:r>
      <w:r>
        <w:t xml:space="preserve"> </w:t>
      </w:r>
      <w:r>
        <w:rPr>
          <w:rStyle w:val="VerbatimChar"/>
        </w:rPr>
        <w:t xml:space="preserve">[pt]</w:t>
      </w:r>
      <w:r>
        <w:t xml:space="preserve"> </w:t>
      </w:r>
      <w:r>
        <w:t xml:space="preserve">zoekt naar het publicatietype dat PubMed aan elk artikel toekent;</w:t>
      </w:r>
      <w:r>
        <w:t xml:space="preserve"> </w:t>
      </w:r>
      <w:r>
        <w:rPr>
          <w:rStyle w:val="VerbatimChar"/>
        </w:rPr>
        <w:t xml:space="preserve">humans[mh]</w:t>
      </w:r>
      <w:r>
        <w:t xml:space="preserve"> </w:t>
      </w:r>
      <w:r>
        <w:t xml:space="preserve">staat voor het trefwoord „mensen” in het trefwoordsysteem MeSH. Zo worden artikelen gevonden die als klinische studie of als gerandomiseerde gecontroleerde studie zijn gemarkeerd en mensen betreffen.</w:t>
      </w:r>
    </w:p>
    <w:p>
      <w:pPr>
        <w:pStyle w:val="BodyText"/>
      </w:pPr>
      <w:r>
        <w:rPr>
          <w:bCs/>
          <w:b/>
        </w:rPr>
        <w:t xml:space="preserve">Meta-analyses en overzichtsartikelen.</w:t>
      </w:r>
      <w:r>
        <w:t xml:space="preserve"> </w:t>
      </w:r>
      <w:r>
        <w:t xml:space="preserve">Voor samenvattende artikelen is de zoekterm gecombineerd met dit filter:</w:t>
      </w:r>
    </w:p>
    <w:p>
      <w:pPr>
        <w:pStyle w:val="BodyText"/>
      </w:pPr>
      <w:r>
        <w:rPr>
          <w:rStyle w:val="VerbatimChar"/>
        </w:rPr>
        <w:t xml:space="preserve">(meta-analysis[pt] OR systematic review[pt])</w:t>
      </w:r>
    </w:p>
    <w:p>
      <w:pPr>
        <w:pStyle w:val="BodyText"/>
      </w:pPr>
      <w:r>
        <w:rPr>
          <w:bCs/>
          <w:b/>
        </w:rPr>
        <w:t xml:space="preserve">Preklinisch onderzoek.</w:t>
      </w:r>
      <w:r>
        <w:t xml:space="preserve"> </w:t>
      </w:r>
      <w:r>
        <w:t xml:space="preserve">Bij peptiden met minder dan 25 gevonden studies bij mensen zijn daarnaast de meest relevante overige artikelen zonder het filter voor studies bij mensen geanalyseerd, om dier- en laboratoriumstudies, casusbeschrijvingen en analyses van grijze-marktproducten vast te leggen.</w:t>
      </w:r>
    </w:p>
    <w:p>
      <w:pPr>
        <w:pStyle w:val="BodyText"/>
      </w:pPr>
      <w:r>
        <w:rPr>
          <w:bCs/>
          <w:b/>
        </w:rPr>
        <w:t xml:space="preserve">Registerstudies.</w:t>
      </w:r>
      <w:r>
        <w:t xml:space="preserve"> </w:t>
      </w:r>
      <w:r>
        <w:t xml:space="preserve">In ClinicalTrials.gov is voor elk peptide een eigen, meestal eenvoudige zoekterm met de naam van de werkzame stof gebruikt. Alle vermeldingen zijn vastgelegd, ongeacht status en studiefase.</w:t>
      </w:r>
    </w:p>
    <w:p>
      <w:pPr>
        <w:pStyle w:val="BodyText"/>
      </w:pPr>
      <w:r>
        <w:t xml:space="preserve">Naast deze geautomatiseerde zoekopdrachten is voor elk hoofdstuk gericht gezocht naar de belangrijkste registratie- en eindpuntstudies, grote meta-analyses, studieprogramma’s (bijvoorbeeld STEP, SURMOUNT of SELECT), veiligheidsgegevens, casusbeschrijvingen en laboratoriumanalyses van grijze-marktproducten. Voor Deel I is bovendien gezocht naar artikelen over de geschiedenis van de peptidegeneeskunde, over toedieningsvormen, over studiemethodologie en over de grijze markt.</w:t>
      </w:r>
    </w:p>
    <w:bookmarkEnd w:id="1102"/>
    <w:bookmarkStart w:id="1109" w:name="zoektermen-per-peptide"/>
    <w:p>
      <w:pPr>
        <w:pStyle w:val="Heading3"/>
      </w:pPr>
      <w:r>
        <w:t xml:space="preserve">Zoektermen per peptide</w:t>
      </w:r>
    </w:p>
    <w:p>
      <w:pPr>
        <w:pStyle w:val="FirstParagraph"/>
      </w:pPr>
      <w:r>
        <w:t xml:space="preserve">De volgende tabellen geven de PubMed-zoektermen weer die voor de systematische zoekopdracht zijn gebruikt. Aan elke term zijn de hierboven beschreven filters toegevoegd. Een sterretje aan het einde van een woord staat voor willekeurige woorduitgangen,</w:t>
      </w:r>
      <w:r>
        <w:t xml:space="preserve"> </w:t>
      </w:r>
      <w:r>
        <w:rPr>
          <w:rStyle w:val="VerbatimChar"/>
        </w:rPr>
        <w:t xml:space="preserve">OR</w:t>
      </w:r>
      <w:r>
        <w:t xml:space="preserve"> </w:t>
      </w:r>
      <w:r>
        <w:t xml:space="preserve">verbindt alternatieve benamingen,</w:t>
      </w:r>
      <w:r>
        <w:t xml:space="preserve"> </w:t>
      </w:r>
      <w:r>
        <w:rPr>
          <w:rStyle w:val="VerbatimChar"/>
        </w:rPr>
        <w:t xml:space="preserve">AND</w:t>
      </w:r>
      <w:r>
        <w:t xml:space="preserve"> </w:t>
      </w:r>
      <w:r>
        <w:t xml:space="preserve">perkt de zoekopdracht in.</w:t>
      </w:r>
    </w:p>
    <w:bookmarkStart w:id="1103" w:name="a.-stofwisseling-en-gewicht-1"/>
    <w:p>
      <w:pPr>
        <w:pStyle w:val="Heading4"/>
      </w:pPr>
      <w:r>
        <w:t xml:space="preserve">A. Stofwisseling en gewicht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Peptide</w:t>
            </w:r>
          </w:p>
        </w:tc>
        <w:tc>
          <w:tcPr/>
          <w:p>
            <w:pPr>
              <w:pStyle w:val="Compact"/>
              <w:jc w:val="left"/>
            </w:pPr>
            <w:r>
              <w:t xml:space="preserve">PubMed-zoekterm</w:t>
            </w:r>
          </w:p>
        </w:tc>
      </w:tr>
      <w:tr>
        <w:tc>
          <w:tcPr/>
          <w:p>
            <w:pPr>
              <w:pStyle w:val="Compact"/>
              <w:jc w:val="left"/>
            </w:pPr>
            <w:r>
              <w:t xml:space="preserve">Exenatide</w:t>
            </w:r>
          </w:p>
        </w:tc>
        <w:tc>
          <w:tcPr/>
          <w:p>
            <w:pPr>
              <w:pStyle w:val="Compact"/>
              <w:jc w:val="left"/>
            </w:pPr>
            <w:r>
              <w:rPr>
                <w:rStyle w:val="VerbatimChar"/>
              </w:rPr>
              <w:t xml:space="preserve">exenatide[tiab]</w:t>
            </w:r>
          </w:p>
        </w:tc>
      </w:tr>
      <w:tr>
        <w:tc>
          <w:tcPr/>
          <w:p>
            <w:pPr>
              <w:pStyle w:val="Compact"/>
              <w:jc w:val="left"/>
            </w:pPr>
            <w:r>
              <w:t xml:space="preserve">Liraglutide</w:t>
            </w:r>
          </w:p>
        </w:tc>
        <w:tc>
          <w:tcPr/>
          <w:p>
            <w:pPr>
              <w:pStyle w:val="Compact"/>
              <w:jc w:val="left"/>
            </w:pPr>
            <w:r>
              <w:rPr>
                <w:rStyle w:val="VerbatimChar"/>
              </w:rPr>
              <w:t xml:space="preserve">liraglutide[tiab]</w:t>
            </w:r>
          </w:p>
        </w:tc>
      </w:tr>
      <w:tr>
        <w:tc>
          <w:tcPr/>
          <w:p>
            <w:pPr>
              <w:pStyle w:val="Compact"/>
              <w:jc w:val="left"/>
            </w:pPr>
            <w:r>
              <w:t xml:space="preserve">Dulaglutide</w:t>
            </w:r>
          </w:p>
        </w:tc>
        <w:tc>
          <w:tcPr/>
          <w:p>
            <w:pPr>
              <w:pStyle w:val="Compact"/>
              <w:jc w:val="left"/>
            </w:pPr>
            <w:r>
              <w:rPr>
                <w:rStyle w:val="VerbatimChar"/>
              </w:rPr>
              <w:t xml:space="preserve">dulaglutide[tiab]</w:t>
            </w:r>
          </w:p>
        </w:tc>
      </w:tr>
      <w:tr>
        <w:tc>
          <w:tcPr/>
          <w:p>
            <w:pPr>
              <w:pStyle w:val="Compact"/>
              <w:jc w:val="left"/>
            </w:pPr>
            <w:r>
              <w:t xml:space="preserve">Semaglutide</w:t>
            </w:r>
          </w:p>
        </w:tc>
        <w:tc>
          <w:tcPr/>
          <w:p>
            <w:pPr>
              <w:pStyle w:val="Compact"/>
              <w:jc w:val="left"/>
            </w:pPr>
            <w:r>
              <w:rPr>
                <w:rStyle w:val="VerbatimChar"/>
              </w:rPr>
              <w:t xml:space="preserve">semaglutide[tiab]</w:t>
            </w:r>
          </w:p>
        </w:tc>
      </w:tr>
      <w:tr>
        <w:tc>
          <w:tcPr/>
          <w:p>
            <w:pPr>
              <w:pStyle w:val="Compact"/>
              <w:jc w:val="left"/>
            </w:pPr>
            <w:r>
              <w:t xml:space="preserve">Tirzepatide</w:t>
            </w:r>
          </w:p>
        </w:tc>
        <w:tc>
          <w:tcPr/>
          <w:p>
            <w:pPr>
              <w:pStyle w:val="Compact"/>
              <w:jc w:val="left"/>
            </w:pPr>
            <w:r>
              <w:rPr>
                <w:rStyle w:val="VerbatimChar"/>
              </w:rPr>
              <w:t xml:space="preserve">tirzepatide[tiab]</w:t>
            </w:r>
          </w:p>
        </w:tc>
      </w:tr>
      <w:tr>
        <w:tc>
          <w:tcPr/>
          <w:p>
            <w:pPr>
              <w:pStyle w:val="Compact"/>
              <w:jc w:val="left"/>
            </w:pPr>
            <w:r>
              <w:t xml:space="preserve">Retatrutide</w:t>
            </w:r>
          </w:p>
        </w:tc>
        <w:tc>
          <w:tcPr/>
          <w:p>
            <w:pPr>
              <w:pStyle w:val="Compact"/>
              <w:jc w:val="left"/>
            </w:pPr>
            <w:r>
              <w:rPr>
                <w:rStyle w:val="VerbatimChar"/>
              </w:rPr>
              <w:t xml:space="preserve">retatrutide[tiab]</w:t>
            </w:r>
          </w:p>
        </w:tc>
      </w:tr>
      <w:tr>
        <w:tc>
          <w:tcPr/>
          <w:p>
            <w:pPr>
              <w:pStyle w:val="Compact"/>
              <w:jc w:val="left"/>
            </w:pPr>
            <w:r>
              <w:t xml:space="preserve">Survodutide</w:t>
            </w:r>
          </w:p>
        </w:tc>
        <w:tc>
          <w:tcPr/>
          <w:p>
            <w:pPr>
              <w:pStyle w:val="Compact"/>
              <w:jc w:val="left"/>
            </w:pPr>
            <w:r>
              <w:rPr>
                <w:rStyle w:val="VerbatimChar"/>
              </w:rPr>
              <w:t xml:space="preserve">survodutide[tiab]</w:t>
            </w:r>
          </w:p>
        </w:tc>
      </w:tr>
      <w:tr>
        <w:tc>
          <w:tcPr/>
          <w:p>
            <w:pPr>
              <w:pStyle w:val="Compact"/>
              <w:jc w:val="left"/>
            </w:pPr>
            <w:r>
              <w:t xml:space="preserve">Mazdutide</w:t>
            </w:r>
          </w:p>
        </w:tc>
        <w:tc>
          <w:tcPr/>
          <w:p>
            <w:pPr>
              <w:pStyle w:val="Compact"/>
              <w:jc w:val="left"/>
            </w:pPr>
            <w:r>
              <w:rPr>
                <w:rStyle w:val="VerbatimChar"/>
              </w:rPr>
              <w:t xml:space="preserve">mazdutide[tiab]</w:t>
            </w:r>
          </w:p>
        </w:tc>
      </w:tr>
      <w:tr>
        <w:tc>
          <w:tcPr/>
          <w:p>
            <w:pPr>
              <w:pStyle w:val="Compact"/>
              <w:jc w:val="left"/>
            </w:pPr>
            <w:r>
              <w:t xml:space="preserve">Cagrilintide resp. CagriSema</w:t>
            </w:r>
          </w:p>
        </w:tc>
        <w:tc>
          <w:tcPr/>
          <w:p>
            <w:pPr>
              <w:pStyle w:val="Compact"/>
              <w:jc w:val="left"/>
            </w:pPr>
            <w:r>
              <w:rPr>
                <w:rStyle w:val="VerbatimChar"/>
              </w:rPr>
              <w:t xml:space="preserve">cagrilintide[tiab]</w:t>
            </w:r>
          </w:p>
        </w:tc>
      </w:tr>
      <w:tr>
        <w:tc>
          <w:tcPr/>
          <w:p>
            <w:pPr>
              <w:pStyle w:val="Compact"/>
              <w:jc w:val="left"/>
            </w:pPr>
            <w:r>
              <w:t xml:space="preserve">Amycretine</w:t>
            </w:r>
          </w:p>
        </w:tc>
        <w:tc>
          <w:tcPr/>
          <w:p>
            <w:pPr>
              <w:pStyle w:val="Compact"/>
              <w:jc w:val="left"/>
            </w:pPr>
            <w:r>
              <w:rPr>
                <w:rStyle w:val="VerbatimChar"/>
              </w:rPr>
              <w:t xml:space="preserve">amycretin[tiab]</w:t>
            </w:r>
          </w:p>
        </w:tc>
      </w:tr>
      <w:tr>
        <w:tc>
          <w:tcPr/>
          <w:p>
            <w:pPr>
              <w:pStyle w:val="Compact"/>
              <w:jc w:val="left"/>
            </w:pPr>
            <w:r>
              <w:t xml:space="preserve">Maridebart cafraglutide (MariTide)</w:t>
            </w:r>
          </w:p>
        </w:tc>
        <w:tc>
          <w:tcPr/>
          <w:p>
            <w:pPr>
              <w:pStyle w:val="Compact"/>
              <w:jc w:val="left"/>
            </w:pPr>
            <w:r>
              <w:rPr>
                <w:rStyle w:val="VerbatimChar"/>
              </w:rPr>
              <w:t xml:space="preserve">maridebart[tiab] OR AMG 133[tiab]</w:t>
            </w:r>
          </w:p>
        </w:tc>
      </w:tr>
      <w:tr>
        <w:tc>
          <w:tcPr/>
          <w:p>
            <w:pPr>
              <w:pStyle w:val="Compact"/>
              <w:jc w:val="left"/>
            </w:pPr>
            <w:r>
              <w:t xml:space="preserve">Pramlintide</w:t>
            </w:r>
          </w:p>
        </w:tc>
        <w:tc>
          <w:tcPr/>
          <w:p>
            <w:pPr>
              <w:pStyle w:val="Compact"/>
              <w:jc w:val="left"/>
            </w:pPr>
            <w:r>
              <w:rPr>
                <w:rStyle w:val="VerbatimChar"/>
              </w:rPr>
              <w:t xml:space="preserve">pramlintide[tiab]</w:t>
            </w:r>
          </w:p>
        </w:tc>
      </w:tr>
      <w:tr>
        <w:tc>
          <w:tcPr/>
          <w:p>
            <w:pPr>
              <w:pStyle w:val="Compact"/>
              <w:jc w:val="left"/>
            </w:pPr>
            <w:r>
              <w:t xml:space="preserve">Setmelanotide</w:t>
            </w:r>
          </w:p>
        </w:tc>
        <w:tc>
          <w:tcPr/>
          <w:p>
            <w:pPr>
              <w:pStyle w:val="Compact"/>
              <w:jc w:val="left"/>
            </w:pPr>
            <w:r>
              <w:rPr>
                <w:rStyle w:val="VerbatimChar"/>
              </w:rPr>
              <w:t xml:space="preserve">setmelanotide[tiab]</w:t>
            </w:r>
          </w:p>
        </w:tc>
      </w:tr>
      <w:tr>
        <w:tc>
          <w:tcPr/>
          <w:p>
            <w:pPr>
              <w:pStyle w:val="Compact"/>
              <w:jc w:val="left"/>
            </w:pPr>
            <w:r>
              <w:t xml:space="preserve">AOD-9604</w:t>
            </w:r>
          </w:p>
        </w:tc>
        <w:tc>
          <w:tcPr/>
          <w:p>
            <w:pPr>
              <w:pStyle w:val="Compact"/>
              <w:jc w:val="left"/>
            </w:pPr>
            <w:r>
              <w:rPr>
                <w:rStyle w:val="VerbatimChar"/>
              </w:rPr>
              <w:t xml:space="preserve">AOD9604[tiab] OR AOD-9604[tiab]</w:t>
            </w:r>
          </w:p>
        </w:tc>
      </w:tr>
      <w:tr>
        <w:tc>
          <w:tcPr/>
          <w:p>
            <w:pPr>
              <w:pStyle w:val="Compact"/>
              <w:jc w:val="left"/>
            </w:pPr>
            <w:r>
              <w:t xml:space="preserve">Orforglipron (vergelijking)</w:t>
            </w:r>
          </w:p>
        </w:tc>
        <w:tc>
          <w:tcPr/>
          <w:p>
            <w:pPr>
              <w:pStyle w:val="Compact"/>
              <w:jc w:val="left"/>
            </w:pPr>
            <w:r>
              <w:rPr>
                <w:rStyle w:val="VerbatimChar"/>
              </w:rPr>
              <w:t xml:space="preserve">orforglipron[tiab]</w:t>
            </w:r>
          </w:p>
        </w:tc>
      </w:tr>
    </w:tbl>
    <w:bookmarkEnd w:id="1103"/>
    <w:bookmarkStart w:id="1104" w:name="b.-herstel-regeneratie-en-immuunsysteem"/>
    <w:p>
      <w:pPr>
        <w:pStyle w:val="Heading4"/>
      </w:pPr>
      <w:r>
        <w:t xml:space="preserve">B. Herstel, regeneratie en immuunsysteem</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Peptide</w:t>
            </w:r>
          </w:p>
        </w:tc>
        <w:tc>
          <w:tcPr/>
          <w:p>
            <w:pPr>
              <w:pStyle w:val="Compact"/>
              <w:jc w:val="left"/>
            </w:pPr>
            <w:r>
              <w:t xml:space="preserve">PubMed-zoekterm</w:t>
            </w:r>
          </w:p>
        </w:tc>
      </w:tr>
      <w:tr>
        <w:tc>
          <w:tcPr/>
          <w:p>
            <w:pPr>
              <w:pStyle w:val="Compact"/>
              <w:jc w:val="left"/>
            </w:pPr>
            <w:r>
              <w:t xml:space="preserve">BPC-157</w:t>
            </w:r>
          </w:p>
        </w:tc>
        <w:tc>
          <w:tcPr/>
          <w:p>
            <w:pPr>
              <w:pStyle w:val="Compact"/>
              <w:jc w:val="left"/>
            </w:pPr>
            <w:r>
              <w:rPr>
                <w:rStyle w:val="VerbatimChar"/>
              </w:rPr>
              <w:t xml:space="preserve">BPC 157[tiab] OR BPC-157[tiab] OR pentadecapeptide BPC[tiab]</w:t>
            </w:r>
          </w:p>
        </w:tc>
      </w:tr>
      <w:tr>
        <w:tc>
          <w:tcPr/>
          <w:p>
            <w:pPr>
              <w:pStyle w:val="Compact"/>
              <w:jc w:val="left"/>
            </w:pPr>
            <w:r>
              <w:t xml:space="preserve">TB-500 resp. thymosine bèta-4</w:t>
            </w:r>
          </w:p>
        </w:tc>
        <w:tc>
          <w:tcPr/>
          <w:p>
            <w:pPr>
              <w:pStyle w:val="Compact"/>
              <w:jc w:val="left"/>
            </w:pPr>
            <w:r>
              <w:rPr>
                <w:rStyle w:val="VerbatimChar"/>
              </w:rPr>
              <w:t xml:space="preserve">thymosin beta-4[tiab] OR thymosin beta4[tiab] OR TB-500[tiab] OR TB500[tiab]</w:t>
            </w:r>
          </w:p>
        </w:tc>
      </w:tr>
      <w:tr>
        <w:tc>
          <w:tcPr/>
          <w:p>
            <w:pPr>
              <w:pStyle w:val="Compact"/>
              <w:jc w:val="left"/>
            </w:pPr>
            <w:r>
              <w:t xml:space="preserve">Thymosine alfa-1 (thymalfasine)</w:t>
            </w:r>
          </w:p>
        </w:tc>
        <w:tc>
          <w:tcPr/>
          <w:p>
            <w:pPr>
              <w:pStyle w:val="Compact"/>
              <w:jc w:val="left"/>
            </w:pPr>
            <w:r>
              <w:rPr>
                <w:rStyle w:val="VerbatimChar"/>
              </w:rPr>
              <w:t xml:space="preserve">thymosin alpha 1[tiab] OR thymalfasin[tiab] OR thymosin alpha1[tiab]</w:t>
            </w:r>
          </w:p>
        </w:tc>
      </w:tr>
      <w:tr>
        <w:tc>
          <w:tcPr/>
          <w:p>
            <w:pPr>
              <w:pStyle w:val="Compact"/>
              <w:jc w:val="left"/>
            </w:pPr>
            <w:r>
              <w:t xml:space="preserve">KPV</w:t>
            </w:r>
          </w:p>
        </w:tc>
        <w:tc>
          <w:tcPr/>
          <w:p>
            <w:pPr>
              <w:pStyle w:val="Compact"/>
              <w:jc w:val="left"/>
            </w:pPr>
            <w:r>
              <w:rPr>
                <w:rStyle w:val="VerbatimChar"/>
              </w:rPr>
              <w:t xml:space="preserve">KPV[tiab] AND (peptide[tiab] OR tripeptide[tiab])</w:t>
            </w:r>
          </w:p>
        </w:tc>
      </w:tr>
      <w:tr>
        <w:tc>
          <w:tcPr/>
          <w:p>
            <w:pPr>
              <w:pStyle w:val="Compact"/>
              <w:jc w:val="left"/>
            </w:pPr>
            <w:r>
              <w:t xml:space="preserve">LL-37</w:t>
            </w:r>
          </w:p>
        </w:tc>
        <w:tc>
          <w:tcPr/>
          <w:p>
            <w:pPr>
              <w:pStyle w:val="Compact"/>
              <w:jc w:val="left"/>
            </w:pPr>
            <w:r>
              <w:rPr>
                <w:rStyle w:val="VerbatimChar"/>
              </w:rPr>
              <w:t xml:space="preserve">LL-37[tiab] OR cathelicidin[tiab]</w:t>
            </w:r>
          </w:p>
        </w:tc>
      </w:tr>
      <w:tr>
        <w:tc>
          <w:tcPr/>
          <w:p>
            <w:pPr>
              <w:pStyle w:val="Compact"/>
              <w:jc w:val="left"/>
            </w:pPr>
            <w:r>
              <w:t xml:space="preserve">ARA-290 (cibinetide)</w:t>
            </w:r>
          </w:p>
        </w:tc>
        <w:tc>
          <w:tcPr/>
          <w:p>
            <w:pPr>
              <w:pStyle w:val="Compact"/>
              <w:jc w:val="left"/>
            </w:pPr>
            <w:r>
              <w:rPr>
                <w:rStyle w:val="VerbatimChar"/>
              </w:rPr>
              <w:t xml:space="preserve">ARA 290[tiab] OR ARA290[tiab] OR cibinetide[tiab]</w:t>
            </w:r>
          </w:p>
        </w:tc>
      </w:tr>
      <w:tr>
        <w:tc>
          <w:tcPr/>
          <w:p>
            <w:pPr>
              <w:pStyle w:val="Compact"/>
              <w:jc w:val="left"/>
            </w:pPr>
            <w:r>
              <w:t xml:space="preserve">Larazotide</w:t>
            </w:r>
          </w:p>
        </w:tc>
        <w:tc>
          <w:tcPr/>
          <w:p>
            <w:pPr>
              <w:pStyle w:val="Compact"/>
              <w:jc w:val="left"/>
            </w:pPr>
            <w:r>
              <w:rPr>
                <w:rStyle w:val="VerbatimChar"/>
              </w:rPr>
              <w:t xml:space="preserve">larazotide[tiab]</w:t>
            </w:r>
          </w:p>
        </w:tc>
      </w:tr>
      <w:tr>
        <w:tc>
          <w:tcPr/>
          <w:p>
            <w:pPr>
              <w:pStyle w:val="Compact"/>
              <w:jc w:val="left"/>
            </w:pPr>
            <w:r>
              <w:t xml:space="preserve">Thymaline resp. thymogen</w:t>
            </w:r>
          </w:p>
        </w:tc>
        <w:tc>
          <w:tcPr/>
          <w:p>
            <w:pPr>
              <w:pStyle w:val="Compact"/>
              <w:jc w:val="left"/>
            </w:pPr>
            <w:r>
              <w:rPr>
                <w:rStyle w:val="VerbatimChar"/>
              </w:rPr>
              <w:t xml:space="preserve">thymalin[tiab] OR thymogen[tiab]</w:t>
            </w:r>
          </w:p>
        </w:tc>
      </w:tr>
    </w:tbl>
    <w:bookmarkEnd w:id="1104"/>
    <w:bookmarkStart w:id="1105" w:name="c.-groeihormoonas-1"/>
    <w:p>
      <w:pPr>
        <w:pStyle w:val="Heading4"/>
      </w:pPr>
      <w:r>
        <w:t xml:space="preserve">C. Groeihormoonas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Peptide</w:t>
            </w:r>
          </w:p>
        </w:tc>
        <w:tc>
          <w:tcPr/>
          <w:p>
            <w:pPr>
              <w:pStyle w:val="Compact"/>
              <w:jc w:val="left"/>
            </w:pPr>
            <w:r>
              <w:t xml:space="preserve">PubMed-zoekterm</w:t>
            </w:r>
          </w:p>
        </w:tc>
      </w:tr>
      <w:tr>
        <w:tc>
          <w:tcPr/>
          <w:p>
            <w:pPr>
              <w:pStyle w:val="Compact"/>
              <w:jc w:val="left"/>
            </w:pPr>
            <w:r>
              <w:t xml:space="preserve">Sermoreline</w:t>
            </w:r>
          </w:p>
        </w:tc>
        <w:tc>
          <w:tcPr/>
          <w:p>
            <w:pPr>
              <w:pStyle w:val="Compact"/>
              <w:jc w:val="left"/>
            </w:pPr>
            <w:r>
              <w:rPr>
                <w:rStyle w:val="VerbatimChar"/>
              </w:rPr>
              <w:t xml:space="preserve">sermorelin[tiab]</w:t>
            </w:r>
          </w:p>
        </w:tc>
      </w:tr>
      <w:tr>
        <w:tc>
          <w:tcPr/>
          <w:p>
            <w:pPr>
              <w:pStyle w:val="Compact"/>
              <w:jc w:val="left"/>
            </w:pPr>
            <w:r>
              <w:t xml:space="preserve">Tesamoreline</w:t>
            </w:r>
          </w:p>
        </w:tc>
        <w:tc>
          <w:tcPr/>
          <w:p>
            <w:pPr>
              <w:pStyle w:val="Compact"/>
              <w:jc w:val="left"/>
            </w:pPr>
            <w:r>
              <w:rPr>
                <w:rStyle w:val="VerbatimChar"/>
              </w:rPr>
              <w:t xml:space="preserve">tesamorelin[tiab]</w:t>
            </w:r>
          </w:p>
        </w:tc>
      </w:tr>
      <w:tr>
        <w:tc>
          <w:tcPr/>
          <w:p>
            <w:pPr>
              <w:pStyle w:val="Compact"/>
              <w:jc w:val="left"/>
            </w:pPr>
            <w:r>
              <w:t xml:space="preserve">CJC-1295</w:t>
            </w:r>
          </w:p>
        </w:tc>
        <w:tc>
          <w:tcPr/>
          <w:p>
            <w:pPr>
              <w:pStyle w:val="Compact"/>
              <w:jc w:val="left"/>
            </w:pPr>
            <w:r>
              <w:rPr>
                <w:rStyle w:val="VerbatimChar"/>
              </w:rPr>
              <w:t xml:space="preserve">CJC-1295[tiab] OR CJC 1295[tiab]</w:t>
            </w:r>
          </w:p>
        </w:tc>
      </w:tr>
      <w:tr>
        <w:tc>
          <w:tcPr/>
          <w:p>
            <w:pPr>
              <w:pStyle w:val="Compact"/>
              <w:jc w:val="left"/>
            </w:pPr>
            <w:r>
              <w:t xml:space="preserve">Ipamoreline</w:t>
            </w:r>
          </w:p>
        </w:tc>
        <w:tc>
          <w:tcPr/>
          <w:p>
            <w:pPr>
              <w:pStyle w:val="Compact"/>
              <w:jc w:val="left"/>
            </w:pPr>
            <w:r>
              <w:rPr>
                <w:rStyle w:val="VerbatimChar"/>
              </w:rPr>
              <w:t xml:space="preserve">ipamorelin[tiab]</w:t>
            </w:r>
          </w:p>
        </w:tc>
      </w:tr>
      <w:tr>
        <w:tc>
          <w:tcPr/>
          <w:p>
            <w:pPr>
              <w:pStyle w:val="Compact"/>
              <w:jc w:val="left"/>
            </w:pPr>
            <w:r>
              <w:t xml:space="preserve">GHRP-2 (pralmoreline)</w:t>
            </w:r>
          </w:p>
        </w:tc>
        <w:tc>
          <w:tcPr/>
          <w:p>
            <w:pPr>
              <w:pStyle w:val="Compact"/>
              <w:jc w:val="left"/>
            </w:pPr>
            <w:r>
              <w:rPr>
                <w:rStyle w:val="VerbatimChar"/>
              </w:rPr>
              <w:t xml:space="preserve">GHRP-2[tiab] OR pralmorelin[tiab]</w:t>
            </w:r>
          </w:p>
        </w:tc>
      </w:tr>
      <w:tr>
        <w:tc>
          <w:tcPr/>
          <w:p>
            <w:pPr>
              <w:pStyle w:val="Compact"/>
              <w:jc w:val="left"/>
            </w:pPr>
            <w:r>
              <w:t xml:space="preserve">GHRP-6</w:t>
            </w:r>
          </w:p>
        </w:tc>
        <w:tc>
          <w:tcPr/>
          <w:p>
            <w:pPr>
              <w:pStyle w:val="Compact"/>
              <w:jc w:val="left"/>
            </w:pPr>
            <w:r>
              <w:rPr>
                <w:rStyle w:val="VerbatimChar"/>
              </w:rPr>
              <w:t xml:space="preserve">GHRP-6[tiab]</w:t>
            </w:r>
          </w:p>
        </w:tc>
      </w:tr>
      <w:tr>
        <w:tc>
          <w:tcPr/>
          <w:p>
            <w:pPr>
              <w:pStyle w:val="Compact"/>
              <w:jc w:val="left"/>
            </w:pPr>
            <w:r>
              <w:t xml:space="preserve">Hexareline</w:t>
            </w:r>
          </w:p>
        </w:tc>
        <w:tc>
          <w:tcPr/>
          <w:p>
            <w:pPr>
              <w:pStyle w:val="Compact"/>
              <w:jc w:val="left"/>
            </w:pPr>
            <w:r>
              <w:rPr>
                <w:rStyle w:val="VerbatimChar"/>
              </w:rPr>
              <w:t xml:space="preserve">hexarelin[tiab]</w:t>
            </w:r>
          </w:p>
        </w:tc>
      </w:tr>
      <w:tr>
        <w:tc>
          <w:tcPr/>
          <w:p>
            <w:pPr>
              <w:pStyle w:val="Compact"/>
              <w:jc w:val="left"/>
            </w:pPr>
            <w:r>
              <w:t xml:space="preserve">Macimoreline</w:t>
            </w:r>
          </w:p>
        </w:tc>
        <w:tc>
          <w:tcPr/>
          <w:p>
            <w:pPr>
              <w:pStyle w:val="Compact"/>
              <w:jc w:val="left"/>
            </w:pPr>
            <w:r>
              <w:rPr>
                <w:rStyle w:val="VerbatimChar"/>
              </w:rPr>
              <w:t xml:space="preserve">macimorelin[tiab]</w:t>
            </w:r>
          </w:p>
        </w:tc>
      </w:tr>
      <w:tr>
        <w:tc>
          <w:tcPr/>
          <w:p>
            <w:pPr>
              <w:pStyle w:val="Compact"/>
              <w:jc w:val="left"/>
            </w:pPr>
            <w:r>
              <w:t xml:space="preserve">Mecasermine (IGF-1)</w:t>
            </w:r>
          </w:p>
        </w:tc>
        <w:tc>
          <w:tcPr/>
          <w:p>
            <w:pPr>
              <w:pStyle w:val="Compact"/>
              <w:jc w:val="left"/>
            </w:pPr>
            <w:r>
              <w:rPr>
                <w:rStyle w:val="VerbatimChar"/>
              </w:rPr>
              <w:t xml:space="preserve">mecasermin[tiab] OR rhIGF-1[tiab]</w:t>
            </w:r>
          </w:p>
        </w:tc>
      </w:tr>
      <w:tr>
        <w:tc>
          <w:tcPr/>
          <w:p>
            <w:pPr>
              <w:pStyle w:val="Compact"/>
              <w:jc w:val="left"/>
            </w:pPr>
            <w:r>
              <w:t xml:space="preserve">IGF-1 LR3</w:t>
            </w:r>
          </w:p>
        </w:tc>
        <w:tc>
          <w:tcPr/>
          <w:p>
            <w:pPr>
              <w:pStyle w:val="Compact"/>
              <w:jc w:val="left"/>
            </w:pPr>
            <w:r>
              <w:rPr>
                <w:rStyle w:val="VerbatimChar"/>
              </w:rPr>
              <w:t xml:space="preserve">LR3-IGF-1[tiab] OR IGF-1 LR3[tiab] OR "Long R3"[tiab]</w:t>
            </w:r>
          </w:p>
        </w:tc>
      </w:tr>
      <w:tr>
        <w:tc>
          <w:tcPr/>
          <w:p>
            <w:pPr>
              <w:pStyle w:val="Compact"/>
              <w:jc w:val="left"/>
            </w:pPr>
            <w:r>
              <w:t xml:space="preserve">Ibutamoren (MK-677) (vergelijking)</w:t>
            </w:r>
          </w:p>
        </w:tc>
        <w:tc>
          <w:tcPr/>
          <w:p>
            <w:pPr>
              <w:pStyle w:val="Compact"/>
              <w:jc w:val="left"/>
            </w:pPr>
            <w:r>
              <w:rPr>
                <w:rStyle w:val="VerbatimChar"/>
              </w:rPr>
              <w:t xml:space="preserve">ibutamoren[tiab] OR MK-677[tiab] OR MK-0677[tiab]</w:t>
            </w:r>
          </w:p>
        </w:tc>
      </w:tr>
    </w:tbl>
    <w:bookmarkEnd w:id="1105"/>
    <w:bookmarkStart w:id="1106" w:name="d.-hersenen-slaap-en-een-lang-leven"/>
    <w:p>
      <w:pPr>
        <w:pStyle w:val="Heading4"/>
      </w:pPr>
      <w:r>
        <w:t xml:space="preserve">D. Hersenen, slaap en een lang leven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Peptide</w:t>
            </w:r>
          </w:p>
        </w:tc>
        <w:tc>
          <w:tcPr/>
          <w:p>
            <w:pPr>
              <w:pStyle w:val="Compact"/>
              <w:jc w:val="left"/>
            </w:pPr>
            <w:r>
              <w:t xml:space="preserve">PubMed-zoekterm</w:t>
            </w:r>
          </w:p>
        </w:tc>
      </w:tr>
      <w:tr>
        <w:tc>
          <w:tcPr/>
          <w:p>
            <w:pPr>
              <w:pStyle w:val="Compact"/>
              <w:jc w:val="left"/>
            </w:pPr>
            <w:r>
              <w:t xml:space="preserve">Semax</w:t>
            </w:r>
          </w:p>
        </w:tc>
        <w:tc>
          <w:tcPr/>
          <w:p>
            <w:pPr>
              <w:pStyle w:val="Compact"/>
              <w:jc w:val="left"/>
            </w:pPr>
            <w:r>
              <w:rPr>
                <w:rStyle w:val="VerbatimChar"/>
              </w:rPr>
              <w:t xml:space="preserve">semax[tiab]</w:t>
            </w:r>
          </w:p>
        </w:tc>
      </w:tr>
      <w:tr>
        <w:tc>
          <w:tcPr/>
          <w:p>
            <w:pPr>
              <w:pStyle w:val="Compact"/>
              <w:jc w:val="left"/>
            </w:pPr>
            <w:r>
              <w:t xml:space="preserve">Selank</w:t>
            </w:r>
          </w:p>
        </w:tc>
        <w:tc>
          <w:tcPr/>
          <w:p>
            <w:pPr>
              <w:pStyle w:val="Compact"/>
              <w:jc w:val="left"/>
            </w:pPr>
            <w:r>
              <w:rPr>
                <w:rStyle w:val="VerbatimChar"/>
              </w:rPr>
              <w:t xml:space="preserve">selank[tiab]</w:t>
            </w:r>
          </w:p>
        </w:tc>
      </w:tr>
      <w:tr>
        <w:tc>
          <w:tcPr/>
          <w:p>
            <w:pPr>
              <w:pStyle w:val="Compact"/>
              <w:jc w:val="left"/>
            </w:pPr>
            <w:r>
              <w:t xml:space="preserve">Cerebrolysine</w:t>
            </w:r>
          </w:p>
        </w:tc>
        <w:tc>
          <w:tcPr/>
          <w:p>
            <w:pPr>
              <w:pStyle w:val="Compact"/>
              <w:jc w:val="left"/>
            </w:pPr>
            <w:r>
              <w:rPr>
                <w:rStyle w:val="VerbatimChar"/>
              </w:rPr>
              <w:t xml:space="preserve">cerebrolysin[tiab]</w:t>
            </w:r>
          </w:p>
        </w:tc>
      </w:tr>
      <w:tr>
        <w:tc>
          <w:tcPr/>
          <w:p>
            <w:pPr>
              <w:pStyle w:val="Compact"/>
              <w:jc w:val="left"/>
            </w:pPr>
            <w:r>
              <w:t xml:space="preserve">Dihexa</w:t>
            </w:r>
          </w:p>
        </w:tc>
        <w:tc>
          <w:tcPr/>
          <w:p>
            <w:pPr>
              <w:pStyle w:val="Compact"/>
              <w:jc w:val="left"/>
            </w:pPr>
            <w:r>
              <w:rPr>
                <w:rStyle w:val="VerbatimChar"/>
              </w:rPr>
              <w:t xml:space="preserve">dihexa[tiab]</w:t>
            </w:r>
          </w:p>
        </w:tc>
      </w:tr>
      <w:tr>
        <w:tc>
          <w:tcPr/>
          <w:p>
            <w:pPr>
              <w:pStyle w:val="Compact"/>
              <w:jc w:val="left"/>
            </w:pPr>
            <w:r>
              <w:t xml:space="preserve">DSIP</w:t>
            </w:r>
          </w:p>
        </w:tc>
        <w:tc>
          <w:tcPr/>
          <w:p>
            <w:pPr>
              <w:pStyle w:val="Compact"/>
              <w:jc w:val="left"/>
            </w:pPr>
            <w:r>
              <w:rPr>
                <w:rStyle w:val="VerbatimChar"/>
              </w:rPr>
              <w:t xml:space="preserve">delta sleep-inducing peptide[tiab] OR DSIP[tiab]</w:t>
            </w:r>
          </w:p>
        </w:tc>
      </w:tr>
      <w:tr>
        <w:tc>
          <w:tcPr/>
          <w:p>
            <w:pPr>
              <w:pStyle w:val="Compact"/>
              <w:jc w:val="left"/>
            </w:pPr>
            <w:r>
              <w:t xml:space="preserve">Epitalon (Epithalon)</w:t>
            </w:r>
          </w:p>
        </w:tc>
        <w:tc>
          <w:tcPr/>
          <w:p>
            <w:pPr>
              <w:pStyle w:val="Compact"/>
              <w:jc w:val="left"/>
            </w:pPr>
            <w:r>
              <w:rPr>
                <w:rStyle w:val="VerbatimChar"/>
              </w:rPr>
              <w:t xml:space="preserve">epitalon[tiab] OR epithalon[tiab] OR epithalone[tiab]</w:t>
            </w:r>
          </w:p>
        </w:tc>
      </w:tr>
      <w:tr>
        <w:tc>
          <w:tcPr/>
          <w:p>
            <w:pPr>
              <w:pStyle w:val="Compact"/>
              <w:jc w:val="left"/>
            </w:pPr>
            <w:r>
              <w:t xml:space="preserve">Pinealon</w:t>
            </w:r>
          </w:p>
        </w:tc>
        <w:tc>
          <w:tcPr/>
          <w:p>
            <w:pPr>
              <w:pStyle w:val="Compact"/>
              <w:jc w:val="left"/>
            </w:pPr>
            <w:r>
              <w:rPr>
                <w:rStyle w:val="VerbatimChar"/>
              </w:rPr>
              <w:t xml:space="preserve">pinealon[tiab]</w:t>
            </w:r>
          </w:p>
        </w:tc>
      </w:tr>
      <w:tr>
        <w:tc>
          <w:tcPr/>
          <w:p>
            <w:pPr>
              <w:pStyle w:val="Compact"/>
              <w:jc w:val="left"/>
            </w:pPr>
            <w:r>
              <w:t xml:space="preserve">MOTS-c</w:t>
            </w:r>
          </w:p>
        </w:tc>
        <w:tc>
          <w:tcPr/>
          <w:p>
            <w:pPr>
              <w:pStyle w:val="Compact"/>
              <w:jc w:val="left"/>
            </w:pPr>
            <w:r>
              <w:rPr>
                <w:rStyle w:val="VerbatimChar"/>
              </w:rPr>
              <w:t xml:space="preserve">MOTS-c[tiab]</w:t>
            </w:r>
          </w:p>
        </w:tc>
      </w:tr>
      <w:tr>
        <w:tc>
          <w:tcPr/>
          <w:p>
            <w:pPr>
              <w:pStyle w:val="Compact"/>
              <w:jc w:val="left"/>
            </w:pPr>
            <w:r>
              <w:t xml:space="preserve">Humanine</w:t>
            </w:r>
          </w:p>
        </w:tc>
        <w:tc>
          <w:tcPr/>
          <w:p>
            <w:pPr>
              <w:pStyle w:val="Compact"/>
              <w:jc w:val="left"/>
            </w:pPr>
            <w:r>
              <w:rPr>
                <w:rStyle w:val="VerbatimChar"/>
              </w:rPr>
              <w:t xml:space="preserve">humanin[tiab]</w:t>
            </w:r>
          </w:p>
        </w:tc>
      </w:tr>
      <w:tr>
        <w:tc>
          <w:tcPr/>
          <w:p>
            <w:pPr>
              <w:pStyle w:val="Compact"/>
              <w:jc w:val="left"/>
            </w:pPr>
            <w:r>
              <w:t xml:space="preserve">SS-31 (elamipretide)</w:t>
            </w:r>
          </w:p>
        </w:tc>
        <w:tc>
          <w:tcPr/>
          <w:p>
            <w:pPr>
              <w:pStyle w:val="Compact"/>
              <w:jc w:val="left"/>
            </w:pPr>
            <w:r>
              <w:rPr>
                <w:rStyle w:val="VerbatimChar"/>
              </w:rPr>
              <w:t xml:space="preserve">elamipretide[tiab] OR SS-31[tiab]</w:t>
            </w:r>
          </w:p>
        </w:tc>
      </w:tr>
      <w:tr>
        <w:tc>
          <w:tcPr/>
          <w:p>
            <w:pPr>
              <w:pStyle w:val="Compact"/>
              <w:jc w:val="left"/>
            </w:pPr>
            <w:r>
              <w:t xml:space="preserve">FOXO4-DRI</w:t>
            </w:r>
          </w:p>
        </w:tc>
        <w:tc>
          <w:tcPr/>
          <w:p>
            <w:pPr>
              <w:pStyle w:val="Compact"/>
              <w:jc w:val="left"/>
            </w:pPr>
            <w:r>
              <w:rPr>
                <w:rStyle w:val="VerbatimChar"/>
              </w:rPr>
              <w:t xml:space="preserve">FOXO4-DRI[tiab]</w:t>
            </w:r>
          </w:p>
        </w:tc>
      </w:tr>
      <w:tr>
        <w:tc>
          <w:tcPr/>
          <w:p>
            <w:pPr>
              <w:pStyle w:val="Compact"/>
              <w:jc w:val="left"/>
            </w:pPr>
            <w:r>
              <w:t xml:space="preserve">Glutathion</w:t>
            </w:r>
          </w:p>
        </w:tc>
        <w:tc>
          <w:tcPr/>
          <w:p>
            <w:pPr>
              <w:pStyle w:val="Compact"/>
              <w:jc w:val="left"/>
            </w:pPr>
            <w:r>
              <w:rPr>
                <w:rStyle w:val="VerbatimChar"/>
              </w:rPr>
              <w:t xml:space="preserve">glutathione[ti] AND (supplementation[tiab] OR oral[tiab] OR intravenous[tiab])</w:t>
            </w:r>
          </w:p>
        </w:tc>
      </w:tr>
    </w:tbl>
    <w:bookmarkEnd w:id="1106"/>
    <w:bookmarkStart w:id="1107" w:name="X4668172c86208d1b7720b527fa8f337a7e5cc78"/>
    <w:p>
      <w:pPr>
        <w:pStyle w:val="Heading4"/>
      </w:pPr>
      <w:r>
        <w:t xml:space="preserve">E. Hormonen, seksualiteit en pigmentatie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Peptide</w:t>
            </w:r>
          </w:p>
        </w:tc>
        <w:tc>
          <w:tcPr/>
          <w:p>
            <w:pPr>
              <w:pStyle w:val="Compact"/>
              <w:jc w:val="left"/>
            </w:pPr>
            <w:r>
              <w:t xml:space="preserve">PubMed-zoekterm</w:t>
            </w:r>
          </w:p>
        </w:tc>
      </w:tr>
      <w:tr>
        <w:tc>
          <w:tcPr/>
          <w:p>
            <w:pPr>
              <w:pStyle w:val="Compact"/>
              <w:jc w:val="left"/>
            </w:pPr>
            <w:r>
              <w:t xml:space="preserve">Bremelanotide (PT-141)</w:t>
            </w:r>
          </w:p>
        </w:tc>
        <w:tc>
          <w:tcPr/>
          <w:p>
            <w:pPr>
              <w:pStyle w:val="Compact"/>
              <w:jc w:val="left"/>
            </w:pPr>
            <w:r>
              <w:rPr>
                <w:rStyle w:val="VerbatimChar"/>
              </w:rPr>
              <w:t xml:space="preserve">bremelanotide[tiab] OR PT-141[tiab]</w:t>
            </w:r>
          </w:p>
        </w:tc>
      </w:tr>
      <w:tr>
        <w:tc>
          <w:tcPr/>
          <w:p>
            <w:pPr>
              <w:pStyle w:val="Compact"/>
              <w:jc w:val="left"/>
            </w:pPr>
            <w:r>
              <w:t xml:space="preserve">Melanotan II</w:t>
            </w:r>
          </w:p>
        </w:tc>
        <w:tc>
          <w:tcPr/>
          <w:p>
            <w:pPr>
              <w:pStyle w:val="Compact"/>
              <w:jc w:val="left"/>
            </w:pPr>
            <w:r>
              <w:rPr>
                <w:rStyle w:val="VerbatimChar"/>
              </w:rPr>
              <w:t xml:space="preserve">melanotan[tiab]</w:t>
            </w:r>
          </w:p>
        </w:tc>
      </w:tr>
      <w:tr>
        <w:tc>
          <w:tcPr/>
          <w:p>
            <w:pPr>
              <w:pStyle w:val="Compact"/>
              <w:jc w:val="left"/>
            </w:pPr>
            <w:r>
              <w:t xml:space="preserve">Afamelanotide</w:t>
            </w:r>
          </w:p>
        </w:tc>
        <w:tc>
          <w:tcPr/>
          <w:p>
            <w:pPr>
              <w:pStyle w:val="Compact"/>
              <w:jc w:val="left"/>
            </w:pPr>
            <w:r>
              <w:rPr>
                <w:rStyle w:val="VerbatimChar"/>
              </w:rPr>
              <w:t xml:space="preserve">afamelanotide[tiab]</w:t>
            </w:r>
          </w:p>
        </w:tc>
      </w:tr>
      <w:tr>
        <w:tc>
          <w:tcPr/>
          <w:p>
            <w:pPr>
              <w:pStyle w:val="Compact"/>
              <w:jc w:val="left"/>
            </w:pPr>
            <w:r>
              <w:t xml:space="preserve">Kisspeptine</w:t>
            </w:r>
          </w:p>
        </w:tc>
        <w:tc>
          <w:tcPr/>
          <w:p>
            <w:pPr>
              <w:pStyle w:val="Compact"/>
              <w:jc w:val="left"/>
            </w:pPr>
            <w:r>
              <w:rPr>
                <w:rStyle w:val="VerbatimChar"/>
              </w:rPr>
              <w:t xml:space="preserve">kisspeptin[tiab] AND (administration[tiab] OR infusion[tiab] OR injection[tiab])</w:t>
            </w:r>
          </w:p>
        </w:tc>
      </w:tr>
      <w:tr>
        <w:tc>
          <w:tcPr/>
          <w:p>
            <w:pPr>
              <w:pStyle w:val="Compact"/>
              <w:jc w:val="left"/>
            </w:pPr>
            <w:r>
              <w:t xml:space="preserve">Oxytocine (intranasaal)</w:t>
            </w:r>
          </w:p>
        </w:tc>
        <w:tc>
          <w:tcPr/>
          <w:p>
            <w:pPr>
              <w:pStyle w:val="Compact"/>
              <w:jc w:val="left"/>
            </w:pPr>
            <w:r>
              <w:rPr>
                <w:rStyle w:val="VerbatimChar"/>
              </w:rPr>
              <w:t xml:space="preserve">intranasal oxytocin[tiab]</w:t>
            </w:r>
          </w:p>
        </w:tc>
      </w:tr>
      <w:tr>
        <w:tc>
          <w:tcPr/>
          <w:p>
            <w:pPr>
              <w:pStyle w:val="Compact"/>
              <w:jc w:val="left"/>
            </w:pPr>
            <w:r>
              <w:t xml:space="preserve">Gonadoreline</w:t>
            </w:r>
          </w:p>
        </w:tc>
        <w:tc>
          <w:tcPr/>
          <w:p>
            <w:pPr>
              <w:pStyle w:val="Compact"/>
              <w:jc w:val="left"/>
            </w:pPr>
            <w:r>
              <w:rPr>
                <w:rStyle w:val="VerbatimChar"/>
              </w:rPr>
              <w:t xml:space="preserve">gonadorelin[tiab]</w:t>
            </w:r>
          </w:p>
        </w:tc>
      </w:tr>
    </w:tbl>
    <w:bookmarkEnd w:id="1107"/>
    <w:bookmarkStart w:id="1108" w:name="f.-collageen-voeding-en-cosmetica-1"/>
    <w:p>
      <w:pPr>
        <w:pStyle w:val="Heading4"/>
      </w:pPr>
      <w:r>
        <w:t xml:space="preserve">F. Collageen, voeding en cosmetica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Peptide</w:t>
            </w:r>
          </w:p>
        </w:tc>
        <w:tc>
          <w:tcPr/>
          <w:p>
            <w:pPr>
              <w:pStyle w:val="Compact"/>
              <w:jc w:val="left"/>
            </w:pPr>
            <w:r>
              <w:t xml:space="preserve">PubMed-zoekterm</w:t>
            </w:r>
          </w:p>
        </w:tc>
      </w:tr>
      <w:tr>
        <w:tc>
          <w:tcPr/>
          <w:p>
            <w:pPr>
              <w:pStyle w:val="Compact"/>
              <w:jc w:val="left"/>
            </w:pPr>
            <w:r>
              <w:t xml:space="preserve">Collageenhydrolysaat resp. collageenpeptiden</w:t>
            </w:r>
          </w:p>
        </w:tc>
        <w:tc>
          <w:tcPr/>
          <w:p>
            <w:pPr>
              <w:pStyle w:val="Compact"/>
              <w:jc w:val="left"/>
            </w:pPr>
            <w:r>
              <w:rPr>
                <w:rStyle w:val="VerbatimChar"/>
              </w:rPr>
              <w:t xml:space="preserve">(collagen hydrolysate[tiab] OR collagen peptide*[tiab]) AND (supplement*[tiab] OR oral[tiab] OR ingestion[tiab])</w:t>
            </w:r>
          </w:p>
        </w:tc>
      </w:tr>
      <w:tr>
        <w:tc>
          <w:tcPr/>
          <w:p>
            <w:pPr>
              <w:pStyle w:val="Compact"/>
              <w:jc w:val="left"/>
            </w:pPr>
            <w:r>
              <w:t xml:space="preserve">Lactotripeptiden (VPP/IPP)</w:t>
            </w:r>
          </w:p>
        </w:tc>
        <w:tc>
          <w:tcPr/>
          <w:p>
            <w:pPr>
              <w:pStyle w:val="Compact"/>
              <w:jc w:val="left"/>
            </w:pPr>
            <w:r>
              <w:rPr>
                <w:rStyle w:val="VerbatimChar"/>
              </w:rPr>
              <w:t xml:space="preserve">lactotripeptide*[tiab] OR (valyl-prolyl-proline[tiab])</w:t>
            </w:r>
          </w:p>
        </w:tc>
      </w:tr>
      <w:tr>
        <w:tc>
          <w:tcPr/>
          <w:p>
            <w:pPr>
              <w:pStyle w:val="Compact"/>
              <w:jc w:val="left"/>
            </w:pPr>
            <w:r>
              <w:t xml:space="preserve">Carnosine</w:t>
            </w:r>
          </w:p>
        </w:tc>
        <w:tc>
          <w:tcPr/>
          <w:p>
            <w:pPr>
              <w:pStyle w:val="Compact"/>
              <w:jc w:val="left"/>
            </w:pPr>
            <w:r>
              <w:rPr>
                <w:rStyle w:val="VerbatimChar"/>
              </w:rPr>
              <w:t xml:space="preserve">carnosine[ti] AND (supplementation[tiab] OR oral[tiab])</w:t>
            </w:r>
          </w:p>
        </w:tc>
      </w:tr>
      <w:tr>
        <w:tc>
          <w:tcPr/>
          <w:p>
            <w:pPr>
              <w:pStyle w:val="Compact"/>
              <w:jc w:val="left"/>
            </w:pPr>
            <w:r>
              <w:t xml:space="preserve">GHK-Cu (koperpeptide)</w:t>
            </w:r>
          </w:p>
        </w:tc>
        <w:tc>
          <w:tcPr/>
          <w:p>
            <w:pPr>
              <w:pStyle w:val="Compact"/>
              <w:jc w:val="left"/>
            </w:pPr>
            <w:r>
              <w:rPr>
                <w:rStyle w:val="VerbatimChar"/>
              </w:rPr>
              <w:t xml:space="preserve">GHK-Cu[tiab] OR copper tripeptide[tiab] OR copper peptide GHK[tiab]</w:t>
            </w:r>
          </w:p>
        </w:tc>
      </w:tr>
      <w:tr>
        <w:tc>
          <w:tcPr/>
          <w:p>
            <w:pPr>
              <w:pStyle w:val="Compact"/>
              <w:jc w:val="left"/>
            </w:pPr>
            <w:r>
              <w:t xml:space="preserve">Palmitoyl-pentapeptide-4 (Matrixyl)</w:t>
            </w:r>
          </w:p>
        </w:tc>
        <w:tc>
          <w:tcPr/>
          <w:p>
            <w:pPr>
              <w:pStyle w:val="Compact"/>
              <w:jc w:val="left"/>
            </w:pPr>
            <w:r>
              <w:rPr>
                <w:rStyle w:val="VerbatimChar"/>
              </w:rPr>
              <w:t xml:space="preserve">palmitoyl pentapeptide[tiab] OR matrixyl[tiab]</w:t>
            </w:r>
          </w:p>
        </w:tc>
      </w:tr>
      <w:tr>
        <w:tc>
          <w:tcPr/>
          <w:p>
            <w:pPr>
              <w:pStyle w:val="Compact"/>
              <w:jc w:val="left"/>
            </w:pPr>
            <w:r>
              <w:t xml:space="preserve">Acetyl-hexapeptide-8 (Argireline)</w:t>
            </w:r>
          </w:p>
        </w:tc>
        <w:tc>
          <w:tcPr/>
          <w:p>
            <w:pPr>
              <w:pStyle w:val="Compact"/>
              <w:jc w:val="left"/>
            </w:pPr>
            <w:r>
              <w:rPr>
                <w:rStyle w:val="VerbatimChar"/>
              </w:rPr>
              <w:t xml:space="preserve">acetyl hexapeptide[tiab] OR argireline[tiab]</w:t>
            </w:r>
          </w:p>
        </w:tc>
      </w:tr>
    </w:tbl>
    <w:bookmarkEnd w:id="1108"/>
    <w:bookmarkEnd w:id="1109"/>
    <w:bookmarkStart w:id="1110" w:name="omvang-van-de-treffers"/>
    <w:p>
      <w:pPr>
        <w:pStyle w:val="Heading3"/>
      </w:pPr>
      <w:r>
        <w:t xml:space="preserve">Omvang van de treffers</w:t>
      </w:r>
    </w:p>
    <w:p>
      <w:pPr>
        <w:pStyle w:val="FirstParagraph"/>
      </w:pPr>
      <w:r>
        <w:t xml:space="preserve">In totaal leverden de 58 zoekopdrachten met het filter voor studies bij mensen 3.216 treffers op, met het filter voor meta-analyses en overzichtsartikelen 1.739 treffers. In ClinicalTrials.gov zijn 4.879 registervermeldingen gevonden. Deze totalen bevatten dubbeltellingen, omdat sommige studies meerdere peptiden betreffen – bijvoorbeeld vergelijkende studies tussen semaglutide en tirzepatide. De aantallen per peptide worden aan het begin van de paragraaf „Studies bij mensen” in het betreffende hoofdstuk genoemd.</w:t>
      </w:r>
    </w:p>
    <w:p>
      <w:pPr>
        <w:pStyle w:val="BodyText"/>
      </w:pPr>
      <w:r>
        <w:t xml:space="preserve">De verdeling is zeer ongelijk: op de geregistreerde GLP-1-geneesmiddelen vallen honderden studies bij mensen, voor veel grijze-marktpeptiden daarentegen geen of slechts een handvol.</w:t>
      </w:r>
    </w:p>
    <w:bookmarkEnd w:id="1110"/>
    <w:bookmarkStart w:id="1111" w:name="selectie-en-analyse"/>
    <w:p>
      <w:pPr>
        <w:pStyle w:val="Heading3"/>
      </w:pPr>
      <w:r>
        <w:t xml:space="preserve">Selectie en analyse</w:t>
      </w:r>
    </w:p>
    <w:p>
      <w:pPr>
        <w:pStyle w:val="FirstParagraph"/>
      </w:pPr>
      <w:r>
        <w:t xml:space="preserve">Voor elk peptide zijn alle treffers met het filter voor studies bij mensen als korte lijst (titel, jaar, vaktijdschrift, eerste auteur) vastgelegd; ze vormen de basis van het studieoverzicht in de bijlage. De volgens PubMed-relevantie belangrijkste studies bij mensen en overzichtsartikelen zijn met hun samenvattingen gelezen en geanalyseerd, aangevuld met de gericht gezochte artikelen.</w:t>
      </w:r>
    </w:p>
    <w:p>
      <w:pPr>
        <w:pStyle w:val="BodyText"/>
      </w:pPr>
      <w:r>
        <w:t xml:space="preserve">Voor de weergave in de tekst geldt:</w:t>
      </w:r>
    </w:p>
    <w:p>
      <w:pPr>
        <w:numPr>
          <w:ilvl w:val="0"/>
          <w:numId w:val="1374"/>
        </w:numPr>
        <w:pStyle w:val="Compact"/>
      </w:pPr>
      <w:r>
        <w:t xml:space="preserve">Elke genoemde studie is gelezen aan de hand van haar PubMed-vermelding respectievelijk registervermelding.</w:t>
      </w:r>
    </w:p>
    <w:p>
      <w:pPr>
        <w:numPr>
          <w:ilvl w:val="0"/>
          <w:numId w:val="1374"/>
        </w:numPr>
        <w:pStyle w:val="Compact"/>
      </w:pPr>
      <w:r>
        <w:t xml:space="preserve">Cijfers – zoals aantallen deelnemers, percentages, gewichtsveranderingen of p-waarden – komen uitsluitend uit de samenvatting van de publicatie of uit de registervermelding. Wat daar niet is onderbouwd, wordt niet als getal genoemd.</w:t>
      </w:r>
    </w:p>
    <w:p>
      <w:pPr>
        <w:numPr>
          <w:ilvl w:val="0"/>
          <w:numId w:val="1374"/>
        </w:numPr>
        <w:pStyle w:val="Compact"/>
      </w:pPr>
      <w:r>
        <w:t xml:space="preserve">Volledige teksten zijn niet systematisch geanalyseerd. Details die alleen in de volledige tekst staan, zoals afzonderlijke bijwerkingspercentages of subgroepen, ontbreken daarom deels.</w:t>
      </w:r>
    </w:p>
    <w:p>
      <w:pPr>
        <w:numPr>
          <w:ilvl w:val="0"/>
          <w:numId w:val="1374"/>
        </w:numPr>
        <w:pStyle w:val="Compact"/>
      </w:pPr>
      <w:r>
        <w:t xml:space="preserve">Dier- en laboratoriumresultaten worden uitdrukkelijk als zodanig aangeduid.</w:t>
      </w:r>
    </w:p>
    <w:p>
      <w:pPr>
        <w:numPr>
          <w:ilvl w:val="0"/>
          <w:numId w:val="1374"/>
        </w:numPr>
        <w:pStyle w:val="Compact"/>
      </w:pPr>
      <w:r>
        <w:t xml:space="preserve">Bij lopende studies wordt alleen vermeld wat in het register staat. Ze worden aangeduid als</w:t>
      </w:r>
      <w:r>
        <w:t xml:space="preserve"> </w:t>
      </w:r>
      <w:r>
        <w:rPr>
          <w:iCs/>
          <w:i/>
        </w:rPr>
        <w:t xml:space="preserve">vaststaand</w:t>
      </w:r>
      <w:r>
        <w:t xml:space="preserve"> </w:t>
      </w:r>
      <w:r>
        <w:t xml:space="preserve">(geregistreerd, lopend), eigen prognoses als</w:t>
      </w:r>
      <w:r>
        <w:t xml:space="preserve"> </w:t>
      </w:r>
      <w:r>
        <w:rPr>
          <w:iCs/>
          <w:i/>
        </w:rPr>
        <w:t xml:space="preserve">inschatting</w:t>
      </w:r>
      <w:r>
        <w:t xml:space="preserve">.</w:t>
      </w:r>
    </w:p>
    <w:bookmarkEnd w:id="1111"/>
    <w:bookmarkStart w:id="1112" w:name="bewijsniveaus"/>
    <w:p>
      <w:pPr>
        <w:pStyle w:val="Heading3"/>
      </w:pPr>
      <w:r>
        <w:t xml:space="preserve">Bewijsniveaus</w:t>
      </w:r>
    </w:p>
    <w:p>
      <w:pPr>
        <w:pStyle w:val="FirstParagraph"/>
      </w:pPr>
      <w:r>
        <w:t xml:space="preserve">Elk peptide kreeg een bewijsniveau volgens de volgende criteria: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Niveau</w:t>
            </w:r>
          </w:p>
        </w:tc>
        <w:tc>
          <w:tcPr/>
          <w:p>
            <w:pPr>
              <w:pStyle w:val="Compact"/>
              <w:jc w:val="left"/>
            </w:pPr>
            <w:r>
              <w:t xml:space="preserve">Criterium</w:t>
            </w:r>
          </w:p>
        </w:tc>
      </w:tr>
      <w:tr>
        <w:tc>
          <w:tcPr/>
          <w:p>
            <w:pPr>
              <w:pStyle w:val="Compact"/>
              <w:jc w:val="left"/>
            </w:pPr>
            <w:r>
              <w:t xml:space="preserve">A</w:t>
            </w:r>
          </w:p>
        </w:tc>
        <w:tc>
          <w:tcPr/>
          <w:p>
            <w:pPr>
              <w:pStyle w:val="Compact"/>
              <w:jc w:val="left"/>
            </w:pPr>
            <w:r>
              <w:t xml:space="preserve">meerdere grote gerandomiseerde studies bij mensen, registratie als geneesmiddel</w:t>
            </w:r>
          </w:p>
        </w:tc>
      </w:tr>
      <w:tr>
        <w:tc>
          <w:tcPr/>
          <w:p>
            <w:pPr>
              <w:pStyle w:val="Compact"/>
              <w:jc w:val="left"/>
            </w:pPr>
            <w:r>
              <w:t xml:space="preserve">B</w:t>
            </w:r>
          </w:p>
        </w:tc>
        <w:tc>
          <w:tcPr/>
          <w:p>
            <w:pPr>
              <w:pStyle w:val="Compact"/>
              <w:jc w:val="left"/>
            </w:pPr>
            <w:r>
              <w:t xml:space="preserve">afzonderlijke gerandomiseerde studies bij mensen</w:t>
            </w:r>
          </w:p>
        </w:tc>
      </w:tr>
      <w:tr>
        <w:tc>
          <w:tcPr/>
          <w:p>
            <w:pPr>
              <w:pStyle w:val="Compact"/>
              <w:jc w:val="left"/>
            </w:pPr>
            <w:r>
              <w:t xml:space="preserve">C</w:t>
            </w:r>
          </w:p>
        </w:tc>
        <w:tc>
          <w:tcPr/>
          <w:p>
            <w:pPr>
              <w:pStyle w:val="Compact"/>
              <w:jc w:val="left"/>
            </w:pPr>
            <w:r>
              <w:t xml:space="preserve">alleen kleine of ongecontroleerde studies bij mensen</w:t>
            </w:r>
          </w:p>
        </w:tc>
      </w:tr>
      <w:tr>
        <w:tc>
          <w:tcPr/>
          <w:p>
            <w:pPr>
              <w:pStyle w:val="Compact"/>
              <w:jc w:val="left"/>
            </w:pPr>
            <w:r>
              <w:t xml:space="preserve">D</w:t>
            </w:r>
          </w:p>
        </w:tc>
        <w:tc>
          <w:tcPr/>
          <w:p>
            <w:pPr>
              <w:pStyle w:val="Compact"/>
              <w:jc w:val="left"/>
            </w:pPr>
            <w:r>
              <w:t xml:space="preserve">alleen dier- en laboratoriumstudies</w:t>
            </w:r>
          </w:p>
        </w:tc>
      </w:tr>
    </w:tbl>
    <w:p>
      <w:pPr>
        <w:pStyle w:val="BodyText"/>
      </w:pPr>
      <w:r>
        <w:t xml:space="preserve">De indeling heeft betrekking op de bewijslast bij mensen als geheel en op het belangrijkste onderzochte toepassingsgebied. Ze is een beoordeling door de auteur op basis van de geanalyseerde studies en geen officiële classificatie.</w:t>
      </w:r>
    </w:p>
    <w:bookmarkEnd w:id="1112"/>
    <w:bookmarkStart w:id="1113" w:name="grenzen-van-de-methodologie"/>
    <w:p>
      <w:pPr>
        <w:pStyle w:val="Heading3"/>
      </w:pPr>
      <w:r>
        <w:t xml:space="preserve">Grenzen van de methodologie</w:t>
      </w:r>
    </w:p>
    <w:p>
      <w:pPr>
        <w:pStyle w:val="FirstParagraph"/>
      </w:pPr>
      <w:r>
        <w:t xml:space="preserve">Zoals elk literatuuronderzoek heeft ook dit onderzoek grenzen, waarmee u bij het lezen rekening kunt houden:</w:t>
      </w:r>
    </w:p>
    <w:p>
      <w:pPr>
        <w:pStyle w:val="BodyText"/>
      </w:pPr>
      <w:r>
        <w:rPr>
          <w:bCs/>
          <w:b/>
        </w:rPr>
        <w:t xml:space="preserve">Treffers zijn niet hetzelfde als zelfstandige studies.</w:t>
      </w:r>
      <w:r>
        <w:t xml:space="preserve"> </w:t>
      </w:r>
      <w:r>
        <w:t xml:space="preserve">Een grote studie wordt vaak in meerdere artikelen gepubliceerd – hoofdresultaat, subgroepen, follow-up, kwaliteit van leven. Elk van deze artikelen is een eigen treffer. Omgekeerd kunnen studies in één artikel zijn samengevat. De aantallen treffers geven daarom de orde van grootte van het onderzoek weer, niet het exacte aantal onafhankelijke studies.</w:t>
      </w:r>
    </w:p>
    <w:p>
      <w:pPr>
        <w:pStyle w:val="BodyText"/>
      </w:pPr>
      <w:r>
        <w:rPr>
          <w:bCs/>
          <w:b/>
        </w:rPr>
        <w:t xml:space="preserve">Publicatietypen zijn niet altijd correct.</w:t>
      </w:r>
      <w:r>
        <w:t xml:space="preserve"> </w:t>
      </w:r>
      <w:r>
        <w:t xml:space="preserve">Het filter voor studies bij mensen berust op de indexering door PubMed. Sommige studies zijn niet als klinische studie gemarkeerd en ontbreken daarom; sommige als klinische studie gemarkeerde artikelen blijken bij nader inzien observationele studies of laboratoriumwerk met menselijk materiaal te zijn. Zeer nieuwe artikelen zijn vaak nog niet volledig geïndexeerd.</w:t>
      </w:r>
    </w:p>
    <w:p>
      <w:pPr>
        <w:pStyle w:val="BodyText"/>
      </w:pPr>
      <w:r>
        <w:rPr>
          <w:bCs/>
          <w:b/>
        </w:rPr>
        <w:t xml:space="preserve">Zoektermen kunnen lacunes hebben.</w:t>
      </w:r>
      <w:r>
        <w:t xml:space="preserve"> </w:t>
      </w:r>
      <w:r>
        <w:t xml:space="preserve">Een zoekterm vindt alleen wat in de titel of samenvatting met de gekozen woorden wordt beschreven. Studies die een stof alleen onder een codenaam of in een andere spelling vermelden, kunnen ontbreken. Omgekeerd kunnen meerduidige afkortingen zoals „KPV” of „SS-31” ook artikelen over heel andere onderwerpen opleveren. Voor de hoofdstukken zijn de treffers daarom doorgenomen en niet ongecontroleerd overgenomen.</w:t>
      </w:r>
    </w:p>
    <w:p>
      <w:pPr>
        <w:pStyle w:val="BodyText"/>
      </w:pPr>
      <w:r>
        <w:rPr>
          <w:bCs/>
          <w:b/>
        </w:rPr>
        <w:t xml:space="preserve">Talen.</w:t>
      </w:r>
      <w:r>
        <w:t xml:space="preserve"> </w:t>
      </w:r>
      <w:r>
        <w:t xml:space="preserve">PubMed bevat overwegend Engelstalige vaktijdschriften. Artikelen die alleen in andere talen en in niet-opgenomen tijdschriften zijn verschenen, ontbreken grotendeels. Dat betreft vooral enkele peptiden die vooral in Rusland of andere landen van Oost-Europa worden onderzocht en gebruikt, zoals Semax, Selank, Epitalon of thymaline. Voor die peptiden is de werkelijke hoeveelheid studies mogelijk groter, maar voor internationale lezers moeilijk controleerbaar.</w:t>
      </w:r>
    </w:p>
    <w:p>
      <w:pPr>
        <w:pStyle w:val="BodyText"/>
      </w:pPr>
      <w:r>
        <w:rPr>
          <w:bCs/>
          <w:b/>
        </w:rPr>
        <w:t xml:space="preserve">Niet-gepubliceerde studies.</w:t>
      </w:r>
      <w:r>
        <w:t xml:space="preserve"> </w:t>
      </w:r>
      <w:r>
        <w:t xml:space="preserve">Studies die nooit zijn gepubliceerd, staan niet in PubMed. Het register ClinicalTrials.gov helpt om zulke lacunes te herkennen, maar omvat niet alle studies wereldwijd.</w:t>
      </w:r>
    </w:p>
    <w:p>
      <w:pPr>
        <w:pStyle w:val="BodyText"/>
      </w:pPr>
      <w:r>
        <w:rPr>
          <w:bCs/>
          <w:b/>
        </w:rPr>
        <w:t xml:space="preserve">Alleen samenvattingen.</w:t>
      </w:r>
      <w:r>
        <w:t xml:space="preserve"> </w:t>
      </w:r>
      <w:r>
        <w:t xml:space="preserve">De analyse berust op de samenvattingen. Die geven de hoofdresultaten weer, maar kunnen beperkingen, bijwerkingen of methodologische zwakke punten verkort weergeven.</w:t>
      </w:r>
    </w:p>
    <w:p>
      <w:pPr>
        <w:pStyle w:val="BodyText"/>
      </w:pPr>
      <w:r>
        <w:rPr>
          <w:bCs/>
          <w:b/>
        </w:rPr>
        <w:t xml:space="preserve">Momentopname.</w:t>
      </w:r>
      <w:r>
        <w:t xml:space="preserve"> </w:t>
      </w:r>
      <w:r>
        <w:t xml:space="preserve">Het onderzoek geeft de stand van oktober 2026 weer. In snel groeiende velden zoals de GLP-1-geneesmiddelen verschijnen elke week nieuwe studies.</w:t>
      </w:r>
    </w:p>
    <w:bookmarkEnd w:id="1113"/>
    <w:bookmarkStart w:id="1114" w:name="X52df927c17540fc81cd7ddf42c82e9bf31db499"/>
    <w:p>
      <w:pPr>
        <w:pStyle w:val="Heading3"/>
      </w:pPr>
      <w:r>
        <w:t xml:space="preserve">Ondersteuning door AI en kwaliteitscontrole</w:t>
      </w:r>
    </w:p>
    <w:p>
      <w:pPr>
        <w:pStyle w:val="FirstParagraph"/>
      </w:pPr>
      <w:r>
        <w:t xml:space="preserve">Dit boek is met ondersteuning van kunstmatige intelligentie onderzocht en geschreven en door de auteur bewerkt. De AI is voor de volgende taken ingezet:</w:t>
      </w:r>
    </w:p>
    <w:p>
      <w:pPr>
        <w:numPr>
          <w:ilvl w:val="0"/>
          <w:numId w:val="1375"/>
        </w:numPr>
        <w:pStyle w:val="Compact"/>
      </w:pPr>
      <w:r>
        <w:t xml:space="preserve">uitvoeren van de databankzoekopdrachten via de genoemde interfaces met speciaal daarvoor geschreven hulpprogramma’s,</w:t>
      </w:r>
    </w:p>
    <w:p>
      <w:pPr>
        <w:numPr>
          <w:ilvl w:val="0"/>
          <w:numId w:val="1375"/>
        </w:numPr>
        <w:pStyle w:val="Compact"/>
      </w:pPr>
      <w:r>
        <w:t xml:space="preserve">lezen en analyseren van de samenvattingen en registervermeldingen,</w:t>
      </w:r>
    </w:p>
    <w:p>
      <w:pPr>
        <w:numPr>
          <w:ilvl w:val="0"/>
          <w:numId w:val="1375"/>
        </w:numPr>
        <w:pStyle w:val="Compact"/>
      </w:pPr>
      <w:r>
        <w:t xml:space="preserve">opstellen van tekstontwerpen volgens vaste stijl- en werkregels.</w:t>
      </w:r>
    </w:p>
    <w:p>
      <w:pPr>
        <w:pStyle w:val="FirstParagraph"/>
      </w:pPr>
      <w:r>
        <w:t xml:space="preserve">Om het bekende risico te vermijden dat AI-systemen bronnen of cijfers verzinnen, golden bindende regels: elke studie in de tekst wordt geciteerd met PMID of NCT-nummer; elk getal moet afkomstig zijn uit een daadwerkelijk opgevraagde samenvatting of registervermelding; studies mogen alleen worden genoemd als hun vermelding eerst is opgevraagd en gelezen.</w:t>
      </w:r>
    </w:p>
    <w:p>
      <w:pPr>
        <w:pStyle w:val="BodyText"/>
      </w:pPr>
      <w:r>
        <w:t xml:space="preserve">Daarnaast is elk hoofdstuk gecontroleerd met een controleprogramma. Dat vraagt voor elk in de tekst genoemd PMID en NCT-nummer de vermelding in PubMed respectievelijk ClinicalTrials.gov op en meldt een fout als een nummer niet bestaat. Het vergelijkt bovendien de eerste auteur en het jaar van verschijnen, die in de tekst vóór het PMID staan, met de databankvermelding en wijst op afwijkingen. Ten slotte zoekt het naar ontoelaatbare formuleringen zoals beloften van genezing, doseringsaanbevelingen of verwijzingen naar bronnen om middelen te kopen. Een hoofdstuk gold pas als klaar als deze controle zonder fouten doorliep.</w:t>
      </w:r>
    </w:p>
    <w:p>
      <w:pPr>
        <w:pStyle w:val="BodyText"/>
      </w:pPr>
      <w:r>
        <w:t xml:space="preserve">Deze controle garandeert dat elke geciteerde bron bestaat en juist is toegeschreven. Ze kan niet volledig uitsluiten dat een resultaat in de tekst verkort of misleidend is weergegeven. Daarom zijn alle bronnen zo vermeld dat u ze zelf kunt opzoeken – hoe dat werkt, staat in de paragraaf „Over dit boek” aan het begin.</w:t>
      </w:r>
    </w:p>
    <w:bookmarkEnd w:id="1114"/>
    <w:bookmarkEnd w:id="1115"/>
    <w:bookmarkStart w:id="1174" w:name="studieregister"/>
    <w:p>
      <w:pPr>
        <w:pStyle w:val="Heading1"/>
      </w:pPr>
      <w:r>
        <w:t xml:space="preserve">Studieregister</w:t>
      </w:r>
    </w:p>
    <w:p>
      <w:pPr>
        <w:pStyle w:val="FirstParagraph"/>
      </w:pPr>
      <w:r>
        <w:t xml:space="preserve">Dit register bevat alle publicaties van klinische studies bij mensen die het onderzoek per peptide in PubMed heeft gevonden (zoekopdracht oktober 2026; filters zie Methodologie). Titels en tijdschriften staan in de oorspronkelijke taal. Elke studie is via haar PMID op te zoeken op pubmed.ncbi.nlm.nih.gov. Niet elke vermelding is een afzonderlijke studie: sommige studies zijn meerdere keren geanalyseerd en gepubliceerd.</w:t>
      </w:r>
      <w:r>
        <w:t xml:space="preserve"> </w:t>
      </w:r>
      <w:r>
        <w:t xml:space="preserve">Totaal: 3.216 vermeldingen.</w:t>
      </w:r>
    </w:p>
    <w:bookmarkStart w:id="1116" w:name="exenatide-437"/>
    <w:p>
      <w:pPr>
        <w:pStyle w:val="Heading2"/>
      </w:pPr>
      <w:r>
        <w:t xml:space="preserve">Exenatide (437)</w:t>
      </w:r>
    </w:p>
    <w:p>
      <w:pPr>
        <w:numPr>
          <w:ilvl w:val="0"/>
          <w:numId w:val="1376"/>
        </w:numPr>
        <w:pStyle w:val="Compact"/>
      </w:pPr>
      <w:r>
        <w:t xml:space="preserve">2026 · Retnakaran R ·</w:t>
      </w:r>
      <w:r>
        <w:t xml:space="preserve"> </w:t>
      </w:r>
      <w:r>
        <w:rPr>
          <w:iCs/>
          <w:i/>
        </w:rPr>
        <w:t xml:space="preserve">Am J Physiol Endocrinol Metab</w:t>
      </w:r>
      <w:r>
        <w:t xml:space="preserve"> </w:t>
      </w:r>
      <w:r>
        <w:t xml:space="preserve">· Glucose-lowering in type 2 diabetes may be mediated by improved proinsulin processing without better β-cell compensation. PMID 42721371</w:t>
      </w:r>
    </w:p>
    <w:p>
      <w:pPr>
        <w:numPr>
          <w:ilvl w:val="0"/>
          <w:numId w:val="1376"/>
        </w:numPr>
        <w:pStyle w:val="Compact"/>
      </w:pPr>
      <w:r>
        <w:t xml:space="preserve">2026 · Corey KM ·</w:t>
      </w:r>
      <w:r>
        <w:t xml:space="preserve"> </w:t>
      </w:r>
      <w:r>
        <w:rPr>
          <w:iCs/>
          <w:i/>
        </w:rPr>
        <w:t xml:space="preserve">JCI Insight</w:t>
      </w:r>
      <w:r>
        <w:t xml:space="preserve"> </w:t>
      </w:r>
      <w:r>
        <w:t xml:space="preserve">· A validated, modifiable proteomic score from the EXSCEL trial predicts cardiovascular events in diabetes. PMID 42390946</w:t>
      </w:r>
    </w:p>
    <w:p>
      <w:pPr>
        <w:numPr>
          <w:ilvl w:val="0"/>
          <w:numId w:val="1376"/>
        </w:numPr>
        <w:pStyle w:val="Compact"/>
      </w:pPr>
      <w:r>
        <w:t xml:space="preserve">2026 · Mikkelsen AD ·</w:t>
      </w:r>
      <w:r>
        <w:t xml:space="preserve"> </w:t>
      </w:r>
      <w:r>
        <w:rPr>
          <w:iCs/>
          <w:i/>
        </w:rPr>
        <w:t xml:space="preserve">Acta Anaesthesiol Scand</w:t>
      </w:r>
      <w:r>
        <w:t xml:space="preserve"> </w:t>
      </w:r>
      <w:r>
        <w:t xml:space="preserve">· Glucagon-Like Peptide-1 Agonist vs. Placebo and Pulmonary Decline After Open-Heart Surgery: A Substudy of the GLORIOUS Randomised Clinical Trial. PMID 42318973</w:t>
      </w:r>
    </w:p>
    <w:p>
      <w:pPr>
        <w:numPr>
          <w:ilvl w:val="0"/>
          <w:numId w:val="1376"/>
        </w:numPr>
        <w:pStyle w:val="Compact"/>
      </w:pPr>
      <w:r>
        <w:t xml:space="preserve">2026 · Wu TH ·</w:t>
      </w:r>
      <w:r>
        <w:t xml:space="preserve"> </w:t>
      </w:r>
      <w:r>
        <w:rPr>
          <w:iCs/>
          <w:i/>
        </w:rPr>
        <w:t xml:space="preserve">J Chin Med Assoc</w:t>
      </w:r>
      <w:r>
        <w:t xml:space="preserve"> </w:t>
      </w:r>
      <w:r>
        <w:t xml:space="preserve">· Effects of insulin and exenatide therapy on glycemic control and β-cell function in patients newly diagnosed with type 2 diabetes and severe hyperglycemia. PMID 42290292</w:t>
      </w:r>
    </w:p>
    <w:p>
      <w:pPr>
        <w:numPr>
          <w:ilvl w:val="0"/>
          <w:numId w:val="1376"/>
        </w:numPr>
        <w:pStyle w:val="Compact"/>
      </w:pPr>
      <w:r>
        <w:t xml:space="preserve">2026 · Kittipibul V ·</w:t>
      </w:r>
      <w:r>
        <w:t xml:space="preserve"> </w:t>
      </w:r>
      <w:r>
        <w:rPr>
          <w:iCs/>
          <w:i/>
        </w:rPr>
        <w:t xml:space="preserve">Am Heart J</w:t>
      </w:r>
      <w:r>
        <w:t xml:space="preserve"> </w:t>
      </w:r>
      <w:r>
        <w:t xml:space="preserve">· Serial assessment of NT-proBNP and high-sensitivity cardiac troponin with glucagon-like peptide-1 receptor agonist therapy in type 2 diabetes: Insights from EXSCEL. PMID 42102896</w:t>
      </w:r>
    </w:p>
    <w:p>
      <w:pPr>
        <w:numPr>
          <w:ilvl w:val="0"/>
          <w:numId w:val="1376"/>
        </w:numPr>
        <w:pStyle w:val="Compact"/>
      </w:pPr>
      <w:r>
        <w:t xml:space="preserve">2026 · Parikh M ·</w:t>
      </w:r>
      <w:r>
        <w:t xml:space="preserve"> </w:t>
      </w:r>
      <w:r>
        <w:rPr>
          <w:iCs/>
          <w:i/>
        </w:rPr>
        <w:t xml:space="preserve">J Clin Endocrinol Metab</w:t>
      </w:r>
      <w:r>
        <w:t xml:space="preserve"> </w:t>
      </w:r>
      <w:r>
        <w:t xml:space="preserve">· Exenatide induces an enhanced endogenous glucagon-like peptide-1 secretory response in patients receiving basal insulin. PMID 41604435</w:t>
      </w:r>
    </w:p>
    <w:p>
      <w:pPr>
        <w:numPr>
          <w:ilvl w:val="0"/>
          <w:numId w:val="1376"/>
        </w:numPr>
        <w:pStyle w:val="Compact"/>
      </w:pPr>
      <w:r>
        <w:t xml:space="preserve">2026 · Goodman J ·</w:t>
      </w:r>
      <w:r>
        <w:t xml:space="preserve"> </w:t>
      </w:r>
      <w:r>
        <w:rPr>
          <w:iCs/>
          <w:i/>
        </w:rPr>
        <w:t xml:space="preserve">Br J Clin Pharmacol</w:t>
      </w:r>
      <w:r>
        <w:t xml:space="preserve"> </w:t>
      </w:r>
      <w:r>
        <w:t xml:space="preserve">· An experimental medicine protocol for exploring the haemodynamic effects of dual agonism at the glucagon-like peptide-1 and glucagon receptor in healthy subjects. PMID 41025322</w:t>
      </w:r>
    </w:p>
    <w:p>
      <w:pPr>
        <w:numPr>
          <w:ilvl w:val="0"/>
          <w:numId w:val="1376"/>
        </w:numPr>
        <w:pStyle w:val="Compact"/>
      </w:pPr>
      <w:r>
        <w:t xml:space="preserve">2025 · Almby KE ·</w:t>
      </w:r>
      <w:r>
        <w:t xml:space="preserve"> </w:t>
      </w:r>
      <w:r>
        <w:rPr>
          <w:iCs/>
          <w:i/>
        </w:rPr>
        <w:t xml:space="preserve">Endocrine</w:t>
      </w:r>
      <w:r>
        <w:t xml:space="preserve"> </w:t>
      </w:r>
      <w:r>
        <w:t xml:space="preserve">· Effects of acute GLP-1 analogue infusion on the glycemic and neurohormonal responses to meal test in non- hypoglycemic subjects after gastric bypass. PMID 41071533</w:t>
      </w:r>
    </w:p>
    <w:p>
      <w:pPr>
        <w:numPr>
          <w:ilvl w:val="0"/>
          <w:numId w:val="1376"/>
        </w:numPr>
        <w:pStyle w:val="Compact"/>
      </w:pPr>
      <w:r>
        <w:t xml:space="preserve">2025 · Coleman RL ·</w:t>
      </w:r>
      <w:r>
        <w:t xml:space="preserve"> </w:t>
      </w:r>
      <w:r>
        <w:rPr>
          <w:iCs/>
          <w:i/>
        </w:rPr>
        <w:t xml:space="preserve">Cardiovasc Diabetol</w:t>
      </w:r>
      <w:r>
        <w:t xml:space="preserve"> </w:t>
      </w:r>
      <w:r>
        <w:t xml:space="preserve">· Impact of changes in conventional risk factors induced by once-weekly GLP-1 receptor agonist exenatide on cardiovascular outcomes: an EXSCEL post hoc analysis. PMID 40849664</w:t>
      </w:r>
    </w:p>
    <w:p>
      <w:pPr>
        <w:numPr>
          <w:ilvl w:val="0"/>
          <w:numId w:val="1376"/>
        </w:numPr>
        <w:pStyle w:val="Compact"/>
      </w:pPr>
      <w:r>
        <w:t xml:space="preserve">2025 · Peters AE ·</w:t>
      </w:r>
      <w:r>
        <w:t xml:space="preserve"> </w:t>
      </w:r>
      <w:r>
        <w:rPr>
          <w:iCs/>
          <w:i/>
        </w:rPr>
        <w:t xml:space="preserve">Sci Rep</w:t>
      </w:r>
      <w:r>
        <w:t xml:space="preserve"> </w:t>
      </w:r>
      <w:r>
        <w:t xml:space="preserve">· Proteomic pathways across the ejection fraction spectrum in patients with heart failure and diabetes mellitus: an EXSCEL trial substudy. PMID 40825966</w:t>
      </w:r>
    </w:p>
    <w:p>
      <w:pPr>
        <w:numPr>
          <w:ilvl w:val="0"/>
          <w:numId w:val="1376"/>
        </w:numPr>
        <w:pStyle w:val="Compact"/>
      </w:pPr>
      <w:r>
        <w:t xml:space="preserve">2025 · Hepprich M ·</w:t>
      </w:r>
      <w:r>
        <w:t xml:space="preserve"> </w:t>
      </w:r>
      <w:r>
        <w:rPr>
          <w:iCs/>
          <w:i/>
        </w:rPr>
        <w:t xml:space="preserve">Eur J Endocrinol</w:t>
      </w:r>
      <w:r>
        <w:t xml:space="preserve"> </w:t>
      </w:r>
      <w:r>
        <w:t xml:space="preserve">· Exenatide for diagnosing endogenous hyperinsulinemic hypoglycemia: a randomized placebo-controlled, double-blind, cross-over proof-of-principle study. PMID 40747712</w:t>
      </w:r>
    </w:p>
    <w:p>
      <w:pPr>
        <w:numPr>
          <w:ilvl w:val="0"/>
          <w:numId w:val="1376"/>
        </w:numPr>
        <w:pStyle w:val="Compact"/>
      </w:pPr>
      <w:r>
        <w:t xml:space="preserve">2025 · Vijiaratnam N ·</w:t>
      </w:r>
      <w:r>
        <w:t xml:space="preserve"> </w:t>
      </w:r>
      <w:r>
        <w:rPr>
          <w:iCs/>
          <w:i/>
        </w:rPr>
        <w:t xml:space="preserve">Ann Neurol</w:t>
      </w:r>
      <w:r>
        <w:t xml:space="preserve"> </w:t>
      </w:r>
      <w:r>
        <w:t xml:space="preserve">· Exenatide Once Weekly in the Treatment of Patients with Multiple System Atrophy. PMID 40727970</w:t>
      </w:r>
    </w:p>
    <w:p>
      <w:pPr>
        <w:numPr>
          <w:ilvl w:val="0"/>
          <w:numId w:val="1376"/>
        </w:numPr>
        <w:pStyle w:val="Compact"/>
      </w:pPr>
      <w:r>
        <w:t xml:space="preserve">2025 · Hviid MEB ·</w:t>
      </w:r>
      <w:r>
        <w:t xml:space="preserve"> </w:t>
      </w:r>
      <w:r>
        <w:rPr>
          <w:iCs/>
          <w:i/>
        </w:rPr>
        <w:t xml:space="preserve">Alcohol Clin Exp Res (Hoboken)</w:t>
      </w:r>
      <w:r>
        <w:t xml:space="preserve"> </w:t>
      </w:r>
      <w:r>
        <w:t xml:space="preserve">· Effect of the GLP-1 receptor agonist exenatide on pro-inflammatory and metabolic biomarkers in individuals with alcohol use disorder: Post hoc results from a randomized, double-blinded, placebo-controlled clinical trial. PMID 40630018</w:t>
      </w:r>
    </w:p>
    <w:p>
      <w:pPr>
        <w:numPr>
          <w:ilvl w:val="0"/>
          <w:numId w:val="1376"/>
        </w:numPr>
        <w:pStyle w:val="Compact"/>
      </w:pPr>
      <w:r>
        <w:t xml:space="preserve">2025 · Triplitt C ·</w:t>
      </w:r>
      <w:r>
        <w:t xml:space="preserve"> </w:t>
      </w:r>
      <w:r>
        <w:rPr>
          <w:iCs/>
          <w:i/>
        </w:rPr>
        <w:t xml:space="preserve">Diabetes Care</w:t>
      </w:r>
      <w:r>
        <w:t xml:space="preserve"> </w:t>
      </w:r>
      <w:r>
        <w:t xml:space="preserve">· Changes in β-Cell Function and Insulin Sensitivity During Treatment With Dapagliflozin Alone or in Combination With Exenatide in Type 2 Diabetes. PMID 40627548</w:t>
      </w:r>
    </w:p>
    <w:p>
      <w:pPr>
        <w:numPr>
          <w:ilvl w:val="0"/>
          <w:numId w:val="1376"/>
        </w:numPr>
        <w:pStyle w:val="Compact"/>
      </w:pPr>
      <w:r>
        <w:t xml:space="preserve">2025 · Goodman J ·</w:t>
      </w:r>
      <w:r>
        <w:t xml:space="preserve"> </w:t>
      </w:r>
      <w:r>
        <w:rPr>
          <w:iCs/>
          <w:i/>
        </w:rPr>
        <w:t xml:space="preserve">Sci Rep</w:t>
      </w:r>
      <w:r>
        <w:t xml:space="preserve"> </w:t>
      </w:r>
      <w:r>
        <w:t xml:space="preserve">· Exenatide and glucagon co-infusion increases myocardial glucose uptake and improves markers of diastolic dysfunction in adults with type 2 diabetes. PMID 40593987</w:t>
      </w:r>
    </w:p>
    <w:p>
      <w:pPr>
        <w:numPr>
          <w:ilvl w:val="0"/>
          <w:numId w:val="1376"/>
        </w:numPr>
        <w:pStyle w:val="Compact"/>
      </w:pPr>
      <w:r>
        <w:t xml:space="preserve">2025 · Abdul-Ghani M ·</w:t>
      </w:r>
      <w:r>
        <w:t xml:space="preserve"> </w:t>
      </w:r>
      <w:r>
        <w:rPr>
          <w:iCs/>
          <w:i/>
        </w:rPr>
        <w:t xml:space="preserve">BMJ Open Diabetes Res Care</w:t>
      </w:r>
      <w:r>
        <w:t xml:space="preserve"> </w:t>
      </w:r>
      <w:r>
        <w:t xml:space="preserve">· Glycemic and non-glycemic benefits of initial triple therapy versus sequential add-on therapy in patients with new-onset diabetes: results from the EDICT study. PMID 40288809</w:t>
      </w:r>
    </w:p>
    <w:p>
      <w:pPr>
        <w:numPr>
          <w:ilvl w:val="0"/>
          <w:numId w:val="1376"/>
        </w:numPr>
        <w:pStyle w:val="Compact"/>
      </w:pPr>
      <w:r>
        <w:t xml:space="preserve">2025 · Kjaergaard J ·</w:t>
      </w:r>
      <w:r>
        <w:t xml:space="preserve"> </w:t>
      </w:r>
      <w:r>
        <w:rPr>
          <w:iCs/>
          <w:i/>
        </w:rPr>
        <w:t xml:space="preserve">Circ Cardiovasc Interv</w:t>
      </w:r>
      <w:r>
        <w:t xml:space="preserve"> </w:t>
      </w:r>
      <w:r>
        <w:t xml:space="preserve">· Efficacy of the Glucagon-Like Peptide-1 Agonist Exenatide in Patients Undergoing CABG or Aortic Valve Replacement: A Randomized Double-Blind Clinical Trial. PMID 40265262</w:t>
      </w:r>
    </w:p>
    <w:p>
      <w:pPr>
        <w:numPr>
          <w:ilvl w:val="0"/>
          <w:numId w:val="1376"/>
        </w:numPr>
        <w:pStyle w:val="Compact"/>
      </w:pPr>
      <w:r>
        <w:t xml:space="preserve">2025 · Patino LR ·</w:t>
      </w:r>
      <w:r>
        <w:t xml:space="preserve"> </w:t>
      </w:r>
      <w:r>
        <w:rPr>
          <w:iCs/>
          <w:i/>
        </w:rPr>
        <w:t xml:space="preserve">J Affect Disord</w:t>
      </w:r>
      <w:r>
        <w:t xml:space="preserve"> </w:t>
      </w:r>
      <w:r>
        <w:t xml:space="preserve">· A double-blind, placebo-controlled trial of exenatide for the treatment of olanzapine-related weight gain in obese and overweight adults. PMID 40203970</w:t>
      </w:r>
    </w:p>
    <w:p>
      <w:pPr>
        <w:numPr>
          <w:ilvl w:val="0"/>
          <w:numId w:val="1376"/>
        </w:numPr>
        <w:pStyle w:val="Compact"/>
      </w:pPr>
      <w:r>
        <w:t xml:space="preserve">2025 · Maddaloni E ·</w:t>
      </w:r>
      <w:r>
        <w:t xml:space="preserve"> </w:t>
      </w:r>
      <w:r>
        <w:rPr>
          <w:iCs/>
          <w:i/>
        </w:rPr>
        <w:t xml:space="preserve">Diabetes Res Clin Pract</w:t>
      </w:r>
      <w:r>
        <w:t xml:space="preserve"> </w:t>
      </w:r>
      <w:r>
        <w:t xml:space="preserve">· Risk factors for bone fractures in type 2 diabetes and the impact of once-weekly exenatide: insights from an EXSCEL post-hoc analysis. PMID 40154887</w:t>
      </w:r>
    </w:p>
    <w:p>
      <w:pPr>
        <w:numPr>
          <w:ilvl w:val="0"/>
          <w:numId w:val="1376"/>
        </w:numPr>
        <w:pStyle w:val="Compact"/>
      </w:pPr>
      <w:r>
        <w:t xml:space="preserve">2025 · Jensen ME ·</w:t>
      </w:r>
      <w:r>
        <w:t xml:space="preserve"> </w:t>
      </w:r>
      <w:r>
        <w:rPr>
          <w:iCs/>
          <w:i/>
        </w:rPr>
        <w:t xml:space="preserve">Alcohol Clin Exp Res (Hoboken)</w:t>
      </w:r>
      <w:r>
        <w:t xml:space="preserve"> </w:t>
      </w:r>
      <w:r>
        <w:t xml:space="preserve">· Blood phosphatidylethanol measurements indicate GLP-1 receptor stimulation causes delayed decreases in alcohol consumption. PMID 40123107</w:t>
      </w:r>
    </w:p>
    <w:p>
      <w:pPr>
        <w:numPr>
          <w:ilvl w:val="0"/>
          <w:numId w:val="1376"/>
        </w:numPr>
        <w:pStyle w:val="Compact"/>
      </w:pPr>
      <w:r>
        <w:t xml:space="preserve">2025 · Vijiaratnam N ·</w:t>
      </w:r>
      <w:r>
        <w:t xml:space="preserve"> </w:t>
      </w:r>
      <w:r>
        <w:rPr>
          <w:iCs/>
          <w:i/>
        </w:rPr>
        <w:t xml:space="preserve">Lancet</w:t>
      </w:r>
      <w:r>
        <w:t xml:space="preserve"> </w:t>
      </w:r>
      <w:r>
        <w:t xml:space="preserve">· Exenatide once a week versus placebo as a potential disease-modifying treatment for people with Parkinson’s disease in the UK: a phase 3, multicentre, double-blind, parallel-group, randomised, placebo-controlled trial. PMID 39919773</w:t>
      </w:r>
    </w:p>
    <w:p>
      <w:pPr>
        <w:numPr>
          <w:ilvl w:val="0"/>
          <w:numId w:val="1376"/>
        </w:numPr>
        <w:pStyle w:val="Compact"/>
      </w:pPr>
      <w:r>
        <w:t xml:space="preserve">2025 · Yammine L ·</w:t>
      </w:r>
      <w:r>
        <w:t xml:space="preserve"> </w:t>
      </w:r>
      <w:r>
        <w:rPr>
          <w:iCs/>
          <w:i/>
        </w:rPr>
        <w:t xml:space="preserve">Nicotine Tob Res</w:t>
      </w:r>
      <w:r>
        <w:t xml:space="preserve"> </w:t>
      </w:r>
      <w:r>
        <w:t xml:space="preserve">· Exploring Predictors of Treatment Response to GLP-1 Receptor Agonists for Smoking Cessation. PMID 39780397</w:t>
      </w:r>
    </w:p>
    <w:p>
      <w:pPr>
        <w:numPr>
          <w:ilvl w:val="0"/>
          <w:numId w:val="1376"/>
        </w:numPr>
        <w:pStyle w:val="Compact"/>
      </w:pPr>
      <w:r>
        <w:t xml:space="preserve">2025 · Maddaloni E ·</w:t>
      </w:r>
      <w:r>
        <w:t xml:space="preserve"> </w:t>
      </w:r>
      <w:r>
        <w:rPr>
          <w:iCs/>
          <w:i/>
        </w:rPr>
        <w:t xml:space="preserve">Diabetes Care</w:t>
      </w:r>
      <w:r>
        <w:t xml:space="preserve"> </w:t>
      </w:r>
      <w:r>
        <w:t xml:space="preserve">· Osteoprotegerin, Osteopontin, and Osteocalcin Are Associated With Cardiovascular Events in Type 2 Diabetes: Insights From EXSCEL. PMID 39576722</w:t>
      </w:r>
    </w:p>
    <w:p>
      <w:pPr>
        <w:numPr>
          <w:ilvl w:val="0"/>
          <w:numId w:val="1376"/>
        </w:numPr>
        <w:pStyle w:val="Compact"/>
      </w:pPr>
      <w:r>
        <w:t xml:space="preserve">2025 · Neves JS ·</w:t>
      </w:r>
      <w:r>
        <w:t xml:space="preserve"> </w:t>
      </w:r>
      <w:r>
        <w:rPr>
          <w:iCs/>
          <w:i/>
        </w:rPr>
        <w:t xml:space="preserve">Eur J Heart Fail</w:t>
      </w:r>
      <w:r>
        <w:t xml:space="preserve"> </w:t>
      </w:r>
      <w:r>
        <w:t xml:space="preserve">· Cardiovascular outcomes with exenatide in type 2 diabetes according to ejection fraction: The EXSCEL trial. PMID 39381950</w:t>
      </w:r>
    </w:p>
    <w:p>
      <w:pPr>
        <w:numPr>
          <w:ilvl w:val="0"/>
          <w:numId w:val="1376"/>
        </w:numPr>
        <w:pStyle w:val="Compact"/>
      </w:pPr>
      <w:r>
        <w:t xml:space="preserve">2024 · Koychev I ·</w:t>
      </w:r>
      <w:r>
        <w:t xml:space="preserve"> </w:t>
      </w:r>
      <w:r>
        <w:rPr>
          <w:iCs/>
          <w:i/>
        </w:rPr>
        <w:t xml:space="preserve">Alzheimers Res Ther</w:t>
      </w:r>
      <w:r>
        <w:t xml:space="preserve"> </w:t>
      </w:r>
      <w:r>
        <w:t xml:space="preserve">· Inflammatory proteins associated with Alzheimer’s disease reduced by a GLP1 receptor agonist: a post hoc analysis of the EXSCEL randomized placebo controlled trial. PMID 39358806</w:t>
      </w:r>
    </w:p>
    <w:p>
      <w:pPr>
        <w:numPr>
          <w:ilvl w:val="0"/>
          <w:numId w:val="1376"/>
        </w:numPr>
        <w:pStyle w:val="Compact"/>
      </w:pPr>
      <w:r>
        <w:t xml:space="preserve">2024 · Oulhaj A ·</w:t>
      </w:r>
      <w:r>
        <w:t xml:space="preserve"> </w:t>
      </w:r>
      <w:r>
        <w:rPr>
          <w:iCs/>
          <w:i/>
        </w:rPr>
        <w:t xml:space="preserve">Diabetes Obes Metab</w:t>
      </w:r>
      <w:r>
        <w:t xml:space="preserve"> </w:t>
      </w:r>
      <w:r>
        <w:t xml:space="preserve">· Estimated glomerular filtration rate slope and risk of primary and secondary major adverse cardiovascular events and heart failure hospitalization in people with type 2 diabetes: An analysis of the EXSCEL trial. PMID 39086032</w:t>
      </w:r>
    </w:p>
    <w:p>
      <w:pPr>
        <w:numPr>
          <w:ilvl w:val="0"/>
          <w:numId w:val="1376"/>
        </w:numPr>
        <w:pStyle w:val="Compact"/>
      </w:pPr>
      <w:r>
        <w:t xml:space="preserve">2024 · Gooding KM ·</w:t>
      </w:r>
      <w:r>
        <w:t xml:space="preserve"> </w:t>
      </w:r>
      <w:r>
        <w:rPr>
          <w:iCs/>
          <w:i/>
        </w:rPr>
        <w:t xml:space="preserve">Diabetes Res Clin Pract</w:t>
      </w:r>
      <w:r>
        <w:t xml:space="preserve"> </w:t>
      </w:r>
      <w:r>
        <w:t xml:space="preserve">· Are the cardiovascular properties of GLP-1 receptor agonists differentially modulated by sulfonylureas? Insights from post-hoc analysis of EXSCEL. PMID 38670496</w:t>
      </w:r>
    </w:p>
    <w:p>
      <w:pPr>
        <w:numPr>
          <w:ilvl w:val="0"/>
          <w:numId w:val="1376"/>
        </w:numPr>
        <w:pStyle w:val="Compact"/>
      </w:pPr>
      <w:r>
        <w:t xml:space="preserve">2024 · Dei Cas A ·</w:t>
      </w:r>
      <w:r>
        <w:t xml:space="preserve"> </w:t>
      </w:r>
      <w:r>
        <w:rPr>
          <w:iCs/>
          <w:i/>
        </w:rPr>
        <w:t xml:space="preserve">J Endocrinol Invest</w:t>
      </w:r>
      <w:r>
        <w:t xml:space="preserve"> </w:t>
      </w:r>
      <w:r>
        <w:t xml:space="preserve">· Long-acting exenatide does not prevent cognitive decline in mild cognitive impairment: a proof-of-concept clinical trial. PMID 38565814</w:t>
      </w:r>
    </w:p>
    <w:p>
      <w:pPr>
        <w:numPr>
          <w:ilvl w:val="0"/>
          <w:numId w:val="1376"/>
        </w:numPr>
        <w:pStyle w:val="Compact"/>
      </w:pPr>
      <w:r>
        <w:t xml:space="preserve">2024 · Gatta-Cherifi B ·</w:t>
      </w:r>
      <w:r>
        <w:t xml:space="preserve"> </w:t>
      </w:r>
      <w:r>
        <w:rPr>
          <w:iCs/>
          <w:i/>
        </w:rPr>
        <w:t xml:space="preserve">Eur J Endocrinol</w:t>
      </w:r>
      <w:r>
        <w:t xml:space="preserve"> </w:t>
      </w:r>
      <w:r>
        <w:t xml:space="preserve">· Impact of exenatide on weight loss and eating behavior in adults with craniopharyngioma-related obesity: the CRANIOEXE randomized placebo-controlled trial. PMID 38450721</w:t>
      </w:r>
    </w:p>
    <w:p>
      <w:pPr>
        <w:numPr>
          <w:ilvl w:val="0"/>
          <w:numId w:val="1376"/>
        </w:numPr>
        <w:pStyle w:val="Compact"/>
      </w:pPr>
      <w:r>
        <w:t xml:space="preserve">2024 · Bensignor MO ·</w:t>
      </w:r>
      <w:r>
        <w:t xml:space="preserve"> </w:t>
      </w:r>
      <w:r>
        <w:rPr>
          <w:iCs/>
          <w:i/>
        </w:rPr>
        <w:t xml:space="preserve">Pediatr Obes</w:t>
      </w:r>
      <w:r>
        <w:t xml:space="preserve"> </w:t>
      </w:r>
      <w:r>
        <w:t xml:space="preserve">· Evaluating appetite/satiety hormones and eating behaviours as predictors of weight loss maintenance with GLP-1RA therapy in adolescents with severe obesity. PMID 38339799</w:t>
      </w:r>
    </w:p>
    <w:p>
      <w:pPr>
        <w:numPr>
          <w:ilvl w:val="0"/>
          <w:numId w:val="1376"/>
        </w:numPr>
        <w:pStyle w:val="Compact"/>
      </w:pPr>
      <w:r>
        <w:t xml:space="preserve">2024 · Grech O ·</w:t>
      </w:r>
      <w:r>
        <w:t xml:space="preserve"> </w:t>
      </w:r>
      <w:r>
        <w:rPr>
          <w:iCs/>
          <w:i/>
        </w:rPr>
        <w:t xml:space="preserve">Eye (Lond)</w:t>
      </w:r>
      <w:r>
        <w:t xml:space="preserve"> </w:t>
      </w:r>
      <w:r>
        <w:t xml:space="preserve">· Effect of glucagon like peptide-1 receptor agonist exenatide, used as an intracranial pressure lowering agent, on cognition in Idiopathic Intracranial Hypertension. PMID 38212401</w:t>
      </w:r>
    </w:p>
    <w:p>
      <w:pPr>
        <w:numPr>
          <w:ilvl w:val="0"/>
          <w:numId w:val="1376"/>
        </w:numPr>
        <w:pStyle w:val="Compact"/>
      </w:pPr>
      <w:r>
        <w:t xml:space="preserve">2024 · McGarry A ·</w:t>
      </w:r>
      <w:r>
        <w:t xml:space="preserve"> </w:t>
      </w:r>
      <w:r>
        <w:rPr>
          <w:iCs/>
          <w:i/>
        </w:rPr>
        <w:t xml:space="preserve">Lancet Neurol</w:t>
      </w:r>
      <w:r>
        <w:t xml:space="preserve"> </w:t>
      </w:r>
      <w:r>
        <w:t xml:space="preserve">· Safety, tolerability, and efficacy of NLY01 in early untreated Parkinson’s disease: a randomised, double-blind, placebo-controlled trial. PMID 38101901</w:t>
      </w:r>
    </w:p>
    <w:p>
      <w:pPr>
        <w:numPr>
          <w:ilvl w:val="0"/>
          <w:numId w:val="1376"/>
        </w:numPr>
        <w:pStyle w:val="Compact"/>
      </w:pPr>
      <w:r>
        <w:t xml:space="preserve">2023 · Santos-Pardo I ·</w:t>
      </w:r>
      <w:r>
        <w:t xml:space="preserve"> </w:t>
      </w:r>
      <w:r>
        <w:rPr>
          <w:iCs/>
          <w:i/>
        </w:rPr>
        <w:t xml:space="preserve">Cardiovasc Diabetol</w:t>
      </w:r>
      <w:r>
        <w:t xml:space="preserve"> </w:t>
      </w:r>
      <w:r>
        <w:t xml:space="preserve">· Effects of exenatide on coronary stent’s endothelialization in subjects with type 2 diabetes: a randomized controlled trial. The Rebuild study. PMID 38066597</w:t>
      </w:r>
    </w:p>
    <w:p>
      <w:pPr>
        <w:numPr>
          <w:ilvl w:val="0"/>
          <w:numId w:val="1376"/>
        </w:numPr>
        <w:pStyle w:val="Compact"/>
      </w:pPr>
      <w:r>
        <w:t xml:space="preserve">2023 · Bladin CF ·</w:t>
      </w:r>
      <w:r>
        <w:t xml:space="preserve"> </w:t>
      </w:r>
      <w:r>
        <w:rPr>
          <w:iCs/>
          <w:i/>
        </w:rPr>
        <w:t xml:space="preserve">Stroke</w:t>
      </w:r>
      <w:r>
        <w:t xml:space="preserve"> </w:t>
      </w:r>
      <w:r>
        <w:t xml:space="preserve">· Management of Poststroke Hyperglycemia: Results of the TEXAIS Randomized Clinical Trial. PMID 38011235</w:t>
      </w:r>
    </w:p>
    <w:p>
      <w:pPr>
        <w:numPr>
          <w:ilvl w:val="0"/>
          <w:numId w:val="1376"/>
        </w:numPr>
        <w:pStyle w:val="Compact"/>
      </w:pPr>
      <w:r>
        <w:t xml:space="preserve">2023 · Stenlid R ·</w:t>
      </w:r>
      <w:r>
        <w:t xml:space="preserve"> </w:t>
      </w:r>
      <w:r>
        <w:rPr>
          <w:iCs/>
          <w:i/>
        </w:rPr>
        <w:t xml:space="preserve">Ann Nutr Metab</w:t>
      </w:r>
      <w:r>
        <w:t xml:space="preserve"> </w:t>
      </w:r>
      <w:r>
        <w:t xml:space="preserve">· Screening for Inflammatory Markers Identifies IL-18Rα as a Potential Link between Exenatide and Its Anti-Inflammatory Effect: New Results from the Combat-JUDO Randomized Controlled Trial. PMID 37883939</w:t>
      </w:r>
    </w:p>
    <w:p>
      <w:pPr>
        <w:numPr>
          <w:ilvl w:val="0"/>
          <w:numId w:val="1376"/>
        </w:numPr>
        <w:pStyle w:val="Compact"/>
      </w:pPr>
      <w:r>
        <w:t xml:space="preserve">2023 · Akyay OZ ·</w:t>
      </w:r>
      <w:r>
        <w:t xml:space="preserve"> </w:t>
      </w:r>
      <w:r>
        <w:rPr>
          <w:iCs/>
          <w:i/>
        </w:rPr>
        <w:t xml:space="preserve">Medicine (Baltimore)</w:t>
      </w:r>
      <w:r>
        <w:t xml:space="preserve"> </w:t>
      </w:r>
      <w:r>
        <w:t xml:space="preserve">· The effects of exenatide and insulin glargine treatments on bone turnover markers and bone mineral density in postmenopausal patients with type 2 diabetes mellitus. PMID 37773814</w:t>
      </w:r>
    </w:p>
    <w:p>
      <w:pPr>
        <w:numPr>
          <w:ilvl w:val="0"/>
          <w:numId w:val="1376"/>
        </w:numPr>
        <w:pStyle w:val="Compact"/>
      </w:pPr>
      <w:r>
        <w:t xml:space="preserve">2023 · Liu L ·</w:t>
      </w:r>
      <w:r>
        <w:t xml:space="preserve"> </w:t>
      </w:r>
      <w:r>
        <w:rPr>
          <w:iCs/>
          <w:i/>
        </w:rPr>
        <w:t xml:space="preserve">Exp Clin Endocrinol Diabetes</w:t>
      </w:r>
      <w:r>
        <w:t xml:space="preserve"> </w:t>
      </w:r>
      <w:r>
        <w:t xml:space="preserve">· Insulin Glargine is More Suitable Than Exenatide in Preventing Muscle Loss in Non-Obese Type 2 Diabetic Patients with NAFLD. PMID 37524110</w:t>
      </w:r>
    </w:p>
    <w:p>
      <w:pPr>
        <w:numPr>
          <w:ilvl w:val="0"/>
          <w:numId w:val="1376"/>
        </w:numPr>
        <w:pStyle w:val="Compact"/>
      </w:pPr>
      <w:r>
        <w:t xml:space="preserve">2023 · Retnakaran R ·</w:t>
      </w:r>
      <w:r>
        <w:t xml:space="preserve"> </w:t>
      </w:r>
      <w:r>
        <w:rPr>
          <w:iCs/>
          <w:i/>
        </w:rPr>
        <w:t xml:space="preserve">Diabetes Obes Metab</w:t>
      </w:r>
      <w:r>
        <w:t xml:space="preserve"> </w:t>
      </w:r>
      <w:r>
        <w:t xml:space="preserve">· Baseline determinants of remission of type 2 diabetes in response to short-term insulin-based therapy: The pivotal role of beta-cell function. PMID 37380623</w:t>
      </w:r>
    </w:p>
    <w:p>
      <w:pPr>
        <w:numPr>
          <w:ilvl w:val="0"/>
          <w:numId w:val="1376"/>
        </w:numPr>
        <w:pStyle w:val="Compact"/>
      </w:pPr>
      <w:r>
        <w:t xml:space="preserve">2023 · Mitchell JL ·</w:t>
      </w:r>
      <w:r>
        <w:t xml:space="preserve"> </w:t>
      </w:r>
      <w:r>
        <w:rPr>
          <w:iCs/>
          <w:i/>
        </w:rPr>
        <w:t xml:space="preserve">Brain</w:t>
      </w:r>
      <w:r>
        <w:t xml:space="preserve"> </w:t>
      </w:r>
      <w:r>
        <w:t xml:space="preserve">· The effect of GLP-1RA exenatide on idiopathic intracranial hypertension: a randomized clinical trial. PMID 36907221</w:t>
      </w:r>
    </w:p>
    <w:p>
      <w:pPr>
        <w:numPr>
          <w:ilvl w:val="0"/>
          <w:numId w:val="1376"/>
        </w:numPr>
        <w:pStyle w:val="Compact"/>
      </w:pPr>
      <w:r>
        <w:t xml:space="preserve">2023 · Retnakaran R ·</w:t>
      </w:r>
      <w:r>
        <w:t xml:space="preserve"> </w:t>
      </w:r>
      <w:r>
        <w:rPr>
          <w:iCs/>
          <w:i/>
        </w:rPr>
        <w:t xml:space="preserve">Cardiovasc Diabetol</w:t>
      </w:r>
      <w:r>
        <w:t xml:space="preserve"> </w:t>
      </w:r>
      <w:r>
        <w:t xml:space="preserve">· The vascular function effects of adding exenatide or meal insulin to basal insulin therapy in early type 2 diabetes. PMID 36894921</w:t>
      </w:r>
    </w:p>
    <w:p>
      <w:pPr>
        <w:numPr>
          <w:ilvl w:val="0"/>
          <w:numId w:val="1376"/>
        </w:numPr>
        <w:pStyle w:val="Compact"/>
      </w:pPr>
      <w:r>
        <w:t xml:space="preserve">2023 · van der Aart-van der Beek AB ·</w:t>
      </w:r>
      <w:r>
        <w:t xml:space="preserve"> </w:t>
      </w:r>
      <w:r>
        <w:rPr>
          <w:iCs/>
          <w:i/>
        </w:rPr>
        <w:t xml:space="preserve">Diabetes Obes Metab</w:t>
      </w:r>
      <w:r>
        <w:t xml:space="preserve"> </w:t>
      </w:r>
      <w:r>
        <w:t xml:space="preserve">· Albuminuria-lowering effect of dapagliflozin, exenatide, and their combination in patients with type 2 diabetes: A randomized cross-over clinical study. PMID 36843215</w:t>
      </w:r>
    </w:p>
    <w:p>
      <w:pPr>
        <w:numPr>
          <w:ilvl w:val="0"/>
          <w:numId w:val="1376"/>
        </w:numPr>
        <w:pStyle w:val="Compact"/>
      </w:pPr>
      <w:r>
        <w:t xml:space="preserve">2023 · Green JB ·</w:t>
      </w:r>
      <w:r>
        <w:t xml:space="preserve"> </w:t>
      </w:r>
      <w:r>
        <w:rPr>
          <w:iCs/>
          <w:i/>
        </w:rPr>
        <w:t xml:space="preserve">Diabetes Obes Metab</w:t>
      </w:r>
      <w:r>
        <w:t xml:space="preserve"> </w:t>
      </w:r>
      <w:r>
        <w:t xml:space="preserve">· Sex differences in the complications, care and clinical outcomes of patients with type 2 diabetes in the Exenatide Study of Cardiovascular Event Lowering (EXSCEL). PMID 36700460</w:t>
      </w:r>
    </w:p>
    <w:p>
      <w:pPr>
        <w:numPr>
          <w:ilvl w:val="0"/>
          <w:numId w:val="1376"/>
        </w:numPr>
        <w:pStyle w:val="Compact"/>
      </w:pPr>
      <w:r>
        <w:t xml:space="preserve">2023 · Oulhaj A ·</w:t>
      </w:r>
      <w:r>
        <w:t xml:space="preserve"> </w:t>
      </w:r>
      <w:r>
        <w:rPr>
          <w:iCs/>
          <w:i/>
        </w:rPr>
        <w:t xml:space="preserve">Diabetes Obes Metab</w:t>
      </w:r>
      <w:r>
        <w:t xml:space="preserve"> </w:t>
      </w:r>
      <w:r>
        <w:t xml:space="preserve">· Joint longitudinal and time-to-event modelling compared with standard Cox modelling in patients with type 2 diabetes with and without established cardiovascular disease: An analysis of the EXSCEL trial. PMID 36635232</w:t>
      </w:r>
    </w:p>
    <w:p>
      <w:pPr>
        <w:numPr>
          <w:ilvl w:val="0"/>
          <w:numId w:val="1376"/>
        </w:numPr>
        <w:pStyle w:val="Compact"/>
      </w:pPr>
      <w:r>
        <w:t xml:space="preserve">2022 · Zhang J ·</w:t>
      </w:r>
      <w:r>
        <w:t xml:space="preserve"> </w:t>
      </w:r>
      <w:r>
        <w:rPr>
          <w:iCs/>
          <w:i/>
        </w:rPr>
        <w:t xml:space="preserve">Int J Clin Pract</w:t>
      </w:r>
      <w:r>
        <w:t xml:space="preserve"> </w:t>
      </w:r>
      <w:r>
        <w:t xml:space="preserve">· Efficacy of Exenatide Administered Twice Daily in Body Mass Index Reduction in Patients with Type 2 Diabetes Mellitus. PMID 37214201</w:t>
      </w:r>
    </w:p>
    <w:p>
      <w:pPr>
        <w:numPr>
          <w:ilvl w:val="0"/>
          <w:numId w:val="1376"/>
        </w:numPr>
        <w:pStyle w:val="Compact"/>
      </w:pPr>
      <w:r>
        <w:t xml:space="preserve">2022 · Retnakaran R ·</w:t>
      </w:r>
      <w:r>
        <w:t xml:space="preserve"> </w:t>
      </w:r>
      <w:r>
        <w:rPr>
          <w:iCs/>
          <w:i/>
        </w:rPr>
        <w:t xml:space="preserve">Nat Commun</w:t>
      </w:r>
      <w:r>
        <w:t xml:space="preserve"> </w:t>
      </w:r>
      <w:r>
        <w:t xml:space="preserve">· The metabolic effects of adding exenatide to basal insulin therapy when targeting remission in early type 2 diabetes in a randomized clinical trial. PMID 36244997</w:t>
      </w:r>
    </w:p>
    <w:p>
      <w:pPr>
        <w:numPr>
          <w:ilvl w:val="0"/>
          <w:numId w:val="1376"/>
        </w:numPr>
        <w:pStyle w:val="Compact"/>
      </w:pPr>
      <w:r>
        <w:t xml:space="preserve">2022 · Klausen MK ·</w:t>
      </w:r>
      <w:r>
        <w:t xml:space="preserve"> </w:t>
      </w:r>
      <w:r>
        <w:rPr>
          <w:iCs/>
          <w:i/>
        </w:rPr>
        <w:t xml:space="preserve">JCI Insight</w:t>
      </w:r>
      <w:r>
        <w:t xml:space="preserve"> </w:t>
      </w:r>
      <w:r>
        <w:t xml:space="preserve">· Exenatide once weekly for alcohol use disorder investigated in a randomized, placebo-controlled clinical trial. PMID 36066977</w:t>
      </w:r>
    </w:p>
    <w:p>
      <w:pPr>
        <w:numPr>
          <w:ilvl w:val="0"/>
          <w:numId w:val="1376"/>
        </w:numPr>
        <w:pStyle w:val="Compact"/>
      </w:pPr>
      <w:r>
        <w:t xml:space="preserve">2022 · Akyay OZ ·</w:t>
      </w:r>
      <w:r>
        <w:t xml:space="preserve"> </w:t>
      </w:r>
      <w:r>
        <w:rPr>
          <w:iCs/>
          <w:i/>
        </w:rPr>
        <w:t xml:space="preserve">Niger J Clin Pract</w:t>
      </w:r>
      <w:r>
        <w:t xml:space="preserve"> </w:t>
      </w:r>
      <w:r>
        <w:t xml:space="preserve">· Comparison of the effects of exenatide and insulin glargine on right and left ventricular myocardial deformation as shown by 2D-speckle-tracking echocardiograms. PMID 35859471</w:t>
      </w:r>
    </w:p>
    <w:p>
      <w:pPr>
        <w:numPr>
          <w:ilvl w:val="0"/>
          <w:numId w:val="1376"/>
        </w:numPr>
        <w:pStyle w:val="Compact"/>
      </w:pPr>
      <w:r>
        <w:t xml:space="preserve">2022 · Li R ·</w:t>
      </w:r>
      <w:r>
        <w:t xml:space="preserve"> </w:t>
      </w:r>
      <w:r>
        <w:rPr>
          <w:iCs/>
          <w:i/>
        </w:rPr>
        <w:t xml:space="preserve">Arch Gynecol Obstet</w:t>
      </w:r>
      <w:r>
        <w:t xml:space="preserve"> </w:t>
      </w:r>
      <w:r>
        <w:t xml:space="preserve">· Effect of metformin and exenatide on pregnancy rate and pregnancy outcomes in overweight or obese infertility PCOS women: long-term follow-up of an RCT. PMID 35829765</w:t>
      </w:r>
    </w:p>
    <w:p>
      <w:pPr>
        <w:numPr>
          <w:ilvl w:val="0"/>
          <w:numId w:val="1376"/>
        </w:numPr>
        <w:pStyle w:val="Compact"/>
      </w:pPr>
      <w:r>
        <w:t xml:space="preserve">2022 · Davis TME ·</w:t>
      </w:r>
      <w:r>
        <w:t xml:space="preserve"> </w:t>
      </w:r>
      <w:r>
        <w:rPr>
          <w:iCs/>
          <w:i/>
        </w:rPr>
        <w:t xml:space="preserve">Cardiovasc Diabetol</w:t>
      </w:r>
      <w:r>
        <w:t xml:space="preserve"> </w:t>
      </w:r>
      <w:r>
        <w:t xml:space="preserve">· Effect of race on cardiometabolic responses to once-weekly exenatide: insights from the Exenatide Study of Cardiovascular Event Lowering (EXSCEL). PMID 35761271</w:t>
      </w:r>
    </w:p>
    <w:p>
      <w:pPr>
        <w:numPr>
          <w:ilvl w:val="0"/>
          <w:numId w:val="1376"/>
        </w:numPr>
        <w:pStyle w:val="Compact"/>
      </w:pPr>
      <w:r>
        <w:t xml:space="preserve">2022 · Zhang J ·</w:t>
      </w:r>
      <w:r>
        <w:t xml:space="preserve"> </w:t>
      </w:r>
      <w:r>
        <w:rPr>
          <w:iCs/>
          <w:i/>
        </w:rPr>
        <w:t xml:space="preserve">J Investig Med</w:t>
      </w:r>
      <w:r>
        <w:t xml:space="preserve"> </w:t>
      </w:r>
      <w:r>
        <w:t xml:space="preserve">· Comparing the effects of twice-daily exenatide and insulin on renal function in patients with type 2 diabetes mellitus: secondary analysis of a randomized controlled trial. PMID 35725020</w:t>
      </w:r>
    </w:p>
    <w:p>
      <w:pPr>
        <w:numPr>
          <w:ilvl w:val="0"/>
          <w:numId w:val="1376"/>
        </w:numPr>
        <w:pStyle w:val="Compact"/>
      </w:pPr>
      <w:r>
        <w:t xml:space="preserve">2022 · Samms RJ ·</w:t>
      </w:r>
      <w:r>
        <w:t xml:space="preserve"> </w:t>
      </w:r>
      <w:r>
        <w:rPr>
          <w:iCs/>
          <w:i/>
        </w:rPr>
        <w:t xml:space="preserve">Am J Physiol Endocrinol Metab</w:t>
      </w:r>
      <w:r>
        <w:t xml:space="preserve"> </w:t>
      </w:r>
      <w:r>
        <w:t xml:space="preserve">· FGF21 contributes to metabolic improvements elicited by combination therapy with exenatide and pioglitazone in patients with type 2 diabetes. PMID 35723225</w:t>
      </w:r>
    </w:p>
    <w:p>
      <w:pPr>
        <w:numPr>
          <w:ilvl w:val="0"/>
          <w:numId w:val="1376"/>
        </w:numPr>
        <w:pStyle w:val="Compact"/>
      </w:pPr>
      <w:r>
        <w:t xml:space="preserve">2022 · Tamborlane WV ·</w:t>
      </w:r>
      <w:r>
        <w:t xml:space="preserve"> </w:t>
      </w:r>
      <w:r>
        <w:rPr>
          <w:iCs/>
          <w:i/>
        </w:rPr>
        <w:t xml:space="preserve">Diabetes Care</w:t>
      </w:r>
      <w:r>
        <w:t xml:space="preserve"> </w:t>
      </w:r>
      <w:r>
        <w:t xml:space="preserve">· Once-Weekly Exenatide in Youth With Type 2 Diabetes. PMID 35679098</w:t>
      </w:r>
    </w:p>
    <w:p>
      <w:pPr>
        <w:numPr>
          <w:ilvl w:val="0"/>
          <w:numId w:val="1376"/>
        </w:numPr>
        <w:pStyle w:val="Compact"/>
      </w:pPr>
      <w:r>
        <w:t xml:space="preserve">2022 · van Ruiten CC ·</w:t>
      </w:r>
      <w:r>
        <w:t xml:space="preserve"> </w:t>
      </w:r>
      <w:r>
        <w:rPr>
          <w:iCs/>
          <w:i/>
        </w:rPr>
        <w:t xml:space="preserve">Front Endocrinol (Lausanne)</w:t>
      </w:r>
      <w:r>
        <w:t xml:space="preserve"> </w:t>
      </w:r>
      <w:r>
        <w:t xml:space="preserve">· Brain Activation in Response to Low-Calorie Food Pictures: An Explorative Analysis of a Randomized Trial With Dapagliflozin and Exenatide. PMID 35600575</w:t>
      </w:r>
    </w:p>
    <w:p>
      <w:pPr>
        <w:numPr>
          <w:ilvl w:val="0"/>
          <w:numId w:val="1376"/>
        </w:numPr>
        <w:pStyle w:val="Compact"/>
      </w:pPr>
      <w:r>
        <w:t xml:space="preserve">2022 · Toftgaard Pedersen A ·</w:t>
      </w:r>
      <w:r>
        <w:t xml:space="preserve"> </w:t>
      </w:r>
      <w:r>
        <w:rPr>
          <w:iCs/>
          <w:i/>
        </w:rPr>
        <w:t xml:space="preserve">Scand Cardiovasc J</w:t>
      </w:r>
      <w:r>
        <w:t xml:space="preserve"> </w:t>
      </w:r>
      <w:r>
        <w:t xml:space="preserve">· Association between inflammatory markers and survival in comatose, resuscitated out-of-hospital cardiac arrest patients. PMID 35546563</w:t>
      </w:r>
    </w:p>
    <w:p>
      <w:pPr>
        <w:numPr>
          <w:ilvl w:val="0"/>
          <w:numId w:val="1376"/>
        </w:numPr>
        <w:pStyle w:val="Compact"/>
      </w:pPr>
      <w:r>
        <w:t xml:space="preserve">2022 · van Ruiten CC ·</w:t>
      </w:r>
      <w:r>
        <w:t xml:space="preserve"> </w:t>
      </w:r>
      <w:r>
        <w:rPr>
          <w:iCs/>
          <w:i/>
        </w:rPr>
        <w:t xml:space="preserve">Diabetes Obes Metab</w:t>
      </w:r>
      <w:r>
        <w:t xml:space="preserve"> </w:t>
      </w:r>
      <w:r>
        <w:t xml:space="preserve">· Combination therapy with exenatide decreases the dapagliflozin-induced changes in brain responses to anticipation and consumption of palatable food in patients with type 2 diabetes: A randomized controlled trial. PMID 35491524</w:t>
      </w:r>
    </w:p>
    <w:p>
      <w:pPr>
        <w:numPr>
          <w:ilvl w:val="0"/>
          <w:numId w:val="1376"/>
        </w:numPr>
        <w:pStyle w:val="Compact"/>
      </w:pPr>
      <w:r>
        <w:t xml:space="preserve">2022 · van Ruiten CC ·</w:t>
      </w:r>
      <w:r>
        <w:t xml:space="preserve"> </w:t>
      </w:r>
      <w:r>
        <w:rPr>
          <w:iCs/>
          <w:i/>
        </w:rPr>
        <w:t xml:space="preserve">Cardiovasc Diabetol</w:t>
      </w:r>
      <w:r>
        <w:t xml:space="preserve"> </w:t>
      </w:r>
      <w:r>
        <w:t xml:space="preserve">· Mechanisms underlying the blood pressure lowering effects of dapagliflozin, exenatide, and their combination in people with type 2 diabetes: a secondary analysis of a randomized trial. PMID 35484607</w:t>
      </w:r>
    </w:p>
    <w:p>
      <w:pPr>
        <w:numPr>
          <w:ilvl w:val="0"/>
          <w:numId w:val="1376"/>
        </w:numPr>
        <w:pStyle w:val="Compact"/>
      </w:pPr>
      <w:r>
        <w:t xml:space="preserve">2022 · Fox CK ·</w:t>
      </w:r>
      <w:r>
        <w:t xml:space="preserve"> </w:t>
      </w:r>
      <w:r>
        <w:rPr>
          <w:iCs/>
          <w:i/>
        </w:rPr>
        <w:t xml:space="preserve">Obesity (Silver Spring)</w:t>
      </w:r>
      <w:r>
        <w:t xml:space="preserve"> </w:t>
      </w:r>
      <w:r>
        <w:t xml:space="preserve">· Exenatide for weight-loss maintenance in adolescents with severe obesity: A randomized, placebo-controlled trial. PMID 35403350</w:t>
      </w:r>
    </w:p>
    <w:p>
      <w:pPr>
        <w:numPr>
          <w:ilvl w:val="0"/>
          <w:numId w:val="1376"/>
        </w:numPr>
        <w:pStyle w:val="Compact"/>
      </w:pPr>
      <w:r>
        <w:t xml:space="preserve">2022 · López-Cano C ·</w:t>
      </w:r>
      <w:r>
        <w:t xml:space="preserve"> </w:t>
      </w:r>
      <w:r>
        <w:rPr>
          <w:iCs/>
          <w:i/>
        </w:rPr>
        <w:t xml:space="preserve">Sci Rep</w:t>
      </w:r>
      <w:r>
        <w:t xml:space="preserve"> </w:t>
      </w:r>
      <w:r>
        <w:t xml:space="preserve">· Dapagliflozin plus exenatide on patients with type 2 diabetes awaiting bariatric surgery in the DEXBASU study. PMID 35217772</w:t>
      </w:r>
    </w:p>
    <w:p>
      <w:pPr>
        <w:numPr>
          <w:ilvl w:val="0"/>
          <w:numId w:val="1376"/>
        </w:numPr>
        <w:pStyle w:val="Compact"/>
      </w:pPr>
      <w:r>
        <w:t xml:space="preserve">2022 · van Ruiten CC ·</w:t>
      </w:r>
      <w:r>
        <w:t xml:space="preserve"> </w:t>
      </w:r>
      <w:r>
        <w:rPr>
          <w:iCs/>
          <w:i/>
        </w:rPr>
        <w:t xml:space="preserve">J Clin Endocrinol Metab</w:t>
      </w:r>
      <w:r>
        <w:t xml:space="preserve"> </w:t>
      </w:r>
      <w:r>
        <w:t xml:space="preserve">· Effects of Dapagliflozin and Combination Therapy With Exenatide on Food-Cue Induced Brain Activation in Patients With Type 2 Diabetes. PMID 35134184</w:t>
      </w:r>
    </w:p>
    <w:p>
      <w:pPr>
        <w:numPr>
          <w:ilvl w:val="0"/>
          <w:numId w:val="1376"/>
        </w:numPr>
        <w:pStyle w:val="Compact"/>
      </w:pPr>
      <w:r>
        <w:t xml:space="preserve">2022 · Shoemaker AH ·</w:t>
      </w:r>
      <w:r>
        <w:t xml:space="preserve"> </w:t>
      </w:r>
      <w:r>
        <w:rPr>
          <w:iCs/>
          <w:i/>
        </w:rPr>
        <w:t xml:space="preserve">Int J Obes (Lond)</w:t>
      </w:r>
      <w:r>
        <w:t xml:space="preserve"> </w:t>
      </w:r>
      <w:r>
        <w:t xml:space="preserve">· Energy balance in hypothalamic obesity in response to treatment with a once-weekly GLP-1 receptor agonist. PMID 34975146</w:t>
      </w:r>
    </w:p>
    <w:p>
      <w:pPr>
        <w:numPr>
          <w:ilvl w:val="0"/>
          <w:numId w:val="1376"/>
        </w:numPr>
        <w:pStyle w:val="Compact"/>
      </w:pPr>
      <w:r>
        <w:t xml:space="preserve">2022 · Ruff CT ·</w:t>
      </w:r>
      <w:r>
        <w:t xml:space="preserve"> </w:t>
      </w:r>
      <w:r>
        <w:rPr>
          <w:iCs/>
          <w:i/>
        </w:rPr>
        <w:t xml:space="preserve">Nat Med</w:t>
      </w:r>
      <w:r>
        <w:t xml:space="preserve"> </w:t>
      </w:r>
      <w:r>
        <w:t xml:space="preserve">· Subcutaneous infusion of exenatide and cardiovascular outcomes in type 2 diabetes: a non-inferiority randomized controlled trial. PMID 34873344</w:t>
      </w:r>
    </w:p>
    <w:p>
      <w:pPr>
        <w:numPr>
          <w:ilvl w:val="0"/>
          <w:numId w:val="1376"/>
        </w:numPr>
        <w:pStyle w:val="Compact"/>
      </w:pPr>
      <w:r>
        <w:t xml:space="preserve">2022 · Johansen NJ ·</w:t>
      </w:r>
      <w:r>
        <w:t xml:space="preserve"> </w:t>
      </w:r>
      <w:r>
        <w:rPr>
          <w:iCs/>
          <w:i/>
        </w:rPr>
        <w:t xml:space="preserve">Diabetes Obes Metab</w:t>
      </w:r>
      <w:r>
        <w:t xml:space="preserve"> </w:t>
      </w:r>
      <w:r>
        <w:t xml:space="preserve">· Effects of short-acting exenatide added three times daily to insulin therapy on bone metabolism in type 1 diabetes. PMID 34617375</w:t>
      </w:r>
    </w:p>
    <w:p>
      <w:pPr>
        <w:numPr>
          <w:ilvl w:val="0"/>
          <w:numId w:val="1376"/>
        </w:numPr>
        <w:pStyle w:val="Compact"/>
      </w:pPr>
      <w:r>
        <w:t xml:space="preserve">2021 · Rodgers M ·</w:t>
      </w:r>
      <w:r>
        <w:t xml:space="preserve"> </w:t>
      </w:r>
      <w:r>
        <w:rPr>
          <w:iCs/>
          <w:i/>
        </w:rPr>
        <w:t xml:space="preserve">Front Endocrinol (Lausanne)</w:t>
      </w:r>
      <w:r>
        <w:t xml:space="preserve"> </w:t>
      </w:r>
      <w:r>
        <w:t xml:space="preserve">· Weight Loss Outcomes Among Early High Responders to Exenatide Treatment: A Randomized, Placebo Controlled Study in Overweight and Obese Women. PMID 34867786</w:t>
      </w:r>
    </w:p>
    <w:p>
      <w:pPr>
        <w:numPr>
          <w:ilvl w:val="0"/>
          <w:numId w:val="1376"/>
        </w:numPr>
        <w:pStyle w:val="Compact"/>
      </w:pPr>
      <w:r>
        <w:t xml:space="preserve">2021 · Ma RL ·</w:t>
      </w:r>
      <w:r>
        <w:t xml:space="preserve"> </w:t>
      </w:r>
      <w:r>
        <w:rPr>
          <w:iCs/>
          <w:i/>
        </w:rPr>
        <w:t xml:space="preserve">Chin Med J (Engl)</w:t>
      </w:r>
      <w:r>
        <w:t xml:space="preserve"> </w:t>
      </w:r>
      <w:r>
        <w:t xml:space="preserve">· Short-term combined treatment with exenatide and metformin for overweight/obese women with polycystic ovary syndrome. PMID 34732660</w:t>
      </w:r>
    </w:p>
    <w:p>
      <w:pPr>
        <w:numPr>
          <w:ilvl w:val="0"/>
          <w:numId w:val="1376"/>
        </w:numPr>
        <w:pStyle w:val="Compact"/>
      </w:pPr>
      <w:r>
        <w:t xml:space="preserve">2021 · Kang C ·</w:t>
      </w:r>
      <w:r>
        <w:t xml:space="preserve"> </w:t>
      </w:r>
      <w:r>
        <w:rPr>
          <w:iCs/>
          <w:i/>
        </w:rPr>
        <w:t xml:space="preserve">Sci Rep</w:t>
      </w:r>
      <w:r>
        <w:t xml:space="preserve"> </w:t>
      </w:r>
      <w:r>
        <w:t xml:space="preserve">· Effects of exenatide on urinary albumin in overweight/obese patients with T2DM: a randomized clinical trial. PMID 34625598</w:t>
      </w:r>
    </w:p>
    <w:p>
      <w:pPr>
        <w:numPr>
          <w:ilvl w:val="0"/>
          <w:numId w:val="1376"/>
        </w:numPr>
        <w:pStyle w:val="Compact"/>
      </w:pPr>
      <w:r>
        <w:t xml:space="preserve">2021 · Cai TT ·</w:t>
      </w:r>
      <w:r>
        <w:t xml:space="preserve"> </w:t>
      </w:r>
      <w:r>
        <w:rPr>
          <w:iCs/>
          <w:i/>
        </w:rPr>
        <w:t xml:space="preserve">Biomed Res Int</w:t>
      </w:r>
      <w:r>
        <w:t xml:space="preserve"> </w:t>
      </w:r>
      <w:r>
        <w:t xml:space="preserve">· Effects of GLP-1 Receptor Agonists on Bone Mineral Density in Patients with Type 2 Diabetes Mellitus: A 52-Week Clinical Study. PMID 34580638</w:t>
      </w:r>
    </w:p>
    <w:p>
      <w:pPr>
        <w:numPr>
          <w:ilvl w:val="0"/>
          <w:numId w:val="1376"/>
        </w:numPr>
        <w:pStyle w:val="Compact"/>
      </w:pPr>
      <w:r>
        <w:t xml:space="preserve">2021 · Abdelgani S ·</w:t>
      </w:r>
      <w:r>
        <w:t xml:space="preserve"> </w:t>
      </w:r>
      <w:r>
        <w:rPr>
          <w:iCs/>
          <w:i/>
        </w:rPr>
        <w:t xml:space="preserve">J Clin Endocrinol Metab</w:t>
      </w:r>
      <w:r>
        <w:t xml:space="preserve"> </w:t>
      </w:r>
      <w:r>
        <w:t xml:space="preserve">· Insulin Secretion Predicts the Response to Antidiabetic Therapy in Patients With New-onset Diabetes. PMID 34343296</w:t>
      </w:r>
    </w:p>
    <w:p>
      <w:pPr>
        <w:numPr>
          <w:ilvl w:val="0"/>
          <w:numId w:val="1376"/>
        </w:numPr>
        <w:pStyle w:val="Compact"/>
      </w:pPr>
      <w:r>
        <w:t xml:space="preserve">2021 · Ekinci EI ·</w:t>
      </w:r>
      <w:r>
        <w:t xml:space="preserve"> </w:t>
      </w:r>
      <w:r>
        <w:rPr>
          <w:iCs/>
          <w:i/>
        </w:rPr>
        <w:t xml:space="preserve">Intern Med J</w:t>
      </w:r>
      <w:r>
        <w:t xml:space="preserve"> </w:t>
      </w:r>
      <w:r>
        <w:t xml:space="preserve">· Feasibility of once weekly exenatide-LAR and enhanced diabetes care in Indigenous Australians with type 2 diabetes (Long-acting-Once-Weekly-Exenatide laR-SUGAR,</w:t>
      </w:r>
      <w:r>
        <w:t xml:space="preserve"> </w:t>
      </w:r>
      <w:r>
        <w:t xml:space="preserve">‘</w:t>
      </w:r>
      <w:r>
        <w:t xml:space="preserve">Lower SUGAR</w:t>
      </w:r>
      <w:r>
        <w:t xml:space="preserve">’</w:t>
      </w:r>
      <w:r>
        <w:t xml:space="preserve"> </w:t>
      </w:r>
      <w:r>
        <w:t xml:space="preserve">study). PMID 34142743</w:t>
      </w:r>
    </w:p>
    <w:p>
      <w:pPr>
        <w:numPr>
          <w:ilvl w:val="0"/>
          <w:numId w:val="1376"/>
        </w:numPr>
        <w:pStyle w:val="Compact"/>
      </w:pPr>
      <w:r>
        <w:t xml:space="preserve">2021 · Elkind-Hirsch KE ·</w:t>
      </w:r>
      <w:r>
        <w:t xml:space="preserve"> </w:t>
      </w:r>
      <w:r>
        <w:rPr>
          <w:iCs/>
          <w:i/>
        </w:rPr>
        <w:t xml:space="preserve">J Clin Endocrinol Metab</w:t>
      </w:r>
      <w:r>
        <w:t xml:space="preserve"> </w:t>
      </w:r>
      <w:r>
        <w:t xml:space="preserve">· Exenatide, Dapagliflozin, or Phentermine/Topiramate Differentially Affect Metabolic Profiles in Polycystic Ovary Syndrome. PMID 34097062</w:t>
      </w:r>
    </w:p>
    <w:p>
      <w:pPr>
        <w:numPr>
          <w:ilvl w:val="0"/>
          <w:numId w:val="1376"/>
        </w:numPr>
        <w:pStyle w:val="Compact"/>
      </w:pPr>
      <w:r>
        <w:t xml:space="preserve">2021 · Ponirakis G ·</w:t>
      </w:r>
      <w:r>
        <w:t xml:space="preserve"> </w:t>
      </w:r>
      <w:r>
        <w:rPr>
          <w:iCs/>
          <w:i/>
        </w:rPr>
        <w:t xml:space="preserve">J Diabetes Investig</w:t>
      </w:r>
      <w:r>
        <w:t xml:space="preserve"> </w:t>
      </w:r>
      <w:r>
        <w:t xml:space="preserve">· Insulin resistance limits corneal nerve regeneration in patients with type 2 diabetes undergoing intensive glycemic control. PMID 34002953</w:t>
      </w:r>
    </w:p>
    <w:p>
      <w:pPr>
        <w:numPr>
          <w:ilvl w:val="0"/>
          <w:numId w:val="1376"/>
        </w:numPr>
        <w:pStyle w:val="Compact"/>
      </w:pPr>
      <w:r>
        <w:t xml:space="preserve">2021 · van Ruiten CC ·</w:t>
      </w:r>
      <w:r>
        <w:t xml:space="preserve"> </w:t>
      </w:r>
      <w:r>
        <w:rPr>
          <w:iCs/>
          <w:i/>
        </w:rPr>
        <w:t xml:space="preserve">Diabetes Obes Metab</w:t>
      </w:r>
      <w:r>
        <w:t xml:space="preserve"> </w:t>
      </w:r>
      <w:r>
        <w:t xml:space="preserve">· Effect of exenatide twice daily and dapagliflozin, alone and in combination, on markers of kidney function in obese patients with type 2 diabetes: A prespecified secondary analysis of a randomized controlled clinical trial. PMID 33908691</w:t>
      </w:r>
    </w:p>
    <w:p>
      <w:pPr>
        <w:numPr>
          <w:ilvl w:val="0"/>
          <w:numId w:val="1376"/>
        </w:numPr>
        <w:pStyle w:val="Compact"/>
      </w:pPr>
      <w:r>
        <w:t xml:space="preserve">2021 · Barbery CE ·</w:t>
      </w:r>
      <w:r>
        <w:t xml:space="preserve"> </w:t>
      </w:r>
      <w:r>
        <w:rPr>
          <w:iCs/>
          <w:i/>
        </w:rPr>
        <w:t xml:space="preserve">Am Heart J</w:t>
      </w:r>
      <w:r>
        <w:t xml:space="preserve"> </w:t>
      </w:r>
      <w:r>
        <w:t xml:space="preserve">· Effect of once-weekly exenatide on hospitalization for acute coronary syndrome or coronary revascularization in patients with type 2 diabetes mellitus. PMID 33905751</w:t>
      </w:r>
    </w:p>
    <w:p>
      <w:pPr>
        <w:numPr>
          <w:ilvl w:val="0"/>
          <w:numId w:val="1376"/>
        </w:numPr>
        <w:pStyle w:val="Compact"/>
      </w:pPr>
      <w:r>
        <w:t xml:space="preserve">2021 · Abdelgani S ·</w:t>
      </w:r>
      <w:r>
        <w:t xml:space="preserve"> </w:t>
      </w:r>
      <w:r>
        <w:rPr>
          <w:iCs/>
          <w:i/>
        </w:rPr>
        <w:t xml:space="preserve">Diabetes Obes Metab</w:t>
      </w:r>
      <w:r>
        <w:t xml:space="preserve"> </w:t>
      </w:r>
      <w:r>
        <w:t xml:space="preserve">· Insulin secretion is a strong predictor for need of insulin therapy in patients with new-onset diabetes and HbA1c of more than 10%: A post hoc analysis of the EDICT study. PMID 33852204</w:t>
      </w:r>
    </w:p>
    <w:p>
      <w:pPr>
        <w:numPr>
          <w:ilvl w:val="0"/>
          <w:numId w:val="1376"/>
        </w:numPr>
        <w:pStyle w:val="Compact"/>
      </w:pPr>
      <w:r>
        <w:t xml:space="preserve">2021 · Chen X ·</w:t>
      </w:r>
      <w:r>
        <w:t xml:space="preserve"> </w:t>
      </w:r>
      <w:r>
        <w:rPr>
          <w:iCs/>
          <w:i/>
        </w:rPr>
        <w:t xml:space="preserve">Endocr Pract</w:t>
      </w:r>
      <w:r>
        <w:t xml:space="preserve"> </w:t>
      </w:r>
      <w:r>
        <w:t xml:space="preserve">· Exenatide Twice Daily Plus Glargine Versus Aspart 70/30 Twice Daily in Patients With Type 2 Diabetes With Inadequate Glycemic Control on Premixed Human Insulin and Metformin. PMID 33831552</w:t>
      </w:r>
    </w:p>
    <w:p>
      <w:pPr>
        <w:numPr>
          <w:ilvl w:val="0"/>
          <w:numId w:val="1376"/>
        </w:numPr>
        <w:pStyle w:val="Compact"/>
      </w:pPr>
      <w:r>
        <w:t xml:space="preserve">2021 · Yammine L ·</w:t>
      </w:r>
      <w:r>
        <w:t xml:space="preserve"> </w:t>
      </w:r>
      <w:r>
        <w:rPr>
          <w:iCs/>
          <w:i/>
        </w:rPr>
        <w:t xml:space="preserve">Nicotine Tob Res</w:t>
      </w:r>
      <w:r>
        <w:t xml:space="preserve"> </w:t>
      </w:r>
      <w:r>
        <w:t xml:space="preserve">· Exenatide Adjunct to Nicotine Patch Facilitates Smoking Cessation and May Reduce Post-Cessation Weight Gain: A Pilot Randomized Controlled Trial. PMID 33831213</w:t>
      </w:r>
    </w:p>
    <w:p>
      <w:pPr>
        <w:numPr>
          <w:ilvl w:val="0"/>
          <w:numId w:val="1376"/>
        </w:numPr>
        <w:pStyle w:val="Compact"/>
      </w:pPr>
      <w:r>
        <w:t xml:space="preserve">2021 · Ponirakis G ·</w:t>
      </w:r>
      <w:r>
        <w:t xml:space="preserve"> </w:t>
      </w:r>
      <w:r>
        <w:rPr>
          <w:iCs/>
          <w:i/>
        </w:rPr>
        <w:t xml:space="preserve">J Diabetes Investig</w:t>
      </w:r>
      <w:r>
        <w:t xml:space="preserve"> </w:t>
      </w:r>
      <w:r>
        <w:t xml:space="preserve">· Painful diabetic neuropathy is associated with increased nerve regeneration in patients with type 2 diabetes undergoing intensive glycemic control. PMID 33714226</w:t>
      </w:r>
    </w:p>
    <w:p>
      <w:pPr>
        <w:numPr>
          <w:ilvl w:val="0"/>
          <w:numId w:val="1376"/>
        </w:numPr>
        <w:pStyle w:val="Compact"/>
      </w:pPr>
      <w:r>
        <w:t xml:space="preserve">2021 · Ji L ·</w:t>
      </w:r>
      <w:r>
        <w:t xml:space="preserve"> </w:t>
      </w:r>
      <w:r>
        <w:rPr>
          <w:iCs/>
          <w:i/>
        </w:rPr>
        <w:t xml:space="preserve">Diabetologia</w:t>
      </w:r>
      <w:r>
        <w:t xml:space="preserve"> </w:t>
      </w:r>
      <w:r>
        <w:t xml:space="preserve">· Efficacy and safety of PEGylated exenatide injection (PB-119) in treatment-naive type 2 diabetes mellitus patients: a Phase II randomised, double-blind, parallel, placebo-controlled study. PMID 33687487</w:t>
      </w:r>
    </w:p>
    <w:p>
      <w:pPr>
        <w:numPr>
          <w:ilvl w:val="0"/>
          <w:numId w:val="1376"/>
        </w:numPr>
        <w:pStyle w:val="Compact"/>
      </w:pPr>
      <w:r>
        <w:t xml:space="preserve">2021 · Perez FA ·</w:t>
      </w:r>
      <w:r>
        <w:t xml:space="preserve"> </w:t>
      </w:r>
      <w:r>
        <w:rPr>
          <w:iCs/>
          <w:i/>
        </w:rPr>
        <w:t xml:space="preserve">Diabetes Obes Metab</w:t>
      </w:r>
      <w:r>
        <w:t xml:space="preserve"> </w:t>
      </w:r>
      <w:r>
        <w:t xml:space="preserve">· MRI measures of hypothalamic injury are associated with glucagon-like peptide-1 receptor agonist treatment response in people with hypothalamic obesity. PMID 33651438</w:t>
      </w:r>
    </w:p>
    <w:p>
      <w:pPr>
        <w:numPr>
          <w:ilvl w:val="0"/>
          <w:numId w:val="1376"/>
        </w:numPr>
        <w:pStyle w:val="Compact"/>
      </w:pPr>
      <w:r>
        <w:t xml:space="preserve">2021 · Angarita GA ·</w:t>
      </w:r>
      <w:r>
        <w:t xml:space="preserve"> </w:t>
      </w:r>
      <w:r>
        <w:rPr>
          <w:iCs/>
          <w:i/>
        </w:rPr>
        <w:t xml:space="preserve">Drug Alcohol Depend</w:t>
      </w:r>
      <w:r>
        <w:t xml:space="preserve"> </w:t>
      </w:r>
      <w:r>
        <w:t xml:space="preserve">· Testing the effects of the GLP-1 receptor agonist exenatide on cocaine self-administration and subjective responses in humans with cocaine use disorder. PMID 33621809</w:t>
      </w:r>
    </w:p>
    <w:p>
      <w:pPr>
        <w:numPr>
          <w:ilvl w:val="0"/>
          <w:numId w:val="1376"/>
        </w:numPr>
        <w:pStyle w:val="Compact"/>
      </w:pPr>
      <w:r>
        <w:t xml:space="preserve">2021 · Cui H ·</w:t>
      </w:r>
      <w:r>
        <w:t xml:space="preserve"> </w:t>
      </w:r>
      <w:r>
        <w:rPr>
          <w:iCs/>
          <w:i/>
        </w:rPr>
        <w:t xml:space="preserve">Eur J Drug Metab Pharmacokinet</w:t>
      </w:r>
      <w:r>
        <w:t xml:space="preserve"> </w:t>
      </w:r>
      <w:r>
        <w:t xml:space="preserve">· Safety, Pharmacokinetics and Pharmacodynamics of Multiple Escalating Doses of PEGylated Exenatide (PB-119) in Healthy Volunteers. PMID 33576936</w:t>
      </w:r>
    </w:p>
    <w:p>
      <w:pPr>
        <w:numPr>
          <w:ilvl w:val="0"/>
          <w:numId w:val="1376"/>
        </w:numPr>
        <w:pStyle w:val="Compact"/>
      </w:pPr>
      <w:r>
        <w:t xml:space="preserve">2021 · García Del Blanco B ·</w:t>
      </w:r>
      <w:r>
        <w:t xml:space="preserve"> </w:t>
      </w:r>
      <w:r>
        <w:rPr>
          <w:iCs/>
          <w:i/>
        </w:rPr>
        <w:t xml:space="preserve">Basic Res Cardiol</w:t>
      </w:r>
      <w:r>
        <w:t xml:space="preserve"> </w:t>
      </w:r>
      <w:r>
        <w:t xml:space="preserve">· Effect of COMBinAtion therapy with remote ischemic conditioning and exenatide on the Myocardial Infarct size: a two-by-two factorial randomized trial (COMBAT-MI). PMID 33495853</w:t>
      </w:r>
    </w:p>
    <w:p>
      <w:pPr>
        <w:numPr>
          <w:ilvl w:val="0"/>
          <w:numId w:val="1376"/>
        </w:numPr>
        <w:pStyle w:val="Compact"/>
      </w:pPr>
      <w:r>
        <w:t xml:space="preserve">2021 · Koska J ·</w:t>
      </w:r>
      <w:r>
        <w:t xml:space="preserve"> </w:t>
      </w:r>
      <w:r>
        <w:rPr>
          <w:iCs/>
          <w:i/>
        </w:rPr>
        <w:t xml:space="preserve">Diabetes Care</w:t>
      </w:r>
      <w:r>
        <w:t xml:space="preserve"> </w:t>
      </w:r>
      <w:r>
        <w:t xml:space="preserve">· The Effect of Exenatide Once Weekly on Carotid Atherosclerosis in Individuals With Type 2 Diabetes: An 18-Month Randomized Placebo-Controlled Study. PMID 33495294</w:t>
      </w:r>
    </w:p>
    <w:p>
      <w:pPr>
        <w:numPr>
          <w:ilvl w:val="0"/>
          <w:numId w:val="1376"/>
        </w:numPr>
        <w:pStyle w:val="Compact"/>
      </w:pPr>
      <w:r>
        <w:t xml:space="preserve">2021 · Harreiter J ·</w:t>
      </w:r>
      <w:r>
        <w:t xml:space="preserve"> </w:t>
      </w:r>
      <w:r>
        <w:rPr>
          <w:iCs/>
          <w:i/>
        </w:rPr>
        <w:t xml:space="preserve">Diabetes Obes Metab</w:t>
      </w:r>
      <w:r>
        <w:t xml:space="preserve"> </w:t>
      </w:r>
      <w:r>
        <w:t xml:space="preserve">· Combined exenatide and dapagliflozin has no additive effects on reduction of hepatocellular lipids despite better glycaemic control in patients with type 2 diabetes mellitus treated with metformin: EXENDA, a 24-week, prospective, randomized, placebo-controlled pilot trial. PMID 33464703</w:t>
      </w:r>
    </w:p>
    <w:p>
      <w:pPr>
        <w:numPr>
          <w:ilvl w:val="0"/>
          <w:numId w:val="1376"/>
        </w:numPr>
        <w:pStyle w:val="Compact"/>
      </w:pPr>
      <w:r>
        <w:t xml:space="preserve">2021 · Yang K ·</w:t>
      </w:r>
      <w:r>
        <w:t xml:space="preserve"> </w:t>
      </w:r>
      <w:r>
        <w:rPr>
          <w:iCs/>
          <w:i/>
        </w:rPr>
        <w:t xml:space="preserve">Acta Diabetol</w:t>
      </w:r>
      <w:r>
        <w:t xml:space="preserve"> </w:t>
      </w:r>
      <w:r>
        <w:t xml:space="preserve">· High baseline FGF21 levels are associated with poor glucose-lowering efficacy of exenatide in patients with type 2 diabetes. PMID 33452595</w:t>
      </w:r>
    </w:p>
    <w:p>
      <w:pPr>
        <w:numPr>
          <w:ilvl w:val="0"/>
          <w:numId w:val="1376"/>
        </w:numPr>
        <w:pStyle w:val="Compact"/>
      </w:pPr>
      <w:r>
        <w:t xml:space="preserve">2021 · Abdul-Ghani M ·</w:t>
      </w:r>
      <w:r>
        <w:t xml:space="preserve"> </w:t>
      </w:r>
      <w:r>
        <w:rPr>
          <w:iCs/>
          <w:i/>
        </w:rPr>
        <w:t xml:space="preserve">Diabetes Care</w:t>
      </w:r>
      <w:r>
        <w:t xml:space="preserve"> </w:t>
      </w:r>
      <w:r>
        <w:t xml:space="preserve">· Durability of Triple Combination Therapy Versus Stepwise Addition Therapy in Patients With New-Onset T2DM: 3-Year Follow-up of EDICT. PMID 33273042</w:t>
      </w:r>
    </w:p>
    <w:p>
      <w:pPr>
        <w:numPr>
          <w:ilvl w:val="0"/>
          <w:numId w:val="1376"/>
        </w:numPr>
        <w:pStyle w:val="Compact"/>
      </w:pPr>
      <w:r>
        <w:t xml:space="preserve">2021 · Östlund Papadogeorgos N ·</w:t>
      </w:r>
      <w:r>
        <w:t xml:space="preserve"> </w:t>
      </w:r>
      <w:r>
        <w:rPr>
          <w:iCs/>
          <w:i/>
        </w:rPr>
        <w:t xml:space="preserve">Microcirculation</w:t>
      </w:r>
      <w:r>
        <w:t xml:space="preserve"> </w:t>
      </w:r>
      <w:r>
        <w:t xml:space="preserve">· Effects of exenatide on microvascular reactivity in patients with type 2 diabetes and coronary artery disease: A randomized controlled study. PMID 33151597</w:t>
      </w:r>
    </w:p>
    <w:p>
      <w:pPr>
        <w:numPr>
          <w:ilvl w:val="0"/>
          <w:numId w:val="1376"/>
        </w:numPr>
        <w:pStyle w:val="Compact"/>
      </w:pPr>
      <w:r>
        <w:t xml:space="preserve">2021 · Joubert M ·</w:t>
      </w:r>
      <w:r>
        <w:t xml:space="preserve"> </w:t>
      </w:r>
      <w:r>
        <w:rPr>
          <w:iCs/>
          <w:i/>
        </w:rPr>
        <w:t xml:space="preserve">Diabetes Obes Metab</w:t>
      </w:r>
      <w:r>
        <w:t xml:space="preserve"> </w:t>
      </w:r>
      <w:r>
        <w:t xml:space="preserve">· Efficacy and safety of exenatide as add-on therapy for patients with type 2 diabetes with an intensive insulin regimen: A randomized double-blind trial. PMID 33043591</w:t>
      </w:r>
    </w:p>
    <w:p>
      <w:pPr>
        <w:numPr>
          <w:ilvl w:val="0"/>
          <w:numId w:val="1376"/>
        </w:numPr>
        <w:pStyle w:val="Compact"/>
      </w:pPr>
      <w:r>
        <w:t xml:space="preserve">2021 · Roth CL ·</w:t>
      </w:r>
      <w:r>
        <w:t xml:space="preserve"> </w:t>
      </w:r>
      <w:r>
        <w:rPr>
          <w:iCs/>
          <w:i/>
        </w:rPr>
        <w:t xml:space="preserve">Diabetes Obes Metab</w:t>
      </w:r>
      <w:r>
        <w:t xml:space="preserve"> </w:t>
      </w:r>
      <w:r>
        <w:t xml:space="preserve">· A phase 3 randomized clinical trial using a once-weekly glucagon-like peptide-1 receptor agonist in adolescents and young adults with hypothalamic obesity. PMID 33026160</w:t>
      </w:r>
    </w:p>
    <w:p>
      <w:pPr>
        <w:numPr>
          <w:ilvl w:val="0"/>
          <w:numId w:val="1376"/>
        </w:numPr>
        <w:pStyle w:val="Compact"/>
      </w:pPr>
      <w:r>
        <w:t xml:space="preserve">2021 · Tao T ·</w:t>
      </w:r>
      <w:r>
        <w:t xml:space="preserve"> </w:t>
      </w:r>
      <w:r>
        <w:rPr>
          <w:iCs/>
          <w:i/>
        </w:rPr>
        <w:t xml:space="preserve">J Clin Endocrinol Metab</w:t>
      </w:r>
      <w:r>
        <w:t xml:space="preserve"> </w:t>
      </w:r>
      <w:r>
        <w:t xml:space="preserve">· Exenatide, Metformin, or Both for Prediabetes in PCOS: A Randomized, Open-label, Parallel-group Controlled Study. PMID 32995892</w:t>
      </w:r>
    </w:p>
    <w:p>
      <w:pPr>
        <w:numPr>
          <w:ilvl w:val="0"/>
          <w:numId w:val="1376"/>
        </w:numPr>
        <w:pStyle w:val="Compact"/>
      </w:pPr>
      <w:r>
        <w:t xml:space="preserve">2020 · Wysham CH ·</w:t>
      </w:r>
      <w:r>
        <w:t xml:space="preserve"> </w:t>
      </w:r>
      <w:r>
        <w:rPr>
          <w:iCs/>
          <w:i/>
        </w:rPr>
        <w:t xml:space="preserve">BMJ Open Diabetes Res Care</w:t>
      </w:r>
      <w:r>
        <w:t xml:space="preserve"> </w:t>
      </w:r>
      <w:r>
        <w:t xml:space="preserve">· Further improvement in glycemic control after switching from exenatide two times per day to exenatide once-weekly autoinjected suspension in patients with type 2 diabetes: 52-week results from the DURATION-NEO-1 study. PMID 33037036</w:t>
      </w:r>
    </w:p>
    <w:p>
      <w:pPr>
        <w:numPr>
          <w:ilvl w:val="0"/>
          <w:numId w:val="1376"/>
        </w:numPr>
        <w:pStyle w:val="Compact"/>
      </w:pPr>
      <w:r>
        <w:t xml:space="preserve">2020 · Wang X ·</w:t>
      </w:r>
      <w:r>
        <w:t xml:space="preserve"> </w:t>
      </w:r>
      <w:r>
        <w:rPr>
          <w:iCs/>
          <w:i/>
        </w:rPr>
        <w:t xml:space="preserve">Am J Nephrol</w:t>
      </w:r>
      <w:r>
        <w:t xml:space="preserve"> </w:t>
      </w:r>
      <w:r>
        <w:t xml:space="preserve">· Exenatide and Renal Outcomes in Patients with Type 2 Diabetes and Diabetic Kidney Disease. PMID 32966971</w:t>
      </w:r>
    </w:p>
    <w:p>
      <w:pPr>
        <w:numPr>
          <w:ilvl w:val="0"/>
          <w:numId w:val="1376"/>
        </w:numPr>
        <w:pStyle w:val="Compact"/>
      </w:pPr>
      <w:r>
        <w:t xml:space="preserve">2020 · Jabbour SA ·</w:t>
      </w:r>
      <w:r>
        <w:t xml:space="preserve"> </w:t>
      </w:r>
      <w:r>
        <w:rPr>
          <w:iCs/>
          <w:i/>
        </w:rPr>
        <w:t xml:space="preserve">Diabetes Care</w:t>
      </w:r>
      <w:r>
        <w:t xml:space="preserve"> </w:t>
      </w:r>
      <w:r>
        <w:t xml:space="preserve">· Efficacy and Safety Over 2 Years of Exenatide Plus Dapagliflozin in the DURATION-8 Study: A Multicenter, Double-Blind, Phase 3, Randomized Controlled Trial. PMID 32816874</w:t>
      </w:r>
    </w:p>
    <w:p>
      <w:pPr>
        <w:numPr>
          <w:ilvl w:val="0"/>
          <w:numId w:val="1376"/>
        </w:numPr>
        <w:pStyle w:val="Compact"/>
      </w:pPr>
      <w:r>
        <w:t xml:space="preserve">2020 · Abdul-Ghani M ·</w:t>
      </w:r>
      <w:r>
        <w:t xml:space="preserve"> </w:t>
      </w:r>
      <w:r>
        <w:rPr>
          <w:iCs/>
          <w:i/>
        </w:rPr>
        <w:t xml:space="preserve">Diabetes Obes Metab</w:t>
      </w:r>
      <w:r>
        <w:t xml:space="preserve"> </w:t>
      </w:r>
      <w:r>
        <w:t xml:space="preserve">· Combination therapy with pioglitazone/exenatide improves beta-cell function and produces superior glycaemic control compared with basal/bolus insulin in poorly controlled type 2 diabetes: A 3-year follow-up of the Qatar study. PMID 32729222</w:t>
      </w:r>
    </w:p>
    <w:p>
      <w:pPr>
        <w:numPr>
          <w:ilvl w:val="0"/>
          <w:numId w:val="1376"/>
        </w:numPr>
        <w:pStyle w:val="Compact"/>
      </w:pPr>
      <w:r>
        <w:t xml:space="preserve">2020 · Ponirakis G ·</w:t>
      </w:r>
      <w:r>
        <w:t xml:space="preserve"> </w:t>
      </w:r>
      <w:r>
        <w:rPr>
          <w:iCs/>
          <w:i/>
        </w:rPr>
        <w:t xml:space="preserve">BMJ Open Diabetes Res Care</w:t>
      </w:r>
      <w:r>
        <w:t xml:space="preserve"> </w:t>
      </w:r>
      <w:r>
        <w:t xml:space="preserve">· Effect of treatment with exenatide and pioglitazone or basal-bolus insulin on diabetic neuropathy: a substudy of the Qatar Study. PMID 32576561</w:t>
      </w:r>
    </w:p>
    <w:p>
      <w:pPr>
        <w:numPr>
          <w:ilvl w:val="0"/>
          <w:numId w:val="1376"/>
        </w:numPr>
        <w:pStyle w:val="Compact"/>
      </w:pPr>
      <w:r>
        <w:t xml:space="preserve">2020 · Herold KC ·</w:t>
      </w:r>
      <w:r>
        <w:t xml:space="preserve"> </w:t>
      </w:r>
      <w:r>
        <w:rPr>
          <w:iCs/>
          <w:i/>
        </w:rPr>
        <w:t xml:space="preserve">Diabetes Obes Metab</w:t>
      </w:r>
      <w:r>
        <w:t xml:space="preserve"> </w:t>
      </w:r>
      <w:r>
        <w:t xml:space="preserve">· Exenatide extended release in patients with type 1 diabetes with and without residual insulin production. PMID 32573927</w:t>
      </w:r>
    </w:p>
    <w:p>
      <w:pPr>
        <w:numPr>
          <w:ilvl w:val="0"/>
          <w:numId w:val="1376"/>
        </w:numPr>
        <w:pStyle w:val="Compact"/>
      </w:pPr>
      <w:r>
        <w:t xml:space="preserve">2020 · Wang X ·</w:t>
      </w:r>
      <w:r>
        <w:t xml:space="preserve"> </w:t>
      </w:r>
      <w:r>
        <w:rPr>
          <w:iCs/>
          <w:i/>
        </w:rPr>
        <w:t xml:space="preserve">J Diabetes Res</w:t>
      </w:r>
      <w:r>
        <w:t xml:space="preserve"> </w:t>
      </w:r>
      <w:r>
        <w:t xml:space="preserve">· Effects of Exenatide and Humalog Mix25 on Fat Distribution, Insulin Sensitivity, and β-Cell Function in Normal BMI Patients with Type 2 Diabetes and Visceral Adiposity. PMID 32566685</w:t>
      </w:r>
    </w:p>
    <w:p>
      <w:pPr>
        <w:numPr>
          <w:ilvl w:val="0"/>
          <w:numId w:val="1376"/>
        </w:numPr>
        <w:pStyle w:val="Compact"/>
      </w:pPr>
      <w:r>
        <w:t xml:space="preserve">2020 · Johansen NJ ·</w:t>
      </w:r>
      <w:r>
        <w:t xml:space="preserve"> </w:t>
      </w:r>
      <w:r>
        <w:rPr>
          <w:iCs/>
          <w:i/>
        </w:rPr>
        <w:t xml:space="preserve">Diabetes Obes Metab</w:t>
      </w:r>
      <w:r>
        <w:t xml:space="preserve"> </w:t>
      </w:r>
      <w:r>
        <w:t xml:space="preserve">· Effect of short-acting exenatide administered three times daily on markers of cardiovascular disease in type 1 diabetes: A randomized double-blind placebo-controlled trial. PMID 32543021</w:t>
      </w:r>
    </w:p>
    <w:p>
      <w:pPr>
        <w:numPr>
          <w:ilvl w:val="0"/>
          <w:numId w:val="1376"/>
        </w:numPr>
        <w:pStyle w:val="Compact"/>
      </w:pPr>
      <w:r>
        <w:t xml:space="preserve">2020 · Li B ·</w:t>
      </w:r>
      <w:r>
        <w:t xml:space="preserve"> </w:t>
      </w:r>
      <w:r>
        <w:rPr>
          <w:iCs/>
          <w:i/>
        </w:rPr>
        <w:t xml:space="preserve">BMC Pharmacol Toxicol</w:t>
      </w:r>
      <w:r>
        <w:t xml:space="preserve"> </w:t>
      </w:r>
      <w:r>
        <w:t xml:space="preserve">· The effect of exenatide on fasting bile acids in newly diagnosed type 2 diabetes mellitus patients, a pilot study. PMID 32539783</w:t>
      </w:r>
    </w:p>
    <w:p>
      <w:pPr>
        <w:numPr>
          <w:ilvl w:val="0"/>
          <w:numId w:val="1376"/>
        </w:numPr>
        <w:pStyle w:val="Compact"/>
      </w:pPr>
      <w:r>
        <w:t xml:space="preserve">2020 · Zhang J ·</w:t>
      </w:r>
      <w:r>
        <w:t xml:space="preserve"> </w:t>
      </w:r>
      <w:r>
        <w:rPr>
          <w:iCs/>
          <w:i/>
        </w:rPr>
        <w:t xml:space="preserve">Cardiovasc Diabetol</w:t>
      </w:r>
      <w:r>
        <w:t xml:space="preserve"> </w:t>
      </w:r>
      <w:r>
        <w:t xml:space="preserve">· Comparison of the effects of twice-daily exenatide and insulin on carotid intima-media thickness in type 2 diabetes mellitus patients: a 52-week randomized, open-label, controlled trial. PMID 32334592</w:t>
      </w:r>
    </w:p>
    <w:p>
      <w:pPr>
        <w:numPr>
          <w:ilvl w:val="0"/>
          <w:numId w:val="1376"/>
        </w:numPr>
        <w:pStyle w:val="Compact"/>
      </w:pPr>
      <w:r>
        <w:t xml:space="preserve">2020 · van der Aart-van der Beek AB ·</w:t>
      </w:r>
      <w:r>
        <w:t xml:space="preserve"> </w:t>
      </w:r>
      <w:r>
        <w:rPr>
          <w:iCs/>
          <w:i/>
        </w:rPr>
        <w:t xml:space="preserve">Diabetes Obes Metab</w:t>
      </w:r>
      <w:r>
        <w:t xml:space="preserve"> </w:t>
      </w:r>
      <w:r>
        <w:t xml:space="preserve">· Exenatide once weekly decreases urinary albumin excretion in patients with type 2 diabetes and elevated albuminuria: Pooled analysis of randomized active controlled clinical trials. PMID 32329160</w:t>
      </w:r>
    </w:p>
    <w:p>
      <w:pPr>
        <w:numPr>
          <w:ilvl w:val="0"/>
          <w:numId w:val="1376"/>
        </w:numPr>
        <w:pStyle w:val="Compact"/>
      </w:pPr>
      <w:r>
        <w:t xml:space="preserve">2020 · Hamidi V ·</w:t>
      </w:r>
      <w:r>
        <w:t xml:space="preserve"> </w:t>
      </w:r>
      <w:r>
        <w:rPr>
          <w:iCs/>
          <w:i/>
        </w:rPr>
        <w:t xml:space="preserve">Metab Syndr Relat Disord</w:t>
      </w:r>
      <w:r>
        <w:t xml:space="preserve"> </w:t>
      </w:r>
      <w:r>
        <w:t xml:space="preserve">· Acute Exenatide Therapy Attenuates Postprandial Vasodilation in Humans with Prediabetes: A Randomized Controlled Trial. PMID 32228379</w:t>
      </w:r>
    </w:p>
    <w:p>
      <w:pPr>
        <w:numPr>
          <w:ilvl w:val="0"/>
          <w:numId w:val="1376"/>
        </w:numPr>
        <w:pStyle w:val="Compact"/>
      </w:pPr>
      <w:r>
        <w:t xml:space="preserve">2020 · Yang J ·</w:t>
      </w:r>
      <w:r>
        <w:t xml:space="preserve"> </w:t>
      </w:r>
      <w:r>
        <w:rPr>
          <w:iCs/>
          <w:i/>
        </w:rPr>
        <w:t xml:space="preserve">Acta Diabetol</w:t>
      </w:r>
      <w:r>
        <w:t xml:space="preserve"> </w:t>
      </w:r>
      <w:r>
        <w:t xml:space="preserve">· Efficacy and safety of generic exenatide injection in Chinese patients with type 2 diabetes: a multicenter, randomized, controlled, non-inferiority trial. PMID 32206903</w:t>
      </w:r>
    </w:p>
    <w:p>
      <w:pPr>
        <w:numPr>
          <w:ilvl w:val="0"/>
          <w:numId w:val="1376"/>
        </w:numPr>
        <w:pStyle w:val="Compact"/>
      </w:pPr>
      <w:r>
        <w:t xml:space="preserve">2020 · Johansen NJ ·</w:t>
      </w:r>
      <w:r>
        <w:t xml:space="preserve"> </w:t>
      </w:r>
      <w:r>
        <w:rPr>
          <w:iCs/>
          <w:i/>
        </w:rPr>
        <w:t xml:space="preserve">Lancet Diabetes Endocrinol</w:t>
      </w:r>
      <w:r>
        <w:t xml:space="preserve"> </w:t>
      </w:r>
      <w:r>
        <w:t xml:space="preserve">· Efficacy and safety of meal-time administration of short-acting exenatide for glycaemic control in type 1 diabetes (MAG1C): a randomised, double-blind, placebo-controlled trial. PMID 32135138</w:t>
      </w:r>
    </w:p>
    <w:p>
      <w:pPr>
        <w:numPr>
          <w:ilvl w:val="0"/>
          <w:numId w:val="1376"/>
        </w:numPr>
        <w:pStyle w:val="Compact"/>
      </w:pPr>
      <w:r>
        <w:t xml:space="preserve">2020 · Bethel MA ·</w:t>
      </w:r>
      <w:r>
        <w:t xml:space="preserve"> </w:t>
      </w:r>
      <w:r>
        <w:rPr>
          <w:iCs/>
          <w:i/>
        </w:rPr>
        <w:t xml:space="preserve">Circulation</w:t>
      </w:r>
      <w:r>
        <w:t xml:space="preserve"> </w:t>
      </w:r>
      <w:r>
        <w:t xml:space="preserve">· Exploring the Possible Impact of Unbalanced Open-Label Drop-In of Glucose-Lowering Medications on EXSCEL Outcomes. PMID 32098501</w:t>
      </w:r>
    </w:p>
    <w:p>
      <w:pPr>
        <w:numPr>
          <w:ilvl w:val="0"/>
          <w:numId w:val="1376"/>
        </w:numPr>
        <w:pStyle w:val="Compact"/>
      </w:pPr>
      <w:r>
        <w:t xml:space="preserve">2020 · Siskind D ·</w:t>
      </w:r>
      <w:r>
        <w:t xml:space="preserve"> </w:t>
      </w:r>
      <w:r>
        <w:rPr>
          <w:iCs/>
          <w:i/>
        </w:rPr>
        <w:t xml:space="preserve">J Psychiatr Res</w:t>
      </w:r>
      <w:r>
        <w:t xml:space="preserve"> </w:t>
      </w:r>
      <w:r>
        <w:t xml:space="preserve">· Metabolic measures 12 months after a randomised controlled trial of treatment of clozapine associated obesity and diabetes with exenatide (CODEX). PMID 32087425</w:t>
      </w:r>
    </w:p>
    <w:p>
      <w:pPr>
        <w:numPr>
          <w:ilvl w:val="0"/>
          <w:numId w:val="1376"/>
        </w:numPr>
        <w:pStyle w:val="Compact"/>
      </w:pPr>
      <w:r>
        <w:t xml:space="preserve">2020 · Weghuber D ·</w:t>
      </w:r>
      <w:r>
        <w:t xml:space="preserve"> </w:t>
      </w:r>
      <w:r>
        <w:rPr>
          <w:iCs/>
          <w:i/>
        </w:rPr>
        <w:t xml:space="preserve">Pediatr Obes</w:t>
      </w:r>
      <w:r>
        <w:t xml:space="preserve"> </w:t>
      </w:r>
      <w:r>
        <w:t xml:space="preserve">· A 6-month randomized, double-blind, placebo-controlled trial of weekly exenatide in adolescents with obesity. PMID 32062862</w:t>
      </w:r>
    </w:p>
    <w:p>
      <w:pPr>
        <w:numPr>
          <w:ilvl w:val="0"/>
          <w:numId w:val="1376"/>
        </w:numPr>
        <w:pStyle w:val="Compact"/>
      </w:pPr>
      <w:r>
        <w:t xml:space="preserve">2020 · Cui H ·</w:t>
      </w:r>
      <w:r>
        <w:t xml:space="preserve"> </w:t>
      </w:r>
      <w:r>
        <w:rPr>
          <w:iCs/>
          <w:i/>
        </w:rPr>
        <w:t xml:space="preserve">Eur J Drug Metab Pharmacokinet</w:t>
      </w:r>
      <w:r>
        <w:t xml:space="preserve"> </w:t>
      </w:r>
      <w:r>
        <w:t xml:space="preserve">· Safety, Tolerability and Pharmacokinetics of Single Dose Polyethylene Glycolated Exenatide Injection (PB-119) in Healthy Volunteers. PMID 32006325</w:t>
      </w:r>
    </w:p>
    <w:p>
      <w:pPr>
        <w:numPr>
          <w:ilvl w:val="0"/>
          <w:numId w:val="1376"/>
        </w:numPr>
        <w:pStyle w:val="Compact"/>
      </w:pPr>
      <w:r>
        <w:t xml:space="preserve">2020 · Janssen LGM ·</w:t>
      </w:r>
      <w:r>
        <w:t xml:space="preserve"> </w:t>
      </w:r>
      <w:r>
        <w:rPr>
          <w:iCs/>
          <w:i/>
        </w:rPr>
        <w:t xml:space="preserve">Metabolism</w:t>
      </w:r>
      <w:r>
        <w:t xml:space="preserve"> </w:t>
      </w:r>
      <w:r>
        <w:t xml:space="preserve">· Twelve weeks of exenatide treatment increases [(18)F]fluorodeoxyglucose uptake by brown adipose tissue without affecting oxidative resting energy expenditure in nondiabetic males. PMID 31982480</w:t>
      </w:r>
    </w:p>
    <w:p>
      <w:pPr>
        <w:numPr>
          <w:ilvl w:val="0"/>
          <w:numId w:val="1376"/>
        </w:numPr>
        <w:pStyle w:val="Compact"/>
      </w:pPr>
      <w:r>
        <w:t xml:space="preserve">2020 · Liu L ·</w:t>
      </w:r>
      <w:r>
        <w:t xml:space="preserve"> </w:t>
      </w:r>
      <w:r>
        <w:rPr>
          <w:iCs/>
          <w:i/>
        </w:rPr>
        <w:t xml:space="preserve">Diabetes Metab Res Rev</w:t>
      </w:r>
      <w:r>
        <w:t xml:space="preserve"> </w:t>
      </w:r>
      <w:r>
        <w:t xml:space="preserve">· Efficacy of exenatide and insulin glargine on nonalcoholic fatty liver disease in patients with type 2 diabetes. PMID 31955491</w:t>
      </w:r>
    </w:p>
    <w:p>
      <w:pPr>
        <w:numPr>
          <w:ilvl w:val="0"/>
          <w:numId w:val="1376"/>
        </w:numPr>
        <w:pStyle w:val="Compact"/>
      </w:pPr>
      <w:r>
        <w:t xml:space="preserve">2020 · Idzerda NMA ·</w:t>
      </w:r>
      <w:r>
        <w:t xml:space="preserve"> </w:t>
      </w:r>
      <w:r>
        <w:rPr>
          <w:iCs/>
          <w:i/>
        </w:rPr>
        <w:t xml:space="preserve">Diabetes Obes Metab</w:t>
      </w:r>
      <w:r>
        <w:t xml:space="preserve"> </w:t>
      </w:r>
      <w:r>
        <w:t xml:space="preserve">· Prediction and validation of exenatide risk marker effects on progression of renal disease: Insights from EXSCEL. PMID 31912603</w:t>
      </w:r>
    </w:p>
    <w:p>
      <w:pPr>
        <w:numPr>
          <w:ilvl w:val="0"/>
          <w:numId w:val="1376"/>
        </w:numPr>
        <w:pStyle w:val="Compact"/>
      </w:pPr>
      <w:r>
        <w:t xml:space="preserve">2020 · Jones KL ·</w:t>
      </w:r>
      <w:r>
        <w:t xml:space="preserve"> </w:t>
      </w:r>
      <w:r>
        <w:rPr>
          <w:iCs/>
          <w:i/>
        </w:rPr>
        <w:t xml:space="preserve">Diabetes Obes Metab</w:t>
      </w:r>
      <w:r>
        <w:t xml:space="preserve"> </w:t>
      </w:r>
      <w:r>
        <w:t xml:space="preserve">· Exenatide once weekly slows gastric emptying of solids and liquids in healthy, overweight people at steady-state concentrations. PMID 31903712</w:t>
      </w:r>
    </w:p>
    <w:p>
      <w:pPr>
        <w:numPr>
          <w:ilvl w:val="0"/>
          <w:numId w:val="1376"/>
        </w:numPr>
        <w:pStyle w:val="Compact"/>
      </w:pPr>
      <w:r>
        <w:t xml:space="preserve">2020 · Standl E ·</w:t>
      </w:r>
      <w:r>
        <w:t xml:space="preserve"> </w:t>
      </w:r>
      <w:r>
        <w:rPr>
          <w:iCs/>
          <w:i/>
        </w:rPr>
        <w:t xml:space="preserve">Diabetes Care</w:t>
      </w:r>
      <w:r>
        <w:t xml:space="preserve"> </w:t>
      </w:r>
      <w:r>
        <w:t xml:space="preserve">· Confirming the Bidirectional Nature of the Association Between Severe Hypoglycemic and Cardiovascular Events in Type 2 Diabetes: Insights From EXSCEL. PMID 31882409</w:t>
      </w:r>
    </w:p>
    <w:p>
      <w:pPr>
        <w:numPr>
          <w:ilvl w:val="0"/>
          <w:numId w:val="1376"/>
        </w:numPr>
        <w:pStyle w:val="Compact"/>
      </w:pPr>
      <w:r>
        <w:t xml:space="preserve">2020 · Reed SD ·</w:t>
      </w:r>
      <w:r>
        <w:t xml:space="preserve"> </w:t>
      </w:r>
      <w:r>
        <w:rPr>
          <w:iCs/>
          <w:i/>
        </w:rPr>
        <w:t xml:space="preserve">Diabetes Care</w:t>
      </w:r>
      <w:r>
        <w:t xml:space="preserve"> </w:t>
      </w:r>
      <w:r>
        <w:t xml:space="preserve">· Within-Trial Evaluation of Medical Resources, Costs, and Quality of Life Among Patients With Type 2 Diabetes Participating in the Exenatide Study of Cardiovascular Event Lowering (EXSCEL). PMID 31806653</w:t>
      </w:r>
    </w:p>
    <w:p>
      <w:pPr>
        <w:numPr>
          <w:ilvl w:val="0"/>
          <w:numId w:val="1376"/>
        </w:numPr>
        <w:pStyle w:val="Compact"/>
      </w:pPr>
      <w:r>
        <w:t xml:space="preserve">2020 · DeSouza C ·</w:t>
      </w:r>
      <w:r>
        <w:t xml:space="preserve"> </w:t>
      </w:r>
      <w:r>
        <w:rPr>
          <w:iCs/>
          <w:i/>
        </w:rPr>
        <w:t xml:space="preserve">J Clin Endocrinol Metab</w:t>
      </w:r>
      <w:r>
        <w:t xml:space="preserve"> </w:t>
      </w:r>
      <w:r>
        <w:t xml:space="preserve">· Efficacy and Safety of Semaglutide for Type 2 Diabetes by Race and Ethnicity: A Post Hoc Analysis of the SUSTAIN Trials. PMID 31769496</w:t>
      </w:r>
    </w:p>
    <w:p>
      <w:pPr>
        <w:numPr>
          <w:ilvl w:val="0"/>
          <w:numId w:val="1376"/>
        </w:numPr>
        <w:pStyle w:val="Compact"/>
      </w:pPr>
      <w:r>
        <w:t xml:space="preserve">2020 · Bethel MA ·</w:t>
      </w:r>
      <w:r>
        <w:t xml:space="preserve"> </w:t>
      </w:r>
      <w:r>
        <w:rPr>
          <w:iCs/>
          <w:i/>
        </w:rPr>
        <w:t xml:space="preserve">Diabetes Care</w:t>
      </w:r>
      <w:r>
        <w:t xml:space="preserve"> </w:t>
      </w:r>
      <w:r>
        <w:t xml:space="preserve">· Microvascular and Cardiovascular Outcomes According to Renal Function in Patients Treated With Once-Weekly Exenatide: Insights From the EXSCEL Trial. PMID 31757838</w:t>
      </w:r>
    </w:p>
    <w:p>
      <w:pPr>
        <w:numPr>
          <w:ilvl w:val="0"/>
          <w:numId w:val="1376"/>
        </w:numPr>
        <w:pStyle w:val="Compact"/>
      </w:pPr>
      <w:r>
        <w:t xml:space="preserve">2020 · Gastaldelli A ·</w:t>
      </w:r>
      <w:r>
        <w:t xml:space="preserve"> </w:t>
      </w:r>
      <w:r>
        <w:rPr>
          <w:iCs/>
          <w:i/>
        </w:rPr>
        <w:t xml:space="preserve">Diabetes Obes Metab</w:t>
      </w:r>
      <w:r>
        <w:t xml:space="preserve"> </w:t>
      </w:r>
      <w:r>
        <w:t xml:space="preserve">· Exenatide and dapagliflozin combination improves markers of liver steatosis and fibrosis in patients with type 2 diabetes. PMID 31692226</w:t>
      </w:r>
    </w:p>
    <w:p>
      <w:pPr>
        <w:numPr>
          <w:ilvl w:val="0"/>
          <w:numId w:val="1376"/>
        </w:numPr>
        <w:pStyle w:val="Compact"/>
      </w:pPr>
      <w:r>
        <w:t xml:space="preserve">2020 · Watanabe Y ·</w:t>
      </w:r>
      <w:r>
        <w:t xml:space="preserve"> </w:t>
      </w:r>
      <w:r>
        <w:rPr>
          <w:iCs/>
          <w:i/>
        </w:rPr>
        <w:t xml:space="preserve">J Diabetes Investig</w:t>
      </w:r>
      <w:r>
        <w:t xml:space="preserve"> </w:t>
      </w:r>
      <w:r>
        <w:t xml:space="preserve">· Efficacy and safety of once-weekly exenatide after switching from twice-daily exenatide in patients with type 2 diabetes. PMID 31518492</w:t>
      </w:r>
    </w:p>
    <w:p>
      <w:pPr>
        <w:numPr>
          <w:ilvl w:val="0"/>
          <w:numId w:val="1376"/>
        </w:numPr>
        <w:pStyle w:val="Compact"/>
      </w:pPr>
      <w:r>
        <w:t xml:space="preserve">2020 · Ferrannini E ·</w:t>
      </w:r>
      <w:r>
        <w:t xml:space="preserve"> </w:t>
      </w:r>
      <w:r>
        <w:rPr>
          <w:iCs/>
          <w:i/>
        </w:rPr>
        <w:t xml:space="preserve">Diabetes Obes Metab</w:t>
      </w:r>
      <w:r>
        <w:t xml:space="preserve"> </w:t>
      </w:r>
      <w:r>
        <w:t xml:space="preserve">· Hormone-substrate changes with exenatide plus dapagliflozin versus each drug alone: The randomized, active-controlled DURATION-8 study. PMID 31469220</w:t>
      </w:r>
    </w:p>
    <w:p>
      <w:pPr>
        <w:numPr>
          <w:ilvl w:val="0"/>
          <w:numId w:val="1376"/>
        </w:numPr>
        <w:pStyle w:val="Compact"/>
      </w:pPr>
      <w:r>
        <w:t xml:space="preserve">2019 · Badjatiya A ·</w:t>
      </w:r>
      <w:r>
        <w:t xml:space="preserve"> </w:t>
      </w:r>
      <w:r>
        <w:rPr>
          <w:iCs/>
          <w:i/>
        </w:rPr>
        <w:t xml:space="preserve">Circ Cardiovasc Interv</w:t>
      </w:r>
      <w:r>
        <w:t xml:space="preserve"> </w:t>
      </w:r>
      <w:r>
        <w:t xml:space="preserve">· Clinical Outcomes in Patients With Type 2 Diabetes Mellitus and Peripheral Artery Disease: Results From the EXSCEL Trial. PMID 31752517</w:t>
      </w:r>
    </w:p>
    <w:p>
      <w:pPr>
        <w:numPr>
          <w:ilvl w:val="0"/>
          <w:numId w:val="1376"/>
        </w:numPr>
        <w:pStyle w:val="Compact"/>
      </w:pPr>
      <w:r>
        <w:t xml:space="preserve">2019 · Blonde L ·</w:t>
      </w:r>
      <w:r>
        <w:t xml:space="preserve"> </w:t>
      </w:r>
      <w:r>
        <w:rPr>
          <w:iCs/>
          <w:i/>
        </w:rPr>
        <w:t xml:space="preserve">Diabetes Care</w:t>
      </w:r>
      <w:r>
        <w:t xml:space="preserve"> </w:t>
      </w:r>
      <w:r>
        <w:t xml:space="preserve">· Switching to iGlarLixi Versus Continuing Daily or Weekly GLP-1 RA in Type 2 Diabetes Inadequately Controlled by GLP-1 RA and Oral Antihyperglycemic Therapy: The LixiLan-G Randomized Clinical Trial. PMID 31530665</w:t>
      </w:r>
    </w:p>
    <w:p>
      <w:pPr>
        <w:numPr>
          <w:ilvl w:val="0"/>
          <w:numId w:val="1376"/>
        </w:numPr>
        <w:pStyle w:val="Compact"/>
      </w:pPr>
      <w:r>
        <w:t xml:space="preserve">2019 · Larsson M ·</w:t>
      </w:r>
      <w:r>
        <w:t xml:space="preserve"> </w:t>
      </w:r>
      <w:r>
        <w:rPr>
          <w:iCs/>
          <w:i/>
        </w:rPr>
        <w:t xml:space="preserve">Acta Neurol Scand</w:t>
      </w:r>
      <w:r>
        <w:t xml:space="preserve"> </w:t>
      </w:r>
      <w:r>
        <w:t xml:space="preserve">· Prehospital exenatide in hyperglycemic stroke-A randomized trial. PMID 31518433</w:t>
      </w:r>
    </w:p>
    <w:p>
      <w:pPr>
        <w:numPr>
          <w:ilvl w:val="0"/>
          <w:numId w:val="1376"/>
        </w:numPr>
        <w:pStyle w:val="Compact"/>
      </w:pPr>
      <w:r>
        <w:t xml:space="preserve">2019 · Mullins RJ ·</w:t>
      </w:r>
      <w:r>
        <w:t xml:space="preserve"> </w:t>
      </w:r>
      <w:r>
        <w:rPr>
          <w:iCs/>
          <w:i/>
        </w:rPr>
        <w:t xml:space="preserve">Curr Alzheimer Res</w:t>
      </w:r>
      <w:r>
        <w:t xml:space="preserve"> </w:t>
      </w:r>
      <w:r>
        <w:t xml:space="preserve">· A Pilot Study of Exenatide Actions in Alzheimer’s Disease. PMID 31518224</w:t>
      </w:r>
    </w:p>
    <w:p>
      <w:pPr>
        <w:numPr>
          <w:ilvl w:val="0"/>
          <w:numId w:val="1376"/>
        </w:numPr>
        <w:pStyle w:val="Compact"/>
      </w:pPr>
      <w:r>
        <w:t xml:space="preserve">2019 · Muskiet MHA ·</w:t>
      </w:r>
      <w:r>
        <w:t xml:space="preserve"> </w:t>
      </w:r>
      <w:r>
        <w:rPr>
          <w:iCs/>
          <w:i/>
        </w:rPr>
        <w:t xml:space="preserve">Microcirculation</w:t>
      </w:r>
      <w:r>
        <w:t xml:space="preserve"> </w:t>
      </w:r>
      <w:r>
        <w:t xml:space="preserve">· Assessment of real-time and quantitative changes in renal hemodynamics in healthy overweight males: Contrast-enhanced ultrasonography vs para-aminohippuric acid clearance. PMID 31313410</w:t>
      </w:r>
    </w:p>
    <w:p>
      <w:pPr>
        <w:numPr>
          <w:ilvl w:val="0"/>
          <w:numId w:val="1376"/>
        </w:numPr>
        <w:pStyle w:val="Compact"/>
      </w:pPr>
      <w:r>
        <w:t xml:space="preserve">2019 · Aung MM ·</w:t>
      </w:r>
      <w:r>
        <w:t xml:space="preserve"> </w:t>
      </w:r>
      <w:r>
        <w:rPr>
          <w:iCs/>
          <w:i/>
        </w:rPr>
        <w:t xml:space="preserve">Diabetologia</w:t>
      </w:r>
      <w:r>
        <w:t xml:space="preserve"> </w:t>
      </w:r>
      <w:r>
        <w:t xml:space="preserve">· Locally delivered GLP-1 analogues liraglutide and exenatide enhance microvascular perfusion in individuals with and without type 2 diabetes. PMID 31203378</w:t>
      </w:r>
    </w:p>
    <w:p>
      <w:pPr>
        <w:numPr>
          <w:ilvl w:val="0"/>
          <w:numId w:val="1376"/>
        </w:numPr>
        <w:pStyle w:val="Compact"/>
      </w:pPr>
      <w:r>
        <w:t xml:space="preserve">2019 · Almby KE ·</w:t>
      </w:r>
      <w:r>
        <w:t xml:space="preserve"> </w:t>
      </w:r>
      <w:r>
        <w:rPr>
          <w:iCs/>
          <w:i/>
        </w:rPr>
        <w:t xml:space="preserve">Eur J Endocrinol</w:t>
      </w:r>
      <w:r>
        <w:t xml:space="preserve"> </w:t>
      </w:r>
      <w:r>
        <w:t xml:space="preserve">· Effects of GLP-1 on counter-regulatory responses during hypoglycemia after GBP surgery. PMID 31176298</w:t>
      </w:r>
    </w:p>
    <w:p>
      <w:pPr>
        <w:numPr>
          <w:ilvl w:val="0"/>
          <w:numId w:val="1376"/>
        </w:numPr>
        <w:pStyle w:val="Compact"/>
      </w:pPr>
      <w:r>
        <w:t xml:space="preserve">2019 · Muskiet MHA ·</w:t>
      </w:r>
      <w:r>
        <w:t xml:space="preserve"> </w:t>
      </w:r>
      <w:r>
        <w:rPr>
          <w:iCs/>
          <w:i/>
        </w:rPr>
        <w:t xml:space="preserve">Diabetes Res Clin Pract</w:t>
      </w:r>
      <w:r>
        <w:t xml:space="preserve"> </w:t>
      </w:r>
      <w:r>
        <w:t xml:space="preserve">· Exenatide twice-daily does not affect renal function or albuminuria compared to titrated insulin glargine in patients with type 2 diabetes mellitus: A post-hoc analysis of a 52-week randomised trial. PMID 31078666</w:t>
      </w:r>
    </w:p>
    <w:p>
      <w:pPr>
        <w:numPr>
          <w:ilvl w:val="0"/>
          <w:numId w:val="1376"/>
        </w:numPr>
        <w:pStyle w:val="Compact"/>
      </w:pPr>
      <w:r>
        <w:t xml:space="preserve">2019 · Bethel MA ·</w:t>
      </w:r>
      <w:r>
        <w:t xml:space="preserve"> </w:t>
      </w:r>
      <w:r>
        <w:rPr>
          <w:iCs/>
          <w:i/>
        </w:rPr>
        <w:t xml:space="preserve">Diabetes Care</w:t>
      </w:r>
      <w:r>
        <w:t xml:space="preserve"> </w:t>
      </w:r>
      <w:r>
        <w:t xml:space="preserve">· Changes in Serum Calcitonin Concentrations, Incidence of Medullary Thyroid Carcinoma, and Impact of Routine Calcitonin Concentration Monitoring in the EXenatide Study of Cardiovascular Event Lowering (EXSCEL). PMID 31010875</w:t>
      </w:r>
    </w:p>
    <w:p>
      <w:pPr>
        <w:numPr>
          <w:ilvl w:val="0"/>
          <w:numId w:val="1376"/>
        </w:numPr>
        <w:pStyle w:val="Compact"/>
      </w:pPr>
      <w:r>
        <w:t xml:space="preserve">2019 · Carlson AL ·</w:t>
      </w:r>
      <w:r>
        <w:t xml:space="preserve"> </w:t>
      </w:r>
      <w:r>
        <w:rPr>
          <w:iCs/>
          <w:i/>
        </w:rPr>
        <w:t xml:space="preserve">Endocr Pract</w:t>
      </w:r>
      <w:r>
        <w:t xml:space="preserve"> </w:t>
      </w:r>
      <w:r>
        <w:t xml:space="preserve">· EVALUATION OF INSULIN GLARGINE AND EXENATIDE ALONE AND IN COMBINATION: A RANDOMIZED CLINICAL TRIAL WITH CONTINUOUS GLUCOSE MONITORING AND AMBULATORY GLUCOSE PROFILE ANALYSIS. PMID 30995433</w:t>
      </w:r>
    </w:p>
    <w:p>
      <w:pPr>
        <w:numPr>
          <w:ilvl w:val="0"/>
          <w:numId w:val="1376"/>
        </w:numPr>
        <w:pStyle w:val="Compact"/>
      </w:pPr>
      <w:r>
        <w:t xml:space="preserve">2019 · Zheng S ·</w:t>
      </w:r>
      <w:r>
        <w:t xml:space="preserve"> </w:t>
      </w:r>
      <w:r>
        <w:rPr>
          <w:iCs/>
          <w:i/>
        </w:rPr>
        <w:t xml:space="preserve">Endocr J</w:t>
      </w:r>
      <w:r>
        <w:t xml:space="preserve"> </w:t>
      </w:r>
      <w:r>
        <w:t xml:space="preserve">· Circulating zinc-α2-glycoprotein is reduced in women with polycystic ovary syndrome, but can be increased by exenatide or metformin treatment. PMID 30918134</w:t>
      </w:r>
    </w:p>
    <w:p>
      <w:pPr>
        <w:numPr>
          <w:ilvl w:val="0"/>
          <w:numId w:val="1376"/>
        </w:numPr>
        <w:pStyle w:val="Compact"/>
      </w:pPr>
      <w:r>
        <w:t xml:space="preserve">2019 · Liu J ·</w:t>
      </w:r>
      <w:r>
        <w:t xml:space="preserve"> </w:t>
      </w:r>
      <w:r>
        <w:rPr>
          <w:iCs/>
          <w:i/>
        </w:rPr>
        <w:t xml:space="preserve">EBioMedicine</w:t>
      </w:r>
      <w:r>
        <w:t xml:space="preserve"> </w:t>
      </w:r>
      <w:r>
        <w:t xml:space="preserve">· Liver-derived fibroblast growth factor 21 mediates effects of glucagon-like peptide-1 in attenuating hepatic glucose output. PMID 30827929</w:t>
      </w:r>
    </w:p>
    <w:p>
      <w:pPr>
        <w:numPr>
          <w:ilvl w:val="0"/>
          <w:numId w:val="1376"/>
        </w:numPr>
        <w:pStyle w:val="Compact"/>
      </w:pPr>
      <w:r>
        <w:t xml:space="preserve">2019 · Fayfman M ·</w:t>
      </w:r>
      <w:r>
        <w:t xml:space="preserve"> </w:t>
      </w:r>
      <w:r>
        <w:rPr>
          <w:iCs/>
          <w:i/>
        </w:rPr>
        <w:t xml:space="preserve">Diabetes Care</w:t>
      </w:r>
      <w:r>
        <w:t xml:space="preserve"> </w:t>
      </w:r>
      <w:r>
        <w:t xml:space="preserve">· A Randomized Controlled Trial on the Safety and Efficacy of Exenatide Therapy for the Inpatient Management of General Medicine and Surgery Patients With Type 2 Diabetes. PMID 30679302</w:t>
      </w:r>
    </w:p>
    <w:p>
      <w:pPr>
        <w:numPr>
          <w:ilvl w:val="0"/>
          <w:numId w:val="1376"/>
        </w:numPr>
        <w:pStyle w:val="Compact"/>
      </w:pPr>
      <w:r>
        <w:t xml:space="preserve">2019 · Athauda D ·</w:t>
      </w:r>
      <w:r>
        <w:t xml:space="preserve"> </w:t>
      </w:r>
      <w:r>
        <w:rPr>
          <w:iCs/>
          <w:i/>
        </w:rPr>
        <w:t xml:space="preserve">JAMA Neurol</w:t>
      </w:r>
      <w:r>
        <w:t xml:space="preserve"> </w:t>
      </w:r>
      <w:r>
        <w:t xml:space="preserve">· Utility of Neuronal-Derived Exosomes to Examine Molecular Mechanisms That Affect Motor Function in Patients With Parkinson Disease: A Secondary Analysis of the Exenatide-PD Trial. PMID 30640362</w:t>
      </w:r>
    </w:p>
    <w:p>
      <w:pPr>
        <w:numPr>
          <w:ilvl w:val="0"/>
          <w:numId w:val="1376"/>
        </w:numPr>
        <w:pStyle w:val="Compact"/>
      </w:pPr>
      <w:r>
        <w:t xml:space="preserve">2019 · Philis-Tsimikas A ·</w:t>
      </w:r>
      <w:r>
        <w:t xml:space="preserve"> </w:t>
      </w:r>
      <w:r>
        <w:rPr>
          <w:iCs/>
          <w:i/>
        </w:rPr>
        <w:t xml:space="preserve">J Diabetes Complications</w:t>
      </w:r>
      <w:r>
        <w:t xml:space="preserve"> </w:t>
      </w:r>
      <w:r>
        <w:t xml:space="preserve">· Efficacy and tolerability of exenatide once weekly over 7 years in patients with type 2 diabetes: An open-label extension of the DURATION-1 study. PMID 30600137</w:t>
      </w:r>
    </w:p>
    <w:p>
      <w:pPr>
        <w:numPr>
          <w:ilvl w:val="0"/>
          <w:numId w:val="1376"/>
        </w:numPr>
        <w:pStyle w:val="Compact"/>
      </w:pPr>
      <w:r>
        <w:t xml:space="preserve">2019 · Clegg LE ·</w:t>
      </w:r>
      <w:r>
        <w:t xml:space="preserve"> </w:t>
      </w:r>
      <w:r>
        <w:rPr>
          <w:iCs/>
          <w:i/>
        </w:rPr>
        <w:t xml:space="preserve">Diabetes Care</w:t>
      </w:r>
      <w:r>
        <w:t xml:space="preserve"> </w:t>
      </w:r>
      <w:r>
        <w:t xml:space="preserve">· Reduction of Cardiovascular Risk and Improved Estimated Glomerular Filtration Rate by SGLT2 Inhibitors, Including Dapagliflozin, Is Consistent Across the Class: An Analysis of the Placebo Arm of EXSCEL. PMID 30523029</w:t>
      </w:r>
    </w:p>
    <w:p>
      <w:pPr>
        <w:numPr>
          <w:ilvl w:val="0"/>
          <w:numId w:val="1376"/>
        </w:numPr>
        <w:pStyle w:val="Compact"/>
      </w:pPr>
      <w:r>
        <w:t xml:space="preserve">2019 · Guerci B ·</w:t>
      </w:r>
      <w:r>
        <w:t xml:space="preserve"> </w:t>
      </w:r>
      <w:r>
        <w:rPr>
          <w:iCs/>
          <w:i/>
        </w:rPr>
        <w:t xml:space="preserve">Diabetes Obes Metab</w:t>
      </w:r>
      <w:r>
        <w:t xml:space="preserve"> </w:t>
      </w:r>
      <w:r>
        <w:t xml:space="preserve">· Predictive factors associated with three years of response to HbA1c goals with exenatide QW or insulin glargine: Post-hoc analysis of the DURATION-3 study. PMID 30520252</w:t>
      </w:r>
    </w:p>
    <w:p>
      <w:pPr>
        <w:numPr>
          <w:ilvl w:val="0"/>
          <w:numId w:val="1376"/>
        </w:numPr>
        <w:pStyle w:val="Compact"/>
      </w:pPr>
      <w:r>
        <w:t xml:space="preserve">2019 · Deng H ·</w:t>
      </w:r>
      <w:r>
        <w:t xml:space="preserve"> </w:t>
      </w:r>
      <w:r>
        <w:rPr>
          <w:iCs/>
          <w:i/>
        </w:rPr>
        <w:t xml:space="preserve">J Diabetes</w:t>
      </w:r>
      <w:r>
        <w:t xml:space="preserve"> </w:t>
      </w:r>
      <w:r>
        <w:t xml:space="preserve">· Effect of baseline body mass index on glycemic control and weight change with exenatide monotherapy in Chinese drug-naïve type 2 diabetic patients. PMID 30520243</w:t>
      </w:r>
    </w:p>
    <w:p>
      <w:pPr>
        <w:numPr>
          <w:ilvl w:val="0"/>
          <w:numId w:val="1376"/>
        </w:numPr>
        <w:pStyle w:val="Compact"/>
      </w:pPr>
      <w:r>
        <w:t xml:space="preserve">2019 · Geyer MC ·</w:t>
      </w:r>
      <w:r>
        <w:t xml:space="preserve"> </w:t>
      </w:r>
      <w:r>
        <w:rPr>
          <w:iCs/>
          <w:i/>
        </w:rPr>
        <w:t xml:space="preserve">Diabetes Obes Metab</w:t>
      </w:r>
      <w:r>
        <w:t xml:space="preserve"> </w:t>
      </w:r>
      <w:r>
        <w:t xml:space="preserve">· Exenatide corrects postprandial hyperglycaemia in young people with cystic fibrosis and impaired glucose tolerance: A randomized crossover trial. PMID 30259623</w:t>
      </w:r>
    </w:p>
    <w:p>
      <w:pPr>
        <w:numPr>
          <w:ilvl w:val="0"/>
          <w:numId w:val="1376"/>
        </w:numPr>
        <w:pStyle w:val="Compact"/>
      </w:pPr>
      <w:r>
        <w:t xml:space="preserve">2019 · Overgaard RV ·</w:t>
      </w:r>
      <w:r>
        <w:t xml:space="preserve"> </w:t>
      </w:r>
      <w:r>
        <w:rPr>
          <w:iCs/>
          <w:i/>
        </w:rPr>
        <w:t xml:space="preserve">Diabetes Obes Metab</w:t>
      </w:r>
      <w:r>
        <w:t xml:space="preserve"> </w:t>
      </w:r>
      <w:r>
        <w:t xml:space="preserve">· Impact on HbA1c and body weight of switching from other GLP-1 receptor agonists to semaglutide: A model-based approach. PMID 30047216</w:t>
      </w:r>
    </w:p>
    <w:p>
      <w:pPr>
        <w:numPr>
          <w:ilvl w:val="0"/>
          <w:numId w:val="1376"/>
        </w:numPr>
        <w:pStyle w:val="Compact"/>
      </w:pPr>
      <w:r>
        <w:t xml:space="preserve">2018 · Besch G ·</w:t>
      </w:r>
      <w:r>
        <w:t xml:space="preserve"> </w:t>
      </w:r>
      <w:r>
        <w:rPr>
          <w:iCs/>
          <w:i/>
        </w:rPr>
        <w:t xml:space="preserve">Cardiovasc Diabetol</w:t>
      </w:r>
      <w:r>
        <w:t xml:space="preserve"> </w:t>
      </w:r>
      <w:r>
        <w:t xml:space="preserve">· Impact of intravenous exenatide infusion for perioperative blood glucose control on myocardial ischemia-reperfusion injuries after coronary artery bypass graft surgery: sub study of the phase II/III ExSTRESS randomized trial. PMID 30384842</w:t>
      </w:r>
    </w:p>
    <w:p>
      <w:pPr>
        <w:numPr>
          <w:ilvl w:val="0"/>
          <w:numId w:val="1376"/>
        </w:numPr>
        <w:pStyle w:val="Compact"/>
      </w:pPr>
      <w:r>
        <w:t xml:space="preserve">2018 · Mentz RJ ·</w:t>
      </w:r>
      <w:r>
        <w:t xml:space="preserve"> </w:t>
      </w:r>
      <w:r>
        <w:rPr>
          <w:iCs/>
          <w:i/>
        </w:rPr>
        <w:t xml:space="preserve">J Am Heart Assoc</w:t>
      </w:r>
      <w:r>
        <w:t xml:space="preserve"> </w:t>
      </w:r>
      <w:r>
        <w:t xml:space="preserve">· Effect of Once-Weekly Exenatide on Clinical Outcomes According to Baseline Risk in Patients With Type 2 Diabetes Mellitus: Insights From the EXSCEL Trial. PMID 30371301</w:t>
      </w:r>
    </w:p>
    <w:p>
      <w:pPr>
        <w:numPr>
          <w:ilvl w:val="0"/>
          <w:numId w:val="1376"/>
        </w:numPr>
        <w:pStyle w:val="Compact"/>
      </w:pPr>
      <w:r>
        <w:t xml:space="preserve">2018 · Fifer S ·</w:t>
      </w:r>
      <w:r>
        <w:t xml:space="preserve"> </w:t>
      </w:r>
      <w:r>
        <w:rPr>
          <w:iCs/>
          <w:i/>
        </w:rPr>
        <w:t xml:space="preserve">BMC Health Serv Res</w:t>
      </w:r>
      <w:r>
        <w:t xml:space="preserve"> </w:t>
      </w:r>
      <w:r>
        <w:t xml:space="preserve">· Valuing injection frequency and other attributes of type 2 diabetes treatments in Australia: a discrete choice experiment. PMID 30165844</w:t>
      </w:r>
    </w:p>
    <w:p>
      <w:pPr>
        <w:numPr>
          <w:ilvl w:val="0"/>
          <w:numId w:val="1376"/>
        </w:numPr>
        <w:pStyle w:val="Compact"/>
      </w:pPr>
      <w:r>
        <w:t xml:space="preserve">2018 · Jabbour SA ·</w:t>
      </w:r>
      <w:r>
        <w:t xml:space="preserve"> </w:t>
      </w:r>
      <w:r>
        <w:rPr>
          <w:iCs/>
          <w:i/>
        </w:rPr>
        <w:t xml:space="preserve">Diabetes Care</w:t>
      </w:r>
      <w:r>
        <w:t xml:space="preserve"> </w:t>
      </w:r>
      <w:r>
        <w:t xml:space="preserve">· Safety and Efficacy of Exenatide Once Weekly Plus Dapagliflozin Once Daily Versus Exenatide or Dapagliflozin Alone in Patients With Type 2 Diabetes Inadequately Controlled With Metformin Monotherapy: 52-Week Results of the DURATION-8 Randomized Controlled Trial. PMID 30082326</w:t>
      </w:r>
    </w:p>
    <w:p>
      <w:pPr>
        <w:numPr>
          <w:ilvl w:val="0"/>
          <w:numId w:val="1376"/>
        </w:numPr>
        <w:pStyle w:val="Compact"/>
      </w:pPr>
      <w:r>
        <w:t xml:space="preserve">2018 · Muller C ·</w:t>
      </w:r>
      <w:r>
        <w:t xml:space="preserve"> </w:t>
      </w:r>
      <w:r>
        <w:rPr>
          <w:iCs/>
          <w:i/>
        </w:rPr>
        <w:t xml:space="preserve">Int J Stroke</w:t>
      </w:r>
      <w:r>
        <w:t xml:space="preserve"> </w:t>
      </w:r>
      <w:r>
        <w:t xml:space="preserve">· Treatment with exenatide in acute ischemic stroke trial protocol: A prospective, randomized, open label, blinded end-point study of exenatide vs. standard care in post stroke hyperglycemia. PMID 30019627</w:t>
      </w:r>
    </w:p>
    <w:p>
      <w:pPr>
        <w:numPr>
          <w:ilvl w:val="0"/>
          <w:numId w:val="1376"/>
        </w:numPr>
        <w:pStyle w:val="Compact"/>
      </w:pPr>
      <w:r>
        <w:t xml:space="preserve">2018 · Liu J ·</w:t>
      </w:r>
      <w:r>
        <w:t xml:space="preserve"> </w:t>
      </w:r>
      <w:r>
        <w:rPr>
          <w:iCs/>
          <w:i/>
        </w:rPr>
        <w:t xml:space="preserve">Peptides</w:t>
      </w:r>
      <w:r>
        <w:t xml:space="preserve"> </w:t>
      </w:r>
      <w:r>
        <w:t xml:space="preserve">· GLP-1 receptor agonists stimulate ANGPTL8 production through the PI3K/Akt pathway in a GLP-1 receptor-dependent manner. PMID 30003931</w:t>
      </w:r>
    </w:p>
    <w:p>
      <w:pPr>
        <w:numPr>
          <w:ilvl w:val="0"/>
          <w:numId w:val="1376"/>
        </w:numPr>
        <w:pStyle w:val="Compact"/>
      </w:pPr>
      <w:r>
        <w:t xml:space="preserve">2018 · Athauda D ·</w:t>
      </w:r>
      <w:r>
        <w:t xml:space="preserve"> </w:t>
      </w:r>
      <w:r>
        <w:rPr>
          <w:iCs/>
          <w:i/>
        </w:rPr>
        <w:t xml:space="preserve">J Parkinsons Dis</w:t>
      </w:r>
      <w:r>
        <w:t xml:space="preserve"> </w:t>
      </w:r>
      <w:r>
        <w:t xml:space="preserve">· What Effects Might Exenatide have on Non-Motor Symptoms in Parkinson’s Disease: A Post Hoc Analysis. PMID 29843254</w:t>
      </w:r>
    </w:p>
    <w:p>
      <w:pPr>
        <w:numPr>
          <w:ilvl w:val="0"/>
          <w:numId w:val="1376"/>
        </w:numPr>
        <w:pStyle w:val="Compact"/>
      </w:pPr>
      <w:r>
        <w:t xml:space="preserve">2018 · Ahrén B ·</w:t>
      </w:r>
      <w:r>
        <w:t xml:space="preserve"> </w:t>
      </w:r>
      <w:r>
        <w:rPr>
          <w:iCs/>
          <w:i/>
        </w:rPr>
        <w:t xml:space="preserve">Diabetes Obes Metab</w:t>
      </w:r>
      <w:r>
        <w:t xml:space="preserve"> </w:t>
      </w:r>
      <w:r>
        <w:t xml:space="preserve">· Semaglutide induces weight loss in subjects with type 2 diabetes regardless of baseline BMI or gastrointestinal adverse events in the SUSTAIN 1 to 5 trials. PMID 29766634</w:t>
      </w:r>
    </w:p>
    <w:p>
      <w:pPr>
        <w:numPr>
          <w:ilvl w:val="0"/>
          <w:numId w:val="1376"/>
        </w:numPr>
        <w:pStyle w:val="Compact"/>
      </w:pPr>
      <w:r>
        <w:t xml:space="preserve">2018 · Warren M ·</w:t>
      </w:r>
      <w:r>
        <w:t xml:space="preserve"> </w:t>
      </w:r>
      <w:r>
        <w:rPr>
          <w:iCs/>
          <w:i/>
        </w:rPr>
        <w:t xml:space="preserve">Diabetes Obes Metab</w:t>
      </w:r>
      <w:r>
        <w:t xml:space="preserve"> </w:t>
      </w:r>
      <w:r>
        <w:t xml:space="preserve">· Semaglutide as a therapeutic option for elderly patients with type 2 diabetes: Pooled analysis of the SUSTAIN 1-5 trials. PMID 29687620</w:t>
      </w:r>
    </w:p>
    <w:p>
      <w:pPr>
        <w:numPr>
          <w:ilvl w:val="0"/>
          <w:numId w:val="1376"/>
        </w:numPr>
        <w:pStyle w:val="Compact"/>
      </w:pPr>
      <w:r>
        <w:t xml:space="preserve">2018 · Basolo A ·</w:t>
      </w:r>
      <w:r>
        <w:t xml:space="preserve"> </w:t>
      </w:r>
      <w:r>
        <w:rPr>
          <w:iCs/>
          <w:i/>
        </w:rPr>
        <w:t xml:space="preserve">Metabolism</w:t>
      </w:r>
      <w:r>
        <w:t xml:space="preserve"> </w:t>
      </w:r>
      <w:r>
        <w:t xml:space="preserve">· Exenatide has a pronounced effect on energy intake but not energy expenditure in non-diabetic subjects with obesity: A randomized, double-blind, placebo-controlled trial. PMID 29596853</w:t>
      </w:r>
    </w:p>
    <w:p>
      <w:pPr>
        <w:numPr>
          <w:ilvl w:val="0"/>
          <w:numId w:val="1376"/>
        </w:numPr>
        <w:pStyle w:val="Compact"/>
      </w:pPr>
      <w:r>
        <w:t xml:space="preserve">2018 · Frías JP ·</w:t>
      </w:r>
      <w:r>
        <w:t xml:space="preserve"> </w:t>
      </w:r>
      <w:r>
        <w:rPr>
          <w:iCs/>
          <w:i/>
        </w:rPr>
        <w:t xml:space="preserve">Diabetes Obes Metab</w:t>
      </w:r>
      <w:r>
        <w:t xml:space="preserve"> </w:t>
      </w:r>
      <w:r>
        <w:t xml:space="preserve">· Effects of exenatide once weekly plus dapagliflozin, exenatide once weekly alone, or dapagliflozin alone added to metformin monotherapy in subgroups of patients with type 2 diabetes in the DURATION-8 randomized controlled trial. PMID 29573139</w:t>
      </w:r>
    </w:p>
    <w:p>
      <w:pPr>
        <w:numPr>
          <w:ilvl w:val="0"/>
          <w:numId w:val="1376"/>
        </w:numPr>
        <w:pStyle w:val="Compact"/>
      </w:pPr>
      <w:r>
        <w:t xml:space="preserve">2018 · Du X ·</w:t>
      </w:r>
      <w:r>
        <w:t xml:space="preserve"> </w:t>
      </w:r>
      <w:r>
        <w:rPr>
          <w:iCs/>
          <w:i/>
        </w:rPr>
        <w:t xml:space="preserve">J Diabetes Res</w:t>
      </w:r>
      <w:r>
        <w:t xml:space="preserve"> </w:t>
      </w:r>
      <w:r>
        <w:t xml:space="preserve">· Exenatide with Metformin Ameliorated Visceral Adiposity and Insulin Resistance. PMID 29541641</w:t>
      </w:r>
    </w:p>
    <w:p>
      <w:pPr>
        <w:numPr>
          <w:ilvl w:val="0"/>
          <w:numId w:val="1376"/>
        </w:numPr>
        <w:pStyle w:val="Compact"/>
      </w:pPr>
      <w:r>
        <w:t xml:space="preserve">2018 · Chedid V ·</w:t>
      </w:r>
      <w:r>
        <w:t xml:space="preserve"> </w:t>
      </w:r>
      <w:r>
        <w:rPr>
          <w:iCs/>
          <w:i/>
        </w:rPr>
        <w:t xml:space="preserve">Neurogastroenterol Motil</w:t>
      </w:r>
      <w:r>
        <w:t xml:space="preserve"> </w:t>
      </w:r>
      <w:r>
        <w:t xml:space="preserve">· Allelic variant in the glucagon-like peptide 1 receptor gene associated with greater effect of liraglutide and exenatide on gastric emptying: A pilot pharmacogenetics study. PMID 29488276</w:t>
      </w:r>
    </w:p>
    <w:p>
      <w:pPr>
        <w:numPr>
          <w:ilvl w:val="0"/>
          <w:numId w:val="1376"/>
        </w:numPr>
        <w:pStyle w:val="Compact"/>
      </w:pPr>
      <w:r>
        <w:t xml:space="preserve">2018 · Yammine L ·</w:t>
      </w:r>
      <w:r>
        <w:t xml:space="preserve"> </w:t>
      </w:r>
      <w:r>
        <w:rPr>
          <w:iCs/>
          <w:i/>
        </w:rPr>
        <w:t xml:space="preserve">Medicine (Baltimore)</w:t>
      </w:r>
      <w:r>
        <w:t xml:space="preserve"> </w:t>
      </w:r>
      <w:r>
        <w:t xml:space="preserve">· Exenatide once weekly for smoking cessation: study protocol for a randomized clinical trial. PMID 29480848</w:t>
      </w:r>
    </w:p>
    <w:p>
      <w:pPr>
        <w:numPr>
          <w:ilvl w:val="0"/>
          <w:numId w:val="1376"/>
        </w:numPr>
        <w:pStyle w:val="Compact"/>
      </w:pPr>
      <w:r>
        <w:t xml:space="preserve">2018 · Guja C ·</w:t>
      </w:r>
      <w:r>
        <w:t xml:space="preserve"> </w:t>
      </w:r>
      <w:r>
        <w:rPr>
          <w:iCs/>
          <w:i/>
        </w:rPr>
        <w:t xml:space="preserve">Diabetes Obes Metab</w:t>
      </w:r>
      <w:r>
        <w:t xml:space="preserve"> </w:t>
      </w:r>
      <w:r>
        <w:t xml:space="preserve">· Effect of exenatide QW or placebo, both added to titrated insulin glargine, in uncontrolled type 2 diabetes: The DURATION-7 randomized study. PMID 29473704</w:t>
      </w:r>
    </w:p>
    <w:p>
      <w:pPr>
        <w:numPr>
          <w:ilvl w:val="0"/>
          <w:numId w:val="1376"/>
        </w:numPr>
        <w:pStyle w:val="Compact"/>
      </w:pPr>
      <w:r>
        <w:t xml:space="preserve">2018 · Kaneko M ·</w:t>
      </w:r>
      <w:r>
        <w:t xml:space="preserve"> </w:t>
      </w:r>
      <w:r>
        <w:rPr>
          <w:iCs/>
          <w:i/>
        </w:rPr>
        <w:t xml:space="preserve">Ann Pharmacother</w:t>
      </w:r>
      <w:r>
        <w:t xml:space="preserve"> </w:t>
      </w:r>
      <w:r>
        <w:t xml:space="preserve">· Assessment of Cardiovascular Risk With Glucagon-Like Peptide 1 Receptor Agonists in Patients With Type 2 Diabetes Using an Alternative Measure to the Hazard Ratio. PMID 29424239</w:t>
      </w:r>
    </w:p>
    <w:p>
      <w:pPr>
        <w:numPr>
          <w:ilvl w:val="0"/>
          <w:numId w:val="1376"/>
        </w:numPr>
        <w:pStyle w:val="Compact"/>
      </w:pPr>
      <w:r>
        <w:t xml:space="preserve">2018 · Dandona P ·</w:t>
      </w:r>
      <w:r>
        <w:t xml:space="preserve"> </w:t>
      </w:r>
      <w:r>
        <w:rPr>
          <w:iCs/>
          <w:i/>
        </w:rPr>
        <w:t xml:space="preserve">J Clin Endocrinol Metab</w:t>
      </w:r>
      <w:r>
        <w:t xml:space="preserve"> </w:t>
      </w:r>
      <w:r>
        <w:t xml:space="preserve">· Exenatide Increases IL-1RA Concentration and Induces Nrf-2‒Keap-1‒Regulated Antioxidant Enzymes: Relevance to β-Cell Function. PMID 29346597</w:t>
      </w:r>
    </w:p>
    <w:p>
      <w:pPr>
        <w:numPr>
          <w:ilvl w:val="0"/>
          <w:numId w:val="1376"/>
        </w:numPr>
        <w:pStyle w:val="Compact"/>
      </w:pPr>
      <w:r>
        <w:t xml:space="preserve">2018 · Tonneijck L ·</w:t>
      </w:r>
      <w:r>
        <w:t xml:space="preserve"> </w:t>
      </w:r>
      <w:r>
        <w:rPr>
          <w:iCs/>
          <w:i/>
        </w:rPr>
        <w:t xml:space="preserve">Diabetes Obes Metab</w:t>
      </w:r>
      <w:r>
        <w:t xml:space="preserve"> </w:t>
      </w:r>
      <w:r>
        <w:t xml:space="preserve">· Effect of immediate and prolonged GLP-1 receptor agonist administration on uric acid and kidney clearance: Post-hoc analyses of four clinical trials. PMID 29341461</w:t>
      </w:r>
    </w:p>
    <w:p>
      <w:pPr>
        <w:numPr>
          <w:ilvl w:val="0"/>
          <w:numId w:val="1376"/>
        </w:numPr>
        <w:pStyle w:val="Compact"/>
      </w:pPr>
      <w:r>
        <w:t xml:space="preserve">2018 · Jabbour SA ·</w:t>
      </w:r>
      <w:r>
        <w:t xml:space="preserve"> </w:t>
      </w:r>
      <w:r>
        <w:rPr>
          <w:iCs/>
          <w:i/>
        </w:rPr>
        <w:t xml:space="preserve">Diabetes Obes Metab</w:t>
      </w:r>
      <w:r>
        <w:t xml:space="preserve"> </w:t>
      </w:r>
      <w:r>
        <w:t xml:space="preserve">· Effects of exenatide once weekly plus dapagliflozin, exenatide once weekly, or dapagliflozin, added to metformin monotherapy, on body weight, systolic blood pressure, and triglycerides in patients with type 2 diabetes in the DURATION-8 study. PMID 29316164</w:t>
      </w:r>
    </w:p>
    <w:p>
      <w:pPr>
        <w:numPr>
          <w:ilvl w:val="0"/>
          <w:numId w:val="1376"/>
        </w:numPr>
        <w:pStyle w:val="Compact"/>
      </w:pPr>
      <w:r>
        <w:t xml:space="preserve">2018 · Henry RR ·</w:t>
      </w:r>
      <w:r>
        <w:t xml:space="preserve"> </w:t>
      </w:r>
      <w:r>
        <w:rPr>
          <w:iCs/>
          <w:i/>
        </w:rPr>
        <w:t xml:space="preserve">Diabetes Care</w:t>
      </w:r>
      <w:r>
        <w:t xml:space="preserve"> </w:t>
      </w:r>
      <w:r>
        <w:t xml:space="preserve">· Clinical Impact of ITCA 650, a Novel Drug-Device GLP-1 Receptor Agonist, in Uncontrolled Type 2 Diabetes and Very High Baseline HbA(1c): The FREEDOM-1 HBL (High Baseline) Study. PMID 29301824</w:t>
      </w:r>
    </w:p>
    <w:p>
      <w:pPr>
        <w:numPr>
          <w:ilvl w:val="0"/>
          <w:numId w:val="1376"/>
        </w:numPr>
        <w:pStyle w:val="Compact"/>
      </w:pPr>
      <w:r>
        <w:t xml:space="preserve">2018 · Ahmann AJ ·</w:t>
      </w:r>
      <w:r>
        <w:t xml:space="preserve"> </w:t>
      </w:r>
      <w:r>
        <w:rPr>
          <w:iCs/>
          <w:i/>
        </w:rPr>
        <w:t xml:space="preserve">Diabetes Care</w:t>
      </w:r>
      <w:r>
        <w:t xml:space="preserve"> </w:t>
      </w:r>
      <w:r>
        <w:t xml:space="preserve">· Efficacy and Safety of Once-Weekly Semaglutide Versus Exenatide ER in Subjects With Type 2 Diabetes (SUSTAIN 3): A 56-Week, Open-Label, Randomized Clinical Trial. PMID 29246950</w:t>
      </w:r>
    </w:p>
    <w:p>
      <w:pPr>
        <w:numPr>
          <w:ilvl w:val="0"/>
          <w:numId w:val="1376"/>
        </w:numPr>
        <w:pStyle w:val="Compact"/>
      </w:pPr>
      <w:r>
        <w:t xml:space="preserve">2018 · Rosenstock J ·</w:t>
      </w:r>
      <w:r>
        <w:t xml:space="preserve"> </w:t>
      </w:r>
      <w:r>
        <w:rPr>
          <w:iCs/>
          <w:i/>
        </w:rPr>
        <w:t xml:space="preserve">Diabetes Care</w:t>
      </w:r>
      <w:r>
        <w:t xml:space="preserve"> </w:t>
      </w:r>
      <w:r>
        <w:t xml:space="preserve">· Efficacy and Safety of ITCA 650, a Novel Drug-Device GLP-1 Receptor Agonist, in Type 2 Diabetes Uncontrolled With Oral Antidiabetes Drugs: The FREEDOM-1 Trial. PMID 29242349</w:t>
      </w:r>
    </w:p>
    <w:p>
      <w:pPr>
        <w:numPr>
          <w:ilvl w:val="0"/>
          <w:numId w:val="1376"/>
        </w:numPr>
        <w:pStyle w:val="Compact"/>
      </w:pPr>
      <w:r>
        <w:t xml:space="preserve">2018 · Abdul-Ghani M ·</w:t>
      </w:r>
      <w:r>
        <w:t xml:space="preserve"> </w:t>
      </w:r>
      <w:r>
        <w:rPr>
          <w:iCs/>
          <w:i/>
        </w:rPr>
        <w:t xml:space="preserve">Diabetes Obes Metab</w:t>
      </w:r>
      <w:r>
        <w:t xml:space="preserve"> </w:t>
      </w:r>
      <w:r>
        <w:t xml:space="preserve">· Insulin secretion predicts the response to therapy with exenatide plus pioglitazone, but not to basal/bolus insulin in poorly controlled T2DM patients: Results from the Qatar study. PMID 29227578</w:t>
      </w:r>
    </w:p>
    <w:p>
      <w:pPr>
        <w:numPr>
          <w:ilvl w:val="0"/>
          <w:numId w:val="1376"/>
        </w:numPr>
        <w:pStyle w:val="Compact"/>
      </w:pPr>
      <w:r>
        <w:t xml:space="preserve">2018 · Siskind DJ ·</w:t>
      </w:r>
      <w:r>
        <w:t xml:space="preserve"> </w:t>
      </w:r>
      <w:r>
        <w:rPr>
          <w:iCs/>
          <w:i/>
        </w:rPr>
        <w:t xml:space="preserve">Diabetes Obes Metab</w:t>
      </w:r>
      <w:r>
        <w:t xml:space="preserve"> </w:t>
      </w:r>
      <w:r>
        <w:t xml:space="preserve">· Treatment of clozapine-associated obesity and diabetes with exenatide in adults with schizophrenia: A randomized controlled trial (CODEX). PMID 29194917</w:t>
      </w:r>
    </w:p>
    <w:p>
      <w:pPr>
        <w:numPr>
          <w:ilvl w:val="0"/>
          <w:numId w:val="1376"/>
        </w:numPr>
        <w:pStyle w:val="Compact"/>
      </w:pPr>
      <w:r>
        <w:t xml:space="preserve">2018 · Wiberg S ·</w:t>
      </w:r>
      <w:r>
        <w:t xml:space="preserve"> </w:t>
      </w:r>
      <w:r>
        <w:rPr>
          <w:iCs/>
          <w:i/>
        </w:rPr>
        <w:t xml:space="preserve">Crit Care Med</w:t>
      </w:r>
      <w:r>
        <w:t xml:space="preserve"> </w:t>
      </w:r>
      <w:r>
        <w:t xml:space="preserve">· The Glucagon-Like Peptide-1 Analog Exenatide Increases Blood Glucose Clearance, Lactate Clearance, and Heart Rate in Comatose Patients After Out-of-Hospital Cardiac Arrest. PMID 29189347</w:t>
      </w:r>
    </w:p>
    <w:p>
      <w:pPr>
        <w:numPr>
          <w:ilvl w:val="0"/>
          <w:numId w:val="1376"/>
        </w:numPr>
        <w:pStyle w:val="Compact"/>
      </w:pPr>
      <w:r>
        <w:t xml:space="preserve">2018 · Tzanetakos C ·</w:t>
      </w:r>
      <w:r>
        <w:t xml:space="preserve"> </w:t>
      </w:r>
      <w:r>
        <w:rPr>
          <w:iCs/>
          <w:i/>
        </w:rPr>
        <w:t xml:space="preserve">Clin Drug Investig</w:t>
      </w:r>
      <w:r>
        <w:t xml:space="preserve"> </w:t>
      </w:r>
      <w:r>
        <w:t xml:space="preserve">· Cost Effectiveness of Exenatide Once Weekly Versus Insulin Glargine and Liraglutide for the Treatment of Type 2 Diabetes Mellitus in Greece. PMID 29080210</w:t>
      </w:r>
    </w:p>
    <w:p>
      <w:pPr>
        <w:numPr>
          <w:ilvl w:val="0"/>
          <w:numId w:val="1376"/>
        </w:numPr>
        <w:pStyle w:val="Compact"/>
      </w:pPr>
      <w:r>
        <w:t xml:space="preserve">2018 · Henry R ·</w:t>
      </w:r>
      <w:r>
        <w:t xml:space="preserve"> </w:t>
      </w:r>
      <w:r>
        <w:rPr>
          <w:iCs/>
          <w:i/>
        </w:rPr>
        <w:t xml:space="preserve">Diabetes Obes Metab</w:t>
      </w:r>
      <w:r>
        <w:t xml:space="preserve"> </w:t>
      </w:r>
      <w:r>
        <w:t xml:space="preserve">· Treatment satisfaction with ITCA 650, a novel drug-device delivering continuous exenatide, versus twice-daily injections of exenatide in type 2 diabetics using metformin. PMID 29053202</w:t>
      </w:r>
    </w:p>
    <w:p>
      <w:pPr>
        <w:numPr>
          <w:ilvl w:val="0"/>
          <w:numId w:val="1376"/>
        </w:numPr>
        <w:pStyle w:val="Compact"/>
      </w:pPr>
      <w:r>
        <w:t xml:space="preserve">2018 · Jiang LL ·</w:t>
      </w:r>
      <w:r>
        <w:t xml:space="preserve"> </w:t>
      </w:r>
      <w:r>
        <w:rPr>
          <w:iCs/>
          <w:i/>
        </w:rPr>
        <w:t xml:space="preserve">J Endocrinol Invest</w:t>
      </w:r>
      <w:r>
        <w:t xml:space="preserve"> </w:t>
      </w:r>
      <w:r>
        <w:t xml:space="preserve">· The effects of add-on exenatide to insulin on glycemic variability and hypoglycemia in patients with type 1 diabetes mellitus. PMID 29032494</w:t>
      </w:r>
    </w:p>
    <w:p>
      <w:pPr>
        <w:numPr>
          <w:ilvl w:val="0"/>
          <w:numId w:val="1376"/>
        </w:numPr>
        <w:pStyle w:val="Compact"/>
      </w:pPr>
      <w:r>
        <w:t xml:space="preserve">2018 · Wysham CH ·</w:t>
      </w:r>
      <w:r>
        <w:t xml:space="preserve"> </w:t>
      </w:r>
      <w:r>
        <w:rPr>
          <w:iCs/>
          <w:i/>
        </w:rPr>
        <w:t xml:space="preserve">Diabetes Obes Metab</w:t>
      </w:r>
      <w:r>
        <w:t xml:space="preserve"> </w:t>
      </w:r>
      <w:r>
        <w:t xml:space="preserve">· Efficacy and tolerability of the new autoinjected suspension of exenatide once weekly versus exenatide twice daily in patients with type 2 diabetes. PMID 28685973</w:t>
      </w:r>
    </w:p>
    <w:p>
      <w:pPr>
        <w:numPr>
          <w:ilvl w:val="0"/>
          <w:numId w:val="1376"/>
        </w:numPr>
        <w:pStyle w:val="Compact"/>
      </w:pPr>
      <w:r>
        <w:t xml:space="preserve">2018 · Su K ·</w:t>
      </w:r>
      <w:r>
        <w:t xml:space="preserve"> </w:t>
      </w:r>
      <w:r>
        <w:rPr>
          <w:iCs/>
          <w:i/>
        </w:rPr>
        <w:t xml:space="preserve">Am J Ther</w:t>
      </w:r>
      <w:r>
        <w:t xml:space="preserve"> </w:t>
      </w:r>
      <w:r>
        <w:t xml:space="preserve">· Phase III Study on Efficacy and Safety of Triple Combination (Exenatide/Metformin/Biphasic Insulin Aspart) Therapy for Type 2 Diabetes Mellitus. PMID 26844723</w:t>
      </w:r>
    </w:p>
    <w:p>
      <w:pPr>
        <w:numPr>
          <w:ilvl w:val="0"/>
          <w:numId w:val="1376"/>
        </w:numPr>
        <w:pStyle w:val="Compact"/>
      </w:pPr>
      <w:r>
        <w:t xml:space="preserve">2017 · Wang Y ·</w:t>
      </w:r>
      <w:r>
        <w:t xml:space="preserve"> </w:t>
      </w:r>
      <w:r>
        <w:rPr>
          <w:iCs/>
          <w:i/>
        </w:rPr>
        <w:t xml:space="preserve">Clin Drug Investig</w:t>
      </w:r>
      <w:r>
        <w:t xml:space="preserve"> </w:t>
      </w:r>
      <w:r>
        <w:t xml:space="preserve">· Pharmacokinetics and Preliminary Pharmacodynamics of Single- and Multiple-dose Lyophilized Recombinant Glucagon-like Peptide-1 Receptor Agonist (rE-4) in Chinese Patients with Type 2 Diabetes Mellitus. PMID 28932995</w:t>
      </w:r>
    </w:p>
    <w:p>
      <w:pPr>
        <w:numPr>
          <w:ilvl w:val="0"/>
          <w:numId w:val="1376"/>
        </w:numPr>
        <w:pStyle w:val="Compact"/>
      </w:pPr>
      <w:r>
        <w:t xml:space="preserve">2017 · Holman RR ·</w:t>
      </w:r>
      <w:r>
        <w:t xml:space="preserve"> </w:t>
      </w:r>
      <w:r>
        <w:rPr>
          <w:iCs/>
          <w:i/>
        </w:rPr>
        <w:t xml:space="preserve">N Engl J Med</w:t>
      </w:r>
      <w:r>
        <w:t xml:space="preserve"> </w:t>
      </w:r>
      <w:r>
        <w:t xml:space="preserve">· Effects of Once-Weekly Exenatide on Cardiovascular Outcomes in Type 2 Diabetes. PMID 28910237</w:t>
      </w:r>
    </w:p>
    <w:p>
      <w:pPr>
        <w:numPr>
          <w:ilvl w:val="0"/>
          <w:numId w:val="1376"/>
        </w:numPr>
        <w:pStyle w:val="Compact"/>
      </w:pPr>
      <w:r>
        <w:t xml:space="preserve">2017 · Liu X ·</w:t>
      </w:r>
      <w:r>
        <w:t xml:space="preserve"> </w:t>
      </w:r>
      <w:r>
        <w:rPr>
          <w:iCs/>
          <w:i/>
        </w:rPr>
        <w:t xml:space="preserve">Clin Endocrinol (Oxf)</w:t>
      </w:r>
      <w:r>
        <w:t xml:space="preserve"> </w:t>
      </w:r>
      <w:r>
        <w:t xml:space="preserve">· Efficacy of exenatide on weight loss, metabolic parameters and pregnancy in overweight/obese polycystic ovary syndrome. PMID 28834553</w:t>
      </w:r>
    </w:p>
    <w:p>
      <w:pPr>
        <w:numPr>
          <w:ilvl w:val="0"/>
          <w:numId w:val="1376"/>
        </w:numPr>
        <w:pStyle w:val="Compact"/>
      </w:pPr>
      <w:r>
        <w:t xml:space="preserve">2017 · Besch G ·</w:t>
      </w:r>
      <w:r>
        <w:t xml:space="preserve"> </w:t>
      </w:r>
      <w:r>
        <w:rPr>
          <w:iCs/>
          <w:i/>
        </w:rPr>
        <w:t xml:space="preserve">Anesthesiology</w:t>
      </w:r>
      <w:r>
        <w:t xml:space="preserve"> </w:t>
      </w:r>
      <w:r>
        <w:t xml:space="preserve">· Clinical Effectiveness of Intravenous Exenatide Infusion in Perioperative Glycemic Control after Coronary Artery Bypass Graft Surgery: A Phase II/III Randomized Trial. PMID 28820780</w:t>
      </w:r>
    </w:p>
    <w:p>
      <w:pPr>
        <w:numPr>
          <w:ilvl w:val="0"/>
          <w:numId w:val="1376"/>
        </w:numPr>
        <w:pStyle w:val="Compact"/>
      </w:pPr>
      <w:r>
        <w:t xml:space="preserve">2017 · Athauda D ·</w:t>
      </w:r>
      <w:r>
        <w:t xml:space="preserve"> </w:t>
      </w:r>
      <w:r>
        <w:rPr>
          <w:iCs/>
          <w:i/>
        </w:rPr>
        <w:t xml:space="preserve">Lancet</w:t>
      </w:r>
      <w:r>
        <w:t xml:space="preserve"> </w:t>
      </w:r>
      <w:r>
        <w:t xml:space="preserve">· Exenatide once weekly versus placebo in Parkinson’s disease: a randomised, double-blind, placebo-controlled trial. PMID 28781108</w:t>
      </w:r>
    </w:p>
    <w:p>
      <w:pPr>
        <w:numPr>
          <w:ilvl w:val="0"/>
          <w:numId w:val="1376"/>
        </w:numPr>
        <w:pStyle w:val="Compact"/>
      </w:pPr>
      <w:r>
        <w:t xml:space="preserve">2017 · Lipš M ·</w:t>
      </w:r>
      <w:r>
        <w:t xml:space="preserve"> </w:t>
      </w:r>
      <w:r>
        <w:rPr>
          <w:iCs/>
          <w:i/>
        </w:rPr>
        <w:t xml:space="preserve">Diabetes Obes Metab</w:t>
      </w:r>
      <w:r>
        <w:t xml:space="preserve"> </w:t>
      </w:r>
      <w:r>
        <w:t xml:space="preserve">· Effect of continuous exenatide infusion on cardiac function and peri-operative glucose control in patients undergoing cardiac surgery: A single-blind, randomized controlled trial. PMID 28581209</w:t>
      </w:r>
    </w:p>
    <w:p>
      <w:pPr>
        <w:numPr>
          <w:ilvl w:val="0"/>
          <w:numId w:val="1376"/>
        </w:numPr>
        <w:pStyle w:val="Compact"/>
      </w:pPr>
      <w:r>
        <w:t xml:space="preserve">2017 · Cirincione B ·</w:t>
      </w:r>
      <w:r>
        <w:t xml:space="preserve"> </w:t>
      </w:r>
      <w:r>
        <w:rPr>
          <w:iCs/>
          <w:i/>
        </w:rPr>
        <w:t xml:space="preserve">J Clin Pharmacol</w:t>
      </w:r>
      <w:r>
        <w:t xml:space="preserve"> </w:t>
      </w:r>
      <w:r>
        <w:t xml:space="preserve">· Model-Based Evaluation of Exenatide Effects on the QT Interval in Healthy Subjects Following Continuous IV Infusion. PMID 28543393</w:t>
      </w:r>
    </w:p>
    <w:p>
      <w:pPr>
        <w:numPr>
          <w:ilvl w:val="0"/>
          <w:numId w:val="1376"/>
        </w:numPr>
        <w:pStyle w:val="Compact"/>
      </w:pPr>
      <w:r>
        <w:t xml:space="preserve">2017 · Shaddinger BC ·</w:t>
      </w:r>
      <w:r>
        <w:t xml:space="preserve"> </w:t>
      </w:r>
      <w:r>
        <w:rPr>
          <w:iCs/>
          <w:i/>
        </w:rPr>
        <w:t xml:space="preserve">J Clin Pharmacol</w:t>
      </w:r>
      <w:r>
        <w:t xml:space="preserve"> </w:t>
      </w:r>
      <w:r>
        <w:t xml:space="preserve">· Effect of Albiglutide on Cholecystokinin-Induced Gallbladder Emptying in Healthy Individuals: A Randomized Crossover Study. PMID 28543352</w:t>
      </w:r>
    </w:p>
    <w:p>
      <w:pPr>
        <w:numPr>
          <w:ilvl w:val="0"/>
          <w:numId w:val="1376"/>
        </w:numPr>
        <w:pStyle w:val="Compact"/>
      </w:pPr>
      <w:r>
        <w:t xml:space="preserve">2017 · Shi X ·</w:t>
      </w:r>
      <w:r>
        <w:t xml:space="preserve"> </w:t>
      </w:r>
      <w:r>
        <w:rPr>
          <w:iCs/>
          <w:i/>
        </w:rPr>
        <w:t xml:space="preserve">Sci Rep</w:t>
      </w:r>
      <w:r>
        <w:t xml:space="preserve"> </w:t>
      </w:r>
      <w:r>
        <w:t xml:space="preserve">· Effect of exenatide after short-time intensive insulin therapy on glycaemic remission maintenance in type 2 diabetes patients: a randomized controlled trial. PMID 28539618</w:t>
      </w:r>
    </w:p>
    <w:p>
      <w:pPr>
        <w:numPr>
          <w:ilvl w:val="0"/>
          <w:numId w:val="1376"/>
        </w:numPr>
        <w:pStyle w:val="Compact"/>
      </w:pPr>
      <w:r>
        <w:t xml:space="preserve">2017 · Chen WJY ·</w:t>
      </w:r>
      <w:r>
        <w:t xml:space="preserve"> </w:t>
      </w:r>
      <w:r>
        <w:rPr>
          <w:iCs/>
          <w:i/>
        </w:rPr>
        <w:t xml:space="preserve">Cardiovasc Diabetol</w:t>
      </w:r>
      <w:r>
        <w:t xml:space="preserve"> </w:t>
      </w:r>
      <w:r>
        <w:t xml:space="preserve">· Effects of exenatide on cardiac function, perfusion, and energetics in type 2 diabetic patients with cardiomyopathy: a randomized controlled trial against insulin glargine. PMID 28526033</w:t>
      </w:r>
    </w:p>
    <w:p>
      <w:pPr>
        <w:numPr>
          <w:ilvl w:val="0"/>
          <w:numId w:val="1376"/>
        </w:numPr>
        <w:pStyle w:val="Compact"/>
      </w:pPr>
      <w:r>
        <w:t xml:space="preserve">2017 · Mentz RJ ·</w:t>
      </w:r>
      <w:r>
        <w:t xml:space="preserve"> </w:t>
      </w:r>
      <w:r>
        <w:rPr>
          <w:iCs/>
          <w:i/>
        </w:rPr>
        <w:t xml:space="preserve">Am Heart J</w:t>
      </w:r>
      <w:r>
        <w:t xml:space="preserve"> </w:t>
      </w:r>
      <w:r>
        <w:t xml:space="preserve">· Baseline characteristics of patients enrolled in the Exenatide Study of Cardiovascular Event Lowering (EXSCEL). PMID 28454792</w:t>
      </w:r>
    </w:p>
    <w:p>
      <w:pPr>
        <w:numPr>
          <w:ilvl w:val="0"/>
          <w:numId w:val="1376"/>
        </w:numPr>
        <w:pStyle w:val="Compact"/>
      </w:pPr>
      <w:r>
        <w:t xml:space="preserve">2017 · Wang X ·</w:t>
      </w:r>
      <w:r>
        <w:t xml:space="preserve"> </w:t>
      </w:r>
      <w:r>
        <w:rPr>
          <w:iCs/>
          <w:i/>
        </w:rPr>
        <w:t xml:space="preserve">Lipids Health Dis</w:t>
      </w:r>
      <w:r>
        <w:t xml:space="preserve"> </w:t>
      </w:r>
      <w:r>
        <w:t xml:space="preserve">· New association of bone morphogenetic protein 4 concentrations with fat distribution in obesity and Exenatide intervention on it. PMID 28376799</w:t>
      </w:r>
    </w:p>
    <w:p>
      <w:pPr>
        <w:numPr>
          <w:ilvl w:val="0"/>
          <w:numId w:val="1376"/>
        </w:numPr>
        <w:pStyle w:val="Compact"/>
      </w:pPr>
      <w:r>
        <w:t xml:space="preserve">2017 · Lundkvist P ·</w:t>
      </w:r>
      <w:r>
        <w:t xml:space="preserve"> </w:t>
      </w:r>
      <w:r>
        <w:rPr>
          <w:iCs/>
          <w:i/>
        </w:rPr>
        <w:t xml:space="preserve">Diabetes Obes Metab</w:t>
      </w:r>
      <w:r>
        <w:t xml:space="preserve"> </w:t>
      </w:r>
      <w:r>
        <w:t xml:space="preserve">· Dapagliflozin once daily plus exenatide once weekly in obese adults without diabetes: Sustained reductions in body weight, glycaemia and blood pressure over 1 year. PMID 28345814</w:t>
      </w:r>
    </w:p>
    <w:p>
      <w:pPr>
        <w:numPr>
          <w:ilvl w:val="0"/>
          <w:numId w:val="1376"/>
        </w:numPr>
        <w:pStyle w:val="Compact"/>
      </w:pPr>
      <w:r>
        <w:t xml:space="preserve">2017 · Abdul-Ghani M ·</w:t>
      </w:r>
      <w:r>
        <w:t xml:space="preserve"> </w:t>
      </w:r>
      <w:r>
        <w:rPr>
          <w:iCs/>
          <w:i/>
        </w:rPr>
        <w:t xml:space="preserve">J Clin Endocrinol Metab</w:t>
      </w:r>
      <w:r>
        <w:t xml:space="preserve"> </w:t>
      </w:r>
      <w:r>
        <w:t xml:space="preserve">· Efficacy of Exenatide Plus Pioglitazone Vs Basal/Bolus Insulin in T2DM Patients With Very High HbA1c. PMID 28324038</w:t>
      </w:r>
    </w:p>
    <w:p>
      <w:pPr>
        <w:numPr>
          <w:ilvl w:val="0"/>
          <w:numId w:val="1376"/>
        </w:numPr>
        <w:pStyle w:val="Compact"/>
      </w:pPr>
      <w:r>
        <w:t xml:space="preserve">2017 · Ishøy PL ·</w:t>
      </w:r>
      <w:r>
        <w:t xml:space="preserve"> </w:t>
      </w:r>
      <w:r>
        <w:rPr>
          <w:iCs/>
          <w:i/>
        </w:rPr>
        <w:t xml:space="preserve">Acta Psychiatr Scand</w:t>
      </w:r>
      <w:r>
        <w:t xml:space="preserve"> </w:t>
      </w:r>
      <w:r>
        <w:t xml:space="preserve">· No cognitive-enhancing effect of GLP-1 receptor agonism in antipsychotic-treated, obese patients with schizophrenia. PMID 28260235</w:t>
      </w:r>
    </w:p>
    <w:p>
      <w:pPr>
        <w:numPr>
          <w:ilvl w:val="0"/>
          <w:numId w:val="1376"/>
        </w:numPr>
        <w:pStyle w:val="Compact"/>
      </w:pPr>
      <w:r>
        <w:t xml:space="preserve">2017 · Bremholm L ·</w:t>
      </w:r>
      <w:r>
        <w:t xml:space="preserve"> </w:t>
      </w:r>
      <w:r>
        <w:rPr>
          <w:iCs/>
          <w:i/>
        </w:rPr>
        <w:t xml:space="preserve">Physiol Rep</w:t>
      </w:r>
      <w:r>
        <w:t xml:space="preserve"> </w:t>
      </w:r>
      <w:r>
        <w:t xml:space="preserve">· Acute effects of glucagon-like peptide-1, GLP-1(9-36 amide), and exenatide on mesenteric blood flow, cardiovascular parameters, and biomarkers in healthy volunteers. PMID 28235974</w:t>
      </w:r>
    </w:p>
    <w:p>
      <w:pPr>
        <w:numPr>
          <w:ilvl w:val="0"/>
          <w:numId w:val="1376"/>
        </w:numPr>
        <w:pStyle w:val="Compact"/>
      </w:pPr>
      <w:r>
        <w:t xml:space="preserve">2017 · Gadde KM ·</w:t>
      </w:r>
      <w:r>
        <w:t xml:space="preserve"> </w:t>
      </w:r>
      <w:r>
        <w:rPr>
          <w:iCs/>
          <w:i/>
        </w:rPr>
        <w:t xml:space="preserve">Diabetes Obes Metab</w:t>
      </w:r>
      <w:r>
        <w:t xml:space="preserve"> </w:t>
      </w:r>
      <w:r>
        <w:t xml:space="preserve">· Efficacy and safety of autoinjected exenatide once-weekly suspension versus sitagliptin or placebo with metformin in patients with type 2 diabetes: The DURATION-NEO-2 randomized clinical study. PMID 28205322</w:t>
      </w:r>
    </w:p>
    <w:p>
      <w:pPr>
        <w:numPr>
          <w:ilvl w:val="0"/>
          <w:numId w:val="1376"/>
        </w:numPr>
        <w:pStyle w:val="Compact"/>
      </w:pPr>
      <w:r>
        <w:t xml:space="preserve">2017 · Shi L ·</w:t>
      </w:r>
      <w:r>
        <w:t xml:space="preserve"> </w:t>
      </w:r>
      <w:r>
        <w:rPr>
          <w:iCs/>
          <w:i/>
        </w:rPr>
        <w:t xml:space="preserve">Obes Res Clin Pract</w:t>
      </w:r>
      <w:r>
        <w:t xml:space="preserve"> </w:t>
      </w:r>
      <w:r>
        <w:t xml:space="preserve">· Comparison of exenatide and acarbose on intra-abdominal fat content in patients with obesity and type-2 diabetes: A randomized controlled trial. PMID 28161303</w:t>
      </w:r>
    </w:p>
    <w:p>
      <w:pPr>
        <w:numPr>
          <w:ilvl w:val="0"/>
          <w:numId w:val="1376"/>
        </w:numPr>
        <w:pStyle w:val="Compact"/>
      </w:pPr>
      <w:r>
        <w:t xml:space="preserve">2017 · Abdul-Ghani M ·</w:t>
      </w:r>
      <w:r>
        <w:t xml:space="preserve"> </w:t>
      </w:r>
      <w:r>
        <w:rPr>
          <w:iCs/>
          <w:i/>
        </w:rPr>
        <w:t xml:space="preserve">Diabetes Care</w:t>
      </w:r>
      <w:r>
        <w:t xml:space="preserve"> </w:t>
      </w:r>
      <w:r>
        <w:t xml:space="preserve">· Combination Therapy With Exenatide Plus Pioglitazone Versus Basal/Bolus Insulin in Patients With Poorly Controlled Type 2 Diabetes on Sulfonylurea Plus Metformin: The Qatar Study. PMID 28096223</w:t>
      </w:r>
    </w:p>
    <w:p>
      <w:pPr>
        <w:numPr>
          <w:ilvl w:val="0"/>
          <w:numId w:val="1376"/>
        </w:numPr>
        <w:pStyle w:val="Compact"/>
      </w:pPr>
      <w:r>
        <w:t xml:space="preserve">2017 · Smits MM ·</w:t>
      </w:r>
      <w:r>
        <w:t xml:space="preserve"> </w:t>
      </w:r>
      <w:r>
        <w:rPr>
          <w:iCs/>
          <w:i/>
        </w:rPr>
        <w:t xml:space="preserve">Diabetes Res Clin Pract</w:t>
      </w:r>
      <w:r>
        <w:t xml:space="preserve"> </w:t>
      </w:r>
      <w:r>
        <w:t xml:space="preserve">· The effects of GLP-1 based therapies on postprandial haemodynamics: Two randomised, placebo-controlled trials in overweight type 2 diabetes patients. PMID 28086201</w:t>
      </w:r>
    </w:p>
    <w:p>
      <w:pPr>
        <w:numPr>
          <w:ilvl w:val="0"/>
          <w:numId w:val="1376"/>
        </w:numPr>
        <w:pStyle w:val="Compact"/>
      </w:pPr>
      <w:r>
        <w:t xml:space="preserve">2017 · Horowitz M ·</w:t>
      </w:r>
      <w:r>
        <w:t xml:space="preserve"> </w:t>
      </w:r>
      <w:r>
        <w:rPr>
          <w:iCs/>
          <w:i/>
        </w:rPr>
        <w:t xml:space="preserve">Diabetes Obes Metab</w:t>
      </w:r>
      <w:r>
        <w:t xml:space="preserve"> </w:t>
      </w:r>
      <w:r>
        <w:t xml:space="preserve">· Upper and/or lower gastrointestinal adverse events with glucagon-like peptide-1 receptor agonists: Incidence and consequences. PMID 28058769</w:t>
      </w:r>
    </w:p>
    <w:p>
      <w:pPr>
        <w:numPr>
          <w:ilvl w:val="0"/>
          <w:numId w:val="1376"/>
        </w:numPr>
        <w:pStyle w:val="Compact"/>
      </w:pPr>
      <w:r>
        <w:t xml:space="preserve">2017 · Thazhath SS ·</w:t>
      </w:r>
      <w:r>
        <w:t xml:space="preserve"> </w:t>
      </w:r>
      <w:r>
        <w:rPr>
          <w:iCs/>
          <w:i/>
        </w:rPr>
        <w:t xml:space="preserve">Diab Vasc Dis Res</w:t>
      </w:r>
      <w:r>
        <w:t xml:space="preserve"> </w:t>
      </w:r>
      <w:r>
        <w:t xml:space="preserve">· Acute effects of the glucagon-like peptide-1 receptor agonist, exenatide, on blood pressure and heart rate responses to intraduodenal glucose infusion in type 2 diabetes. PMID 27941058</w:t>
      </w:r>
    </w:p>
    <w:p>
      <w:pPr>
        <w:numPr>
          <w:ilvl w:val="0"/>
          <w:numId w:val="1376"/>
        </w:numPr>
        <w:pStyle w:val="Compact"/>
      </w:pPr>
      <w:r>
        <w:t xml:space="preserve">2017 · Camastra S ·</w:t>
      </w:r>
      <w:r>
        <w:t xml:space="preserve"> </w:t>
      </w:r>
      <w:r>
        <w:rPr>
          <w:iCs/>
          <w:i/>
        </w:rPr>
        <w:t xml:space="preserve">Diabetes Obes Metab</w:t>
      </w:r>
      <w:r>
        <w:t xml:space="preserve"> </w:t>
      </w:r>
      <w:r>
        <w:t xml:space="preserve">· Effect of exenatide on postprandial glucose fluxes, lipolysis, and ß-cell function in non-diabetic, morbidly obese patients. PMID 27898183</w:t>
      </w:r>
    </w:p>
    <w:p>
      <w:pPr>
        <w:numPr>
          <w:ilvl w:val="0"/>
          <w:numId w:val="1376"/>
        </w:numPr>
        <w:pStyle w:val="Compact"/>
      </w:pPr>
      <w:r>
        <w:t xml:space="preserve">2017 · Chaudhuri A ·</w:t>
      </w:r>
      <w:r>
        <w:t xml:space="preserve"> </w:t>
      </w:r>
      <w:r>
        <w:rPr>
          <w:iCs/>
          <w:i/>
        </w:rPr>
        <w:t xml:space="preserve">Diabetes Obes Metab</w:t>
      </w:r>
      <w:r>
        <w:t xml:space="preserve"> </w:t>
      </w:r>
      <w:r>
        <w:t xml:space="preserve">· Exenatide induces an increase in vasodilatory and a decrease in vasoconstrictive mediators. PMID 27891769</w:t>
      </w:r>
    </w:p>
    <w:p>
      <w:pPr>
        <w:numPr>
          <w:ilvl w:val="0"/>
          <w:numId w:val="1376"/>
        </w:numPr>
        <w:pStyle w:val="Compact"/>
      </w:pPr>
      <w:r>
        <w:t xml:space="preserve">2017 · Scalzo RL ·</w:t>
      </w:r>
      <w:r>
        <w:t xml:space="preserve"> </w:t>
      </w:r>
      <w:r>
        <w:rPr>
          <w:iCs/>
          <w:i/>
        </w:rPr>
        <w:t xml:space="preserve">J Diabetes Complications</w:t>
      </w:r>
      <w:r>
        <w:t xml:space="preserve"> </w:t>
      </w:r>
      <w:r>
        <w:t xml:space="preserve">· Exenatide improves diastolic function and attenuates arterial stiffness but does not alter exercise capacity in individuals with type 2 diabetes. PMID 27884660</w:t>
      </w:r>
    </w:p>
    <w:p>
      <w:pPr>
        <w:numPr>
          <w:ilvl w:val="0"/>
          <w:numId w:val="1376"/>
        </w:numPr>
        <w:pStyle w:val="Compact"/>
      </w:pPr>
      <w:r>
        <w:t xml:space="preserve">2017 · Smits MM ·</w:t>
      </w:r>
      <w:r>
        <w:t xml:space="preserve"> </w:t>
      </w:r>
      <w:r>
        <w:rPr>
          <w:iCs/>
          <w:i/>
        </w:rPr>
        <w:t xml:space="preserve">Eur J Endocrinol</w:t>
      </w:r>
      <w:r>
        <w:t xml:space="preserve"> </w:t>
      </w:r>
      <w:r>
        <w:t xml:space="preserve">· Heart rate acceleration with GLP-1 receptor agonists in type 2 diabetes patients: an acute and 12-week randomised, double-blind, placebo-controlled trial. PMID 27777261</w:t>
      </w:r>
    </w:p>
    <w:p>
      <w:pPr>
        <w:numPr>
          <w:ilvl w:val="0"/>
          <w:numId w:val="1376"/>
        </w:numPr>
        <w:pStyle w:val="Compact"/>
      </w:pPr>
      <w:r>
        <w:t xml:space="preserve">2017 · Ishøy PL ·</w:t>
      </w:r>
      <w:r>
        <w:t xml:space="preserve"> </w:t>
      </w:r>
      <w:r>
        <w:rPr>
          <w:iCs/>
          <w:i/>
        </w:rPr>
        <w:t xml:space="preserve">Diabetes Obes Metab</w:t>
      </w:r>
      <w:r>
        <w:t xml:space="preserve"> </w:t>
      </w:r>
      <w:r>
        <w:t xml:space="preserve">· Effect of GLP-1 receptor agonist treatment on body weight in obese antipsychotic-treated patients with schizophrenia: a randomized, placebo-controlled trial. PMID 27717222</w:t>
      </w:r>
    </w:p>
    <w:p>
      <w:pPr>
        <w:numPr>
          <w:ilvl w:val="0"/>
          <w:numId w:val="1376"/>
        </w:numPr>
        <w:pStyle w:val="Compact"/>
      </w:pPr>
      <w:r>
        <w:t xml:space="preserve">2017 · Lundkvist P ·</w:t>
      </w:r>
      <w:r>
        <w:t xml:space="preserve"> </w:t>
      </w:r>
      <w:r>
        <w:rPr>
          <w:iCs/>
          <w:i/>
        </w:rPr>
        <w:t xml:space="preserve">Diabetes Obes Metab</w:t>
      </w:r>
      <w:r>
        <w:t xml:space="preserve"> </w:t>
      </w:r>
      <w:r>
        <w:t xml:space="preserve">· Dapagliflozin once-daily and exenatide once-weekly dual therapy: A 24-week randomized, placebo-controlled, phase II study examining effects on body weight and prediabetes in obese adults without diabetes. PMID 27550386</w:t>
      </w:r>
    </w:p>
    <w:p>
      <w:pPr>
        <w:numPr>
          <w:ilvl w:val="0"/>
          <w:numId w:val="1376"/>
        </w:numPr>
        <w:pStyle w:val="Compact"/>
      </w:pPr>
      <w:r>
        <w:t xml:space="preserve">2017 · Salehi P ·</w:t>
      </w:r>
      <w:r>
        <w:t xml:space="preserve"> </w:t>
      </w:r>
      <w:r>
        <w:rPr>
          <w:iCs/>
          <w:i/>
        </w:rPr>
        <w:t xml:space="preserve">Pediatr Obes</w:t>
      </w:r>
      <w:r>
        <w:t xml:space="preserve"> </w:t>
      </w:r>
      <w:r>
        <w:t xml:space="preserve">· Effects of exenatide on weight and appetite in overweight adolescents and young adults with Prader-Willi syndrome. PMID 27071367</w:t>
      </w:r>
    </w:p>
    <w:p>
      <w:pPr>
        <w:numPr>
          <w:ilvl w:val="0"/>
          <w:numId w:val="1376"/>
        </w:numPr>
        <w:pStyle w:val="Compact"/>
      </w:pPr>
      <w:r>
        <w:t xml:space="preserve">2016 · Wiberg S ·</w:t>
      </w:r>
      <w:r>
        <w:t xml:space="preserve"> </w:t>
      </w:r>
      <w:r>
        <w:rPr>
          <w:iCs/>
          <w:i/>
        </w:rPr>
        <w:t xml:space="preserve">Circulation</w:t>
      </w:r>
      <w:r>
        <w:t xml:space="preserve"> </w:t>
      </w:r>
      <w:r>
        <w:t xml:space="preserve">· Neuroprotective Effects of the Glucagon-Like Peptide-1 Analog Exenatide After Out-of-Hospital Cardiac Arrest: A Randomized Controlled Trial. PMID 27838646</w:t>
      </w:r>
    </w:p>
    <w:p>
      <w:pPr>
        <w:numPr>
          <w:ilvl w:val="0"/>
          <w:numId w:val="1376"/>
        </w:numPr>
        <w:pStyle w:val="Compact"/>
      </w:pPr>
      <w:r>
        <w:t xml:space="preserve">2016 · de Lapertosa SB ·</w:t>
      </w:r>
      <w:r>
        <w:t xml:space="preserve"> </w:t>
      </w:r>
      <w:r>
        <w:rPr>
          <w:iCs/>
          <w:i/>
        </w:rPr>
        <w:t xml:space="preserve">Diabetes Res Clin Pract</w:t>
      </w:r>
      <w:r>
        <w:t xml:space="preserve"> </w:t>
      </w:r>
      <w:r>
        <w:t xml:space="preserve">· The effects of exenatide twice daily compared to insulin lispro added to basal insulin in Latin American patients with type 2 diabetes: A retrospective analysis of the 4B trial. PMID 27776251</w:t>
      </w:r>
    </w:p>
    <w:p>
      <w:pPr>
        <w:numPr>
          <w:ilvl w:val="0"/>
          <w:numId w:val="1376"/>
        </w:numPr>
        <w:pStyle w:val="Compact"/>
      </w:pPr>
      <w:r>
        <w:t xml:space="preserve">2016 · Frías JP ·</w:t>
      </w:r>
      <w:r>
        <w:t xml:space="preserve"> </w:t>
      </w:r>
      <w:r>
        <w:rPr>
          <w:iCs/>
          <w:i/>
        </w:rPr>
        <w:t xml:space="preserve">Lancet Diabetes Endocrinol</w:t>
      </w:r>
      <w:r>
        <w:t xml:space="preserve"> </w:t>
      </w:r>
      <w:r>
        <w:t xml:space="preserve">· Exenatide once weekly plus dapagliflozin once daily versus exenatide or dapagliflozin alone in patients with type 2 diabetes inadequately controlled with metformin monotherapy (DURATION-8): a 28 week, multicentre, double-blind, phase 3, randomised controlled trial. PMID 27651331</w:t>
      </w:r>
    </w:p>
    <w:p>
      <w:pPr>
        <w:numPr>
          <w:ilvl w:val="0"/>
          <w:numId w:val="1376"/>
        </w:numPr>
        <w:pStyle w:val="Compact"/>
      </w:pPr>
      <w:r>
        <w:t xml:space="preserve">2016 · Gastaldelli A ·</w:t>
      </w:r>
      <w:r>
        <w:t xml:space="preserve"> </w:t>
      </w:r>
      <w:r>
        <w:rPr>
          <w:iCs/>
          <w:i/>
        </w:rPr>
        <w:t xml:space="preserve">Hepatology</w:t>
      </w:r>
      <w:r>
        <w:t xml:space="preserve"> </w:t>
      </w:r>
      <w:r>
        <w:t xml:space="preserve">· Exenatide improves both hepatic and adipose tissue insulin resistance: A dynamic positron emission tomography study. PMID 27639082</w:t>
      </w:r>
    </w:p>
    <w:p>
      <w:pPr>
        <w:numPr>
          <w:ilvl w:val="0"/>
          <w:numId w:val="1376"/>
        </w:numPr>
        <w:pStyle w:val="Compact"/>
      </w:pPr>
      <w:r>
        <w:t xml:space="preserve">2016 · Smits MM ·</w:t>
      </w:r>
      <w:r>
        <w:t xml:space="preserve"> </w:t>
      </w:r>
      <w:r>
        <w:rPr>
          <w:iCs/>
          <w:i/>
        </w:rPr>
        <w:t xml:space="preserve">Arterioscler Thromb Vasc Biol</w:t>
      </w:r>
      <w:r>
        <w:t xml:space="preserve"> </w:t>
      </w:r>
      <w:r>
        <w:t xml:space="preserve">· GLP-1-Based Therapies Have No Microvascular Effects in Type 2 Diabetes Mellitus: An Acute and 12-Week Randomized, Double-Blind, Placebo-Controlled Trial. PMID 27562916</w:t>
      </w:r>
    </w:p>
    <w:p>
      <w:pPr>
        <w:numPr>
          <w:ilvl w:val="0"/>
          <w:numId w:val="1376"/>
        </w:numPr>
        <w:pStyle w:val="Compact"/>
      </w:pPr>
      <w:r>
        <w:t xml:space="preserve">2016 · Henry RR ·</w:t>
      </w:r>
      <w:r>
        <w:t xml:space="preserve"> </w:t>
      </w:r>
      <w:r>
        <w:rPr>
          <w:iCs/>
          <w:i/>
        </w:rPr>
        <w:t xml:space="preserve">Diabetes Technol Ther</w:t>
      </w:r>
      <w:r>
        <w:t xml:space="preserve"> </w:t>
      </w:r>
      <w:r>
        <w:t xml:space="preserve">· Efficacy and Tolerability of Exenatide Once Weekly Over 6 Years in Patients with Type 2 Diabetes: An Uncontrolled Open-Label Extension of the DURATION-1 Study. PMID 27525540</w:t>
      </w:r>
    </w:p>
    <w:p>
      <w:pPr>
        <w:numPr>
          <w:ilvl w:val="0"/>
          <w:numId w:val="1376"/>
        </w:numPr>
        <w:pStyle w:val="Compact"/>
      </w:pPr>
      <w:r>
        <w:t xml:space="preserve">2016 · van Raalte DH ·</w:t>
      </w:r>
      <w:r>
        <w:t xml:space="preserve"> </w:t>
      </w:r>
      <w:r>
        <w:rPr>
          <w:iCs/>
          <w:i/>
        </w:rPr>
        <w:t xml:space="preserve">Eur J Endocrinol</w:t>
      </w:r>
      <w:r>
        <w:t xml:space="preserve"> </w:t>
      </w:r>
      <w:r>
        <w:t xml:space="preserve">· Exenatide improves β-cell function up to 3 years of treatment in patients with type 2 diabetes: a randomised controlled trial. PMID 27466218</w:t>
      </w:r>
    </w:p>
    <w:p>
      <w:pPr>
        <w:numPr>
          <w:ilvl w:val="0"/>
          <w:numId w:val="1376"/>
        </w:numPr>
        <w:pStyle w:val="Compact"/>
      </w:pPr>
      <w:r>
        <w:t xml:space="preserve">2016 · Wysham CH ·</w:t>
      </w:r>
      <w:r>
        <w:t xml:space="preserve"> </w:t>
      </w:r>
      <w:r>
        <w:rPr>
          <w:iCs/>
          <w:i/>
        </w:rPr>
        <w:t xml:space="preserve">Diabetes Care</w:t>
      </w:r>
      <w:r>
        <w:t xml:space="preserve"> </w:t>
      </w:r>
      <w:r>
        <w:t xml:space="preserve">· Efficacy and Safety of Multiple Doses of Exenatide Once-Monthly Suspension in Patients With Type 2 Diabetes: A Phase II Randomized Clinical Trial. PMID 27436275</w:t>
      </w:r>
    </w:p>
    <w:p>
      <w:pPr>
        <w:numPr>
          <w:ilvl w:val="0"/>
          <w:numId w:val="1376"/>
        </w:numPr>
        <w:pStyle w:val="Compact"/>
      </w:pPr>
      <w:r>
        <w:t xml:space="preserve">2016 · Roos ST ·</w:t>
      </w:r>
      <w:r>
        <w:t xml:space="preserve"> </w:t>
      </w:r>
      <w:r>
        <w:rPr>
          <w:iCs/>
          <w:i/>
        </w:rPr>
        <w:t xml:space="preserve">Int J Cardiol</w:t>
      </w:r>
      <w:r>
        <w:t xml:space="preserve"> </w:t>
      </w:r>
      <w:r>
        <w:t xml:space="preserve">· No benefit of additional treatment with exenatide in patients with an acute myocardial infarction. PMID 27394978</w:t>
      </w:r>
    </w:p>
    <w:p>
      <w:pPr>
        <w:numPr>
          <w:ilvl w:val="0"/>
          <w:numId w:val="1376"/>
        </w:numPr>
        <w:pStyle w:val="Compact"/>
      </w:pPr>
      <w:r>
        <w:t xml:space="preserve">2016 · Wiberg S ·</w:t>
      </w:r>
      <w:r>
        <w:t xml:space="preserve"> </w:t>
      </w:r>
      <w:r>
        <w:rPr>
          <w:iCs/>
          <w:i/>
        </w:rPr>
        <w:t xml:space="preserve">Trials</w:t>
      </w:r>
      <w:r>
        <w:t xml:space="preserve"> </w:t>
      </w:r>
      <w:r>
        <w:t xml:space="preserve">· GLP-1 analogues for neuroprotection after out-of-hospital cardiac arrest: study protocol for a randomized controlled trial. PMID 27363489</w:t>
      </w:r>
    </w:p>
    <w:p>
      <w:pPr>
        <w:numPr>
          <w:ilvl w:val="0"/>
          <w:numId w:val="1376"/>
        </w:numPr>
        <w:pStyle w:val="Compact"/>
      </w:pPr>
      <w:r>
        <w:t xml:space="preserve">2016 · Zoso A ·</w:t>
      </w:r>
      <w:r>
        <w:t xml:space="preserve"> </w:t>
      </w:r>
      <w:r>
        <w:rPr>
          <w:iCs/>
          <w:i/>
        </w:rPr>
        <w:t xml:space="preserve">PLoS One</w:t>
      </w:r>
      <w:r>
        <w:t xml:space="preserve"> </w:t>
      </w:r>
      <w:r>
        <w:t xml:space="preserve">· G-CSF and Exenatide Might Be Associated with Increased Long-Term Survival of Allogeneic Pancreatic Islet Grafts. PMID 27285580</w:t>
      </w:r>
    </w:p>
    <w:p>
      <w:pPr>
        <w:numPr>
          <w:ilvl w:val="0"/>
          <w:numId w:val="1376"/>
        </w:numPr>
        <w:pStyle w:val="Compact"/>
      </w:pPr>
      <w:r>
        <w:t xml:space="preserve">2016 · FLAT-SUGAR Trial Investigators ·</w:t>
      </w:r>
      <w:r>
        <w:t xml:space="preserve"> </w:t>
      </w:r>
      <w:r>
        <w:rPr>
          <w:iCs/>
          <w:i/>
        </w:rPr>
        <w:t xml:space="preserve">Diabetes Care</w:t>
      </w:r>
      <w:r>
        <w:t xml:space="preserve"> </w:t>
      </w:r>
      <w:r>
        <w:t xml:space="preserve">· Glucose Variability in a 26-Week Randomized Comparison of Mealtime Treatment With Rapid-Acting Insulin Versus GLP-1 Agonist in Participants With Type 2 Diabetes at High Cardiovascular Risk. PMID 27208320</w:t>
      </w:r>
    </w:p>
    <w:p>
      <w:pPr>
        <w:numPr>
          <w:ilvl w:val="0"/>
          <w:numId w:val="1376"/>
        </w:numPr>
        <w:pStyle w:val="Compact"/>
      </w:pPr>
      <w:r>
        <w:t xml:space="preserve">2016 · Dutour A ·</w:t>
      </w:r>
      <w:r>
        <w:t xml:space="preserve"> </w:t>
      </w:r>
      <w:r>
        <w:rPr>
          <w:iCs/>
          <w:i/>
        </w:rPr>
        <w:t xml:space="preserve">Diabetes Obes Metab</w:t>
      </w:r>
      <w:r>
        <w:t xml:space="preserve"> </w:t>
      </w:r>
      <w:r>
        <w:t xml:space="preserve">· Exenatide decreases liver fat content and epicardial adipose tissue in patients with obesity and type 2 diabetes: a prospective randomized clinical trial using magnetic resonance imaging and spectroscopy. PMID 27106272</w:t>
      </w:r>
    </w:p>
    <w:p>
      <w:pPr>
        <w:numPr>
          <w:ilvl w:val="0"/>
          <w:numId w:val="1376"/>
        </w:numPr>
        <w:pStyle w:val="Compact"/>
      </w:pPr>
      <w:r>
        <w:t xml:space="preserve">2016 · Shankar SS ·</w:t>
      </w:r>
      <w:r>
        <w:t xml:space="preserve"> </w:t>
      </w:r>
      <w:r>
        <w:rPr>
          <w:iCs/>
          <w:i/>
        </w:rPr>
        <w:t xml:space="preserve">Am J Physiol Endocrinol Metab</w:t>
      </w:r>
      <w:r>
        <w:t xml:space="preserve"> </w:t>
      </w:r>
      <w:r>
        <w:t xml:space="preserve">· Linearity of β-cell response across the metabolic spectrum and to pharmacology: insights from a graded glucose infusion-based investigation series. PMID 27072496</w:t>
      </w:r>
    </w:p>
    <w:p>
      <w:pPr>
        <w:numPr>
          <w:ilvl w:val="0"/>
          <w:numId w:val="1376"/>
        </w:numPr>
        <w:pStyle w:val="Compact"/>
      </w:pPr>
      <w:r>
        <w:t xml:space="preserve">2016 · Wei R ·</w:t>
      </w:r>
      <w:r>
        <w:t xml:space="preserve"> </w:t>
      </w:r>
      <w:r>
        <w:rPr>
          <w:iCs/>
          <w:i/>
        </w:rPr>
        <w:t xml:space="preserve">Am J Physiol Endocrinol Metab</w:t>
      </w:r>
      <w:r>
        <w:t xml:space="preserve"> </w:t>
      </w:r>
      <w:r>
        <w:t xml:space="preserve">· Exenatide exerts direct protective effects on endothelial cells through the AMPK/Akt/eNOS pathway in a GLP-1 receptor-dependent manner. PMID 27072494</w:t>
      </w:r>
    </w:p>
    <w:p>
      <w:pPr>
        <w:numPr>
          <w:ilvl w:val="0"/>
          <w:numId w:val="1376"/>
        </w:numPr>
        <w:pStyle w:val="Compact"/>
      </w:pPr>
      <w:r>
        <w:t xml:space="preserve">2016 · Tonneijck L ·</w:t>
      </w:r>
      <w:r>
        <w:t xml:space="preserve"> </w:t>
      </w:r>
      <w:r>
        <w:rPr>
          <w:iCs/>
          <w:i/>
        </w:rPr>
        <w:t xml:space="preserve">Diabetologia</w:t>
      </w:r>
      <w:r>
        <w:t xml:space="preserve"> </w:t>
      </w:r>
      <w:r>
        <w:t xml:space="preserve">· Acute renal effects of the GLP-1 receptor agonist exenatide in overweight type 2 diabetes patients: a randomised, double-blind, placebo-controlled trial. PMID 27038451</w:t>
      </w:r>
    </w:p>
    <w:p>
      <w:pPr>
        <w:numPr>
          <w:ilvl w:val="0"/>
          <w:numId w:val="1376"/>
        </w:numPr>
        <w:pStyle w:val="Compact"/>
      </w:pPr>
      <w:r>
        <w:t xml:space="preserve">2016 · Xu S ·</w:t>
      </w:r>
      <w:r>
        <w:t xml:space="preserve"> </w:t>
      </w:r>
      <w:r>
        <w:rPr>
          <w:iCs/>
          <w:i/>
        </w:rPr>
        <w:t xml:space="preserve">Trials</w:t>
      </w:r>
      <w:r>
        <w:t xml:space="preserve"> </w:t>
      </w:r>
      <w:r>
        <w:t xml:space="preserve">· Comparison of exenatide with biphasic insulin aspart 30 on glucose variability in type 2 diabetes: study protocol for a randomized controlled trial. PMID 27009108</w:t>
      </w:r>
    </w:p>
    <w:p>
      <w:pPr>
        <w:numPr>
          <w:ilvl w:val="0"/>
          <w:numId w:val="1376"/>
        </w:numPr>
        <w:pStyle w:val="Compact"/>
      </w:pPr>
      <w:r>
        <w:t xml:space="preserve">2016 · Topyildiz F ·</w:t>
      </w:r>
      <w:r>
        <w:t xml:space="preserve"> </w:t>
      </w:r>
      <w:r>
        <w:rPr>
          <w:iCs/>
          <w:i/>
        </w:rPr>
        <w:t xml:space="preserve">J Diabetes Res</w:t>
      </w:r>
      <w:r>
        <w:t xml:space="preserve"> </w:t>
      </w:r>
      <w:r>
        <w:t xml:space="preserve">· Exenatide Treatment Causes Suppression of Serum Ghrelin Levels following Mixed Meal Test in Obese Diabetic Women. PMID 26998491</w:t>
      </w:r>
    </w:p>
    <w:p>
      <w:pPr>
        <w:numPr>
          <w:ilvl w:val="0"/>
          <w:numId w:val="1376"/>
        </w:numPr>
        <w:pStyle w:val="Compact"/>
      </w:pPr>
      <w:r>
        <w:t xml:space="preserve">2016 · Holman RR ·</w:t>
      </w:r>
      <w:r>
        <w:t xml:space="preserve"> </w:t>
      </w:r>
      <w:r>
        <w:rPr>
          <w:iCs/>
          <w:i/>
        </w:rPr>
        <w:t xml:space="preserve">Am Heart J</w:t>
      </w:r>
      <w:r>
        <w:t xml:space="preserve"> </w:t>
      </w:r>
      <w:r>
        <w:t xml:space="preserve">· Rationale and design of the EXenatide Study of Cardiovascular Event Lowering (EXSCEL) trial. PMID 26995376</w:t>
      </w:r>
    </w:p>
    <w:p>
      <w:pPr>
        <w:numPr>
          <w:ilvl w:val="0"/>
          <w:numId w:val="1376"/>
        </w:numPr>
        <w:pStyle w:val="Compact"/>
      </w:pPr>
      <w:r>
        <w:t xml:space="preserve">2016 · McGrath RT ·</w:t>
      </w:r>
      <w:r>
        <w:t xml:space="preserve"> </w:t>
      </w:r>
      <w:r>
        <w:rPr>
          <w:iCs/>
          <w:i/>
        </w:rPr>
        <w:t xml:space="preserve">BMJ Open</w:t>
      </w:r>
      <w:r>
        <w:t xml:space="preserve"> </w:t>
      </w:r>
      <w:r>
        <w:t xml:space="preserve">· Rationale and design of Short-Term EXenatide therapy in Acute ischaemic Stroke (STEXAS): a randomised, open-label, parallel-group study. PMID 26911582</w:t>
      </w:r>
    </w:p>
    <w:p>
      <w:pPr>
        <w:numPr>
          <w:ilvl w:val="0"/>
          <w:numId w:val="1376"/>
        </w:numPr>
        <w:pStyle w:val="Compact"/>
      </w:pPr>
      <w:r>
        <w:t xml:space="preserve">2016 · Quan H ·</w:t>
      </w:r>
      <w:r>
        <w:t xml:space="preserve"> </w:t>
      </w:r>
      <w:r>
        <w:rPr>
          <w:iCs/>
          <w:i/>
        </w:rPr>
        <w:t xml:space="preserve">J Diabetes Complications</w:t>
      </w:r>
      <w:r>
        <w:t xml:space="preserve"> </w:t>
      </w:r>
      <w:r>
        <w:t xml:space="preserve">· Gender-related different effects of a combined therapy of Exenatide and Metformin on overweight or obesity patients with type 2 diabetes mellitus. PMID 26873871</w:t>
      </w:r>
    </w:p>
    <w:p>
      <w:pPr>
        <w:numPr>
          <w:ilvl w:val="0"/>
          <w:numId w:val="1376"/>
        </w:numPr>
        <w:pStyle w:val="Compact"/>
      </w:pPr>
      <w:r>
        <w:t xml:space="preserve">2016 · Milicevic Z ·</w:t>
      </w:r>
      <w:r>
        <w:t xml:space="preserve"> </w:t>
      </w:r>
      <w:r>
        <w:rPr>
          <w:iCs/>
          <w:i/>
        </w:rPr>
        <w:t xml:space="preserve">Diabetes Obes Metab</w:t>
      </w:r>
      <w:r>
        <w:t xml:space="preserve"> </w:t>
      </w:r>
      <w:r>
        <w:t xml:space="preserve">· Low incidence of anti-drug antibodies in patients with type 2 diabetes treated with once-weekly glucagon-like peptide-1 receptor agonist dulaglutide. PMID 26847401</w:t>
      </w:r>
    </w:p>
    <w:p>
      <w:pPr>
        <w:numPr>
          <w:ilvl w:val="0"/>
          <w:numId w:val="1376"/>
        </w:numPr>
        <w:pStyle w:val="Compact"/>
      </w:pPr>
      <w:r>
        <w:t xml:space="preserve">2016 · Sheu WH ·</w:t>
      </w:r>
      <w:r>
        <w:t xml:space="preserve"> </w:t>
      </w:r>
      <w:r>
        <w:rPr>
          <w:iCs/>
          <w:i/>
        </w:rPr>
        <w:t xml:space="preserve">Diabetes Res Clin Pract</w:t>
      </w:r>
      <w:r>
        <w:t xml:space="preserve"> </w:t>
      </w:r>
      <w:r>
        <w:t xml:space="preserve">· Efficacy and tolerability of exenatide twice daily and exenatide once weekly in Asian versus White patients with type 2 diabetes mellitus: A pooled analysis. PMID 26827116</w:t>
      </w:r>
    </w:p>
    <w:p>
      <w:pPr>
        <w:numPr>
          <w:ilvl w:val="0"/>
          <w:numId w:val="1376"/>
        </w:numPr>
        <w:pStyle w:val="Compact"/>
      </w:pPr>
      <w:r>
        <w:t xml:space="preserve">2016 · Savvidou S ·</w:t>
      </w:r>
      <w:r>
        <w:t xml:space="preserve"> </w:t>
      </w:r>
      <w:r>
        <w:rPr>
          <w:iCs/>
          <w:i/>
        </w:rPr>
        <w:t xml:space="preserve">Diabetes Res Clin Pract</w:t>
      </w:r>
      <w:r>
        <w:t xml:space="preserve"> </w:t>
      </w:r>
      <w:r>
        <w:t xml:space="preserve">· Circulating adiponectin levels in type 2 diabetes mellitus patients with or without non-alcoholic fatty liver disease: Results of a small, open-label, randomized controlled intervention trial in a subgroup receiving short-term exenatide. PMID 26803355</w:t>
      </w:r>
    </w:p>
    <w:p>
      <w:pPr>
        <w:numPr>
          <w:ilvl w:val="0"/>
          <w:numId w:val="1376"/>
        </w:numPr>
        <w:pStyle w:val="Compact"/>
      </w:pPr>
      <w:r>
        <w:t xml:space="preserve">2016 · Nagakura J ·</w:t>
      </w:r>
      <w:r>
        <w:t xml:space="preserve"> </w:t>
      </w:r>
      <w:r>
        <w:rPr>
          <w:iCs/>
          <w:i/>
        </w:rPr>
        <w:t xml:space="preserve">Endocr J</w:t>
      </w:r>
      <w:r>
        <w:t xml:space="preserve"> </w:t>
      </w:r>
      <w:r>
        <w:t xml:space="preserve">· Effects of exenatide and liraglutide on 24-hour glucose fluctuations in type 2 diabetes. PMID 26743240</w:t>
      </w:r>
    </w:p>
    <w:p>
      <w:pPr>
        <w:numPr>
          <w:ilvl w:val="0"/>
          <w:numId w:val="1376"/>
        </w:numPr>
        <w:pStyle w:val="Compact"/>
      </w:pPr>
      <w:r>
        <w:t xml:space="preserve">2016 · Yu M ·</w:t>
      </w:r>
      <w:r>
        <w:t xml:space="preserve"> </w:t>
      </w:r>
      <w:r>
        <w:rPr>
          <w:iCs/>
          <w:i/>
        </w:rPr>
        <w:t xml:space="preserve">Diabetes Obes Metab</w:t>
      </w:r>
      <w:r>
        <w:t xml:space="preserve"> </w:t>
      </w:r>
      <w:r>
        <w:t xml:space="preserve">· Patient-reported outcome results in patients with type 2 diabetes treated with once-weekly dulaglutide: data from the AWARD phase III clinical trial programme. PMID 26691396</w:t>
      </w:r>
    </w:p>
    <w:p>
      <w:pPr>
        <w:numPr>
          <w:ilvl w:val="0"/>
          <w:numId w:val="1376"/>
        </w:numPr>
        <w:pStyle w:val="Compact"/>
      </w:pPr>
      <w:r>
        <w:t xml:space="preserve">2016 · Nathan BM ·</w:t>
      </w:r>
      <w:r>
        <w:t xml:space="preserve"> </w:t>
      </w:r>
      <w:r>
        <w:rPr>
          <w:iCs/>
          <w:i/>
        </w:rPr>
        <w:t xml:space="preserve">Clin Obes</w:t>
      </w:r>
      <w:r>
        <w:t xml:space="preserve"> </w:t>
      </w:r>
      <w:r>
        <w:t xml:space="preserve">· Predictors of weight-loss response with glucagon-like peptide-1 receptor agonist treatment among adolescents with severe obesity. PMID 26683756</w:t>
      </w:r>
    </w:p>
    <w:p>
      <w:pPr>
        <w:numPr>
          <w:ilvl w:val="0"/>
          <w:numId w:val="1376"/>
        </w:numPr>
        <w:pStyle w:val="Compact"/>
      </w:pPr>
      <w:r>
        <w:t xml:space="preserve">2016 · Smits MM ·</w:t>
      </w:r>
      <w:r>
        <w:t xml:space="preserve"> </w:t>
      </w:r>
      <w:r>
        <w:rPr>
          <w:iCs/>
          <w:i/>
        </w:rPr>
        <w:t xml:space="preserve">Diabetes Obes Metab</w:t>
      </w:r>
      <w:r>
        <w:t xml:space="preserve"> </w:t>
      </w:r>
      <w:r>
        <w:t xml:space="preserve">· Glucagon-like peptide-1 receptor agonist exenatide has no acute effect on MRI-measured exocrine pancreatic function in patients with type 2 diabetes: a randomized trial. PMID 26640129</w:t>
      </w:r>
    </w:p>
    <w:p>
      <w:pPr>
        <w:numPr>
          <w:ilvl w:val="0"/>
          <w:numId w:val="1376"/>
        </w:numPr>
        <w:pStyle w:val="Compact"/>
      </w:pPr>
      <w:r>
        <w:t xml:space="preserve">2016 · Muskiet MH ·</w:t>
      </w:r>
      <w:r>
        <w:t xml:space="preserve"> </w:t>
      </w:r>
      <w:r>
        <w:rPr>
          <w:iCs/>
          <w:i/>
        </w:rPr>
        <w:t xml:space="preserve">Diabetes Obes Metab</w:t>
      </w:r>
      <w:r>
        <w:t xml:space="preserve"> </w:t>
      </w:r>
      <w:r>
        <w:t xml:space="preserve">· Acute renal haemodynamic effects of glucagon-like peptide-1 receptor agonist exenatide in healthy overweight men. PMID 26636423</w:t>
      </w:r>
    </w:p>
    <w:p>
      <w:pPr>
        <w:numPr>
          <w:ilvl w:val="0"/>
          <w:numId w:val="1376"/>
        </w:numPr>
        <w:pStyle w:val="Compact"/>
      </w:pPr>
      <w:r>
        <w:t xml:space="preserve">2016 · Smits MM ·</w:t>
      </w:r>
      <w:r>
        <w:t xml:space="preserve"> </w:t>
      </w:r>
      <w:r>
        <w:rPr>
          <w:iCs/>
          <w:i/>
        </w:rPr>
        <w:t xml:space="preserve">Br J Clin Pharmacol</w:t>
      </w:r>
      <w:r>
        <w:t xml:space="preserve"> </w:t>
      </w:r>
      <w:r>
        <w:t xml:space="preserve">· Exenatide acutely increases heart rate in parallel with augmented sympathetic nervous system activation in healthy overweight males. PMID 26609792</w:t>
      </w:r>
    </w:p>
    <w:p>
      <w:pPr>
        <w:numPr>
          <w:ilvl w:val="0"/>
          <w:numId w:val="1376"/>
        </w:numPr>
        <w:pStyle w:val="Compact"/>
      </w:pPr>
      <w:r>
        <w:t xml:space="preserve">2016 · Thazhath SS ·</w:t>
      </w:r>
      <w:r>
        <w:t xml:space="preserve"> </w:t>
      </w:r>
      <w:r>
        <w:rPr>
          <w:iCs/>
          <w:i/>
        </w:rPr>
        <w:t xml:space="preserve">Diabetes</w:t>
      </w:r>
      <w:r>
        <w:t xml:space="preserve"> </w:t>
      </w:r>
      <w:r>
        <w:t xml:space="preserve">· The Glucagon-Like Peptide 1 Receptor Agonist Exenatide Inhibits Small Intestinal Motility, Flow, Transit, and Absorption of Glucose in Healthy Subjects and Patients With Type 2 Diabetes: A Randomized Controlled Trial. PMID 26470783</w:t>
      </w:r>
    </w:p>
    <w:p>
      <w:pPr>
        <w:numPr>
          <w:ilvl w:val="0"/>
          <w:numId w:val="1376"/>
        </w:numPr>
        <w:pStyle w:val="Compact"/>
      </w:pPr>
      <w:r>
        <w:t xml:space="preserve">2015 · Lin CH ·</w:t>
      </w:r>
      <w:r>
        <w:t xml:space="preserve"> </w:t>
      </w:r>
      <w:r>
        <w:rPr>
          <w:iCs/>
          <w:i/>
        </w:rPr>
        <w:t xml:space="preserve">Sci Rep</w:t>
      </w:r>
      <w:r>
        <w:t xml:space="preserve"> </w:t>
      </w:r>
      <w:r>
        <w:t xml:space="preserve">· Glucose Variability and β- Cell Response by GLP-1 Analogue added-on CSII for Patients with Poorly Controlled Type 2 Diabetes. PMID 26607841</w:t>
      </w:r>
    </w:p>
    <w:p>
      <w:pPr>
        <w:numPr>
          <w:ilvl w:val="0"/>
          <w:numId w:val="1376"/>
        </w:numPr>
        <w:pStyle w:val="Compact"/>
      </w:pPr>
      <w:r>
        <w:t xml:space="preserve">2015 · Smits MM ·</w:t>
      </w:r>
      <w:r>
        <w:t xml:space="preserve"> </w:t>
      </w:r>
      <w:r>
        <w:rPr>
          <w:iCs/>
          <w:i/>
        </w:rPr>
        <w:t xml:space="preserve">BMJ Open</w:t>
      </w:r>
      <w:r>
        <w:t xml:space="preserve"> </w:t>
      </w:r>
      <w:r>
        <w:t xml:space="preserve">· Cardiovascular, renal and gastrointestinal effects of incretin-based therapies: an acute and 12-week randomised, double-blind, placebo-controlled, mechanistic intervention trial in type 2 diabetes. PMID 26586327</w:t>
      </w:r>
    </w:p>
    <w:p>
      <w:pPr>
        <w:numPr>
          <w:ilvl w:val="0"/>
          <w:numId w:val="1376"/>
        </w:numPr>
        <w:pStyle w:val="Compact"/>
      </w:pPr>
      <w:r>
        <w:t xml:space="preserve">2015 · Chen WR ·</w:t>
      </w:r>
      <w:r>
        <w:t xml:space="preserve"> </w:t>
      </w:r>
      <w:r>
        <w:rPr>
          <w:iCs/>
          <w:i/>
        </w:rPr>
        <w:t xml:space="preserve">Am Heart J</w:t>
      </w:r>
      <w:r>
        <w:t xml:space="preserve"> </w:t>
      </w:r>
      <w:r>
        <w:t xml:space="preserve">· Effects of liraglutide on left ventricular function in patients with ST-segment elevation myocardial infarction undergoing primary percutaneous coronary intervention. PMID 26542491</w:t>
      </w:r>
    </w:p>
    <w:p>
      <w:pPr>
        <w:numPr>
          <w:ilvl w:val="0"/>
          <w:numId w:val="1376"/>
        </w:numPr>
        <w:pStyle w:val="Compact"/>
      </w:pPr>
      <w:r>
        <w:t xml:space="preserve">2015 · Wang XH ·</w:t>
      </w:r>
      <w:r>
        <w:t xml:space="preserve"> </w:t>
      </w:r>
      <w:r>
        <w:rPr>
          <w:iCs/>
          <w:i/>
        </w:rPr>
        <w:t xml:space="preserve">Sichuan Da Xue Xue Bao Yi Xue Ban</w:t>
      </w:r>
      <w:r>
        <w:t xml:space="preserve"> </w:t>
      </w:r>
      <w:r>
        <w:t xml:space="preserve">· [Effects of GLP-1 Agonist Exenatide on Cardiac Diastolic Function and Vascular Endothelial Function in Diabetic Patients]. PMID 26480664</w:t>
      </w:r>
    </w:p>
    <w:p>
      <w:pPr>
        <w:numPr>
          <w:ilvl w:val="0"/>
          <w:numId w:val="1376"/>
        </w:numPr>
        <w:pStyle w:val="Compact"/>
      </w:pPr>
      <w:r>
        <w:t xml:space="preserve">2015 · Simó R ·</w:t>
      </w:r>
      <w:r>
        <w:t xml:space="preserve"> </w:t>
      </w:r>
      <w:r>
        <w:rPr>
          <w:iCs/>
          <w:i/>
        </w:rPr>
        <w:t xml:space="preserve">Cardiovasc Diabetol</w:t>
      </w:r>
      <w:r>
        <w:t xml:space="preserve"> </w:t>
      </w:r>
      <w:r>
        <w:t xml:space="preserve">· Long-term changes in cardiovascular risk markers during administration of exenatide twice daily or glimepiride: results from the European exenatide study. PMID 26338040</w:t>
      </w:r>
    </w:p>
    <w:p>
      <w:pPr>
        <w:numPr>
          <w:ilvl w:val="0"/>
          <w:numId w:val="1376"/>
        </w:numPr>
        <w:pStyle w:val="Compact"/>
      </w:pPr>
      <w:r>
        <w:t xml:space="preserve">2015 · van Bloemendaal L ·</w:t>
      </w:r>
      <w:r>
        <w:t xml:space="preserve"> </w:t>
      </w:r>
      <w:r>
        <w:rPr>
          <w:iCs/>
          <w:i/>
        </w:rPr>
        <w:t xml:space="preserve">Obesity (Silver Spring)</w:t>
      </w:r>
      <w:r>
        <w:t xml:space="preserve"> </w:t>
      </w:r>
      <w:r>
        <w:t xml:space="preserve">· Emotional eating is associated with increased brain responses to food-cues and reduced sensitivity to GLP-1 receptor activation. PMID 26331843</w:t>
      </w:r>
    </w:p>
    <w:p>
      <w:pPr>
        <w:numPr>
          <w:ilvl w:val="0"/>
          <w:numId w:val="1376"/>
        </w:numPr>
        <w:pStyle w:val="Compact"/>
      </w:pPr>
      <w:r>
        <w:t xml:space="preserve">2015 · Jaiswal M ·</w:t>
      </w:r>
      <w:r>
        <w:t xml:space="preserve"> </w:t>
      </w:r>
      <w:r>
        <w:rPr>
          <w:iCs/>
          <w:i/>
        </w:rPr>
        <w:t xml:space="preserve">J Diabetes Complications</w:t>
      </w:r>
      <w:r>
        <w:t xml:space="preserve"> </w:t>
      </w:r>
      <w:r>
        <w:t xml:space="preserve">· Effects of exenatide on measures of diabetic neuropathy in subjects with type 2 diabetes: results from an 18-month proof-of-concept open-label randomized study. PMID 26264399</w:t>
      </w:r>
    </w:p>
    <w:p>
      <w:pPr>
        <w:numPr>
          <w:ilvl w:val="0"/>
          <w:numId w:val="1376"/>
        </w:numPr>
        <w:pStyle w:val="Compact"/>
      </w:pPr>
      <w:r>
        <w:t xml:space="preserve">2015 · Li R ·</w:t>
      </w:r>
      <w:r>
        <w:t xml:space="preserve"> </w:t>
      </w:r>
      <w:r>
        <w:rPr>
          <w:iCs/>
          <w:i/>
        </w:rPr>
        <w:t xml:space="preserve">Acta Diabetol</w:t>
      </w:r>
      <w:r>
        <w:t xml:space="preserve"> </w:t>
      </w:r>
      <w:r>
        <w:t xml:space="preserve">· Effect of exenatide, insulin and pioglitazone on bone metabolism in patients with newly diagnosed type 2 diabetes. PMID 26249206</w:t>
      </w:r>
    </w:p>
    <w:p>
      <w:pPr>
        <w:numPr>
          <w:ilvl w:val="0"/>
          <w:numId w:val="1376"/>
        </w:numPr>
        <w:pStyle w:val="Compact"/>
      </w:pPr>
      <w:r>
        <w:t xml:space="preserve">2015 · Vlasakakis G ·</w:t>
      </w:r>
      <w:r>
        <w:t xml:space="preserve"> </w:t>
      </w:r>
      <w:r>
        <w:rPr>
          <w:iCs/>
          <w:i/>
        </w:rPr>
        <w:t xml:space="preserve">Adv Ther</w:t>
      </w:r>
      <w:r>
        <w:t xml:space="preserve"> </w:t>
      </w:r>
      <w:r>
        <w:t xml:space="preserve">· Pharmacokinetics and Tolerability of Exenatide Delivered by 7-Day Continuous Subcutaneous Infusion in Healthy Volunteers. PMID 26160357</w:t>
      </w:r>
    </w:p>
    <w:p>
      <w:pPr>
        <w:numPr>
          <w:ilvl w:val="0"/>
          <w:numId w:val="1376"/>
        </w:numPr>
        <w:pStyle w:val="Compact"/>
      </w:pPr>
      <w:r>
        <w:t xml:space="preserve">2015 · Daniele G ·</w:t>
      </w:r>
      <w:r>
        <w:t xml:space="preserve"> </w:t>
      </w:r>
      <w:r>
        <w:rPr>
          <w:iCs/>
          <w:i/>
        </w:rPr>
        <w:t xml:space="preserve">Diabetes</w:t>
      </w:r>
      <w:r>
        <w:t xml:space="preserve"> </w:t>
      </w:r>
      <w:r>
        <w:t xml:space="preserve">· Exenatide Regulates Cerebral Glucose Metabolism in Brain Areas Associated With Glucose Homeostasis and Reward System. PMID 26116695</w:t>
      </w:r>
    </w:p>
    <w:p>
      <w:pPr>
        <w:numPr>
          <w:ilvl w:val="0"/>
          <w:numId w:val="1376"/>
        </w:numPr>
        <w:pStyle w:val="Compact"/>
      </w:pPr>
      <w:r>
        <w:t xml:space="preserve">2015 · Reaney M ·</w:t>
      </w:r>
      <w:r>
        <w:t xml:space="preserve"> </w:t>
      </w:r>
      <w:r>
        <w:rPr>
          <w:iCs/>
          <w:i/>
        </w:rPr>
        <w:t xml:space="preserve">Diabetes Obes Metab</w:t>
      </w:r>
      <w:r>
        <w:t xml:space="preserve"> </w:t>
      </w:r>
      <w:r>
        <w:t xml:space="preserve">· Treatment satisfaction in people with type 2 diabetes mellitus treated with once-weekly dulaglutide: data from the AWARD-1 and AWARD-3 clinical trials. PMID 26095190</w:t>
      </w:r>
    </w:p>
    <w:p>
      <w:pPr>
        <w:numPr>
          <w:ilvl w:val="0"/>
          <w:numId w:val="1376"/>
        </w:numPr>
        <w:pStyle w:val="Compact"/>
      </w:pPr>
      <w:r>
        <w:t xml:space="preserve">2015 · van Bloemendaal L ·</w:t>
      </w:r>
      <w:r>
        <w:t xml:space="preserve"> </w:t>
      </w:r>
      <w:r>
        <w:rPr>
          <w:iCs/>
          <w:i/>
        </w:rPr>
        <w:t xml:space="preserve">Diabetes Obes Metab</w:t>
      </w:r>
      <w:r>
        <w:t xml:space="preserve"> </w:t>
      </w:r>
      <w:r>
        <w:t xml:space="preserve">· Brain reward-system activation in response to anticipation and consumption of palatable food is altered by glucagon-like peptide-1 receptor activation in humans. PMID 26094857</w:t>
      </w:r>
    </w:p>
    <w:p>
      <w:pPr>
        <w:numPr>
          <w:ilvl w:val="0"/>
          <w:numId w:val="1376"/>
        </w:numPr>
        <w:pStyle w:val="Compact"/>
      </w:pPr>
      <w:r>
        <w:t xml:space="preserve">2015 · Schernthaner G ·</w:t>
      </w:r>
      <w:r>
        <w:t xml:space="preserve"> </w:t>
      </w:r>
      <w:r>
        <w:rPr>
          <w:iCs/>
          <w:i/>
        </w:rPr>
        <w:t xml:space="preserve">Diabetes Obes Metab</w:t>
      </w:r>
      <w:r>
        <w:t xml:space="preserve"> </w:t>
      </w:r>
      <w:r>
        <w:t xml:space="preserve">· Treatment escalation options for patients with type 2 diabetes after failure of exenatide twice daily or glimepiride added to metformin: results from the prospective European Exenatide (EUREXA) study. PMID 25846577</w:t>
      </w:r>
    </w:p>
    <w:p>
      <w:pPr>
        <w:numPr>
          <w:ilvl w:val="0"/>
          <w:numId w:val="1376"/>
        </w:numPr>
        <w:pStyle w:val="Compact"/>
      </w:pPr>
      <w:r>
        <w:t xml:space="preserve">2015 · Wysham CH ·</w:t>
      </w:r>
      <w:r>
        <w:t xml:space="preserve"> </w:t>
      </w:r>
      <w:r>
        <w:rPr>
          <w:iCs/>
          <w:i/>
        </w:rPr>
        <w:t xml:space="preserve">Mayo Clin Proc</w:t>
      </w:r>
      <w:r>
        <w:t xml:space="preserve"> </w:t>
      </w:r>
      <w:r>
        <w:t xml:space="preserve">· Five-year efficacy and safety data of exenatide once weekly: long-term results from the DURATION-1 randomized clinical trial. PMID 25744115</w:t>
      </w:r>
    </w:p>
    <w:p>
      <w:pPr>
        <w:numPr>
          <w:ilvl w:val="0"/>
          <w:numId w:val="1376"/>
        </w:numPr>
        <w:pStyle w:val="Compact"/>
      </w:pPr>
      <w:r>
        <w:t xml:space="preserve">2015 · Koska J ·</w:t>
      </w:r>
      <w:r>
        <w:t xml:space="preserve"> </w:t>
      </w:r>
      <w:r>
        <w:rPr>
          <w:iCs/>
          <w:i/>
        </w:rPr>
        <w:t xml:space="preserve">Diabetes</w:t>
      </w:r>
      <w:r>
        <w:t xml:space="preserve"> </w:t>
      </w:r>
      <w:r>
        <w:t xml:space="preserve">· Exenatide Protects Against Glucose- and Lipid-Induced Endothelial Dysfunction: Evidence for Direct Vasodilation Effect of GLP-1 Receptor Agonists in Humans. PMID 25720388</w:t>
      </w:r>
    </w:p>
    <w:p>
      <w:pPr>
        <w:numPr>
          <w:ilvl w:val="0"/>
          <w:numId w:val="1376"/>
        </w:numPr>
        <w:pStyle w:val="Compact"/>
      </w:pPr>
      <w:r>
        <w:t xml:space="preserve">2015 · Blonde L ·</w:t>
      </w:r>
      <w:r>
        <w:t xml:space="preserve"> </w:t>
      </w:r>
      <w:r>
        <w:rPr>
          <w:iCs/>
          <w:i/>
        </w:rPr>
        <w:t xml:space="preserve">Cardiovasc Diabetol</w:t>
      </w:r>
      <w:r>
        <w:t xml:space="preserve"> </w:t>
      </w:r>
      <w:r>
        <w:t xml:space="preserve">· Association among weight change, glycemic control, and markers of cardiovascular risk with exenatide once weekly: a pooled analysis of patients with type 2 diabetes. PMID 25645567</w:t>
      </w:r>
    </w:p>
    <w:p>
      <w:pPr>
        <w:numPr>
          <w:ilvl w:val="0"/>
          <w:numId w:val="1376"/>
        </w:numPr>
        <w:pStyle w:val="Compact"/>
      </w:pPr>
      <w:r>
        <w:t xml:space="preserve">2015 · Iglesias P ·</w:t>
      </w:r>
      <w:r>
        <w:t xml:space="preserve"> </w:t>
      </w:r>
      <w:r>
        <w:rPr>
          <w:iCs/>
          <w:i/>
        </w:rPr>
        <w:t xml:space="preserve">Obes Surg</w:t>
      </w:r>
      <w:r>
        <w:t xml:space="preserve"> </w:t>
      </w:r>
      <w:r>
        <w:t xml:space="preserve">· Clinical effectiveness of exenatide in diabetic patients waiting for bariatric surgery. PMID 25589020</w:t>
      </w:r>
    </w:p>
    <w:p>
      <w:pPr>
        <w:numPr>
          <w:ilvl w:val="0"/>
          <w:numId w:val="1376"/>
        </w:numPr>
        <w:pStyle w:val="Compact"/>
      </w:pPr>
      <w:r>
        <w:t xml:space="preserve">2015 · Abdul-Ghani MA ·</w:t>
      </w:r>
      <w:r>
        <w:t xml:space="preserve"> </w:t>
      </w:r>
      <w:r>
        <w:rPr>
          <w:iCs/>
          <w:i/>
        </w:rPr>
        <w:t xml:space="preserve">Diabetes Obes Metab</w:t>
      </w:r>
      <w:r>
        <w:t xml:space="preserve"> </w:t>
      </w:r>
      <w:r>
        <w:t xml:space="preserve">· Initial combination therapy with metformin, pioglitazone and exenatide is more effective than sequential add-on therapy in subjects with new-onset diabetes. Results from the Efficacy and Durability of Initial Combination Therapy for Type 2 Diabetes (EDICT): a randomized trial. PMID 25425451</w:t>
      </w:r>
    </w:p>
    <w:p>
      <w:pPr>
        <w:numPr>
          <w:ilvl w:val="0"/>
          <w:numId w:val="1376"/>
        </w:numPr>
        <w:pStyle w:val="Compact"/>
      </w:pPr>
      <w:r>
        <w:t xml:space="preserve">2015 · Xu W ·</w:t>
      </w:r>
      <w:r>
        <w:t xml:space="preserve"> </w:t>
      </w:r>
      <w:r>
        <w:rPr>
          <w:iCs/>
          <w:i/>
        </w:rPr>
        <w:t xml:space="preserve">J Intern Med</w:t>
      </w:r>
      <w:r>
        <w:t xml:space="preserve"> </w:t>
      </w:r>
      <w:r>
        <w:t xml:space="preserve">· Comparison of the effects on glycaemic control and β-cell function in newly diagnosed type 2 diabetes patients of treatment with exenatide, insulin or pioglitazone: a multicentre randomized parallel-group trial (the CONFIDENCE study). PMID 25039675</w:t>
      </w:r>
    </w:p>
    <w:p>
      <w:pPr>
        <w:numPr>
          <w:ilvl w:val="0"/>
          <w:numId w:val="1376"/>
        </w:numPr>
        <w:pStyle w:val="Compact"/>
      </w:pPr>
      <w:r>
        <w:t xml:space="preserve">2014 · Gurkan E ·</w:t>
      </w:r>
      <w:r>
        <w:t xml:space="preserve"> </w:t>
      </w:r>
      <w:r>
        <w:rPr>
          <w:iCs/>
          <w:i/>
        </w:rPr>
        <w:t xml:space="preserve">Diabetes Res Clin Pract</w:t>
      </w:r>
      <w:r>
        <w:t xml:space="preserve"> </w:t>
      </w:r>
      <w:r>
        <w:t xml:space="preserve">· Evaluation of exenatide versus insulin glargine for the impact on endothelial functions and cardiovascular risk markers. PMID 25458329</w:t>
      </w:r>
    </w:p>
    <w:p>
      <w:pPr>
        <w:numPr>
          <w:ilvl w:val="0"/>
          <w:numId w:val="1376"/>
        </w:numPr>
        <w:pStyle w:val="Compact"/>
      </w:pPr>
      <w:r>
        <w:t xml:space="preserve">2014 · Voukali M ·</w:t>
      </w:r>
      <w:r>
        <w:t xml:space="preserve"> </w:t>
      </w:r>
      <w:r>
        <w:rPr>
          <w:iCs/>
          <w:i/>
        </w:rPr>
        <w:t xml:space="preserve">J Diabetes Res</w:t>
      </w:r>
      <w:r>
        <w:t xml:space="preserve"> </w:t>
      </w:r>
      <w:r>
        <w:t xml:space="preserve">· Study of postprandial lipaemia in type 2 diabetes mellitus: exenatide versus liraglutide. PMID 25165723</w:t>
      </w:r>
    </w:p>
    <w:p>
      <w:pPr>
        <w:numPr>
          <w:ilvl w:val="0"/>
          <w:numId w:val="1376"/>
        </w:numPr>
        <w:pStyle w:val="Compact"/>
      </w:pPr>
      <w:r>
        <w:t xml:space="preserve">2014 · Bi Y ·</w:t>
      </w:r>
      <w:r>
        <w:t xml:space="preserve"> </w:t>
      </w:r>
      <w:r>
        <w:rPr>
          <w:iCs/>
          <w:i/>
        </w:rPr>
        <w:t xml:space="preserve">Acta Diabetol</w:t>
      </w:r>
      <w:r>
        <w:t xml:space="preserve"> </w:t>
      </w:r>
      <w:r>
        <w:t xml:space="preserve">· Effects of exenatide, insulin, and pioglitazone on liver fat content and body fat distributions in drug-naive subjects with type 2 diabetes. PMID 25118999</w:t>
      </w:r>
    </w:p>
    <w:p>
      <w:pPr>
        <w:numPr>
          <w:ilvl w:val="0"/>
          <w:numId w:val="1376"/>
        </w:numPr>
        <w:pStyle w:val="Compact"/>
      </w:pPr>
      <w:r>
        <w:t xml:space="preserve">2014 · van Bloemendaal L ·</w:t>
      </w:r>
      <w:r>
        <w:t xml:space="preserve"> </w:t>
      </w:r>
      <w:r>
        <w:rPr>
          <w:iCs/>
          <w:i/>
        </w:rPr>
        <w:t xml:space="preserve">Diabetes</w:t>
      </w:r>
      <w:r>
        <w:t xml:space="preserve"> </w:t>
      </w:r>
      <w:r>
        <w:t xml:space="preserve">· GLP-1 receptor activation modulates appetite- and reward-related brain areas in humans. PMID 25071023</w:t>
      </w:r>
    </w:p>
    <w:p>
      <w:pPr>
        <w:numPr>
          <w:ilvl w:val="0"/>
          <w:numId w:val="1376"/>
        </w:numPr>
        <w:pStyle w:val="Compact"/>
      </w:pPr>
      <w:r>
        <w:t xml:space="preserve">2014 · Qi M ·</w:t>
      </w:r>
      <w:r>
        <w:t xml:space="preserve"> </w:t>
      </w:r>
      <w:r>
        <w:rPr>
          <w:iCs/>
          <w:i/>
        </w:rPr>
        <w:t xml:space="preserve">Acta Diabetol</w:t>
      </w:r>
      <w:r>
        <w:t xml:space="preserve"> </w:t>
      </w:r>
      <w:r>
        <w:t xml:space="preserve">· Five-year follow-up of patients with type 1 diabetes transplanted with allogeneic islets: the UIC experience. PMID 25034311</w:t>
      </w:r>
    </w:p>
    <w:p>
      <w:pPr>
        <w:numPr>
          <w:ilvl w:val="0"/>
          <w:numId w:val="1376"/>
        </w:numPr>
        <w:pStyle w:val="Compact"/>
      </w:pPr>
      <w:r>
        <w:t xml:space="preserve">2014 · Renukuntla VS ·</w:t>
      </w:r>
      <w:r>
        <w:t xml:space="preserve"> </w:t>
      </w:r>
      <w:r>
        <w:rPr>
          <w:iCs/>
          <w:i/>
        </w:rPr>
        <w:t xml:space="preserve">J Diabetes Sci Technol</w:t>
      </w:r>
      <w:r>
        <w:t xml:space="preserve"> </w:t>
      </w:r>
      <w:r>
        <w:t xml:space="preserve">· Role of glucagon-like peptide-1 analogue versus amylin as an adjuvant therapy in type 1 diabetes in a closed loop setting with ePID algorithm. PMID 25030181</w:t>
      </w:r>
    </w:p>
    <w:p>
      <w:pPr>
        <w:numPr>
          <w:ilvl w:val="0"/>
          <w:numId w:val="1376"/>
        </w:numPr>
        <w:pStyle w:val="Compact"/>
      </w:pPr>
      <w:r>
        <w:t xml:space="preserve">2014 · Diamant M ·</w:t>
      </w:r>
      <w:r>
        <w:t xml:space="preserve"> </w:t>
      </w:r>
      <w:r>
        <w:rPr>
          <w:iCs/>
          <w:i/>
        </w:rPr>
        <w:t xml:space="preserve">Diabetes Care</w:t>
      </w:r>
      <w:r>
        <w:t xml:space="preserve"> </w:t>
      </w:r>
      <w:r>
        <w:t xml:space="preserve">· Glucagon-like peptide 1 receptor agonist or bolus insulin with optimized basal insulin in type 2 diabetes. PMID 25011946</w:t>
      </w:r>
    </w:p>
    <w:p>
      <w:pPr>
        <w:numPr>
          <w:ilvl w:val="0"/>
          <w:numId w:val="1376"/>
        </w:numPr>
        <w:pStyle w:val="Compact"/>
      </w:pPr>
      <w:r>
        <w:t xml:space="preserve">2014 · Gudipaty L ·</w:t>
      </w:r>
      <w:r>
        <w:t xml:space="preserve"> </w:t>
      </w:r>
      <w:r>
        <w:rPr>
          <w:iCs/>
          <w:i/>
        </w:rPr>
        <w:t xml:space="preserve">Diabetes Care</w:t>
      </w:r>
      <w:r>
        <w:t xml:space="preserve"> </w:t>
      </w:r>
      <w:r>
        <w:t xml:space="preserve">· Effect of exenatide, sitagliptin, or glimepiride on β-cell secretory capacity in early type 2 diabetes. PMID 24969577</w:t>
      </w:r>
    </w:p>
    <w:p>
      <w:pPr>
        <w:numPr>
          <w:ilvl w:val="0"/>
          <w:numId w:val="1376"/>
        </w:numPr>
        <w:pStyle w:val="Compact"/>
      </w:pPr>
      <w:r>
        <w:t xml:space="preserve">2014 · Wysham C ·</w:t>
      </w:r>
      <w:r>
        <w:t xml:space="preserve"> </w:t>
      </w:r>
      <w:r>
        <w:rPr>
          <w:iCs/>
          <w:i/>
        </w:rPr>
        <w:t xml:space="preserve">Diabetes Care</w:t>
      </w:r>
      <w:r>
        <w:t xml:space="preserve"> </w:t>
      </w:r>
      <w:r>
        <w:t xml:space="preserve">· Efficacy and safety of dulaglutide added onto pioglitazone and metformin versus exenatide in type 2 diabetes in a randomized controlled trial (AWARD-1). PMID 24879836</w:t>
      </w:r>
    </w:p>
    <w:p>
      <w:pPr>
        <w:numPr>
          <w:ilvl w:val="0"/>
          <w:numId w:val="1376"/>
        </w:numPr>
        <w:pStyle w:val="Compact"/>
      </w:pPr>
      <w:r>
        <w:t xml:space="preserve">2014 · Holmberg FE ·</w:t>
      </w:r>
      <w:r>
        <w:t xml:space="preserve"> </w:t>
      </w:r>
      <w:r>
        <w:rPr>
          <w:iCs/>
          <w:i/>
        </w:rPr>
        <w:t xml:space="preserve">Scand Cardiovasc J</w:t>
      </w:r>
      <w:r>
        <w:t xml:space="preserve"> </w:t>
      </w:r>
      <w:r>
        <w:t xml:space="preserve">· Conditioning techniques and ischemic reperfusion injury in relation to on-pump cardiac surgery. PMID 24852515</w:t>
      </w:r>
    </w:p>
    <w:p>
      <w:pPr>
        <w:numPr>
          <w:ilvl w:val="0"/>
          <w:numId w:val="1376"/>
        </w:numPr>
        <w:pStyle w:val="Compact"/>
      </w:pPr>
      <w:r>
        <w:t xml:space="preserve">2014 · Shao N ·</w:t>
      </w:r>
      <w:r>
        <w:t xml:space="preserve"> </w:t>
      </w:r>
      <w:r>
        <w:rPr>
          <w:iCs/>
          <w:i/>
        </w:rPr>
        <w:t xml:space="preserve">Diabetes Metab Res Rev</w:t>
      </w:r>
      <w:r>
        <w:t xml:space="preserve"> </w:t>
      </w:r>
      <w:r>
        <w:t xml:space="preserve">· Benefits of exenatide on obesity and non-alcoholic fatty liver disease with elevated liver enzymes in patients with type 2 diabetes. PMID 24823873</w:t>
      </w:r>
    </w:p>
    <w:p>
      <w:pPr>
        <w:numPr>
          <w:ilvl w:val="0"/>
          <w:numId w:val="1376"/>
        </w:numPr>
        <w:pStyle w:val="Compact"/>
      </w:pPr>
      <w:r>
        <w:t xml:space="preserve">2014 · Diamant M ·</w:t>
      </w:r>
      <w:r>
        <w:t xml:space="preserve"> </w:t>
      </w:r>
      <w:r>
        <w:rPr>
          <w:iCs/>
          <w:i/>
        </w:rPr>
        <w:t xml:space="preserve">Lancet Diabetes Endocrinol</w:t>
      </w:r>
      <w:r>
        <w:t xml:space="preserve"> </w:t>
      </w:r>
      <w:r>
        <w:t xml:space="preserve">· Exenatide once weekly versus insulin glargine for type 2 diabetes (DURATION-3): 3-year results of an open-label randomised trial. PMID 24731672</w:t>
      </w:r>
    </w:p>
    <w:p>
      <w:pPr>
        <w:numPr>
          <w:ilvl w:val="0"/>
          <w:numId w:val="1376"/>
        </w:numPr>
        <w:pStyle w:val="Compact"/>
      </w:pPr>
      <w:r>
        <w:t xml:space="preserve">2014 · Aviles-Olmos I ·</w:t>
      </w:r>
      <w:r>
        <w:t xml:space="preserve"> </w:t>
      </w:r>
      <w:r>
        <w:rPr>
          <w:iCs/>
          <w:i/>
        </w:rPr>
        <w:t xml:space="preserve">J Parkinsons Dis</w:t>
      </w:r>
      <w:r>
        <w:t xml:space="preserve"> </w:t>
      </w:r>
      <w:r>
        <w:t xml:space="preserve">· Motor and cognitive advantages persist 12 months after exenatide exposure in Parkinson’s disease. PMID 24662192</w:t>
      </w:r>
    </w:p>
    <w:p>
      <w:pPr>
        <w:numPr>
          <w:ilvl w:val="0"/>
          <w:numId w:val="1376"/>
        </w:numPr>
        <w:pStyle w:val="Compact"/>
      </w:pPr>
      <w:r>
        <w:t xml:space="preserve">2014 · Henry RR ·</w:t>
      </w:r>
      <w:r>
        <w:t xml:space="preserve"> </w:t>
      </w:r>
      <w:r>
        <w:rPr>
          <w:iCs/>
          <w:i/>
        </w:rPr>
        <w:t xml:space="preserve">J Diabetes Complications</w:t>
      </w:r>
      <w:r>
        <w:t xml:space="preserve"> </w:t>
      </w:r>
      <w:r>
        <w:t xml:space="preserve">· Continuous subcutaneous delivery of exenatide via ITCA 650 leads to sustained glycemic control and weight loss for 48 weeks in metformin-treated subjects with type 2 diabetes. PMID 24631129</w:t>
      </w:r>
    </w:p>
    <w:p>
      <w:pPr>
        <w:numPr>
          <w:ilvl w:val="0"/>
          <w:numId w:val="1376"/>
        </w:numPr>
        <w:pStyle w:val="Compact"/>
      </w:pPr>
      <w:r>
        <w:t xml:space="preserve">2014 · Buse JB ·</w:t>
      </w:r>
      <w:r>
        <w:t xml:space="preserve"> </w:t>
      </w:r>
      <w:r>
        <w:rPr>
          <w:iCs/>
          <w:i/>
        </w:rPr>
        <w:t xml:space="preserve">Curr Med Res Opin</w:t>
      </w:r>
      <w:r>
        <w:t xml:space="preserve"> </w:t>
      </w:r>
      <w:r>
        <w:t xml:space="preserve">· Addition of exenatide BID to insulin glargine: a post-hoc analysis of the effect on glycemia and weight across a range of insulin titration. PMID 24621255</w:t>
      </w:r>
    </w:p>
    <w:p>
      <w:pPr>
        <w:numPr>
          <w:ilvl w:val="0"/>
          <w:numId w:val="1376"/>
        </w:numPr>
        <w:pStyle w:val="Compact"/>
      </w:pPr>
      <w:r>
        <w:t xml:space="preserve">2014 · Lønborg J ·</w:t>
      </w:r>
      <w:r>
        <w:t xml:space="preserve"> </w:t>
      </w:r>
      <w:r>
        <w:rPr>
          <w:iCs/>
          <w:i/>
        </w:rPr>
        <w:t xml:space="preserve">Diabetes</w:t>
      </w:r>
      <w:r>
        <w:t xml:space="preserve"> </w:t>
      </w:r>
      <w:r>
        <w:t xml:space="preserve">· Impact of acute hyperglycemia on myocardial infarct size, area at risk, and salvage in patients with STEMI and the association with exenatide treatment: results from a randomized study. PMID 24584550</w:t>
      </w:r>
    </w:p>
    <w:p>
      <w:pPr>
        <w:numPr>
          <w:ilvl w:val="0"/>
          <w:numId w:val="1376"/>
        </w:numPr>
        <w:pStyle w:val="Compact"/>
      </w:pPr>
      <w:r>
        <w:t xml:space="preserve">2014 · Ishøy PL ·</w:t>
      </w:r>
      <w:r>
        <w:t xml:space="preserve"> </w:t>
      </w:r>
      <w:r>
        <w:rPr>
          <w:iCs/>
          <w:i/>
        </w:rPr>
        <w:t xml:space="preserve">BMJ Open</w:t>
      </w:r>
      <w:r>
        <w:t xml:space="preserve"> </w:t>
      </w:r>
      <w:r>
        <w:t xml:space="preserve">· Treatment of antipsychotic-associated obesity with a GLP-1 receptor agonist–protocol for an investigator-initiated prospective, randomised, placebo-controlled, double-blinded intervention study: the TAO study protocol. PMID 24401727</w:t>
      </w:r>
    </w:p>
    <w:p>
      <w:pPr>
        <w:numPr>
          <w:ilvl w:val="0"/>
          <w:numId w:val="1376"/>
        </w:numPr>
        <w:pStyle w:val="Compact"/>
      </w:pPr>
      <w:r>
        <w:t xml:space="preserve">2014 · Gu N ·</w:t>
      </w:r>
      <w:r>
        <w:t xml:space="preserve"> </w:t>
      </w:r>
      <w:r>
        <w:rPr>
          <w:iCs/>
          <w:i/>
        </w:rPr>
        <w:t xml:space="preserve">Clin Ther</w:t>
      </w:r>
      <w:r>
        <w:t xml:space="preserve"> </w:t>
      </w:r>
      <w:r>
        <w:t xml:space="preserve">· Pharmacokinetic properties and effects of PT302 after repeated oral glucose loading tests in a dose-escalating study. PMID 24373998</w:t>
      </w:r>
    </w:p>
    <w:p>
      <w:pPr>
        <w:numPr>
          <w:ilvl w:val="0"/>
          <w:numId w:val="1376"/>
        </w:numPr>
        <w:pStyle w:val="Compact"/>
      </w:pPr>
      <w:r>
        <w:t xml:space="preserve">2014 · Arakaki RF ·</w:t>
      </w:r>
      <w:r>
        <w:t xml:space="preserve"> </w:t>
      </w:r>
      <w:r>
        <w:rPr>
          <w:iCs/>
          <w:i/>
        </w:rPr>
        <w:t xml:space="preserve">Diabetes Obes Metab</w:t>
      </w:r>
      <w:r>
        <w:t xml:space="preserve"> </w:t>
      </w:r>
      <w:r>
        <w:t xml:space="preserve">· Comparison of insulin lispro protamine suspension versus insulin glargine once daily added to oral antihyperglycaemic medications and exenatide in type 2 diabetes: a prospective randomized open-label trial. PMID 24298995</w:t>
      </w:r>
    </w:p>
    <w:p>
      <w:pPr>
        <w:numPr>
          <w:ilvl w:val="0"/>
          <w:numId w:val="1376"/>
        </w:numPr>
        <w:pStyle w:val="Compact"/>
      </w:pPr>
      <w:r>
        <w:t xml:space="preserve">2014 · Sarkar G ·</w:t>
      </w:r>
      <w:r>
        <w:t xml:space="preserve"> </w:t>
      </w:r>
      <w:r>
        <w:rPr>
          <w:iCs/>
          <w:i/>
        </w:rPr>
        <w:t xml:space="preserve">Diabetes Care</w:t>
      </w:r>
      <w:r>
        <w:t xml:space="preserve"> </w:t>
      </w:r>
      <w:r>
        <w:t xml:space="preserve">· Exenatide treatment for 6 months improves insulin sensitivity in adults with type 1 diabetes. PMID 24194508</w:t>
      </w:r>
    </w:p>
    <w:p>
      <w:pPr>
        <w:numPr>
          <w:ilvl w:val="0"/>
          <w:numId w:val="1376"/>
        </w:numPr>
        <w:pStyle w:val="Compact"/>
      </w:pPr>
      <w:r>
        <w:t xml:space="preserve">2014 · Ghazi T ·</w:t>
      </w:r>
      <w:r>
        <w:t xml:space="preserve"> </w:t>
      </w:r>
      <w:r>
        <w:rPr>
          <w:iCs/>
          <w:i/>
        </w:rPr>
        <w:t xml:space="preserve">Diabetes Care</w:t>
      </w:r>
      <w:r>
        <w:t xml:space="preserve"> </w:t>
      </w:r>
      <w:r>
        <w:t xml:space="preserve">· Acute metabolic effects of exenatide in patients with type 1 diabetes with and without residual insulin to oral and intravenous glucose challenges. PMID 23939544</w:t>
      </w:r>
    </w:p>
    <w:p>
      <w:pPr>
        <w:numPr>
          <w:ilvl w:val="0"/>
          <w:numId w:val="1376"/>
        </w:numPr>
        <w:pStyle w:val="Compact"/>
      </w:pPr>
      <w:r>
        <w:t xml:space="preserve">2014 · Gastaldelli A ·</w:t>
      </w:r>
      <w:r>
        <w:t xml:space="preserve"> </w:t>
      </w:r>
      <w:r>
        <w:rPr>
          <w:iCs/>
          <w:i/>
        </w:rPr>
        <w:t xml:space="preserve">Diabetes Obes Metab</w:t>
      </w:r>
      <w:r>
        <w:t xml:space="preserve"> </w:t>
      </w:r>
      <w:r>
        <w:t xml:space="preserve">· A direct comparison of long- and short-acting GLP-1 receptor agonists (taspoglutide once weekly and exenatide twice daily) on postprandial metabolism after 24 weeks of treatment. PMID 23911196</w:t>
      </w:r>
    </w:p>
    <w:p>
      <w:pPr>
        <w:numPr>
          <w:ilvl w:val="0"/>
          <w:numId w:val="1376"/>
        </w:numPr>
        <w:pStyle w:val="Compact"/>
      </w:pPr>
      <w:r>
        <w:t xml:space="preserve">2014 · Gastaldelli A ·</w:t>
      </w:r>
      <w:r>
        <w:t xml:space="preserve"> </w:t>
      </w:r>
      <w:r>
        <w:rPr>
          <w:iCs/>
          <w:i/>
        </w:rPr>
        <w:t xml:space="preserve">Clin Endocrinol (Oxf)</w:t>
      </w:r>
      <w:r>
        <w:t xml:space="preserve"> </w:t>
      </w:r>
      <w:r>
        <w:t xml:space="preserve">· The effect of chronic twice daily exenatide treatment on β-cell function in new onset type 2 diabetes. PMID 23574529</w:t>
      </w:r>
    </w:p>
    <w:p>
      <w:pPr>
        <w:numPr>
          <w:ilvl w:val="0"/>
          <w:numId w:val="1376"/>
        </w:numPr>
        <w:pStyle w:val="Compact"/>
      </w:pPr>
      <w:r>
        <w:t xml:space="preserve">2013 · Fan H ·</w:t>
      </w:r>
      <w:r>
        <w:t xml:space="preserve"> </w:t>
      </w:r>
      <w:r>
        <w:rPr>
          <w:iCs/>
          <w:i/>
        </w:rPr>
        <w:t xml:space="preserve">Arq Bras Endocrinol Metabol</w:t>
      </w:r>
      <w:r>
        <w:t xml:space="preserve"> </w:t>
      </w:r>
      <w:r>
        <w:t xml:space="preserve">· Exenatide improves type 2 diabetes concomitant with non-alcoholic fatty liver disease. PMID 24402015</w:t>
      </w:r>
    </w:p>
    <w:p>
      <w:pPr>
        <w:numPr>
          <w:ilvl w:val="0"/>
          <w:numId w:val="1376"/>
        </w:numPr>
        <w:pStyle w:val="Compact"/>
      </w:pPr>
      <w:r>
        <w:t xml:space="preserve">2013 · Matyjaszek-Matuszek B ·</w:t>
      </w:r>
      <w:r>
        <w:t xml:space="preserve"> </w:t>
      </w:r>
      <w:r>
        <w:rPr>
          <w:iCs/>
          <w:i/>
        </w:rPr>
        <w:t xml:space="preserve">Endokrynol Pol</w:t>
      </w:r>
      <w:r>
        <w:t xml:space="preserve"> </w:t>
      </w:r>
      <w:r>
        <w:t xml:space="preserve">· Exenatide twice daily versus insulin glargine for the treatment of type 2 diabetes in Poland - subgroup data from a randomised multinational trial GWAA. PMID 24186595</w:t>
      </w:r>
    </w:p>
    <w:p>
      <w:pPr>
        <w:numPr>
          <w:ilvl w:val="0"/>
          <w:numId w:val="1376"/>
        </w:numPr>
        <w:pStyle w:val="Compact"/>
      </w:pPr>
      <w:r>
        <w:t xml:space="preserve">2013 · Grimm M ·</w:t>
      </w:r>
      <w:r>
        <w:t xml:space="preserve"> </w:t>
      </w:r>
      <w:r>
        <w:rPr>
          <w:iCs/>
          <w:i/>
        </w:rPr>
        <w:t xml:space="preserve">Postgrad Med</w:t>
      </w:r>
      <w:r>
        <w:t xml:space="preserve"> </w:t>
      </w:r>
      <w:r>
        <w:t xml:space="preserve">· Exenatide once weekly versus daily basal insulin as add-on treatment to metformin with or without a sulfonylurea: a retrospective pooled analysis in patients with poor glycemic control. PMID 24113668</w:t>
      </w:r>
    </w:p>
    <w:p>
      <w:pPr>
        <w:numPr>
          <w:ilvl w:val="0"/>
          <w:numId w:val="1376"/>
        </w:numPr>
        <w:pStyle w:val="Compact"/>
      </w:pPr>
      <w:r>
        <w:t xml:space="preserve">2013 · Daly SC ·</w:t>
      </w:r>
      <w:r>
        <w:t xml:space="preserve"> </w:t>
      </w:r>
      <w:r>
        <w:rPr>
          <w:iCs/>
          <w:i/>
        </w:rPr>
        <w:t xml:space="preserve">Int J Stroke</w:t>
      </w:r>
      <w:r>
        <w:t xml:space="preserve"> </w:t>
      </w:r>
      <w:r>
        <w:t xml:space="preserve">· Exenatide in acute ischemic stroke. PMID 24024920</w:t>
      </w:r>
    </w:p>
    <w:p>
      <w:pPr>
        <w:numPr>
          <w:ilvl w:val="0"/>
          <w:numId w:val="1376"/>
        </w:numPr>
        <w:pStyle w:val="Compact"/>
      </w:pPr>
      <w:r>
        <w:t xml:space="preserve">2013 · Derosa G ·</w:t>
      </w:r>
      <w:r>
        <w:t xml:space="preserve"> </w:t>
      </w:r>
      <w:r>
        <w:rPr>
          <w:iCs/>
          <w:i/>
        </w:rPr>
        <w:t xml:space="preserve">Can J Physiol Pharmacol</w:t>
      </w:r>
      <w:r>
        <w:t xml:space="preserve"> </w:t>
      </w:r>
      <w:r>
        <w:t xml:space="preserve">· Effects of exenatide and metformin in combination on some adipocytokine levels: a comparison with metformin monotherapy. PMID 23984793</w:t>
      </w:r>
    </w:p>
    <w:p>
      <w:pPr>
        <w:numPr>
          <w:ilvl w:val="0"/>
          <w:numId w:val="1376"/>
        </w:numPr>
        <w:pStyle w:val="Compact"/>
      </w:pPr>
      <w:r>
        <w:t xml:space="preserve">2013 · Woo JS ·</w:t>
      </w:r>
      <w:r>
        <w:t xml:space="preserve"> </w:t>
      </w:r>
      <w:r>
        <w:rPr>
          <w:iCs/>
          <w:i/>
        </w:rPr>
        <w:t xml:space="preserve">Arterioscler Thromb Vasc Biol</w:t>
      </w:r>
      <w:r>
        <w:t xml:space="preserve"> </w:t>
      </w:r>
      <w:r>
        <w:t xml:space="preserve">· Cardioprotective effects of exenatide in patients with ST-segment-elevation myocardial infarction undergoing primary percutaneous coronary intervention: results of exenatide myocardial protection in revascularization study. PMID 23868944</w:t>
      </w:r>
    </w:p>
    <w:p>
      <w:pPr>
        <w:numPr>
          <w:ilvl w:val="0"/>
          <w:numId w:val="1376"/>
        </w:numPr>
        <w:pStyle w:val="Compact"/>
      </w:pPr>
      <w:r>
        <w:t xml:space="preserve">2013 · Malloy J ·</w:t>
      </w:r>
      <w:r>
        <w:t xml:space="preserve"> </w:t>
      </w:r>
      <w:r>
        <w:rPr>
          <w:iCs/>
          <w:i/>
        </w:rPr>
        <w:t xml:space="preserve">Postgrad Med</w:t>
      </w:r>
      <w:r>
        <w:t xml:space="preserve"> </w:t>
      </w:r>
      <w:r>
        <w:t xml:space="preserve">· Efficacy and tolerability of exenatide once weekly versus sitagliptin in patients with type 2 diabetes mellitus: a retrospective analysis of pooled clinical trial data. PMID 23748507</w:t>
      </w:r>
    </w:p>
    <w:p>
      <w:pPr>
        <w:numPr>
          <w:ilvl w:val="0"/>
          <w:numId w:val="1376"/>
        </w:numPr>
        <w:pStyle w:val="Compact"/>
      </w:pPr>
      <w:r>
        <w:t xml:space="preserve">2013 · Grimm M ·</w:t>
      </w:r>
      <w:r>
        <w:t xml:space="preserve"> </w:t>
      </w:r>
      <w:r>
        <w:rPr>
          <w:iCs/>
          <w:i/>
        </w:rPr>
        <w:t xml:space="preserve">Postgrad Med</w:t>
      </w:r>
      <w:r>
        <w:t xml:space="preserve"> </w:t>
      </w:r>
      <w:r>
        <w:t xml:space="preserve">· Efficacy, safety, and tolerability of exenatide once weekly in patients with type 2 diabetes mellitus: an integrated analysis of the DURATION trials. PMID 23748506</w:t>
      </w:r>
    </w:p>
    <w:p>
      <w:pPr>
        <w:numPr>
          <w:ilvl w:val="0"/>
          <w:numId w:val="1376"/>
        </w:numPr>
        <w:pStyle w:val="Compact"/>
      </w:pPr>
      <w:r>
        <w:t xml:space="preserve">2013 · Derosa G ·</w:t>
      </w:r>
      <w:r>
        <w:t xml:space="preserve"> </w:t>
      </w:r>
      <w:r>
        <w:rPr>
          <w:iCs/>
          <w:i/>
        </w:rPr>
        <w:t xml:space="preserve">Pharmacotherapy</w:t>
      </w:r>
      <w:r>
        <w:t xml:space="preserve"> </w:t>
      </w:r>
      <w:r>
        <w:t xml:space="preserve">· Variation in inflammatory markers and glycemic parameters after 12 months of exenatide plus metformin treatment compared with metformin alone: a randomized placebo-controlled trial. PMID 23744726</w:t>
      </w:r>
    </w:p>
    <w:p>
      <w:pPr>
        <w:numPr>
          <w:ilvl w:val="0"/>
          <w:numId w:val="1376"/>
        </w:numPr>
        <w:pStyle w:val="Compact"/>
      </w:pPr>
      <w:r>
        <w:t xml:space="preserve">2013 · Aviles-Olmos I ·</w:t>
      </w:r>
      <w:r>
        <w:t xml:space="preserve"> </w:t>
      </w:r>
      <w:r>
        <w:rPr>
          <w:iCs/>
          <w:i/>
        </w:rPr>
        <w:t xml:space="preserve">J Clin Invest</w:t>
      </w:r>
      <w:r>
        <w:t xml:space="preserve"> </w:t>
      </w:r>
      <w:r>
        <w:t xml:space="preserve">· Exenatide and the treatment of patients with Parkinson’s disease. PMID 23728174</w:t>
      </w:r>
    </w:p>
    <w:p>
      <w:pPr>
        <w:numPr>
          <w:ilvl w:val="0"/>
          <w:numId w:val="1376"/>
        </w:numPr>
        <w:pStyle w:val="Compact"/>
      </w:pPr>
      <w:r>
        <w:t xml:space="preserve">2013 · Liang Z ·</w:t>
      </w:r>
      <w:r>
        <w:t xml:space="preserve"> </w:t>
      </w:r>
      <w:r>
        <w:rPr>
          <w:iCs/>
          <w:i/>
        </w:rPr>
        <w:t xml:space="preserve">Diabetes Res Clin Pract</w:t>
      </w:r>
      <w:r>
        <w:t xml:space="preserve"> </w:t>
      </w:r>
      <w:r>
        <w:t xml:space="preserve">· Effect of laparoscopic Roux-en-Y gastric bypass surgery on type 2 diabetes mellitus with hypertension: a randomized controlled trial. PMID 23706413</w:t>
      </w:r>
    </w:p>
    <w:p>
      <w:pPr>
        <w:numPr>
          <w:ilvl w:val="0"/>
          <w:numId w:val="1376"/>
        </w:numPr>
        <w:pStyle w:val="Compact"/>
      </w:pPr>
      <w:r>
        <w:t xml:space="preserve">2013 · Rosenstock J ·</w:t>
      </w:r>
      <w:r>
        <w:t xml:space="preserve"> </w:t>
      </w:r>
      <w:r>
        <w:rPr>
          <w:iCs/>
          <w:i/>
        </w:rPr>
        <w:t xml:space="preserve">Diabetes Care</w:t>
      </w:r>
      <w:r>
        <w:t xml:space="preserve"> </w:t>
      </w:r>
      <w:r>
        <w:t xml:space="preserve">· Efficacy and safety of lixisenatide once daily versus exenatide twice daily in type 2 diabetes inadequately controlled on metformin: a 24-week, randomized, open-label, active-controlled study (GetGoal-X). PMID 23698396</w:t>
      </w:r>
    </w:p>
    <w:p>
      <w:pPr>
        <w:numPr>
          <w:ilvl w:val="0"/>
          <w:numId w:val="1376"/>
        </w:numPr>
        <w:pStyle w:val="Compact"/>
      </w:pPr>
      <w:r>
        <w:t xml:space="preserve">2013 · Henry RR ·</w:t>
      </w:r>
      <w:r>
        <w:t xml:space="preserve"> </w:t>
      </w:r>
      <w:r>
        <w:rPr>
          <w:iCs/>
          <w:i/>
        </w:rPr>
        <w:t xml:space="preserve">Diabetes Care</w:t>
      </w:r>
      <w:r>
        <w:t xml:space="preserve"> </w:t>
      </w:r>
      <w:r>
        <w:t xml:space="preserve">· Randomized trial of continuous subcutaneous delivery of exenatide by ITCA 650 versus twice-daily exenatide injections in metformin-treated type 2 diabetes. PMID 23645886</w:t>
      </w:r>
    </w:p>
    <w:p>
      <w:pPr>
        <w:numPr>
          <w:ilvl w:val="0"/>
          <w:numId w:val="1376"/>
        </w:numPr>
        <w:pStyle w:val="Compact"/>
      </w:pPr>
      <w:r>
        <w:t xml:space="preserve">2013 · Karagianni P ·</w:t>
      </w:r>
      <w:r>
        <w:t xml:space="preserve"> </w:t>
      </w:r>
      <w:r>
        <w:rPr>
          <w:iCs/>
          <w:i/>
        </w:rPr>
        <w:t xml:space="preserve">Adv Med Sci</w:t>
      </w:r>
      <w:r>
        <w:t xml:space="preserve"> </w:t>
      </w:r>
      <w:r>
        <w:t xml:space="preserve">· Comparative efficacy of exenatide versus insulin glargine on glycemic control in type 2 diabetes mellitus patients inadequately treated with metformin monotherapy. PMID 23640946</w:t>
      </w:r>
    </w:p>
    <w:p>
      <w:pPr>
        <w:numPr>
          <w:ilvl w:val="0"/>
          <w:numId w:val="1376"/>
        </w:numPr>
        <w:pStyle w:val="Compact"/>
      </w:pPr>
      <w:r>
        <w:t xml:space="preserve">2013 · Henry RR ·</w:t>
      </w:r>
      <w:r>
        <w:t xml:space="preserve"> </w:t>
      </w:r>
      <w:r>
        <w:rPr>
          <w:iCs/>
          <w:i/>
        </w:rPr>
        <w:t xml:space="preserve">Clin Ther</w:t>
      </w:r>
      <w:r>
        <w:t xml:space="preserve"> </w:t>
      </w:r>
      <w:r>
        <w:t xml:space="preserve">· A randomized, open-label, multicenter, 4-week study to evaluate the tolerability and pharmacokinetics of ITCA 650 in patients with type 2 diabetes. PMID 23578605</w:t>
      </w:r>
    </w:p>
    <w:p>
      <w:pPr>
        <w:numPr>
          <w:ilvl w:val="0"/>
          <w:numId w:val="1376"/>
        </w:numPr>
        <w:pStyle w:val="Compact"/>
      </w:pPr>
      <w:r>
        <w:t xml:space="preserve">2013 · Meloni AR ·</w:t>
      </w:r>
      <w:r>
        <w:t xml:space="preserve"> </w:t>
      </w:r>
      <w:r>
        <w:rPr>
          <w:iCs/>
          <w:i/>
        </w:rPr>
        <w:t xml:space="preserve">Cardiovasc Diabetol</w:t>
      </w:r>
      <w:r>
        <w:t xml:space="preserve"> </w:t>
      </w:r>
      <w:r>
        <w:t xml:space="preserve">· Treatment of patients with type 2 diabetes with exenatide once weekly versus oral glucose-lowering medications or insulin glargine: achievement of glycemic and cardiovascular goals. PMID 23522121</w:t>
      </w:r>
    </w:p>
    <w:p>
      <w:pPr>
        <w:numPr>
          <w:ilvl w:val="0"/>
          <w:numId w:val="1376"/>
        </w:numPr>
        <w:pStyle w:val="Compact"/>
      </w:pPr>
      <w:r>
        <w:t xml:space="preserve">2013 · Hari Kumar KV ·</w:t>
      </w:r>
      <w:r>
        <w:t xml:space="preserve"> </w:t>
      </w:r>
      <w:r>
        <w:rPr>
          <w:iCs/>
          <w:i/>
        </w:rPr>
        <w:t xml:space="preserve">Diabetes Res Clin Pract</w:t>
      </w:r>
      <w:r>
        <w:t xml:space="preserve"> </w:t>
      </w:r>
      <w:r>
        <w:t xml:space="preserve">· Addition of exenatide or sitagliptin to insulin in new onset type 1 diabetes: a randomized, open label study. PMID 23490599</w:t>
      </w:r>
    </w:p>
    <w:p>
      <w:pPr>
        <w:numPr>
          <w:ilvl w:val="0"/>
          <w:numId w:val="1376"/>
        </w:numPr>
        <w:pStyle w:val="Compact"/>
      </w:pPr>
      <w:r>
        <w:t xml:space="preserve">2013 · Lu CH ·</w:t>
      </w:r>
      <w:r>
        <w:t xml:space="preserve"> </w:t>
      </w:r>
      <w:r>
        <w:rPr>
          <w:iCs/>
          <w:i/>
        </w:rPr>
        <w:t xml:space="preserve">J Formos Med Assoc</w:t>
      </w:r>
      <w:r>
        <w:t xml:space="preserve"> </w:t>
      </w:r>
      <w:r>
        <w:t xml:space="preserve">· Safety and efficacy of twice-daily exenatide in Taiwanese patients with inadequately controlled type 2 diabetes mellitus. PMID 23473527</w:t>
      </w:r>
    </w:p>
    <w:p>
      <w:pPr>
        <w:numPr>
          <w:ilvl w:val="0"/>
          <w:numId w:val="1376"/>
        </w:numPr>
        <w:pStyle w:val="Compact"/>
      </w:pPr>
      <w:r>
        <w:t xml:space="preserve">2013 · Schlögl H ·</w:t>
      </w:r>
      <w:r>
        <w:t xml:space="preserve"> </w:t>
      </w:r>
      <w:r>
        <w:rPr>
          <w:iCs/>
          <w:i/>
        </w:rPr>
        <w:t xml:space="preserve">Diabetes Care</w:t>
      </w:r>
      <w:r>
        <w:t xml:space="preserve"> </w:t>
      </w:r>
      <w:r>
        <w:t xml:space="preserve">· Exenatide-induced reduction in energy intake is associated with increase in hypothalamic connectivity. PMID 23462665</w:t>
      </w:r>
    </w:p>
    <w:p>
      <w:pPr>
        <w:numPr>
          <w:ilvl w:val="0"/>
          <w:numId w:val="1376"/>
        </w:numPr>
        <w:pStyle w:val="Compact"/>
      </w:pPr>
      <w:r>
        <w:t xml:space="preserve">2013 · Kelly AS ·</w:t>
      </w:r>
      <w:r>
        <w:t xml:space="preserve"> </w:t>
      </w:r>
      <w:r>
        <w:rPr>
          <w:iCs/>
          <w:i/>
        </w:rPr>
        <w:t xml:space="preserve">JAMA Pediatr</w:t>
      </w:r>
      <w:r>
        <w:t xml:space="preserve"> </w:t>
      </w:r>
      <w:r>
        <w:t xml:space="preserve">· The effect of glucagon-like peptide-1 receptor agonist therapy on body mass index in adolescents with severe obesity: a randomized, placebo-controlled, clinical trial. PMID 23380890</w:t>
      </w:r>
    </w:p>
    <w:p>
      <w:pPr>
        <w:numPr>
          <w:ilvl w:val="0"/>
          <w:numId w:val="1376"/>
        </w:numPr>
        <w:pStyle w:val="Compact"/>
      </w:pPr>
      <w:r>
        <w:t xml:space="preserve">2013 · Davies M ·</w:t>
      </w:r>
      <w:r>
        <w:t xml:space="preserve"> </w:t>
      </w:r>
      <w:r>
        <w:rPr>
          <w:iCs/>
          <w:i/>
        </w:rPr>
        <w:t xml:space="preserve">Diabetes Care</w:t>
      </w:r>
      <w:r>
        <w:t xml:space="preserve"> </w:t>
      </w:r>
      <w:r>
        <w:t xml:space="preserve">· Once-weekly exenatide versus once- or twice-daily insulin detemir: randomized, open-label, clinical trial of efficacy and safety in patients with type 2 diabetes treated with metformin alone or in combination with sulfonylureas. PMID 23275363</w:t>
      </w:r>
    </w:p>
    <w:p>
      <w:pPr>
        <w:numPr>
          <w:ilvl w:val="0"/>
          <w:numId w:val="1376"/>
        </w:numPr>
        <w:pStyle w:val="Compact"/>
      </w:pPr>
      <w:r>
        <w:t xml:space="preserve">2013 · Buse JB ·</w:t>
      </w:r>
      <w:r>
        <w:t xml:space="preserve"> </w:t>
      </w:r>
      <w:r>
        <w:rPr>
          <w:iCs/>
          <w:i/>
        </w:rPr>
        <w:t xml:space="preserve">Lancet</w:t>
      </w:r>
      <w:r>
        <w:t xml:space="preserve"> </w:t>
      </w:r>
      <w:r>
        <w:t xml:space="preserve">· Exenatide once weekly versus liraglutide once daily in patients with type 2 diabetes (DURATION-6): a randomised, open-label study. PMID 23141817</w:t>
      </w:r>
    </w:p>
    <w:p>
      <w:pPr>
        <w:numPr>
          <w:ilvl w:val="0"/>
          <w:numId w:val="1376"/>
        </w:numPr>
        <w:pStyle w:val="Compact"/>
      </w:pPr>
      <w:r>
        <w:t xml:space="preserve">2013 · Rosenstock J ·</w:t>
      </w:r>
      <w:r>
        <w:t xml:space="preserve"> </w:t>
      </w:r>
      <w:r>
        <w:rPr>
          <w:iCs/>
          <w:i/>
        </w:rPr>
        <w:t xml:space="preserve">Diabetes Care</w:t>
      </w:r>
      <w:r>
        <w:t xml:space="preserve"> </w:t>
      </w:r>
      <w:r>
        <w:t xml:space="preserve">· The fate of taspoglutide, a weekly GLP-1 receptor agonist, versus twice-daily exenatide for type 2 diabetes: the T-emerge 2 trial. PMID 23139373</w:t>
      </w:r>
    </w:p>
    <w:p>
      <w:pPr>
        <w:numPr>
          <w:ilvl w:val="0"/>
          <w:numId w:val="1376"/>
        </w:numPr>
        <w:pStyle w:val="Compact"/>
      </w:pPr>
      <w:r>
        <w:t xml:space="preserve">2013 · Bernink FJ ·</w:t>
      </w:r>
      <w:r>
        <w:t xml:space="preserve"> </w:t>
      </w:r>
      <w:r>
        <w:rPr>
          <w:iCs/>
          <w:i/>
        </w:rPr>
        <w:t xml:space="preserve">Int J Cardiol</w:t>
      </w:r>
      <w:r>
        <w:t xml:space="preserve"> </w:t>
      </w:r>
      <w:r>
        <w:t xml:space="preserve">· Effect of additional treatment with EXenatide in patients with an Acute Myocardial Infarction: the EXAMI study. PMID 23084550</w:t>
      </w:r>
    </w:p>
    <w:p>
      <w:pPr>
        <w:numPr>
          <w:ilvl w:val="0"/>
          <w:numId w:val="1376"/>
        </w:numPr>
        <w:pStyle w:val="Compact"/>
      </w:pPr>
      <w:r>
        <w:t xml:space="preserve">2013 · Darpö B ·</w:t>
      </w:r>
      <w:r>
        <w:t xml:space="preserve"> </w:t>
      </w:r>
      <w:r>
        <w:rPr>
          <w:iCs/>
          <w:i/>
        </w:rPr>
        <w:t xml:space="preserve">Br J Clin Pharmacol</w:t>
      </w:r>
      <w:r>
        <w:t xml:space="preserve"> </w:t>
      </w:r>
      <w:r>
        <w:t xml:space="preserve">· Exenatide at therapeutic and supratherapeutic concentrations does not prolong the QTc interval in healthy subjects. PMID 22882281</w:t>
      </w:r>
    </w:p>
    <w:p>
      <w:pPr>
        <w:numPr>
          <w:ilvl w:val="0"/>
          <w:numId w:val="1376"/>
        </w:numPr>
        <w:pStyle w:val="Compact"/>
      </w:pPr>
      <w:r>
        <w:t xml:space="preserve">2013 · Niswender K ·</w:t>
      </w:r>
      <w:r>
        <w:t xml:space="preserve"> </w:t>
      </w:r>
      <w:r>
        <w:rPr>
          <w:iCs/>
          <w:i/>
        </w:rPr>
        <w:t xml:space="preserve">Diabetes Obes Metab</w:t>
      </w:r>
      <w:r>
        <w:t xml:space="preserve"> </w:t>
      </w:r>
      <w:r>
        <w:t xml:space="preserve">· Weight change with liraglutide and comparator therapies: an analysis of seven phase 3 trials from the liraglutide diabetes development programme. PMID 22862847</w:t>
      </w:r>
    </w:p>
    <w:p>
      <w:pPr>
        <w:numPr>
          <w:ilvl w:val="0"/>
          <w:numId w:val="1376"/>
        </w:numPr>
        <w:pStyle w:val="Compact"/>
      </w:pPr>
      <w:r>
        <w:t xml:space="preserve">2013 · Irace C ·</w:t>
      </w:r>
      <w:r>
        <w:t xml:space="preserve"> </w:t>
      </w:r>
      <w:r>
        <w:rPr>
          <w:iCs/>
          <w:i/>
        </w:rPr>
        <w:t xml:space="preserve">Diab Vasc Dis Res</w:t>
      </w:r>
      <w:r>
        <w:t xml:space="preserve"> </w:t>
      </w:r>
      <w:r>
        <w:t xml:space="preserve">· Exenatide improves endothelial function assessed by flow mediated dilation technique in subjects with type 2 diabetes: results from an observational research. PMID 22732108</w:t>
      </w:r>
    </w:p>
    <w:p>
      <w:pPr>
        <w:numPr>
          <w:ilvl w:val="0"/>
          <w:numId w:val="1376"/>
        </w:numPr>
        <w:pStyle w:val="Compact"/>
      </w:pPr>
      <w:r>
        <w:t xml:space="preserve">2013 · Idris I ·</w:t>
      </w:r>
      <w:r>
        <w:t xml:space="preserve"> </w:t>
      </w:r>
      <w:r>
        <w:rPr>
          <w:iCs/>
          <w:i/>
        </w:rPr>
        <w:t xml:space="preserve">J Sleep Res</w:t>
      </w:r>
      <w:r>
        <w:t xml:space="preserve"> </w:t>
      </w:r>
      <w:r>
        <w:t xml:space="preserve">· Exenatide improves excessive daytime sleepiness and wakefulness in obese patients with type 2 diabetes without obstructive sleep apnoea. PMID 22716195</w:t>
      </w:r>
    </w:p>
    <w:p>
      <w:pPr>
        <w:numPr>
          <w:ilvl w:val="0"/>
          <w:numId w:val="1376"/>
        </w:numPr>
        <w:pStyle w:val="Compact"/>
      </w:pPr>
      <w:r>
        <w:t xml:space="preserve">2012 · Chiquette E ·</w:t>
      </w:r>
      <w:r>
        <w:t xml:space="preserve"> </w:t>
      </w:r>
      <w:r>
        <w:rPr>
          <w:iCs/>
          <w:i/>
        </w:rPr>
        <w:t xml:space="preserve">Vasc Health Risk Manag</w:t>
      </w:r>
      <w:r>
        <w:t xml:space="preserve"> </w:t>
      </w:r>
      <w:r>
        <w:t xml:space="preserve">· Treatment with exenatide once weekly or twice daily for 30 weeks is associated with changes in several cardiovascular risk markers. PMID 23166441</w:t>
      </w:r>
    </w:p>
    <w:p>
      <w:pPr>
        <w:numPr>
          <w:ilvl w:val="0"/>
          <w:numId w:val="1376"/>
        </w:numPr>
        <w:pStyle w:val="Compact"/>
      </w:pPr>
      <w:r>
        <w:t xml:space="preserve">2012 · Shakhmatova EI ·</w:t>
      </w:r>
      <w:r>
        <w:t xml:space="preserve"> </w:t>
      </w:r>
      <w:r>
        <w:rPr>
          <w:iCs/>
          <w:i/>
        </w:rPr>
        <w:t xml:space="preserve">Ross Fiziol Zh Im I M Sechenova</w:t>
      </w:r>
      <w:r>
        <w:t xml:space="preserve"> </w:t>
      </w:r>
      <w:r>
        <w:t xml:space="preserve">· [Exenatide stimulated solute-free water excretion by human kidney]. PMID 23155627</w:t>
      </w:r>
    </w:p>
    <w:p>
      <w:pPr>
        <w:numPr>
          <w:ilvl w:val="0"/>
          <w:numId w:val="1376"/>
        </w:numPr>
        <w:pStyle w:val="Compact"/>
      </w:pPr>
      <w:r>
        <w:t xml:space="preserve">2012 · Norwood P ·</w:t>
      </w:r>
      <w:r>
        <w:t xml:space="preserve"> </w:t>
      </w:r>
      <w:r>
        <w:rPr>
          <w:iCs/>
          <w:i/>
        </w:rPr>
        <w:t xml:space="preserve">Clin Ther</w:t>
      </w:r>
      <w:r>
        <w:t xml:space="preserve"> </w:t>
      </w:r>
      <w:r>
        <w:t xml:space="preserve">· Safety of exenatide once weekly in patients with type 2 diabetes mellitus treated with a thiazolidinedione alone or in combination with metformin for 2 years. PMID 23031623</w:t>
      </w:r>
    </w:p>
    <w:p>
      <w:pPr>
        <w:numPr>
          <w:ilvl w:val="0"/>
          <w:numId w:val="1376"/>
        </w:numPr>
        <w:pStyle w:val="Compact"/>
      </w:pPr>
      <w:r>
        <w:t xml:space="preserve">2012 · Keller J ·</w:t>
      </w:r>
      <w:r>
        <w:t xml:space="preserve"> </w:t>
      </w:r>
      <w:r>
        <w:rPr>
          <w:iCs/>
          <w:i/>
        </w:rPr>
        <w:t xml:space="preserve">Regul Pept</w:t>
      </w:r>
      <w:r>
        <w:t xml:space="preserve"> </w:t>
      </w:r>
      <w:r>
        <w:t xml:space="preserve">· Effect of exenatide on cholecystokinin-induced gallbladder emptying in fasting healthy subjects. PMID 22960288</w:t>
      </w:r>
    </w:p>
    <w:p>
      <w:pPr>
        <w:numPr>
          <w:ilvl w:val="0"/>
          <w:numId w:val="1376"/>
        </w:numPr>
        <w:pStyle w:val="Compact"/>
      </w:pPr>
      <w:r>
        <w:t xml:space="preserve">2012 · Yuan GH ·</w:t>
      </w:r>
      <w:r>
        <w:t xml:space="preserve"> </w:t>
      </w:r>
      <w:r>
        <w:rPr>
          <w:iCs/>
          <w:i/>
        </w:rPr>
        <w:t xml:space="preserve">Chin Med J (Engl)</w:t>
      </w:r>
      <w:r>
        <w:t xml:space="preserve"> </w:t>
      </w:r>
      <w:r>
        <w:t xml:space="preserve">· Efficacy and tolerability of exenatide monotherapy in obese patients with newly diagnosed type 2 diabetes: a randomized, 26 weeks metformin-controlled, parallel-group study. PMID 22931974</w:t>
      </w:r>
    </w:p>
    <w:p>
      <w:pPr>
        <w:numPr>
          <w:ilvl w:val="0"/>
          <w:numId w:val="1376"/>
        </w:numPr>
        <w:pStyle w:val="Compact"/>
      </w:pPr>
      <w:r>
        <w:t xml:space="preserve">2012 · Inagaki N ·</w:t>
      </w:r>
      <w:r>
        <w:t xml:space="preserve"> </w:t>
      </w:r>
      <w:r>
        <w:rPr>
          <w:iCs/>
          <w:i/>
        </w:rPr>
        <w:t xml:space="preserve">Clin Ther</w:t>
      </w:r>
      <w:r>
        <w:t xml:space="preserve"> </w:t>
      </w:r>
      <w:r>
        <w:t xml:space="preserve">· Efficacy and safety profile of exenatide once weekly compared with insulin once daily in Japanese patients with type 2 diabetes treated with oral antidiabetes drug(s): results from a 26-week, randomized, open-label, parallel-group, multicenter, noninferiority study. PMID 22884767</w:t>
      </w:r>
    </w:p>
    <w:p>
      <w:pPr>
        <w:numPr>
          <w:ilvl w:val="0"/>
          <w:numId w:val="1376"/>
        </w:numPr>
        <w:pStyle w:val="Compact"/>
      </w:pPr>
      <w:r>
        <w:t xml:space="preserve">2012 · Bradley DP ·</w:t>
      </w:r>
      <w:r>
        <w:t xml:space="preserve"> </w:t>
      </w:r>
      <w:r>
        <w:rPr>
          <w:iCs/>
          <w:i/>
        </w:rPr>
        <w:t xml:space="preserve">Appl Physiol Nutr Metab</w:t>
      </w:r>
      <w:r>
        <w:t xml:space="preserve"> </w:t>
      </w:r>
      <w:r>
        <w:t xml:space="preserve">· Alterations in energy balance following exenatide administration. PMID 22735035</w:t>
      </w:r>
    </w:p>
    <w:p>
      <w:pPr>
        <w:numPr>
          <w:ilvl w:val="0"/>
          <w:numId w:val="1376"/>
        </w:numPr>
        <w:pStyle w:val="Compact"/>
      </w:pPr>
      <w:r>
        <w:t xml:space="preserve">2012 · Zhang H ·</w:t>
      </w:r>
      <w:r>
        <w:t xml:space="preserve"> </w:t>
      </w:r>
      <w:r>
        <w:rPr>
          <w:iCs/>
          <w:i/>
        </w:rPr>
        <w:t xml:space="preserve">Kidney Blood Press Res</w:t>
      </w:r>
      <w:r>
        <w:t xml:space="preserve"> </w:t>
      </w:r>
      <w:r>
        <w:t xml:space="preserve">· Exenatide reduces urinary transforming growth factor-β1 and type IV collagen excretion in patients with type 2 diabetes and microalbuminuria. PMID 22687869</w:t>
      </w:r>
    </w:p>
    <w:p>
      <w:pPr>
        <w:numPr>
          <w:ilvl w:val="0"/>
          <w:numId w:val="1376"/>
        </w:numPr>
        <w:pStyle w:val="Compact"/>
      </w:pPr>
      <w:r>
        <w:t xml:space="preserve">2012 · Gallwitz B ·</w:t>
      </w:r>
      <w:r>
        <w:t xml:space="preserve"> </w:t>
      </w:r>
      <w:r>
        <w:rPr>
          <w:iCs/>
          <w:i/>
        </w:rPr>
        <w:t xml:space="preserve">Lancet</w:t>
      </w:r>
      <w:r>
        <w:t xml:space="preserve"> </w:t>
      </w:r>
      <w:r>
        <w:t xml:space="preserve">· Exenatide twice daily versus glimepiride for prevention of glycaemic deterioration in patients with type 2 diabetes with metformin failure (EUREXA): an open-label, randomised controlled trial. PMID 22683137</w:t>
      </w:r>
    </w:p>
    <w:p>
      <w:pPr>
        <w:numPr>
          <w:ilvl w:val="0"/>
          <w:numId w:val="1376"/>
        </w:numPr>
        <w:pStyle w:val="Compact"/>
      </w:pPr>
      <w:r>
        <w:t xml:space="preserve">2012 · Kelly AS ·</w:t>
      </w:r>
      <w:r>
        <w:t xml:space="preserve"> </w:t>
      </w:r>
      <w:r>
        <w:rPr>
          <w:iCs/>
          <w:i/>
        </w:rPr>
        <w:t xml:space="preserve">Cardiovasc Diabetol</w:t>
      </w:r>
      <w:r>
        <w:t xml:space="preserve"> </w:t>
      </w:r>
      <w:r>
        <w:t xml:space="preserve">· Effects of exenatide vs. metformin on endothelial function in obese patients with pre-diabetes: a randomized trial. PMID 22681705</w:t>
      </w:r>
    </w:p>
    <w:p>
      <w:pPr>
        <w:numPr>
          <w:ilvl w:val="0"/>
          <w:numId w:val="1376"/>
        </w:numPr>
        <w:pStyle w:val="Compact"/>
      </w:pPr>
      <w:r>
        <w:t xml:space="preserve">2012 · Iványi T ·</w:t>
      </w:r>
      <w:r>
        <w:t xml:space="preserve"> </w:t>
      </w:r>
      <w:r>
        <w:rPr>
          <w:iCs/>
          <w:i/>
        </w:rPr>
        <w:t xml:space="preserve">Clin Ther</w:t>
      </w:r>
      <w:r>
        <w:t xml:space="preserve"> </w:t>
      </w:r>
      <w:r>
        <w:t xml:space="preserve">· Long-term effects of adding exenatide to a regimen of metformin and/or sulfonylurea in type 2 diabetes: an uncontrolled, open-label trial in Hungary. PMID 22608106</w:t>
      </w:r>
    </w:p>
    <w:p>
      <w:pPr>
        <w:numPr>
          <w:ilvl w:val="0"/>
          <w:numId w:val="1376"/>
        </w:numPr>
        <w:pStyle w:val="Compact"/>
      </w:pPr>
      <w:r>
        <w:t xml:space="preserve">2012 · Gejl M ·</w:t>
      </w:r>
      <w:r>
        <w:t xml:space="preserve"> </w:t>
      </w:r>
      <w:r>
        <w:rPr>
          <w:iCs/>
          <w:i/>
        </w:rPr>
        <w:t xml:space="preserve">J Clin Endocrinol Metab</w:t>
      </w:r>
      <w:r>
        <w:t xml:space="preserve"> </w:t>
      </w:r>
      <w:r>
        <w:t xml:space="preserve">· Exenatide alters myocardial glucose transport and uptake depending on insulin resistance and increases myocardial blood flow in patients with type 2 diabetes. PMID 22544917</w:t>
      </w:r>
    </w:p>
    <w:p>
      <w:pPr>
        <w:numPr>
          <w:ilvl w:val="0"/>
          <w:numId w:val="1376"/>
        </w:numPr>
        <w:pStyle w:val="Compact"/>
      </w:pPr>
      <w:r>
        <w:t xml:space="preserve">2012 · Derosa G ·</w:t>
      </w:r>
      <w:r>
        <w:t xml:space="preserve"> </w:t>
      </w:r>
      <w:r>
        <w:rPr>
          <w:iCs/>
          <w:i/>
        </w:rPr>
        <w:t xml:space="preserve">Diabet Med</w:t>
      </w:r>
      <w:r>
        <w:t xml:space="preserve"> </w:t>
      </w:r>
      <w:r>
        <w:t xml:space="preserve">· Exenatide plus metformin compared with metformin alone on β-cell function in patients with Type 2 diabetes. PMID 22540883</w:t>
      </w:r>
    </w:p>
    <w:p>
      <w:pPr>
        <w:numPr>
          <w:ilvl w:val="0"/>
          <w:numId w:val="1376"/>
        </w:numPr>
        <w:pStyle w:val="Compact"/>
      </w:pPr>
      <w:r>
        <w:t xml:space="preserve">2012 · Paul S ·</w:t>
      </w:r>
      <w:r>
        <w:t xml:space="preserve"> </w:t>
      </w:r>
      <w:r>
        <w:rPr>
          <w:iCs/>
          <w:i/>
        </w:rPr>
        <w:t xml:space="preserve">Diabetes Obes Metab</w:t>
      </w:r>
      <w:r>
        <w:t xml:space="preserve"> </w:t>
      </w:r>
      <w:r>
        <w:t xml:space="preserve">· Effects of HbA1c and weight reduction on blood pressure in patients with type 2 diabetes mellitus treated with exenatide*. PMID 22510305</w:t>
      </w:r>
    </w:p>
    <w:p>
      <w:pPr>
        <w:numPr>
          <w:ilvl w:val="0"/>
          <w:numId w:val="1376"/>
        </w:numPr>
        <w:pStyle w:val="Compact"/>
      </w:pPr>
      <w:r>
        <w:t xml:space="preserve">2012 · Lønborg J ·</w:t>
      </w:r>
      <w:r>
        <w:t xml:space="preserve"> </w:t>
      </w:r>
      <w:r>
        <w:rPr>
          <w:iCs/>
          <w:i/>
        </w:rPr>
        <w:t xml:space="preserve">Circ Cardiovasc Interv</w:t>
      </w:r>
      <w:r>
        <w:t xml:space="preserve"> </w:t>
      </w:r>
      <w:r>
        <w:t xml:space="preserve">· Exenatide reduces final infarct size in patients with ST-segment-elevation myocardial infarction and short-duration of ischemia. PMID 22496084</w:t>
      </w:r>
    </w:p>
    <w:p>
      <w:pPr>
        <w:numPr>
          <w:ilvl w:val="0"/>
          <w:numId w:val="1376"/>
        </w:numPr>
        <w:pStyle w:val="Compact"/>
      </w:pPr>
      <w:r>
        <w:t xml:space="preserve">2012 · Xiao C ·</w:t>
      </w:r>
      <w:r>
        <w:t xml:space="preserve"> </w:t>
      </w:r>
      <w:r>
        <w:rPr>
          <w:iCs/>
          <w:i/>
        </w:rPr>
        <w:t xml:space="preserve">Arterioscler Thromb Vasc Biol</w:t>
      </w:r>
      <w:r>
        <w:t xml:space="preserve"> </w:t>
      </w:r>
      <w:r>
        <w:t xml:space="preserve">· Exenatide, a glucagon-like peptide-1 receptor agonist, acutely inhibits intestinal lipoprotein production in healthy humans. PMID 22492091</w:t>
      </w:r>
    </w:p>
    <w:p>
      <w:pPr>
        <w:numPr>
          <w:ilvl w:val="0"/>
          <w:numId w:val="1376"/>
        </w:numPr>
        <w:pStyle w:val="Compact"/>
      </w:pPr>
      <w:r>
        <w:t xml:space="preserve">2012 · Rosenstock J ·</w:t>
      </w:r>
      <w:r>
        <w:t xml:space="preserve"> </w:t>
      </w:r>
      <w:r>
        <w:rPr>
          <w:iCs/>
          <w:i/>
        </w:rPr>
        <w:t xml:space="preserve">Diabetes Care</w:t>
      </w:r>
      <w:r>
        <w:t xml:space="preserve"> </w:t>
      </w:r>
      <w:r>
        <w:t xml:space="preserve">· Baseline factors associated with glycemic control and weight loss when exenatide twice daily is added to optimized insulin glargine in patients with type 2 diabetes. PMID 22432107</w:t>
      </w:r>
    </w:p>
    <w:p>
      <w:pPr>
        <w:numPr>
          <w:ilvl w:val="0"/>
          <w:numId w:val="1376"/>
        </w:numPr>
        <w:pStyle w:val="Compact"/>
      </w:pPr>
      <w:r>
        <w:t xml:space="preserve">2012 · Kothare PA ·</w:t>
      </w:r>
      <w:r>
        <w:t xml:space="preserve"> </w:t>
      </w:r>
      <w:r>
        <w:rPr>
          <w:iCs/>
          <w:i/>
        </w:rPr>
        <w:t xml:space="preserve">BMC Clin Pharmacol</w:t>
      </w:r>
      <w:r>
        <w:t xml:space="preserve"> </w:t>
      </w:r>
      <w:r>
        <w:t xml:space="preserve">· Effect of exenatide on the pharmacokinetics of a combination oral contraceptive in healthy women: an open-label, randomised, crossover trial. PMID 22429273</w:t>
      </w:r>
    </w:p>
    <w:p>
      <w:pPr>
        <w:numPr>
          <w:ilvl w:val="0"/>
          <w:numId w:val="1376"/>
        </w:numPr>
        <w:pStyle w:val="Compact"/>
      </w:pPr>
      <w:r>
        <w:t xml:space="preserve">2012 · Violante R ·</w:t>
      </w:r>
      <w:r>
        <w:t xml:space="preserve"> </w:t>
      </w:r>
      <w:r>
        <w:rPr>
          <w:iCs/>
          <w:i/>
        </w:rPr>
        <w:t xml:space="preserve">Diabet Med</w:t>
      </w:r>
      <w:r>
        <w:t xml:space="preserve"> </w:t>
      </w:r>
      <w:r>
        <w:t xml:space="preserve">· A randomized non-inferiority study comparing the addition of exenatide twice daily to sitagliptin or switching from sitagliptin to exenatide twice daily in patients with type 2 diabetes experiencing inadequate glycaemic control on metformin and sitagliptin. PMID 22375612</w:t>
      </w:r>
    </w:p>
    <w:p>
      <w:pPr>
        <w:numPr>
          <w:ilvl w:val="0"/>
          <w:numId w:val="1376"/>
        </w:numPr>
        <w:pStyle w:val="Compact"/>
      </w:pPr>
      <w:r>
        <w:t xml:space="preserve">2012 · Diamant M ·</w:t>
      </w:r>
      <w:r>
        <w:t xml:space="preserve"> </w:t>
      </w:r>
      <w:r>
        <w:rPr>
          <w:iCs/>
          <w:i/>
        </w:rPr>
        <w:t xml:space="preserve">Diabetes Care</w:t>
      </w:r>
      <w:r>
        <w:t xml:space="preserve"> </w:t>
      </w:r>
      <w:r>
        <w:t xml:space="preserve">· Safety and efficacy of once-weekly exenatide compared with insulin glargine titrated to target in patients with type 2 diabetes over 84 weeks. PMID 22357185</w:t>
      </w:r>
    </w:p>
    <w:p>
      <w:pPr>
        <w:numPr>
          <w:ilvl w:val="0"/>
          <w:numId w:val="1376"/>
        </w:numPr>
        <w:pStyle w:val="Compact"/>
      </w:pPr>
      <w:r>
        <w:t xml:space="preserve">2012 · Yoon SB ·</w:t>
      </w:r>
      <w:r>
        <w:t xml:space="preserve"> </w:t>
      </w:r>
      <w:r>
        <w:rPr>
          <w:iCs/>
          <w:i/>
        </w:rPr>
        <w:t xml:space="preserve">Digestion</w:t>
      </w:r>
      <w:r>
        <w:t xml:space="preserve"> </w:t>
      </w:r>
      <w:r>
        <w:t xml:space="preserve">· The effect of exenatide and erythromycin on postprandial symptoms and their relation to gastric functions. PMID 22354133</w:t>
      </w:r>
    </w:p>
    <w:p>
      <w:pPr>
        <w:numPr>
          <w:ilvl w:val="0"/>
          <w:numId w:val="1376"/>
        </w:numPr>
        <w:pStyle w:val="Compact"/>
      </w:pPr>
      <w:r>
        <w:t xml:space="preserve">2012 · Shi S ·</w:t>
      </w:r>
      <w:r>
        <w:t xml:space="preserve"> </w:t>
      </w:r>
      <w:r>
        <w:rPr>
          <w:iCs/>
          <w:i/>
        </w:rPr>
        <w:t xml:space="preserve">Arzneimittelforschung</w:t>
      </w:r>
      <w:r>
        <w:t xml:space="preserve"> </w:t>
      </w:r>
      <w:r>
        <w:t xml:space="preserve">· Pharmacokinetics, pharmacodynamics, and tolerability of a generic formulation of exenatide: a randomized, open-label, single- and multiple-dose study in healthy Chinese volunteers. PMID 22344551</w:t>
      </w:r>
    </w:p>
    <w:p>
      <w:pPr>
        <w:numPr>
          <w:ilvl w:val="0"/>
          <w:numId w:val="1376"/>
        </w:numPr>
        <w:pStyle w:val="Compact"/>
      </w:pPr>
      <w:r>
        <w:t xml:space="preserve">2012 · Mendis B ·</w:t>
      </w:r>
      <w:r>
        <w:t xml:space="preserve"> </w:t>
      </w:r>
      <w:r>
        <w:rPr>
          <w:iCs/>
          <w:i/>
        </w:rPr>
        <w:t xml:space="preserve">Br J Clin Pharmacol</w:t>
      </w:r>
      <w:r>
        <w:t xml:space="preserve"> </w:t>
      </w:r>
      <w:r>
        <w:t xml:space="preserve">· Investigation of the haemodynamic effects of exenatide in healthy male subjects. PMID 22320349</w:t>
      </w:r>
    </w:p>
    <w:p>
      <w:pPr>
        <w:numPr>
          <w:ilvl w:val="0"/>
          <w:numId w:val="1376"/>
        </w:numPr>
        <w:pStyle w:val="Compact"/>
      </w:pPr>
      <w:r>
        <w:t xml:space="preserve">2012 · Nathanson D ·</w:t>
      </w:r>
      <w:r>
        <w:t xml:space="preserve"> </w:t>
      </w:r>
      <w:r>
        <w:rPr>
          <w:iCs/>
          <w:i/>
        </w:rPr>
        <w:t xml:space="preserve">Diabetologia</w:t>
      </w:r>
      <w:r>
        <w:t xml:space="preserve"> </w:t>
      </w:r>
      <w:r>
        <w:t xml:space="preserve">· Effects of intravenous exenatide in type 2 diabetic patients with congestive heart failure: a double-blind, randomised controlled clinical trial of efficacy and safety. PMID 22246377</w:t>
      </w:r>
    </w:p>
    <w:p>
      <w:pPr>
        <w:numPr>
          <w:ilvl w:val="0"/>
          <w:numId w:val="1376"/>
        </w:numPr>
        <w:pStyle w:val="Compact"/>
      </w:pPr>
      <w:r>
        <w:t xml:space="preserve">2012 · Levin P ·</w:t>
      </w:r>
      <w:r>
        <w:t xml:space="preserve"> </w:t>
      </w:r>
      <w:r>
        <w:rPr>
          <w:iCs/>
          <w:i/>
        </w:rPr>
        <w:t xml:space="preserve">Curr Med Res Opin</w:t>
      </w:r>
      <w:r>
        <w:t xml:space="preserve"> </w:t>
      </w:r>
      <w:r>
        <w:t xml:space="preserve">· Combination therapy with insulin glargine and exenatide: real-world outcomes in patients with type 2 diabetes. PMID 22216894</w:t>
      </w:r>
    </w:p>
    <w:p>
      <w:pPr>
        <w:numPr>
          <w:ilvl w:val="0"/>
          <w:numId w:val="1376"/>
        </w:numPr>
        <w:pStyle w:val="Compact"/>
      </w:pPr>
      <w:r>
        <w:t xml:space="preserve">2012 · Russell-Jones D ·</w:t>
      </w:r>
      <w:r>
        <w:t xml:space="preserve"> </w:t>
      </w:r>
      <w:r>
        <w:rPr>
          <w:iCs/>
          <w:i/>
        </w:rPr>
        <w:t xml:space="preserve">Diabetes Care</w:t>
      </w:r>
      <w:r>
        <w:t xml:space="preserve"> </w:t>
      </w:r>
      <w:r>
        <w:t xml:space="preserve">· Efficacy and safety of exenatide once weekly versus metformin, pioglitazone, and sitagliptin used as monotherapy in drug-naive patients with type 2 diabetes (DURATION-4): a 26-week double-blind study. PMID 22210563</w:t>
      </w:r>
    </w:p>
    <w:p>
      <w:pPr>
        <w:numPr>
          <w:ilvl w:val="0"/>
          <w:numId w:val="1376"/>
        </w:numPr>
        <w:pStyle w:val="Compact"/>
      </w:pPr>
      <w:r>
        <w:t xml:space="preserve">2012 · Pujante Alarcón P ·</w:t>
      </w:r>
      <w:r>
        <w:t xml:space="preserve"> </w:t>
      </w:r>
      <w:r>
        <w:rPr>
          <w:iCs/>
          <w:i/>
        </w:rPr>
        <w:t xml:space="preserve">Med Clin (Barc)</w:t>
      </w:r>
      <w:r>
        <w:t xml:space="preserve"> </w:t>
      </w:r>
      <w:r>
        <w:t xml:space="preserve">· [Metabolic control and weight loss in patients with obesity and type 2 diabetes mellitus, treated with exenatide]. PMID 22209597</w:t>
      </w:r>
    </w:p>
    <w:p>
      <w:pPr>
        <w:numPr>
          <w:ilvl w:val="0"/>
          <w:numId w:val="1376"/>
        </w:numPr>
        <w:pStyle w:val="Compact"/>
      </w:pPr>
      <w:r>
        <w:t xml:space="preserve">2012 · Ha SJ ·</w:t>
      </w:r>
      <w:r>
        <w:t xml:space="preserve"> </w:t>
      </w:r>
      <w:r>
        <w:rPr>
          <w:iCs/>
          <w:i/>
        </w:rPr>
        <w:t xml:space="preserve">Arterioscler Thromb Vasc Biol</w:t>
      </w:r>
      <w:r>
        <w:t xml:space="preserve"> </w:t>
      </w:r>
      <w:r>
        <w:t xml:space="preserve">· Preventive effects of exenatide on endothelial dysfunction induced by ischemia-reperfusion injury via KATP channels. PMID 22155457</w:t>
      </w:r>
    </w:p>
    <w:p>
      <w:pPr>
        <w:numPr>
          <w:ilvl w:val="0"/>
          <w:numId w:val="1376"/>
        </w:numPr>
        <w:pStyle w:val="Compact"/>
      </w:pPr>
      <w:r>
        <w:t xml:space="preserve">2012 · Kelly AS ·</w:t>
      </w:r>
      <w:r>
        <w:t xml:space="preserve"> </w:t>
      </w:r>
      <w:r>
        <w:rPr>
          <w:iCs/>
          <w:i/>
        </w:rPr>
        <w:t xml:space="preserve">Obesity (Silver Spring)</w:t>
      </w:r>
      <w:r>
        <w:t xml:space="preserve"> </w:t>
      </w:r>
      <w:r>
        <w:t xml:space="preserve">· Exenatide as a weight-loss therapy in extreme pediatric obesity: a randomized, controlled pilot study. PMID 22076596</w:t>
      </w:r>
    </w:p>
    <w:p>
      <w:pPr>
        <w:numPr>
          <w:ilvl w:val="0"/>
          <w:numId w:val="1376"/>
        </w:numPr>
        <w:pStyle w:val="Compact"/>
      </w:pPr>
      <w:r>
        <w:t xml:space="preserve">2012 · Dushay J ·</w:t>
      </w:r>
      <w:r>
        <w:t xml:space="preserve"> </w:t>
      </w:r>
      <w:r>
        <w:rPr>
          <w:iCs/>
          <w:i/>
        </w:rPr>
        <w:t xml:space="preserve">Diabetes Care</w:t>
      </w:r>
      <w:r>
        <w:t xml:space="preserve"> </w:t>
      </w:r>
      <w:r>
        <w:t xml:space="preserve">· Short-term exenatide treatment leads to significant weight loss in a subset of obese women without diabetes. PMID 22040840</w:t>
      </w:r>
    </w:p>
    <w:p>
      <w:pPr>
        <w:numPr>
          <w:ilvl w:val="0"/>
          <w:numId w:val="1376"/>
        </w:numPr>
        <w:pStyle w:val="Compact"/>
      </w:pPr>
      <w:r>
        <w:t xml:space="preserve">2012 · Chaudhuri A ·</w:t>
      </w:r>
      <w:r>
        <w:t xml:space="preserve"> </w:t>
      </w:r>
      <w:r>
        <w:rPr>
          <w:iCs/>
          <w:i/>
        </w:rPr>
        <w:t xml:space="preserve">J Clin Endocrinol Metab</w:t>
      </w:r>
      <w:r>
        <w:t xml:space="preserve"> </w:t>
      </w:r>
      <w:r>
        <w:t xml:space="preserve">· Exenatide exerts a potent antiinflammatory effect. PMID 22013105</w:t>
      </w:r>
    </w:p>
    <w:p>
      <w:pPr>
        <w:numPr>
          <w:ilvl w:val="0"/>
          <w:numId w:val="1376"/>
        </w:numPr>
        <w:pStyle w:val="Compact"/>
      </w:pPr>
      <w:r>
        <w:t xml:space="preserve">2012 · Lønborg J ·</w:t>
      </w:r>
      <w:r>
        <w:t xml:space="preserve"> </w:t>
      </w:r>
      <w:r>
        <w:rPr>
          <w:iCs/>
          <w:i/>
        </w:rPr>
        <w:t xml:space="preserve">Eur Heart J</w:t>
      </w:r>
      <w:r>
        <w:t xml:space="preserve"> </w:t>
      </w:r>
      <w:r>
        <w:t xml:space="preserve">· Exenatide reduces reperfusion injury in patients with ST-segment elevation myocardial infarction. PMID 21920963</w:t>
      </w:r>
    </w:p>
    <w:p>
      <w:pPr>
        <w:numPr>
          <w:ilvl w:val="0"/>
          <w:numId w:val="1376"/>
        </w:numPr>
        <w:pStyle w:val="Compact"/>
      </w:pPr>
      <w:r>
        <w:t xml:space="preserve">2011 · Bergenstal RM ·</w:t>
      </w:r>
      <w:r>
        <w:t xml:space="preserve"> </w:t>
      </w:r>
      <w:r>
        <w:rPr>
          <w:iCs/>
          <w:i/>
        </w:rPr>
        <w:t xml:space="preserve">Curr Med Res Opin</w:t>
      </w:r>
      <w:r>
        <w:t xml:space="preserve"> </w:t>
      </w:r>
      <w:r>
        <w:t xml:space="preserve">· Exenatide BID Observational Study (ExOS): results for primary and secondary endpoints of a prospective research study to evaluate the clinical effectiveness of exenatide BID use in patients with type 2 diabetes in a real-world setting. PMID 22085180</w:t>
      </w:r>
    </w:p>
    <w:p>
      <w:pPr>
        <w:numPr>
          <w:ilvl w:val="0"/>
          <w:numId w:val="1376"/>
        </w:numPr>
        <w:pStyle w:val="Compact"/>
      </w:pPr>
      <w:r>
        <w:t xml:space="preserve">2011 · Scholte M ·</w:t>
      </w:r>
      <w:r>
        <w:t xml:space="preserve"> </w:t>
      </w:r>
      <w:r>
        <w:rPr>
          <w:iCs/>
          <w:i/>
        </w:rPr>
        <w:t xml:space="preserve">Trials</w:t>
      </w:r>
      <w:r>
        <w:t xml:space="preserve"> </w:t>
      </w:r>
      <w:r>
        <w:t xml:space="preserve">· Effect of additional treatment with EXenatide in patients with an Acute Myocardial Infarction (EXAMI): study protocol for a randomized controlled trial. PMID 22067476</w:t>
      </w:r>
    </w:p>
    <w:p>
      <w:pPr>
        <w:numPr>
          <w:ilvl w:val="0"/>
          <w:numId w:val="1376"/>
        </w:numPr>
        <w:pStyle w:val="Compact"/>
      </w:pPr>
      <w:r>
        <w:t xml:space="preserve">2011 · Linnebjerg H ·</w:t>
      </w:r>
      <w:r>
        <w:t xml:space="preserve"> </w:t>
      </w:r>
      <w:r>
        <w:rPr>
          <w:iCs/>
          <w:i/>
        </w:rPr>
        <w:t xml:space="preserve">Int J Clin Pharmacol Ther</w:t>
      </w:r>
      <w:r>
        <w:t xml:space="preserve"> </w:t>
      </w:r>
      <w:r>
        <w:t xml:space="preserve">· A thorough QT study to evaluate the effects of singledose exenatide 10 μg on cardiac repolarization in healthy subjects. PMID 21961484</w:t>
      </w:r>
    </w:p>
    <w:p>
      <w:pPr>
        <w:numPr>
          <w:ilvl w:val="0"/>
          <w:numId w:val="1376"/>
        </w:numPr>
        <w:pStyle w:val="Compact"/>
      </w:pPr>
      <w:r>
        <w:t xml:space="preserve">2011 · Samson SL ·</w:t>
      </w:r>
      <w:r>
        <w:t xml:space="preserve"> </w:t>
      </w:r>
      <w:r>
        <w:rPr>
          <w:iCs/>
          <w:i/>
        </w:rPr>
        <w:t xml:space="preserve">Diabetologia</w:t>
      </w:r>
      <w:r>
        <w:t xml:space="preserve"> </w:t>
      </w:r>
      <w:r>
        <w:t xml:space="preserve">· Exenatide decreases hepatic fibroblast growth factor 21 resistance in non-alcoholic fatty liver disease in a mouse model of obesity and in a randomised controlled trial. PMID 21956711</w:t>
      </w:r>
    </w:p>
    <w:p>
      <w:pPr>
        <w:numPr>
          <w:ilvl w:val="0"/>
          <w:numId w:val="1376"/>
        </w:numPr>
        <w:pStyle w:val="Compact"/>
      </w:pPr>
      <w:r>
        <w:t xml:space="preserve">2011 · Bunck MC ·</w:t>
      </w:r>
      <w:r>
        <w:t xml:space="preserve"> </w:t>
      </w:r>
      <w:r>
        <w:rPr>
          <w:iCs/>
          <w:i/>
        </w:rPr>
        <w:t xml:space="preserve">Diabetes Care</w:t>
      </w:r>
      <w:r>
        <w:t xml:space="preserve"> </w:t>
      </w:r>
      <w:r>
        <w:t xml:space="preserve">· Effects of exenatide on measures of β-cell function after 3 years in metformin-treated patients with type 2 diabetes. PMID 21868779</w:t>
      </w:r>
    </w:p>
    <w:p>
      <w:pPr>
        <w:numPr>
          <w:ilvl w:val="0"/>
          <w:numId w:val="1376"/>
        </w:numPr>
        <w:pStyle w:val="Compact"/>
      </w:pPr>
      <w:r>
        <w:t xml:space="preserve">2011 · Irace C ·</w:t>
      </w:r>
      <w:r>
        <w:t xml:space="preserve"> </w:t>
      </w:r>
      <w:r>
        <w:rPr>
          <w:iCs/>
          <w:i/>
        </w:rPr>
        <w:t xml:space="preserve">Diabetes Technol Ther</w:t>
      </w:r>
      <w:r>
        <w:t xml:space="preserve"> </w:t>
      </w:r>
      <w:r>
        <w:t xml:space="preserve">· Exenatide improves glycemic variability assessed by continuous glucose monitoring in subjects with type 2 diabetes. PMID 21751893</w:t>
      </w:r>
    </w:p>
    <w:p>
      <w:pPr>
        <w:numPr>
          <w:ilvl w:val="0"/>
          <w:numId w:val="1376"/>
        </w:numPr>
        <w:pStyle w:val="Compact"/>
      </w:pPr>
      <w:r>
        <w:t xml:space="preserve">2011 · Sathyanarayana P ·</w:t>
      </w:r>
      <w:r>
        <w:t xml:space="preserve"> </w:t>
      </w:r>
      <w:r>
        <w:rPr>
          <w:iCs/>
          <w:i/>
        </w:rPr>
        <w:t xml:space="preserve">Obesity (Silver Spring)</w:t>
      </w:r>
      <w:r>
        <w:t xml:space="preserve"> </w:t>
      </w:r>
      <w:r>
        <w:t xml:space="preserve">· Effects of combined exenatide and pioglitazone therapy on hepatic fat content in type 2 diabetes. PMID 21660077</w:t>
      </w:r>
    </w:p>
    <w:p>
      <w:pPr>
        <w:numPr>
          <w:ilvl w:val="0"/>
          <w:numId w:val="1376"/>
        </w:numPr>
        <w:pStyle w:val="Compact"/>
      </w:pPr>
      <w:r>
        <w:t xml:space="preserve">2011 · Derosa G ·</w:t>
      </w:r>
      <w:r>
        <w:t xml:space="preserve"> </w:t>
      </w:r>
      <w:r>
        <w:rPr>
          <w:iCs/>
          <w:i/>
        </w:rPr>
        <w:t xml:space="preserve">Eur J Pharmacol</w:t>
      </w:r>
      <w:r>
        <w:t xml:space="preserve"> </w:t>
      </w:r>
      <w:r>
        <w:t xml:space="preserve">· Exenatide or glimepiride added to metformin on metabolic control and on insulin resistance in type 2 diabetic patients. PMID 21645507</w:t>
      </w:r>
    </w:p>
    <w:p>
      <w:pPr>
        <w:numPr>
          <w:ilvl w:val="0"/>
          <w:numId w:val="1376"/>
        </w:numPr>
        <w:pStyle w:val="Compact"/>
      </w:pPr>
      <w:r>
        <w:t xml:space="preserve">2011 · Sze L ·</w:t>
      </w:r>
      <w:r>
        <w:t xml:space="preserve"> </w:t>
      </w:r>
      <w:r>
        <w:rPr>
          <w:iCs/>
          <w:i/>
        </w:rPr>
        <w:t xml:space="preserve">J Clin Endocrinol Metab</w:t>
      </w:r>
      <w:r>
        <w:t xml:space="preserve"> </w:t>
      </w:r>
      <w:r>
        <w:t xml:space="preserve">· Effects of a single dose of exenatide on appetite, gut hormones, and glucose homeostasis in adults with Prader-Willi syndrome. PMID 21632815</w:t>
      </w:r>
    </w:p>
    <w:p>
      <w:pPr>
        <w:numPr>
          <w:ilvl w:val="0"/>
          <w:numId w:val="1376"/>
        </w:numPr>
        <w:pStyle w:val="Compact"/>
      </w:pPr>
      <w:r>
        <w:t xml:space="preserve">2011 · Berg JK ·</w:t>
      </w:r>
      <w:r>
        <w:t xml:space="preserve"> </w:t>
      </w:r>
      <w:r>
        <w:rPr>
          <w:iCs/>
          <w:i/>
        </w:rPr>
        <w:t xml:space="preserve">Diabetes Obes Metab</w:t>
      </w:r>
      <w:r>
        <w:t xml:space="preserve"> </w:t>
      </w:r>
      <w:r>
        <w:t xml:space="preserve">· Effects of exenatide twice daily versus sitagliptin on 24-h glucose, glucoregulatory and hormonal measures: a randomized, double-blind, crossover study. PMID 21615670</w:t>
      </w:r>
    </w:p>
    <w:p>
      <w:pPr>
        <w:numPr>
          <w:ilvl w:val="0"/>
          <w:numId w:val="1376"/>
        </w:numPr>
        <w:pStyle w:val="Compact"/>
      </w:pPr>
      <w:r>
        <w:t xml:space="preserve">2011 · Grant P ·</w:t>
      </w:r>
      <w:r>
        <w:t xml:space="preserve"> </w:t>
      </w:r>
      <w:r>
        <w:rPr>
          <w:iCs/>
          <w:i/>
        </w:rPr>
        <w:t xml:space="preserve">J Diabetes Complications</w:t>
      </w:r>
      <w:r>
        <w:t xml:space="preserve"> </w:t>
      </w:r>
      <w:r>
        <w:t xml:space="preserve">· Psychological and quality of life changes in patients using GLP-1 analogues. PMID 21601480</w:t>
      </w:r>
    </w:p>
    <w:p>
      <w:pPr>
        <w:numPr>
          <w:ilvl w:val="0"/>
          <w:numId w:val="1376"/>
        </w:numPr>
        <w:pStyle w:val="Compact"/>
      </w:pPr>
      <w:r>
        <w:t xml:space="preserve">2011 · Fadini GP ·</w:t>
      </w:r>
      <w:r>
        <w:t xml:space="preserve"> </w:t>
      </w:r>
      <w:r>
        <w:rPr>
          <w:iCs/>
          <w:i/>
        </w:rPr>
        <w:t xml:space="preserve">Acta Diabetol</w:t>
      </w:r>
      <w:r>
        <w:t xml:space="preserve"> </w:t>
      </w:r>
      <w:r>
        <w:t xml:space="preserve">· The metabolic syndrome influences the response to incretin-based therapies. PMID 21574000</w:t>
      </w:r>
    </w:p>
    <w:p>
      <w:pPr>
        <w:numPr>
          <w:ilvl w:val="0"/>
          <w:numId w:val="1376"/>
        </w:numPr>
        <w:pStyle w:val="Compact"/>
      </w:pPr>
      <w:r>
        <w:t xml:space="preserve">2011 · Buse JB ·</w:t>
      </w:r>
      <w:r>
        <w:t xml:space="preserve"> </w:t>
      </w:r>
      <w:r>
        <w:rPr>
          <w:iCs/>
          <w:i/>
        </w:rPr>
        <w:t xml:space="preserve">J Clin Endocrinol Metab</w:t>
      </w:r>
      <w:r>
        <w:t xml:space="preserve"> </w:t>
      </w:r>
      <w:r>
        <w:t xml:space="preserve">· Liraglutide treatment is associated with a low frequency and magnitude of antibody formation with no apparent impact on glycemic response or increased frequency of adverse events: results from the Liraglutide Effect and Action in Diabetes (LEAD) trials. PMID 21450987</w:t>
      </w:r>
    </w:p>
    <w:p>
      <w:pPr>
        <w:numPr>
          <w:ilvl w:val="0"/>
          <w:numId w:val="1376"/>
        </w:numPr>
        <w:pStyle w:val="Compact"/>
      </w:pPr>
      <w:r>
        <w:t xml:space="preserve">2011 · Wysham C ·</w:t>
      </w:r>
      <w:r>
        <w:t xml:space="preserve"> </w:t>
      </w:r>
      <w:r>
        <w:rPr>
          <w:iCs/>
          <w:i/>
        </w:rPr>
        <w:t xml:space="preserve">Diabet Med</w:t>
      </w:r>
      <w:r>
        <w:t xml:space="preserve"> </w:t>
      </w:r>
      <w:r>
        <w:t xml:space="preserve">· DURATION-2: efficacy and safety of switching from maximum daily sitagliptin or pioglitazone to once-weekly exenatide. PMID 21434995</w:t>
      </w:r>
    </w:p>
    <w:p>
      <w:pPr>
        <w:numPr>
          <w:ilvl w:val="0"/>
          <w:numId w:val="1376"/>
        </w:numPr>
        <w:pStyle w:val="Compact"/>
      </w:pPr>
      <w:r>
        <w:t xml:space="preserve">2011 · Schmidt WE ·</w:t>
      </w:r>
      <w:r>
        <w:t xml:space="preserve"> </w:t>
      </w:r>
      <w:r>
        <w:rPr>
          <w:iCs/>
          <w:i/>
        </w:rPr>
        <w:t xml:space="preserve">Diabet Med</w:t>
      </w:r>
      <w:r>
        <w:t xml:space="preserve"> </w:t>
      </w:r>
      <w:r>
        <w:t xml:space="preserve">· Patient-reported outcomes are superior in patients with Type 2 diabetes treated with liraglutide as compared with exenatide, when added to metformin, sulphonylurea or both: results from a randomized, open-label study. PMID 21388442</w:t>
      </w:r>
    </w:p>
    <w:p>
      <w:pPr>
        <w:numPr>
          <w:ilvl w:val="0"/>
          <w:numId w:val="1376"/>
        </w:numPr>
        <w:pStyle w:val="Compact"/>
      </w:pPr>
      <w:r>
        <w:t xml:space="preserve">2011 · Blevins T ·</w:t>
      </w:r>
      <w:r>
        <w:t xml:space="preserve"> </w:t>
      </w:r>
      <w:r>
        <w:rPr>
          <w:iCs/>
          <w:i/>
        </w:rPr>
        <w:t xml:space="preserve">J Clin Endocrinol Metab</w:t>
      </w:r>
      <w:r>
        <w:t xml:space="preserve"> </w:t>
      </w:r>
      <w:r>
        <w:t xml:space="preserve">· DURATION-5: exenatide once weekly resulted in greater improvements in glycemic control compared with exenatide twice daily in patients with type 2 diabetes. PMID 21307137</w:t>
      </w:r>
    </w:p>
    <w:p>
      <w:pPr>
        <w:numPr>
          <w:ilvl w:val="0"/>
          <w:numId w:val="1376"/>
        </w:numPr>
        <w:pStyle w:val="Compact"/>
      </w:pPr>
      <w:r>
        <w:t xml:space="preserve">2011 · Gallwitz B ·</w:t>
      </w:r>
      <w:r>
        <w:t xml:space="preserve"> </w:t>
      </w:r>
      <w:r>
        <w:rPr>
          <w:iCs/>
          <w:i/>
        </w:rPr>
        <w:t xml:space="preserve">Diabetes Care</w:t>
      </w:r>
      <w:r>
        <w:t xml:space="preserve"> </w:t>
      </w:r>
      <w:r>
        <w:t xml:space="preserve">· Exenatide twice daily versus premixed insulin aspart 70/30 in metformin-treated patients with type 2 diabetes: a randomized 26-week study on glycemic control and hypoglycemia. PMID 21285388</w:t>
      </w:r>
    </w:p>
    <w:p>
      <w:pPr>
        <w:numPr>
          <w:ilvl w:val="0"/>
          <w:numId w:val="1376"/>
        </w:numPr>
        <w:pStyle w:val="Compact"/>
      </w:pPr>
      <w:r>
        <w:t xml:space="preserve">2011 · Wu JD ·</w:t>
      </w:r>
      <w:r>
        <w:t xml:space="preserve"> </w:t>
      </w:r>
      <w:r>
        <w:rPr>
          <w:iCs/>
          <w:i/>
        </w:rPr>
        <w:t xml:space="preserve">Diabetes Technol Ther</w:t>
      </w:r>
      <w:r>
        <w:t xml:space="preserve"> </w:t>
      </w:r>
      <w:r>
        <w:t xml:space="preserve">· Effect of exenatide on inflammatory and oxidative stress markers in patients with type 2 diabetes mellitus. PMID 21284481</w:t>
      </w:r>
    </w:p>
    <w:p>
      <w:pPr>
        <w:numPr>
          <w:ilvl w:val="0"/>
          <w:numId w:val="1376"/>
        </w:numPr>
        <w:pStyle w:val="Compact"/>
      </w:pPr>
      <w:r>
        <w:t xml:space="preserve">2011 · Best JH ·</w:t>
      </w:r>
      <w:r>
        <w:t xml:space="preserve"> </w:t>
      </w:r>
      <w:r>
        <w:rPr>
          <w:iCs/>
          <w:i/>
        </w:rPr>
        <w:t xml:space="preserve">Diabetes Care</w:t>
      </w:r>
      <w:r>
        <w:t xml:space="preserve"> </w:t>
      </w:r>
      <w:r>
        <w:t xml:space="preserve">· Weight-related quality of life, health utility, psychological well-being, and satisfaction with exenatide once weekly compared with sitagliptin or pioglitazone after 26 weeks of treatment. PMID 21270189</w:t>
      </w:r>
    </w:p>
    <w:p>
      <w:pPr>
        <w:numPr>
          <w:ilvl w:val="0"/>
          <w:numId w:val="1376"/>
        </w:numPr>
        <w:pStyle w:val="Compact"/>
      </w:pPr>
      <w:r>
        <w:t xml:space="preserve">2011 · Linnebjerg H ·</w:t>
      </w:r>
      <w:r>
        <w:t xml:space="preserve"> </w:t>
      </w:r>
      <w:r>
        <w:rPr>
          <w:iCs/>
          <w:i/>
        </w:rPr>
        <w:t xml:space="preserve">Int J Clin Pharmacol Ther</w:t>
      </w:r>
      <w:r>
        <w:t xml:space="preserve"> </w:t>
      </w:r>
      <w:r>
        <w:t xml:space="preserve">· Exenatide - pharmacokinetics, pharmacodynamics, safety and tolerability in patients ≥ 75 years of age with Type 2 diabetes. PMID 21255526</w:t>
      </w:r>
    </w:p>
    <w:p>
      <w:pPr>
        <w:numPr>
          <w:ilvl w:val="0"/>
          <w:numId w:val="1376"/>
        </w:numPr>
        <w:pStyle w:val="Compact"/>
      </w:pPr>
      <w:r>
        <w:t xml:space="preserve">2011 · van Raalte DH ·</w:t>
      </w:r>
      <w:r>
        <w:t xml:space="preserve"> </w:t>
      </w:r>
      <w:r>
        <w:rPr>
          <w:iCs/>
          <w:i/>
        </w:rPr>
        <w:t xml:space="preserve">Diabetes Care</w:t>
      </w:r>
      <w:r>
        <w:t xml:space="preserve"> </w:t>
      </w:r>
      <w:r>
        <w:t xml:space="preserve">· Glucagon-like peptide-1 receptor agonist treatment prevents glucocorticoid-induced glucose intolerance and islet-cell dysfunction in humans. PMID 21216851</w:t>
      </w:r>
    </w:p>
    <w:p>
      <w:pPr>
        <w:numPr>
          <w:ilvl w:val="0"/>
          <w:numId w:val="1376"/>
        </w:numPr>
        <w:pStyle w:val="Compact"/>
      </w:pPr>
      <w:r>
        <w:t xml:space="preserve">2011 · Buse JB ·</w:t>
      </w:r>
      <w:r>
        <w:t xml:space="preserve"> </w:t>
      </w:r>
      <w:r>
        <w:rPr>
          <w:iCs/>
          <w:i/>
        </w:rPr>
        <w:t xml:space="preserve">Ann Intern Med</w:t>
      </w:r>
      <w:r>
        <w:t xml:space="preserve"> </w:t>
      </w:r>
      <w:r>
        <w:t xml:space="preserve">· Use of twice-daily exenatide in Basal insulin-treated patients with type 2 diabetes: a randomized, controlled trial. PMID 21138825</w:t>
      </w:r>
    </w:p>
    <w:p>
      <w:pPr>
        <w:numPr>
          <w:ilvl w:val="0"/>
          <w:numId w:val="1376"/>
        </w:numPr>
        <w:pStyle w:val="Compact"/>
      </w:pPr>
      <w:r>
        <w:t xml:space="preserve">2011 · González-Ortiz M ·</w:t>
      </w:r>
      <w:r>
        <w:t xml:space="preserve"> </w:t>
      </w:r>
      <w:r>
        <w:rPr>
          <w:iCs/>
          <w:i/>
        </w:rPr>
        <w:t xml:space="preserve">Metab Syndr Relat Disord</w:t>
      </w:r>
      <w:r>
        <w:t xml:space="preserve"> </w:t>
      </w:r>
      <w:r>
        <w:t xml:space="preserve">· Effect of exenatide on fat deposition and a metabolic profile in patients with metabolic syndrome. PMID 20874425</w:t>
      </w:r>
    </w:p>
    <w:p>
      <w:pPr>
        <w:numPr>
          <w:ilvl w:val="0"/>
          <w:numId w:val="1376"/>
        </w:numPr>
        <w:pStyle w:val="Compact"/>
      </w:pPr>
      <w:r>
        <w:t xml:space="preserve">2011 · Pinelli NR ·</w:t>
      </w:r>
      <w:r>
        <w:t xml:space="preserve"> </w:t>
      </w:r>
      <w:r>
        <w:rPr>
          <w:iCs/>
          <w:i/>
        </w:rPr>
        <w:t xml:space="preserve">J Clin Pharmacol</w:t>
      </w:r>
      <w:r>
        <w:t xml:space="preserve"> </w:t>
      </w:r>
      <w:r>
        <w:t xml:space="preserve">· Effect of administration time of exenatide on satiety responses, blood glucose, and adverse events in healthy volunteers. PMID 20484613</w:t>
      </w:r>
    </w:p>
    <w:p>
      <w:pPr>
        <w:numPr>
          <w:ilvl w:val="0"/>
          <w:numId w:val="1376"/>
        </w:numPr>
        <w:pStyle w:val="Compact"/>
      </w:pPr>
      <w:r>
        <w:t xml:space="preserve">2010 · Liutkus J ·</w:t>
      </w:r>
      <w:r>
        <w:t xml:space="preserve"> </w:t>
      </w:r>
      <w:r>
        <w:rPr>
          <w:iCs/>
          <w:i/>
        </w:rPr>
        <w:t xml:space="preserve">Diabetes Obes Metab</w:t>
      </w:r>
      <w:r>
        <w:t xml:space="preserve"> </w:t>
      </w:r>
      <w:r>
        <w:t xml:space="preserve">· A placebo-controlled trial of exenatide twice-daily added to thiazolidinediones alone or in combination with metformin. PMID 20977576</w:t>
      </w:r>
    </w:p>
    <w:p>
      <w:pPr>
        <w:numPr>
          <w:ilvl w:val="0"/>
          <w:numId w:val="1376"/>
        </w:numPr>
        <w:pStyle w:val="Compact"/>
      </w:pPr>
      <w:r>
        <w:t xml:space="preserve">2010 · Ellero C ·</w:t>
      </w:r>
      <w:r>
        <w:t xml:space="preserve"> </w:t>
      </w:r>
      <w:r>
        <w:rPr>
          <w:iCs/>
          <w:i/>
        </w:rPr>
        <w:t xml:space="preserve">Diabet Med</w:t>
      </w:r>
      <w:r>
        <w:t xml:space="preserve"> </w:t>
      </w:r>
      <w:r>
        <w:t xml:space="preserve">· Prophylactic use of anti-emetic medications reduced nausea and vomiting associated with exenatide treatment: a retrospective analysis of an open-label, parallel-group, single-dose study in healthy subjects. PMID 20854385</w:t>
      </w:r>
    </w:p>
    <w:p>
      <w:pPr>
        <w:numPr>
          <w:ilvl w:val="0"/>
          <w:numId w:val="1376"/>
        </w:numPr>
        <w:pStyle w:val="Compact"/>
      </w:pPr>
      <w:r>
        <w:t xml:space="preserve">2010 · Mecott GA ·</w:t>
      </w:r>
      <w:r>
        <w:t xml:space="preserve"> </w:t>
      </w:r>
      <w:r>
        <w:rPr>
          <w:iCs/>
          <w:i/>
        </w:rPr>
        <w:t xml:space="preserve">Crit Care</w:t>
      </w:r>
      <w:r>
        <w:t xml:space="preserve"> </w:t>
      </w:r>
      <w:r>
        <w:t xml:space="preserve">· The use of exenatide in severely burned pediatric patients. PMID 20701787</w:t>
      </w:r>
    </w:p>
    <w:p>
      <w:pPr>
        <w:numPr>
          <w:ilvl w:val="0"/>
          <w:numId w:val="1376"/>
        </w:numPr>
        <w:pStyle w:val="Compact"/>
      </w:pPr>
      <w:r>
        <w:t xml:space="preserve">2010 · Diamant M ·</w:t>
      </w:r>
      <w:r>
        <w:t xml:space="preserve"> </w:t>
      </w:r>
      <w:r>
        <w:rPr>
          <w:iCs/>
          <w:i/>
        </w:rPr>
        <w:t xml:space="preserve">Lancet</w:t>
      </w:r>
      <w:r>
        <w:t xml:space="preserve"> </w:t>
      </w:r>
      <w:r>
        <w:t xml:space="preserve">· Once weekly exenatide compared with insulin glargine titrated to target in patients with type 2 diabetes (DURATION-3): an open-label randomised trial. PMID 20609969</w:t>
      </w:r>
    </w:p>
    <w:p>
      <w:pPr>
        <w:numPr>
          <w:ilvl w:val="0"/>
          <w:numId w:val="1376"/>
        </w:numPr>
        <w:pStyle w:val="Compact"/>
      </w:pPr>
      <w:r>
        <w:t xml:space="preserve">2010 · Schernthaner G ·</w:t>
      </w:r>
      <w:r>
        <w:t xml:space="preserve"> </w:t>
      </w:r>
      <w:r>
        <w:rPr>
          <w:iCs/>
          <w:i/>
        </w:rPr>
        <w:t xml:space="preserve">Diabetes Metab</w:t>
      </w:r>
      <w:r>
        <w:t xml:space="preserve"> </w:t>
      </w:r>
      <w:r>
        <w:t xml:space="preserve">· Impact of postprandial and fasting glucose concentrations on HbA1c in patients with type 2 diabetes. PMID 20598608</w:t>
      </w:r>
    </w:p>
    <w:p>
      <w:pPr>
        <w:numPr>
          <w:ilvl w:val="0"/>
          <w:numId w:val="1376"/>
        </w:numPr>
        <w:pStyle w:val="Compact"/>
      </w:pPr>
      <w:r>
        <w:t xml:space="preserve">2010 · Bergenstal RM ·</w:t>
      </w:r>
      <w:r>
        <w:t xml:space="preserve"> </w:t>
      </w:r>
      <w:r>
        <w:rPr>
          <w:iCs/>
          <w:i/>
        </w:rPr>
        <w:t xml:space="preserve">Lancet</w:t>
      </w:r>
      <w:r>
        <w:t xml:space="preserve"> </w:t>
      </w:r>
      <w:r>
        <w:t xml:space="preserve">· Efficacy and safety of exenatide once weekly versus sitagliptin or pioglitazone as an adjunct to metformin for treatment of type 2 diabetes (DURATION-2): a randomised trial. PMID 20580422</w:t>
      </w:r>
    </w:p>
    <w:p>
      <w:pPr>
        <w:numPr>
          <w:ilvl w:val="0"/>
          <w:numId w:val="1376"/>
        </w:numPr>
        <w:pStyle w:val="Compact"/>
      </w:pPr>
      <w:r>
        <w:t xml:space="preserve">2010 · Schwartz EA ·</w:t>
      </w:r>
      <w:r>
        <w:t xml:space="preserve"> </w:t>
      </w:r>
      <w:r>
        <w:rPr>
          <w:iCs/>
          <w:i/>
        </w:rPr>
        <w:t xml:space="preserve">Atherosclerosis</w:t>
      </w:r>
      <w:r>
        <w:t xml:space="preserve"> </w:t>
      </w:r>
      <w:r>
        <w:t xml:space="preserve">· Exenatide suppresses postprandial elevations in lipids and lipoproteins in individuals with impaired glucose tolerance and recent onset type 2 diabetes mellitus. PMID 20557887</w:t>
      </w:r>
    </w:p>
    <w:p>
      <w:pPr>
        <w:numPr>
          <w:ilvl w:val="0"/>
          <w:numId w:val="1376"/>
        </w:numPr>
        <w:pStyle w:val="Compact"/>
      </w:pPr>
      <w:r>
        <w:t xml:space="preserve">2010 · Bunck MC ·</w:t>
      </w:r>
      <w:r>
        <w:t xml:space="preserve"> </w:t>
      </w:r>
      <w:r>
        <w:rPr>
          <w:iCs/>
          <w:i/>
        </w:rPr>
        <w:t xml:space="preserve">Atherosclerosis</w:t>
      </w:r>
      <w:r>
        <w:t xml:space="preserve"> </w:t>
      </w:r>
      <w:r>
        <w:t xml:space="preserve">· One-year treatment with exenatide vs. insulin glargine: effects on postprandial glycemia, lipid profiles, and oxidative stress. PMID 20494360</w:t>
      </w:r>
    </w:p>
    <w:p>
      <w:pPr>
        <w:numPr>
          <w:ilvl w:val="0"/>
          <w:numId w:val="1376"/>
        </w:numPr>
        <w:pStyle w:val="Compact"/>
      </w:pPr>
      <w:r>
        <w:t xml:space="preserve">2010 · Bunck MC ·</w:t>
      </w:r>
      <w:r>
        <w:t xml:space="preserve"> </w:t>
      </w:r>
      <w:r>
        <w:rPr>
          <w:iCs/>
          <w:i/>
        </w:rPr>
        <w:t xml:space="preserve">Diabetes Care</w:t>
      </w:r>
      <w:r>
        <w:t xml:space="preserve"> </w:t>
      </w:r>
      <w:r>
        <w:t xml:space="preserve">· Exenatide affects circulating cardiovascular risk biomarkers independently of changes in body composition. PMID 20424219</w:t>
      </w:r>
    </w:p>
    <w:p>
      <w:pPr>
        <w:numPr>
          <w:ilvl w:val="0"/>
          <w:numId w:val="1376"/>
        </w:numPr>
        <w:pStyle w:val="Compact"/>
      </w:pPr>
      <w:r>
        <w:t xml:space="preserve">2010 · Apovian CM ·</w:t>
      </w:r>
      <w:r>
        <w:t xml:space="preserve"> </w:t>
      </w:r>
      <w:r>
        <w:rPr>
          <w:iCs/>
          <w:i/>
        </w:rPr>
        <w:t xml:space="preserve">Am J Med</w:t>
      </w:r>
      <w:r>
        <w:t xml:space="preserve"> </w:t>
      </w:r>
      <w:r>
        <w:t xml:space="preserve">· Effects of exenatide combined with lifestyle modification in patients with type 2 diabetes. PMID 20399326</w:t>
      </w:r>
    </w:p>
    <w:p>
      <w:pPr>
        <w:numPr>
          <w:ilvl w:val="0"/>
          <w:numId w:val="1376"/>
        </w:numPr>
        <w:pStyle w:val="Compact"/>
      </w:pPr>
      <w:r>
        <w:t xml:space="preserve">2010 · Arnolds S ·</w:t>
      </w:r>
      <w:r>
        <w:t xml:space="preserve"> </w:t>
      </w:r>
      <w:r>
        <w:rPr>
          <w:iCs/>
          <w:i/>
        </w:rPr>
        <w:t xml:space="preserve">Diabetes Care</w:t>
      </w:r>
      <w:r>
        <w:t xml:space="preserve"> </w:t>
      </w:r>
      <w:r>
        <w:t xml:space="preserve">· Further improvement in postprandial glucose control with addition of exenatide or sitagliptin to combination therapy with insulin glargine and metformin: a proof-of-concept study. PMID 20357372</w:t>
      </w:r>
    </w:p>
    <w:p>
      <w:pPr>
        <w:numPr>
          <w:ilvl w:val="0"/>
          <w:numId w:val="1376"/>
        </w:numPr>
        <w:pStyle w:val="Compact"/>
      </w:pPr>
      <w:r>
        <w:t xml:space="preserve">2010 · Raman VS ·</w:t>
      </w:r>
      <w:r>
        <w:t xml:space="preserve"> </w:t>
      </w:r>
      <w:r>
        <w:rPr>
          <w:iCs/>
          <w:i/>
        </w:rPr>
        <w:t xml:space="preserve">Diabetes Care</w:t>
      </w:r>
      <w:r>
        <w:t xml:space="preserve"> </w:t>
      </w:r>
      <w:r>
        <w:t xml:space="preserve">· The role of adjunctive exenatide therapy in pediatric type 1 diabetes. PMID 20332358</w:t>
      </w:r>
    </w:p>
    <w:p>
      <w:pPr>
        <w:numPr>
          <w:ilvl w:val="0"/>
          <w:numId w:val="1376"/>
        </w:numPr>
        <w:pStyle w:val="Compact"/>
      </w:pPr>
      <w:r>
        <w:t xml:space="preserve">2010 · Rosenstock J ·</w:t>
      </w:r>
      <w:r>
        <w:t xml:space="preserve"> </w:t>
      </w:r>
      <w:r>
        <w:rPr>
          <w:iCs/>
          <w:i/>
        </w:rPr>
        <w:t xml:space="preserve">Diabetes Care</w:t>
      </w:r>
      <w:r>
        <w:t xml:space="preserve"> </w:t>
      </w:r>
      <w:r>
        <w:t xml:space="preserve">· Effects of exenatide and lifestyle modification on body weight and glucose tolerance in obese subjects with and without pre-diabetes. PMID 20332357</w:t>
      </w:r>
    </w:p>
    <w:p>
      <w:pPr>
        <w:numPr>
          <w:ilvl w:val="0"/>
          <w:numId w:val="1376"/>
        </w:numPr>
        <w:pStyle w:val="Compact"/>
      </w:pPr>
      <w:r>
        <w:t xml:space="preserve">2010 · Buse JB ·</w:t>
      </w:r>
      <w:r>
        <w:t xml:space="preserve"> </w:t>
      </w:r>
      <w:r>
        <w:rPr>
          <w:iCs/>
          <w:i/>
        </w:rPr>
        <w:t xml:space="preserve">Diabetes Care</w:t>
      </w:r>
      <w:r>
        <w:t xml:space="preserve"> </w:t>
      </w:r>
      <w:r>
        <w:t xml:space="preserve">· Switching to once-daily liraglutide from twice-daily exenatide further improves glycemic control in patients with type 2 diabetes using oral agents. PMID 20332351</w:t>
      </w:r>
    </w:p>
    <w:p>
      <w:pPr>
        <w:numPr>
          <w:ilvl w:val="0"/>
          <w:numId w:val="1376"/>
        </w:numPr>
        <w:pStyle w:val="Compact"/>
      </w:pPr>
      <w:r>
        <w:t xml:space="preserve">2010 · Buse JB ·</w:t>
      </w:r>
      <w:r>
        <w:t xml:space="preserve"> </w:t>
      </w:r>
      <w:r>
        <w:rPr>
          <w:iCs/>
          <w:i/>
        </w:rPr>
        <w:t xml:space="preserve">Diabetes Care</w:t>
      </w:r>
      <w:r>
        <w:t xml:space="preserve"> </w:t>
      </w:r>
      <w:r>
        <w:t xml:space="preserve">· DURATION-1: exenatide once weekly produces sustained glycemic control and weight loss over 52 weeks. PMID 20215461</w:t>
      </w:r>
    </w:p>
    <w:p>
      <w:pPr>
        <w:numPr>
          <w:ilvl w:val="0"/>
          <w:numId w:val="1376"/>
        </w:numPr>
        <w:pStyle w:val="Compact"/>
      </w:pPr>
      <w:r>
        <w:t xml:space="preserve">2010 · Koska J ·</w:t>
      </w:r>
      <w:r>
        <w:t xml:space="preserve"> </w:t>
      </w:r>
      <w:r>
        <w:rPr>
          <w:iCs/>
          <w:i/>
        </w:rPr>
        <w:t xml:space="preserve">Diabetes Care</w:t>
      </w:r>
      <w:r>
        <w:t xml:space="preserve"> </w:t>
      </w:r>
      <w:r>
        <w:t xml:space="preserve">· Improvement of postprandial endothelial function after a single dose of exenatide in individuals with impaired glucose tolerance and recent-onset type 2 diabetes. PMID 20200309</w:t>
      </w:r>
    </w:p>
    <w:p>
      <w:pPr>
        <w:numPr>
          <w:ilvl w:val="0"/>
          <w:numId w:val="1376"/>
        </w:numPr>
        <w:pStyle w:val="Compact"/>
      </w:pPr>
      <w:r>
        <w:t xml:space="preserve">2010 · Roubícek T ·</w:t>
      </w:r>
      <w:r>
        <w:t xml:space="preserve"> </w:t>
      </w:r>
      <w:r>
        <w:rPr>
          <w:iCs/>
          <w:i/>
        </w:rPr>
        <w:t xml:space="preserve">Vnitr Lek</w:t>
      </w:r>
      <w:r>
        <w:t xml:space="preserve"> </w:t>
      </w:r>
      <w:r>
        <w:t xml:space="preserve">· [The influence of 6-months treatment with exenatide on type 2 diabetes mellitus compensation, anthropometric and biochemical parameters]. PMID 20184107</w:t>
      </w:r>
    </w:p>
    <w:p>
      <w:pPr>
        <w:numPr>
          <w:ilvl w:val="0"/>
          <w:numId w:val="1376"/>
        </w:numPr>
        <w:pStyle w:val="Compact"/>
      </w:pPr>
      <w:r>
        <w:t xml:space="preserve">2010 · Derosa G ·</w:t>
      </w:r>
      <w:r>
        <w:t xml:space="preserve"> </w:t>
      </w:r>
      <w:r>
        <w:rPr>
          <w:iCs/>
          <w:i/>
        </w:rPr>
        <w:t xml:space="preserve">Diabetes Technol Ther</w:t>
      </w:r>
      <w:r>
        <w:t xml:space="preserve"> </w:t>
      </w:r>
      <w:r>
        <w:t xml:space="preserve">· Exenatide versus glibenclamide in patients with diabetes. PMID 20151774</w:t>
      </w:r>
    </w:p>
    <w:p>
      <w:pPr>
        <w:numPr>
          <w:ilvl w:val="0"/>
          <w:numId w:val="1376"/>
        </w:numPr>
        <w:pStyle w:val="Compact"/>
      </w:pPr>
      <w:r>
        <w:t xml:space="preserve">2010 · Gill A ·</w:t>
      </w:r>
      <w:r>
        <w:t xml:space="preserve"> </w:t>
      </w:r>
      <w:r>
        <w:rPr>
          <w:iCs/>
          <w:i/>
        </w:rPr>
        <w:t xml:space="preserve">Cardiovasc Diabetol</w:t>
      </w:r>
      <w:r>
        <w:t xml:space="preserve"> </w:t>
      </w:r>
      <w:r>
        <w:t xml:space="preserve">· Effect of exenatide on heart rate and blood pressure in subjects with type 2 diabetes mellitus: a double-blind, placebo-controlled, randomized pilot study. PMID 20109208</w:t>
      </w:r>
    </w:p>
    <w:p>
      <w:pPr>
        <w:numPr>
          <w:ilvl w:val="0"/>
          <w:numId w:val="1376"/>
        </w:numPr>
        <w:pStyle w:val="Compact"/>
      </w:pPr>
      <w:r>
        <w:t xml:space="preserve">2010 · DeFronzo RA ·</w:t>
      </w:r>
      <w:r>
        <w:t xml:space="preserve"> </w:t>
      </w:r>
      <w:r>
        <w:rPr>
          <w:iCs/>
          <w:i/>
        </w:rPr>
        <w:t xml:space="preserve">Diabetes Care</w:t>
      </w:r>
      <w:r>
        <w:t xml:space="preserve"> </w:t>
      </w:r>
      <w:r>
        <w:t xml:space="preserve">· Effects of exenatide plus rosiglitazone on beta-cell function and insulin sensitivity in subjects with type 2 diabetes on metformin. PMID 20107105</w:t>
      </w:r>
    </w:p>
    <w:p>
      <w:pPr>
        <w:numPr>
          <w:ilvl w:val="0"/>
          <w:numId w:val="1376"/>
        </w:numPr>
        <w:pStyle w:val="Compact"/>
      </w:pPr>
      <w:r>
        <w:t xml:space="preserve">2009 · Faradji RN ·</w:t>
      </w:r>
      <w:r>
        <w:t xml:space="preserve"> </w:t>
      </w:r>
      <w:r>
        <w:rPr>
          <w:iCs/>
          <w:i/>
        </w:rPr>
        <w:t xml:space="preserve">Cell Transplant</w:t>
      </w:r>
      <w:r>
        <w:t xml:space="preserve"> </w:t>
      </w:r>
      <w:r>
        <w:t xml:space="preserve">· Long-term metabolic and hormonal effects of exenatide on islet transplant recipients with allograft dysfunction. PMID 20003758</w:t>
      </w:r>
    </w:p>
    <w:p>
      <w:pPr>
        <w:numPr>
          <w:ilvl w:val="0"/>
          <w:numId w:val="1376"/>
        </w:numPr>
        <w:pStyle w:val="Compact"/>
      </w:pPr>
      <w:r>
        <w:t xml:space="preserve">2009 · Davies MJ ·</w:t>
      </w:r>
      <w:r>
        <w:t xml:space="preserve"> </w:t>
      </w:r>
      <w:r>
        <w:rPr>
          <w:iCs/>
          <w:i/>
        </w:rPr>
        <w:t xml:space="preserve">Diabetes Obes Metab</w:t>
      </w:r>
      <w:r>
        <w:t xml:space="preserve"> </w:t>
      </w:r>
      <w:r>
        <w:t xml:space="preserve">· Exenatide compared with long-acting insulin to achieve glycaemic control with minimal weight gain in patients with type 2 diabetes: results of the Helping Evaluate Exenatide in patients with diabetes compared with Long-Acting insulin (HEELA) study. PMID 19930005</w:t>
      </w:r>
    </w:p>
    <w:p>
      <w:pPr>
        <w:numPr>
          <w:ilvl w:val="0"/>
          <w:numId w:val="1376"/>
        </w:numPr>
        <w:pStyle w:val="Compact"/>
      </w:pPr>
      <w:r>
        <w:t xml:space="preserve">2009 · Linnebjerg H ·</w:t>
      </w:r>
      <w:r>
        <w:t xml:space="preserve"> </w:t>
      </w:r>
      <w:r>
        <w:rPr>
          <w:iCs/>
          <w:i/>
        </w:rPr>
        <w:t xml:space="preserve">Int J Clin Pharmacol Ther</w:t>
      </w:r>
      <w:r>
        <w:t xml:space="preserve"> </w:t>
      </w:r>
      <w:r>
        <w:t xml:space="preserve">· The effect of exenatide on lisinopril pharmacodynamics and pharmacokinetics in patients with hypertension. PMID 19840529</w:t>
      </w:r>
    </w:p>
    <w:p>
      <w:pPr>
        <w:numPr>
          <w:ilvl w:val="0"/>
          <w:numId w:val="1376"/>
        </w:numPr>
        <w:pStyle w:val="Compact"/>
      </w:pPr>
      <w:r>
        <w:t xml:space="preserve">2009 · Rother KI ·</w:t>
      </w:r>
      <w:r>
        <w:t xml:space="preserve"> </w:t>
      </w:r>
      <w:r>
        <w:rPr>
          <w:iCs/>
          <w:i/>
        </w:rPr>
        <w:t xml:space="preserve">Diabetes Care</w:t>
      </w:r>
      <w:r>
        <w:t xml:space="preserve"> </w:t>
      </w:r>
      <w:r>
        <w:t xml:space="preserve">· Effects of exenatide alone and in combination with daclizumab on beta-cell function in long-standing type 1 diabetes. PMID 19808924</w:t>
      </w:r>
    </w:p>
    <w:p>
      <w:pPr>
        <w:numPr>
          <w:ilvl w:val="0"/>
          <w:numId w:val="1376"/>
        </w:numPr>
        <w:pStyle w:val="Compact"/>
      </w:pPr>
      <w:r>
        <w:t xml:space="preserve">2009 · Iwamoto K ·</w:t>
      </w:r>
      <w:r>
        <w:t xml:space="preserve"> </w:t>
      </w:r>
      <w:r>
        <w:rPr>
          <w:iCs/>
          <w:i/>
        </w:rPr>
        <w:t xml:space="preserve">Endocr J</w:t>
      </w:r>
      <w:r>
        <w:t xml:space="preserve"> </w:t>
      </w:r>
      <w:r>
        <w:t xml:space="preserve">· Safety, tolerability, pharmacokinetics, and pharmacodynamics of exenatide once weekly in Japanese patients with type 2 diabetes. PMID 19706990</w:t>
      </w:r>
    </w:p>
    <w:p>
      <w:pPr>
        <w:numPr>
          <w:ilvl w:val="0"/>
          <w:numId w:val="1376"/>
        </w:numPr>
        <w:pStyle w:val="Compact"/>
      </w:pPr>
      <w:r>
        <w:t xml:space="preserve">2009 · Brändle M ·</w:t>
      </w:r>
      <w:r>
        <w:t xml:space="preserve"> </w:t>
      </w:r>
      <w:r>
        <w:rPr>
          <w:iCs/>
          <w:i/>
        </w:rPr>
        <w:t xml:space="preserve">Int J Clin Pharmacol Ther</w:t>
      </w:r>
      <w:r>
        <w:t xml:space="preserve"> </w:t>
      </w:r>
      <w:r>
        <w:t xml:space="preserve">· Exenatide versus insulin glargine: a cost-effectiveness evaluation in patients with Type 2 diabetes in Switzerland. PMID 19640359</w:t>
      </w:r>
    </w:p>
    <w:p>
      <w:pPr>
        <w:numPr>
          <w:ilvl w:val="0"/>
          <w:numId w:val="1376"/>
        </w:numPr>
        <w:pStyle w:val="Compact"/>
      </w:pPr>
      <w:r>
        <w:t xml:space="preserve">2009 · Rosenstock J ·</w:t>
      </w:r>
      <w:r>
        <w:t xml:space="preserve"> </w:t>
      </w:r>
      <w:r>
        <w:rPr>
          <w:iCs/>
          <w:i/>
        </w:rPr>
        <w:t xml:space="preserve">Diabetes Care</w:t>
      </w:r>
      <w:r>
        <w:t xml:space="preserve"> </w:t>
      </w:r>
      <w:r>
        <w:t xml:space="preserve">· Potential of albiglutide, a long-acting GLP-1 receptor agonist, in type 2 diabetes: a randomized controlled trial exploring weekly, biweekly, and monthly dosing. PMID 19592625</w:t>
      </w:r>
    </w:p>
    <w:p>
      <w:pPr>
        <w:numPr>
          <w:ilvl w:val="0"/>
          <w:numId w:val="1376"/>
        </w:numPr>
        <w:pStyle w:val="Compact"/>
      </w:pPr>
      <w:r>
        <w:t xml:space="preserve">2009 · Faludi P ·</w:t>
      </w:r>
      <w:r>
        <w:t xml:space="preserve"> </w:t>
      </w:r>
      <w:r>
        <w:rPr>
          <w:iCs/>
          <w:i/>
        </w:rPr>
        <w:t xml:space="preserve">Peptides</w:t>
      </w:r>
      <w:r>
        <w:t xml:space="preserve"> </w:t>
      </w:r>
      <w:r>
        <w:t xml:space="preserve">· The effect of exenatide re-exposure on safety and efficacy. PMID 19576255</w:t>
      </w:r>
    </w:p>
    <w:p>
      <w:pPr>
        <w:numPr>
          <w:ilvl w:val="0"/>
          <w:numId w:val="1376"/>
        </w:numPr>
        <w:pStyle w:val="Compact"/>
      </w:pPr>
      <w:r>
        <w:t xml:space="preserve">2009 · Best JH ·</w:t>
      </w:r>
      <w:r>
        <w:t xml:space="preserve"> </w:t>
      </w:r>
      <w:r>
        <w:rPr>
          <w:iCs/>
          <w:i/>
        </w:rPr>
        <w:t xml:space="preserve">Diabet Med</w:t>
      </w:r>
      <w:r>
        <w:t xml:space="preserve"> </w:t>
      </w:r>
      <w:r>
        <w:t xml:space="preserve">· Improved treatment satisfaction and weight-related quality of life with exenatide once weekly or twice daily. PMID 19573122</w:t>
      </w:r>
    </w:p>
    <w:p>
      <w:pPr>
        <w:numPr>
          <w:ilvl w:val="0"/>
          <w:numId w:val="1376"/>
        </w:numPr>
        <w:pStyle w:val="Compact"/>
      </w:pPr>
      <w:r>
        <w:t xml:space="preserve">2009 · Buse JB ·</w:t>
      </w:r>
      <w:r>
        <w:t xml:space="preserve"> </w:t>
      </w:r>
      <w:r>
        <w:rPr>
          <w:iCs/>
          <w:i/>
        </w:rPr>
        <w:t xml:space="preserve">Lancet</w:t>
      </w:r>
      <w:r>
        <w:t xml:space="preserve"> </w:t>
      </w:r>
      <w:r>
        <w:t xml:space="preserve">· Liraglutide once a day versus exenatide twice a day for type 2 diabetes: a 26-week randomised, parallel-group, multinational, open-label trial (LEAD-6). PMID 19515413</w:t>
      </w:r>
    </w:p>
    <w:p>
      <w:pPr>
        <w:numPr>
          <w:ilvl w:val="0"/>
          <w:numId w:val="1376"/>
        </w:numPr>
        <w:pStyle w:val="Compact"/>
      </w:pPr>
      <w:r>
        <w:t xml:space="preserve">2009 · Mazze R ·</w:t>
      </w:r>
      <w:r>
        <w:t xml:space="preserve"> </w:t>
      </w:r>
      <w:r>
        <w:rPr>
          <w:iCs/>
          <w:i/>
        </w:rPr>
        <w:t xml:space="preserve">Endocr Pract</w:t>
      </w:r>
      <w:r>
        <w:t xml:space="preserve"> </w:t>
      </w:r>
      <w:r>
        <w:t xml:space="preserve">· Diurnal glucose patterns of exenatide once weekly: a 1-year study using continuous glucose monitoring with ambulatory glucose profile analysis. PMID 19454385</w:t>
      </w:r>
    </w:p>
    <w:p>
      <w:pPr>
        <w:numPr>
          <w:ilvl w:val="0"/>
          <w:numId w:val="1376"/>
        </w:numPr>
        <w:pStyle w:val="Compact"/>
      </w:pPr>
      <w:r>
        <w:t xml:space="preserve">2009 · Malloy J ·</w:t>
      </w:r>
      <w:r>
        <w:t xml:space="preserve"> </w:t>
      </w:r>
      <w:r>
        <w:rPr>
          <w:iCs/>
          <w:i/>
        </w:rPr>
        <w:t xml:space="preserve">Clin Ther</w:t>
      </w:r>
      <w:r>
        <w:t xml:space="preserve"> </w:t>
      </w:r>
      <w:r>
        <w:t xml:space="preserve">· Pharmacology and tolerability of a single dose of exenatide in adolescent patients with type 2 diabetes mellitus being treated with metformin: a randomized, placebo-controlled, single-blind, dose-escalation, crossover study. PMID 19446153</w:t>
      </w:r>
    </w:p>
    <w:p>
      <w:pPr>
        <w:numPr>
          <w:ilvl w:val="0"/>
          <w:numId w:val="1376"/>
        </w:numPr>
        <w:pStyle w:val="Compact"/>
      </w:pPr>
      <w:r>
        <w:t xml:space="preserve">2009 · Bergenstal R ·</w:t>
      </w:r>
      <w:r>
        <w:t xml:space="preserve"> </w:t>
      </w:r>
      <w:r>
        <w:rPr>
          <w:iCs/>
          <w:i/>
        </w:rPr>
        <w:t xml:space="preserve">Curr Med Res Opin</w:t>
      </w:r>
      <w:r>
        <w:t xml:space="preserve"> </w:t>
      </w:r>
      <w:r>
        <w:t xml:space="preserve">· Efficacy and safety of biphasic insulin aspart 70/30 versus exenatide in subjects with type 2 diabetes failing to achieve glycemic control with metformin and a sulfonylurea. PMID 19210140</w:t>
      </w:r>
    </w:p>
    <w:p>
      <w:pPr>
        <w:numPr>
          <w:ilvl w:val="0"/>
          <w:numId w:val="1376"/>
        </w:numPr>
        <w:pStyle w:val="Compact"/>
      </w:pPr>
      <w:r>
        <w:t xml:space="preserve">2009 · Bunck MC ·</w:t>
      </w:r>
      <w:r>
        <w:t xml:space="preserve"> </w:t>
      </w:r>
      <w:r>
        <w:rPr>
          <w:iCs/>
          <w:i/>
        </w:rPr>
        <w:t xml:space="preserve">Diabetes Care</w:t>
      </w:r>
      <w:r>
        <w:t xml:space="preserve"> </w:t>
      </w:r>
      <w:r>
        <w:t xml:space="preserve">· One-year treatment with exenatide improves beta-cell function, compared with insulin glargine, in metformin-treated type 2 diabetic patients: a randomized, controlled trial. PMID 19196887</w:t>
      </w:r>
    </w:p>
    <w:p>
      <w:pPr>
        <w:numPr>
          <w:ilvl w:val="0"/>
          <w:numId w:val="1376"/>
        </w:numPr>
        <w:pStyle w:val="Compact"/>
      </w:pPr>
      <w:r>
        <w:t xml:space="preserve">2009 · Kadowaki T ·</w:t>
      </w:r>
      <w:r>
        <w:t xml:space="preserve"> </w:t>
      </w:r>
      <w:r>
        <w:rPr>
          <w:iCs/>
          <w:i/>
        </w:rPr>
        <w:t xml:space="preserve">Endocr J</w:t>
      </w:r>
      <w:r>
        <w:t xml:space="preserve"> </w:t>
      </w:r>
      <w:r>
        <w:t xml:space="preserve">· Exenatide exhibits dose-dependent effects on glycemic control over 12 weeks in Japanese patients with suboptimally controlled type 2 diabetes. PMID 19194050</w:t>
      </w:r>
    </w:p>
    <w:p>
      <w:pPr>
        <w:numPr>
          <w:ilvl w:val="0"/>
          <w:numId w:val="1376"/>
        </w:numPr>
        <w:pStyle w:val="Compact"/>
      </w:pPr>
      <w:r>
        <w:t xml:space="preserve">2009 · Gao Y ·</w:t>
      </w:r>
      <w:r>
        <w:t xml:space="preserve"> </w:t>
      </w:r>
      <w:r>
        <w:rPr>
          <w:iCs/>
          <w:i/>
        </w:rPr>
        <w:t xml:space="preserve">Diabetes Res Clin Pract</w:t>
      </w:r>
      <w:r>
        <w:t xml:space="preserve"> </w:t>
      </w:r>
      <w:r>
        <w:t xml:space="preserve">· Efficacy and safety of exenatide in patients of Asian descent with type 2 diabetes inadequately controlled with metformin or metformin and a sulphonylurea. PMID 19019476</w:t>
      </w:r>
    </w:p>
    <w:p>
      <w:pPr>
        <w:numPr>
          <w:ilvl w:val="0"/>
          <w:numId w:val="1376"/>
        </w:numPr>
        <w:pStyle w:val="Compact"/>
      </w:pPr>
      <w:r>
        <w:t xml:space="preserve">2008 · Kothare PA ·</w:t>
      </w:r>
      <w:r>
        <w:t xml:space="preserve"> </w:t>
      </w:r>
      <w:r>
        <w:rPr>
          <w:iCs/>
          <w:i/>
        </w:rPr>
        <w:t xml:space="preserve">J Clin Pharmacol</w:t>
      </w:r>
      <w:r>
        <w:t xml:space="preserve"> </w:t>
      </w:r>
      <w:r>
        <w:t xml:space="preserve">· Pharmacokinetics, pharmacodynamics, tolerability, and safety of exenatide in Japanese patients with type 2 diabetes mellitus. PMID 19047364</w:t>
      </w:r>
    </w:p>
    <w:p>
      <w:pPr>
        <w:numPr>
          <w:ilvl w:val="0"/>
          <w:numId w:val="1376"/>
        </w:numPr>
        <w:pStyle w:val="Compact"/>
      </w:pPr>
      <w:r>
        <w:t xml:space="preserve">2008 · Moretto TJ ·</w:t>
      </w:r>
      <w:r>
        <w:t xml:space="preserve"> </w:t>
      </w:r>
      <w:r>
        <w:rPr>
          <w:iCs/>
          <w:i/>
        </w:rPr>
        <w:t xml:space="preserve">Clin Ther</w:t>
      </w:r>
      <w:r>
        <w:t xml:space="preserve"> </w:t>
      </w:r>
      <w:r>
        <w:t xml:space="preserve">· Efficacy and tolerability of exenatide monotherapy over 24 weeks in antidiabetic drug-naive patients with type 2 diabetes: a randomized, double-blind, placebo-controlled, parallel-group study. PMID 18803987</w:t>
      </w:r>
    </w:p>
    <w:p>
      <w:pPr>
        <w:numPr>
          <w:ilvl w:val="0"/>
          <w:numId w:val="1376"/>
        </w:numPr>
        <w:pStyle w:val="Compact"/>
      </w:pPr>
      <w:r>
        <w:t xml:space="preserve">2008 · Zhao X ·</w:t>
      </w:r>
      <w:r>
        <w:t xml:space="preserve"> </w:t>
      </w:r>
      <w:r>
        <w:rPr>
          <w:iCs/>
          <w:i/>
        </w:rPr>
        <w:t xml:space="preserve">Int J Clin Pharmacol Ther</w:t>
      </w:r>
      <w:r>
        <w:t xml:space="preserve"> </w:t>
      </w:r>
      <w:r>
        <w:t xml:space="preserve">· Exenatide pharmacokinetics in healthy Chinese subjects. PMID 18793576</w:t>
      </w:r>
    </w:p>
    <w:p>
      <w:pPr>
        <w:numPr>
          <w:ilvl w:val="0"/>
          <w:numId w:val="1376"/>
        </w:numPr>
        <w:pStyle w:val="Compact"/>
      </w:pPr>
      <w:r>
        <w:t xml:space="preserve">2008 · DeFronzo RA ·</w:t>
      </w:r>
      <w:r>
        <w:t xml:space="preserve"> </w:t>
      </w:r>
      <w:r>
        <w:rPr>
          <w:iCs/>
          <w:i/>
        </w:rPr>
        <w:t xml:space="preserve">Curr Med Res Opin</w:t>
      </w:r>
      <w:r>
        <w:t xml:space="preserve"> </w:t>
      </w:r>
      <w:r>
        <w:t xml:space="preserve">· Effects of exenatide versus sitagliptin on postprandial glucose, insulin and glucagon secretion, gastric emptying, and caloric intake: a randomized, cross-over study. PMID 18786299</w:t>
      </w:r>
    </w:p>
    <w:p>
      <w:pPr>
        <w:numPr>
          <w:ilvl w:val="0"/>
          <w:numId w:val="1376"/>
        </w:numPr>
        <w:pStyle w:val="Compact"/>
      </w:pPr>
      <w:r>
        <w:t xml:space="preserve">2008 · Drucker DJ ·</w:t>
      </w:r>
      <w:r>
        <w:t xml:space="preserve"> </w:t>
      </w:r>
      <w:r>
        <w:rPr>
          <w:iCs/>
          <w:i/>
        </w:rPr>
        <w:t xml:space="preserve">Lancet</w:t>
      </w:r>
      <w:r>
        <w:t xml:space="preserve"> </w:t>
      </w:r>
      <w:r>
        <w:t xml:space="preserve">· Exenatide once weekly versus twice daily for the treatment of type 2 diabetes: a randomised, open-label, non-inferiority study. PMID 18782641</w:t>
      </w:r>
    </w:p>
    <w:p>
      <w:pPr>
        <w:numPr>
          <w:ilvl w:val="0"/>
          <w:numId w:val="1376"/>
        </w:numPr>
        <w:pStyle w:val="Compact"/>
      </w:pPr>
      <w:r>
        <w:t xml:space="preserve">2008 · Linnebjerg H ·</w:t>
      </w:r>
      <w:r>
        <w:t xml:space="preserve"> </w:t>
      </w:r>
      <w:r>
        <w:rPr>
          <w:iCs/>
          <w:i/>
        </w:rPr>
        <w:t xml:space="preserve">Regul Pept</w:t>
      </w:r>
      <w:r>
        <w:t xml:space="preserve"> </w:t>
      </w:r>
      <w:r>
        <w:t xml:space="preserve">· Effect of exenatide on gastric emptying and relationship to postprandial glycemia in type 2 diabetes. PMID 18675854</w:t>
      </w:r>
    </w:p>
    <w:p>
      <w:pPr>
        <w:numPr>
          <w:ilvl w:val="0"/>
          <w:numId w:val="1376"/>
        </w:numPr>
        <w:pStyle w:val="Compact"/>
      </w:pPr>
      <w:r>
        <w:t xml:space="preserve">2008 · Forti A ·</w:t>
      </w:r>
      <w:r>
        <w:t xml:space="preserve"> </w:t>
      </w:r>
      <w:r>
        <w:rPr>
          <w:iCs/>
          <w:i/>
        </w:rPr>
        <w:t xml:space="preserve">Curr Med Res Opin</w:t>
      </w:r>
      <w:r>
        <w:t xml:space="preserve"> </w:t>
      </w:r>
      <w:r>
        <w:t xml:space="preserve">· Efficacy and safety of exenatide administered before the two largest daily meals of Latin American patients with type 2 diabetes. PMID 18662495</w:t>
      </w:r>
    </w:p>
    <w:p>
      <w:pPr>
        <w:numPr>
          <w:ilvl w:val="0"/>
          <w:numId w:val="1376"/>
        </w:numPr>
        <w:pStyle w:val="Compact"/>
      </w:pPr>
      <w:r>
        <w:t xml:space="preserve">2008 · Schwartz SL ·</w:t>
      </w:r>
      <w:r>
        <w:t xml:space="preserve"> </w:t>
      </w:r>
      <w:r>
        <w:rPr>
          <w:iCs/>
          <w:i/>
        </w:rPr>
        <w:t xml:space="preserve">Clin Ther</w:t>
      </w:r>
      <w:r>
        <w:t xml:space="preserve"> </w:t>
      </w:r>
      <w:r>
        <w:t xml:space="preserve">· Effect of exenatide on 24-hour blood glucose profile compared with placebo in patients with type 2 diabetes: a randomized, double-blind, two-arm, parallel-group, placebo-controlled, 2-week study. PMID 18555933</w:t>
      </w:r>
    </w:p>
    <w:p>
      <w:pPr>
        <w:numPr>
          <w:ilvl w:val="0"/>
          <w:numId w:val="1376"/>
        </w:numPr>
        <w:pStyle w:val="Compact"/>
      </w:pPr>
      <w:r>
        <w:t xml:space="preserve">2008 · Elkind-Hirsch K ·</w:t>
      </w:r>
      <w:r>
        <w:t xml:space="preserve"> </w:t>
      </w:r>
      <w:r>
        <w:rPr>
          <w:iCs/>
          <w:i/>
        </w:rPr>
        <w:t xml:space="preserve">J Clin Endocrinol Metab</w:t>
      </w:r>
      <w:r>
        <w:t xml:space="preserve"> </w:t>
      </w:r>
      <w:r>
        <w:t xml:space="preserve">· Comparison of single and combined treatment with exenatide and metformin on menstrual cyclicity in overweight women with polycystic ovary syndrome. PMID 18460557</w:t>
      </w:r>
    </w:p>
    <w:p>
      <w:pPr>
        <w:numPr>
          <w:ilvl w:val="0"/>
          <w:numId w:val="1376"/>
        </w:numPr>
        <w:pStyle w:val="Compact"/>
      </w:pPr>
      <w:r>
        <w:t xml:space="preserve">2008 · Gangemi A ·</w:t>
      </w:r>
      <w:r>
        <w:t xml:space="preserve"> </w:t>
      </w:r>
      <w:r>
        <w:rPr>
          <w:iCs/>
          <w:i/>
        </w:rPr>
        <w:t xml:space="preserve">Am J Transplant</w:t>
      </w:r>
      <w:r>
        <w:t xml:space="preserve"> </w:t>
      </w:r>
      <w:r>
        <w:t xml:space="preserve">· Islet transplantation for brittle type 1 diabetes: the UIC protocol. PMID 18444920</w:t>
      </w:r>
    </w:p>
    <w:p>
      <w:pPr>
        <w:numPr>
          <w:ilvl w:val="0"/>
          <w:numId w:val="1376"/>
        </w:numPr>
        <w:pStyle w:val="Compact"/>
      </w:pPr>
      <w:r>
        <w:t xml:space="preserve">2008 · Brodows RG ·</w:t>
      </w:r>
      <w:r>
        <w:t xml:space="preserve"> </w:t>
      </w:r>
      <w:r>
        <w:rPr>
          <w:iCs/>
          <w:i/>
        </w:rPr>
        <w:t xml:space="preserve">Curr Med Res Opin</w:t>
      </w:r>
      <w:r>
        <w:t xml:space="preserve"> </w:t>
      </w:r>
      <w:r>
        <w:t xml:space="preserve">· Quantifying the effect of exenatide and insulin glargine on postprandial glucose excursions in patients with type 2 diabetes. PMID 18394265</w:t>
      </w:r>
    </w:p>
    <w:p>
      <w:pPr>
        <w:numPr>
          <w:ilvl w:val="0"/>
          <w:numId w:val="1376"/>
        </w:numPr>
        <w:pStyle w:val="Compact"/>
      </w:pPr>
      <w:r>
        <w:t xml:space="preserve">2008 · Minshall ME ·</w:t>
      </w:r>
      <w:r>
        <w:t xml:space="preserve"> </w:t>
      </w:r>
      <w:r>
        <w:rPr>
          <w:iCs/>
          <w:i/>
        </w:rPr>
        <w:t xml:space="preserve">Value Health</w:t>
      </w:r>
      <w:r>
        <w:t xml:space="preserve"> </w:t>
      </w:r>
      <w:r>
        <w:t xml:space="preserve">· Estimating the long-term cost-effectiveness of exenatide in the United States: an adjunctive treatment for type 2 diabetes mellitus. PMID 18237357</w:t>
      </w:r>
    </w:p>
    <w:p>
      <w:pPr>
        <w:numPr>
          <w:ilvl w:val="0"/>
          <w:numId w:val="1376"/>
        </w:numPr>
        <w:pStyle w:val="Compact"/>
      </w:pPr>
      <w:r>
        <w:t xml:space="preserve">2008 · Glass LC ·</w:t>
      </w:r>
      <w:r>
        <w:t xml:space="preserve"> </w:t>
      </w:r>
      <w:r>
        <w:rPr>
          <w:iCs/>
          <w:i/>
        </w:rPr>
        <w:t xml:space="preserve">Curr Med Res Opin</w:t>
      </w:r>
      <w:r>
        <w:t xml:space="preserve"> </w:t>
      </w:r>
      <w:r>
        <w:t xml:space="preserve">· Effects of exenatide versus insulin analogues on weight change in subjects with type 2 diabetes: a pooled post-hoc analysis. PMID 18218179</w:t>
      </w:r>
    </w:p>
    <w:p>
      <w:pPr>
        <w:numPr>
          <w:ilvl w:val="0"/>
          <w:numId w:val="1376"/>
        </w:numPr>
        <w:pStyle w:val="Compact"/>
      </w:pPr>
      <w:r>
        <w:t xml:space="preserve">2008 · Klonoff DC ·</w:t>
      </w:r>
      <w:r>
        <w:t xml:space="preserve"> </w:t>
      </w:r>
      <w:r>
        <w:rPr>
          <w:iCs/>
          <w:i/>
        </w:rPr>
        <w:t xml:space="preserve">Curr Med Res Opin</w:t>
      </w:r>
      <w:r>
        <w:t xml:space="preserve"> </w:t>
      </w:r>
      <w:r>
        <w:t xml:space="preserve">· Exenatide effects on diabetes, obesity, cardiovascular risk factors and hepatic biomarkers in patients with type 2 diabetes treated for at least 3 years. PMID 18053320</w:t>
      </w:r>
    </w:p>
    <w:p>
      <w:pPr>
        <w:numPr>
          <w:ilvl w:val="0"/>
          <w:numId w:val="1376"/>
        </w:numPr>
        <w:pStyle w:val="Compact"/>
      </w:pPr>
      <w:r>
        <w:t xml:space="preserve">2007 · Barnett AH ·</w:t>
      </w:r>
      <w:r>
        <w:t xml:space="preserve"> </w:t>
      </w:r>
      <w:r>
        <w:rPr>
          <w:iCs/>
          <w:i/>
        </w:rPr>
        <w:t xml:space="preserve">Clin Ther</w:t>
      </w:r>
      <w:r>
        <w:t xml:space="preserve"> </w:t>
      </w:r>
      <w:r>
        <w:t xml:space="preserve">· Tolerability and efficacy of exenatide and titrated insulin glargine in adult patients with type 2 diabetes previously uncontrolled with metformin or a sulfonylurea: a multinational, randomized, open-label, two-period, crossover noninferiority trial. PMID 18158075</w:t>
      </w:r>
    </w:p>
    <w:p>
      <w:pPr>
        <w:numPr>
          <w:ilvl w:val="0"/>
          <w:numId w:val="1376"/>
        </w:numPr>
        <w:pStyle w:val="Compact"/>
      </w:pPr>
      <w:r>
        <w:t xml:space="preserve">2007 · Nelson P ·</w:t>
      </w:r>
      <w:r>
        <w:t xml:space="preserve"> </w:t>
      </w:r>
      <w:r>
        <w:rPr>
          <w:iCs/>
          <w:i/>
        </w:rPr>
        <w:t xml:space="preserve">Diabetes Technol Ther</w:t>
      </w:r>
      <w:r>
        <w:t xml:space="preserve"> </w:t>
      </w:r>
      <w:r>
        <w:t xml:space="preserve">· The incretin mimetic exenatide as a monotherapy in patients with type 2 diabetes. PMID 17705687</w:t>
      </w:r>
    </w:p>
    <w:p>
      <w:pPr>
        <w:numPr>
          <w:ilvl w:val="0"/>
          <w:numId w:val="1376"/>
        </w:numPr>
        <w:pStyle w:val="Compact"/>
      </w:pPr>
      <w:r>
        <w:t xml:space="preserve">2007 · Davis SN ·</w:t>
      </w:r>
      <w:r>
        <w:t xml:space="preserve"> </w:t>
      </w:r>
      <w:r>
        <w:rPr>
          <w:iCs/>
          <w:i/>
        </w:rPr>
        <w:t xml:space="preserve">Diabetes Care</w:t>
      </w:r>
      <w:r>
        <w:t xml:space="preserve"> </w:t>
      </w:r>
      <w:r>
        <w:t xml:space="preserve">· Exploring the substitution of exenatide for insulin in patients with type 2 diabetes treated with insulin in combination with oral antidiabetes agents. PMID 17595353</w:t>
      </w:r>
    </w:p>
    <w:p>
      <w:pPr>
        <w:numPr>
          <w:ilvl w:val="0"/>
          <w:numId w:val="1376"/>
        </w:numPr>
        <w:pStyle w:val="Compact"/>
      </w:pPr>
      <w:r>
        <w:t xml:space="preserve">2007 · Linnebjerg H ·</w:t>
      </w:r>
      <w:r>
        <w:t xml:space="preserve"> </w:t>
      </w:r>
      <w:r>
        <w:rPr>
          <w:iCs/>
          <w:i/>
        </w:rPr>
        <w:t xml:space="preserve">Br J Clin Pharmacol</w:t>
      </w:r>
      <w:r>
        <w:t xml:space="preserve"> </w:t>
      </w:r>
      <w:r>
        <w:t xml:space="preserve">· Effect of renal impairment on the pharmacokinetics of exenatide. PMID 17425627</w:t>
      </w:r>
    </w:p>
    <w:p>
      <w:pPr>
        <w:numPr>
          <w:ilvl w:val="0"/>
          <w:numId w:val="1376"/>
        </w:numPr>
        <w:pStyle w:val="Compact"/>
      </w:pPr>
      <w:r>
        <w:t xml:space="preserve">2007 · Zinman B ·</w:t>
      </w:r>
      <w:r>
        <w:t xml:space="preserve"> </w:t>
      </w:r>
      <w:r>
        <w:rPr>
          <w:iCs/>
          <w:i/>
        </w:rPr>
        <w:t xml:space="preserve">Ann Intern Med</w:t>
      </w:r>
      <w:r>
        <w:t xml:space="preserve"> </w:t>
      </w:r>
      <w:r>
        <w:t xml:space="preserve">· The effect of adding exenatide to a thiazolidinedione in suboptimally controlled type 2 diabetes: a randomized trial. PMID 17404349</w:t>
      </w:r>
    </w:p>
    <w:p>
      <w:pPr>
        <w:numPr>
          <w:ilvl w:val="0"/>
          <w:numId w:val="1376"/>
        </w:numPr>
        <w:pStyle w:val="Compact"/>
      </w:pPr>
      <w:r>
        <w:t xml:space="preserve">2007 · Buse JB ·</w:t>
      </w:r>
      <w:r>
        <w:t xml:space="preserve"> </w:t>
      </w:r>
      <w:r>
        <w:rPr>
          <w:iCs/>
          <w:i/>
        </w:rPr>
        <w:t xml:space="preserve">Clin Ther</w:t>
      </w:r>
      <w:r>
        <w:t xml:space="preserve"> </w:t>
      </w:r>
      <w:r>
        <w:t xml:space="preserve">· Metabolic effects of two years of exenatide treatment on diabetes, obesity, and hepatic biomarkers in patients with type 2 diabetes: an interim analysis of data from the open-label, uncontrolled extension of three double-blind, placebo-controlled trials. PMID 17379054</w:t>
      </w:r>
    </w:p>
    <w:p>
      <w:pPr>
        <w:numPr>
          <w:ilvl w:val="0"/>
          <w:numId w:val="1376"/>
        </w:numPr>
        <w:pStyle w:val="Compact"/>
      </w:pPr>
      <w:r>
        <w:t xml:space="preserve">2007 · Ray JA ·</w:t>
      </w:r>
      <w:r>
        <w:t xml:space="preserve"> </w:t>
      </w:r>
      <w:r>
        <w:rPr>
          <w:iCs/>
          <w:i/>
        </w:rPr>
        <w:t xml:space="preserve">Curr Med Res Opin</w:t>
      </w:r>
      <w:r>
        <w:t xml:space="preserve"> </w:t>
      </w:r>
      <w:r>
        <w:t xml:space="preserve">· Exenatide versus insulin glargine in patients with type 2 diabetes in the UK: a model of long-term clinical and cost outcomes. PMID 17355742</w:t>
      </w:r>
    </w:p>
    <w:p>
      <w:pPr>
        <w:numPr>
          <w:ilvl w:val="0"/>
          <w:numId w:val="1376"/>
        </w:numPr>
        <w:pStyle w:val="Compact"/>
      </w:pPr>
      <w:r>
        <w:t xml:space="preserve">2007 · Kim D ·</w:t>
      </w:r>
      <w:r>
        <w:t xml:space="preserve"> </w:t>
      </w:r>
      <w:r>
        <w:rPr>
          <w:iCs/>
          <w:i/>
        </w:rPr>
        <w:t xml:space="preserve">Diabetes Care</w:t>
      </w:r>
      <w:r>
        <w:t xml:space="preserve"> </w:t>
      </w:r>
      <w:r>
        <w:t xml:space="preserve">· Effects of once-weekly dosing of a long-acting release formulation of exenatide on glucose control and body weight in subjects with type 2 diabetes. PMID 17353504</w:t>
      </w:r>
    </w:p>
    <w:p>
      <w:pPr>
        <w:numPr>
          <w:ilvl w:val="0"/>
          <w:numId w:val="1376"/>
        </w:numPr>
        <w:pStyle w:val="Compact"/>
      </w:pPr>
      <w:r>
        <w:t xml:space="preserve">2007 · Kothare PA ·</w:t>
      </w:r>
      <w:r>
        <w:t xml:space="preserve"> </w:t>
      </w:r>
      <w:r>
        <w:rPr>
          <w:iCs/>
          <w:i/>
        </w:rPr>
        <w:t xml:space="preserve">Int J Clin Pharmacol Ther</w:t>
      </w:r>
      <w:r>
        <w:t xml:space="preserve"> </w:t>
      </w:r>
      <w:r>
        <w:t xml:space="preserve">· Exenatide effects on statin pharmacokinetics and lipid response. PMID 17323791</w:t>
      </w:r>
    </w:p>
    <w:p>
      <w:pPr>
        <w:numPr>
          <w:ilvl w:val="0"/>
          <w:numId w:val="1376"/>
        </w:numPr>
        <w:pStyle w:val="Compact"/>
      </w:pPr>
      <w:r>
        <w:t xml:space="preserve">2007 · Ghofaili KA ·</w:t>
      </w:r>
      <w:r>
        <w:t xml:space="preserve"> </w:t>
      </w:r>
      <w:r>
        <w:rPr>
          <w:iCs/>
          <w:i/>
        </w:rPr>
        <w:t xml:space="preserve">Transplantation</w:t>
      </w:r>
      <w:r>
        <w:t xml:space="preserve"> </w:t>
      </w:r>
      <w:r>
        <w:t xml:space="preserve">· Effect of exenatide on beta cell function after islet transplantation in type 1 diabetes. PMID 17220786</w:t>
      </w:r>
    </w:p>
    <w:p>
      <w:pPr>
        <w:numPr>
          <w:ilvl w:val="0"/>
          <w:numId w:val="1376"/>
        </w:numPr>
        <w:pStyle w:val="Compact"/>
      </w:pPr>
      <w:r>
        <w:t xml:space="preserve">2007 · Nauck MA ·</w:t>
      </w:r>
      <w:r>
        <w:t xml:space="preserve"> </w:t>
      </w:r>
      <w:r>
        <w:rPr>
          <w:iCs/>
          <w:i/>
        </w:rPr>
        <w:t xml:space="preserve">Diabetologia</w:t>
      </w:r>
      <w:r>
        <w:t xml:space="preserve"> </w:t>
      </w:r>
      <w:r>
        <w:t xml:space="preserve">· A comparison of twice-daily exenatide and biphasic insulin aspart in patients with type 2 diabetes who were suboptimally controlled with sulfonylurea and metformin: a non-inferiority study. PMID 17160407</w:t>
      </w:r>
    </w:p>
    <w:p>
      <w:pPr>
        <w:numPr>
          <w:ilvl w:val="0"/>
          <w:numId w:val="1376"/>
        </w:numPr>
        <w:pStyle w:val="Compact"/>
      </w:pPr>
      <w:r>
        <w:t xml:space="preserve">2006 · Mari A ·</w:t>
      </w:r>
      <w:r>
        <w:t xml:space="preserve"> </w:t>
      </w:r>
      <w:r>
        <w:rPr>
          <w:iCs/>
          <w:i/>
        </w:rPr>
        <w:t xml:space="preserve">Horm Metab Res</w:t>
      </w:r>
      <w:r>
        <w:t xml:space="preserve"> </w:t>
      </w:r>
      <w:r>
        <w:t xml:space="preserve">· Mathematical modeling shows exenatide improved beta-cell function in patients with type 2 diabetes treated with metformin or metformin and a sulfonylurea. PMID 17163361</w:t>
      </w:r>
    </w:p>
    <w:p>
      <w:pPr>
        <w:numPr>
          <w:ilvl w:val="0"/>
          <w:numId w:val="1376"/>
        </w:numPr>
        <w:pStyle w:val="Compact"/>
      </w:pPr>
      <w:r>
        <w:t xml:space="preserve">2006 · Secnik Boye K ·</w:t>
      </w:r>
      <w:r>
        <w:t xml:space="preserve"> </w:t>
      </w:r>
      <w:r>
        <w:rPr>
          <w:iCs/>
          <w:i/>
        </w:rPr>
        <w:t xml:space="preserve">Health Qual Life Outcomes</w:t>
      </w:r>
      <w:r>
        <w:t xml:space="preserve"> </w:t>
      </w:r>
      <w:r>
        <w:t xml:space="preserve">· Patient-reported outcomes in a trial of exenatide and insulin glargine for the treatment of type 2 diabetes. PMID 17034640</w:t>
      </w:r>
    </w:p>
    <w:p>
      <w:pPr>
        <w:numPr>
          <w:ilvl w:val="0"/>
          <w:numId w:val="1376"/>
        </w:numPr>
        <w:pStyle w:val="Compact"/>
      </w:pPr>
      <w:r>
        <w:t xml:space="preserve">2006 · Soon D ·</w:t>
      </w:r>
      <w:r>
        <w:t xml:space="preserve"> </w:t>
      </w:r>
      <w:r>
        <w:rPr>
          <w:iCs/>
          <w:i/>
        </w:rPr>
        <w:t xml:space="preserve">J Clin Pharmacol</w:t>
      </w:r>
      <w:r>
        <w:t xml:space="preserve"> </w:t>
      </w:r>
      <w:r>
        <w:t xml:space="preserve">· Effect of exenatide on the pharmacokinetics and pharmacodynamics of warfarin in healthy Asian men. PMID 16988207</w:t>
      </w:r>
    </w:p>
    <w:p>
      <w:pPr>
        <w:numPr>
          <w:ilvl w:val="0"/>
          <w:numId w:val="1376"/>
        </w:numPr>
        <w:pStyle w:val="Compact"/>
      </w:pPr>
      <w:r>
        <w:t xml:space="preserve">2006 · Blonde L ·</w:t>
      </w:r>
      <w:r>
        <w:t xml:space="preserve"> </w:t>
      </w:r>
      <w:r>
        <w:rPr>
          <w:iCs/>
          <w:i/>
        </w:rPr>
        <w:t xml:space="preserve">Diabetes Obes Metab</w:t>
      </w:r>
      <w:r>
        <w:t xml:space="preserve"> </w:t>
      </w:r>
      <w:r>
        <w:t xml:space="preserve">· Interim analysis of the effects of exenatide treatment on A1C, weight and cardiovascular risk factors over 82 weeks in 314 overweight patients with type 2 diabetes. PMID 16776751</w:t>
      </w:r>
    </w:p>
    <w:p>
      <w:pPr>
        <w:numPr>
          <w:ilvl w:val="0"/>
          <w:numId w:val="1376"/>
        </w:numPr>
        <w:pStyle w:val="Compact"/>
      </w:pPr>
      <w:r>
        <w:t xml:space="preserve">2006 · Ratner RE ·</w:t>
      </w:r>
      <w:r>
        <w:t xml:space="preserve"> </w:t>
      </w:r>
      <w:r>
        <w:rPr>
          <w:iCs/>
          <w:i/>
        </w:rPr>
        <w:t xml:space="preserve">Diabetes Obes Metab</w:t>
      </w:r>
      <w:r>
        <w:t xml:space="preserve"> </w:t>
      </w:r>
      <w:r>
        <w:t xml:space="preserve">· Long-term effects of exenatide therapy over 82 weeks on glycaemic control and weight in over-weight metformin-treated patients with type 2 diabetes mellitus. PMID 16776749</w:t>
      </w:r>
    </w:p>
    <w:p>
      <w:pPr>
        <w:numPr>
          <w:ilvl w:val="0"/>
          <w:numId w:val="1376"/>
        </w:numPr>
        <w:pStyle w:val="Compact"/>
      </w:pPr>
      <w:r>
        <w:t xml:space="preserve">2006 · Riddle MC ·</w:t>
      </w:r>
      <w:r>
        <w:t xml:space="preserve"> </w:t>
      </w:r>
      <w:r>
        <w:rPr>
          <w:iCs/>
          <w:i/>
        </w:rPr>
        <w:t xml:space="preserve">Diabetes Metab Res Rev</w:t>
      </w:r>
      <w:r>
        <w:t xml:space="preserve"> </w:t>
      </w:r>
      <w:r>
        <w:t xml:space="preserve">· Exenatide elicits sustained glycaemic control and progressive reduction of body weight in patients with type 2 diabetes inadequately controlled by sulphonylureas with or without metformin. PMID 16634116</w:t>
      </w:r>
    </w:p>
    <w:p>
      <w:pPr>
        <w:numPr>
          <w:ilvl w:val="0"/>
          <w:numId w:val="1376"/>
        </w:numPr>
        <w:pStyle w:val="Compact"/>
      </w:pPr>
      <w:r>
        <w:t xml:space="preserve">2006 · Linnebjerg H ·</w:t>
      </w:r>
      <w:r>
        <w:t xml:space="preserve"> </w:t>
      </w:r>
      <w:r>
        <w:rPr>
          <w:iCs/>
          <w:i/>
        </w:rPr>
        <w:t xml:space="preserve">Diabet Med</w:t>
      </w:r>
      <w:r>
        <w:t xml:space="preserve"> </w:t>
      </w:r>
      <w:r>
        <w:t xml:space="preserve">· Exenatide: effect of injection time on postprandial glucose in patients with Type 2 diabetes. PMID 16492205</w:t>
      </w:r>
    </w:p>
    <w:p>
      <w:pPr>
        <w:numPr>
          <w:ilvl w:val="0"/>
          <w:numId w:val="1376"/>
        </w:numPr>
        <w:pStyle w:val="Compact"/>
      </w:pPr>
      <w:r>
        <w:t xml:space="preserve">2005 · Taylor K ·</w:t>
      </w:r>
      <w:r>
        <w:t xml:space="preserve"> </w:t>
      </w:r>
      <w:r>
        <w:rPr>
          <w:iCs/>
          <w:i/>
        </w:rPr>
        <w:t xml:space="preserve">Horm Metab Res</w:t>
      </w:r>
      <w:r>
        <w:t xml:space="preserve"> </w:t>
      </w:r>
      <w:r>
        <w:t xml:space="preserve">· Day-long subcutaneous infusion of exenatide lowers glycemia in patients with type 2 diabetes. PMID 16278786</w:t>
      </w:r>
    </w:p>
    <w:p>
      <w:pPr>
        <w:numPr>
          <w:ilvl w:val="0"/>
          <w:numId w:val="1376"/>
        </w:numPr>
        <w:pStyle w:val="Compact"/>
      </w:pPr>
      <w:r>
        <w:t xml:space="preserve">2005 · Heine RJ ·</w:t>
      </w:r>
      <w:r>
        <w:t xml:space="preserve"> </w:t>
      </w:r>
      <w:r>
        <w:rPr>
          <w:iCs/>
          <w:i/>
        </w:rPr>
        <w:t xml:space="preserve">Ann Intern Med</w:t>
      </w:r>
      <w:r>
        <w:t xml:space="preserve"> </w:t>
      </w:r>
      <w:r>
        <w:t xml:space="preserve">· Exenatide versus insulin glargine in patients with suboptimally controlled type 2 diabetes: a randomized trial. PMID 16230722</w:t>
      </w:r>
    </w:p>
    <w:p>
      <w:pPr>
        <w:numPr>
          <w:ilvl w:val="0"/>
          <w:numId w:val="1376"/>
        </w:numPr>
        <w:pStyle w:val="Compact"/>
      </w:pPr>
      <w:r>
        <w:t xml:space="preserve">2005 · Fehse F ·</w:t>
      </w:r>
      <w:r>
        <w:t xml:space="preserve"> </w:t>
      </w:r>
      <w:r>
        <w:rPr>
          <w:iCs/>
          <w:i/>
        </w:rPr>
        <w:t xml:space="preserve">J Clin Endocrinol Metab</w:t>
      </w:r>
      <w:r>
        <w:t xml:space="preserve"> </w:t>
      </w:r>
      <w:r>
        <w:t xml:space="preserve">· Exenatide augments first- and second-phase insulin secretion in response to intravenous glucose in subjects with type 2 diabetes. PMID 16144950</w:t>
      </w:r>
    </w:p>
    <w:p>
      <w:pPr>
        <w:numPr>
          <w:ilvl w:val="0"/>
          <w:numId w:val="1376"/>
        </w:numPr>
        <w:pStyle w:val="Compact"/>
      </w:pPr>
      <w:r>
        <w:t xml:space="preserve">2005 · Kothare PA ·</w:t>
      </w:r>
      <w:r>
        <w:t xml:space="preserve"> </w:t>
      </w:r>
      <w:r>
        <w:rPr>
          <w:iCs/>
          <w:i/>
        </w:rPr>
        <w:t xml:space="preserve">J Clin Pharmacol</w:t>
      </w:r>
      <w:r>
        <w:t xml:space="preserve"> </w:t>
      </w:r>
      <w:r>
        <w:t xml:space="preserve">· Effect of exenatide on the steady-state pharmacokinetics of digoxin. PMID 16100297</w:t>
      </w:r>
    </w:p>
    <w:p>
      <w:pPr>
        <w:numPr>
          <w:ilvl w:val="0"/>
          <w:numId w:val="1376"/>
        </w:numPr>
        <w:pStyle w:val="Compact"/>
      </w:pPr>
      <w:r>
        <w:t xml:space="preserve">2005 · Poon T ·</w:t>
      </w:r>
      <w:r>
        <w:t xml:space="preserve"> </w:t>
      </w:r>
      <w:r>
        <w:rPr>
          <w:iCs/>
          <w:i/>
        </w:rPr>
        <w:t xml:space="preserve">Diabetes Technol Ther</w:t>
      </w:r>
      <w:r>
        <w:t xml:space="preserve"> </w:t>
      </w:r>
      <w:r>
        <w:t xml:space="preserve">· Exenatide improves glycemic control and reduces body weight in subjects with type 2 diabetes: a dose-ranging study. PMID 15929678</w:t>
      </w:r>
    </w:p>
    <w:p>
      <w:pPr>
        <w:numPr>
          <w:ilvl w:val="0"/>
          <w:numId w:val="1376"/>
        </w:numPr>
        <w:pStyle w:val="Compact"/>
      </w:pPr>
      <w:r>
        <w:t xml:space="preserve">2005 · DeFronzo RA ·</w:t>
      </w:r>
      <w:r>
        <w:t xml:space="preserve"> </w:t>
      </w:r>
      <w:r>
        <w:rPr>
          <w:iCs/>
          <w:i/>
        </w:rPr>
        <w:t xml:space="preserve">Diabetes Care</w:t>
      </w:r>
      <w:r>
        <w:t xml:space="preserve"> </w:t>
      </w:r>
      <w:r>
        <w:t xml:space="preserve">· Effects of exenatide (exendin-4) on glycemic control and weight over 30 weeks in metformin-treated patients with type 2 diabetes. PMID 15855572</w:t>
      </w:r>
    </w:p>
    <w:p>
      <w:pPr>
        <w:numPr>
          <w:ilvl w:val="0"/>
          <w:numId w:val="1376"/>
        </w:numPr>
        <w:pStyle w:val="Compact"/>
      </w:pPr>
      <w:r>
        <w:t xml:space="preserve">2005 · Kendall DM ·</w:t>
      </w:r>
      <w:r>
        <w:t xml:space="preserve"> </w:t>
      </w:r>
      <w:r>
        <w:rPr>
          <w:iCs/>
          <w:i/>
        </w:rPr>
        <w:t xml:space="preserve">Diabetes Care</w:t>
      </w:r>
      <w:r>
        <w:t xml:space="preserve"> </w:t>
      </w:r>
      <w:r>
        <w:t xml:space="preserve">· Effects of exenatide (exendin-4) on glycemic control over 30 weeks in patients with type 2 diabetes treated with metformin and a sulfonylurea. PMID 15855571</w:t>
      </w:r>
    </w:p>
    <w:p>
      <w:pPr>
        <w:numPr>
          <w:ilvl w:val="0"/>
          <w:numId w:val="1376"/>
        </w:numPr>
        <w:pStyle w:val="Compact"/>
      </w:pPr>
      <w:r>
        <w:t xml:space="preserve">2005 · Blase E ·</w:t>
      </w:r>
      <w:r>
        <w:t xml:space="preserve"> </w:t>
      </w:r>
      <w:r>
        <w:rPr>
          <w:iCs/>
          <w:i/>
        </w:rPr>
        <w:t xml:space="preserve">J Clin Pharmacol</w:t>
      </w:r>
      <w:r>
        <w:t xml:space="preserve"> </w:t>
      </w:r>
      <w:r>
        <w:t xml:space="preserve">· Pharmacokinetics of an oral drug (acetaminophen) administered at various times in relation to subcutaneous injection of exenatide (exendin-4) in healthy subjects. PMID 15831781</w:t>
      </w:r>
    </w:p>
    <w:p>
      <w:pPr>
        <w:numPr>
          <w:ilvl w:val="0"/>
          <w:numId w:val="1376"/>
        </w:numPr>
        <w:pStyle w:val="Compact"/>
      </w:pPr>
      <w:r>
        <w:t xml:space="preserve">2005 · Calara F ·</w:t>
      </w:r>
      <w:r>
        <w:t xml:space="preserve"> </w:t>
      </w:r>
      <w:r>
        <w:rPr>
          <w:iCs/>
          <w:i/>
        </w:rPr>
        <w:t xml:space="preserve">Clin Ther</w:t>
      </w:r>
      <w:r>
        <w:t xml:space="preserve"> </w:t>
      </w:r>
      <w:r>
        <w:t xml:space="preserve">· A randomized, open-label, crossover study examining the effect of injection site on bioavailability of exenatide (synthetic exendin-4). PMID 15811484</w:t>
      </w:r>
    </w:p>
    <w:p>
      <w:pPr>
        <w:numPr>
          <w:ilvl w:val="0"/>
          <w:numId w:val="1376"/>
        </w:numPr>
        <w:pStyle w:val="Compact"/>
      </w:pPr>
      <w:r>
        <w:t xml:space="preserve">2005 · Kolterman OG ·</w:t>
      </w:r>
      <w:r>
        <w:t xml:space="preserve"> </w:t>
      </w:r>
      <w:r>
        <w:rPr>
          <w:iCs/>
          <w:i/>
        </w:rPr>
        <w:t xml:space="preserve">Am J Health Syst Pharm</w:t>
      </w:r>
      <w:r>
        <w:t xml:space="preserve"> </w:t>
      </w:r>
      <w:r>
        <w:t xml:space="preserve">· Pharmacokinetics, pharmacodynamics, and safety of exenatide in patients with type 2 diabetes mellitus. PMID 15700891</w:t>
      </w:r>
    </w:p>
    <w:p>
      <w:pPr>
        <w:numPr>
          <w:ilvl w:val="0"/>
          <w:numId w:val="1376"/>
        </w:numPr>
        <w:pStyle w:val="Compact"/>
      </w:pPr>
      <w:r>
        <w:t xml:space="preserve">2004 · Buse JB ·</w:t>
      </w:r>
      <w:r>
        <w:t xml:space="preserve"> </w:t>
      </w:r>
      <w:r>
        <w:rPr>
          <w:iCs/>
          <w:i/>
        </w:rPr>
        <w:t xml:space="preserve">Diabetes Care</w:t>
      </w:r>
      <w:r>
        <w:t xml:space="preserve"> </w:t>
      </w:r>
      <w:r>
        <w:t xml:space="preserve">· Effects of exenatide (exendin-4) on glycemic control over 30 weeks in sulfonylurea-treated patients with type 2 diabetes. PMID 15504997</w:t>
      </w:r>
    </w:p>
    <w:p>
      <w:pPr>
        <w:numPr>
          <w:ilvl w:val="0"/>
          <w:numId w:val="1376"/>
        </w:numPr>
        <w:pStyle w:val="Compact"/>
      </w:pPr>
      <w:r>
        <w:t xml:space="preserve">2004 · Fineman MS ·</w:t>
      </w:r>
      <w:r>
        <w:t xml:space="preserve"> </w:t>
      </w:r>
      <w:r>
        <w:rPr>
          <w:iCs/>
          <w:i/>
        </w:rPr>
        <w:t xml:space="preserve">Diabetes Metab Res Rev</w:t>
      </w:r>
      <w:r>
        <w:t xml:space="preserve"> </w:t>
      </w:r>
      <w:r>
        <w:t xml:space="preserve">· Effectiveness of progressive dose-escalation of exenatide (exendin-4) in reducing dose-limiting side effects in subjects with type 2 diabetes. PMID 15343588</w:t>
      </w:r>
    </w:p>
    <w:p>
      <w:pPr>
        <w:numPr>
          <w:ilvl w:val="0"/>
          <w:numId w:val="1376"/>
        </w:numPr>
        <w:pStyle w:val="Compact"/>
      </w:pPr>
      <w:r>
        <w:t xml:space="preserve">2004 · Degn KB ·</w:t>
      </w:r>
      <w:r>
        <w:t xml:space="preserve"> </w:t>
      </w:r>
      <w:r>
        <w:rPr>
          <w:iCs/>
          <w:i/>
        </w:rPr>
        <w:t xml:space="preserve">Diabetes</w:t>
      </w:r>
      <w:r>
        <w:t xml:space="preserve"> </w:t>
      </w:r>
      <w:r>
        <w:t xml:space="preserve">· Effect of intravenous infusion of exenatide (synthetic exendin-4) on glucose-dependent insulin secretion and counterregulation during hypoglycemia. PMID 15331551</w:t>
      </w:r>
    </w:p>
    <w:p>
      <w:pPr>
        <w:numPr>
          <w:ilvl w:val="0"/>
          <w:numId w:val="1376"/>
        </w:numPr>
        <w:pStyle w:val="Compact"/>
      </w:pPr>
      <w:r>
        <w:t xml:space="preserve">2003 · Fineman MS ·</w:t>
      </w:r>
      <w:r>
        <w:t xml:space="preserve"> </w:t>
      </w:r>
      <w:r>
        <w:rPr>
          <w:iCs/>
          <w:i/>
        </w:rPr>
        <w:t xml:space="preserve">Diabetes Care</w:t>
      </w:r>
      <w:r>
        <w:t xml:space="preserve"> </w:t>
      </w:r>
      <w:r>
        <w:t xml:space="preserve">· Effect on glycemic control of exenatide (synthetic exendin-4) additive to existing metformin and/or sulfonylurea treatment in patients with type 2 diabetes. PMID 12882864</w:t>
      </w:r>
    </w:p>
    <w:p>
      <w:pPr>
        <w:numPr>
          <w:ilvl w:val="0"/>
          <w:numId w:val="1376"/>
        </w:numPr>
        <w:pStyle w:val="Compact"/>
      </w:pPr>
      <w:r>
        <w:t xml:space="preserve">2003 · Kolterman OG ·</w:t>
      </w:r>
      <w:r>
        <w:t xml:space="preserve"> </w:t>
      </w:r>
      <w:r>
        <w:rPr>
          <w:iCs/>
          <w:i/>
        </w:rPr>
        <w:t xml:space="preserve">J Clin Endocrinol Metab</w:t>
      </w:r>
      <w:r>
        <w:t xml:space="preserve"> </w:t>
      </w:r>
      <w:r>
        <w:t xml:space="preserve">· Synthetic exendin-4 (exenatide) significantly reduces postprandial and fasting plasma glucose in subjects with type 2 diabetes. PMID 12843147</w:t>
      </w:r>
    </w:p>
    <w:bookmarkEnd w:id="1116"/>
    <w:bookmarkStart w:id="1117" w:name="liraglutide-613"/>
    <w:p>
      <w:pPr>
        <w:pStyle w:val="Heading2"/>
      </w:pPr>
      <w:r>
        <w:t xml:space="preserve">Liraglutide (613)</w:t>
      </w:r>
    </w:p>
    <w:p>
      <w:pPr>
        <w:numPr>
          <w:ilvl w:val="0"/>
          <w:numId w:val="1377"/>
        </w:numPr>
        <w:pStyle w:val="Compact"/>
      </w:pPr>
      <w:r>
        <w:t xml:space="preserve">2026 · Caballero-Corbalán J ·</w:t>
      </w:r>
      <w:r>
        <w:t xml:space="preserve"> </w:t>
      </w:r>
      <w:r>
        <w:rPr>
          <w:iCs/>
          <w:i/>
        </w:rPr>
        <w:t xml:space="preserve">Diabetes Obes Metab</w:t>
      </w:r>
      <w:r>
        <w:t xml:space="preserve"> </w:t>
      </w:r>
      <w:r>
        <w:t xml:space="preserve">· Liraglutide and Βeta-Cell Function in Young Adults With Long-Standing Type 1 Diabetes and Residual C-Peptide: A Blinded, Randomized Controlled Trial. PMID 42595732</w:t>
      </w:r>
    </w:p>
    <w:p>
      <w:pPr>
        <w:numPr>
          <w:ilvl w:val="0"/>
          <w:numId w:val="1377"/>
        </w:numPr>
        <w:pStyle w:val="Compact"/>
      </w:pPr>
      <w:r>
        <w:t xml:space="preserve">2026 · Sun Y ·</w:t>
      </w:r>
      <w:r>
        <w:t xml:space="preserve"> </w:t>
      </w:r>
      <w:r>
        <w:rPr>
          <w:iCs/>
          <w:i/>
        </w:rPr>
        <w:t xml:space="preserve">Endocrine</w:t>
      </w:r>
      <w:r>
        <w:t xml:space="preserve"> </w:t>
      </w:r>
      <w:r>
        <w:t xml:space="preserve">· Comparative analysis of IDegLira versus insulin glargine in short-term intensive therapy for overweight or obese patients with type 2 diabetes mellitus. PMID 42439957</w:t>
      </w:r>
    </w:p>
    <w:p>
      <w:pPr>
        <w:numPr>
          <w:ilvl w:val="0"/>
          <w:numId w:val="1377"/>
        </w:numPr>
        <w:pStyle w:val="Compact"/>
      </w:pPr>
      <w:r>
        <w:t xml:space="preserve">2026 · Friedman MI ·</w:t>
      </w:r>
      <w:r>
        <w:t xml:space="preserve"> </w:t>
      </w:r>
      <w:r>
        <w:rPr>
          <w:iCs/>
          <w:i/>
        </w:rPr>
        <w:t xml:space="preserve">Obesity (Silver Spring)</w:t>
      </w:r>
      <w:r>
        <w:t xml:space="preserve"> </w:t>
      </w:r>
      <w:r>
        <w:t xml:space="preserve">· Appetite Suppression by GLP-1 Receptor Agonists: Role of Delayed Gastric Emptying. PMID 42392577</w:t>
      </w:r>
    </w:p>
    <w:p>
      <w:pPr>
        <w:numPr>
          <w:ilvl w:val="0"/>
          <w:numId w:val="1377"/>
        </w:numPr>
        <w:pStyle w:val="Compact"/>
      </w:pPr>
      <w:r>
        <w:t xml:space="preserve">2026 · Sandsdal RM ·</w:t>
      </w:r>
      <w:r>
        <w:t xml:space="preserve"> </w:t>
      </w:r>
      <w:r>
        <w:rPr>
          <w:iCs/>
          <w:i/>
        </w:rPr>
        <w:t xml:space="preserve">Nat Metab</w:t>
      </w:r>
      <w:r>
        <w:t xml:space="preserve"> </w:t>
      </w:r>
      <w:r>
        <w:t xml:space="preserve">· Effects of exercise and liraglutide on vascular health and inflammation during weight loss maintenance: a prespecified secondary analysis of the S-LiTE trial. PMID 42342869</w:t>
      </w:r>
    </w:p>
    <w:p>
      <w:pPr>
        <w:numPr>
          <w:ilvl w:val="0"/>
          <w:numId w:val="1377"/>
        </w:numPr>
        <w:pStyle w:val="Compact"/>
      </w:pPr>
      <w:r>
        <w:t xml:space="preserve">2026 · Sørensen KK ·</w:t>
      </w:r>
      <w:r>
        <w:t xml:space="preserve"> </w:t>
      </w:r>
      <w:r>
        <w:rPr>
          <w:iCs/>
          <w:i/>
        </w:rPr>
        <w:t xml:space="preserve">Clin Trials</w:t>
      </w:r>
      <w:r>
        <w:t xml:space="preserve"> </w:t>
      </w:r>
      <w:r>
        <w:t xml:space="preserve">· Accounting for non-adherence: A re-analysis of the Liraglutide Effect and Action in Diabetes: Evaluation of Cardiovascular Outcome Results trial. PMID 42227113</w:t>
      </w:r>
    </w:p>
    <w:p>
      <w:pPr>
        <w:numPr>
          <w:ilvl w:val="0"/>
          <w:numId w:val="1377"/>
        </w:numPr>
        <w:pStyle w:val="Compact"/>
      </w:pPr>
      <w:r>
        <w:t xml:space="preserve">2026 · Goldberger JJ ·</w:t>
      </w:r>
      <w:r>
        <w:t xml:space="preserve"> </w:t>
      </w:r>
      <w:r>
        <w:rPr>
          <w:iCs/>
          <w:i/>
        </w:rPr>
        <w:t xml:space="preserve">JACC Clin Electrophysiol</w:t>
      </w:r>
      <w:r>
        <w:t xml:space="preserve"> </w:t>
      </w:r>
      <w:r>
        <w:t xml:space="preserve">· The Liraglutide Effects in Atrial Fibrillation (LEAF) Study. PMID 42159524</w:t>
      </w:r>
    </w:p>
    <w:p>
      <w:pPr>
        <w:numPr>
          <w:ilvl w:val="0"/>
          <w:numId w:val="1377"/>
        </w:numPr>
        <w:pStyle w:val="Compact"/>
      </w:pPr>
      <w:r>
        <w:t xml:space="preserve">2026 · Lu L ·</w:t>
      </w:r>
      <w:r>
        <w:t xml:space="preserve"> </w:t>
      </w:r>
      <w:r>
        <w:rPr>
          <w:iCs/>
          <w:i/>
        </w:rPr>
        <w:t xml:space="preserve">Stroke</w:t>
      </w:r>
      <w:r>
        <w:t xml:space="preserve"> </w:t>
      </w:r>
      <w:r>
        <w:t xml:space="preserve">· Liraglutide and Recurrent Stroke by Baseline Insulin Resistance: A Post Hoc Analysis of the LAMP Trial. PMID 42145088</w:t>
      </w:r>
    </w:p>
    <w:p>
      <w:pPr>
        <w:numPr>
          <w:ilvl w:val="0"/>
          <w:numId w:val="1377"/>
        </w:numPr>
        <w:pStyle w:val="Compact"/>
      </w:pPr>
      <w:r>
        <w:t xml:space="preserve">2026 · Cherniavskyi V ·</w:t>
      </w:r>
      <w:r>
        <w:t xml:space="preserve"> </w:t>
      </w:r>
      <w:r>
        <w:rPr>
          <w:iCs/>
          <w:i/>
        </w:rPr>
        <w:t xml:space="preserve">Wiad Lek</w:t>
      </w:r>
      <w:r>
        <w:t xml:space="preserve"> </w:t>
      </w:r>
      <w:r>
        <w:t xml:space="preserve">· Six-month effects of liraglutide and dapagliflozin on lipid profile, cardiovascular risk, and NT-proBNP levels in patients with metabolic dysfunction-associated steatotic liver disease. PMID 42139606</w:t>
      </w:r>
    </w:p>
    <w:p>
      <w:pPr>
        <w:numPr>
          <w:ilvl w:val="0"/>
          <w:numId w:val="1377"/>
        </w:numPr>
        <w:pStyle w:val="Compact"/>
      </w:pPr>
      <w:r>
        <w:t xml:space="preserve">2026 · Evers A ·</w:t>
      </w:r>
      <w:r>
        <w:t xml:space="preserve"> </w:t>
      </w:r>
      <w:r>
        <w:rPr>
          <w:iCs/>
          <w:i/>
        </w:rPr>
        <w:t xml:space="preserve">J Clin Endocrinol Metab</w:t>
      </w:r>
      <w:r>
        <w:t xml:space="preserve"> </w:t>
      </w:r>
      <w:r>
        <w:t xml:space="preserve">· Insights from changes in NDEV biomarkers of metabolism: effects of PPARγ and GLP1 receptor agonists on brain metabolism. PMID 41992726</w:t>
      </w:r>
    </w:p>
    <w:p>
      <w:pPr>
        <w:numPr>
          <w:ilvl w:val="0"/>
          <w:numId w:val="1377"/>
        </w:numPr>
        <w:pStyle w:val="Compact"/>
      </w:pPr>
      <w:r>
        <w:t xml:space="preserve">2026 · Bergenstal RM ·</w:t>
      </w:r>
      <w:r>
        <w:t xml:space="preserve"> </w:t>
      </w:r>
      <w:r>
        <w:rPr>
          <w:iCs/>
          <w:i/>
        </w:rPr>
        <w:t xml:space="preserve">Diabetes Care</w:t>
      </w:r>
      <w:r>
        <w:t xml:space="preserve"> </w:t>
      </w:r>
      <w:r>
        <w:t xml:space="preserve">· Comparison of the Continuous Glucose Monitoring Profiles of Four Glucose-Lowering Medications in the GRADE Randomized Trial. PMID 41925680</w:t>
      </w:r>
    </w:p>
    <w:p>
      <w:pPr>
        <w:numPr>
          <w:ilvl w:val="0"/>
          <w:numId w:val="1377"/>
        </w:numPr>
        <w:pStyle w:val="Compact"/>
      </w:pPr>
      <w:r>
        <w:t xml:space="preserve">2026 · Baldassarre MPA ·</w:t>
      </w:r>
      <w:r>
        <w:t xml:space="preserve"> </w:t>
      </w:r>
      <w:r>
        <w:rPr>
          <w:iCs/>
          <w:i/>
        </w:rPr>
        <w:t xml:space="preserve">J Diabetes Complications</w:t>
      </w:r>
      <w:r>
        <w:t xml:space="preserve"> </w:t>
      </w:r>
      <w:r>
        <w:t xml:space="preserve">· Modulation of circulating extracellular vesicles by antihyperglycemic therapies: A pilot randomized controlled trial. PMID 41621217</w:t>
      </w:r>
    </w:p>
    <w:p>
      <w:pPr>
        <w:numPr>
          <w:ilvl w:val="0"/>
          <w:numId w:val="1377"/>
        </w:numPr>
        <w:pStyle w:val="Compact"/>
      </w:pPr>
      <w:r>
        <w:t xml:space="preserve">2026 · Jensen SBK ·</w:t>
      </w:r>
      <w:r>
        <w:t xml:space="preserve"> </w:t>
      </w:r>
      <w:r>
        <w:rPr>
          <w:iCs/>
          <w:i/>
        </w:rPr>
        <w:t xml:space="preserve">Sports Med</w:t>
      </w:r>
      <w:r>
        <w:t xml:space="preserve"> </w:t>
      </w:r>
      <w:r>
        <w:t xml:space="preserve">· Physical Fitness with Exercise and GLP-1 Receptor Agonist Treatment Alone or Combined After Diet-Induced Weight Loss: A Secondary Analysis of a Randomized Controlled Trial in Adults with Obesity. PMID 41579235</w:t>
      </w:r>
    </w:p>
    <w:p>
      <w:pPr>
        <w:numPr>
          <w:ilvl w:val="0"/>
          <w:numId w:val="1377"/>
        </w:numPr>
        <w:pStyle w:val="Compact"/>
      </w:pPr>
      <w:r>
        <w:t xml:space="preserve">2026 · Gutierrez de Piñeres V ·</w:t>
      </w:r>
      <w:r>
        <w:t xml:space="preserve"> </w:t>
      </w:r>
      <w:r>
        <w:rPr>
          <w:iCs/>
          <w:i/>
        </w:rPr>
        <w:t xml:space="preserve">Diabetes Res Clin Pract</w:t>
      </w:r>
      <w:r>
        <w:t xml:space="preserve"> </w:t>
      </w:r>
      <w:r>
        <w:t xml:space="preserve">· Effects of liraglutide treatment for 35-days on total and regional fat free, lean, and bone mass, and on the Myostatin-Activin-Follistatin-IGF-1 axes: a secondary analysis of a randomized placebo-controlled crossover study. PMID 41571048</w:t>
      </w:r>
    </w:p>
    <w:p>
      <w:pPr>
        <w:numPr>
          <w:ilvl w:val="0"/>
          <w:numId w:val="1377"/>
        </w:numPr>
        <w:pStyle w:val="Compact"/>
      </w:pPr>
      <w:r>
        <w:t xml:space="preserve">2026 · Gonzalez JS ·</w:t>
      </w:r>
      <w:r>
        <w:t xml:space="preserve"> </w:t>
      </w:r>
      <w:r>
        <w:rPr>
          <w:iCs/>
          <w:i/>
        </w:rPr>
        <w:t xml:space="preserve">Diabetes Care</w:t>
      </w:r>
      <w:r>
        <w:t xml:space="preserve"> </w:t>
      </w:r>
      <w:r>
        <w:t xml:space="preserve">· Medication Adherence in the Glycemia Reduction Approaches in Diabetes: A Comparative Effectiveness Study (GRADE). PMID 41557987</w:t>
      </w:r>
    </w:p>
    <w:p>
      <w:pPr>
        <w:numPr>
          <w:ilvl w:val="0"/>
          <w:numId w:val="1377"/>
        </w:numPr>
        <w:pStyle w:val="Compact"/>
      </w:pPr>
      <w:r>
        <w:t xml:space="preserve">2026 · Stefanakis K ·</w:t>
      </w:r>
      <w:r>
        <w:t xml:space="preserve"> </w:t>
      </w:r>
      <w:r>
        <w:rPr>
          <w:iCs/>
          <w:i/>
        </w:rPr>
        <w:t xml:space="preserve">Metabolism</w:t>
      </w:r>
      <w:r>
        <w:t xml:space="preserve"> </w:t>
      </w:r>
      <w:r>
        <w:t xml:space="preserve">· Proteomic effects of short-term liraglutide vs. placebo in a blinded crossover RCT: Implications for efficacy, safety, and comparison with semaglutide. PMID 41513169</w:t>
      </w:r>
    </w:p>
    <w:p>
      <w:pPr>
        <w:numPr>
          <w:ilvl w:val="0"/>
          <w:numId w:val="1377"/>
        </w:numPr>
        <w:pStyle w:val="Compact"/>
      </w:pPr>
      <w:r>
        <w:t xml:space="preserve">2026 · Kahn SE ·</w:t>
      </w:r>
      <w:r>
        <w:t xml:space="preserve"> </w:t>
      </w:r>
      <w:r>
        <w:rPr>
          <w:iCs/>
          <w:i/>
        </w:rPr>
        <w:t xml:space="preserve">Diabetes Care</w:t>
      </w:r>
      <w:r>
        <w:t xml:space="preserve"> </w:t>
      </w:r>
      <w:r>
        <w:t xml:space="preserve">· Differential Longitudinal Effects of Glucose-Lowering Medications on Glucagon and C-peptide Responses in the Glycemia Reduction Approaches in Diabetes: A Comparative Effectiveness Study (GRADE). PMID 41432725</w:t>
      </w:r>
    </w:p>
    <w:p>
      <w:pPr>
        <w:numPr>
          <w:ilvl w:val="0"/>
          <w:numId w:val="1377"/>
        </w:numPr>
        <w:pStyle w:val="Compact"/>
      </w:pPr>
      <w:r>
        <w:t xml:space="preserve">2026 · Edison P ·</w:t>
      </w:r>
      <w:r>
        <w:t xml:space="preserve"> </w:t>
      </w:r>
      <w:r>
        <w:rPr>
          <w:iCs/>
          <w:i/>
        </w:rPr>
        <w:t xml:space="preserve">Nat Med</w:t>
      </w:r>
      <w:r>
        <w:t xml:space="preserve"> </w:t>
      </w:r>
      <w:r>
        <w:t xml:space="preserve">· Liraglutide in mild to moderate Alzheimer’s disease: a phase 2b clinical trial. PMID 41326666</w:t>
      </w:r>
    </w:p>
    <w:p>
      <w:pPr>
        <w:numPr>
          <w:ilvl w:val="0"/>
          <w:numId w:val="1377"/>
        </w:numPr>
        <w:pStyle w:val="Compact"/>
      </w:pPr>
      <w:r>
        <w:t xml:space="preserve">2026 · Gutierrez de Piñeres V ·</w:t>
      </w:r>
      <w:r>
        <w:t xml:space="preserve"> </w:t>
      </w:r>
      <w:r>
        <w:rPr>
          <w:iCs/>
          <w:i/>
        </w:rPr>
        <w:t xml:space="preserve">Diabetes Obes Metab</w:t>
      </w:r>
      <w:r>
        <w:t xml:space="preserve"> </w:t>
      </w:r>
      <w:r>
        <w:t xml:space="preserve">· Effects of liraglutide treatment for 18 days on metabolic parameters, regional body composition and the myostatin-activin-follistatin-IGF-1 axis: Results from an exploratory, randomized, placebo-controlled, crossover study. PMID 41287185</w:t>
      </w:r>
    </w:p>
    <w:p>
      <w:pPr>
        <w:numPr>
          <w:ilvl w:val="0"/>
          <w:numId w:val="1377"/>
        </w:numPr>
        <w:pStyle w:val="Compact"/>
      </w:pPr>
      <w:r>
        <w:t xml:space="preserve">2026 · Zhu H ·</w:t>
      </w:r>
      <w:r>
        <w:t xml:space="preserve"> </w:t>
      </w:r>
      <w:r>
        <w:rPr>
          <w:iCs/>
          <w:i/>
        </w:rPr>
        <w:t xml:space="preserve">JAMA Intern Med</w:t>
      </w:r>
      <w:r>
        <w:t xml:space="preserve"> </w:t>
      </w:r>
      <w:r>
        <w:t xml:space="preserve">· Liraglutide in Acute Minor Ischemic Stroke or High-Risk Transient Ischemic Attack With Type 2 Diabetes: The LAMP Randomized Clinical Trial. PMID 41182740</w:t>
      </w:r>
    </w:p>
    <w:p>
      <w:pPr>
        <w:numPr>
          <w:ilvl w:val="0"/>
          <w:numId w:val="1377"/>
        </w:numPr>
        <w:pStyle w:val="Compact"/>
      </w:pPr>
      <w:r>
        <w:t xml:space="preserve">2026 · Holt J ·</w:t>
      </w:r>
      <w:r>
        <w:t xml:space="preserve"> </w:t>
      </w:r>
      <w:r>
        <w:rPr>
          <w:iCs/>
          <w:i/>
        </w:rPr>
        <w:t xml:space="preserve">Obesity (Silver Spring)</w:t>
      </w:r>
      <w:r>
        <w:t xml:space="preserve"> </w:t>
      </w:r>
      <w:r>
        <w:t xml:space="preserve">· One Year of Exercise After Weight Loss Increases Postprandial GLP-1 Secretion in Contrast to Usual Activity or GLP-1 Receptor Agonist Treatment. PMID 40998556</w:t>
      </w:r>
    </w:p>
    <w:p>
      <w:pPr>
        <w:numPr>
          <w:ilvl w:val="0"/>
          <w:numId w:val="1377"/>
        </w:numPr>
        <w:pStyle w:val="Compact"/>
      </w:pPr>
      <w:r>
        <w:t xml:space="preserve">2025 · Long XF ·</w:t>
      </w:r>
      <w:r>
        <w:t xml:space="preserve"> </w:t>
      </w:r>
      <w:r>
        <w:rPr>
          <w:iCs/>
          <w:i/>
        </w:rPr>
        <w:t xml:space="preserve">Front Endocrinol (Lausanne)</w:t>
      </w:r>
      <w:r>
        <w:t xml:space="preserve"> </w:t>
      </w:r>
      <w:r>
        <w:t xml:space="preserve">· Combination metformin and liraglutide in PCOS: clinical efficacy in women and preclinical insights from gut microbiome modulation in rats. PMID 41384017</w:t>
      </w:r>
    </w:p>
    <w:p>
      <w:pPr>
        <w:numPr>
          <w:ilvl w:val="0"/>
          <w:numId w:val="1377"/>
        </w:numPr>
        <w:pStyle w:val="Compact"/>
      </w:pPr>
      <w:r>
        <w:t xml:space="preserve">2025 · Brown WA ·</w:t>
      </w:r>
      <w:r>
        <w:t xml:space="preserve"> </w:t>
      </w:r>
      <w:r>
        <w:rPr>
          <w:iCs/>
          <w:i/>
        </w:rPr>
        <w:t xml:space="preserve">JAMA Netw Open</w:t>
      </w:r>
      <w:r>
        <w:t xml:space="preserve"> </w:t>
      </w:r>
      <w:r>
        <w:t xml:space="preserve">· Liraglutide and Weight Loss Among Suboptimal Responders to Metabolic Bariatric Surgery: A Randomized Clinical Trial. PMID 41160027</w:t>
      </w:r>
    </w:p>
    <w:p>
      <w:pPr>
        <w:numPr>
          <w:ilvl w:val="0"/>
          <w:numId w:val="1377"/>
        </w:numPr>
        <w:pStyle w:val="Compact"/>
      </w:pPr>
      <w:r>
        <w:t xml:space="preserve">2025 · Mashayekhi M ·</w:t>
      </w:r>
      <w:r>
        <w:t xml:space="preserve"> </w:t>
      </w:r>
      <w:r>
        <w:rPr>
          <w:iCs/>
          <w:i/>
        </w:rPr>
        <w:t xml:space="preserve">J Endocrinol</w:t>
      </w:r>
      <w:r>
        <w:t xml:space="preserve"> </w:t>
      </w:r>
      <w:r>
        <w:t xml:space="preserve">· RISING STARS: Effects of a GLP-1 receptor polymorphism on responses to liraglutide. PMID 41042549</w:t>
      </w:r>
    </w:p>
    <w:p>
      <w:pPr>
        <w:numPr>
          <w:ilvl w:val="0"/>
          <w:numId w:val="1377"/>
        </w:numPr>
        <w:pStyle w:val="Compact"/>
      </w:pPr>
      <w:r>
        <w:t xml:space="preserve">2025 · Glaros SB ·</w:t>
      </w:r>
      <w:r>
        <w:t xml:space="preserve"> </w:t>
      </w:r>
      <w:r>
        <w:rPr>
          <w:iCs/>
          <w:i/>
        </w:rPr>
        <w:t xml:space="preserve">Gut Microbes</w:t>
      </w:r>
      <w:r>
        <w:t xml:space="preserve"> </w:t>
      </w:r>
      <w:r>
        <w:t xml:space="preserve">· Systemic and gut microbiome changes with metformin and liraglutide in youth-onset type 2 diabetes: the MIGHTY study. PMID 41020378</w:t>
      </w:r>
    </w:p>
    <w:p>
      <w:pPr>
        <w:numPr>
          <w:ilvl w:val="0"/>
          <w:numId w:val="1377"/>
        </w:numPr>
        <w:pStyle w:val="Compact"/>
      </w:pPr>
      <w:r>
        <w:t xml:space="preserve">2025 · Pop-Busui R ·</w:t>
      </w:r>
      <w:r>
        <w:t xml:space="preserve"> </w:t>
      </w:r>
      <w:r>
        <w:rPr>
          <w:iCs/>
          <w:i/>
        </w:rPr>
        <w:t xml:space="preserve">Diabetes Care</w:t>
      </w:r>
      <w:r>
        <w:t xml:space="preserve"> </w:t>
      </w:r>
      <w:r>
        <w:t xml:space="preserve">· Differences in Prevalence and Incidence of Electrocardiogram Abnormalities and Cardiovascular Autonomic Neuropathy Among Randomized Glucose-Lowering Treatments in Early Type 2 Diabetes: The Glycemia Reduction Approaches in Diabetes (GRADE) Cohort. PMID 40986645</w:t>
      </w:r>
    </w:p>
    <w:p>
      <w:pPr>
        <w:numPr>
          <w:ilvl w:val="0"/>
          <w:numId w:val="1377"/>
        </w:numPr>
        <w:pStyle w:val="Compact"/>
      </w:pPr>
      <w:r>
        <w:t xml:space="preserve">2025 · Li X ·</w:t>
      </w:r>
      <w:r>
        <w:t xml:space="preserve"> </w:t>
      </w:r>
      <w:r>
        <w:rPr>
          <w:iCs/>
          <w:i/>
        </w:rPr>
        <w:t xml:space="preserve">Diabetes Obes Metab</w:t>
      </w:r>
      <w:r>
        <w:t xml:space="preserve"> </w:t>
      </w:r>
      <w:r>
        <w:t xml:space="preserve">· Dapagliflozin restores odour-induced functional integration of primary olfactory cortex circuit but not olfactory-related regional brain activation in patients with type 2 diabetes: A 16-week randomised comparative study. PMID 40954925</w:t>
      </w:r>
    </w:p>
    <w:p>
      <w:pPr>
        <w:numPr>
          <w:ilvl w:val="0"/>
          <w:numId w:val="1377"/>
        </w:numPr>
        <w:pStyle w:val="Compact"/>
      </w:pPr>
      <w:r>
        <w:t xml:space="preserve">2025 · Brosnahan N ·</w:t>
      </w:r>
      <w:r>
        <w:t xml:space="preserve"> </w:t>
      </w:r>
      <w:r>
        <w:rPr>
          <w:iCs/>
          <w:i/>
        </w:rPr>
        <w:t xml:space="preserve">Clin Nutr</w:t>
      </w:r>
      <w:r>
        <w:t xml:space="preserve"> </w:t>
      </w:r>
      <w:r>
        <w:t xml:space="preserve">· Diet strategies for maintaining substantial therapeutic weight loss: 78-week mixed methods randomised trial. PMID 40934815</w:t>
      </w:r>
    </w:p>
    <w:p>
      <w:pPr>
        <w:numPr>
          <w:ilvl w:val="0"/>
          <w:numId w:val="1377"/>
        </w:numPr>
        <w:pStyle w:val="Compact"/>
      </w:pPr>
      <w:r>
        <w:t xml:space="preserve">2025 · Guerdjikova AI ·</w:t>
      </w:r>
      <w:r>
        <w:t xml:space="preserve"> </w:t>
      </w:r>
      <w:r>
        <w:rPr>
          <w:iCs/>
          <w:i/>
        </w:rPr>
        <w:t xml:space="preserve">Int J Psychiatry Clin Pract</w:t>
      </w:r>
      <w:r>
        <w:t xml:space="preserve"> </w:t>
      </w:r>
      <w:r>
        <w:t xml:space="preserve">· Features of binge eating disorder in obese or overweight individuals with stable bipolar disorder participating in a weight loss trial - a post hoc analysis. PMID 40849800</w:t>
      </w:r>
    </w:p>
    <w:p>
      <w:pPr>
        <w:numPr>
          <w:ilvl w:val="0"/>
          <w:numId w:val="1377"/>
        </w:numPr>
        <w:pStyle w:val="Compact"/>
      </w:pPr>
      <w:r>
        <w:t xml:space="preserve">2025 · Nigro S ·</w:t>
      </w:r>
      <w:r>
        <w:t xml:space="preserve"> </w:t>
      </w:r>
      <w:r>
        <w:rPr>
          <w:iCs/>
          <w:i/>
        </w:rPr>
        <w:t xml:space="preserve">Obes Surg</w:t>
      </w:r>
      <w:r>
        <w:t xml:space="preserve"> </w:t>
      </w:r>
      <w:r>
        <w:t xml:space="preserve">· Comparative Efficacy of Endoscopic Sleeve Gastroplasty (Esg) Versus Liraglutide in Weight Loss and Remission Of Obesity-Related Comorbidities: Twelve Months Follow-Up Results. PMID 40779281</w:t>
      </w:r>
    </w:p>
    <w:p>
      <w:pPr>
        <w:numPr>
          <w:ilvl w:val="0"/>
          <w:numId w:val="1377"/>
        </w:numPr>
        <w:pStyle w:val="Compact"/>
      </w:pPr>
      <w:r>
        <w:t xml:space="preserve">2025 · Gómez-Medina AM ·</w:t>
      </w:r>
      <w:r>
        <w:t xml:space="preserve"> </w:t>
      </w:r>
      <w:r>
        <w:rPr>
          <w:iCs/>
          <w:i/>
        </w:rPr>
        <w:t xml:space="preserve">Diabetologia</w:t>
      </w:r>
      <w:r>
        <w:t xml:space="preserve"> </w:t>
      </w:r>
      <w:r>
        <w:t xml:space="preserve">· Insulin DEgludec/LIraglutide versus multiple daily insulin injections in the transition from hospital to outpatient management assessed by continuous glucose monitoring: the DELI transition trial. PMID 40760249</w:t>
      </w:r>
    </w:p>
    <w:p>
      <w:pPr>
        <w:numPr>
          <w:ilvl w:val="0"/>
          <w:numId w:val="1377"/>
        </w:numPr>
        <w:pStyle w:val="Compact"/>
      </w:pPr>
      <w:r>
        <w:t xml:space="preserve">2025 · Martin CK ·</w:t>
      </w:r>
      <w:r>
        <w:t xml:space="preserve"> </w:t>
      </w:r>
      <w:r>
        <w:rPr>
          <w:iCs/>
          <w:i/>
        </w:rPr>
        <w:t xml:space="preserve">Nat Med</w:t>
      </w:r>
      <w:r>
        <w:t xml:space="preserve"> </w:t>
      </w:r>
      <w:r>
        <w:t xml:space="preserve">· Tirzepatide on ingestive behavior in adults with overweight or obesity: a randomized 6-week phase 1 trial. PMID 40555748</w:t>
      </w:r>
    </w:p>
    <w:p>
      <w:pPr>
        <w:numPr>
          <w:ilvl w:val="0"/>
          <w:numId w:val="1377"/>
        </w:numPr>
        <w:pStyle w:val="Compact"/>
      </w:pPr>
      <w:r>
        <w:t xml:space="preserve">2025 · Simeone PG ·</w:t>
      </w:r>
      <w:r>
        <w:t xml:space="preserve"> </w:t>
      </w:r>
      <w:r>
        <w:rPr>
          <w:iCs/>
          <w:i/>
        </w:rPr>
        <w:t xml:space="preserve">Cardiovasc Diabetol</w:t>
      </w:r>
      <w:r>
        <w:t xml:space="preserve"> </w:t>
      </w:r>
      <w:r>
        <w:t xml:space="preserve">· Interleukin-1β in circulating mononuclear cells predicts steatotic liver disease improvement after weight loss in subjects with obesity and prediabetes or type 2 diabetes. PMID 40514652</w:t>
      </w:r>
    </w:p>
    <w:p>
      <w:pPr>
        <w:numPr>
          <w:ilvl w:val="0"/>
          <w:numId w:val="1377"/>
        </w:numPr>
        <w:pStyle w:val="Compact"/>
      </w:pPr>
      <w:r>
        <w:t xml:space="preserve">2025 · Cifuentes L ·</w:t>
      </w:r>
      <w:r>
        <w:t xml:space="preserve"> </w:t>
      </w:r>
      <w:r>
        <w:rPr>
          <w:iCs/>
          <w:i/>
        </w:rPr>
        <w:t xml:space="preserve">Cell Metab</w:t>
      </w:r>
      <w:r>
        <w:t xml:space="preserve"> </w:t>
      </w:r>
      <w:r>
        <w:t xml:space="preserve">· Genetic and physiological insights into satiation variability predict responses to obesity treatment. PMID 40482646</w:t>
      </w:r>
    </w:p>
    <w:p>
      <w:pPr>
        <w:numPr>
          <w:ilvl w:val="0"/>
          <w:numId w:val="1377"/>
        </w:numPr>
        <w:pStyle w:val="Compact"/>
      </w:pPr>
      <w:r>
        <w:t xml:space="preserve">2025 · Hsia DS ·</w:t>
      </w:r>
      <w:r>
        <w:t xml:space="preserve"> </w:t>
      </w:r>
      <w:r>
        <w:rPr>
          <w:iCs/>
          <w:i/>
        </w:rPr>
        <w:t xml:space="preserve">Diabetes Care</w:t>
      </w:r>
      <w:r>
        <w:t xml:space="preserve"> </w:t>
      </w:r>
      <w:r>
        <w:t xml:space="preserve">· Association of Hospitalizations With Randomized Glycemia-Lowering Treatment in GRADE. PMID 40424051</w:t>
      </w:r>
    </w:p>
    <w:p>
      <w:pPr>
        <w:numPr>
          <w:ilvl w:val="0"/>
          <w:numId w:val="1377"/>
        </w:numPr>
        <w:pStyle w:val="Compact"/>
      </w:pPr>
      <w:r>
        <w:t xml:space="preserve">2025 · Luchsinger JA ·</w:t>
      </w:r>
      <w:r>
        <w:t xml:space="preserve"> </w:t>
      </w:r>
      <w:r>
        <w:rPr>
          <w:iCs/>
          <w:i/>
        </w:rPr>
        <w:t xml:space="preserve">JAMA Intern Med</w:t>
      </w:r>
      <w:r>
        <w:t xml:space="preserve"> </w:t>
      </w:r>
      <w:r>
        <w:t xml:space="preserve">· Glucose-Lowering Medications, Glycemia, and Cognitive Outcomes: The GRADE Randomized Clinical Trial. PMID 40388190</w:t>
      </w:r>
    </w:p>
    <w:p>
      <w:pPr>
        <w:numPr>
          <w:ilvl w:val="0"/>
          <w:numId w:val="1377"/>
        </w:numPr>
        <w:pStyle w:val="Compact"/>
      </w:pPr>
      <w:r>
        <w:t xml:space="preserve">2025 · Caruso P ·</w:t>
      </w:r>
      <w:r>
        <w:t xml:space="preserve"> </w:t>
      </w:r>
      <w:r>
        <w:rPr>
          <w:iCs/>
          <w:i/>
        </w:rPr>
        <w:t xml:space="preserve">Diabetes Obes Metab</w:t>
      </w:r>
      <w:r>
        <w:t xml:space="preserve"> </w:t>
      </w:r>
      <w:r>
        <w:t xml:space="preserve">· Liraglutide improves peripheral perfusion and markers of angiogenesis and inflammation in people with type 2 diabetes and peripheral artery disease: An 18-month follow-up of a randomized clinical trial. PMID 40276845</w:t>
      </w:r>
    </w:p>
    <w:p>
      <w:pPr>
        <w:numPr>
          <w:ilvl w:val="0"/>
          <w:numId w:val="1377"/>
        </w:numPr>
        <w:pStyle w:val="Compact"/>
      </w:pPr>
      <w:r>
        <w:t xml:space="preserve">2025 · Wexler DJ ·</w:t>
      </w:r>
      <w:r>
        <w:t xml:space="preserve"> </w:t>
      </w:r>
      <w:r>
        <w:rPr>
          <w:iCs/>
          <w:i/>
        </w:rPr>
        <w:t xml:space="preserve">Diabetes Care</w:t>
      </w:r>
      <w:r>
        <w:t xml:space="preserve"> </w:t>
      </w:r>
      <w:r>
        <w:t xml:space="preserve">· Weight Gain Was Associated With Worsening Glycemia and Cardiovascular and Kidney Outcomes in Patients With Type 2 Diabetes Independent of Diabetes Medication in the GRADE Randomized Controlled Trial. PMID 40267365</w:t>
      </w:r>
    </w:p>
    <w:p>
      <w:pPr>
        <w:numPr>
          <w:ilvl w:val="0"/>
          <w:numId w:val="1377"/>
        </w:numPr>
        <w:pStyle w:val="Compact"/>
      </w:pPr>
      <w:r>
        <w:t xml:space="preserve">2025 · Richardson KM ·</w:t>
      </w:r>
      <w:r>
        <w:t xml:space="preserve"> </w:t>
      </w:r>
      <w:r>
        <w:rPr>
          <w:iCs/>
          <w:i/>
        </w:rPr>
        <w:t xml:space="preserve">Diabetes Obes Metab</w:t>
      </w:r>
      <w:r>
        <w:t xml:space="preserve"> </w:t>
      </w:r>
      <w:r>
        <w:t xml:space="preserve">· The influence of the glucagon-like peptide-1 receptor agonist, liraglutide, on dietary patterns and nutrient intakes in patients with obesity and prediabetes: A secondary analysis of a randomized controlled trial. PMID 40259488</w:t>
      </w:r>
    </w:p>
    <w:p>
      <w:pPr>
        <w:numPr>
          <w:ilvl w:val="0"/>
          <w:numId w:val="1377"/>
        </w:numPr>
        <w:pStyle w:val="Compact"/>
      </w:pPr>
      <w:r>
        <w:t xml:space="preserve">2025 · Utzschneider KM ·</w:t>
      </w:r>
      <w:r>
        <w:t xml:space="preserve"> </w:t>
      </w:r>
      <w:r>
        <w:rPr>
          <w:iCs/>
          <w:i/>
        </w:rPr>
        <w:t xml:space="preserve">Diabetes Care</w:t>
      </w:r>
      <w:r>
        <w:t xml:space="preserve"> </w:t>
      </w:r>
      <w:r>
        <w:t xml:space="preserve">· Differential Treatment Effects on β-Cell Function Using Model-Based Parameters in Type 2 Diabetes: Results From the Glycemia Reduction Approaches in Diabetes: A Comparative Effectiveness Study (GRADE). PMID 39998948</w:t>
      </w:r>
    </w:p>
    <w:p>
      <w:pPr>
        <w:numPr>
          <w:ilvl w:val="0"/>
          <w:numId w:val="1377"/>
        </w:numPr>
        <w:pStyle w:val="Compact"/>
      </w:pPr>
      <w:r>
        <w:t xml:space="preserve">2025 · Lahooti A ·</w:t>
      </w:r>
      <w:r>
        <w:t xml:space="preserve"> </w:t>
      </w:r>
      <w:r>
        <w:rPr>
          <w:iCs/>
          <w:i/>
        </w:rPr>
        <w:t xml:space="preserve">Obes Surg</w:t>
      </w:r>
      <w:r>
        <w:t xml:space="preserve"> </w:t>
      </w:r>
      <w:r>
        <w:t xml:space="preserve">· A Randomized, Double-Blind, Two-Way Cross-over Study to Evaluate the Efficacy of Liraglutide Treatment in Patients Undergoing Transoral Outlet Reduction Endoscopy for Weight Regain Post Roux-en-Y Gastric Bypass. PMID 39885064</w:t>
      </w:r>
    </w:p>
    <w:p>
      <w:pPr>
        <w:numPr>
          <w:ilvl w:val="0"/>
          <w:numId w:val="1377"/>
        </w:numPr>
        <w:pStyle w:val="Compact"/>
      </w:pPr>
      <w:r>
        <w:t xml:space="preserve">2025 · Shah VN ·</w:t>
      </w:r>
      <w:r>
        <w:t xml:space="preserve"> </w:t>
      </w:r>
      <w:r>
        <w:rPr>
          <w:iCs/>
          <w:i/>
        </w:rPr>
        <w:t xml:space="preserve">J Diabetes Sci Technol</w:t>
      </w:r>
      <w:r>
        <w:t xml:space="preserve"> </w:t>
      </w:r>
      <w:r>
        <w:t xml:space="preserve">· Determinants of Liraglutide Treatment Discontinuation in Type 1 Diabetes: A Post Hoc Analysis of ADJUNCT ONE and ADJUNCT TWO Randomized Placebo-Controlled Clinical Studies. PMID 39717993</w:t>
      </w:r>
    </w:p>
    <w:p>
      <w:pPr>
        <w:numPr>
          <w:ilvl w:val="0"/>
          <w:numId w:val="1377"/>
        </w:numPr>
        <w:pStyle w:val="Compact"/>
      </w:pPr>
      <w:r>
        <w:t xml:space="preserve">2025 · Holt R ·</w:t>
      </w:r>
      <w:r>
        <w:t xml:space="preserve"> </w:t>
      </w:r>
      <w:r>
        <w:rPr>
          <w:iCs/>
          <w:i/>
        </w:rPr>
        <w:t xml:space="preserve">J Clin Endocrinol Metab</w:t>
      </w:r>
      <w:r>
        <w:t xml:space="preserve"> </w:t>
      </w:r>
      <w:r>
        <w:t xml:space="preserve">· Weight Loss Induces Changes in Vitamin D Status in Women With Obesity But Not in Men: A Randomized Clinical Trial. PMID 39530599</w:t>
      </w:r>
    </w:p>
    <w:p>
      <w:pPr>
        <w:numPr>
          <w:ilvl w:val="0"/>
          <w:numId w:val="1377"/>
        </w:numPr>
        <w:pStyle w:val="Compact"/>
      </w:pPr>
      <w:r>
        <w:t xml:space="preserve">2025 · Lofton HF ·</w:t>
      </w:r>
      <w:r>
        <w:t xml:space="preserve"> </w:t>
      </w:r>
      <w:r>
        <w:rPr>
          <w:iCs/>
          <w:i/>
        </w:rPr>
        <w:t xml:space="preserve">Surg Obes Relat Dis</w:t>
      </w:r>
      <w:r>
        <w:t xml:space="preserve"> </w:t>
      </w:r>
      <w:r>
        <w:t xml:space="preserve">· A randomized, double-blind, placebo-controlled trial of weight loss using liraglutide 3.0 mg for weight recurrence after Roux-en-Y gastric bypass. PMID 39401933</w:t>
      </w:r>
    </w:p>
    <w:p>
      <w:pPr>
        <w:numPr>
          <w:ilvl w:val="0"/>
          <w:numId w:val="1377"/>
        </w:numPr>
        <w:pStyle w:val="Compact"/>
      </w:pPr>
      <w:r>
        <w:t xml:space="preserve">2025 · Beetz N ·</w:t>
      </w:r>
      <w:r>
        <w:t xml:space="preserve"> </w:t>
      </w:r>
      <w:r>
        <w:rPr>
          <w:iCs/>
          <w:i/>
        </w:rPr>
        <w:t xml:space="preserve">Diabetes Obes Metab</w:t>
      </w:r>
      <w:r>
        <w:t xml:space="preserve"> </w:t>
      </w:r>
      <w:r>
        <w:t xml:space="preserve">· A randomized phase I study of BI 1820237, a novel neuropeptide Y receptor type 2 agonist, alone or in combination with low-dose liraglutide in otherwise healthy men with overweight or obesity. PMID 39373311</w:t>
      </w:r>
    </w:p>
    <w:p>
      <w:pPr>
        <w:numPr>
          <w:ilvl w:val="0"/>
          <w:numId w:val="1377"/>
        </w:numPr>
        <w:pStyle w:val="Compact"/>
      </w:pPr>
      <w:r>
        <w:t xml:space="preserve">2025 · Iacobellis G ·</w:t>
      </w:r>
      <w:r>
        <w:t xml:space="preserve"> </w:t>
      </w:r>
      <w:r>
        <w:rPr>
          <w:iCs/>
          <w:i/>
        </w:rPr>
        <w:t xml:space="preserve">Nutr Metab Cardiovasc Dis</w:t>
      </w:r>
      <w:r>
        <w:t xml:space="preserve"> </w:t>
      </w:r>
      <w:r>
        <w:t xml:space="preserve">· Liraglutide effects on epicardial adipose tissue micro-RNAs and intra-operative glucose control. PMID 39277531</w:t>
      </w:r>
    </w:p>
    <w:p>
      <w:pPr>
        <w:numPr>
          <w:ilvl w:val="0"/>
          <w:numId w:val="1377"/>
        </w:numPr>
        <w:pStyle w:val="Compact"/>
      </w:pPr>
      <w:r>
        <w:t xml:space="preserve">2025 · Fox CK ·</w:t>
      </w:r>
      <w:r>
        <w:t xml:space="preserve"> </w:t>
      </w:r>
      <w:r>
        <w:rPr>
          <w:iCs/>
          <w:i/>
        </w:rPr>
        <w:t xml:space="preserve">N Engl J Med</w:t>
      </w:r>
      <w:r>
        <w:t xml:space="preserve"> </w:t>
      </w:r>
      <w:r>
        <w:t xml:space="preserve">· Liraglutide for Children 6 to &lt;12 Years of Age with Obesity - A Randomized Trial. PMID 39258838</w:t>
      </w:r>
    </w:p>
    <w:p>
      <w:pPr>
        <w:numPr>
          <w:ilvl w:val="0"/>
          <w:numId w:val="1377"/>
        </w:numPr>
        <w:pStyle w:val="Compact"/>
      </w:pPr>
      <w:r>
        <w:t xml:space="preserve">2025 · Jin Y ·</w:t>
      </w:r>
      <w:r>
        <w:t xml:space="preserve"> </w:t>
      </w:r>
      <w:r>
        <w:rPr>
          <w:iCs/>
          <w:i/>
        </w:rPr>
        <w:t xml:space="preserve">Altern Ther Health Med</w:t>
      </w:r>
      <w:r>
        <w:t xml:space="preserve"> </w:t>
      </w:r>
      <w:r>
        <w:t xml:space="preserve">· Analysis of the Efficacy of Polyenyl Phosphatidylcholine in Combination with Liraglutide in Nonalcoholic Fatty Liver Disease and the Effect of Omentin-1 and Vaspin Expression. PMID 38814610</w:t>
      </w:r>
    </w:p>
    <w:p>
      <w:pPr>
        <w:numPr>
          <w:ilvl w:val="0"/>
          <w:numId w:val="1377"/>
        </w:numPr>
        <w:pStyle w:val="Compact"/>
      </w:pPr>
      <w:r>
        <w:t xml:space="preserve">2025 · Harrison SA ·</w:t>
      </w:r>
      <w:r>
        <w:t xml:space="preserve"> </w:t>
      </w:r>
      <w:r>
        <w:rPr>
          <w:iCs/>
          <w:i/>
        </w:rPr>
        <w:t xml:space="preserve">Clin Gastroenterol Hepatol</w:t>
      </w:r>
      <w:r>
        <w:t xml:space="preserve"> </w:t>
      </w:r>
      <w:r>
        <w:t xml:space="preserve">· Safety and Efficacy of Efruxifermin in Combination With a GLP-1 Receptor Agonist in Patients With NASH/MASH and Type 2 Diabetes in a Randomized Phase 2 Study. PMID 38447814</w:t>
      </w:r>
    </w:p>
    <w:p>
      <w:pPr>
        <w:numPr>
          <w:ilvl w:val="0"/>
          <w:numId w:val="1377"/>
        </w:numPr>
        <w:pStyle w:val="Compact"/>
      </w:pPr>
      <w:r>
        <w:t xml:space="preserve">2024 · Ellegaard AM ·</w:t>
      </w:r>
      <w:r>
        <w:t xml:space="preserve"> </w:t>
      </w:r>
      <w:r>
        <w:rPr>
          <w:iCs/>
          <w:i/>
        </w:rPr>
        <w:t xml:space="preserve">Clin Transl Gastroenterol</w:t>
      </w:r>
      <w:r>
        <w:t xml:space="preserve"> </w:t>
      </w:r>
      <w:r>
        <w:t xml:space="preserve">· Liraglutide and Colesevelam Change Serum and Fecal Bile Acid Levels in a Randomized Trial With Patients With Bile Acid Diarrhea. PMID 39602188</w:t>
      </w:r>
    </w:p>
    <w:p>
      <w:pPr>
        <w:numPr>
          <w:ilvl w:val="0"/>
          <w:numId w:val="1377"/>
        </w:numPr>
        <w:pStyle w:val="Compact"/>
      </w:pPr>
      <w:r>
        <w:t xml:space="preserve">2024 · Seaquist ER ·</w:t>
      </w:r>
      <w:r>
        <w:t xml:space="preserve"> </w:t>
      </w:r>
      <w:r>
        <w:rPr>
          <w:iCs/>
          <w:i/>
        </w:rPr>
        <w:t xml:space="preserve">PLoS One</w:t>
      </w:r>
      <w:r>
        <w:t xml:space="preserve"> </w:t>
      </w:r>
      <w:r>
        <w:t xml:space="preserve">· Glycemia reduction in type 2 diabetes-Hypoglycemia outcomes: A randomized clinical trial. PMID 39546502</w:t>
      </w:r>
    </w:p>
    <w:p>
      <w:pPr>
        <w:numPr>
          <w:ilvl w:val="0"/>
          <w:numId w:val="1377"/>
        </w:numPr>
        <w:pStyle w:val="Compact"/>
      </w:pPr>
      <w:r>
        <w:t xml:space="preserve">2024 · Punthakee Z ·</w:t>
      </w:r>
      <w:r>
        <w:t xml:space="preserve"> </w:t>
      </w:r>
      <w:r>
        <w:rPr>
          <w:iCs/>
          <w:i/>
        </w:rPr>
        <w:t xml:space="preserve">Diabetes Obes Metab</w:t>
      </w:r>
      <w:r>
        <w:t xml:space="preserve"> </w:t>
      </w:r>
      <w:r>
        <w:t xml:space="preserve">· Evaluating remission of type 2 diabetes using a metabolic intervention including fixed-ratio insulin degludec and liraglutide: A randomized controlled trial. PMID 39239702</w:t>
      </w:r>
    </w:p>
    <w:p>
      <w:pPr>
        <w:numPr>
          <w:ilvl w:val="0"/>
          <w:numId w:val="1377"/>
        </w:numPr>
        <w:pStyle w:val="Compact"/>
      </w:pPr>
      <w:r>
        <w:t xml:space="preserve">2024 · Dejgaard TF ·</w:t>
      </w:r>
      <w:r>
        <w:t xml:space="preserve"> </w:t>
      </w:r>
      <w:r>
        <w:rPr>
          <w:iCs/>
          <w:i/>
        </w:rPr>
        <w:t xml:space="preserve">Diabetes Obes Metab</w:t>
      </w:r>
      <w:r>
        <w:t xml:space="preserve"> </w:t>
      </w:r>
      <w:r>
        <w:t xml:space="preserve">· Liraglutide enhances insulin secretion and prolongs the remission period in adults with newly diagnosed type 1 diabetes (the NewLira study): A randomized, double-blind, placebo-controlled trial. PMID 39192527</w:t>
      </w:r>
    </w:p>
    <w:p>
      <w:pPr>
        <w:numPr>
          <w:ilvl w:val="0"/>
          <w:numId w:val="1377"/>
        </w:numPr>
        <w:pStyle w:val="Compact"/>
      </w:pPr>
      <w:r>
        <w:t xml:space="preserve">2024 · Chowdhary A ·</w:t>
      </w:r>
      <w:r>
        <w:t xml:space="preserve"> </w:t>
      </w:r>
      <w:r>
        <w:rPr>
          <w:iCs/>
          <w:i/>
        </w:rPr>
        <w:t xml:space="preserve">J Am Coll Cardiol</w:t>
      </w:r>
      <w:r>
        <w:t xml:space="preserve"> </w:t>
      </w:r>
      <w:r>
        <w:t xml:space="preserve">· Liraglutide Improves Myocardial Perfusion and Energetics and Exercise Tolerance in Patients With Type 2 Diabetes. PMID 39084829</w:t>
      </w:r>
    </w:p>
    <w:p>
      <w:pPr>
        <w:numPr>
          <w:ilvl w:val="0"/>
          <w:numId w:val="1377"/>
        </w:numPr>
        <w:pStyle w:val="Compact"/>
      </w:pPr>
      <w:r>
        <w:t xml:space="preserve">2024 · Oosterom-Eijmael MJP ·</w:t>
      </w:r>
      <w:r>
        <w:t xml:space="preserve"> </w:t>
      </w:r>
      <w:r>
        <w:rPr>
          <w:iCs/>
          <w:i/>
        </w:rPr>
        <w:t xml:space="preserve">J Cardiothorac Vasc Anesth</w:t>
      </w:r>
      <w:r>
        <w:t xml:space="preserve"> </w:t>
      </w:r>
      <w:r>
        <w:t xml:space="preserve">· Continuous Glucose Monitoring and the Effect of Liraglutide in Cardiac Surgery Patients: A Substudy of the Randomized Controlled GLOBE Trial. PMID 38977382</w:t>
      </w:r>
    </w:p>
    <w:p>
      <w:pPr>
        <w:numPr>
          <w:ilvl w:val="0"/>
          <w:numId w:val="1377"/>
        </w:numPr>
        <w:pStyle w:val="Compact"/>
      </w:pPr>
      <w:r>
        <w:t xml:space="preserve">2024 · Hoekx CA ·</w:t>
      </w:r>
      <w:r>
        <w:t xml:space="preserve"> </w:t>
      </w:r>
      <w:r>
        <w:rPr>
          <w:iCs/>
          <w:i/>
        </w:rPr>
        <w:t xml:space="preserve">Exp Physiol</w:t>
      </w:r>
      <w:r>
        <w:t xml:space="preserve"> </w:t>
      </w:r>
      <w:r>
        <w:t xml:space="preserve">· Growth differentiation factor 15 is not modified after weight loss induced by liraglutide in South Asians and Europids with type 2 diabetes mellitus. PMID 38965822</w:t>
      </w:r>
    </w:p>
    <w:p>
      <w:pPr>
        <w:numPr>
          <w:ilvl w:val="0"/>
          <w:numId w:val="1377"/>
        </w:numPr>
        <w:pStyle w:val="Compact"/>
      </w:pPr>
      <w:r>
        <w:t xml:space="preserve">2024 · Jensen SBK ·</w:t>
      </w:r>
      <w:r>
        <w:t xml:space="preserve"> </w:t>
      </w:r>
      <w:r>
        <w:rPr>
          <w:iCs/>
          <w:i/>
        </w:rPr>
        <w:t xml:space="preserve">JAMA Netw Open</w:t>
      </w:r>
      <w:r>
        <w:t xml:space="preserve"> </w:t>
      </w:r>
      <w:r>
        <w:t xml:space="preserve">· Bone Health After Exercise Alone, GLP-1 Receptor Agonist Treatment, or Combination Treatment: A Secondary Analysis of a Randomized Clinical Trial. PMID 38916894</w:t>
      </w:r>
    </w:p>
    <w:p>
      <w:pPr>
        <w:numPr>
          <w:ilvl w:val="0"/>
          <w:numId w:val="1377"/>
        </w:numPr>
        <w:pStyle w:val="Compact"/>
      </w:pPr>
      <w:r>
        <w:t xml:space="preserve">2024 · Dogan ADA ·</w:t>
      </w:r>
      <w:r>
        <w:t xml:space="preserve"> </w:t>
      </w:r>
      <w:r>
        <w:rPr>
          <w:iCs/>
          <w:i/>
        </w:rPr>
        <w:t xml:space="preserve">BMC Res Notes</w:t>
      </w:r>
      <w:r>
        <w:t xml:space="preserve"> </w:t>
      </w:r>
      <w:r>
        <w:t xml:space="preserve">· FDG-PET/CT-based respiration-gated lung segmentation and quantification of lung inflammation in COPD patients. PMID 38902794</w:t>
      </w:r>
    </w:p>
    <w:p>
      <w:pPr>
        <w:numPr>
          <w:ilvl w:val="0"/>
          <w:numId w:val="1377"/>
        </w:numPr>
        <w:pStyle w:val="Compact"/>
      </w:pPr>
      <w:r>
        <w:t xml:space="preserve">2024 · Konstantinidou SK ·</w:t>
      </w:r>
      <w:r>
        <w:t xml:space="preserve"> </w:t>
      </w:r>
      <w:r>
        <w:rPr>
          <w:iCs/>
          <w:i/>
        </w:rPr>
        <w:t xml:space="preserve">Diabetes Obes Metab</w:t>
      </w:r>
      <w:r>
        <w:t xml:space="preserve"> </w:t>
      </w:r>
      <w:r>
        <w:t xml:space="preserve">· Total and H-specific growth/differentiation factor 15 levels are unaffected by liraglutide or naltrexone/bupropion administration. PMID 38757729</w:t>
      </w:r>
    </w:p>
    <w:p>
      <w:pPr>
        <w:numPr>
          <w:ilvl w:val="0"/>
          <w:numId w:val="1377"/>
        </w:numPr>
        <w:pStyle w:val="Compact"/>
      </w:pPr>
      <w:r>
        <w:t xml:space="preserve">2024 · Herfarth H ·</w:t>
      </w:r>
      <w:r>
        <w:t xml:space="preserve"> </w:t>
      </w:r>
      <w:r>
        <w:rPr>
          <w:iCs/>
          <w:i/>
        </w:rPr>
        <w:t xml:space="preserve">Am J Gastroenterol</w:t>
      </w:r>
      <w:r>
        <w:t xml:space="preserve"> </w:t>
      </w:r>
      <w:r>
        <w:t xml:space="preserve">· Efficacy and Safety of Liraglutide in Patients With an Ileal Pouch-Anal Anastomosis and Chronic High Bowel Frequency: A Placebo-Controlled, Crossover, Proof-of-Concept Study. PMID 38668926</w:t>
      </w:r>
    </w:p>
    <w:p>
      <w:pPr>
        <w:numPr>
          <w:ilvl w:val="0"/>
          <w:numId w:val="1377"/>
        </w:numPr>
        <w:pStyle w:val="Compact"/>
      </w:pPr>
      <w:r>
        <w:t xml:space="preserve">2024 · Pandey A ·</w:t>
      </w:r>
      <w:r>
        <w:t xml:space="preserve"> </w:t>
      </w:r>
      <w:r>
        <w:rPr>
          <w:iCs/>
          <w:i/>
        </w:rPr>
        <w:t xml:space="preserve">J Cachexia Sarcopenia Muscle</w:t>
      </w:r>
      <w:r>
        <w:t xml:space="preserve"> </w:t>
      </w:r>
      <w:r>
        <w:t xml:space="preserve">· Effect of liraglutide on thigh muscle fat and muscle composition in adults with overweight or obesity: Results from a randomized clinical trial. PMID 38561962</w:t>
      </w:r>
    </w:p>
    <w:p>
      <w:pPr>
        <w:numPr>
          <w:ilvl w:val="0"/>
          <w:numId w:val="1377"/>
        </w:numPr>
        <w:pStyle w:val="Compact"/>
      </w:pPr>
      <w:r>
        <w:t xml:space="preserve">2024 · Katogiannis K ·</w:t>
      </w:r>
      <w:r>
        <w:t xml:space="preserve"> </w:t>
      </w:r>
      <w:r>
        <w:rPr>
          <w:iCs/>
          <w:i/>
        </w:rPr>
        <w:t xml:space="preserve">Medicina (Kaunas)</w:t>
      </w:r>
      <w:r>
        <w:t xml:space="preserve"> </w:t>
      </w:r>
      <w:r>
        <w:t xml:space="preserve">· Effects of Liraglutide, Empagliflozin and Their Combination on Left Atrial Strain and Arterial Function. PMID 38541121</w:t>
      </w:r>
    </w:p>
    <w:p>
      <w:pPr>
        <w:numPr>
          <w:ilvl w:val="0"/>
          <w:numId w:val="1377"/>
        </w:numPr>
        <w:pStyle w:val="Compact"/>
      </w:pPr>
      <w:r>
        <w:t xml:space="preserve">2024 · Caruso P ·</w:t>
      </w:r>
      <w:r>
        <w:t xml:space="preserve"> </w:t>
      </w:r>
      <w:r>
        <w:rPr>
          <w:iCs/>
          <w:i/>
        </w:rPr>
        <w:t xml:space="preserve">JAMA Netw Open</w:t>
      </w:r>
      <w:r>
        <w:t xml:space="preserve"> </w:t>
      </w:r>
      <w:r>
        <w:t xml:space="preserve">· Liraglutide for Lower Limb Perfusion in People With Type 2 Diabetes and Peripheral Artery Disease: The STARDUST Randomized Clinical Trial. PMID 38470420</w:t>
      </w:r>
    </w:p>
    <w:p>
      <w:pPr>
        <w:numPr>
          <w:ilvl w:val="0"/>
          <w:numId w:val="1377"/>
        </w:numPr>
        <w:pStyle w:val="Compact"/>
      </w:pPr>
      <w:r>
        <w:t xml:space="preserve">2024 · Dearos Sanchis M ·</w:t>
      </w:r>
      <w:r>
        <w:t xml:space="preserve"> </w:t>
      </w:r>
      <w:r>
        <w:rPr>
          <w:iCs/>
          <w:i/>
        </w:rPr>
        <w:t xml:space="preserve">Nutr Hosp</w:t>
      </w:r>
      <w:r>
        <w:t xml:space="preserve"> </w:t>
      </w:r>
      <w:r>
        <w:t xml:space="preserve">· [Impact on weight loss and body composition of a food education intervention associated with Liraglutide treatment to address obesity]. PMID 38450509</w:t>
      </w:r>
    </w:p>
    <w:p>
      <w:pPr>
        <w:numPr>
          <w:ilvl w:val="0"/>
          <w:numId w:val="1377"/>
        </w:numPr>
        <w:pStyle w:val="Compact"/>
      </w:pPr>
      <w:r>
        <w:t xml:space="preserve">2024 · Green JB ·</w:t>
      </w:r>
      <w:r>
        <w:t xml:space="preserve"> </w:t>
      </w:r>
      <w:r>
        <w:rPr>
          <w:iCs/>
          <w:i/>
        </w:rPr>
        <w:t xml:space="preserve">Circulation</w:t>
      </w:r>
      <w:r>
        <w:t xml:space="preserve"> </w:t>
      </w:r>
      <w:r>
        <w:t xml:space="preserve">· Cardiovascular Outcomes in GRADE (Glycemia Reduction Approaches in Type 2 Diabetes: A Comparative Effectiveness Study). PMID 38344820</w:t>
      </w:r>
    </w:p>
    <w:p>
      <w:pPr>
        <w:numPr>
          <w:ilvl w:val="0"/>
          <w:numId w:val="1377"/>
        </w:numPr>
        <w:pStyle w:val="Compact"/>
      </w:pPr>
      <w:r>
        <w:t xml:space="preserve">2024 · Ma J ·</w:t>
      </w:r>
      <w:r>
        <w:t xml:space="preserve"> </w:t>
      </w:r>
      <w:r>
        <w:rPr>
          <w:iCs/>
          <w:i/>
        </w:rPr>
        <w:t xml:space="preserve">Altern Ther Health Med</w:t>
      </w:r>
      <w:r>
        <w:t xml:space="preserve"> </w:t>
      </w:r>
      <w:r>
        <w:t xml:space="preserve">· Clinical Efficacy and Safety of Liraglutide and Dapagliflozin on Glucose and Lipid Metabolism and Insulin Function in Patients with Type 2 Diabetes Mellitus. PMID 38294744</w:t>
      </w:r>
    </w:p>
    <w:p>
      <w:pPr>
        <w:numPr>
          <w:ilvl w:val="0"/>
          <w:numId w:val="1377"/>
        </w:numPr>
        <w:pStyle w:val="Compact"/>
      </w:pPr>
      <w:r>
        <w:t xml:space="preserve">2024 · Garvey WT ·</w:t>
      </w:r>
      <w:r>
        <w:t xml:space="preserve"> </w:t>
      </w:r>
      <w:r>
        <w:rPr>
          <w:iCs/>
          <w:i/>
        </w:rPr>
        <w:t xml:space="preserve">Diabetes Care</w:t>
      </w:r>
      <w:r>
        <w:t xml:space="preserve"> </w:t>
      </w:r>
      <w:r>
        <w:t xml:space="preserve">· Association of Baseline Factors With Glycemic Outcomes in GRADE: A Comparative Effectiveness Randomized Clinical Trial. PMID 38285957</w:t>
      </w:r>
    </w:p>
    <w:p>
      <w:pPr>
        <w:numPr>
          <w:ilvl w:val="0"/>
          <w:numId w:val="1377"/>
        </w:numPr>
        <w:pStyle w:val="Compact"/>
      </w:pPr>
      <w:r>
        <w:t xml:space="preserve">2024 · Kawaguchi Y ·</w:t>
      </w:r>
      <w:r>
        <w:t xml:space="preserve"> </w:t>
      </w:r>
      <w:r>
        <w:rPr>
          <w:iCs/>
          <w:i/>
        </w:rPr>
        <w:t xml:space="preserve">J Diabetes Investig</w:t>
      </w:r>
      <w:r>
        <w:t xml:space="preserve"> </w:t>
      </w:r>
      <w:r>
        <w:t xml:space="preserve">· Comparison of efficacy and safety of insulin degludec/liraglutide and insulin glargine U-100/lixisenatide in individuals with type 2 diabetes mellitus using professional continuous glucose monitoring. PMID 38258482</w:t>
      </w:r>
    </w:p>
    <w:p>
      <w:pPr>
        <w:numPr>
          <w:ilvl w:val="0"/>
          <w:numId w:val="1377"/>
        </w:numPr>
        <w:pStyle w:val="Compact"/>
      </w:pPr>
      <w:r>
        <w:t xml:space="preserve">2024 · McElroy SL ·</w:t>
      </w:r>
      <w:r>
        <w:t xml:space="preserve"> </w:t>
      </w:r>
      <w:r>
        <w:rPr>
          <w:iCs/>
          <w:i/>
        </w:rPr>
        <w:t xml:space="preserve">J Clin Psychopharmacol</w:t>
      </w:r>
      <w:r>
        <w:t xml:space="preserve"> </w:t>
      </w:r>
      <w:r>
        <w:t xml:space="preserve">· Liraglutide in Obese or Overweight Individuals With Stable Bipolar Disorder. PMID 38227621</w:t>
      </w:r>
    </w:p>
    <w:p>
      <w:pPr>
        <w:numPr>
          <w:ilvl w:val="0"/>
          <w:numId w:val="1377"/>
        </w:numPr>
        <w:pStyle w:val="Compact"/>
      </w:pPr>
      <w:r>
        <w:t xml:space="preserve">2024 · Rasouli N ·</w:t>
      </w:r>
      <w:r>
        <w:t xml:space="preserve"> </w:t>
      </w:r>
      <w:r>
        <w:rPr>
          <w:iCs/>
          <w:i/>
        </w:rPr>
        <w:t xml:space="preserve">Diabetes Care</w:t>
      </w:r>
      <w:r>
        <w:t xml:space="preserve"> </w:t>
      </w:r>
      <w:r>
        <w:t xml:space="preserve">· Longitudinal Effects of Glucose-Lowering Medications on β-Cell Responses and Insulin Sensitivity in Type 2 Diabetes: The GRADE Randomized Clinical Trial. PMID 38211595</w:t>
      </w:r>
    </w:p>
    <w:p>
      <w:pPr>
        <w:numPr>
          <w:ilvl w:val="0"/>
          <w:numId w:val="1377"/>
        </w:numPr>
        <w:pStyle w:val="Compact"/>
      </w:pPr>
      <w:r>
        <w:t xml:space="preserve">2024 · Kirkman MS ·</w:t>
      </w:r>
      <w:r>
        <w:t xml:space="preserve"> </w:t>
      </w:r>
      <w:r>
        <w:rPr>
          <w:iCs/>
          <w:i/>
        </w:rPr>
        <w:t xml:space="preserve">Diabetes Care</w:t>
      </w:r>
      <w:r>
        <w:t xml:space="preserve"> </w:t>
      </w:r>
      <w:r>
        <w:t xml:space="preserve">· Comparative Effects of Randomized Second-line Therapy for Type 2 Diabetes on a Composite Outcome Incorporating Glycemic Control, Body Weight, and Hypoglycemia: An Analysis of the Glycemia Reduction Approaches in Diabetes: A Comparative Effectiveness Study (GRADE). PMID 38194519</w:t>
      </w:r>
    </w:p>
    <w:p>
      <w:pPr>
        <w:numPr>
          <w:ilvl w:val="0"/>
          <w:numId w:val="1377"/>
        </w:numPr>
        <w:pStyle w:val="Compact"/>
      </w:pPr>
      <w:r>
        <w:t xml:space="preserve">2024 · Cherrington AL ·</w:t>
      </w:r>
      <w:r>
        <w:t xml:space="preserve"> </w:t>
      </w:r>
      <w:r>
        <w:rPr>
          <w:iCs/>
          <w:i/>
        </w:rPr>
        <w:t xml:space="preserve">Diabetes Care</w:t>
      </w:r>
      <w:r>
        <w:t xml:space="preserve"> </w:t>
      </w:r>
      <w:r>
        <w:t xml:space="preserve">· Impact of Glucose-Lowering Medications on Health-Related Quality of Life in the Glycemia Reduction Approaches in Diabetes: A Comparative Effectiveness Study (GRADE). PMID 38190625</w:t>
      </w:r>
    </w:p>
    <w:p>
      <w:pPr>
        <w:numPr>
          <w:ilvl w:val="0"/>
          <w:numId w:val="1377"/>
        </w:numPr>
        <w:pStyle w:val="Compact"/>
      </w:pPr>
      <w:r>
        <w:t xml:space="preserve">2024 · Utzschneider KM ·</w:t>
      </w:r>
      <w:r>
        <w:t xml:space="preserve"> </w:t>
      </w:r>
      <w:r>
        <w:rPr>
          <w:iCs/>
          <w:i/>
        </w:rPr>
        <w:t xml:space="preserve">Diabetes Care</w:t>
      </w:r>
      <w:r>
        <w:t xml:space="preserve"> </w:t>
      </w:r>
      <w:r>
        <w:t xml:space="preserve">· Impact of Insulin Sensitivity and β-Cell Function Over Time on Glycemic Outcomes in the Glycemia Reduction Approaches in Diabetes: A Comparative Effectiveness Study (GRADE): Differential Treatment Effects of Dual Therapy. PMID 38190619</w:t>
      </w:r>
    </w:p>
    <w:p>
      <w:pPr>
        <w:numPr>
          <w:ilvl w:val="0"/>
          <w:numId w:val="1377"/>
        </w:numPr>
        <w:pStyle w:val="Compact"/>
      </w:pPr>
      <w:r>
        <w:t xml:space="preserve">2024 · Eghbali M ·</w:t>
      </w:r>
      <w:r>
        <w:t xml:space="preserve"> </w:t>
      </w:r>
      <w:r>
        <w:rPr>
          <w:iCs/>
          <w:i/>
        </w:rPr>
        <w:t xml:space="preserve">Adv Ther</w:t>
      </w:r>
      <w:r>
        <w:t xml:space="preserve"> </w:t>
      </w:r>
      <w:r>
        <w:t xml:space="preserve">· Glucagon-Like Peptide 1 (GLP-1) Receptor Variants and Glycemic Response to Liraglutide: A Pharmacogenetics Study in Iranian People with Type 2 Diabetes Mellitus. PMID 38172377</w:t>
      </w:r>
    </w:p>
    <w:p>
      <w:pPr>
        <w:numPr>
          <w:ilvl w:val="0"/>
          <w:numId w:val="1377"/>
        </w:numPr>
        <w:pStyle w:val="Compact"/>
      </w:pPr>
      <w:r>
        <w:t xml:space="preserve">2024 · Hany M ·</w:t>
      </w:r>
      <w:r>
        <w:t xml:space="preserve"> </w:t>
      </w:r>
      <w:r>
        <w:rPr>
          <w:iCs/>
          <w:i/>
        </w:rPr>
        <w:t xml:space="preserve">Int J Surg</w:t>
      </w:r>
      <w:r>
        <w:t xml:space="preserve"> </w:t>
      </w:r>
      <w:r>
        <w:t xml:space="preserve">· Boosting weight loss after conversional Roux-en-Y Gastric Bypass with liraglutide and placebo use. A double-blind-randomized controlled trial. PMID 38100630</w:t>
      </w:r>
    </w:p>
    <w:p>
      <w:pPr>
        <w:numPr>
          <w:ilvl w:val="0"/>
          <w:numId w:val="1377"/>
        </w:numPr>
        <w:pStyle w:val="Compact"/>
      </w:pPr>
      <w:r>
        <w:t xml:space="preserve">2024 · O’Donnell C ·</w:t>
      </w:r>
      <w:r>
        <w:t xml:space="preserve"> </w:t>
      </w:r>
      <w:r>
        <w:rPr>
          <w:iCs/>
          <w:i/>
        </w:rPr>
        <w:t xml:space="preserve">Ann Am Thorac Soc</w:t>
      </w:r>
      <w:r>
        <w:t xml:space="preserve"> </w:t>
      </w:r>
      <w:r>
        <w:t xml:space="preserve">· Continuous Positive Airway Pressure but Not GLP1-mediated Weight Loss Improves Early Cardiovascular Disease in Obstructive Sleep Apnea: A Randomized Proof-of-Concept Study. PMID 38096106</w:t>
      </w:r>
    </w:p>
    <w:p>
      <w:pPr>
        <w:numPr>
          <w:ilvl w:val="0"/>
          <w:numId w:val="1377"/>
        </w:numPr>
        <w:pStyle w:val="Compact"/>
      </w:pPr>
      <w:r>
        <w:t xml:space="preserve">2024 · Krishnan K ·</w:t>
      </w:r>
      <w:r>
        <w:t xml:space="preserve"> </w:t>
      </w:r>
      <w:r>
        <w:rPr>
          <w:iCs/>
          <w:i/>
        </w:rPr>
        <w:t xml:space="preserve">Diabetes Res Clin Pract</w:t>
      </w:r>
      <w:r>
        <w:t xml:space="preserve"> </w:t>
      </w:r>
      <w:r>
        <w:t xml:space="preserve">· Phase 3 efficacy and safety trial of proposed liraglutide biosimilar for reduction of glycosylated hemoglobin (HbA1c) in patients with Type 2 diabetes mellitus. PMID 38061446</w:t>
      </w:r>
    </w:p>
    <w:p>
      <w:pPr>
        <w:numPr>
          <w:ilvl w:val="0"/>
          <w:numId w:val="1377"/>
        </w:numPr>
        <w:pStyle w:val="Compact"/>
      </w:pPr>
      <w:r>
        <w:t xml:space="preserve">2024 · Dietsche KB ·</w:t>
      </w:r>
      <w:r>
        <w:t xml:space="preserve"> </w:t>
      </w:r>
      <w:r>
        <w:rPr>
          <w:iCs/>
          <w:i/>
        </w:rPr>
        <w:t xml:space="preserve">J Clin Endocrinol Metab</w:t>
      </w:r>
      <w:r>
        <w:t xml:space="preserve"> </w:t>
      </w:r>
      <w:r>
        <w:t xml:space="preserve">· Glycemia and Gluconeogenesis With Metformin and Liraglutide: A Randomized Trial in Youth-onset Type 2 Diabetes. PMID 37967247</w:t>
      </w:r>
    </w:p>
    <w:p>
      <w:pPr>
        <w:numPr>
          <w:ilvl w:val="0"/>
          <w:numId w:val="1377"/>
        </w:numPr>
        <w:pStyle w:val="Compact"/>
      </w:pPr>
      <w:r>
        <w:t xml:space="preserve">2024 · Custódio G ·</w:t>
      </w:r>
      <w:r>
        <w:t xml:space="preserve"> </w:t>
      </w:r>
      <w:r>
        <w:rPr>
          <w:iCs/>
          <w:i/>
        </w:rPr>
        <w:t xml:space="preserve">Liver Transpl</w:t>
      </w:r>
      <w:r>
        <w:t xml:space="preserve"> </w:t>
      </w:r>
      <w:r>
        <w:t xml:space="preserve">· Does liraglutide alleviate inflammation in brain-dead donors? A randomized clinical trial. PMID 37938130</w:t>
      </w:r>
    </w:p>
    <w:p>
      <w:pPr>
        <w:numPr>
          <w:ilvl w:val="0"/>
          <w:numId w:val="1377"/>
        </w:numPr>
        <w:pStyle w:val="Compact"/>
      </w:pPr>
      <w:r>
        <w:t xml:space="preserve">2024 · Mashayekhi M ·</w:t>
      </w:r>
      <w:r>
        <w:t xml:space="preserve"> </w:t>
      </w:r>
      <w:r>
        <w:rPr>
          <w:iCs/>
          <w:i/>
        </w:rPr>
        <w:t xml:space="preserve">Diabetes</w:t>
      </w:r>
      <w:r>
        <w:t xml:space="preserve"> </w:t>
      </w:r>
      <w:r>
        <w:t xml:space="preserve">· Weight Loss-Independent Effect of Liraglutide on Insulin Sensitivity in Individuals With Obesity and Prediabetes. PMID 37874653</w:t>
      </w:r>
    </w:p>
    <w:p>
      <w:pPr>
        <w:numPr>
          <w:ilvl w:val="0"/>
          <w:numId w:val="1377"/>
        </w:numPr>
        <w:pStyle w:val="Compact"/>
      </w:pPr>
      <w:r>
        <w:t xml:space="preserve">2024 · Foghsgaard S ·</w:t>
      </w:r>
      <w:r>
        <w:t xml:space="preserve"> </w:t>
      </w:r>
      <w:r>
        <w:rPr>
          <w:iCs/>
          <w:i/>
        </w:rPr>
        <w:t xml:space="preserve">Diabetes Obes Metab</w:t>
      </w:r>
      <w:r>
        <w:t xml:space="preserve"> </w:t>
      </w:r>
      <w:r>
        <w:t xml:space="preserve">· Liraglutide treatment for the prevention of glucose tolerance deterioration in women with prior gestational diabetes mellitus: A 52-week randomized controlled clinical trial. PMID 37846555</w:t>
      </w:r>
    </w:p>
    <w:p>
      <w:pPr>
        <w:numPr>
          <w:ilvl w:val="0"/>
          <w:numId w:val="1377"/>
        </w:numPr>
        <w:pStyle w:val="Compact"/>
      </w:pPr>
      <w:r>
        <w:t xml:space="preserve">2024 · Hollander PA ·</w:t>
      </w:r>
      <w:r>
        <w:t xml:space="preserve"> </w:t>
      </w:r>
      <w:r>
        <w:rPr>
          <w:iCs/>
          <w:i/>
        </w:rPr>
        <w:t xml:space="preserve">Diabetes Care</w:t>
      </w:r>
      <w:r>
        <w:t xml:space="preserve"> </w:t>
      </w:r>
      <w:r>
        <w:t xml:space="preserve">· The Use of Rescue Insulin in the Glycemia Reduction Approaches in Diabetes: A Comparative Effectiveness Study (GRADE). PMID 37756542</w:t>
      </w:r>
    </w:p>
    <w:p>
      <w:pPr>
        <w:numPr>
          <w:ilvl w:val="0"/>
          <w:numId w:val="1377"/>
        </w:numPr>
        <w:pStyle w:val="Compact"/>
      </w:pPr>
      <w:r>
        <w:t xml:space="preserve">2024 · Liao M ·</w:t>
      </w:r>
      <w:r>
        <w:t xml:space="preserve"> </w:t>
      </w:r>
      <w:r>
        <w:rPr>
          <w:iCs/>
          <w:i/>
        </w:rPr>
        <w:t xml:space="preserve">Endocrine</w:t>
      </w:r>
      <w:r>
        <w:t xml:space="preserve"> </w:t>
      </w:r>
      <w:r>
        <w:t xml:space="preserve">· Effects and plasma proteomic analysis of GLP-1RA versus CPA/EE, in combination with metformin, on overweight PCOS women: a randomized controlled trial. PMID 37653215</w:t>
      </w:r>
    </w:p>
    <w:p>
      <w:pPr>
        <w:numPr>
          <w:ilvl w:val="0"/>
          <w:numId w:val="1377"/>
        </w:numPr>
        <w:pStyle w:val="Compact"/>
      </w:pPr>
      <w:r>
        <w:t xml:space="preserve">2024 · Rahbek MT ·</w:t>
      </w:r>
      <w:r>
        <w:t xml:space="preserve"> </w:t>
      </w:r>
      <w:r>
        <w:rPr>
          <w:iCs/>
          <w:i/>
        </w:rPr>
        <w:t xml:space="preserve">Pharmacoepidemiol Drug Saf</w:t>
      </w:r>
      <w:r>
        <w:t xml:space="preserve"> </w:t>
      </w:r>
      <w:r>
        <w:t xml:space="preserve">· A case for screening real-world data for collateral drug benefits: Glucagon-like peptide 1 receptor agonists and bile acid diarrhea. PMID 37559355</w:t>
      </w:r>
    </w:p>
    <w:p>
      <w:pPr>
        <w:numPr>
          <w:ilvl w:val="0"/>
          <w:numId w:val="1377"/>
        </w:numPr>
        <w:pStyle w:val="Compact"/>
      </w:pPr>
      <w:r>
        <w:t xml:space="preserve">2024 · Philis-Tsimikas A ·</w:t>
      </w:r>
      <w:r>
        <w:t xml:space="preserve"> </w:t>
      </w:r>
      <w:r>
        <w:rPr>
          <w:iCs/>
          <w:i/>
        </w:rPr>
        <w:t xml:space="preserve">J Diabetes Sci Technol</w:t>
      </w:r>
      <w:r>
        <w:t xml:space="preserve"> </w:t>
      </w:r>
      <w:r>
        <w:t xml:space="preserve">· Higher Derived Time in Range With IDegLira Versus Insulin Glargine U100 in People With Type 2 Diabetes. PMID 36710452</w:t>
      </w:r>
    </w:p>
    <w:p>
      <w:pPr>
        <w:numPr>
          <w:ilvl w:val="0"/>
          <w:numId w:val="1377"/>
        </w:numPr>
        <w:pStyle w:val="Compact"/>
      </w:pPr>
      <w:r>
        <w:t xml:space="preserve">2023 · Parker VER ·</w:t>
      </w:r>
      <w:r>
        <w:t xml:space="preserve"> </w:t>
      </w:r>
      <w:r>
        <w:rPr>
          <w:iCs/>
          <w:i/>
        </w:rPr>
        <w:t xml:space="preserve">Nat Metab</w:t>
      </w:r>
      <w:r>
        <w:t xml:space="preserve"> </w:t>
      </w:r>
      <w:r>
        <w:t xml:space="preserve">· Cotadutide promotes glycogenolysis in people with overweight or obesity diagnosed with type 2 diabetes. PMID 38066113</w:t>
      </w:r>
    </w:p>
    <w:p>
      <w:pPr>
        <w:numPr>
          <w:ilvl w:val="0"/>
          <w:numId w:val="1377"/>
        </w:numPr>
        <w:pStyle w:val="Compact"/>
      </w:pPr>
      <w:r>
        <w:t xml:space="preserve">2023 · Coelho C ·</w:t>
      </w:r>
      <w:r>
        <w:t xml:space="preserve"> </w:t>
      </w:r>
      <w:r>
        <w:rPr>
          <w:iCs/>
          <w:i/>
        </w:rPr>
        <w:t xml:space="preserve">Int J Obes (Lond)</w:t>
      </w:r>
      <w:r>
        <w:t xml:space="preserve"> </w:t>
      </w:r>
      <w:r>
        <w:t xml:space="preserve">· Laparoscopic adjustable gastric banding with liraglutide in adults with obesity and type 2 diabetes (GLIDE): a pilot randomised placebo controlled trial. PMID 37696925</w:t>
      </w:r>
    </w:p>
    <w:p>
      <w:pPr>
        <w:numPr>
          <w:ilvl w:val="0"/>
          <w:numId w:val="1377"/>
        </w:numPr>
        <w:pStyle w:val="Compact"/>
      </w:pPr>
      <w:r>
        <w:t xml:space="preserve">2023 · Coppin G ·</w:t>
      </w:r>
      <w:r>
        <w:t xml:space="preserve"> </w:t>
      </w:r>
      <w:r>
        <w:rPr>
          <w:iCs/>
          <w:i/>
        </w:rPr>
        <w:t xml:space="preserve">Int J Obes (Lond)</w:t>
      </w:r>
      <w:r>
        <w:t xml:space="preserve"> </w:t>
      </w:r>
      <w:r>
        <w:t xml:space="preserve">· A randomized controlled trial investigating the effect of liraglutide on self-reported liking and neural responses to food stimuli in participants with obesity. PMID 37626125</w:t>
      </w:r>
    </w:p>
    <w:p>
      <w:pPr>
        <w:numPr>
          <w:ilvl w:val="0"/>
          <w:numId w:val="1377"/>
        </w:numPr>
        <w:pStyle w:val="Compact"/>
      </w:pPr>
      <w:r>
        <w:t xml:space="preserve">2023 · Hanssen R ·</w:t>
      </w:r>
      <w:r>
        <w:t xml:space="preserve"> </w:t>
      </w:r>
      <w:r>
        <w:rPr>
          <w:iCs/>
          <w:i/>
        </w:rPr>
        <w:t xml:space="preserve">Nat Metab</w:t>
      </w:r>
      <w:r>
        <w:t xml:space="preserve"> </w:t>
      </w:r>
      <w:r>
        <w:t xml:space="preserve">· Liraglutide restores impaired associative learning in individuals with obesity. PMID 37592007</w:t>
      </w:r>
    </w:p>
    <w:p>
      <w:pPr>
        <w:numPr>
          <w:ilvl w:val="0"/>
          <w:numId w:val="1377"/>
        </w:numPr>
        <w:pStyle w:val="Compact"/>
      </w:pPr>
      <w:r>
        <w:t xml:space="preserve">2023 · Freitas FPC ·</w:t>
      </w:r>
      <w:r>
        <w:t xml:space="preserve"> </w:t>
      </w:r>
      <w:r>
        <w:rPr>
          <w:iCs/>
          <w:i/>
        </w:rPr>
        <w:t xml:space="preserve">Sci Rep</w:t>
      </w:r>
      <w:r>
        <w:t xml:space="preserve"> </w:t>
      </w:r>
      <w:r>
        <w:t xml:space="preserve">· Effect of liraglutide on cardiometabolic profile and on bioelectrical impedance analysis in patients with obesity and metabolic syndrome. PMID 37567946</w:t>
      </w:r>
    </w:p>
    <w:p>
      <w:pPr>
        <w:numPr>
          <w:ilvl w:val="0"/>
          <w:numId w:val="1377"/>
        </w:numPr>
        <w:pStyle w:val="Compact"/>
      </w:pPr>
      <w:r>
        <w:t xml:space="preserve">2023 · Mok J ·</w:t>
      </w:r>
      <w:r>
        <w:t xml:space="preserve"> </w:t>
      </w:r>
      <w:r>
        <w:rPr>
          <w:iCs/>
          <w:i/>
        </w:rPr>
        <w:t xml:space="preserve">JAMA Surg</w:t>
      </w:r>
      <w:r>
        <w:t xml:space="preserve"> </w:t>
      </w:r>
      <w:r>
        <w:t xml:space="preserve">· Safety and Efficacy of Liraglutide, 3.0 mg, Once Daily vs Placebo in Patients With Poor Weight Loss Following Metabolic Surgery: The BARI-OPTIMISE Randomized Clinical Trial. PMID 37494014</w:t>
      </w:r>
    </w:p>
    <w:p>
      <w:pPr>
        <w:numPr>
          <w:ilvl w:val="0"/>
          <w:numId w:val="1377"/>
        </w:numPr>
        <w:pStyle w:val="Compact"/>
      </w:pPr>
      <w:r>
        <w:t xml:space="preserve">2023 · Galindo RJ ·</w:t>
      </w:r>
      <w:r>
        <w:t xml:space="preserve"> </w:t>
      </w:r>
      <w:r>
        <w:rPr>
          <w:iCs/>
          <w:i/>
        </w:rPr>
        <w:t xml:space="preserve">Diabetes Care</w:t>
      </w:r>
      <w:r>
        <w:t xml:space="preserve"> </w:t>
      </w:r>
      <w:r>
        <w:t xml:space="preserve">· A Randomized Controlled Trial Comparing the Efficacy and Safety of IDegLira Versus Basal-Bolus in Patients With Poorly Controlled Type 2 Diabetes and Very High HbA1c ≥9-15%: DUAL HIGH Trial. PMID 37459574</w:t>
      </w:r>
    </w:p>
    <w:p>
      <w:pPr>
        <w:numPr>
          <w:ilvl w:val="0"/>
          <w:numId w:val="1377"/>
        </w:numPr>
        <w:pStyle w:val="Compact"/>
      </w:pPr>
      <w:r>
        <w:t xml:space="preserve">2023 · Scherbak NN ·</w:t>
      </w:r>
      <w:r>
        <w:t xml:space="preserve"> </w:t>
      </w:r>
      <w:r>
        <w:rPr>
          <w:iCs/>
          <w:i/>
        </w:rPr>
        <w:t xml:space="preserve">Diabetes Metab J</w:t>
      </w:r>
      <w:r>
        <w:t xml:space="preserve"> </w:t>
      </w:r>
      <w:r>
        <w:t xml:space="preserve">· Glimepiride Compared to Liraglutide Increases Plasma Levels of miR-206, miR-182-5p, and miR-766-3p in Type 2 Diabetes Mellitus: A Randomized Controlled Trial. PMID 37349083</w:t>
      </w:r>
    </w:p>
    <w:p>
      <w:pPr>
        <w:numPr>
          <w:ilvl w:val="0"/>
          <w:numId w:val="1377"/>
        </w:numPr>
        <w:pStyle w:val="Compact"/>
      </w:pPr>
      <w:r>
        <w:t xml:space="preserve">2023 · Bensignor MO ·</w:t>
      </w:r>
      <w:r>
        <w:t xml:space="preserve"> </w:t>
      </w:r>
      <w:r>
        <w:rPr>
          <w:iCs/>
          <w:i/>
        </w:rPr>
        <w:t xml:space="preserve">Pediatr Obes</w:t>
      </w:r>
      <w:r>
        <w:t xml:space="preserve"> </w:t>
      </w:r>
      <w:r>
        <w:t xml:space="preserve">· Evaluating potential predictors of weight loss response to liraglutide in adolescents with obesity: A post hoc analysis of the randomized, placebo-controlled SCALE Teens trial. PMID 37264767</w:t>
      </w:r>
    </w:p>
    <w:p>
      <w:pPr>
        <w:numPr>
          <w:ilvl w:val="0"/>
          <w:numId w:val="1377"/>
        </w:numPr>
        <w:pStyle w:val="Compact"/>
      </w:pPr>
      <w:r>
        <w:t xml:space="preserve">2023 · Wexler DJ ·</w:t>
      </w:r>
      <w:r>
        <w:t xml:space="preserve"> </w:t>
      </w:r>
      <w:r>
        <w:rPr>
          <w:iCs/>
          <w:i/>
        </w:rPr>
        <w:t xml:space="preserve">JAMA Intern Med</w:t>
      </w:r>
      <w:r>
        <w:t xml:space="preserve"> </w:t>
      </w:r>
      <w:r>
        <w:t xml:space="preserve">· Comparative Effects of Glucose-Lowering Medications on Kidney Outcomes in Type 2 Diabetes: The GRADE Randomized Clinical Trial. PMID 37213109</w:t>
      </w:r>
    </w:p>
    <w:p>
      <w:pPr>
        <w:numPr>
          <w:ilvl w:val="0"/>
          <w:numId w:val="1377"/>
        </w:numPr>
        <w:pStyle w:val="Compact"/>
      </w:pPr>
      <w:r>
        <w:t xml:space="preserve">2023 · Silver HJ ·</w:t>
      </w:r>
      <w:r>
        <w:t xml:space="preserve"> </w:t>
      </w:r>
      <w:r>
        <w:rPr>
          <w:iCs/>
          <w:i/>
        </w:rPr>
        <w:t xml:space="preserve">Diabetes Obes Metab</w:t>
      </w:r>
      <w:r>
        <w:t xml:space="preserve"> </w:t>
      </w:r>
      <w:r>
        <w:t xml:space="preserve">· Effect of the glucagon-like peptide-1 receptor agonist liraglutide, compared to caloric restriction, on appetite, dietary intake, body fat distribution and cardiometabolic biomarkers: A randomized trial in adults with obesity and prediabetes. PMID 37188932</w:t>
      </w:r>
    </w:p>
    <w:p>
      <w:pPr>
        <w:numPr>
          <w:ilvl w:val="0"/>
          <w:numId w:val="1377"/>
        </w:numPr>
        <w:pStyle w:val="Compact"/>
      </w:pPr>
      <w:r>
        <w:t xml:space="preserve">2023 · Meng XM ·</w:t>
      </w:r>
      <w:r>
        <w:t xml:space="preserve"> </w:t>
      </w:r>
      <w:r>
        <w:rPr>
          <w:iCs/>
          <w:i/>
        </w:rPr>
        <w:t xml:space="preserve">Zhonghua Yi Xue Za Zhi</w:t>
      </w:r>
      <w:r>
        <w:t xml:space="preserve"> </w:t>
      </w:r>
      <w:r>
        <w:t xml:space="preserve">· [Effect of Liraglutide on platelet distribution width and carotid intima-media thickness in type 2 diabetic mellitus patients with obesity]. PMID 37150681</w:t>
      </w:r>
    </w:p>
    <w:p>
      <w:pPr>
        <w:numPr>
          <w:ilvl w:val="0"/>
          <w:numId w:val="1377"/>
        </w:numPr>
        <w:pStyle w:val="Compact"/>
      </w:pPr>
      <w:r>
        <w:t xml:space="preserve">2023 · Jensen SBK ·</w:t>
      </w:r>
      <w:r>
        <w:t xml:space="preserve"> </w:t>
      </w:r>
      <w:r>
        <w:rPr>
          <w:iCs/>
          <w:i/>
        </w:rPr>
        <w:t xml:space="preserve">Obesity (Silver Spring)</w:t>
      </w:r>
      <w:r>
        <w:t xml:space="preserve"> </w:t>
      </w:r>
      <w:r>
        <w:t xml:space="preserve">· Weight loss maintenance with exercise and liraglutide improves glucose tolerance, glucagon response, and beta cell function. PMID 36942420</w:t>
      </w:r>
    </w:p>
    <w:p>
      <w:pPr>
        <w:numPr>
          <w:ilvl w:val="0"/>
          <w:numId w:val="1377"/>
        </w:numPr>
        <w:pStyle w:val="Compact"/>
      </w:pPr>
      <w:r>
        <w:t xml:space="preserve">2023 · Xu Z ·</w:t>
      </w:r>
      <w:r>
        <w:t xml:space="preserve"> </w:t>
      </w:r>
      <w:r>
        <w:rPr>
          <w:iCs/>
          <w:i/>
        </w:rPr>
        <w:t xml:space="preserve">Expert Rev Clin Pharmacol</w:t>
      </w:r>
      <w:r>
        <w:t xml:space="preserve"> </w:t>
      </w:r>
      <w:r>
        <w:t xml:space="preserve">· Comparing the bioequivalence and safety of liraglutide in healthy Chinese subjects: an open, single-dose, randomized, repeated, two-sequence, two-cycle phase I clinical trial. PMID 36883362</w:t>
      </w:r>
    </w:p>
    <w:p>
      <w:pPr>
        <w:numPr>
          <w:ilvl w:val="0"/>
          <w:numId w:val="1377"/>
        </w:numPr>
        <w:pStyle w:val="Compact"/>
      </w:pPr>
      <w:r>
        <w:t xml:space="preserve">2023 · Iijima T ·</w:t>
      </w:r>
      <w:r>
        <w:t xml:space="preserve"> </w:t>
      </w:r>
      <w:r>
        <w:rPr>
          <w:iCs/>
          <w:i/>
        </w:rPr>
        <w:t xml:space="preserve">J Diabetes Investig</w:t>
      </w:r>
      <w:r>
        <w:t xml:space="preserve"> </w:t>
      </w:r>
      <w:r>
        <w:t xml:space="preserve">· Effects of switching from liraglutide to semaglutide or dulaglutide in patients with type 2 diabetes: A randomized controlled trial. PMID 36871272</w:t>
      </w:r>
    </w:p>
    <w:p>
      <w:pPr>
        <w:numPr>
          <w:ilvl w:val="0"/>
          <w:numId w:val="1377"/>
        </w:numPr>
        <w:pStyle w:val="Compact"/>
      </w:pPr>
      <w:r>
        <w:t xml:space="preserve">2023 · Bechlioulis A ·</w:t>
      </w:r>
      <w:r>
        <w:t xml:space="preserve"> </w:t>
      </w:r>
      <w:r>
        <w:rPr>
          <w:iCs/>
          <w:i/>
        </w:rPr>
        <w:t xml:space="preserve">J Diabetes Complications</w:t>
      </w:r>
      <w:r>
        <w:t xml:space="preserve"> </w:t>
      </w:r>
      <w:r>
        <w:t xml:space="preserve">· The effect of SGLT2 inhibitors, GLP1 agonists, and their sequential combination on cardiometabolic parameters: A randomized, prospective, intervention study. PMID 36842186</w:t>
      </w:r>
    </w:p>
    <w:p>
      <w:pPr>
        <w:numPr>
          <w:ilvl w:val="0"/>
          <w:numId w:val="1377"/>
        </w:numPr>
        <w:pStyle w:val="Compact"/>
      </w:pPr>
      <w:r>
        <w:t xml:space="preserve">2023 · Sandsdal RM ·</w:t>
      </w:r>
      <w:r>
        <w:t xml:space="preserve"> </w:t>
      </w:r>
      <w:r>
        <w:rPr>
          <w:iCs/>
          <w:i/>
        </w:rPr>
        <w:t xml:space="preserve">Cardiovasc Diabetol</w:t>
      </w:r>
      <w:r>
        <w:t xml:space="preserve"> </w:t>
      </w:r>
      <w:r>
        <w:t xml:space="preserve">· Combination of exercise and GLP-1 receptor agonist treatment reduces severity of metabolic syndrome, abdominal obesity, and inflammation: a randomized controlled trial. PMID 36841762</w:t>
      </w:r>
    </w:p>
    <w:p>
      <w:pPr>
        <w:numPr>
          <w:ilvl w:val="0"/>
          <w:numId w:val="1377"/>
        </w:numPr>
        <w:pStyle w:val="Compact"/>
      </w:pPr>
      <w:r>
        <w:t xml:space="preserve">2023 · Nerild HH ·</w:t>
      </w:r>
      <w:r>
        <w:t xml:space="preserve"> </w:t>
      </w:r>
      <w:r>
        <w:rPr>
          <w:iCs/>
          <w:i/>
        </w:rPr>
        <w:t xml:space="preserve">Diabetes Obes Metab</w:t>
      </w:r>
      <w:r>
        <w:t xml:space="preserve"> </w:t>
      </w:r>
      <w:r>
        <w:t xml:space="preserve">· Liraglutide changes postprandial responses of gut hormones involved in the regulation of gallbladder motility. PMID 36781820</w:t>
      </w:r>
    </w:p>
    <w:p>
      <w:pPr>
        <w:numPr>
          <w:ilvl w:val="0"/>
          <w:numId w:val="1377"/>
        </w:numPr>
        <w:pStyle w:val="Compact"/>
      </w:pPr>
      <w:r>
        <w:t xml:space="preserve">2023 · Su Y ·</w:t>
      </w:r>
      <w:r>
        <w:t xml:space="preserve"> </w:t>
      </w:r>
      <w:r>
        <w:rPr>
          <w:iCs/>
          <w:i/>
        </w:rPr>
        <w:t xml:space="preserve">Front Endocrinol (Lausanne)</w:t>
      </w:r>
      <w:r>
        <w:t xml:space="preserve"> </w:t>
      </w:r>
      <w:r>
        <w:t xml:space="preserve">· Pharmacoeconomic analysis (CER) of Dulaglutide and Liraglutide in the treatment of patients with type 2 diabetes. PMID 36755915</w:t>
      </w:r>
    </w:p>
    <w:p>
      <w:pPr>
        <w:numPr>
          <w:ilvl w:val="0"/>
          <w:numId w:val="1377"/>
        </w:numPr>
        <w:pStyle w:val="Compact"/>
      </w:pPr>
      <w:r>
        <w:t xml:space="preserve">2023 · Takahashi Y ·</w:t>
      </w:r>
      <w:r>
        <w:t xml:space="preserve"> </w:t>
      </w:r>
      <w:r>
        <w:rPr>
          <w:iCs/>
          <w:i/>
        </w:rPr>
        <w:t xml:space="preserve">Diabetes Obes Metab</w:t>
      </w:r>
      <w:r>
        <w:t xml:space="preserve"> </w:t>
      </w:r>
      <w:r>
        <w:t xml:space="preserve">· Improvement of glycaemic control and treatment satisfaction by switching from liraglutide or dulaglutide to subcutaneous semaglutide in patients with type 2 diabetes: A multicentre, prospective, randomized, open-label, parallel-group comparison study (SWITCH-SEMA 1 study). PMID 36722623</w:t>
      </w:r>
    </w:p>
    <w:p>
      <w:pPr>
        <w:numPr>
          <w:ilvl w:val="0"/>
          <w:numId w:val="1377"/>
        </w:numPr>
        <w:pStyle w:val="Compact"/>
      </w:pPr>
      <w:r>
        <w:t xml:space="preserve">2023 · Sindhvananda W ·</w:t>
      </w:r>
      <w:r>
        <w:t xml:space="preserve"> </w:t>
      </w:r>
      <w:r>
        <w:rPr>
          <w:iCs/>
          <w:i/>
        </w:rPr>
        <w:t xml:space="preserve">Ann Card Anaesth</w:t>
      </w:r>
      <w:r>
        <w:t xml:space="preserve"> </w:t>
      </w:r>
      <w:r>
        <w:t xml:space="preserve">· Comparison of glucose control by added liraglutide to only insulin infusion in diabetic patient undergoing cardiac surgery: A preliminary randomized-controlled trial. PMID 36722590</w:t>
      </w:r>
    </w:p>
    <w:p>
      <w:pPr>
        <w:numPr>
          <w:ilvl w:val="0"/>
          <w:numId w:val="1377"/>
        </w:numPr>
        <w:pStyle w:val="Compact"/>
      </w:pPr>
      <w:r>
        <w:t xml:space="preserve">2023 · Feng S ·</w:t>
      </w:r>
      <w:r>
        <w:t xml:space="preserve"> </w:t>
      </w:r>
      <w:r>
        <w:rPr>
          <w:iCs/>
          <w:i/>
        </w:rPr>
        <w:t xml:space="preserve">Clin Pharmacol Drug Dev</w:t>
      </w:r>
      <w:r>
        <w:t xml:space="preserve"> </w:t>
      </w:r>
      <w:r>
        <w:t xml:space="preserve">· A Single-dose, Two-Period Crossover Bioequivalence Study Comparing Two Liraglutide Formulations in Healthy Chinese Subjects. PMID 36648126</w:t>
      </w:r>
    </w:p>
    <w:p>
      <w:pPr>
        <w:numPr>
          <w:ilvl w:val="0"/>
          <w:numId w:val="1377"/>
        </w:numPr>
        <w:pStyle w:val="Compact"/>
      </w:pPr>
      <w:r>
        <w:t xml:space="preserve">2023 · Jiang W ·</w:t>
      </w:r>
      <w:r>
        <w:t xml:space="preserve"> </w:t>
      </w:r>
      <w:r>
        <w:rPr>
          <w:iCs/>
          <w:i/>
        </w:rPr>
        <w:t xml:space="preserve">Sleep Breath</w:t>
      </w:r>
      <w:r>
        <w:t xml:space="preserve"> </w:t>
      </w:r>
      <w:r>
        <w:t xml:space="preserve">· Efficacy and safety of liraglutide in patients with type 2 diabetes mellitus and severe obstructive sleep apnea. PMID 36542275</w:t>
      </w:r>
    </w:p>
    <w:p>
      <w:pPr>
        <w:numPr>
          <w:ilvl w:val="0"/>
          <w:numId w:val="1377"/>
        </w:numPr>
        <w:pStyle w:val="Compact"/>
      </w:pPr>
      <w:r>
        <w:t xml:space="preserve">2023 · Bogh AF ·</w:t>
      </w:r>
      <w:r>
        <w:t xml:space="preserve"> </w:t>
      </w:r>
      <w:r>
        <w:rPr>
          <w:iCs/>
          <w:i/>
        </w:rPr>
        <w:t xml:space="preserve">Sleep</w:t>
      </w:r>
      <w:r>
        <w:t xml:space="preserve"> </w:t>
      </w:r>
      <w:r>
        <w:t xml:space="preserve">· Insufficient sleep predicts poor weight loss maintenance after 1 year. PMID 36472579</w:t>
      </w:r>
    </w:p>
    <w:p>
      <w:pPr>
        <w:numPr>
          <w:ilvl w:val="0"/>
          <w:numId w:val="1377"/>
        </w:numPr>
        <w:pStyle w:val="Compact"/>
      </w:pPr>
      <w:r>
        <w:t xml:space="preserve">2023 · Angelidi AM ·</w:t>
      </w:r>
      <w:r>
        <w:t xml:space="preserve"> </w:t>
      </w:r>
      <w:r>
        <w:rPr>
          <w:iCs/>
          <w:i/>
        </w:rPr>
        <w:t xml:space="preserve">Metabolism</w:t>
      </w:r>
      <w:r>
        <w:t xml:space="preserve"> </w:t>
      </w:r>
      <w:r>
        <w:t xml:space="preserve">· Early metabolomic, lipid and lipoprotein changes in response to medical and surgical therapeutic approaches to obesity. PMID 36375643</w:t>
      </w:r>
    </w:p>
    <w:p>
      <w:pPr>
        <w:numPr>
          <w:ilvl w:val="0"/>
          <w:numId w:val="1377"/>
        </w:numPr>
        <w:pStyle w:val="Compact"/>
      </w:pPr>
      <w:r>
        <w:t xml:space="preserve">2023 · Mashayekhi M ·</w:t>
      </w:r>
      <w:r>
        <w:t xml:space="preserve"> </w:t>
      </w:r>
      <w:r>
        <w:rPr>
          <w:iCs/>
          <w:i/>
        </w:rPr>
        <w:t xml:space="preserve">Diabetes Obes Metab</w:t>
      </w:r>
      <w:r>
        <w:t xml:space="preserve"> </w:t>
      </w:r>
      <w:r>
        <w:t xml:space="preserve">· Comparative effects of weight loss and incretin-based therapies on vascular endothelial function, fibrinolysis and inflammation in individuals with obesity and prediabetes: A randomized controlled trial. PMID 36306151</w:t>
      </w:r>
    </w:p>
    <w:p>
      <w:pPr>
        <w:numPr>
          <w:ilvl w:val="0"/>
          <w:numId w:val="1377"/>
        </w:numPr>
        <w:pStyle w:val="Compact"/>
      </w:pPr>
      <w:r>
        <w:t xml:space="preserve">2023 · Sannaa W ·</w:t>
      </w:r>
      <w:r>
        <w:t xml:space="preserve"> </w:t>
      </w:r>
      <w:r>
        <w:rPr>
          <w:iCs/>
          <w:i/>
        </w:rPr>
        <w:t xml:space="preserve">Diabetes Obes Metab</w:t>
      </w:r>
      <w:r>
        <w:t xml:space="preserve"> </w:t>
      </w:r>
      <w:r>
        <w:t xml:space="preserve">· Factors associated with successful weight loss after liraglutide treatment for obesity. PMID 36193713</w:t>
      </w:r>
    </w:p>
    <w:p>
      <w:pPr>
        <w:numPr>
          <w:ilvl w:val="0"/>
          <w:numId w:val="1377"/>
        </w:numPr>
        <w:pStyle w:val="Compact"/>
      </w:pPr>
      <w:r>
        <w:t xml:space="preserve">2023 · Neves JS ·</w:t>
      </w:r>
      <w:r>
        <w:t xml:space="preserve"> </w:t>
      </w:r>
      <w:r>
        <w:rPr>
          <w:iCs/>
          <w:i/>
        </w:rPr>
        <w:t xml:space="preserve">Diabetes Obes Metab</w:t>
      </w:r>
      <w:r>
        <w:t xml:space="preserve"> </w:t>
      </w:r>
      <w:r>
        <w:t xml:space="preserve">· Risk of adverse events with liraglutide in heart failure with reduced ejection fraction: A post hoc analysis of the FIGHT trial. PMID 36082522</w:t>
      </w:r>
    </w:p>
    <w:p>
      <w:pPr>
        <w:numPr>
          <w:ilvl w:val="0"/>
          <w:numId w:val="1377"/>
        </w:numPr>
        <w:pStyle w:val="Compact"/>
      </w:pPr>
      <w:r>
        <w:t xml:space="preserve">2022 · Diene G ·</w:t>
      </w:r>
      <w:r>
        <w:t xml:space="preserve"> </w:t>
      </w:r>
      <w:r>
        <w:rPr>
          <w:iCs/>
          <w:i/>
        </w:rPr>
        <w:t xml:space="preserve">J Clin Endocrinol Metab</w:t>
      </w:r>
      <w:r>
        <w:t xml:space="preserve"> </w:t>
      </w:r>
      <w:r>
        <w:t xml:space="preserve">· Liraglutide for Weight Management in Children and Adolescents With Prader-Willi Syndrome and Obesity. PMID 36181471</w:t>
      </w:r>
    </w:p>
    <w:p>
      <w:pPr>
        <w:numPr>
          <w:ilvl w:val="0"/>
          <w:numId w:val="1377"/>
        </w:numPr>
        <w:pStyle w:val="Compact"/>
      </w:pPr>
      <w:r>
        <w:t xml:space="preserve">2022 · GRADE Study Research Group ·</w:t>
      </w:r>
      <w:r>
        <w:t xml:space="preserve"> </w:t>
      </w:r>
      <w:r>
        <w:rPr>
          <w:iCs/>
          <w:i/>
        </w:rPr>
        <w:t xml:space="preserve">N Engl J Med</w:t>
      </w:r>
      <w:r>
        <w:t xml:space="preserve"> </w:t>
      </w:r>
      <w:r>
        <w:t xml:space="preserve">· Glycemia Reduction in Type 2 Diabetes - Microvascular and Cardiovascular Outcomes. PMID 36129997</w:t>
      </w:r>
    </w:p>
    <w:p>
      <w:pPr>
        <w:numPr>
          <w:ilvl w:val="0"/>
          <w:numId w:val="1377"/>
        </w:numPr>
        <w:pStyle w:val="Compact"/>
      </w:pPr>
      <w:r>
        <w:t xml:space="preserve">2022 · GRADE Study Research Group ·</w:t>
      </w:r>
      <w:r>
        <w:t xml:space="preserve"> </w:t>
      </w:r>
      <w:r>
        <w:rPr>
          <w:iCs/>
          <w:i/>
        </w:rPr>
        <w:t xml:space="preserve">N Engl J Med</w:t>
      </w:r>
      <w:r>
        <w:t xml:space="preserve"> </w:t>
      </w:r>
      <w:r>
        <w:t xml:space="preserve">· Glycemia Reduction in Type 2 Diabetes - Glycemic Outcomes. PMID 36129996</w:t>
      </w:r>
    </w:p>
    <w:p>
      <w:pPr>
        <w:numPr>
          <w:ilvl w:val="0"/>
          <w:numId w:val="1377"/>
        </w:numPr>
        <w:pStyle w:val="Compact"/>
      </w:pPr>
      <w:r>
        <w:t xml:space="preserve">2022 · Yu D ·</w:t>
      </w:r>
      <w:r>
        <w:t xml:space="preserve"> </w:t>
      </w:r>
      <w:r>
        <w:rPr>
          <w:iCs/>
          <w:i/>
        </w:rPr>
        <w:t xml:space="preserve">Front Endocrinol (Lausanne)</w:t>
      </w:r>
      <w:r>
        <w:t xml:space="preserve"> </w:t>
      </w:r>
      <w:r>
        <w:t xml:space="preserve">· Effects of liraglutide or lifestyle interventions combined with other antidiabetic drugs on abdominal fat distribution in people with obesity and type 2 diabetes mellitus evaluated by the energy spectrum ct: A prospective randomized controlled study. PMID 36093105</w:t>
      </w:r>
    </w:p>
    <w:p>
      <w:pPr>
        <w:numPr>
          <w:ilvl w:val="0"/>
          <w:numId w:val="1377"/>
        </w:numPr>
        <w:pStyle w:val="Compact"/>
      </w:pPr>
      <w:r>
        <w:t xml:space="preserve">2022 · Xing C ·</w:t>
      </w:r>
      <w:r>
        <w:t xml:space="preserve"> </w:t>
      </w:r>
      <w:r>
        <w:rPr>
          <w:iCs/>
          <w:i/>
        </w:rPr>
        <w:t xml:space="preserve">Front Endocrinol (Lausanne)</w:t>
      </w:r>
      <w:r>
        <w:t xml:space="preserve"> </w:t>
      </w:r>
      <w:r>
        <w:t xml:space="preserve">· Effect of metformin versus metformin plus liraglutide on gonadal and metabolic profiles in overweight patients with polycystic ovary syndrome. PMID 36060969</w:t>
      </w:r>
    </w:p>
    <w:p>
      <w:pPr>
        <w:numPr>
          <w:ilvl w:val="0"/>
          <w:numId w:val="1377"/>
        </w:numPr>
        <w:pStyle w:val="Compact"/>
      </w:pPr>
      <w:r>
        <w:t xml:space="preserve">2022 · Zhaohu H ·</w:t>
      </w:r>
      <w:r>
        <w:t xml:space="preserve"> </w:t>
      </w:r>
      <w:r>
        <w:rPr>
          <w:iCs/>
          <w:i/>
        </w:rPr>
        <w:t xml:space="preserve">J Diabetes Res</w:t>
      </w:r>
      <w:r>
        <w:t xml:space="preserve"> </w:t>
      </w:r>
      <w:r>
        <w:t xml:space="preserve">· Efficacy and Safety of Dapagliflozin versus Liraglutide in Patients with Overweight or Obesity and Type 2 Diabetes Mellitus: A Randomised Controlled Clinical Trial in Tianjin, China. PMID 35990242</w:t>
      </w:r>
    </w:p>
    <w:p>
      <w:pPr>
        <w:numPr>
          <w:ilvl w:val="0"/>
          <w:numId w:val="1377"/>
        </w:numPr>
        <w:pStyle w:val="Compact"/>
      </w:pPr>
      <w:r>
        <w:t xml:space="preserve">2022 · Jensen SBK ·</w:t>
      </w:r>
      <w:r>
        <w:t xml:space="preserve"> </w:t>
      </w:r>
      <w:r>
        <w:rPr>
          <w:iCs/>
          <w:i/>
        </w:rPr>
        <w:t xml:space="preserve">Nat Commun</w:t>
      </w:r>
      <w:r>
        <w:t xml:space="preserve"> </w:t>
      </w:r>
      <w:r>
        <w:t xml:space="preserve">· Exploratory analysis of eating- and physical activity-related outcomes from a randomized controlled trial for weight loss maintenance with exercise and liraglutide single or combination treatment. PMID 35970829</w:t>
      </w:r>
    </w:p>
    <w:p>
      <w:pPr>
        <w:numPr>
          <w:ilvl w:val="0"/>
          <w:numId w:val="1377"/>
        </w:numPr>
        <w:pStyle w:val="Compact"/>
      </w:pPr>
      <w:r>
        <w:t xml:space="preserve">2022 · Xiao Y ·</w:t>
      </w:r>
      <w:r>
        <w:t xml:space="preserve"> </w:t>
      </w:r>
      <w:r>
        <w:rPr>
          <w:iCs/>
          <w:i/>
        </w:rPr>
        <w:t xml:space="preserve">Metab Syndr Relat Disord</w:t>
      </w:r>
      <w:r>
        <w:t xml:space="preserve"> </w:t>
      </w:r>
      <w:r>
        <w:t xml:space="preserve">· Effect of 5:2 Fasting Diet on Liver Fat Content in Patients with Type 2 Diabetic with Nonalcoholic Fatty Liver Disease. PMID 35925752</w:t>
      </w:r>
    </w:p>
    <w:p>
      <w:pPr>
        <w:numPr>
          <w:ilvl w:val="0"/>
          <w:numId w:val="1377"/>
        </w:numPr>
        <w:pStyle w:val="Compact"/>
      </w:pPr>
      <w:r>
        <w:t xml:space="preserve">2022 · Maselli D ·</w:t>
      </w:r>
      <w:r>
        <w:t xml:space="preserve"> </w:t>
      </w:r>
      <w:r>
        <w:rPr>
          <w:iCs/>
          <w:i/>
        </w:rPr>
        <w:t xml:space="preserve">Obesity (Silver Spring)</w:t>
      </w:r>
      <w:r>
        <w:t xml:space="preserve"> </w:t>
      </w:r>
      <w:r>
        <w:t xml:space="preserve">· Effects of liraglutide on gastrointestinal functions and weight in obesity: A randomized clinical and pharmacogenomic trial. PMID 35894080</w:t>
      </w:r>
    </w:p>
    <w:p>
      <w:pPr>
        <w:numPr>
          <w:ilvl w:val="0"/>
          <w:numId w:val="1377"/>
        </w:numPr>
        <w:pStyle w:val="Compact"/>
      </w:pPr>
      <w:r>
        <w:t xml:space="preserve">2022 · Utzschneider KM ·</w:t>
      </w:r>
      <w:r>
        <w:t xml:space="preserve"> </w:t>
      </w:r>
      <w:r>
        <w:rPr>
          <w:iCs/>
          <w:i/>
        </w:rPr>
        <w:t xml:space="preserve">Obesity (Silver Spring)</w:t>
      </w:r>
      <w:r>
        <w:t xml:space="preserve"> </w:t>
      </w:r>
      <w:r>
        <w:t xml:space="preserve">· Weight loss and β-cell responses following gastric banding or pharmacotherapy in adults with impaired glucose tolerance or type 2 diabetes: a randomized trial. PMID 35894078</w:t>
      </w:r>
    </w:p>
    <w:p>
      <w:pPr>
        <w:numPr>
          <w:ilvl w:val="0"/>
          <w:numId w:val="1377"/>
        </w:numPr>
        <w:pStyle w:val="Compact"/>
      </w:pPr>
      <w:r>
        <w:t xml:space="preserve">2022 · Stier C ·</w:t>
      </w:r>
      <w:r>
        <w:t xml:space="preserve"> </w:t>
      </w:r>
      <w:r>
        <w:rPr>
          <w:iCs/>
          <w:i/>
        </w:rPr>
        <w:t xml:space="preserve">Clin Nutr ESPEN</w:t>
      </w:r>
      <w:r>
        <w:t xml:space="preserve"> </w:t>
      </w:r>
      <w:r>
        <w:t xml:space="preserve">· Fast-track rescue weight reduction therapy to achieve rapid technical operability for emergency bariatric surgery in patients with life-threatening inoperable severe obesity - A proof of concept study. PMID 35871930</w:t>
      </w:r>
    </w:p>
    <w:p>
      <w:pPr>
        <w:numPr>
          <w:ilvl w:val="0"/>
          <w:numId w:val="1377"/>
        </w:numPr>
        <w:pStyle w:val="Compact"/>
      </w:pPr>
      <w:r>
        <w:t xml:space="preserve">2022 · Zhou R ·</w:t>
      </w:r>
      <w:r>
        <w:t xml:space="preserve"> </w:t>
      </w:r>
      <w:r>
        <w:rPr>
          <w:iCs/>
          <w:i/>
        </w:rPr>
        <w:t xml:space="preserve">Clin Transl Sci</w:t>
      </w:r>
      <w:r>
        <w:t xml:space="preserve"> </w:t>
      </w:r>
      <w:r>
        <w:t xml:space="preserve">· A phase I study comparing the pharmacokinetics of the biosimilar (RD12014) with liraglutide (Victoza) in healthy Chinese male subjects. PMID 35871497</w:t>
      </w:r>
    </w:p>
    <w:p>
      <w:pPr>
        <w:numPr>
          <w:ilvl w:val="0"/>
          <w:numId w:val="1377"/>
        </w:numPr>
        <w:pStyle w:val="Compact"/>
      </w:pPr>
      <w:r>
        <w:t xml:space="preserve">2022 · Kårhus ML ·</w:t>
      </w:r>
      <w:r>
        <w:t xml:space="preserve"> </w:t>
      </w:r>
      <w:r>
        <w:rPr>
          <w:iCs/>
          <w:i/>
        </w:rPr>
        <w:t xml:space="preserve">Lancet Gastroenterol Hepatol</w:t>
      </w:r>
      <w:r>
        <w:t xml:space="preserve"> </w:t>
      </w:r>
      <w:r>
        <w:t xml:space="preserve">· Safety and efficacy of liraglutide versus colesevelam for the treatment of bile acid diarrhoea: a randomised, double-blind, active-comparator, non-inferiority clinical trial. PMID 35868334</w:t>
      </w:r>
    </w:p>
    <w:p>
      <w:pPr>
        <w:numPr>
          <w:ilvl w:val="0"/>
          <w:numId w:val="1377"/>
        </w:numPr>
        <w:pStyle w:val="Compact"/>
      </w:pPr>
      <w:r>
        <w:t xml:space="preserve">2022 · Zenz S ·</w:t>
      </w:r>
      <w:r>
        <w:t xml:space="preserve"> </w:t>
      </w:r>
      <w:r>
        <w:rPr>
          <w:iCs/>
          <w:i/>
        </w:rPr>
        <w:t xml:space="preserve">J Clin Endocrinol Metab</w:t>
      </w:r>
      <w:r>
        <w:t xml:space="preserve"> </w:t>
      </w:r>
      <w:r>
        <w:t xml:space="preserve">· Effect of Liraglutide Treatment on Whole-body Glucose Fluxes in C-peptide-Positive Type 1 Diabetes During Hypoglycemia. PMID 35833597</w:t>
      </w:r>
    </w:p>
    <w:p>
      <w:pPr>
        <w:numPr>
          <w:ilvl w:val="0"/>
          <w:numId w:val="1377"/>
        </w:numPr>
        <w:pStyle w:val="Compact"/>
      </w:pPr>
      <w:r>
        <w:t xml:space="preserve">2022 · Lin K ·</w:t>
      </w:r>
      <w:r>
        <w:t xml:space="preserve"> </w:t>
      </w:r>
      <w:r>
        <w:rPr>
          <w:iCs/>
          <w:i/>
        </w:rPr>
        <w:t xml:space="preserve">Comput Intell Neurosci</w:t>
      </w:r>
      <w:r>
        <w:t xml:space="preserve"> </w:t>
      </w:r>
      <w:r>
        <w:t xml:space="preserve">· Evaluation of the Clinical Efficacy of the Treatment of Overweight and Obesity in Type 2 Diabetes Mellitus by the Telemedicine Management System Based on the Internet of Things Technology. PMID 35785080</w:t>
      </w:r>
    </w:p>
    <w:p>
      <w:pPr>
        <w:numPr>
          <w:ilvl w:val="0"/>
          <w:numId w:val="1377"/>
        </w:numPr>
        <w:pStyle w:val="Compact"/>
      </w:pPr>
      <w:r>
        <w:t xml:space="preserve">2022 · Wang W ·</w:t>
      </w:r>
      <w:r>
        <w:t xml:space="preserve"> </w:t>
      </w:r>
      <w:r>
        <w:rPr>
          <w:iCs/>
          <w:i/>
        </w:rPr>
        <w:t xml:space="preserve">J Diabetes</w:t>
      </w:r>
      <w:r>
        <w:t xml:space="preserve"> </w:t>
      </w:r>
      <w:r>
        <w:t xml:space="preserve">· DUAL I China: Improved glycemic control with IDegLira versus its individual components in a randomized trial with Chinese participants with type 2 diabetes uncontrolled on oral antidiabetic drugs. PMID 35762390</w:t>
      </w:r>
    </w:p>
    <w:p>
      <w:pPr>
        <w:numPr>
          <w:ilvl w:val="0"/>
          <w:numId w:val="1377"/>
        </w:numPr>
        <w:pStyle w:val="Compact"/>
      </w:pPr>
      <w:r>
        <w:t xml:space="preserve">2022 · Ou T ·</w:t>
      </w:r>
      <w:r>
        <w:t xml:space="preserve"> </w:t>
      </w:r>
      <w:r>
        <w:rPr>
          <w:iCs/>
          <w:i/>
        </w:rPr>
        <w:t xml:space="preserve">Altern Ther Health Med</w:t>
      </w:r>
      <w:r>
        <w:t xml:space="preserve"> </w:t>
      </w:r>
      <w:r>
        <w:t xml:space="preserve">· Liraglutide Plus Dapagliflozin for High Uric Acid and Microalbuminuria in Diabetes Mellitus Complicated With Metabolic Syndrome. PMID 35751892</w:t>
      </w:r>
    </w:p>
    <w:p>
      <w:pPr>
        <w:numPr>
          <w:ilvl w:val="0"/>
          <w:numId w:val="1377"/>
        </w:numPr>
        <w:pStyle w:val="Compact"/>
      </w:pPr>
      <w:r>
        <w:t xml:space="preserve">2022 · Elkind-Hirsch KE ·</w:t>
      </w:r>
      <w:r>
        <w:t xml:space="preserve"> </w:t>
      </w:r>
      <w:r>
        <w:rPr>
          <w:iCs/>
          <w:i/>
        </w:rPr>
        <w:t xml:space="preserve">Fertil Steril</w:t>
      </w:r>
      <w:r>
        <w:t xml:space="preserve"> </w:t>
      </w:r>
      <w:r>
        <w:t xml:space="preserve">· Liraglutide 3 mg on weight, body composition, and hormonal and metabolic parameters in women with obesity and polycystic ovary syndrome: a randomized placebo-controlled-phase 3 study. PMID 35710599</w:t>
      </w:r>
    </w:p>
    <w:p>
      <w:pPr>
        <w:numPr>
          <w:ilvl w:val="0"/>
          <w:numId w:val="1377"/>
        </w:numPr>
        <w:pStyle w:val="Compact"/>
      </w:pPr>
      <w:r>
        <w:t xml:space="preserve">2022 · Valenzuela-Vallejo L ·</w:t>
      </w:r>
      <w:r>
        <w:t xml:space="preserve"> </w:t>
      </w:r>
      <w:r>
        <w:rPr>
          <w:iCs/>
          <w:i/>
        </w:rPr>
        <w:t xml:space="preserve">Metabolism</w:t>
      </w:r>
      <w:r>
        <w:t xml:space="preserve"> </w:t>
      </w:r>
      <w:r>
        <w:t xml:space="preserve">· Circulating total and intact GDF-15 levels are not altered in response to weight loss induced by liraglutide or lorcaserin treatment in humans with obesity. PMID 35700837</w:t>
      </w:r>
    </w:p>
    <w:p>
      <w:pPr>
        <w:numPr>
          <w:ilvl w:val="0"/>
          <w:numId w:val="1377"/>
        </w:numPr>
        <w:pStyle w:val="Compact"/>
      </w:pPr>
      <w:r>
        <w:t xml:space="preserve">2022 · Tamborlane WV ·</w:t>
      </w:r>
      <w:r>
        <w:t xml:space="preserve"> </w:t>
      </w:r>
      <w:r>
        <w:rPr>
          <w:iCs/>
          <w:i/>
        </w:rPr>
        <w:t xml:space="preserve">Diabetes Care</w:t>
      </w:r>
      <w:r>
        <w:t xml:space="preserve"> </w:t>
      </w:r>
      <w:r>
        <w:t xml:space="preserve">· Once-Weekly Exenatide in Youth With Type 2 Diabetes. PMID 35679098</w:t>
      </w:r>
    </w:p>
    <w:p>
      <w:pPr>
        <w:numPr>
          <w:ilvl w:val="0"/>
          <w:numId w:val="1377"/>
        </w:numPr>
        <w:pStyle w:val="Compact"/>
      </w:pPr>
      <w:r>
        <w:t xml:space="preserve">2022 · Lerman JB ·</w:t>
      </w:r>
      <w:r>
        <w:t xml:space="preserve"> </w:t>
      </w:r>
      <w:r>
        <w:rPr>
          <w:iCs/>
          <w:i/>
        </w:rPr>
        <w:t xml:space="preserve">Sci Rep</w:t>
      </w:r>
      <w:r>
        <w:t xml:space="preserve"> </w:t>
      </w:r>
      <w:r>
        <w:t xml:space="preserve">· Plasma metabolites associated with functional and clinical outcomes in heart failure with reduced ejection fraction with and without type 2 diabetes. PMID 35654972</w:t>
      </w:r>
    </w:p>
    <w:p>
      <w:pPr>
        <w:numPr>
          <w:ilvl w:val="0"/>
          <w:numId w:val="1377"/>
        </w:numPr>
        <w:pStyle w:val="Compact"/>
      </w:pPr>
      <w:r>
        <w:t xml:space="preserve">2022 · Andersen E ·</w:t>
      </w:r>
      <w:r>
        <w:t xml:space="preserve"> </w:t>
      </w:r>
      <w:r>
        <w:rPr>
          <w:iCs/>
          <w:i/>
        </w:rPr>
        <w:t xml:space="preserve">Hum Reprod</w:t>
      </w:r>
      <w:r>
        <w:t xml:space="preserve"> </w:t>
      </w:r>
      <w:r>
        <w:t xml:space="preserve">· Sperm count is increased by diet-induced weight loss and maintained by exercise or GLP-1 analogue treatment: a randomized controlled trial. PMID 35580859</w:t>
      </w:r>
    </w:p>
    <w:p>
      <w:pPr>
        <w:numPr>
          <w:ilvl w:val="0"/>
          <w:numId w:val="1377"/>
        </w:numPr>
        <w:pStyle w:val="Compact"/>
      </w:pPr>
      <w:r>
        <w:t xml:space="preserve">2022 · Sivalingam S ·</w:t>
      </w:r>
      <w:r>
        <w:t xml:space="preserve"> </w:t>
      </w:r>
      <w:r>
        <w:rPr>
          <w:iCs/>
          <w:i/>
        </w:rPr>
        <w:t xml:space="preserve">Diabetes Obes Metab</w:t>
      </w:r>
      <w:r>
        <w:t xml:space="preserve"> </w:t>
      </w:r>
      <w:r>
        <w:t xml:space="preserve">· The effect of liraglutide on cardiac autonomic function in type 2 diabetes: A prespecified secondary analysis from the LIRAFLAME randomized, double-blinded, placebo-controlled trial. PMID 35415938</w:t>
      </w:r>
    </w:p>
    <w:p>
      <w:pPr>
        <w:numPr>
          <w:ilvl w:val="0"/>
          <w:numId w:val="1377"/>
        </w:numPr>
        <w:pStyle w:val="Compact"/>
      </w:pPr>
      <w:r>
        <w:t xml:space="preserve">2022 · Kawaguchi Y ·</w:t>
      </w:r>
      <w:r>
        <w:t xml:space="preserve"> </w:t>
      </w:r>
      <w:r>
        <w:rPr>
          <w:iCs/>
          <w:i/>
        </w:rPr>
        <w:t xml:space="preserve">Adv Ther</w:t>
      </w:r>
      <w:r>
        <w:t xml:space="preserve"> </w:t>
      </w:r>
      <w:r>
        <w:t xml:space="preserve">· Efficacy of IDegLira Versus IDegAsp Therapy in Patients with Type 2 Diabetes: A Randomized Crossover Study by isCGM. PMID 35403949</w:t>
      </w:r>
    </w:p>
    <w:p>
      <w:pPr>
        <w:numPr>
          <w:ilvl w:val="0"/>
          <w:numId w:val="1377"/>
        </w:numPr>
        <w:pStyle w:val="Compact"/>
      </w:pPr>
      <w:r>
        <w:t xml:space="preserve">2022 · Loganathan J ·</w:t>
      </w:r>
      <w:r>
        <w:t xml:space="preserve"> </w:t>
      </w:r>
      <w:r>
        <w:rPr>
          <w:iCs/>
          <w:i/>
        </w:rPr>
        <w:t xml:space="preserve">J Diabetes Complications</w:t>
      </w:r>
      <w:r>
        <w:t xml:space="preserve"> </w:t>
      </w:r>
      <w:r>
        <w:t xml:space="preserve">· A pilot clinical study to Evaluate Liraglutide-mediated Anti-platelet activity in patients with type-2 Diabetes (ELAID study). PMID 35382966</w:t>
      </w:r>
    </w:p>
    <w:p>
      <w:pPr>
        <w:numPr>
          <w:ilvl w:val="0"/>
          <w:numId w:val="1377"/>
        </w:numPr>
        <w:pStyle w:val="Compact"/>
      </w:pPr>
      <w:r>
        <w:t xml:space="preserve">2022 · Seino Y ·</w:t>
      </w:r>
      <w:r>
        <w:t xml:space="preserve"> </w:t>
      </w:r>
      <w:r>
        <w:rPr>
          <w:iCs/>
          <w:i/>
        </w:rPr>
        <w:t xml:space="preserve">J Diabetes Investig</w:t>
      </w:r>
      <w:r>
        <w:t xml:space="preserve"> </w:t>
      </w:r>
      <w:r>
        <w:t xml:space="preserve">· A randomized trial to investigate the efficacy and safety of once-daily liraglutide 1.8 mg in Japanese adults with type 2 diabetes exhibiting an inadequate response to liraglutide 0.9 mg. PMID 35285173</w:t>
      </w:r>
    </w:p>
    <w:p>
      <w:pPr>
        <w:numPr>
          <w:ilvl w:val="0"/>
          <w:numId w:val="1377"/>
        </w:numPr>
        <w:pStyle w:val="Compact"/>
      </w:pPr>
      <w:r>
        <w:t xml:space="preserve">2022 · Simeone P ·</w:t>
      </w:r>
      <w:r>
        <w:t xml:space="preserve"> </w:t>
      </w:r>
      <w:r>
        <w:rPr>
          <w:iCs/>
          <w:i/>
        </w:rPr>
        <w:t xml:space="preserve">Cardiovasc Diabetol</w:t>
      </w:r>
      <w:r>
        <w:t xml:space="preserve"> </w:t>
      </w:r>
      <w:r>
        <w:t xml:space="preserve">· Effects of liraglutide vs. lifestyle changes on soluble suppression of tumorigenesis-2 (sST2) and galectin-3 in obese subjects with prediabetes or type 2 diabetes after comparable weight loss. PMID 35277168</w:t>
      </w:r>
    </w:p>
    <w:p>
      <w:pPr>
        <w:numPr>
          <w:ilvl w:val="0"/>
          <w:numId w:val="1377"/>
        </w:numPr>
        <w:pStyle w:val="Compact"/>
      </w:pPr>
      <w:r>
        <w:t xml:space="preserve">2022 · Cheng H ·</w:t>
      </w:r>
      <w:r>
        <w:t xml:space="preserve"> </w:t>
      </w:r>
      <w:r>
        <w:rPr>
          <w:iCs/>
          <w:i/>
        </w:rPr>
        <w:t xml:space="preserve">Diabetes Care</w:t>
      </w:r>
      <w:r>
        <w:t xml:space="preserve"> </w:t>
      </w:r>
      <w:r>
        <w:t xml:space="preserve">· Enhancement of Impaired Olfactory Neural Activation and Cognitive Capacity by Liraglutide, but Not Dapagliflozin or Acarbose, in Patients With Type 2 Diabetes: A 16-Week Randomized Parallel Comparative Study. PMID 35263425</w:t>
      </w:r>
    </w:p>
    <w:p>
      <w:pPr>
        <w:numPr>
          <w:ilvl w:val="0"/>
          <w:numId w:val="1377"/>
        </w:numPr>
        <w:pStyle w:val="Compact"/>
      </w:pPr>
      <w:r>
        <w:t xml:space="preserve">2022 · Altintas Dogan AD ·</w:t>
      </w:r>
      <w:r>
        <w:t xml:space="preserve"> </w:t>
      </w:r>
      <w:r>
        <w:rPr>
          <w:iCs/>
          <w:i/>
        </w:rPr>
        <w:t xml:space="preserve">Int J Chron Obstruct Pulmon Dis</w:t>
      </w:r>
      <w:r>
        <w:t xml:space="preserve"> </w:t>
      </w:r>
      <w:r>
        <w:t xml:space="preserve">· Respiratory Effects of Treatment with a Glucagon-Like Peptide-1 Receptor Agonist in Patients Suffering from Obesity and Chronic Obstructive Pulmonary Disease. PMID 35237033</w:t>
      </w:r>
    </w:p>
    <w:p>
      <w:pPr>
        <w:numPr>
          <w:ilvl w:val="0"/>
          <w:numId w:val="1377"/>
        </w:numPr>
        <w:pStyle w:val="Compact"/>
      </w:pPr>
      <w:r>
        <w:t xml:space="preserve">2022 · Yabe D ·</w:t>
      </w:r>
      <w:r>
        <w:t xml:space="preserve"> </w:t>
      </w:r>
      <w:r>
        <w:rPr>
          <w:iCs/>
          <w:i/>
        </w:rPr>
        <w:t xml:space="preserve">J Diabetes Investig</w:t>
      </w:r>
      <w:r>
        <w:t xml:space="preserve"> </w:t>
      </w:r>
      <w:r>
        <w:t xml:space="preserve">· Efficacy and safety of oral semaglutide in Japanese patients with type 2 diabetes: A subgroup analysis by baseline variables in the PIONEER 9 and PIONEER 10 trials. PMID 35112504</w:t>
      </w:r>
    </w:p>
    <w:p>
      <w:pPr>
        <w:numPr>
          <w:ilvl w:val="0"/>
          <w:numId w:val="1377"/>
        </w:numPr>
        <w:pStyle w:val="Compact"/>
      </w:pPr>
      <w:r>
        <w:t xml:space="preserve">2022 · Westman K ·</w:t>
      </w:r>
      <w:r>
        <w:t xml:space="preserve"> </w:t>
      </w:r>
      <w:r>
        <w:rPr>
          <w:iCs/>
          <w:i/>
        </w:rPr>
        <w:t xml:space="preserve">J Diabetes Complications</w:t>
      </w:r>
      <w:r>
        <w:t xml:space="preserve"> </w:t>
      </w:r>
      <w:r>
        <w:t xml:space="preserve">· Effect of liraglutide on markers of insulin production in persons with type 2 diabetes treated with multiple daily insulin injections. PMID 35101325</w:t>
      </w:r>
    </w:p>
    <w:p>
      <w:pPr>
        <w:numPr>
          <w:ilvl w:val="0"/>
          <w:numId w:val="1377"/>
        </w:numPr>
        <w:pStyle w:val="Compact"/>
      </w:pPr>
      <w:r>
        <w:t xml:space="preserve">2022 · Takeshita Y ·</w:t>
      </w:r>
      <w:r>
        <w:t xml:space="preserve"> </w:t>
      </w:r>
      <w:r>
        <w:rPr>
          <w:iCs/>
          <w:i/>
        </w:rPr>
        <w:t xml:space="preserve">J Diabetes Investig</w:t>
      </w:r>
      <w:r>
        <w:t xml:space="preserve"> </w:t>
      </w:r>
      <w:r>
        <w:t xml:space="preserve">· Insulin-glucagon-like peptide-1 receptor agonist relay and glucagon-like peptide-1 receptor agonist first regimens in individuals with type 2 diabetes: A randomized, open-label trial study. PMID 35034428</w:t>
      </w:r>
    </w:p>
    <w:p>
      <w:pPr>
        <w:numPr>
          <w:ilvl w:val="0"/>
          <w:numId w:val="1377"/>
        </w:numPr>
        <w:pStyle w:val="Compact"/>
      </w:pPr>
      <w:r>
        <w:t xml:space="preserve">2022 · van Ruiten CC ·</w:t>
      </w:r>
      <w:r>
        <w:t xml:space="preserve"> </w:t>
      </w:r>
      <w:r>
        <w:rPr>
          <w:iCs/>
          <w:i/>
        </w:rPr>
        <w:t xml:space="preserve">Psychoneuroendocrinology</w:t>
      </w:r>
      <w:r>
        <w:t xml:space="preserve"> </w:t>
      </w:r>
      <w:r>
        <w:t xml:space="preserve">· Eating behavior modulates the sensitivity to the central effects of GLP-1 receptor agonist treatment: a secondary analysis of a randomized trial. PMID 35033928</w:t>
      </w:r>
    </w:p>
    <w:p>
      <w:pPr>
        <w:numPr>
          <w:ilvl w:val="0"/>
          <w:numId w:val="1377"/>
        </w:numPr>
        <w:pStyle w:val="Compact"/>
      </w:pPr>
      <w:r>
        <w:t xml:space="preserve">2022 · Rubino DM ·</w:t>
      </w:r>
      <w:r>
        <w:t xml:space="preserve"> </w:t>
      </w:r>
      <w:r>
        <w:rPr>
          <w:iCs/>
          <w:i/>
        </w:rPr>
        <w:t xml:space="preserve">JAMA</w:t>
      </w:r>
      <w:r>
        <w:t xml:space="preserve"> </w:t>
      </w:r>
      <w:r>
        <w:t xml:space="preserve">· Effect of Weekly Subcutaneous Semaglutide vs Daily Liraglutide on Body Weight in Adults With Overweight or Obesity Without Diabetes: The STEP 8 Randomized Clinical Trial. PMID 35015037</w:t>
      </w:r>
    </w:p>
    <w:p>
      <w:pPr>
        <w:numPr>
          <w:ilvl w:val="0"/>
          <w:numId w:val="1377"/>
        </w:numPr>
        <w:pStyle w:val="Compact"/>
      </w:pPr>
      <w:r>
        <w:t xml:space="preserve">2022 · Barnard-Kelly K ·</w:t>
      </w:r>
      <w:r>
        <w:t xml:space="preserve"> </w:t>
      </w:r>
      <w:r>
        <w:rPr>
          <w:iCs/>
          <w:i/>
        </w:rPr>
        <w:t xml:space="preserve">BMC Psychiatry</w:t>
      </w:r>
      <w:r>
        <w:t xml:space="preserve"> </w:t>
      </w:r>
      <w:r>
        <w:t xml:space="preserve">· Liraglutide and the management of overweight and obesity in people with severe mental illness: qualitative sub-study. PMID 34996406</w:t>
      </w:r>
    </w:p>
    <w:p>
      <w:pPr>
        <w:numPr>
          <w:ilvl w:val="0"/>
          <w:numId w:val="1377"/>
        </w:numPr>
        <w:pStyle w:val="Compact"/>
      </w:pPr>
      <w:r>
        <w:t xml:space="preserve">2022 · Arendt Nielsen T ·</w:t>
      </w:r>
      <w:r>
        <w:t xml:space="preserve"> </w:t>
      </w:r>
      <w:r>
        <w:rPr>
          <w:iCs/>
          <w:i/>
        </w:rPr>
        <w:t xml:space="preserve">J Ocul Pharmacol Ther</w:t>
      </w:r>
      <w:r>
        <w:t xml:space="preserve"> </w:t>
      </w:r>
      <w:r>
        <w:t xml:space="preserve">· Liraglutide Treatment Does Not Induce Changes in the Peripapillary Retinal Nerve Fiber Layer Thickness in Patients with Diabetic Retinopathy. PMID 34918951</w:t>
      </w:r>
    </w:p>
    <w:p>
      <w:pPr>
        <w:numPr>
          <w:ilvl w:val="0"/>
          <w:numId w:val="1377"/>
        </w:numPr>
        <w:pStyle w:val="Compact"/>
      </w:pPr>
      <w:r>
        <w:t xml:space="preserve">2022 · Shaman AM ·</w:t>
      </w:r>
      <w:r>
        <w:t xml:space="preserve"> </w:t>
      </w:r>
      <w:r>
        <w:rPr>
          <w:iCs/>
          <w:i/>
        </w:rPr>
        <w:t xml:space="preserve">Circulation</w:t>
      </w:r>
      <w:r>
        <w:t xml:space="preserve"> </w:t>
      </w:r>
      <w:r>
        <w:t xml:space="preserve">· Effect of the Glucagon-Like Peptide-1 Receptor Agonists Semaglutide and Liraglutide on Kidney Outcomes in Patients With Type 2 Diabetes: Pooled Analysis of SUSTAIN 6 and LEADER. PMID 34903039</w:t>
      </w:r>
    </w:p>
    <w:p>
      <w:pPr>
        <w:numPr>
          <w:ilvl w:val="0"/>
          <w:numId w:val="1377"/>
        </w:numPr>
        <w:pStyle w:val="Compact"/>
      </w:pPr>
      <w:r>
        <w:t xml:space="preserve">2022 · Middleton TL ·</w:t>
      </w:r>
      <w:r>
        <w:t xml:space="preserve"> </w:t>
      </w:r>
      <w:r>
        <w:rPr>
          <w:iCs/>
          <w:i/>
        </w:rPr>
        <w:t xml:space="preserve">Diabetes Obes Metab</w:t>
      </w:r>
      <w:r>
        <w:t xml:space="preserve"> </w:t>
      </w:r>
      <w:r>
        <w:t xml:space="preserve">· Improving beta-cell secretory function and glycaemia in young-onset type 2 diabetes: A pilot, 12-month, randomized trial of a novel, continuous glucose monitor-guided, rapid treatment intensification strategy incorporating empagliflozin and liraglutide. PMID 34882926</w:t>
      </w:r>
    </w:p>
    <w:p>
      <w:pPr>
        <w:numPr>
          <w:ilvl w:val="0"/>
          <w:numId w:val="1377"/>
        </w:numPr>
        <w:pStyle w:val="Compact"/>
      </w:pPr>
      <w:r>
        <w:t xml:space="preserve">2022 · Liu H ·</w:t>
      </w:r>
      <w:r>
        <w:t xml:space="preserve"> </w:t>
      </w:r>
      <w:r>
        <w:rPr>
          <w:iCs/>
          <w:i/>
        </w:rPr>
        <w:t xml:space="preserve">J Diabetes Investig</w:t>
      </w:r>
      <w:r>
        <w:t xml:space="preserve"> </w:t>
      </w:r>
      <w:r>
        <w:t xml:space="preserve">· Preserved pharmacokinetics and pharmacodynamics of insulin degludec and liraglutide when administered as insulin degludec/liraglutide in a Chinese population. PMID 34797962</w:t>
      </w:r>
    </w:p>
    <w:p>
      <w:pPr>
        <w:numPr>
          <w:ilvl w:val="0"/>
          <w:numId w:val="1377"/>
        </w:numPr>
        <w:pStyle w:val="Compact"/>
      </w:pPr>
      <w:r>
        <w:t xml:space="preserve">2022 · López-Cano C ·</w:t>
      </w:r>
      <w:r>
        <w:t xml:space="preserve"> </w:t>
      </w:r>
      <w:r>
        <w:rPr>
          <w:iCs/>
          <w:i/>
        </w:rPr>
        <w:t xml:space="preserve">Diabetes</w:t>
      </w:r>
      <w:r>
        <w:t xml:space="preserve"> </w:t>
      </w:r>
      <w:r>
        <w:t xml:space="preserve">· Liraglutide Improves Forced Vital Capacity in Individuals With Type 2 Diabetes: Data From the Randomized Crossover LIRALUNG Study. PMID 34737187</w:t>
      </w:r>
    </w:p>
    <w:p>
      <w:pPr>
        <w:numPr>
          <w:ilvl w:val="0"/>
          <w:numId w:val="1377"/>
        </w:numPr>
        <w:pStyle w:val="Compact"/>
      </w:pPr>
      <w:r>
        <w:t xml:space="preserve">2022 · Heller SR ·</w:t>
      </w:r>
      <w:r>
        <w:t xml:space="preserve"> </w:t>
      </w:r>
      <w:r>
        <w:rPr>
          <w:iCs/>
          <w:i/>
        </w:rPr>
        <w:t xml:space="preserve">Diabetologia</w:t>
      </w:r>
      <w:r>
        <w:t xml:space="preserve"> </w:t>
      </w:r>
      <w:r>
        <w:t xml:space="preserve">· A higher non-severe hypoglycaemia rate is associated with an increased risk of subsequent severe hypoglycaemia and major adverse cardiovascular events in individuals with type 2 diabetes in the LEADER study. PMID 34704120</w:t>
      </w:r>
    </w:p>
    <w:p>
      <w:pPr>
        <w:numPr>
          <w:ilvl w:val="0"/>
          <w:numId w:val="1377"/>
        </w:numPr>
        <w:pStyle w:val="Compact"/>
      </w:pPr>
      <w:r>
        <w:t xml:space="preserve">2022 · Unger J ·</w:t>
      </w:r>
      <w:r>
        <w:t xml:space="preserve"> </w:t>
      </w:r>
      <w:r>
        <w:rPr>
          <w:iCs/>
          <w:i/>
        </w:rPr>
        <w:t xml:space="preserve">Diabetes Obes Metab</w:t>
      </w:r>
      <w:r>
        <w:t xml:space="preserve"> </w:t>
      </w:r>
      <w:r>
        <w:t xml:space="preserve">· Maintenance of glycaemic control with liraglutide versus oral antidiabetic drugs as add-on therapies in patients with type 2 diabetes uncontrolled with metformin alone: A randomized clinical trial in primary care (LIRA-PRIME). PMID 34622567</w:t>
      </w:r>
    </w:p>
    <w:p>
      <w:pPr>
        <w:numPr>
          <w:ilvl w:val="0"/>
          <w:numId w:val="1377"/>
        </w:numPr>
        <w:pStyle w:val="Compact"/>
      </w:pPr>
      <w:r>
        <w:t xml:space="preserve">2022 · Yamada Y ·</w:t>
      </w:r>
      <w:r>
        <w:t xml:space="preserve"> </w:t>
      </w:r>
      <w:r>
        <w:rPr>
          <w:iCs/>
          <w:i/>
        </w:rPr>
        <w:t xml:space="preserve">Diabetes Obes Metab</w:t>
      </w:r>
      <w:r>
        <w:t xml:space="preserve"> </w:t>
      </w:r>
      <w:r>
        <w:t xml:space="preserve">· Efficacy and safety of oral semaglutide by baseline age in Japanese patients with type 2 diabetes: A subgroup analysis of the PIONEER 9 and 10 Japan trials. PMID 34622548</w:t>
      </w:r>
    </w:p>
    <w:p>
      <w:pPr>
        <w:numPr>
          <w:ilvl w:val="0"/>
          <w:numId w:val="1377"/>
        </w:numPr>
        <w:pStyle w:val="Compact"/>
      </w:pPr>
      <w:r>
        <w:t xml:space="preserve">2022 · Schmidt S ·</w:t>
      </w:r>
      <w:r>
        <w:t xml:space="preserve"> </w:t>
      </w:r>
      <w:r>
        <w:rPr>
          <w:iCs/>
          <w:i/>
        </w:rPr>
        <w:t xml:space="preserve">Diabetes Obes Metab</w:t>
      </w:r>
      <w:r>
        <w:t xml:space="preserve"> </w:t>
      </w:r>
      <w:r>
        <w:t xml:space="preserve">· Liraglutide changes body composition and lowers added sugar intake in overweight persons with insulin pump-treated type 1 diabetes. PMID 34595827</w:t>
      </w:r>
    </w:p>
    <w:p>
      <w:pPr>
        <w:numPr>
          <w:ilvl w:val="0"/>
          <w:numId w:val="1377"/>
        </w:numPr>
        <w:pStyle w:val="Compact"/>
      </w:pPr>
      <w:r>
        <w:t xml:space="preserve">2022 · Møller M ·</w:t>
      </w:r>
      <w:r>
        <w:t xml:space="preserve"> </w:t>
      </w:r>
      <w:r>
        <w:rPr>
          <w:iCs/>
          <w:i/>
        </w:rPr>
        <w:t xml:space="preserve">CNS Spectr</w:t>
      </w:r>
      <w:r>
        <w:t xml:space="preserve"> </w:t>
      </w:r>
      <w:r>
        <w:t xml:space="preserve">· Proinflammatory biomarkers are associated with prediabetes in patients with schizophrenia. PMID 33308348</w:t>
      </w:r>
    </w:p>
    <w:p>
      <w:pPr>
        <w:numPr>
          <w:ilvl w:val="0"/>
          <w:numId w:val="1377"/>
        </w:numPr>
        <w:pStyle w:val="Compact"/>
      </w:pPr>
      <w:r>
        <w:t xml:space="preserve">2022 · Lin L ·</w:t>
      </w:r>
      <w:r>
        <w:t xml:space="preserve"> </w:t>
      </w:r>
      <w:r>
        <w:rPr>
          <w:iCs/>
          <w:i/>
        </w:rPr>
        <w:t xml:space="preserve">J Dermatolog Treat</w:t>
      </w:r>
      <w:r>
        <w:t xml:space="preserve"> </w:t>
      </w:r>
      <w:r>
        <w:t xml:space="preserve">· Glucagon-like peptide-1 receptor agonist liraglutide therapy for psoriasis patients with type 2 diabetes: a randomized-controlled trial. PMID 32962477</w:t>
      </w:r>
    </w:p>
    <w:p>
      <w:pPr>
        <w:numPr>
          <w:ilvl w:val="0"/>
          <w:numId w:val="1377"/>
        </w:numPr>
        <w:pStyle w:val="Compact"/>
      </w:pPr>
      <w:r>
        <w:t xml:space="preserve">2021 · Jendle J ·</w:t>
      </w:r>
      <w:r>
        <w:t xml:space="preserve"> </w:t>
      </w:r>
      <w:r>
        <w:rPr>
          <w:iCs/>
          <w:i/>
        </w:rPr>
        <w:t xml:space="preserve">Cardiovasc Diabetol</w:t>
      </w:r>
      <w:r>
        <w:t xml:space="preserve"> </w:t>
      </w:r>
      <w:r>
        <w:t xml:space="preserve">· Pharmacometabolomic profiles in type 2 diabetic subjects treated with liraglutide or glimepiride. PMID 34920733</w:t>
      </w:r>
    </w:p>
    <w:p>
      <w:pPr>
        <w:numPr>
          <w:ilvl w:val="0"/>
          <w:numId w:val="1377"/>
        </w:numPr>
        <w:pStyle w:val="Compact"/>
      </w:pPr>
      <w:r>
        <w:t xml:space="preserve">2021 · Jensen JK ·</w:t>
      </w:r>
      <w:r>
        <w:t xml:space="preserve"> </w:t>
      </w:r>
      <w:r>
        <w:rPr>
          <w:iCs/>
          <w:i/>
        </w:rPr>
        <w:t xml:space="preserve">Front Endocrinol (Lausanne)</w:t>
      </w:r>
      <w:r>
        <w:t xml:space="preserve"> </w:t>
      </w:r>
      <w:r>
        <w:t xml:space="preserve">· Effect of 26 Weeks of Liraglutide Treatment on Coronary Artery Inflammation in Type 2 Diabetes Quantified by [(64)Cu]Cu-DOTATATE PET/CT: Results from the LIRAFLAME Trial. PMID 34917038</w:t>
      </w:r>
    </w:p>
    <w:p>
      <w:pPr>
        <w:numPr>
          <w:ilvl w:val="0"/>
          <w:numId w:val="1377"/>
        </w:numPr>
        <w:pStyle w:val="Compact"/>
      </w:pPr>
      <w:r>
        <w:t xml:space="preserve">2021 · Lau DCW ·</w:t>
      </w:r>
      <w:r>
        <w:t xml:space="preserve"> </w:t>
      </w:r>
      <w:r>
        <w:rPr>
          <w:iCs/>
          <w:i/>
        </w:rPr>
        <w:t xml:space="preserve">Lancet</w:t>
      </w:r>
      <w:r>
        <w:t xml:space="preserve"> </w:t>
      </w:r>
      <w:r>
        <w:t xml:space="preserve">· Once-weekly cagrilintide for weight management in people with overweight and obesity: a multicentre, randomised, double-blind, placebo-controlled and active-controlled, dose-finding phase 2 trial. PMID 34798060</w:t>
      </w:r>
    </w:p>
    <w:p>
      <w:pPr>
        <w:numPr>
          <w:ilvl w:val="0"/>
          <w:numId w:val="1377"/>
        </w:numPr>
        <w:pStyle w:val="Compact"/>
      </w:pPr>
      <w:r>
        <w:t xml:space="preserve">2021 · Yu DN ·</w:t>
      </w:r>
      <w:r>
        <w:t xml:space="preserve"> </w:t>
      </w:r>
      <w:r>
        <w:rPr>
          <w:iCs/>
          <w:i/>
        </w:rPr>
        <w:t xml:space="preserve">Zhonghua Nei Ke Za Zhi</w:t>
      </w:r>
      <w:r>
        <w:t xml:space="preserve"> </w:t>
      </w:r>
      <w:r>
        <w:t xml:space="preserve">· [The effects of liraglutide on body composition and muscle strength in adult obese patients with type 2 diabetes mellitus]. PMID 34689519</w:t>
      </w:r>
    </w:p>
    <w:p>
      <w:pPr>
        <w:numPr>
          <w:ilvl w:val="0"/>
          <w:numId w:val="1377"/>
        </w:numPr>
        <w:pStyle w:val="Compact"/>
      </w:pPr>
      <w:r>
        <w:t xml:space="preserve">2021 · Zobel EH ·</w:t>
      </w:r>
      <w:r>
        <w:t xml:space="preserve"> </w:t>
      </w:r>
      <w:r>
        <w:rPr>
          <w:iCs/>
          <w:i/>
        </w:rPr>
        <w:t xml:space="preserve">Sci Rep</w:t>
      </w:r>
      <w:r>
        <w:t xml:space="preserve"> </w:t>
      </w:r>
      <w:r>
        <w:t xml:space="preserve">· Effect of liraglutide on expression of inflammatory genes in type 2 diabetes. PMID 34535716</w:t>
      </w:r>
    </w:p>
    <w:p>
      <w:pPr>
        <w:numPr>
          <w:ilvl w:val="0"/>
          <w:numId w:val="1377"/>
        </w:numPr>
        <w:pStyle w:val="Compact"/>
      </w:pPr>
      <w:r>
        <w:t xml:space="preserve">2021 · Zobel EH ·</w:t>
      </w:r>
      <w:r>
        <w:t xml:space="preserve"> </w:t>
      </w:r>
      <w:r>
        <w:rPr>
          <w:iCs/>
          <w:i/>
        </w:rPr>
        <w:t xml:space="preserve">BMJ Open Diabetes Res Care</w:t>
      </w:r>
      <w:r>
        <w:t xml:space="preserve"> </w:t>
      </w:r>
      <w:r>
        <w:t xml:space="preserve">· Ceramides and phospholipids are downregulated with liraglutide treatment: results from the LiraFlame randomized controlled trial. PMID 34518158</w:t>
      </w:r>
    </w:p>
    <w:p>
      <w:pPr>
        <w:numPr>
          <w:ilvl w:val="0"/>
          <w:numId w:val="1377"/>
        </w:numPr>
        <w:pStyle w:val="Compact"/>
      </w:pPr>
      <w:r>
        <w:t xml:space="preserve">2021 · Araki E ·</w:t>
      </w:r>
      <w:r>
        <w:t xml:space="preserve"> </w:t>
      </w:r>
      <w:r>
        <w:rPr>
          <w:iCs/>
          <w:i/>
        </w:rPr>
        <w:t xml:space="preserve">Diabetes Obes Metab</w:t>
      </w:r>
      <w:r>
        <w:t xml:space="preserve"> </w:t>
      </w:r>
      <w:r>
        <w:t xml:space="preserve">· Efficacy and safety of oral semaglutide in Japanese patients with type 2 diabetes: A post hoc subgroup analysis of the PIONEER 1, 3, 4 and 8 trials. PMID 34472698</w:t>
      </w:r>
    </w:p>
    <w:p>
      <w:pPr>
        <w:numPr>
          <w:ilvl w:val="0"/>
          <w:numId w:val="1377"/>
        </w:numPr>
        <w:pStyle w:val="Compact"/>
      </w:pPr>
      <w:r>
        <w:t xml:space="preserve">2021 · Dejgaard TF ·</w:t>
      </w:r>
      <w:r>
        <w:t xml:space="preserve"> </w:t>
      </w:r>
      <w:r>
        <w:rPr>
          <w:iCs/>
          <w:i/>
        </w:rPr>
        <w:t xml:space="preserve">Diabetes Obes Metab</w:t>
      </w:r>
      <w:r>
        <w:t xml:space="preserve"> </w:t>
      </w:r>
      <w:r>
        <w:t xml:space="preserve">· Efficacy and safety of liraglutide in type 1 diabetes by baseline characteristics in the ADJUNCT ONE and ADJUNCT TWO randomized controlled trials. PMID 34463425</w:t>
      </w:r>
    </w:p>
    <w:p>
      <w:pPr>
        <w:numPr>
          <w:ilvl w:val="0"/>
          <w:numId w:val="1377"/>
        </w:numPr>
        <w:pStyle w:val="Compact"/>
      </w:pPr>
      <w:r>
        <w:t xml:space="preserve">2021 · Pei Y ·</w:t>
      </w:r>
      <w:r>
        <w:t xml:space="preserve"> </w:t>
      </w:r>
      <w:r>
        <w:rPr>
          <w:iCs/>
          <w:i/>
        </w:rPr>
        <w:t xml:space="preserve">Diabetes Obes Metab</w:t>
      </w:r>
      <w:r>
        <w:t xml:space="preserve"> </w:t>
      </w:r>
      <w:r>
        <w:t xml:space="preserve">· DUAL II China: Superior HbA1c reductions and weight loss with insulin degludec/liraglutide (IDegLira) versus insulin degludec in a randomized trial of Chinese people with type 2 diabetes inadequately controlled on basal insulin. PMID 34387411</w:t>
      </w:r>
    </w:p>
    <w:p>
      <w:pPr>
        <w:numPr>
          <w:ilvl w:val="0"/>
          <w:numId w:val="1377"/>
        </w:numPr>
        <w:pStyle w:val="Compact"/>
      </w:pPr>
      <w:r>
        <w:t xml:space="preserve">2021 · Rasmussen IKB ·</w:t>
      </w:r>
      <w:r>
        <w:t xml:space="preserve"> </w:t>
      </w:r>
      <w:r>
        <w:rPr>
          <w:iCs/>
          <w:i/>
        </w:rPr>
        <w:t xml:space="preserve">Diabetes Obes Metab</w:t>
      </w:r>
      <w:r>
        <w:t xml:space="preserve"> </w:t>
      </w:r>
      <w:r>
        <w:t xml:space="preserve">· Liraglutide reduces cardiac adipose tissue in type 2 diabetes: A secondary analysis of the LIRAFLAME randomized placebo-controlled trial. PMID 34387408</w:t>
      </w:r>
    </w:p>
    <w:p>
      <w:pPr>
        <w:numPr>
          <w:ilvl w:val="0"/>
          <w:numId w:val="1377"/>
        </w:numPr>
        <w:pStyle w:val="Compact"/>
      </w:pPr>
      <w:r>
        <w:t xml:space="preserve">2021 · Neeland IJ ·</w:t>
      </w:r>
      <w:r>
        <w:t xml:space="preserve"> </w:t>
      </w:r>
      <w:r>
        <w:rPr>
          <w:iCs/>
          <w:i/>
        </w:rPr>
        <w:t xml:space="preserve">Lancet Diabetes Endocrinol</w:t>
      </w:r>
      <w:r>
        <w:t xml:space="preserve"> </w:t>
      </w:r>
      <w:r>
        <w:t xml:space="preserve">· Effects of liraglutide on visceral and ectopic fat in adults with overweight and obesity at high cardiovascular risk: a randomised, double-blind, placebo-controlled, clinical trial. PMID 34358471</w:t>
      </w:r>
    </w:p>
    <w:p>
      <w:pPr>
        <w:numPr>
          <w:ilvl w:val="0"/>
          <w:numId w:val="1377"/>
        </w:numPr>
        <w:pStyle w:val="Compact"/>
      </w:pPr>
      <w:r>
        <w:t xml:space="preserve">2021 · Samson SL ·</w:t>
      </w:r>
      <w:r>
        <w:t xml:space="preserve"> </w:t>
      </w:r>
      <w:r>
        <w:rPr>
          <w:iCs/>
          <w:i/>
        </w:rPr>
        <w:t xml:space="preserve">Pituitary</w:t>
      </w:r>
      <w:r>
        <w:t xml:space="preserve"> </w:t>
      </w:r>
      <w:r>
        <w:t xml:space="preserve">· Managing pasireotide-associated hyperglycemia: a randomized, open-label, Phase IV study. PMID 34275099</w:t>
      </w:r>
    </w:p>
    <w:p>
      <w:pPr>
        <w:numPr>
          <w:ilvl w:val="0"/>
          <w:numId w:val="1377"/>
        </w:numPr>
        <w:pStyle w:val="Compact"/>
      </w:pPr>
      <w:r>
        <w:t xml:space="preserve">2021 · Pantalone KM ·</w:t>
      </w:r>
      <w:r>
        <w:t xml:space="preserve"> </w:t>
      </w:r>
      <w:r>
        <w:rPr>
          <w:iCs/>
          <w:i/>
        </w:rPr>
        <w:t xml:space="preserve">JAMA Netw Open</w:t>
      </w:r>
      <w:r>
        <w:t xml:space="preserve"> </w:t>
      </w:r>
      <w:r>
        <w:t xml:space="preserve">· Effectiveness of Combining Antiobesity Medication With an Employer-Based Weight Management Program for Treatment of Obesity: A Randomized Clinical Trial. PMID 34255049</w:t>
      </w:r>
    </w:p>
    <w:p>
      <w:pPr>
        <w:numPr>
          <w:ilvl w:val="0"/>
          <w:numId w:val="1377"/>
        </w:numPr>
        <w:pStyle w:val="Compact"/>
      </w:pPr>
      <w:r>
        <w:t xml:space="preserve">2021 · Li Q ·</w:t>
      </w:r>
      <w:r>
        <w:t xml:space="preserve"> </w:t>
      </w:r>
      <w:r>
        <w:rPr>
          <w:iCs/>
          <w:i/>
        </w:rPr>
        <w:t xml:space="preserve">J Am Heart Assoc</w:t>
      </w:r>
      <w:r>
        <w:t xml:space="preserve"> </w:t>
      </w:r>
      <w:r>
        <w:t xml:space="preserve">· Activation of Glucagon-Like Peptide-1 Receptor Ameliorates Cognitive Decline in Type 2 Diabetes Mellitus Through a Metabolism-Independent Pathway. PMID 34250817</w:t>
      </w:r>
    </w:p>
    <w:p>
      <w:pPr>
        <w:numPr>
          <w:ilvl w:val="0"/>
          <w:numId w:val="1377"/>
        </w:numPr>
        <w:pStyle w:val="Compact"/>
      </w:pPr>
      <w:r>
        <w:t xml:space="preserve">2021 · Quast DR ·</w:t>
      </w:r>
      <w:r>
        <w:t xml:space="preserve"> </w:t>
      </w:r>
      <w:r>
        <w:rPr>
          <w:iCs/>
          <w:i/>
        </w:rPr>
        <w:t xml:space="preserve">Diabetes Obes Metab</w:t>
      </w:r>
      <w:r>
        <w:t xml:space="preserve"> </w:t>
      </w:r>
      <w:r>
        <w:t xml:space="preserve">· Macronutrient intake, appetite, food preferences and exocrine pancreas function after treatment with short- and long-acting glucagon-like peptide-1 receptor agonists in type 2 diabetes. PMID 34189834</w:t>
      </w:r>
    </w:p>
    <w:p>
      <w:pPr>
        <w:numPr>
          <w:ilvl w:val="0"/>
          <w:numId w:val="1377"/>
        </w:numPr>
        <w:pStyle w:val="Compact"/>
      </w:pPr>
      <w:r>
        <w:t xml:space="preserve">2021 · Bojer AS ·</w:t>
      </w:r>
      <w:r>
        <w:t xml:space="preserve"> </w:t>
      </w:r>
      <w:r>
        <w:rPr>
          <w:iCs/>
          <w:i/>
        </w:rPr>
        <w:t xml:space="preserve">Diabetes Obes Metab</w:t>
      </w:r>
      <w:r>
        <w:t xml:space="preserve"> </w:t>
      </w:r>
      <w:r>
        <w:t xml:space="preserve">· Metabolic improvement with short-term, glucagon-like peptide-1 receptor agonist treatment does not improve cardiac diastolic dysfunction in patients with type 2 diabetes: A randomized, double-blind, placebo-controlled trial. PMID 34189832</w:t>
      </w:r>
    </w:p>
    <w:p>
      <w:pPr>
        <w:numPr>
          <w:ilvl w:val="0"/>
          <w:numId w:val="1377"/>
        </w:numPr>
        <w:pStyle w:val="Compact"/>
      </w:pPr>
      <w:r>
        <w:t xml:space="preserve">2021 · Ripa RS ·</w:t>
      </w:r>
      <w:r>
        <w:t xml:space="preserve"> </w:t>
      </w:r>
      <w:r>
        <w:rPr>
          <w:iCs/>
          <w:i/>
        </w:rPr>
        <w:t xml:space="preserve">Circ Cardiovasc Imaging</w:t>
      </w:r>
      <w:r>
        <w:t xml:space="preserve"> </w:t>
      </w:r>
      <w:r>
        <w:t xml:space="preserve">· Effect of Liraglutide on Arterial Inflammation Assessed as [(18)F]FDG Uptake in Patients With Type 2 Diabetes: A Randomized, Double-Blind, Placebo-Controlled Trial. PMID 34187185</w:t>
      </w:r>
    </w:p>
    <w:p>
      <w:pPr>
        <w:numPr>
          <w:ilvl w:val="0"/>
          <w:numId w:val="1377"/>
        </w:numPr>
        <w:pStyle w:val="Compact"/>
      </w:pPr>
      <w:r>
        <w:t xml:space="preserve">2021 · Hompesch M ·</w:t>
      </w:r>
      <w:r>
        <w:t xml:space="preserve"> </w:t>
      </w:r>
      <w:r>
        <w:rPr>
          <w:iCs/>
          <w:i/>
        </w:rPr>
        <w:t xml:space="preserve">BMJ Open Diabetes Res Care</w:t>
      </w:r>
      <w:r>
        <w:t xml:space="preserve"> </w:t>
      </w:r>
      <w:r>
        <w:t xml:space="preserve">· Effects of efpeglenatide versus liraglutide on gastric emptying, glucose metabolism and beta-cell function in people with type 2 diabetes: an exploratory, randomized phase Ib study. PMID 34172436</w:t>
      </w:r>
    </w:p>
    <w:p>
      <w:pPr>
        <w:numPr>
          <w:ilvl w:val="0"/>
          <w:numId w:val="1377"/>
        </w:numPr>
        <w:pStyle w:val="Compact"/>
      </w:pPr>
      <w:r>
        <w:t xml:space="preserve">2021 · Kahn SE ·</w:t>
      </w:r>
      <w:r>
        <w:t xml:space="preserve"> </w:t>
      </w:r>
      <w:r>
        <w:rPr>
          <w:iCs/>
          <w:i/>
        </w:rPr>
        <w:t xml:space="preserve">Diabetes Care</w:t>
      </w:r>
      <w:r>
        <w:t xml:space="preserve"> </w:t>
      </w:r>
      <w:r>
        <w:t xml:space="preserve">· Effect of Medical and Surgical Interventions on α-Cell Function in Dysglycemic Youth and Adults in the RISE Study. PMID 34135015</w:t>
      </w:r>
    </w:p>
    <w:p>
      <w:pPr>
        <w:numPr>
          <w:ilvl w:val="0"/>
          <w:numId w:val="1377"/>
        </w:numPr>
        <w:pStyle w:val="Compact"/>
      </w:pPr>
      <w:r>
        <w:t xml:space="preserve">2021 · Blonde L ·</w:t>
      </w:r>
      <w:r>
        <w:t xml:space="preserve"> </w:t>
      </w:r>
      <w:r>
        <w:rPr>
          <w:iCs/>
          <w:i/>
        </w:rPr>
        <w:t xml:space="preserve">Diabetes Obes Metab</w:t>
      </w:r>
      <w:r>
        <w:t xml:space="preserve"> </w:t>
      </w:r>
      <w:r>
        <w:t xml:space="preserve">· Efficacy of liraglutide added to sodium-glucose cotransporter-2 inhibitors in type 2 diabetes, stratified by baseline characteristics: Post-hoc analysis of LIRA-ADD2SGLT2i. PMID 34132018</w:t>
      </w:r>
    </w:p>
    <w:p>
      <w:pPr>
        <w:numPr>
          <w:ilvl w:val="0"/>
          <w:numId w:val="1377"/>
        </w:numPr>
        <w:pStyle w:val="Compact"/>
      </w:pPr>
      <w:r>
        <w:t xml:space="preserve">2021 · Sam S ·</w:t>
      </w:r>
      <w:r>
        <w:t xml:space="preserve"> </w:t>
      </w:r>
      <w:r>
        <w:rPr>
          <w:iCs/>
          <w:i/>
        </w:rPr>
        <w:t xml:space="preserve">Diabetes Care</w:t>
      </w:r>
      <w:r>
        <w:t xml:space="preserve"> </w:t>
      </w:r>
      <w:r>
        <w:t xml:space="preserve">· Baseline Predictors of Glycemic Worsening in Youth and Adults With Impaired Glucose Tolerance or Recently Diagnosed Type 2 Diabetes in the Restoring Insulin Secretion (RISE) Study. PMID 34131048</w:t>
      </w:r>
    </w:p>
    <w:p>
      <w:pPr>
        <w:numPr>
          <w:ilvl w:val="0"/>
          <w:numId w:val="1377"/>
        </w:numPr>
        <w:pStyle w:val="Compact"/>
      </w:pPr>
      <w:r>
        <w:t xml:space="preserve">2021 · Sharma A ·</w:t>
      </w:r>
      <w:r>
        <w:t xml:space="preserve"> </w:t>
      </w:r>
      <w:r>
        <w:rPr>
          <w:iCs/>
          <w:i/>
        </w:rPr>
        <w:t xml:space="preserve">ESC Heart Fail</w:t>
      </w:r>
      <w:r>
        <w:t xml:space="preserve"> </w:t>
      </w:r>
      <w:r>
        <w:t xml:space="preserve">· Growth differentiation factor-15, treatment with liraglutide, and clinical outcomes among patients with heart failure. PMID 34061470</w:t>
      </w:r>
    </w:p>
    <w:p>
      <w:pPr>
        <w:numPr>
          <w:ilvl w:val="0"/>
          <w:numId w:val="1377"/>
        </w:numPr>
        <w:pStyle w:val="Compact"/>
      </w:pPr>
      <w:r>
        <w:t xml:space="preserve">2021 · Nahra R ·</w:t>
      </w:r>
      <w:r>
        <w:t xml:space="preserve"> </w:t>
      </w:r>
      <w:r>
        <w:rPr>
          <w:iCs/>
          <w:i/>
        </w:rPr>
        <w:t xml:space="preserve">Diabetes Care</w:t>
      </w:r>
      <w:r>
        <w:t xml:space="preserve"> </w:t>
      </w:r>
      <w:r>
        <w:t xml:space="preserve">· Effects of Cotadutide on Metabolic and Hepatic Parameters in Adults With Overweight or Obesity and Type 2 Diabetes: A 54-Week Randomized Phase 2b Study. PMID 34016612</w:t>
      </w:r>
    </w:p>
    <w:p>
      <w:pPr>
        <w:numPr>
          <w:ilvl w:val="0"/>
          <w:numId w:val="1377"/>
        </w:numPr>
        <w:pStyle w:val="Compact"/>
      </w:pPr>
      <w:r>
        <w:t xml:space="preserve">2021 · Sivalingam S ·</w:t>
      </w:r>
      <w:r>
        <w:t xml:space="preserve"> </w:t>
      </w:r>
      <w:r>
        <w:rPr>
          <w:iCs/>
          <w:i/>
        </w:rPr>
        <w:t xml:space="preserve">Sci Rep</w:t>
      </w:r>
      <w:r>
        <w:t xml:space="preserve"> </w:t>
      </w:r>
      <w:r>
        <w:t xml:space="preserve">· The effect of liraglutide and sitagliptin on oxidative stress in persons with type 2 diabetes. PMID 34012064</w:t>
      </w:r>
    </w:p>
    <w:p>
      <w:pPr>
        <w:numPr>
          <w:ilvl w:val="0"/>
          <w:numId w:val="1377"/>
        </w:numPr>
        <w:pStyle w:val="Compact"/>
      </w:pPr>
      <w:r>
        <w:t xml:space="preserve">2021 · Brooks-Worrell BM ·</w:t>
      </w:r>
      <w:r>
        <w:t xml:space="preserve"> </w:t>
      </w:r>
      <w:r>
        <w:rPr>
          <w:iCs/>
          <w:i/>
        </w:rPr>
        <w:t xml:space="preserve">Front Immunol</w:t>
      </w:r>
      <w:r>
        <w:t xml:space="preserve"> </w:t>
      </w:r>
      <w:r>
        <w:t xml:space="preserve">· Islet Autoimmunity in Adults With Impaired Glucose Tolerance and Recently Diagnosed, Treatment Naïve Type 2 Diabetes in the Restoring Insulin SEcretion (RISE) Study. PMID 33981301</w:t>
      </w:r>
    </w:p>
    <w:p>
      <w:pPr>
        <w:numPr>
          <w:ilvl w:val="0"/>
          <w:numId w:val="1377"/>
        </w:numPr>
        <w:pStyle w:val="Compact"/>
      </w:pPr>
      <w:r>
        <w:t xml:space="preserve">2021 · Lundgren JR ·</w:t>
      </w:r>
      <w:r>
        <w:t xml:space="preserve"> </w:t>
      </w:r>
      <w:r>
        <w:rPr>
          <w:iCs/>
          <w:i/>
        </w:rPr>
        <w:t xml:space="preserve">N Engl J Med</w:t>
      </w:r>
      <w:r>
        <w:t xml:space="preserve"> </w:t>
      </w:r>
      <w:r>
        <w:t xml:space="preserve">· Healthy Weight Loss Maintenance with Exercise, Liraglutide, or Both Combined. PMID 33951361</w:t>
      </w:r>
    </w:p>
    <w:p>
      <w:pPr>
        <w:numPr>
          <w:ilvl w:val="0"/>
          <w:numId w:val="1377"/>
        </w:numPr>
        <w:pStyle w:val="Compact"/>
      </w:pPr>
      <w:r>
        <w:t xml:space="preserve">2021 · Schiavon M ·</w:t>
      </w:r>
      <w:r>
        <w:t xml:space="preserve"> </w:t>
      </w:r>
      <w:r>
        <w:rPr>
          <w:iCs/>
          <w:i/>
        </w:rPr>
        <w:t xml:space="preserve">Diabetes Obes Metab</w:t>
      </w:r>
      <w:r>
        <w:t xml:space="preserve"> </w:t>
      </w:r>
      <w:r>
        <w:t xml:space="preserve">· Improved postprandial glucose metabolism in type 2 diabetes by the dual glucagon-like peptide-1/glucagon receptor agonist SAR425899 in comparison with liraglutide. PMID 33822469</w:t>
      </w:r>
    </w:p>
    <w:p>
      <w:pPr>
        <w:numPr>
          <w:ilvl w:val="0"/>
          <w:numId w:val="1377"/>
        </w:numPr>
        <w:pStyle w:val="Compact"/>
      </w:pPr>
      <w:r>
        <w:t xml:space="preserve">2021 · von Herrath M ·</w:t>
      </w:r>
      <w:r>
        <w:t xml:space="preserve"> </w:t>
      </w:r>
      <w:r>
        <w:rPr>
          <w:iCs/>
          <w:i/>
        </w:rPr>
        <w:t xml:space="preserve">Lancet Diabetes Endocrinol</w:t>
      </w:r>
      <w:r>
        <w:t xml:space="preserve"> </w:t>
      </w:r>
      <w:r>
        <w:t xml:space="preserve">· Anti-interleukin-21 antibody and liraglutide for the preservation of β-cell function in adults with recent-onset type 1 diabetes: a randomised, double-blind, placebo-controlled, phase 2 trial. PMID 33662334</w:t>
      </w:r>
    </w:p>
    <w:p>
      <w:pPr>
        <w:numPr>
          <w:ilvl w:val="0"/>
          <w:numId w:val="1377"/>
        </w:numPr>
        <w:pStyle w:val="Compact"/>
      </w:pPr>
      <w:r>
        <w:t xml:space="preserve">2021 · Ando Y ·</w:t>
      </w:r>
      <w:r>
        <w:t xml:space="preserve"> </w:t>
      </w:r>
      <w:r>
        <w:rPr>
          <w:iCs/>
          <w:i/>
        </w:rPr>
        <w:t xml:space="preserve">J Diabetes Investig</w:t>
      </w:r>
      <w:r>
        <w:t xml:space="preserve"> </w:t>
      </w:r>
      <w:r>
        <w:t xml:space="preserve">· Simplification of complex insulin regimens using canagliflozin or liraglutide in patients with well-controlled type 2 diabetes: A 24-week randomized controlled trial. PMID 33650779</w:t>
      </w:r>
    </w:p>
    <w:p>
      <w:pPr>
        <w:numPr>
          <w:ilvl w:val="0"/>
          <w:numId w:val="1377"/>
        </w:numPr>
        <w:pStyle w:val="Compact"/>
      </w:pPr>
      <w:r>
        <w:t xml:space="preserve">2021 · Bensignor MO ·</w:t>
      </w:r>
      <w:r>
        <w:t xml:space="preserve"> </w:t>
      </w:r>
      <w:r>
        <w:rPr>
          <w:iCs/>
          <w:i/>
        </w:rPr>
        <w:t xml:space="preserve">Pediatr Obes</w:t>
      </w:r>
      <w:r>
        <w:t xml:space="preserve"> </w:t>
      </w:r>
      <w:r>
        <w:t xml:space="preserve">· Effect of liraglutide treatment on body mass index and weight parameters in children and adolescents with type 2 diabetes: Post hoc analysis of the ellipse trial. PMID 33634589</w:t>
      </w:r>
    </w:p>
    <w:p>
      <w:pPr>
        <w:numPr>
          <w:ilvl w:val="0"/>
          <w:numId w:val="1377"/>
        </w:numPr>
        <w:pStyle w:val="Compact"/>
      </w:pPr>
      <w:r>
        <w:t xml:space="preserve">2021 · Wegeberg AM ·</w:t>
      </w:r>
      <w:r>
        <w:t xml:space="preserve"> </w:t>
      </w:r>
      <w:r>
        <w:rPr>
          <w:iCs/>
          <w:i/>
        </w:rPr>
        <w:t xml:space="preserve">Basic Clin Pharmacol Toxicol</w:t>
      </w:r>
      <w:r>
        <w:t xml:space="preserve"> </w:t>
      </w:r>
      <w:r>
        <w:t xml:space="preserve">· Subcutaneous adipose tissue composition and function are unaffected by liraglutide-induced weight loss in adults with type 1 diabetes. PMID 33624417</w:t>
      </w:r>
    </w:p>
    <w:p>
      <w:pPr>
        <w:numPr>
          <w:ilvl w:val="0"/>
          <w:numId w:val="1377"/>
        </w:numPr>
        <w:pStyle w:val="Compact"/>
      </w:pPr>
      <w:r>
        <w:t xml:space="preserve">2021 · Pasquel FJ ·</w:t>
      </w:r>
      <w:r>
        <w:t xml:space="preserve"> </w:t>
      </w:r>
      <w:r>
        <w:rPr>
          <w:iCs/>
          <w:i/>
        </w:rPr>
        <w:t xml:space="preserve">Diabetes Obes Metab</w:t>
      </w:r>
      <w:r>
        <w:t xml:space="preserve"> </w:t>
      </w:r>
      <w:r>
        <w:t xml:space="preserve">· Liraglutide hospital discharge trial: A randomized controlled trial comparing the safety and efficacy of liraglutide versus insulin glargine for the management of patients with type 2 diabetes after hospital discharge. PMID 33591621</w:t>
      </w:r>
    </w:p>
    <w:p>
      <w:pPr>
        <w:numPr>
          <w:ilvl w:val="0"/>
          <w:numId w:val="1377"/>
        </w:numPr>
        <w:pStyle w:val="Compact"/>
      </w:pPr>
      <w:r>
        <w:t xml:space="preserve">2021 · Grannell A ·</w:t>
      </w:r>
      <w:r>
        <w:t xml:space="preserve"> </w:t>
      </w:r>
      <w:r>
        <w:rPr>
          <w:iCs/>
          <w:i/>
        </w:rPr>
        <w:t xml:space="preserve">Obesity (Silver Spring)</w:t>
      </w:r>
      <w:r>
        <w:t xml:space="preserve"> </w:t>
      </w:r>
      <w:r>
        <w:t xml:space="preserve">· Liraglutide Does Not Adversely Impact Fat-Free Mass Loss. PMID 33528919</w:t>
      </w:r>
    </w:p>
    <w:p>
      <w:pPr>
        <w:numPr>
          <w:ilvl w:val="0"/>
          <w:numId w:val="1377"/>
        </w:numPr>
        <w:pStyle w:val="Compact"/>
      </w:pPr>
      <w:r>
        <w:t xml:space="preserve">2021 · Whicher CA ·</w:t>
      </w:r>
      <w:r>
        <w:t xml:space="preserve"> </w:t>
      </w:r>
      <w:r>
        <w:rPr>
          <w:iCs/>
          <w:i/>
        </w:rPr>
        <w:t xml:space="preserve">Diabetes Obes Metab</w:t>
      </w:r>
      <w:r>
        <w:t xml:space="preserve"> </w:t>
      </w:r>
      <w:r>
        <w:t xml:space="preserve">· The use of liraglutide 3.0 mg daily in the management of overweight and obesity in people with schizophrenia, schizoaffective disorder and first episode psychosis: Results of a pilot randomized, double-blind, placebo-controlled trial. PMID 33528914</w:t>
      </w:r>
    </w:p>
    <w:p>
      <w:pPr>
        <w:numPr>
          <w:ilvl w:val="0"/>
          <w:numId w:val="1377"/>
        </w:numPr>
        <w:pStyle w:val="Compact"/>
      </w:pPr>
      <w:r>
        <w:t xml:space="preserve">2021 · Persson F ·</w:t>
      </w:r>
      <w:r>
        <w:t xml:space="preserve"> </w:t>
      </w:r>
      <w:r>
        <w:rPr>
          <w:iCs/>
          <w:i/>
        </w:rPr>
        <w:t xml:space="preserve">Diabetes Care</w:t>
      </w:r>
      <w:r>
        <w:t xml:space="preserve"> </w:t>
      </w:r>
      <w:r>
        <w:t xml:space="preserve">· Changes in Albuminuria Predict Cardiovascular and Renal Outcomes in Type 2 Diabetes: A Post Hoc Analysis of the LEADER Trial. PMID 33504496</w:t>
      </w:r>
    </w:p>
    <w:p>
      <w:pPr>
        <w:numPr>
          <w:ilvl w:val="0"/>
          <w:numId w:val="1377"/>
        </w:numPr>
        <w:pStyle w:val="Compact"/>
      </w:pPr>
      <w:r>
        <w:t xml:space="preserve">2021 · Alba M ·</w:t>
      </w:r>
      <w:r>
        <w:t xml:space="preserve"> </w:t>
      </w:r>
      <w:r>
        <w:rPr>
          <w:iCs/>
          <w:i/>
        </w:rPr>
        <w:t xml:space="preserve">Clin Obes</w:t>
      </w:r>
      <w:r>
        <w:t xml:space="preserve"> </w:t>
      </w:r>
      <w:r>
        <w:t xml:space="preserve">· Efficacy and safety of glucagon-like peptide-1/glucagon receptor co-agonist JNJ-64565111 in individuals with obesity without type 2 diabetes mellitus: A randomized dose-ranging study. PMID 33475255</w:t>
      </w:r>
    </w:p>
    <w:p>
      <w:pPr>
        <w:numPr>
          <w:ilvl w:val="0"/>
          <w:numId w:val="1377"/>
        </w:numPr>
        <w:pStyle w:val="Compact"/>
      </w:pPr>
      <w:r>
        <w:t xml:space="preserve">2021 · Gudbergsen H ·</w:t>
      </w:r>
      <w:r>
        <w:t xml:space="preserve"> </w:t>
      </w:r>
      <w:r>
        <w:rPr>
          <w:iCs/>
          <w:i/>
        </w:rPr>
        <w:t xml:space="preserve">Am J Clin Nutr</w:t>
      </w:r>
      <w:r>
        <w:t xml:space="preserve"> </w:t>
      </w:r>
      <w:r>
        <w:t xml:space="preserve">· Liraglutide after diet-induced weight loss for pain and weight control in knee osteoarthritis: a randomized controlled trial. PMID 33471039</w:t>
      </w:r>
    </w:p>
    <w:p>
      <w:pPr>
        <w:numPr>
          <w:ilvl w:val="0"/>
          <w:numId w:val="1377"/>
        </w:numPr>
        <w:pStyle w:val="Compact"/>
      </w:pPr>
      <w:r>
        <w:t xml:space="preserve">2021 · Smits MM ·</w:t>
      </w:r>
      <w:r>
        <w:t xml:space="preserve"> </w:t>
      </w:r>
      <w:r>
        <w:rPr>
          <w:iCs/>
          <w:i/>
        </w:rPr>
        <w:t xml:space="preserve">Diabetes Metab</w:t>
      </w:r>
      <w:r>
        <w:t xml:space="preserve"> </w:t>
      </w:r>
      <w:r>
        <w:t xml:space="preserve">· Liraglutide and sitagliptin have no effect on intestinal microbiota composition: A 12-week randomized placebo-controlled trial in adults with type 2 diabetes. PMID 33429063</w:t>
      </w:r>
    </w:p>
    <w:p>
      <w:pPr>
        <w:numPr>
          <w:ilvl w:val="0"/>
          <w:numId w:val="1377"/>
        </w:numPr>
        <w:pStyle w:val="Compact"/>
      </w:pPr>
      <w:r>
        <w:t xml:space="preserve">2021 · Kumarathurai P ·</w:t>
      </w:r>
      <w:r>
        <w:t xml:space="preserve"> </w:t>
      </w:r>
      <w:r>
        <w:rPr>
          <w:iCs/>
          <w:i/>
        </w:rPr>
        <w:t xml:space="preserve">Cardiovasc Diabetol</w:t>
      </w:r>
      <w:r>
        <w:t xml:space="preserve"> </w:t>
      </w:r>
      <w:r>
        <w:t xml:space="preserve">· Effects of liraglutide on diastolic function parameters in patients with type 2 diabetes and coronary artery disease: a randomized crossover study. PMID 33413428</w:t>
      </w:r>
    </w:p>
    <w:p>
      <w:pPr>
        <w:numPr>
          <w:ilvl w:val="0"/>
          <w:numId w:val="1377"/>
        </w:numPr>
        <w:pStyle w:val="Compact"/>
      </w:pPr>
      <w:r>
        <w:t xml:space="preserve">2021 · Maagensen H ·</w:t>
      </w:r>
      <w:r>
        <w:t xml:space="preserve"> </w:t>
      </w:r>
      <w:r>
        <w:rPr>
          <w:iCs/>
          <w:i/>
        </w:rPr>
        <w:t xml:space="preserve">Psychiatry Res</w:t>
      </w:r>
      <w:r>
        <w:t xml:space="preserve"> </w:t>
      </w:r>
      <w:r>
        <w:t xml:space="preserve">· Liraglutide does not change bone turnover in clozapine- and olanzapine-treated schizophrenia overweight patients with prediabetes - randomized controlled trial. PMID 33373806</w:t>
      </w:r>
    </w:p>
    <w:p>
      <w:pPr>
        <w:numPr>
          <w:ilvl w:val="0"/>
          <w:numId w:val="1377"/>
        </w:numPr>
        <w:pStyle w:val="Compact"/>
      </w:pPr>
      <w:r>
        <w:t xml:space="preserve">2021 · van Baar ACG ·</w:t>
      </w:r>
      <w:r>
        <w:t xml:space="preserve"> </w:t>
      </w:r>
      <w:r>
        <w:rPr>
          <w:iCs/>
          <w:i/>
        </w:rPr>
        <w:t xml:space="preserve">Gastrointest Endosc</w:t>
      </w:r>
      <w:r>
        <w:t xml:space="preserve"> </w:t>
      </w:r>
      <w:r>
        <w:t xml:space="preserve">· Duodenal mucosal resurfacing combined with glucagon-like peptide-1 receptor agonism to discontinue insulin in type 2 diabetes: a feasibility study. PMID 33359437</w:t>
      </w:r>
    </w:p>
    <w:p>
      <w:pPr>
        <w:numPr>
          <w:ilvl w:val="0"/>
          <w:numId w:val="1377"/>
        </w:numPr>
        <w:pStyle w:val="Compact"/>
      </w:pPr>
      <w:r>
        <w:t xml:space="preserve">2021 · Dekkers IA ·</w:t>
      </w:r>
      <w:r>
        <w:t xml:space="preserve"> </w:t>
      </w:r>
      <w:r>
        <w:rPr>
          <w:iCs/>
          <w:i/>
        </w:rPr>
        <w:t xml:space="preserve">J Ren Nutr</w:t>
      </w:r>
      <w:r>
        <w:t xml:space="preserve"> </w:t>
      </w:r>
      <w:r>
        <w:t xml:space="preserve">· The Effect of Glycemic Control on Renal Triglyceride Content Assessed by Proton Spectroscopy in Patients With Type 2 Diabetes Mellitus: A Single-Center Parallel-Group Trial. PMID 33293204</w:t>
      </w:r>
    </w:p>
    <w:p>
      <w:pPr>
        <w:numPr>
          <w:ilvl w:val="0"/>
          <w:numId w:val="1377"/>
        </w:numPr>
        <w:pStyle w:val="Compact"/>
      </w:pPr>
      <w:r>
        <w:t xml:space="preserve">2021 · Kim SH ·</w:t>
      </w:r>
      <w:r>
        <w:t xml:space="preserve"> </w:t>
      </w:r>
      <w:r>
        <w:rPr>
          <w:iCs/>
          <w:i/>
        </w:rPr>
        <w:t xml:space="preserve">Diabetes Obes Metab</w:t>
      </w:r>
      <w:r>
        <w:t xml:space="preserve"> </w:t>
      </w:r>
      <w:r>
        <w:t xml:space="preserve">· Effect of the glucagon-like peptide-1 analogue liraglutide versus placebo treatment on circulating proglucagon-derived peptides that mediate improvements in body weight, insulin secretion and action: A randomized controlled trial. PMID 33140542</w:t>
      </w:r>
    </w:p>
    <w:p>
      <w:pPr>
        <w:numPr>
          <w:ilvl w:val="0"/>
          <w:numId w:val="1377"/>
        </w:numPr>
        <w:pStyle w:val="Compact"/>
      </w:pPr>
      <w:r>
        <w:t xml:space="preserve">2021 · Aso Y ·</w:t>
      </w:r>
      <w:r>
        <w:t xml:space="preserve"> </w:t>
      </w:r>
      <w:r>
        <w:rPr>
          <w:iCs/>
          <w:i/>
        </w:rPr>
        <w:t xml:space="preserve">Int J Clin Pract</w:t>
      </w:r>
      <w:r>
        <w:t xml:space="preserve"> </w:t>
      </w:r>
      <w:r>
        <w:t xml:space="preserve">· Comparison of insulin degludec (IDeg)/insulin Aspart (IAsp) co-formulation therapy twice-daily with free combination of GLP-1 receptor agonist liraglutide plus insulin degludec in Tochigi: IDEAL Trial. PMID 33099848</w:t>
      </w:r>
    </w:p>
    <w:p>
      <w:pPr>
        <w:numPr>
          <w:ilvl w:val="0"/>
          <w:numId w:val="1377"/>
        </w:numPr>
        <w:pStyle w:val="Compact"/>
      </w:pPr>
      <w:r>
        <w:t xml:space="preserve">2021 · Jiang J ·</w:t>
      </w:r>
      <w:r>
        <w:t xml:space="preserve"> </w:t>
      </w:r>
      <w:r>
        <w:rPr>
          <w:iCs/>
          <w:i/>
        </w:rPr>
        <w:t xml:space="preserve">Endocr Metab Immune Disord Drug Targets</w:t>
      </w:r>
      <w:r>
        <w:t xml:space="preserve"> </w:t>
      </w:r>
      <w:r>
        <w:t xml:space="preserve">· Comparison of Dapaglifozin and Liraglutide in Patients with Poorly Controlled Type 2 Diabetes Mellitus: a 24-week, Open, Double-centered, Head to Head Trial. PMID 32875989</w:t>
      </w:r>
    </w:p>
    <w:p>
      <w:pPr>
        <w:numPr>
          <w:ilvl w:val="0"/>
          <w:numId w:val="1377"/>
        </w:numPr>
        <w:pStyle w:val="Compact"/>
      </w:pPr>
      <w:r>
        <w:t xml:space="preserve">2021 · Thakur U ·</w:t>
      </w:r>
      <w:r>
        <w:t xml:space="preserve"> </w:t>
      </w:r>
      <w:r>
        <w:rPr>
          <w:iCs/>
          <w:i/>
        </w:rPr>
        <w:t xml:space="preserve">Obes Surg</w:t>
      </w:r>
      <w:r>
        <w:t xml:space="preserve"> </w:t>
      </w:r>
      <w:r>
        <w:t xml:space="preserve">· Liraglutide Augments Weight Loss After Laparoscopic Sleeve Gastrectomy: a Randomised, Double-Blind, Placebo-Control Study. PMID 32656729</w:t>
      </w:r>
    </w:p>
    <w:p>
      <w:pPr>
        <w:numPr>
          <w:ilvl w:val="0"/>
          <w:numId w:val="1377"/>
        </w:numPr>
        <w:pStyle w:val="Compact"/>
      </w:pPr>
      <w:r>
        <w:t xml:space="preserve">2021 · Billings LK ·</w:t>
      </w:r>
      <w:r>
        <w:t xml:space="preserve"> </w:t>
      </w:r>
      <w:r>
        <w:rPr>
          <w:iCs/>
          <w:i/>
        </w:rPr>
        <w:t xml:space="preserve">J Diabetes Sci Technol</w:t>
      </w:r>
      <w:r>
        <w:t xml:space="preserve"> </w:t>
      </w:r>
      <w:r>
        <w:t xml:space="preserve">· The Benefit of Insulin Degludec/Liraglutide (IDegLira) Compared With Basal-Bolus Insulin Therapy is Consistent Across Participant Subgroups With Type 2 Diabetes in the DUAL VII Randomized Trial. PMID 32107930</w:t>
      </w:r>
    </w:p>
    <w:p>
      <w:pPr>
        <w:numPr>
          <w:ilvl w:val="0"/>
          <w:numId w:val="1377"/>
        </w:numPr>
        <w:pStyle w:val="Compact"/>
      </w:pPr>
      <w:r>
        <w:t xml:space="preserve">2020 · Rodbard HW ·</w:t>
      </w:r>
      <w:r>
        <w:t xml:space="preserve"> </w:t>
      </w:r>
      <w:r>
        <w:rPr>
          <w:iCs/>
          <w:i/>
        </w:rPr>
        <w:t xml:space="preserve">Am J Manag Care</w:t>
      </w:r>
      <w:r>
        <w:t xml:space="preserve"> </w:t>
      </w:r>
      <w:r>
        <w:t xml:space="preserve">· Efficacy of oral semaglutide: overview of the PIONEER clinical trial program and implications for managed care. PMID 33439582</w:t>
      </w:r>
    </w:p>
    <w:p>
      <w:pPr>
        <w:numPr>
          <w:ilvl w:val="0"/>
          <w:numId w:val="1377"/>
        </w:numPr>
        <w:pStyle w:val="Compact"/>
      </w:pPr>
      <w:r>
        <w:t xml:space="preserve">2020 · Tronieri JS ·</w:t>
      </w:r>
      <w:r>
        <w:t xml:space="preserve"> </w:t>
      </w:r>
      <w:r>
        <w:rPr>
          <w:iCs/>
          <w:i/>
        </w:rPr>
        <w:t xml:space="preserve">Obes Facts</w:t>
      </w:r>
      <w:r>
        <w:t xml:space="preserve"> </w:t>
      </w:r>
      <w:r>
        <w:t xml:space="preserve">· Effects of Dietary Self-Monitoring, Physical Activity, Liraglutide 3.0 mg, and Placebo on Weight Loss in the SCALE IBT Trial. PMID 33197917</w:t>
      </w:r>
    </w:p>
    <w:p>
      <w:pPr>
        <w:numPr>
          <w:ilvl w:val="0"/>
          <w:numId w:val="1377"/>
        </w:numPr>
        <w:pStyle w:val="Compact"/>
      </w:pPr>
      <w:r>
        <w:t xml:space="preserve">2020 · Guo W ·</w:t>
      </w:r>
      <w:r>
        <w:t xml:space="preserve"> </w:t>
      </w:r>
      <w:r>
        <w:rPr>
          <w:iCs/>
          <w:i/>
        </w:rPr>
        <w:t xml:space="preserve">Diabetes Res Clin Pract</w:t>
      </w:r>
      <w:r>
        <w:t xml:space="preserve"> </w:t>
      </w:r>
      <w:r>
        <w:t xml:space="preserve">· Liraglutide or insulin glargine treatments improves hepatic fat in obese patients with type 2 diabetes and nonalcoholic fatty liver disease in twenty-six weeks: A randomized placebo-controlled trial. PMID 33035599</w:t>
      </w:r>
    </w:p>
    <w:p>
      <w:pPr>
        <w:numPr>
          <w:ilvl w:val="0"/>
          <w:numId w:val="1377"/>
        </w:numPr>
        <w:pStyle w:val="Compact"/>
      </w:pPr>
      <w:r>
        <w:t xml:space="preserve">2020 · Kuchay MS ·</w:t>
      </w:r>
      <w:r>
        <w:t xml:space="preserve"> </w:t>
      </w:r>
      <w:r>
        <w:rPr>
          <w:iCs/>
          <w:i/>
        </w:rPr>
        <w:t xml:space="preserve">Diabetologia</w:t>
      </w:r>
      <w:r>
        <w:t xml:space="preserve"> </w:t>
      </w:r>
      <w:r>
        <w:t xml:space="preserve">· Effect of dulaglutide on liver fat in patients with type 2 diabetes and NAFLD: randomised controlled trial (D-LIFT trial). PMID 32865597</w:t>
      </w:r>
    </w:p>
    <w:p>
      <w:pPr>
        <w:numPr>
          <w:ilvl w:val="0"/>
          <w:numId w:val="1377"/>
        </w:numPr>
        <w:pStyle w:val="Compact"/>
      </w:pPr>
      <w:r>
        <w:t xml:space="preserve">2020 · Ali AM ·</w:t>
      </w:r>
      <w:r>
        <w:t xml:space="preserve"> </w:t>
      </w:r>
      <w:r>
        <w:rPr>
          <w:iCs/>
          <w:i/>
        </w:rPr>
        <w:t xml:space="preserve">J Clin Endocrinol Metab</w:t>
      </w:r>
      <w:r>
        <w:t xml:space="preserve"> </w:t>
      </w:r>
      <w:r>
        <w:t xml:space="preserve">· Improved Beta Cell Glucose Sensitivity Plays Predominant Role in the Decrease in HbA1c with Cana and Lira in T2DM. PMID 32745202</w:t>
      </w:r>
    </w:p>
    <w:p>
      <w:pPr>
        <w:numPr>
          <w:ilvl w:val="0"/>
          <w:numId w:val="1377"/>
        </w:numPr>
        <w:pStyle w:val="Compact"/>
      </w:pPr>
      <w:r>
        <w:t xml:space="preserve">2020 · Quast DR ·</w:t>
      </w:r>
      <w:r>
        <w:t xml:space="preserve"> </w:t>
      </w:r>
      <w:r>
        <w:rPr>
          <w:iCs/>
          <w:i/>
        </w:rPr>
        <w:t xml:space="preserve">Diabetes Care</w:t>
      </w:r>
      <w:r>
        <w:t xml:space="preserve"> </w:t>
      </w:r>
      <w:r>
        <w:t xml:space="preserve">· Effects of Lixisenatide Versus Liraglutide (Short- and Long-Acting GLP-1 Receptor Agonists) on Esophageal and Gastric Function in Patients With Type 2 Diabetes. PMID 32647054</w:t>
      </w:r>
    </w:p>
    <w:p>
      <w:pPr>
        <w:numPr>
          <w:ilvl w:val="0"/>
          <w:numId w:val="1377"/>
        </w:numPr>
        <w:pStyle w:val="Compact"/>
      </w:pPr>
      <w:r>
        <w:t xml:space="preserve">2020 · Verma S ·</w:t>
      </w:r>
      <w:r>
        <w:t xml:space="preserve"> </w:t>
      </w:r>
      <w:r>
        <w:rPr>
          <w:iCs/>
          <w:i/>
        </w:rPr>
        <w:t xml:space="preserve">Diabetes Obes Metab</w:t>
      </w:r>
      <w:r>
        <w:t xml:space="preserve"> </w:t>
      </w:r>
      <w:r>
        <w:t xml:space="preserve">· Impact of microvascular disease on cardiovascular outcomes in type 2 diabetes: Results from the LEADER and SUSTAIN 6 clinical trials. PMID 32643857</w:t>
      </w:r>
    </w:p>
    <w:p>
      <w:pPr>
        <w:numPr>
          <w:ilvl w:val="0"/>
          <w:numId w:val="1377"/>
        </w:numPr>
        <w:pStyle w:val="Compact"/>
      </w:pPr>
      <w:r>
        <w:t xml:space="preserve">2020 · Nielsen R ·</w:t>
      </w:r>
      <w:r>
        <w:t xml:space="preserve"> </w:t>
      </w:r>
      <w:r>
        <w:rPr>
          <w:iCs/>
          <w:i/>
        </w:rPr>
        <w:t xml:space="preserve">Diabetes Obes Metab</w:t>
      </w:r>
      <w:r>
        <w:t xml:space="preserve"> </w:t>
      </w:r>
      <w:r>
        <w:t xml:space="preserve">· The impact of the glucagon-like peptide-1 receptor agonist liraglutide on natriuretic peptides in heart failure patients with reduced ejection fraction with and without type 2 diabetes. PMID 32627271</w:t>
      </w:r>
    </w:p>
    <w:p>
      <w:pPr>
        <w:numPr>
          <w:ilvl w:val="0"/>
          <w:numId w:val="1377"/>
        </w:numPr>
        <w:pStyle w:val="Compact"/>
      </w:pPr>
      <w:r>
        <w:t xml:space="preserve">2020 · Mosenzon O ·</w:t>
      </w:r>
      <w:r>
        <w:t xml:space="preserve"> </w:t>
      </w:r>
      <w:r>
        <w:rPr>
          <w:iCs/>
          <w:i/>
        </w:rPr>
        <w:t xml:space="preserve">Diabetes Obes Metab</w:t>
      </w:r>
      <w:r>
        <w:t xml:space="preserve"> </w:t>
      </w:r>
      <w:r>
        <w:t xml:space="preserve">· Cardiovascular and renal outcomes by baseline albuminuria status and renal function: Results from the LEADER randomized trial. PMID 32618386</w:t>
      </w:r>
    </w:p>
    <w:p>
      <w:pPr>
        <w:numPr>
          <w:ilvl w:val="0"/>
          <w:numId w:val="1377"/>
        </w:numPr>
        <w:pStyle w:val="Compact"/>
      </w:pPr>
      <w:r>
        <w:t xml:space="preserve">2020 · Del Olmo-García MI ·</w:t>
      </w:r>
      <w:r>
        <w:t xml:space="preserve"> </w:t>
      </w:r>
      <w:r>
        <w:rPr>
          <w:iCs/>
          <w:i/>
        </w:rPr>
        <w:t xml:space="preserve">J Int Med Res</w:t>
      </w:r>
      <w:r>
        <w:t xml:space="preserve"> </w:t>
      </w:r>
      <w:r>
        <w:t xml:space="preserve">· Glycemic variability in type 2 diabetes mellitus and acute coronary syndrome: liraglutide compared with insulin glargine: a pilot study. PMID 32567433</w:t>
      </w:r>
    </w:p>
    <w:p>
      <w:pPr>
        <w:numPr>
          <w:ilvl w:val="0"/>
          <w:numId w:val="1377"/>
        </w:numPr>
        <w:pStyle w:val="Compact"/>
      </w:pPr>
      <w:r>
        <w:t xml:space="preserve">2020 · Tronieri JS ·</w:t>
      </w:r>
      <w:r>
        <w:t xml:space="preserve"> </w:t>
      </w:r>
      <w:r>
        <w:rPr>
          <w:iCs/>
          <w:i/>
        </w:rPr>
        <w:t xml:space="preserve">Behav Res Ther</w:t>
      </w:r>
      <w:r>
        <w:t xml:space="preserve"> </w:t>
      </w:r>
      <w:r>
        <w:t xml:space="preserve">· Measures of adherence as predictors of early and total weight loss with intensive behavioral therapy for obesity combined with liraglutide 3.0 mg. PMID 32450367</w:t>
      </w:r>
    </w:p>
    <w:p>
      <w:pPr>
        <w:numPr>
          <w:ilvl w:val="0"/>
          <w:numId w:val="1377"/>
        </w:numPr>
        <w:pStyle w:val="Compact"/>
      </w:pPr>
      <w:r>
        <w:t xml:space="preserve">2020 · Ghanim H ·</w:t>
      </w:r>
      <w:r>
        <w:t xml:space="preserve"> </w:t>
      </w:r>
      <w:r>
        <w:rPr>
          <w:iCs/>
          <w:i/>
        </w:rPr>
        <w:t xml:space="preserve">Diabetes Obes Metab</w:t>
      </w:r>
      <w:r>
        <w:t xml:space="preserve"> </w:t>
      </w:r>
      <w:r>
        <w:t xml:space="preserve">· Liraglutide treatment in overweight and obese patients with type 1 diabetes: A 26-week randomized controlled trial; mechanisms of weight loss. PMID 32424935</w:t>
      </w:r>
    </w:p>
    <w:p>
      <w:pPr>
        <w:numPr>
          <w:ilvl w:val="0"/>
          <w:numId w:val="1377"/>
        </w:numPr>
        <w:pStyle w:val="Compact"/>
      </w:pPr>
      <w:r>
        <w:t xml:space="preserve">2020 · Wegeberg AL ·</w:t>
      </w:r>
      <w:r>
        <w:t xml:space="preserve"> </w:t>
      </w:r>
      <w:r>
        <w:rPr>
          <w:iCs/>
          <w:i/>
        </w:rPr>
        <w:t xml:space="preserve">United European Gastroenterol J</w:t>
      </w:r>
      <w:r>
        <w:t xml:space="preserve"> </w:t>
      </w:r>
      <w:r>
        <w:t xml:space="preserve">· Liraglutide accelerates colonic transit in people with type 1 diabetes and polyneuropathy: A randomised, double-blind, placebo-controlled trial. PMID 32390563</w:t>
      </w:r>
    </w:p>
    <w:p>
      <w:pPr>
        <w:numPr>
          <w:ilvl w:val="0"/>
          <w:numId w:val="1377"/>
        </w:numPr>
        <w:pStyle w:val="Compact"/>
      </w:pPr>
      <w:r>
        <w:t xml:space="preserve">2020 · Leiter LA ·</w:t>
      </w:r>
      <w:r>
        <w:t xml:space="preserve"> </w:t>
      </w:r>
      <w:r>
        <w:rPr>
          <w:iCs/>
          <w:i/>
        </w:rPr>
        <w:t xml:space="preserve">Diabetes Obes Metab</w:t>
      </w:r>
      <w:r>
        <w:t xml:space="preserve"> </w:t>
      </w:r>
      <w:r>
        <w:t xml:space="preserve">· The effect of glucagon-like peptide-1 receptor agonists liraglutide and semaglutide on cardiovascular and renal outcomes across baseline blood pressure categories: Analysis of the LEADER and SUSTAIN 6 trials. PMID 32372454</w:t>
      </w:r>
    </w:p>
    <w:p>
      <w:pPr>
        <w:numPr>
          <w:ilvl w:val="0"/>
          <w:numId w:val="1377"/>
        </w:numPr>
        <w:pStyle w:val="Compact"/>
      </w:pPr>
      <w:r>
        <w:t xml:space="preserve">2020 · Buse JB ·</w:t>
      </w:r>
      <w:r>
        <w:t xml:space="preserve"> </w:t>
      </w:r>
      <w:r>
        <w:rPr>
          <w:iCs/>
          <w:i/>
        </w:rPr>
        <w:t xml:space="preserve">Diabetes Care</w:t>
      </w:r>
      <w:r>
        <w:t xml:space="preserve"> </w:t>
      </w:r>
      <w:r>
        <w:t xml:space="preserve">· Cardiovascular Risk Reduction With Liraglutide: An Exploratory Mediation Analysis of the LEADER Trial. PMID 32366578</w:t>
      </w:r>
    </w:p>
    <w:p>
      <w:pPr>
        <w:numPr>
          <w:ilvl w:val="0"/>
          <w:numId w:val="1377"/>
        </w:numPr>
        <w:pStyle w:val="Compact"/>
      </w:pPr>
      <w:r>
        <w:t xml:space="preserve">2020 · Redouane B ·</w:t>
      </w:r>
      <w:r>
        <w:t xml:space="preserve"> </w:t>
      </w:r>
      <w:r>
        <w:rPr>
          <w:iCs/>
          <w:i/>
        </w:rPr>
        <w:t xml:space="preserve">Circ Heart Fail</w:t>
      </w:r>
      <w:r>
        <w:t xml:space="preserve"> </w:t>
      </w:r>
      <w:r>
        <w:t xml:space="preserve">· Effects of Liraglutide on Worsening Renal Function Among Patients With Heart Failure With Reduced Ejection Fraction: Insights From the FIGHT Trial. PMID 32362166</w:t>
      </w:r>
    </w:p>
    <w:p>
      <w:pPr>
        <w:numPr>
          <w:ilvl w:val="0"/>
          <w:numId w:val="1377"/>
        </w:numPr>
        <w:pStyle w:val="Compact"/>
      </w:pPr>
      <w:r>
        <w:t xml:space="preserve">2020 · Yamada Y ·</w:t>
      </w:r>
      <w:r>
        <w:t xml:space="preserve"> </w:t>
      </w:r>
      <w:r>
        <w:rPr>
          <w:iCs/>
          <w:i/>
        </w:rPr>
        <w:t xml:space="preserve">Lancet Diabetes Endocrinol</w:t>
      </w:r>
      <w:r>
        <w:t xml:space="preserve"> </w:t>
      </w:r>
      <w:r>
        <w:t xml:space="preserve">· Dose-response, efficacy, and safety of oral semaglutide monotherapy in Japanese patients with type 2 diabetes (PIONEER 9): a 52-week, phase 2/3a, randomised, controlled trial. PMID 32333875</w:t>
      </w:r>
    </w:p>
    <w:p>
      <w:pPr>
        <w:numPr>
          <w:ilvl w:val="0"/>
          <w:numId w:val="1377"/>
        </w:numPr>
        <w:pStyle w:val="Compact"/>
      </w:pPr>
      <w:r>
        <w:t xml:space="preserve">2020 · Ikonomidis I ·</w:t>
      </w:r>
      <w:r>
        <w:t xml:space="preserve"> </w:t>
      </w:r>
      <w:r>
        <w:rPr>
          <w:iCs/>
          <w:i/>
        </w:rPr>
        <w:t xml:space="preserve">J Am Heart Assoc</w:t>
      </w:r>
      <w:r>
        <w:t xml:space="preserve"> </w:t>
      </w:r>
      <w:r>
        <w:t xml:space="preserve">· Effects of Glucagon-Like Peptide-1 Receptor Agonists, Sodium-Glucose Cotransporter-2 Inhibitors, and Their Combination on Endothelial Glycocalyx, Arterial Function, and Myocardial Work Index in Patients With Type 2 Diabetes Mellitus After 12-Month Treatment. PMID 32326806</w:t>
      </w:r>
    </w:p>
    <w:p>
      <w:pPr>
        <w:numPr>
          <w:ilvl w:val="0"/>
          <w:numId w:val="1377"/>
        </w:numPr>
        <w:pStyle w:val="Compact"/>
      </w:pPr>
      <w:r>
        <w:t xml:space="preserve">2020 · Tougaard RS ·</w:t>
      </w:r>
      <w:r>
        <w:t xml:space="preserve"> </w:t>
      </w:r>
      <w:r>
        <w:rPr>
          <w:iCs/>
          <w:i/>
        </w:rPr>
        <w:t xml:space="preserve">Scand Cardiovasc J</w:t>
      </w:r>
      <w:r>
        <w:t xml:space="preserve"> </w:t>
      </w:r>
      <w:r>
        <w:t xml:space="preserve">· Heart rate increases in liraglutide treated chronic heart failure patients: association with clinical parameters and adverse events. PMID 32292074</w:t>
      </w:r>
    </w:p>
    <w:p>
      <w:pPr>
        <w:numPr>
          <w:ilvl w:val="0"/>
          <w:numId w:val="1377"/>
        </w:numPr>
        <w:pStyle w:val="Compact"/>
      </w:pPr>
      <w:r>
        <w:t xml:space="preserve">2020 · Dubé MC ·</w:t>
      </w:r>
      <w:r>
        <w:t xml:space="preserve"> </w:t>
      </w:r>
      <w:r>
        <w:rPr>
          <w:iCs/>
          <w:i/>
        </w:rPr>
        <w:t xml:space="preserve">Diabetes Obes Metab</w:t>
      </w:r>
      <w:r>
        <w:t xml:space="preserve"> </w:t>
      </w:r>
      <w:r>
        <w:t xml:space="preserve">· Effect of liraglutide on food consumption, appetite sensations and eating behaviours in overweight people with type 1 diabetes. PMID 32250534</w:t>
      </w:r>
    </w:p>
    <w:p>
      <w:pPr>
        <w:numPr>
          <w:ilvl w:val="0"/>
          <w:numId w:val="1377"/>
        </w:numPr>
        <w:pStyle w:val="Compact"/>
      </w:pPr>
      <w:r>
        <w:t xml:space="preserve">2020 · Kelly AS ·</w:t>
      </w:r>
      <w:r>
        <w:t xml:space="preserve"> </w:t>
      </w:r>
      <w:r>
        <w:rPr>
          <w:iCs/>
          <w:i/>
        </w:rPr>
        <w:t xml:space="preserve">N Engl J Med</w:t>
      </w:r>
      <w:r>
        <w:t xml:space="preserve"> </w:t>
      </w:r>
      <w:r>
        <w:t xml:space="preserve">· A Randomized, Controlled Trial of Liraglutide for Adolescents with Obesity. PMID 32233338</w:t>
      </w:r>
    </w:p>
    <w:p>
      <w:pPr>
        <w:numPr>
          <w:ilvl w:val="0"/>
          <w:numId w:val="1377"/>
        </w:numPr>
        <w:pStyle w:val="Compact"/>
      </w:pPr>
      <w:r>
        <w:t xml:space="preserve">2020 · Ali AM ·</w:t>
      </w:r>
      <w:r>
        <w:t xml:space="preserve"> </w:t>
      </w:r>
      <w:r>
        <w:rPr>
          <w:iCs/>
          <w:i/>
        </w:rPr>
        <w:t xml:space="preserve">Diabetes Care</w:t>
      </w:r>
      <w:r>
        <w:t xml:space="preserve"> </w:t>
      </w:r>
      <w:r>
        <w:t xml:space="preserve">· Combination Therapy With Canagliflozin Plus Liraglutide Exerts Additive Effect on Weight Loss, but Not on HbA(1c), in Patients With Type 2 Diabetes. PMID 32220916</w:t>
      </w:r>
    </w:p>
    <w:p>
      <w:pPr>
        <w:numPr>
          <w:ilvl w:val="0"/>
          <w:numId w:val="1377"/>
        </w:numPr>
        <w:pStyle w:val="Compact"/>
      </w:pPr>
      <w:r>
        <w:t xml:space="preserve">2020 · Marso SP ·</w:t>
      </w:r>
      <w:r>
        <w:t xml:space="preserve"> </w:t>
      </w:r>
      <w:r>
        <w:rPr>
          <w:iCs/>
          <w:i/>
        </w:rPr>
        <w:t xml:space="preserve">J Am Coll Cardiol</w:t>
      </w:r>
      <w:r>
        <w:t xml:space="preserve"> </w:t>
      </w:r>
      <w:r>
        <w:t xml:space="preserve">· Effects of Liraglutide on Cardiovascular Outcomes in Patients With Diabetes With or Without Heart Failure. PMID 32164886</w:t>
      </w:r>
    </w:p>
    <w:p>
      <w:pPr>
        <w:numPr>
          <w:ilvl w:val="0"/>
          <w:numId w:val="1377"/>
        </w:numPr>
        <w:pStyle w:val="Compact"/>
      </w:pPr>
      <w:r>
        <w:t xml:space="preserve">2020 · Webb DR ·</w:t>
      </w:r>
      <w:r>
        <w:t xml:space="preserve"> </w:t>
      </w:r>
      <w:r>
        <w:rPr>
          <w:iCs/>
          <w:i/>
        </w:rPr>
        <w:t xml:space="preserve">Diabetes Obes Metab</w:t>
      </w:r>
      <w:r>
        <w:t xml:space="preserve"> </w:t>
      </w:r>
      <w:r>
        <w:t xml:space="preserve">· A randomized, open-label, active comparator trial assessing the effects of 26 weeks of liraglutide or sitagliptin on cardiovascular function in young obese adults with type 2 diabetes. PMID 32157772</w:t>
      </w:r>
    </w:p>
    <w:p>
      <w:pPr>
        <w:numPr>
          <w:ilvl w:val="0"/>
          <w:numId w:val="1377"/>
        </w:numPr>
        <w:pStyle w:val="Compact"/>
      </w:pPr>
      <w:r>
        <w:t xml:space="preserve">2020 · Garvey WT ·</w:t>
      </w:r>
      <w:r>
        <w:t xml:space="preserve"> </w:t>
      </w:r>
      <w:r>
        <w:rPr>
          <w:iCs/>
          <w:i/>
        </w:rPr>
        <w:t xml:space="preserve">Diabetes Care</w:t>
      </w:r>
      <w:r>
        <w:t xml:space="preserve"> </w:t>
      </w:r>
      <w:r>
        <w:t xml:space="preserve">· Efficacy and Safety of Liraglutide 3.0 mg in Individuals With Overweight or Obesity and Type 2 Diabetes Treated With Basal Insulin: The SCALE Insulin Randomized Controlled Trial. PMID 32139381</w:t>
      </w:r>
    </w:p>
    <w:p>
      <w:pPr>
        <w:numPr>
          <w:ilvl w:val="0"/>
          <w:numId w:val="1377"/>
        </w:numPr>
        <w:pStyle w:val="Compact"/>
      </w:pPr>
      <w:r>
        <w:t xml:space="preserve">2020 · Mann JFE ·</w:t>
      </w:r>
      <w:r>
        <w:t xml:space="preserve"> </w:t>
      </w:r>
      <w:r>
        <w:rPr>
          <w:iCs/>
          <w:i/>
        </w:rPr>
        <w:t xml:space="preserve">Clin J Am Soc Nephrol</w:t>
      </w:r>
      <w:r>
        <w:t xml:space="preserve"> </w:t>
      </w:r>
      <w:r>
        <w:t xml:space="preserve">· Safety of Liraglutide in Type 2 Diabetes and Chronic Kidney Disease. PMID 32132141</w:t>
      </w:r>
    </w:p>
    <w:p>
      <w:pPr>
        <w:numPr>
          <w:ilvl w:val="0"/>
          <w:numId w:val="1377"/>
        </w:numPr>
        <w:pStyle w:val="Compact"/>
      </w:pPr>
      <w:r>
        <w:t xml:space="preserve">2020 · van Eyk HJ ·</w:t>
      </w:r>
      <w:r>
        <w:t xml:space="preserve"> </w:t>
      </w:r>
      <w:r>
        <w:rPr>
          <w:iCs/>
          <w:i/>
        </w:rPr>
        <w:t xml:space="preserve">Nutr Metab Cardiovasc Dis</w:t>
      </w:r>
      <w:r>
        <w:t xml:space="preserve"> </w:t>
      </w:r>
      <w:r>
        <w:t xml:space="preserve">· Liraglutide decreases energy expenditure and does not affect the fat fraction of supraclavicular brown adipose tissue in patients with type 2 diabetes. PMID 32127340</w:t>
      </w:r>
    </w:p>
    <w:p>
      <w:pPr>
        <w:numPr>
          <w:ilvl w:val="0"/>
          <w:numId w:val="1377"/>
        </w:numPr>
        <w:pStyle w:val="Compact"/>
      </w:pPr>
      <w:r>
        <w:t xml:space="preserve">2020 · Zhang LY ·</w:t>
      </w:r>
      <w:r>
        <w:t xml:space="preserve"> </w:t>
      </w:r>
      <w:r>
        <w:rPr>
          <w:iCs/>
          <w:i/>
        </w:rPr>
        <w:t xml:space="preserve">Clin Res Hepatol Gastroenterol</w:t>
      </w:r>
      <w:r>
        <w:t xml:space="preserve"> </w:t>
      </w:r>
      <w:r>
        <w:t xml:space="preserve">· Effect of liraglutide therapy on serum fetuin A in patients with type 2 diabetes and non-alcoholic fatty liver disease. PMID 32113823</w:t>
      </w:r>
    </w:p>
    <w:p>
      <w:pPr>
        <w:numPr>
          <w:ilvl w:val="0"/>
          <w:numId w:val="1377"/>
        </w:numPr>
        <w:pStyle w:val="Compact"/>
      </w:pPr>
      <w:r>
        <w:t xml:space="preserve">2020 · Wadden TA ·</w:t>
      </w:r>
      <w:r>
        <w:t xml:space="preserve"> </w:t>
      </w:r>
      <w:r>
        <w:rPr>
          <w:iCs/>
          <w:i/>
        </w:rPr>
        <w:t xml:space="preserve">Obesity (Silver Spring)</w:t>
      </w:r>
      <w:r>
        <w:t xml:space="preserve"> </w:t>
      </w:r>
      <w:r>
        <w:t xml:space="preserve">· Liraglutide 3.0 mg and Intensive Behavioral Therapy (IBT) for Obesity in Primary Care: The SCALE IBT Randomized Controlled Trial. PMID 32090517</w:t>
      </w:r>
    </w:p>
    <w:p>
      <w:pPr>
        <w:numPr>
          <w:ilvl w:val="0"/>
          <w:numId w:val="1377"/>
        </w:numPr>
        <w:pStyle w:val="Compact"/>
      </w:pPr>
      <w:r>
        <w:t xml:space="preserve">2020 · Elkind-Hirsch KE ·</w:t>
      </w:r>
      <w:r>
        <w:t xml:space="preserve"> </w:t>
      </w:r>
      <w:r>
        <w:rPr>
          <w:iCs/>
          <w:i/>
        </w:rPr>
        <w:t xml:space="preserve">J Diabetes Complications</w:t>
      </w:r>
      <w:r>
        <w:t xml:space="preserve"> </w:t>
      </w:r>
      <w:r>
        <w:t xml:space="preserve">· Postpartum treatment with liraglutide in combination with metformin versus metformin monotherapy to improve metabolic status and reduce body weight in overweight/obese women with recent gestational diabetes: A double-blind, randomized, placebo-controlled study. PMID 32046931</w:t>
      </w:r>
    </w:p>
    <w:p>
      <w:pPr>
        <w:numPr>
          <w:ilvl w:val="0"/>
          <w:numId w:val="1377"/>
        </w:numPr>
        <w:pStyle w:val="Compact"/>
      </w:pPr>
      <w:r>
        <w:t xml:space="preserve">2020 · Blonde L ·</w:t>
      </w:r>
      <w:r>
        <w:t xml:space="preserve"> </w:t>
      </w:r>
      <w:r>
        <w:rPr>
          <w:iCs/>
          <w:i/>
        </w:rPr>
        <w:t xml:space="preserve">Diabetes Obes Metab</w:t>
      </w:r>
      <w:r>
        <w:t xml:space="preserve"> </w:t>
      </w:r>
      <w:r>
        <w:t xml:space="preserve">· Liraglutide as add-on to sodium-glucose co-transporter-2 inhibitors in patients with inadequately controlled type 2 diabetes: LIRA-ADD2SGLT2i, a 26-week, randomized, double-blind, placebo-controlled trial. PMID 31984646</w:t>
      </w:r>
    </w:p>
    <w:p>
      <w:pPr>
        <w:numPr>
          <w:ilvl w:val="0"/>
          <w:numId w:val="1377"/>
        </w:numPr>
        <w:pStyle w:val="Compact"/>
      </w:pPr>
      <w:r>
        <w:t xml:space="preserve">2020 · Vadini F ·</w:t>
      </w:r>
      <w:r>
        <w:t xml:space="preserve"> </w:t>
      </w:r>
      <w:r>
        <w:rPr>
          <w:iCs/>
          <w:i/>
        </w:rPr>
        <w:t xml:space="preserve">Int J Obes (Lond)</w:t>
      </w:r>
      <w:r>
        <w:t xml:space="preserve"> </w:t>
      </w:r>
      <w:r>
        <w:t xml:space="preserve">· Liraglutide improves memory in obese patients with prediabetes or early type 2 diabetes: a randomized, controlled study. PMID 31965072</w:t>
      </w:r>
    </w:p>
    <w:p>
      <w:pPr>
        <w:numPr>
          <w:ilvl w:val="0"/>
          <w:numId w:val="1377"/>
        </w:numPr>
        <w:pStyle w:val="Compact"/>
      </w:pPr>
      <w:r>
        <w:t xml:space="preserve">2020 · Sesti G ·</w:t>
      </w:r>
      <w:r>
        <w:t xml:space="preserve"> </w:t>
      </w:r>
      <w:r>
        <w:rPr>
          <w:iCs/>
          <w:i/>
        </w:rPr>
        <w:t xml:space="preserve">Diabetes Obes Metab</w:t>
      </w:r>
      <w:r>
        <w:t xml:space="preserve"> </w:t>
      </w:r>
      <w:r>
        <w:t xml:space="preserve">· A greater proportion of participants with type 2 diabetes achieve treatment targets with insulin degludec/liraglutide versus insulin glargine 100 units/mL at 26 weeks: DUAL VIII, a randomized trial designed to resemble clinical practice. PMID 31903724</w:t>
      </w:r>
    </w:p>
    <w:p>
      <w:pPr>
        <w:numPr>
          <w:ilvl w:val="0"/>
          <w:numId w:val="1377"/>
        </w:numPr>
        <w:pStyle w:val="Compact"/>
      </w:pPr>
      <w:r>
        <w:t xml:space="preserve">2020 · Hygum K ·</w:t>
      </w:r>
      <w:r>
        <w:t xml:space="preserve"> </w:t>
      </w:r>
      <w:r>
        <w:rPr>
          <w:iCs/>
          <w:i/>
        </w:rPr>
        <w:t xml:space="preserve">Bone</w:t>
      </w:r>
      <w:r>
        <w:t xml:space="preserve"> </w:t>
      </w:r>
      <w:r>
        <w:t xml:space="preserve">· Bone resorption is unchanged by liraglutide in type 2 diabetes patients: A randomised controlled trial. PMID 31870634</w:t>
      </w:r>
    </w:p>
    <w:p>
      <w:pPr>
        <w:numPr>
          <w:ilvl w:val="0"/>
          <w:numId w:val="1377"/>
        </w:numPr>
        <w:pStyle w:val="Compact"/>
      </w:pPr>
      <w:r>
        <w:t xml:space="preserve">2020 · Yao MY ·</w:t>
      </w:r>
      <w:r>
        <w:t xml:space="preserve"> </w:t>
      </w:r>
      <w:r>
        <w:rPr>
          <w:iCs/>
          <w:i/>
        </w:rPr>
        <w:t xml:space="preserve">Braz J Med Biol Res</w:t>
      </w:r>
      <w:r>
        <w:t xml:space="preserve"> </w:t>
      </w:r>
      <w:r>
        <w:t xml:space="preserve">· Use of flash glucose-sensing technology in patients with type 2 diabetes treated with liraglutide combined with CSII: a pilot study. PMID 31859911</w:t>
      </w:r>
    </w:p>
    <w:p>
      <w:pPr>
        <w:numPr>
          <w:ilvl w:val="0"/>
          <w:numId w:val="1377"/>
        </w:numPr>
        <w:pStyle w:val="Compact"/>
      </w:pPr>
      <w:r>
        <w:t xml:space="preserve">2020 · Janez A ·</w:t>
      </w:r>
      <w:r>
        <w:t xml:space="preserve"> </w:t>
      </w:r>
      <w:r>
        <w:rPr>
          <w:iCs/>
          <w:i/>
        </w:rPr>
        <w:t xml:space="preserve">Diabetes Obes Metab</w:t>
      </w:r>
      <w:r>
        <w:t xml:space="preserve"> </w:t>
      </w:r>
      <w:r>
        <w:t xml:space="preserve">· Benefits of insulin degludec/liraglutide are maintained even in patients discontinuing sulphonylureas or dipeptidyl peptidase-4 inhibitors upon initiation of degludec/liraglutide therapy: A post hoc analysis of the DUAL II and DUAL IX trials. PMID 31858673</w:t>
      </w:r>
    </w:p>
    <w:p>
      <w:pPr>
        <w:numPr>
          <w:ilvl w:val="0"/>
          <w:numId w:val="1377"/>
        </w:numPr>
        <w:pStyle w:val="Compact"/>
      </w:pPr>
      <w:r>
        <w:t xml:space="preserve">2020 · Cannon AJ ·</w:t>
      </w:r>
      <w:r>
        <w:t xml:space="preserve"> </w:t>
      </w:r>
      <w:r>
        <w:rPr>
          <w:iCs/>
          <w:i/>
        </w:rPr>
        <w:t xml:space="preserve">J Manag Care Spec Pharm</w:t>
      </w:r>
      <w:r>
        <w:t xml:space="preserve"> </w:t>
      </w:r>
      <w:r>
        <w:t xml:space="preserve">· Evaluation of the Short-Term Cost-Effectiveness of IDegLira Versus Basal Insulin and Basal-Bolus Therapy in Patients with Type 2 Diabetes Based on Attainment of Clinically Relevant Treatment Targets. PMID 31856636</w:t>
      </w:r>
    </w:p>
    <w:p>
      <w:pPr>
        <w:numPr>
          <w:ilvl w:val="0"/>
          <w:numId w:val="1377"/>
        </w:numPr>
        <w:pStyle w:val="Compact"/>
      </w:pPr>
      <w:r>
        <w:t xml:space="preserve">2020 · Paiman EHM ·</w:t>
      </w:r>
      <w:r>
        <w:t xml:space="preserve"> </w:t>
      </w:r>
      <w:r>
        <w:rPr>
          <w:iCs/>
          <w:i/>
        </w:rPr>
        <w:t xml:space="preserve">J Magn Reson Imaging</w:t>
      </w:r>
      <w:r>
        <w:t xml:space="preserve"> </w:t>
      </w:r>
      <w:r>
        <w:t xml:space="preserve">· Effect of Liraglutide on Cardiovascular Function and Myocardial Tissue Characteristics in Type 2 Diabetes Patients of South Asian Descent Living in the Netherlands: A Double-Blind, Randomized, Placebo-Controlled Trial. PMID 31799782</w:t>
      </w:r>
    </w:p>
    <w:p>
      <w:pPr>
        <w:numPr>
          <w:ilvl w:val="0"/>
          <w:numId w:val="1377"/>
        </w:numPr>
        <w:pStyle w:val="Compact"/>
      </w:pPr>
      <w:r>
        <w:t xml:space="preserve">2020 · Hulst AH ·</w:t>
      </w:r>
      <w:r>
        <w:t xml:space="preserve"> </w:t>
      </w:r>
      <w:r>
        <w:rPr>
          <w:iCs/>
          <w:i/>
        </w:rPr>
        <w:t xml:space="preserve">Diabetes Obes Metab</w:t>
      </w:r>
      <w:r>
        <w:t xml:space="preserve"> </w:t>
      </w:r>
      <w:r>
        <w:t xml:space="preserve">· Liraglutide for perioperative management of hyperglycaemia in cardiac surgery patients: a multicentre randomized superiority trial. PMID 31749275</w:t>
      </w:r>
    </w:p>
    <w:p>
      <w:pPr>
        <w:numPr>
          <w:ilvl w:val="0"/>
          <w:numId w:val="1377"/>
        </w:numPr>
        <w:pStyle w:val="Compact"/>
      </w:pPr>
      <w:r>
        <w:t xml:space="preserve">2020 · Dejgaard TF ·</w:t>
      </w:r>
      <w:r>
        <w:t xml:space="preserve"> </w:t>
      </w:r>
      <w:r>
        <w:rPr>
          <w:iCs/>
          <w:i/>
        </w:rPr>
        <w:t xml:space="preserve">Diabetes Obes Metab</w:t>
      </w:r>
      <w:r>
        <w:t xml:space="preserve"> </w:t>
      </w:r>
      <w:r>
        <w:t xml:space="preserve">· Liraglutide reduces hyperglycaemia and body weight in overweight, dysregulated insulin-pump-treated patients with type 1 diabetes: The Lira Pump trial-a randomized, double-blinded, placebo-controlled trial. PMID 31696598</w:t>
      </w:r>
    </w:p>
    <w:p>
      <w:pPr>
        <w:numPr>
          <w:ilvl w:val="0"/>
          <w:numId w:val="1377"/>
        </w:numPr>
        <w:pStyle w:val="Compact"/>
      </w:pPr>
      <w:r>
        <w:t xml:space="preserve">2020 · Bizino MB ·</w:t>
      </w:r>
      <w:r>
        <w:t xml:space="preserve"> </w:t>
      </w:r>
      <w:r>
        <w:rPr>
          <w:iCs/>
          <w:i/>
        </w:rPr>
        <w:t xml:space="preserve">Diabetologia</w:t>
      </w:r>
      <w:r>
        <w:t xml:space="preserve"> </w:t>
      </w:r>
      <w:r>
        <w:t xml:space="preserve">· Placebo-controlled randomised trial with liraglutide on magnetic resonance endpoints in individuals with type 2 diabetes: a pre-specified secondary study on ectopic fat accumulation. PMID 31690988</w:t>
      </w:r>
    </w:p>
    <w:p>
      <w:pPr>
        <w:numPr>
          <w:ilvl w:val="0"/>
          <w:numId w:val="1377"/>
        </w:numPr>
        <w:pStyle w:val="Compact"/>
      </w:pPr>
      <w:r>
        <w:t xml:space="preserve">2020 · Kadouh H ·</w:t>
      </w:r>
      <w:r>
        <w:t xml:space="preserve"> </w:t>
      </w:r>
      <w:r>
        <w:rPr>
          <w:iCs/>
          <w:i/>
        </w:rPr>
        <w:t xml:space="preserve">J Clin Endocrinol Metab</w:t>
      </w:r>
      <w:r>
        <w:t xml:space="preserve"> </w:t>
      </w:r>
      <w:r>
        <w:t xml:space="preserve">· GLP-1 Analog Modulates Appetite, Taste Preference, Gut Hormones, and Regional Body Fat Stores in Adults with Obesity. PMID 31665455</w:t>
      </w:r>
    </w:p>
    <w:p>
      <w:pPr>
        <w:numPr>
          <w:ilvl w:val="0"/>
          <w:numId w:val="1377"/>
        </w:numPr>
        <w:pStyle w:val="Compact"/>
      </w:pPr>
      <w:r>
        <w:t xml:space="preserve">2020 · Gaborit B ·</w:t>
      </w:r>
      <w:r>
        <w:t xml:space="preserve"> </w:t>
      </w:r>
      <w:r>
        <w:rPr>
          <w:iCs/>
          <w:i/>
        </w:rPr>
        <w:t xml:space="preserve">J Clin Endocrinol Metab</w:t>
      </w:r>
      <w:r>
        <w:t xml:space="preserve"> </w:t>
      </w:r>
      <w:r>
        <w:t xml:space="preserve">· Glucagon-like Peptide 1 Receptor Agonists, Diabetic Retinopathy and Angiogenesis: The AngioSafe Type 2 Diabetes Study. PMID 31589290</w:t>
      </w:r>
    </w:p>
    <w:p>
      <w:pPr>
        <w:numPr>
          <w:ilvl w:val="0"/>
          <w:numId w:val="1377"/>
        </w:numPr>
        <w:pStyle w:val="Compact"/>
      </w:pPr>
      <w:r>
        <w:t xml:space="preserve">2020 · Capehorn MS ·</w:t>
      </w:r>
      <w:r>
        <w:t xml:space="preserve"> </w:t>
      </w:r>
      <w:r>
        <w:rPr>
          <w:iCs/>
          <w:i/>
        </w:rPr>
        <w:t xml:space="preserve">Diabetes Metab</w:t>
      </w:r>
      <w:r>
        <w:t xml:space="preserve"> </w:t>
      </w:r>
      <w:r>
        <w:t xml:space="preserve">· Efficacy and safety of once-weekly semaglutide 1.0mg vs once-daily liraglutide 1.2mg as add-on to 1-3 oral antidiabetic drugs in subjects with type 2 diabetes (SUSTAIN 10). PMID 31539622</w:t>
      </w:r>
    </w:p>
    <w:p>
      <w:pPr>
        <w:numPr>
          <w:ilvl w:val="0"/>
          <w:numId w:val="1377"/>
        </w:numPr>
        <w:pStyle w:val="Compact"/>
      </w:pPr>
      <w:r>
        <w:t xml:space="preserve">2020 · Tronieri JS ·</w:t>
      </w:r>
      <w:r>
        <w:t xml:space="preserve"> </w:t>
      </w:r>
      <w:r>
        <w:rPr>
          <w:iCs/>
          <w:i/>
        </w:rPr>
        <w:t xml:space="preserve">Int J Obes (Lond)</w:t>
      </w:r>
      <w:r>
        <w:t xml:space="preserve"> </w:t>
      </w:r>
      <w:r>
        <w:t xml:space="preserve">· Effects of liraglutide on appetite, food preoccupation, and food liking: results of a randomized controlled trial. PMID 30926955</w:t>
      </w:r>
    </w:p>
    <w:p>
      <w:pPr>
        <w:numPr>
          <w:ilvl w:val="0"/>
          <w:numId w:val="1377"/>
        </w:numPr>
        <w:pStyle w:val="Compact"/>
      </w:pPr>
      <w:r>
        <w:t xml:space="preserve">2019 · Patel S ·</w:t>
      </w:r>
      <w:r>
        <w:t xml:space="preserve"> </w:t>
      </w:r>
      <w:r>
        <w:rPr>
          <w:iCs/>
          <w:i/>
        </w:rPr>
        <w:t xml:space="preserve">BMJ Open Diabetes Res Care</w:t>
      </w:r>
      <w:r>
        <w:t xml:space="preserve"> </w:t>
      </w:r>
      <w:r>
        <w:t xml:space="preserve">· Effect of medication adherence on clinical outcomes in type 2 diabetes: analysis of the SIMPLE study. PMID 31803482</w:t>
      </w:r>
    </w:p>
    <w:p>
      <w:pPr>
        <w:numPr>
          <w:ilvl w:val="0"/>
          <w:numId w:val="1377"/>
        </w:numPr>
        <w:pStyle w:val="Compact"/>
      </w:pPr>
      <w:r>
        <w:t xml:space="preserve">2019 · Verma S ·</w:t>
      </w:r>
      <w:r>
        <w:t xml:space="preserve"> </w:t>
      </w:r>
      <w:r>
        <w:rPr>
          <w:iCs/>
          <w:i/>
        </w:rPr>
        <w:t xml:space="preserve">JAMA Cardiol</w:t>
      </w:r>
      <w:r>
        <w:t xml:space="preserve"> </w:t>
      </w:r>
      <w:r>
        <w:t xml:space="preserve">· Occurence of First and Recurrent Major Adverse Cardiovascular Events With Liraglutide Treatment Among Patients With Type 2 Diabetes and High Risk of Cardiovascular Events: A Post Hoc Analysis of a Randomized Clinical Trial. PMID 31721979</w:t>
      </w:r>
    </w:p>
    <w:p>
      <w:pPr>
        <w:numPr>
          <w:ilvl w:val="0"/>
          <w:numId w:val="1377"/>
        </w:numPr>
        <w:pStyle w:val="Compact"/>
      </w:pPr>
      <w:r>
        <w:t xml:space="preserve">2019 · Chao AM ·</w:t>
      </w:r>
      <w:r>
        <w:t xml:space="preserve"> </w:t>
      </w:r>
      <w:r>
        <w:rPr>
          <w:iCs/>
          <w:i/>
        </w:rPr>
        <w:t xml:space="preserve">Clin Obes</w:t>
      </w:r>
      <w:r>
        <w:t xml:space="preserve"> </w:t>
      </w:r>
      <w:r>
        <w:t xml:space="preserve">· Changes in health-related quality of life with intensive behavioural therapy combined with liraglutide 3.0 mg per day. PMID 31691531</w:t>
      </w:r>
    </w:p>
    <w:p>
      <w:pPr>
        <w:numPr>
          <w:ilvl w:val="0"/>
          <w:numId w:val="1377"/>
        </w:numPr>
        <w:pStyle w:val="Compact"/>
      </w:pPr>
      <w:r>
        <w:t xml:space="preserve">2019 · Peradze N ·</w:t>
      </w:r>
      <w:r>
        <w:t xml:space="preserve"> </w:t>
      </w:r>
      <w:r>
        <w:rPr>
          <w:iCs/>
          <w:i/>
        </w:rPr>
        <w:t xml:space="preserve">Cardiovasc Diabetol</w:t>
      </w:r>
      <w:r>
        <w:t xml:space="preserve"> </w:t>
      </w:r>
      <w:r>
        <w:t xml:space="preserve">· Short-term treatment with high dose liraglutide improves lipid and lipoprotein profile and changes hormonal mediators of lipid metabolism in obese patients with no overt type 2 diabetes mellitus: a randomized, placebo-controlled, cross-over, double-blind clinical trial. PMID 31672146</w:t>
      </w:r>
    </w:p>
    <w:p>
      <w:pPr>
        <w:numPr>
          <w:ilvl w:val="0"/>
          <w:numId w:val="1377"/>
        </w:numPr>
        <w:pStyle w:val="Compact"/>
      </w:pPr>
      <w:r>
        <w:t xml:space="preserve">2019 · Blonde L ·</w:t>
      </w:r>
      <w:r>
        <w:t xml:space="preserve"> </w:t>
      </w:r>
      <w:r>
        <w:rPr>
          <w:iCs/>
          <w:i/>
        </w:rPr>
        <w:t xml:space="preserve">Diabetes Care</w:t>
      </w:r>
      <w:r>
        <w:t xml:space="preserve"> </w:t>
      </w:r>
      <w:r>
        <w:t xml:space="preserve">· Switching to iGlarLixi Versus Continuing Daily or Weekly GLP-1 RA in Type 2 Diabetes Inadequately Controlled by GLP-1 RA and Oral Antihyperglycemic Therapy: The LixiLan-G Randomized Clinical Trial. PMID 31530665</w:t>
      </w:r>
    </w:p>
    <w:p>
      <w:pPr>
        <w:numPr>
          <w:ilvl w:val="0"/>
          <w:numId w:val="1377"/>
        </w:numPr>
        <w:pStyle w:val="Compact"/>
      </w:pPr>
      <w:r>
        <w:t xml:space="preserve">2019 · Watada H ·</w:t>
      </w:r>
      <w:r>
        <w:t xml:space="preserve"> </w:t>
      </w:r>
      <w:r>
        <w:rPr>
          <w:iCs/>
          <w:i/>
        </w:rPr>
        <w:t xml:space="preserve">Diabetes Obes Metab</w:t>
      </w:r>
      <w:r>
        <w:t xml:space="preserve"> </w:t>
      </w:r>
      <w:r>
        <w:t xml:space="preserve">· Superior HbA1c control with the fixed-ratio combination of insulin degludec and liraglutide (IDegLira) compared with a maximum dose of 50 units of insulin degludec in Japanese individuals with type 2 diabetes in a phase 3, double-blind, randomized trial. PMID 31423685</w:t>
      </w:r>
    </w:p>
    <w:p>
      <w:pPr>
        <w:numPr>
          <w:ilvl w:val="0"/>
          <w:numId w:val="1377"/>
        </w:numPr>
        <w:pStyle w:val="Compact"/>
      </w:pPr>
      <w:r>
        <w:t xml:space="preserve">2019 · Kaku K ·</w:t>
      </w:r>
      <w:r>
        <w:t xml:space="preserve"> </w:t>
      </w:r>
      <w:r>
        <w:rPr>
          <w:iCs/>
          <w:i/>
        </w:rPr>
        <w:t xml:space="preserve">Diabetes Obes Metab</w:t>
      </w:r>
      <w:r>
        <w:t xml:space="preserve"> </w:t>
      </w:r>
      <w:r>
        <w:t xml:space="preserve">· Superior efficacy with a fixed-ratio combination of insulin degludec and liraglutide (IDegLira) compared with insulin degludec and liraglutide in insulin-naïve Japanese patients with type 2 diabetes in a phase 3, open-label, randomized trial. PMID 31407845</w:t>
      </w:r>
    </w:p>
    <w:p>
      <w:pPr>
        <w:numPr>
          <w:ilvl w:val="0"/>
          <w:numId w:val="1377"/>
        </w:numPr>
        <w:pStyle w:val="Compact"/>
      </w:pPr>
      <w:r>
        <w:t xml:space="preserve">2019 · Nauck MA ·</w:t>
      </w:r>
      <w:r>
        <w:t xml:space="preserve"> </w:t>
      </w:r>
      <w:r>
        <w:rPr>
          <w:iCs/>
          <w:i/>
        </w:rPr>
        <w:t xml:space="preserve">Diabetes Care</w:t>
      </w:r>
      <w:r>
        <w:t xml:space="preserve"> </w:t>
      </w:r>
      <w:r>
        <w:t xml:space="preserve">· Effects of Liraglutide Compared With Placebo on Events of Acute Gallbladder or Biliary Disease in Patients With Type 2 Diabetes at High Risk for Cardiovascular Events in the LEADER Randomized Trial. PMID 31399438</w:t>
      </w:r>
    </w:p>
    <w:p>
      <w:pPr>
        <w:numPr>
          <w:ilvl w:val="0"/>
          <w:numId w:val="1377"/>
        </w:numPr>
        <w:pStyle w:val="Compact"/>
      </w:pPr>
      <w:r>
        <w:t xml:space="preserve">2019 · Wexler DJ ·</w:t>
      </w:r>
      <w:r>
        <w:t xml:space="preserve"> </w:t>
      </w:r>
      <w:r>
        <w:rPr>
          <w:iCs/>
          <w:i/>
        </w:rPr>
        <w:t xml:space="preserve">Diabetes Care</w:t>
      </w:r>
      <w:r>
        <w:t xml:space="preserve"> </w:t>
      </w:r>
      <w:r>
        <w:t xml:space="preserve">· Baseline Characteristics of Randomized Participants in the Glycemia Reduction Approaches in Diabetes: A Comparative Effectiveness Study (GRADE). PMID 31391203</w:t>
      </w:r>
    </w:p>
    <w:p>
      <w:pPr>
        <w:numPr>
          <w:ilvl w:val="0"/>
          <w:numId w:val="1377"/>
        </w:numPr>
        <w:pStyle w:val="Compact"/>
      </w:pPr>
      <w:r>
        <w:t xml:space="preserve">2019 · Miller E ·</w:t>
      </w:r>
      <w:r>
        <w:t xml:space="preserve"> </w:t>
      </w:r>
      <w:r>
        <w:rPr>
          <w:iCs/>
          <w:i/>
        </w:rPr>
        <w:t xml:space="preserve">Diabetes Obes Metab</w:t>
      </w:r>
      <w:r>
        <w:t xml:space="preserve"> </w:t>
      </w:r>
      <w:r>
        <w:t xml:space="preserve">· IDegLira improves patient-reported outcomes while using a simple regimen with fewer injections and dose adjustments compared with basal-bolus therapy. PMID 31385425</w:t>
      </w:r>
    </w:p>
    <w:p>
      <w:pPr>
        <w:numPr>
          <w:ilvl w:val="0"/>
          <w:numId w:val="1377"/>
        </w:numPr>
        <w:pStyle w:val="Compact"/>
      </w:pPr>
      <w:r>
        <w:t xml:space="preserve">2019 · Brock C ·</w:t>
      </w:r>
      <w:r>
        <w:t xml:space="preserve"> </w:t>
      </w:r>
      <w:r>
        <w:rPr>
          <w:iCs/>
          <w:i/>
        </w:rPr>
        <w:t xml:space="preserve">Br J Clin Pharmacol</w:t>
      </w:r>
      <w:r>
        <w:t xml:space="preserve"> </w:t>
      </w:r>
      <w:r>
        <w:t xml:space="preserve">· Liraglutide treatment reduced interleukin-6 in adults with type 1 diabetes but did not improve established autonomic or polyneuropathy. PMID 31338868</w:t>
      </w:r>
    </w:p>
    <w:p>
      <w:pPr>
        <w:numPr>
          <w:ilvl w:val="0"/>
          <w:numId w:val="1377"/>
        </w:numPr>
        <w:pStyle w:val="Compact"/>
      </w:pPr>
      <w:r>
        <w:t xml:space="preserve">2019 · Makino H ·</w:t>
      </w:r>
      <w:r>
        <w:t xml:space="preserve"> </w:t>
      </w:r>
      <w:r>
        <w:rPr>
          <w:iCs/>
          <w:i/>
        </w:rPr>
        <w:t xml:space="preserve">Diabet Med</w:t>
      </w:r>
      <w:r>
        <w:t xml:space="preserve"> </w:t>
      </w:r>
      <w:r>
        <w:t xml:space="preserve">· Addition of low-dose liraglutide to insulin therapy is useful for glycaemic control during the peri-operative period: effect of glucagon-like peptide-1 receptor agonist therapy on glycaemic control in patients undergoing cardiac surgery (GLOLIA study). PMID 31335979</w:t>
      </w:r>
    </w:p>
    <w:p>
      <w:pPr>
        <w:numPr>
          <w:ilvl w:val="0"/>
          <w:numId w:val="1377"/>
        </w:numPr>
        <w:pStyle w:val="Compact"/>
      </w:pPr>
      <w:r>
        <w:t xml:space="preserve">2019 · Anholm C ·</w:t>
      </w:r>
      <w:r>
        <w:t xml:space="preserve"> </w:t>
      </w:r>
      <w:r>
        <w:rPr>
          <w:iCs/>
          <w:i/>
        </w:rPr>
        <w:t xml:space="preserve">Atherosclerosis</w:t>
      </w:r>
      <w:r>
        <w:t xml:space="preserve"> </w:t>
      </w:r>
      <w:r>
        <w:t xml:space="preserve">· Liraglutide in combination with metformin may improve the atherogenic lipid profile and decrease C-reactive protein level in statin treated obese patients with coronary artery disease and newly diagnosed type 2 diabetes: A randomized trial. PMID 31326727</w:t>
      </w:r>
    </w:p>
    <w:p>
      <w:pPr>
        <w:numPr>
          <w:ilvl w:val="0"/>
          <w:numId w:val="1377"/>
        </w:numPr>
        <w:pStyle w:val="Compact"/>
      </w:pPr>
      <w:r>
        <w:t xml:space="preserve">2019 · Rosenstock J ·</w:t>
      </w:r>
      <w:r>
        <w:t xml:space="preserve"> </w:t>
      </w:r>
      <w:r>
        <w:rPr>
          <w:iCs/>
          <w:i/>
        </w:rPr>
        <w:t xml:space="preserve">Diabetes Care</w:t>
      </w:r>
      <w:r>
        <w:t xml:space="preserve"> </w:t>
      </w:r>
      <w:r>
        <w:t xml:space="preserve">· Once-Weekly Efpeglenatide Dose-Range Effects on Glycemic Control and Body Weight in Patients With Type 2 Diabetes on Metformin or Drug Naive, Referenced to Liraglutide. PMID 31320446</w:t>
      </w:r>
    </w:p>
    <w:p>
      <w:pPr>
        <w:numPr>
          <w:ilvl w:val="0"/>
          <w:numId w:val="1377"/>
        </w:numPr>
        <w:pStyle w:val="Compact"/>
      </w:pPr>
      <w:r>
        <w:t xml:space="preserve">2019 · van Eyk HJ ·</w:t>
      </w:r>
      <w:r>
        <w:t xml:space="preserve"> </w:t>
      </w:r>
      <w:r>
        <w:rPr>
          <w:iCs/>
          <w:i/>
        </w:rPr>
        <w:t xml:space="preserve">Sci Rep</w:t>
      </w:r>
      <w:r>
        <w:t xml:space="preserve"> </w:t>
      </w:r>
      <w:r>
        <w:t xml:space="preserve">· Hepatic triglyceride content does not affect circulating CETP: lessons from a liraglutide intervention trial and a population-based cohort. PMID 31292457</w:t>
      </w:r>
    </w:p>
    <w:p>
      <w:pPr>
        <w:numPr>
          <w:ilvl w:val="0"/>
          <w:numId w:val="1377"/>
        </w:numPr>
        <w:pStyle w:val="Compact"/>
      </w:pPr>
      <w:r>
        <w:t xml:space="preserve">2019 · van Eyk HJ ·</w:t>
      </w:r>
      <w:r>
        <w:t xml:space="preserve"> </w:t>
      </w:r>
      <w:r>
        <w:rPr>
          <w:iCs/>
          <w:i/>
        </w:rPr>
        <w:t xml:space="preserve">Cardiovasc Diabetol</w:t>
      </w:r>
      <w:r>
        <w:t xml:space="preserve"> </w:t>
      </w:r>
      <w:r>
        <w:t xml:space="preserve">· A double-blind, placebo-controlled, randomised trial to assess the effect of liraglutide on ectopic fat accumulation in South Asian type 2 diabetes patients. PMID 31288820</w:t>
      </w:r>
    </w:p>
    <w:p>
      <w:pPr>
        <w:numPr>
          <w:ilvl w:val="0"/>
          <w:numId w:val="1377"/>
        </w:numPr>
        <w:pStyle w:val="Compact"/>
      </w:pPr>
      <w:r>
        <w:t xml:space="preserve">2019 · Tack CJ ·</w:t>
      </w:r>
      <w:r>
        <w:t xml:space="preserve"> </w:t>
      </w:r>
      <w:r>
        <w:rPr>
          <w:iCs/>
          <w:i/>
        </w:rPr>
        <w:t xml:space="preserve">Diabetes Obes Metab</w:t>
      </w:r>
      <w:r>
        <w:t xml:space="preserve"> </w:t>
      </w:r>
      <w:r>
        <w:t xml:space="preserve">· Long-term efficacy and safety of combined insulin and glucagon-like peptide-1 therapy: Evidence from the LEADER trial. PMID 31282028</w:t>
      </w:r>
    </w:p>
    <w:p>
      <w:pPr>
        <w:numPr>
          <w:ilvl w:val="0"/>
          <w:numId w:val="1377"/>
        </w:numPr>
        <w:pStyle w:val="Compact"/>
      </w:pPr>
      <w:r>
        <w:t xml:space="preserve">2019 · Farr OM ·</w:t>
      </w:r>
      <w:r>
        <w:t xml:space="preserve"> </w:t>
      </w:r>
      <w:r>
        <w:rPr>
          <w:iCs/>
          <w:i/>
        </w:rPr>
        <w:t xml:space="preserve">Diabetes Obes Metab</w:t>
      </w:r>
      <w:r>
        <w:t xml:space="preserve"> </w:t>
      </w:r>
      <w:r>
        <w:t xml:space="preserve">· Longer-term liraglutide administration at the highest dose approved for obesity increases reward-related orbitofrontal cortex activation in response to food cues: Implications for plateauing weight loss in response to anti-obesity therapies. PMID 31282006</w:t>
      </w:r>
    </w:p>
    <w:p>
      <w:pPr>
        <w:numPr>
          <w:ilvl w:val="0"/>
          <w:numId w:val="1377"/>
        </w:numPr>
        <w:pStyle w:val="Compact"/>
      </w:pPr>
      <w:r>
        <w:t xml:space="preserve">2019 · Li LQ ·</w:t>
      </w:r>
      <w:r>
        <w:t xml:space="preserve"> </w:t>
      </w:r>
      <w:r>
        <w:rPr>
          <w:iCs/>
          <w:i/>
        </w:rPr>
        <w:t xml:space="preserve">Endocr J</w:t>
      </w:r>
      <w:r>
        <w:t xml:space="preserve"> </w:t>
      </w:r>
      <w:r>
        <w:t xml:space="preserve">· Continuous subcutaneous insulin infusion combined with liraglutide reduced glycemic variability and oxidative stress in type 2 diabetes mellitus: a study based on the flash glucose monitoring system. PMID 31243192</w:t>
      </w:r>
    </w:p>
    <w:p>
      <w:pPr>
        <w:numPr>
          <w:ilvl w:val="0"/>
          <w:numId w:val="1377"/>
        </w:numPr>
        <w:pStyle w:val="Compact"/>
      </w:pPr>
      <w:r>
        <w:t xml:space="preserve">2019 · Aung MM ·</w:t>
      </w:r>
      <w:r>
        <w:t xml:space="preserve"> </w:t>
      </w:r>
      <w:r>
        <w:rPr>
          <w:iCs/>
          <w:i/>
        </w:rPr>
        <w:t xml:space="preserve">Diabetologia</w:t>
      </w:r>
      <w:r>
        <w:t xml:space="preserve"> </w:t>
      </w:r>
      <w:r>
        <w:t xml:space="preserve">· Locally delivered GLP-1 analogues liraglutide and exenatide enhance microvascular perfusion in individuals with and without type 2 diabetes. PMID 31203378</w:t>
      </w:r>
    </w:p>
    <w:p>
      <w:pPr>
        <w:numPr>
          <w:ilvl w:val="0"/>
          <w:numId w:val="1377"/>
        </w:numPr>
        <w:pStyle w:val="Compact"/>
      </w:pPr>
      <w:r>
        <w:t xml:space="preserve">2019 · Aroda VR ·</w:t>
      </w:r>
      <w:r>
        <w:t xml:space="preserve"> </w:t>
      </w:r>
      <w:r>
        <w:rPr>
          <w:iCs/>
          <w:i/>
        </w:rPr>
        <w:t xml:space="preserve">Lancet Diabetes Endocrinol</w:t>
      </w:r>
      <w:r>
        <w:t xml:space="preserve"> </w:t>
      </w:r>
      <w:r>
        <w:t xml:space="preserve">· Durability of insulin degludec plus liraglutide versus insulin glargine U100 as initial injectable therapy in type 2 diabetes (DUAL VIII): a multicentre, open-label, phase 3b, randomised controlled trial. PMID 31189519</w:t>
      </w:r>
    </w:p>
    <w:p>
      <w:pPr>
        <w:numPr>
          <w:ilvl w:val="0"/>
          <w:numId w:val="1377"/>
        </w:numPr>
        <w:pStyle w:val="Compact"/>
      </w:pPr>
      <w:r>
        <w:t xml:space="preserve">2019 · Pratley R ·</w:t>
      </w:r>
      <w:r>
        <w:t xml:space="preserve"> </w:t>
      </w:r>
      <w:r>
        <w:rPr>
          <w:iCs/>
          <w:i/>
        </w:rPr>
        <w:t xml:space="preserve">Lancet</w:t>
      </w:r>
      <w:r>
        <w:t xml:space="preserve"> </w:t>
      </w:r>
      <w:r>
        <w:t xml:space="preserve">· Oral semaglutide versus subcutaneous liraglutide and placebo in type 2 diabetes (PIONEER 4): a randomised, double-blind, phase 3a trial. PMID 31186120</w:t>
      </w:r>
    </w:p>
    <w:p>
      <w:pPr>
        <w:numPr>
          <w:ilvl w:val="0"/>
          <w:numId w:val="1377"/>
        </w:numPr>
        <w:pStyle w:val="Compact"/>
      </w:pPr>
      <w:r>
        <w:t xml:space="preserve">2019 · Miras AD ·</w:t>
      </w:r>
      <w:r>
        <w:t xml:space="preserve"> </w:t>
      </w:r>
      <w:r>
        <w:rPr>
          <w:iCs/>
          <w:i/>
        </w:rPr>
        <w:t xml:space="preserve">Lancet Diabetes Endocrinol</w:t>
      </w:r>
      <w:r>
        <w:t xml:space="preserve"> </w:t>
      </w:r>
      <w:r>
        <w:t xml:space="preserve">· Adjunctive liraglutide treatment in patients with persistent or recurrent type 2 diabetes after metabolic surgery (GRAVITAS): a randomised, double-blind, placebo-controlled trial. PMID 31174993</w:t>
      </w:r>
    </w:p>
    <w:p>
      <w:pPr>
        <w:numPr>
          <w:ilvl w:val="0"/>
          <w:numId w:val="1377"/>
        </w:numPr>
        <w:pStyle w:val="Compact"/>
      </w:pPr>
      <w:r>
        <w:t xml:space="preserve">2019 · Abreu M ·</w:t>
      </w:r>
      <w:r>
        <w:t xml:space="preserve"> </w:t>
      </w:r>
      <w:r>
        <w:rPr>
          <w:iCs/>
          <w:i/>
        </w:rPr>
        <w:t xml:space="preserve">Diabetes Obes Metab</w:t>
      </w:r>
      <w:r>
        <w:t xml:space="preserve"> </w:t>
      </w:r>
      <w:r>
        <w:t xml:space="preserve">· A randomized trial comparing the efficacy and safety of treating patients with type 2 diabetes and highly elevated HbA1c levels with basal-bolus insulin or a glucagon-like peptide-1 receptor agonist plus basal insulin: The SIMPLE study. PMID 31144435</w:t>
      </w:r>
    </w:p>
    <w:p>
      <w:pPr>
        <w:numPr>
          <w:ilvl w:val="0"/>
          <w:numId w:val="1377"/>
        </w:numPr>
        <w:pStyle w:val="Compact"/>
      </w:pPr>
      <w:r>
        <w:t xml:space="preserve">2019 · Øhrstrøm CC ·</w:t>
      </w:r>
      <w:r>
        <w:t xml:space="preserve"> </w:t>
      </w:r>
      <w:r>
        <w:rPr>
          <w:iCs/>
          <w:i/>
        </w:rPr>
        <w:t xml:space="preserve">Diabetes Obes Metab</w:t>
      </w:r>
      <w:r>
        <w:t xml:space="preserve"> </w:t>
      </w:r>
      <w:r>
        <w:t xml:space="preserve">· Postprandial hypoglycaemia after Roux-en-Y gastric bypass and the effects of acarbose, sitagliptin, verapamil, liraglutide and pasireotide. PMID 31144430</w:t>
      </w:r>
    </w:p>
    <w:p>
      <w:pPr>
        <w:numPr>
          <w:ilvl w:val="0"/>
          <w:numId w:val="1377"/>
        </w:numPr>
        <w:pStyle w:val="Compact"/>
      </w:pPr>
      <w:r>
        <w:t xml:space="preserve">2019 · Anholm C ·</w:t>
      </w:r>
      <w:r>
        <w:t xml:space="preserve"> </w:t>
      </w:r>
      <w:r>
        <w:rPr>
          <w:iCs/>
          <w:i/>
        </w:rPr>
        <w:t xml:space="preserve">Diabetes Obes Metab</w:t>
      </w:r>
      <w:r>
        <w:t xml:space="preserve"> </w:t>
      </w:r>
      <w:r>
        <w:t xml:space="preserve">· Effect of liraglutide on estimates of lipolysis and lipid oxidation in obese patients with stable coronary artery disease and newly diagnosed type 2 diabetes: A randomized trial. PMID 31050161</w:t>
      </w:r>
    </w:p>
    <w:p>
      <w:pPr>
        <w:numPr>
          <w:ilvl w:val="0"/>
          <w:numId w:val="1377"/>
        </w:numPr>
        <w:pStyle w:val="Compact"/>
      </w:pPr>
      <w:r>
        <w:t xml:space="preserve">2019 · Bizino MB ·</w:t>
      </w:r>
      <w:r>
        <w:t xml:space="preserve"> </w:t>
      </w:r>
      <w:r>
        <w:rPr>
          <w:iCs/>
          <w:i/>
        </w:rPr>
        <w:t xml:space="preserve">Cardiovasc Diabetol</w:t>
      </w:r>
      <w:r>
        <w:t xml:space="preserve"> </w:t>
      </w:r>
      <w:r>
        <w:t xml:space="preserve">· Effect of liraglutide on cardiac function in patients with type 2 diabetes mellitus: randomized placebo-controlled trial. PMID 31039778</w:t>
      </w:r>
    </w:p>
    <w:p>
      <w:pPr>
        <w:numPr>
          <w:ilvl w:val="0"/>
          <w:numId w:val="1377"/>
        </w:numPr>
        <w:pStyle w:val="Compact"/>
      </w:pPr>
      <w:r>
        <w:t xml:space="preserve">2019 · Tamborlane WV ·</w:t>
      </w:r>
      <w:r>
        <w:t xml:space="preserve"> </w:t>
      </w:r>
      <w:r>
        <w:rPr>
          <w:iCs/>
          <w:i/>
        </w:rPr>
        <w:t xml:space="preserve">N Engl J Med</w:t>
      </w:r>
      <w:r>
        <w:t xml:space="preserve"> </w:t>
      </w:r>
      <w:r>
        <w:t xml:space="preserve">· Liraglutide in Children and Adolescents with Type 2 Diabetes. PMID 31034184</w:t>
      </w:r>
    </w:p>
    <w:p>
      <w:pPr>
        <w:numPr>
          <w:ilvl w:val="0"/>
          <w:numId w:val="1377"/>
        </w:numPr>
        <w:pStyle w:val="Compact"/>
      </w:pPr>
      <w:r>
        <w:t xml:space="preserve">2019 · Adiels M ·</w:t>
      </w:r>
      <w:r>
        <w:t xml:space="preserve"> </w:t>
      </w:r>
      <w:r>
        <w:rPr>
          <w:iCs/>
          <w:i/>
        </w:rPr>
        <w:t xml:space="preserve">Diabetes Obes Metab</w:t>
      </w:r>
      <w:r>
        <w:t xml:space="preserve"> </w:t>
      </w:r>
      <w:r>
        <w:t xml:space="preserve">· Role of apolipoprotein C-III overproduction in diabetic dyslipidaemia. PMID 30972934</w:t>
      </w:r>
    </w:p>
    <w:p>
      <w:pPr>
        <w:numPr>
          <w:ilvl w:val="0"/>
          <w:numId w:val="1377"/>
        </w:numPr>
        <w:pStyle w:val="Compact"/>
      </w:pPr>
      <w:r>
        <w:t xml:space="preserve">2019 · Tronieri JS ·</w:t>
      </w:r>
      <w:r>
        <w:t xml:space="preserve"> </w:t>
      </w:r>
      <w:r>
        <w:rPr>
          <w:iCs/>
          <w:i/>
        </w:rPr>
        <w:t xml:space="preserve">Metabolism</w:t>
      </w:r>
      <w:r>
        <w:t xml:space="preserve"> </w:t>
      </w:r>
      <w:r>
        <w:t xml:space="preserve">· Effects of liraglutide plus phentermine in adults with obesity following 1 year of treatment by liraglutide alone: A randomized placebo-controlled pilot trial. PMID 30902750</w:t>
      </w:r>
    </w:p>
    <w:p>
      <w:pPr>
        <w:numPr>
          <w:ilvl w:val="0"/>
          <w:numId w:val="1377"/>
        </w:numPr>
        <w:pStyle w:val="Compact"/>
      </w:pPr>
      <w:r>
        <w:t xml:space="preserve">2019 · Liu J ·</w:t>
      </w:r>
      <w:r>
        <w:t xml:space="preserve"> </w:t>
      </w:r>
      <w:r>
        <w:rPr>
          <w:iCs/>
          <w:i/>
        </w:rPr>
        <w:t xml:space="preserve">EBioMedicine</w:t>
      </w:r>
      <w:r>
        <w:t xml:space="preserve"> </w:t>
      </w:r>
      <w:r>
        <w:t xml:space="preserve">· Liver-derived fibroblast growth factor 21 mediates effects of glucagon-like peptide-1 in attenuating hepatic glucose output. PMID 30827929</w:t>
      </w:r>
    </w:p>
    <w:p>
      <w:pPr>
        <w:numPr>
          <w:ilvl w:val="0"/>
          <w:numId w:val="1377"/>
        </w:numPr>
        <w:pStyle w:val="Compact"/>
      </w:pPr>
      <w:r>
        <w:t xml:space="preserve">2019 · Liu X ·</w:t>
      </w:r>
      <w:r>
        <w:t xml:space="preserve"> </w:t>
      </w:r>
      <w:r>
        <w:rPr>
          <w:iCs/>
          <w:i/>
        </w:rPr>
        <w:t xml:space="preserve">J Coll Physicians Surg Pak</w:t>
      </w:r>
      <w:r>
        <w:t xml:space="preserve"> </w:t>
      </w:r>
      <w:r>
        <w:t xml:space="preserve">· Effects of Liraglutide Combined with Insulin on Oxidative Stress and Serum MCP-1 and NF-kB Levels in Type 2 Diabetes. PMID 30823945</w:t>
      </w:r>
    </w:p>
    <w:p>
      <w:pPr>
        <w:numPr>
          <w:ilvl w:val="0"/>
          <w:numId w:val="1377"/>
        </w:numPr>
        <w:pStyle w:val="Compact"/>
      </w:pPr>
      <w:r>
        <w:t xml:space="preserve">2019 · Brown-Frandsen K ·</w:t>
      </w:r>
      <w:r>
        <w:t xml:space="preserve"> </w:t>
      </w:r>
      <w:r>
        <w:rPr>
          <w:iCs/>
          <w:i/>
        </w:rPr>
        <w:t xml:space="preserve">Diabetes Obes Metab</w:t>
      </w:r>
      <w:r>
        <w:t xml:space="preserve"> </w:t>
      </w:r>
      <w:r>
        <w:t xml:space="preserve">· Lower rates of cardiovascular events and mortality associated with liraglutide use in patients treated with basal insulin: A DEVOTE subanalysis (DEVOTE 10). PMID 30793465</w:t>
      </w:r>
    </w:p>
    <w:p>
      <w:pPr>
        <w:numPr>
          <w:ilvl w:val="0"/>
          <w:numId w:val="1377"/>
        </w:numPr>
        <w:pStyle w:val="Compact"/>
      </w:pPr>
      <w:r>
        <w:t xml:space="preserve">2019 · Suhrs HE ·</w:t>
      </w:r>
      <w:r>
        <w:t xml:space="preserve"> </w:t>
      </w:r>
      <w:r>
        <w:rPr>
          <w:iCs/>
          <w:i/>
        </w:rPr>
        <w:t xml:space="preserve">Int J Cardiol</w:t>
      </w:r>
      <w:r>
        <w:t xml:space="preserve"> </w:t>
      </w:r>
      <w:r>
        <w:t xml:space="preserve">· Effect of liraglutide on body weight and microvascular function in non-diabetic overweight women with coronary microvascular dysfunction. PMID 30773266</w:t>
      </w:r>
    </w:p>
    <w:p>
      <w:pPr>
        <w:numPr>
          <w:ilvl w:val="0"/>
          <w:numId w:val="1377"/>
        </w:numPr>
        <w:pStyle w:val="Compact"/>
      </w:pPr>
      <w:r>
        <w:t xml:space="preserve">2019 · Philis-Tsimikas A ·</w:t>
      </w:r>
      <w:r>
        <w:t xml:space="preserve"> </w:t>
      </w:r>
      <w:r>
        <w:rPr>
          <w:iCs/>
          <w:i/>
        </w:rPr>
        <w:t xml:space="preserve">Diabetes Obes Metab</w:t>
      </w:r>
      <w:r>
        <w:t xml:space="preserve"> </w:t>
      </w:r>
      <w:r>
        <w:t xml:space="preserve">· Superior efficacy of insulin degludec/liraglutide versus insulin glargine U100 as add-on to sodium-glucose co-transporter-2 inhibitor therapy: A randomized clinical trial in people with uncontrolled type 2 diabetes. PMID 30761720</w:t>
      </w:r>
    </w:p>
    <w:p>
      <w:pPr>
        <w:numPr>
          <w:ilvl w:val="0"/>
          <w:numId w:val="1377"/>
        </w:numPr>
        <w:pStyle w:val="Compact"/>
      </w:pPr>
      <w:r>
        <w:t xml:space="preserve">2019 · Khoo J ·</w:t>
      </w:r>
      <w:r>
        <w:t xml:space="preserve"> </w:t>
      </w:r>
      <w:r>
        <w:rPr>
          <w:iCs/>
          <w:i/>
        </w:rPr>
        <w:t xml:space="preserve">Liver Int</w:t>
      </w:r>
      <w:r>
        <w:t xml:space="preserve"> </w:t>
      </w:r>
      <w:r>
        <w:t xml:space="preserve">· Randomized trial comparing effects of weight loss by liraglutide with lifestyle modification in non-alcoholic fatty liver disease. PMID 30721572</w:t>
      </w:r>
    </w:p>
    <w:p>
      <w:pPr>
        <w:numPr>
          <w:ilvl w:val="0"/>
          <w:numId w:val="1377"/>
        </w:numPr>
        <w:pStyle w:val="Compact"/>
      </w:pPr>
      <w:r>
        <w:t xml:space="preserve">2019 · Zobel EH ·</w:t>
      </w:r>
      <w:r>
        <w:t xml:space="preserve"> </w:t>
      </w:r>
      <w:r>
        <w:rPr>
          <w:iCs/>
          <w:i/>
        </w:rPr>
        <w:t xml:space="preserve">Diabetes Obes Metab</w:t>
      </w:r>
      <w:r>
        <w:t xml:space="preserve"> </w:t>
      </w:r>
      <w:r>
        <w:t xml:space="preserve">· Pleiotropic effects of liraglutide in patients with type 2 diabetes and moderate renal impairment: Individual effects of treatment. PMID 30663196</w:t>
      </w:r>
    </w:p>
    <w:p>
      <w:pPr>
        <w:numPr>
          <w:ilvl w:val="0"/>
          <w:numId w:val="1377"/>
        </w:numPr>
        <w:pStyle w:val="Compact"/>
      </w:pPr>
      <w:r>
        <w:t xml:space="preserve">2019 · Mastrandrea LD ·</w:t>
      </w:r>
      <w:r>
        <w:t xml:space="preserve"> </w:t>
      </w:r>
      <w:r>
        <w:rPr>
          <w:iCs/>
          <w:i/>
        </w:rPr>
        <w:t xml:space="preserve">Pediatr Obes</w:t>
      </w:r>
      <w:r>
        <w:t xml:space="preserve"> </w:t>
      </w:r>
      <w:r>
        <w:t xml:space="preserve">· Liraglutide effects in a paediatric (7-11 y) population with obesity: A randomized, double-blind, placebo-controlled, short-term trial to assess safety, tolerability, pharmacokinetics, and pharmacodynamics. PMID 30653847</w:t>
      </w:r>
    </w:p>
    <w:p>
      <w:pPr>
        <w:numPr>
          <w:ilvl w:val="0"/>
          <w:numId w:val="1377"/>
        </w:numPr>
        <w:pStyle w:val="Compact"/>
      </w:pPr>
      <w:r>
        <w:t xml:space="preserve">2019 · Wijkman MO ·</w:t>
      </w:r>
      <w:r>
        <w:t xml:space="preserve"> </w:t>
      </w:r>
      <w:r>
        <w:rPr>
          <w:iCs/>
          <w:i/>
        </w:rPr>
        <w:t xml:space="preserve">J Clin Hypertens (Greenwich)</w:t>
      </w:r>
      <w:r>
        <w:t xml:space="preserve"> </w:t>
      </w:r>
      <w:r>
        <w:t xml:space="preserve">· Predictors and correlates of systolic blood pressure reduction with liraglutide treatment in patients with type 2 diabetes. PMID 30515978</w:t>
      </w:r>
    </w:p>
    <w:p>
      <w:pPr>
        <w:numPr>
          <w:ilvl w:val="0"/>
          <w:numId w:val="1377"/>
        </w:numPr>
        <w:pStyle w:val="Compact"/>
      </w:pPr>
      <w:r>
        <w:t xml:space="preserve">2019 · Gilbert MP ·</w:t>
      </w:r>
      <w:r>
        <w:t xml:space="preserve"> </w:t>
      </w:r>
      <w:r>
        <w:rPr>
          <w:iCs/>
          <w:i/>
        </w:rPr>
        <w:t xml:space="preserve">Ann Intern Med</w:t>
      </w:r>
      <w:r>
        <w:t xml:space="preserve"> </w:t>
      </w:r>
      <w:r>
        <w:t xml:space="preserve">· Effect of Liraglutide on Cardiovascular Outcomes in Elderly Patients: A Post Hoc Analysis of a Randomized Controlled Trial. PMID 30508430</w:t>
      </w:r>
    </w:p>
    <w:p>
      <w:pPr>
        <w:numPr>
          <w:ilvl w:val="0"/>
          <w:numId w:val="1377"/>
        </w:numPr>
        <w:pStyle w:val="Compact"/>
      </w:pPr>
      <w:r>
        <w:t xml:space="preserve">2019 · Wadden TA ·</w:t>
      </w:r>
      <w:r>
        <w:t xml:space="preserve"> </w:t>
      </w:r>
      <w:r>
        <w:rPr>
          <w:iCs/>
          <w:i/>
        </w:rPr>
        <w:t xml:space="preserve">Obesity (Silver Spring)</w:t>
      </w:r>
      <w:r>
        <w:t xml:space="preserve"> </w:t>
      </w:r>
      <w:r>
        <w:t xml:space="preserve">· Intensive Behavioral Therapy for Obesity Combined with Liraglutide 3.0 mg: A Randomized Controlled Trial. PMID 30421856</w:t>
      </w:r>
    </w:p>
    <w:p>
      <w:pPr>
        <w:numPr>
          <w:ilvl w:val="0"/>
          <w:numId w:val="1377"/>
        </w:numPr>
        <w:pStyle w:val="Compact"/>
      </w:pPr>
      <w:r>
        <w:t xml:space="preserve">2019 · Lingvay I ·</w:t>
      </w:r>
      <w:r>
        <w:t xml:space="preserve"> </w:t>
      </w:r>
      <w:r>
        <w:rPr>
          <w:iCs/>
          <w:i/>
        </w:rPr>
        <w:t xml:space="preserve">Endocr Pract</w:t>
      </w:r>
      <w:r>
        <w:t xml:space="preserve"> </w:t>
      </w:r>
      <w:r>
        <w:t xml:space="preserve">· EFFICACY AND SAFETY OF IDEGLIRA IN OLDER PATIENTS WITH TYPE 2 DIABETES. PMID 30383495</w:t>
      </w:r>
    </w:p>
    <w:p>
      <w:pPr>
        <w:numPr>
          <w:ilvl w:val="0"/>
          <w:numId w:val="1377"/>
        </w:numPr>
        <w:pStyle w:val="Compact"/>
      </w:pPr>
      <w:r>
        <w:t xml:space="preserve">2019 · Svensson CK ·</w:t>
      </w:r>
      <w:r>
        <w:t xml:space="preserve"> </w:t>
      </w:r>
      <w:r>
        <w:rPr>
          <w:iCs/>
          <w:i/>
        </w:rPr>
        <w:t xml:space="preserve">Acta Psychiatr Scand</w:t>
      </w:r>
      <w:r>
        <w:t xml:space="preserve"> </w:t>
      </w:r>
      <w:r>
        <w:t xml:space="preserve">· One-year follow-up on liraglutide treatment for prediabetes and overweight/obesity in clozapine- or olanzapine-treated patients. PMID 30374965</w:t>
      </w:r>
    </w:p>
    <w:p>
      <w:pPr>
        <w:numPr>
          <w:ilvl w:val="0"/>
          <w:numId w:val="1377"/>
        </w:numPr>
        <w:pStyle w:val="Compact"/>
      </w:pPr>
      <w:r>
        <w:t xml:space="preserve">2019 · Yan J ·</w:t>
      </w:r>
      <w:r>
        <w:t xml:space="preserve"> </w:t>
      </w:r>
      <w:r>
        <w:rPr>
          <w:iCs/>
          <w:i/>
        </w:rPr>
        <w:t xml:space="preserve">Hepatology</w:t>
      </w:r>
      <w:r>
        <w:t xml:space="preserve"> </w:t>
      </w:r>
      <w:r>
        <w:t xml:space="preserve">· Liraglutide, Sitagliptin, and Insulin Glargine Added to Metformin: The Effect on Body Weight and Intrahepatic Lipid in Patients With Type 2 Diabetes Mellitus and Nonalcoholic Fatty Liver Disease. PMID 30341767</w:t>
      </w:r>
    </w:p>
    <w:p>
      <w:pPr>
        <w:numPr>
          <w:ilvl w:val="0"/>
          <w:numId w:val="1377"/>
        </w:numPr>
        <w:pStyle w:val="Compact"/>
      </w:pPr>
      <w:r>
        <w:t xml:space="preserve">2019 · Nauck MA ·</w:t>
      </w:r>
      <w:r>
        <w:t xml:space="preserve"> </w:t>
      </w:r>
      <w:r>
        <w:rPr>
          <w:iCs/>
          <w:i/>
        </w:rPr>
        <w:t xml:space="preserve">Diabetes Obes Metab</w:t>
      </w:r>
      <w:r>
        <w:t xml:space="preserve"> </w:t>
      </w:r>
      <w:r>
        <w:t xml:space="preserve">· Health-related quality of life in people with type 2 diabetes participating in the LEADER trial. PMID 30260088</w:t>
      </w:r>
    </w:p>
    <w:p>
      <w:pPr>
        <w:numPr>
          <w:ilvl w:val="0"/>
          <w:numId w:val="1377"/>
        </w:numPr>
        <w:pStyle w:val="Compact"/>
      </w:pPr>
      <w:r>
        <w:t xml:space="preserve">2019 · Liakos A ·</w:t>
      </w:r>
      <w:r>
        <w:t xml:space="preserve"> </w:t>
      </w:r>
      <w:r>
        <w:rPr>
          <w:iCs/>
          <w:i/>
        </w:rPr>
        <w:t xml:space="preserve">Diabetes Obes Metab</w:t>
      </w:r>
      <w:r>
        <w:t xml:space="preserve"> </w:t>
      </w:r>
      <w:r>
        <w:t xml:space="preserve">· Effect of liraglutide on ambulatory blood pressure in patients with hypertension and type 2 diabetes: A randomized, double-blind, placebo-controlled trial. PMID 30242948</w:t>
      </w:r>
    </w:p>
    <w:p>
      <w:pPr>
        <w:numPr>
          <w:ilvl w:val="0"/>
          <w:numId w:val="1377"/>
        </w:numPr>
        <w:pStyle w:val="Compact"/>
      </w:pPr>
      <w:r>
        <w:t xml:space="preserve">2019 · Wägner AM ·</w:t>
      </w:r>
      <w:r>
        <w:t xml:space="preserve"> </w:t>
      </w:r>
      <w:r>
        <w:rPr>
          <w:iCs/>
          <w:i/>
        </w:rPr>
        <w:t xml:space="preserve">Diabetes Metab</w:t>
      </w:r>
      <w:r>
        <w:t xml:space="preserve"> </w:t>
      </w:r>
      <w:r>
        <w:t xml:space="preserve">· Effect of liraglutide on physical performance in type 2 diabetes: Results of a randomized, double-blind, controlled trial (LIPER2). PMID 30223083</w:t>
      </w:r>
    </w:p>
    <w:p>
      <w:pPr>
        <w:numPr>
          <w:ilvl w:val="0"/>
          <w:numId w:val="1377"/>
        </w:numPr>
        <w:pStyle w:val="Compact"/>
      </w:pPr>
      <w:r>
        <w:t xml:space="preserve">2019 · Watson KT ·</w:t>
      </w:r>
      <w:r>
        <w:t xml:space="preserve"> </w:t>
      </w:r>
      <w:r>
        <w:rPr>
          <w:iCs/>
          <w:i/>
        </w:rPr>
        <w:t xml:space="preserve">Behav Brain Res</w:t>
      </w:r>
      <w:r>
        <w:t xml:space="preserve"> </w:t>
      </w:r>
      <w:r>
        <w:t xml:space="preserve">· Neural correlates of liraglutide effects in persons at risk for Alzheimer’s disease. PMID 30099030</w:t>
      </w:r>
    </w:p>
    <w:p>
      <w:pPr>
        <w:numPr>
          <w:ilvl w:val="0"/>
          <w:numId w:val="1377"/>
        </w:numPr>
        <w:pStyle w:val="Compact"/>
      </w:pPr>
      <w:r>
        <w:t xml:space="preserve">2019 · Takase T ·</w:t>
      </w:r>
      <w:r>
        <w:t xml:space="preserve"> </w:t>
      </w:r>
      <w:r>
        <w:rPr>
          <w:iCs/>
          <w:i/>
        </w:rPr>
        <w:t xml:space="preserve">J Diabetes Investig</w:t>
      </w:r>
      <w:r>
        <w:t xml:space="preserve"> </w:t>
      </w:r>
      <w:r>
        <w:t xml:space="preserve">· Improvement in treatment satisfaction after switching from liraglutide to dulaglutide in patients with type 2 diabetes: A randomized controlled trial. PMID 30076787</w:t>
      </w:r>
    </w:p>
    <w:p>
      <w:pPr>
        <w:numPr>
          <w:ilvl w:val="0"/>
          <w:numId w:val="1377"/>
        </w:numPr>
        <w:pStyle w:val="Compact"/>
      </w:pPr>
      <w:r>
        <w:t xml:space="preserve">2019 · Matikainen N ·</w:t>
      </w:r>
      <w:r>
        <w:t xml:space="preserve"> </w:t>
      </w:r>
      <w:r>
        <w:rPr>
          <w:iCs/>
          <w:i/>
        </w:rPr>
        <w:t xml:space="preserve">Diabetes Obes Metab</w:t>
      </w:r>
      <w:r>
        <w:t xml:space="preserve"> </w:t>
      </w:r>
      <w:r>
        <w:t xml:space="preserve">· Liraglutide treatment improves postprandial lipid metabolism and cardiometabolic risk factors in humans with adequately controlled type 2 diabetes: A single-centre randomized controlled study. PMID 30073766</w:t>
      </w:r>
    </w:p>
    <w:p>
      <w:pPr>
        <w:numPr>
          <w:ilvl w:val="0"/>
          <w:numId w:val="1377"/>
        </w:numPr>
        <w:pStyle w:val="Compact"/>
      </w:pPr>
      <w:r>
        <w:t xml:space="preserve">2019 · Overgaard RV ·</w:t>
      </w:r>
      <w:r>
        <w:t xml:space="preserve"> </w:t>
      </w:r>
      <w:r>
        <w:rPr>
          <w:iCs/>
          <w:i/>
        </w:rPr>
        <w:t xml:space="preserve">Diabetes Obes Metab</w:t>
      </w:r>
      <w:r>
        <w:t xml:space="preserve"> </w:t>
      </w:r>
      <w:r>
        <w:t xml:space="preserve">· Impact on HbA1c and body weight of switching from other GLP-1 receptor agonists to semaglutide: A model-based approach. PMID 30047216</w:t>
      </w:r>
    </w:p>
    <w:p>
      <w:pPr>
        <w:numPr>
          <w:ilvl w:val="0"/>
          <w:numId w:val="1377"/>
        </w:numPr>
        <w:pStyle w:val="Compact"/>
      </w:pPr>
      <w:r>
        <w:t xml:space="preserve">2019 · Feng WH ·</w:t>
      </w:r>
      <w:r>
        <w:t xml:space="preserve"> </w:t>
      </w:r>
      <w:r>
        <w:rPr>
          <w:iCs/>
          <w:i/>
        </w:rPr>
        <w:t xml:space="preserve">J Diabetes Investig</w:t>
      </w:r>
      <w:r>
        <w:t xml:space="preserve"> </w:t>
      </w:r>
      <w:r>
        <w:t xml:space="preserve">· Effects of liraglutide, metformin and gliclazide on body composition in patients with both type 2 diabetes and non-alcoholic fatty liver disease: A randomized trial. PMID 29957886</w:t>
      </w:r>
    </w:p>
    <w:p>
      <w:pPr>
        <w:numPr>
          <w:ilvl w:val="0"/>
          <w:numId w:val="1377"/>
        </w:numPr>
        <w:pStyle w:val="Compact"/>
      </w:pPr>
      <w:r>
        <w:t xml:space="preserve">2019 · Nielsen R ·</w:t>
      </w:r>
      <w:r>
        <w:t xml:space="preserve"> </w:t>
      </w:r>
      <w:r>
        <w:rPr>
          <w:iCs/>
          <w:i/>
        </w:rPr>
        <w:t xml:space="preserve">J Nucl Cardiol</w:t>
      </w:r>
      <w:r>
        <w:t xml:space="preserve"> </w:t>
      </w:r>
      <w:r>
        <w:t xml:space="preserve">· Effect of liraglutide on myocardial glucose uptake and blood flow in stable chronic heart failure patients: A double-blind, randomized, placebo-controlled LIVE sub-study. PMID 28770459</w:t>
      </w:r>
    </w:p>
    <w:p>
      <w:pPr>
        <w:numPr>
          <w:ilvl w:val="0"/>
          <w:numId w:val="1377"/>
        </w:numPr>
        <w:pStyle w:val="Compact"/>
      </w:pPr>
      <w:r>
        <w:t xml:space="preserve">2018 · Mann JFE ·</w:t>
      </w:r>
      <w:r>
        <w:t xml:space="preserve"> </w:t>
      </w:r>
      <w:r>
        <w:rPr>
          <w:iCs/>
          <w:i/>
        </w:rPr>
        <w:t xml:space="preserve">Circulation</w:t>
      </w:r>
      <w:r>
        <w:t xml:space="preserve"> </w:t>
      </w:r>
      <w:r>
        <w:t xml:space="preserve">· Effects of Liraglutide Versus Placebo on Cardiovascular Events in Patients With Type 2 Diabetes Mellitus and Chronic Kidney Disease. PMID 30566006</w:t>
      </w:r>
    </w:p>
    <w:p>
      <w:pPr>
        <w:numPr>
          <w:ilvl w:val="0"/>
          <w:numId w:val="1377"/>
        </w:numPr>
        <w:pStyle w:val="Compact"/>
      </w:pPr>
      <w:r>
        <w:t xml:space="preserve">2018 · Verma S ·</w:t>
      </w:r>
      <w:r>
        <w:t xml:space="preserve"> </w:t>
      </w:r>
      <w:r>
        <w:rPr>
          <w:iCs/>
          <w:i/>
        </w:rPr>
        <w:t xml:space="preserve">Circulation</w:t>
      </w:r>
      <w:r>
        <w:t xml:space="preserve"> </w:t>
      </w:r>
      <w:r>
        <w:t xml:space="preserve">· Effects of Liraglutide on Cardiovascular Outcomes in Patients With Type 2 Diabetes Mellitus With or Without History of Myocardial Infarction or Stroke. PMID 30566004</w:t>
      </w:r>
    </w:p>
    <w:p>
      <w:pPr>
        <w:numPr>
          <w:ilvl w:val="0"/>
          <w:numId w:val="1377"/>
        </w:numPr>
        <w:pStyle w:val="Compact"/>
      </w:pPr>
      <w:r>
        <w:t xml:space="preserve">2018 · Simeone P ·</w:t>
      </w:r>
      <w:r>
        <w:t xml:space="preserve"> </w:t>
      </w:r>
      <w:r>
        <w:rPr>
          <w:iCs/>
          <w:i/>
        </w:rPr>
        <w:t xml:space="preserve">Nutrients</w:t>
      </w:r>
      <w:r>
        <w:t xml:space="preserve"> </w:t>
      </w:r>
      <w:r>
        <w:t xml:space="preserve">· Thromboxane-Dependent Platelet Activation in Obese Subjects with Prediabetes or Early Type 2 Diabetes: Effects of Liraglutide- or Lifestyle Changes-Induced Weight Loss. PMID 30513818</w:t>
      </w:r>
    </w:p>
    <w:p>
      <w:pPr>
        <w:numPr>
          <w:ilvl w:val="0"/>
          <w:numId w:val="1377"/>
        </w:numPr>
        <w:pStyle w:val="Compact"/>
      </w:pPr>
      <w:r>
        <w:t xml:space="preserve">2018 · Said OV ·</w:t>
      </w:r>
      <w:r>
        <w:t xml:space="preserve"> </w:t>
      </w:r>
      <w:r>
        <w:rPr>
          <w:iCs/>
          <w:i/>
        </w:rPr>
        <w:t xml:space="preserve">Wiad Lek</w:t>
      </w:r>
      <w:r>
        <w:t xml:space="preserve"> </w:t>
      </w:r>
      <w:r>
        <w:t xml:space="preserve">· Assessment of complex treatment influence on systemic inflammation in overweight type 2 diabetes patients. PMID 30267490</w:t>
      </w:r>
    </w:p>
    <w:p>
      <w:pPr>
        <w:numPr>
          <w:ilvl w:val="0"/>
          <w:numId w:val="1377"/>
        </w:numPr>
        <w:pStyle w:val="Compact"/>
      </w:pPr>
      <w:r>
        <w:t xml:space="preserve">2018 · Horie I ·</w:t>
      </w:r>
      <w:r>
        <w:t xml:space="preserve"> </w:t>
      </w:r>
      <w:r>
        <w:rPr>
          <w:iCs/>
          <w:i/>
        </w:rPr>
        <w:t xml:space="preserve">Diabetes Res Clin Pract</w:t>
      </w:r>
      <w:r>
        <w:t xml:space="preserve"> </w:t>
      </w:r>
      <w:r>
        <w:t xml:space="preserve">· Predictive factors of efficacy of combination therapy with basal insulin and liraglutide in type 2 diabetes when switched from longstanding basal-bolus insulin: Association between the responses of β- and α-cells to GLP-1 stimulation and the glycaemic control at 6 months after switching therapy. PMID 30194951</w:t>
      </w:r>
    </w:p>
    <w:p>
      <w:pPr>
        <w:numPr>
          <w:ilvl w:val="0"/>
          <w:numId w:val="1377"/>
        </w:numPr>
        <w:pStyle w:val="Compact"/>
      </w:pPr>
      <w:r>
        <w:t xml:space="preserve">2018 · O’Neil PM ·</w:t>
      </w:r>
      <w:r>
        <w:t xml:space="preserve"> </w:t>
      </w:r>
      <w:r>
        <w:rPr>
          <w:iCs/>
          <w:i/>
        </w:rPr>
        <w:t xml:space="preserve">Lancet</w:t>
      </w:r>
      <w:r>
        <w:t xml:space="preserve"> </w:t>
      </w:r>
      <w:r>
        <w:t xml:space="preserve">· Efficacy and safety of semaglutide compared with liraglutide and placebo for weight loss in patients with obesity: a randomised, double-blind, placebo and active controlled, dose-ranging, phase 2 trial. PMID 30122305</w:t>
      </w:r>
    </w:p>
    <w:p>
      <w:pPr>
        <w:numPr>
          <w:ilvl w:val="0"/>
          <w:numId w:val="1377"/>
        </w:numPr>
        <w:pStyle w:val="Compact"/>
      </w:pPr>
      <w:r>
        <w:t xml:space="preserve">2018 · Sharma A ·</w:t>
      </w:r>
      <w:r>
        <w:t xml:space="preserve"> </w:t>
      </w:r>
      <w:r>
        <w:rPr>
          <w:iCs/>
          <w:i/>
        </w:rPr>
        <w:t xml:space="preserve">ESC Heart Fail</w:t>
      </w:r>
      <w:r>
        <w:t xml:space="preserve"> </w:t>
      </w:r>
      <w:r>
        <w:t xml:space="preserve">· Liraglutide and weight loss among patients with advanced heart failure and a reduced ejection fraction: insights from the FIGHT trial. PMID 30120812</w:t>
      </w:r>
    </w:p>
    <w:p>
      <w:pPr>
        <w:numPr>
          <w:ilvl w:val="0"/>
          <w:numId w:val="1377"/>
        </w:numPr>
        <w:pStyle w:val="Compact"/>
      </w:pPr>
      <w:r>
        <w:t xml:space="preserve">2018 · Dhatariya K ·</w:t>
      </w:r>
      <w:r>
        <w:t xml:space="preserve"> </w:t>
      </w:r>
      <w:r>
        <w:rPr>
          <w:iCs/>
          <w:i/>
        </w:rPr>
        <w:t xml:space="preserve">Diabetes Care</w:t>
      </w:r>
      <w:r>
        <w:t xml:space="preserve"> </w:t>
      </w:r>
      <w:r>
        <w:t xml:space="preserve">· The Impact of Liraglutide on Diabetes-Related Foot Ulceration and Associated Complications in Patients With Type 2 Diabetes at High Risk for Cardiovascular Events: Results From the LEADER Trial. PMID 30072400</w:t>
      </w:r>
    </w:p>
    <w:p>
      <w:pPr>
        <w:numPr>
          <w:ilvl w:val="0"/>
          <w:numId w:val="1377"/>
        </w:numPr>
        <w:pStyle w:val="Compact"/>
      </w:pPr>
      <w:r>
        <w:t xml:space="preserve">2018 · Hiramatsu T ·</w:t>
      </w:r>
      <w:r>
        <w:t xml:space="preserve"> </w:t>
      </w:r>
      <w:r>
        <w:rPr>
          <w:iCs/>
          <w:i/>
        </w:rPr>
        <w:t xml:space="preserve">Eur J Clin Invest</w:t>
      </w:r>
      <w:r>
        <w:t xml:space="preserve"> </w:t>
      </w:r>
      <w:r>
        <w:t xml:space="preserve">· Liraglutide relieves cardiac dilated function than DPP-4 inhibitors. PMID 30054920</w:t>
      </w:r>
    </w:p>
    <w:p>
      <w:pPr>
        <w:numPr>
          <w:ilvl w:val="0"/>
          <w:numId w:val="1377"/>
        </w:numPr>
        <w:pStyle w:val="Compact"/>
      </w:pPr>
      <w:r>
        <w:t xml:space="preserve">2018 · Lingvay I ·</w:t>
      </w:r>
      <w:r>
        <w:t xml:space="preserve"> </w:t>
      </w:r>
      <w:r>
        <w:rPr>
          <w:iCs/>
          <w:i/>
        </w:rPr>
        <w:t xml:space="preserve">Diabetes Care</w:t>
      </w:r>
      <w:r>
        <w:t xml:space="preserve"> </w:t>
      </w:r>
      <w:r>
        <w:t xml:space="preserve">· A 26-Week Randomized Controlled Trial of Semaglutide Once Daily Versus Liraglutide and Placebo in Patients With Type 2 Diabetes Suboptimally Controlled on Diet and Exercise With or Without Metformin. PMID 30026333</w:t>
      </w:r>
    </w:p>
    <w:p>
      <w:pPr>
        <w:numPr>
          <w:ilvl w:val="0"/>
          <w:numId w:val="1377"/>
        </w:numPr>
        <w:pStyle w:val="Compact"/>
      </w:pPr>
      <w:r>
        <w:t xml:space="preserve">2018 · Vergès B ·</w:t>
      </w:r>
      <w:r>
        <w:t xml:space="preserve"> </w:t>
      </w:r>
      <w:r>
        <w:rPr>
          <w:iCs/>
          <w:i/>
        </w:rPr>
        <w:t xml:space="preserve">Arterioscler Thromb Vasc Biol</w:t>
      </w:r>
      <w:r>
        <w:t xml:space="preserve"> </w:t>
      </w:r>
      <w:r>
        <w:t xml:space="preserve">· Liraglutide Reduces Postprandial Hyperlipidemia by Increasing ApoB48 (Apolipoprotein B48) Catabolism and by Reducing ApoB48 Production in Patients With Type 2 Diabetes Mellitus. PMID 30026275</w:t>
      </w:r>
    </w:p>
    <w:p>
      <w:pPr>
        <w:numPr>
          <w:ilvl w:val="0"/>
          <w:numId w:val="1377"/>
        </w:numPr>
        <w:pStyle w:val="Compact"/>
      </w:pPr>
      <w:r>
        <w:t xml:space="preserve">2018 · Mather KJ ·</w:t>
      </w:r>
      <w:r>
        <w:t xml:space="preserve"> </w:t>
      </w:r>
      <w:r>
        <w:rPr>
          <w:iCs/>
          <w:i/>
        </w:rPr>
        <w:t xml:space="preserve">J Clin Endocrinol Metab</w:t>
      </w:r>
      <w:r>
        <w:t xml:space="preserve"> </w:t>
      </w:r>
      <w:r>
        <w:t xml:space="preserve">· Combination GLP-1 and Insulin Treatment Fails to Alter Myocardial Fuel Selection vs. Insulin Alone in Type 2 Diabetes. PMID 30020461</w:t>
      </w:r>
    </w:p>
    <w:p>
      <w:pPr>
        <w:numPr>
          <w:ilvl w:val="0"/>
          <w:numId w:val="1377"/>
        </w:numPr>
        <w:pStyle w:val="Compact"/>
      </w:pPr>
      <w:r>
        <w:t xml:space="preserve">2018 · Liu J ·</w:t>
      </w:r>
      <w:r>
        <w:t xml:space="preserve"> </w:t>
      </w:r>
      <w:r>
        <w:rPr>
          <w:iCs/>
          <w:i/>
        </w:rPr>
        <w:t xml:space="preserve">Peptides</w:t>
      </w:r>
      <w:r>
        <w:t xml:space="preserve"> </w:t>
      </w:r>
      <w:r>
        <w:t xml:space="preserve">· GLP-1 receptor agonists stimulate ANGPTL8 production through the PI3K/Akt pathway in a GLP-1 receptor-dependent manner. PMID 30003931</w:t>
      </w:r>
    </w:p>
    <w:p>
      <w:pPr>
        <w:numPr>
          <w:ilvl w:val="0"/>
          <w:numId w:val="1377"/>
        </w:numPr>
        <w:pStyle w:val="Compact"/>
      </w:pPr>
      <w:r>
        <w:t xml:space="preserve">2018 · Nauck MA ·</w:t>
      </w:r>
      <w:r>
        <w:t xml:space="preserve"> </w:t>
      </w:r>
      <w:r>
        <w:rPr>
          <w:iCs/>
          <w:i/>
        </w:rPr>
        <w:t xml:space="preserve">Diab Vasc Dis Res</w:t>
      </w:r>
      <w:r>
        <w:t xml:space="preserve"> </w:t>
      </w:r>
      <w:r>
        <w:t xml:space="preserve">· Cardiovascular outcomes in patients who experienced a myocardial infarction while treated with liraglutide versus placebo in the LEADER trial. PMID 29947247</w:t>
      </w:r>
    </w:p>
    <w:p>
      <w:pPr>
        <w:numPr>
          <w:ilvl w:val="0"/>
          <w:numId w:val="1377"/>
        </w:numPr>
        <w:pStyle w:val="Compact"/>
      </w:pPr>
      <w:r>
        <w:t xml:space="preserve">2018 · Zinman B ·</w:t>
      </w:r>
      <w:r>
        <w:t xml:space="preserve"> </w:t>
      </w:r>
      <w:r>
        <w:rPr>
          <w:iCs/>
          <w:i/>
        </w:rPr>
        <w:t xml:space="preserve">Diabetes Care</w:t>
      </w:r>
      <w:r>
        <w:t xml:space="preserve"> </w:t>
      </w:r>
      <w:r>
        <w:t xml:space="preserve">· Hypoglycemia, Cardiovascular Outcomes, and Death: The LEADER Experience. PMID 29903847</w:t>
      </w:r>
    </w:p>
    <w:p>
      <w:pPr>
        <w:numPr>
          <w:ilvl w:val="0"/>
          <w:numId w:val="1377"/>
        </w:numPr>
        <w:pStyle w:val="Compact"/>
      </w:pPr>
      <w:r>
        <w:t xml:space="preserve">2018 · Nauck MA ·</w:t>
      </w:r>
      <w:r>
        <w:t xml:space="preserve"> </w:t>
      </w:r>
      <w:r>
        <w:rPr>
          <w:iCs/>
          <w:i/>
        </w:rPr>
        <w:t xml:space="preserve">Diabetes Care</w:t>
      </w:r>
      <w:r>
        <w:t xml:space="preserve"> </w:t>
      </w:r>
      <w:r>
        <w:t xml:space="preserve">· Neoplasms Reported With Liraglutide or Placebo in People With Type 2 Diabetes: Results From the LEADER Randomized Trial. PMID 29898902</w:t>
      </w:r>
    </w:p>
    <w:p>
      <w:pPr>
        <w:numPr>
          <w:ilvl w:val="0"/>
          <w:numId w:val="1377"/>
        </w:numPr>
        <w:pStyle w:val="Compact"/>
      </w:pPr>
      <w:r>
        <w:t xml:space="preserve">2018 · Nexøe-Larsen CC ·</w:t>
      </w:r>
      <w:r>
        <w:t xml:space="preserve"> </w:t>
      </w:r>
      <w:r>
        <w:rPr>
          <w:iCs/>
          <w:i/>
        </w:rPr>
        <w:t xml:space="preserve">Diabetes Obes Metab</w:t>
      </w:r>
      <w:r>
        <w:t xml:space="preserve"> </w:t>
      </w:r>
      <w:r>
        <w:t xml:space="preserve">· Effects of liraglutide on gallbladder emptying: A randomized, placebo-controlled trial in adults with overweight or obesity. PMID 29892986</w:t>
      </w:r>
    </w:p>
    <w:p>
      <w:pPr>
        <w:numPr>
          <w:ilvl w:val="0"/>
          <w:numId w:val="1377"/>
        </w:numPr>
        <w:pStyle w:val="Compact"/>
      </w:pPr>
      <w:r>
        <w:t xml:space="preserve">2018 · Iepsen EW ·</w:t>
      </w:r>
      <w:r>
        <w:t xml:space="preserve"> </w:t>
      </w:r>
      <w:r>
        <w:rPr>
          <w:iCs/>
          <w:i/>
        </w:rPr>
        <w:t xml:space="preserve">Cell Metab</w:t>
      </w:r>
      <w:r>
        <w:t xml:space="preserve"> </w:t>
      </w:r>
      <w:r>
        <w:t xml:space="preserve">· Patients with Obesity Caused by Melanocortin-4 Receptor Mutations Can Be Treated with a Glucagon-like Peptide-1 Receptor Agonist. PMID 29861388</w:t>
      </w:r>
    </w:p>
    <w:p>
      <w:pPr>
        <w:numPr>
          <w:ilvl w:val="0"/>
          <w:numId w:val="1377"/>
        </w:numPr>
        <w:pStyle w:val="Compact"/>
      </w:pPr>
      <w:r>
        <w:t xml:space="preserve">2018 · Verma S ·</w:t>
      </w:r>
      <w:r>
        <w:t xml:space="preserve"> </w:t>
      </w:r>
      <w:r>
        <w:rPr>
          <w:iCs/>
          <w:i/>
        </w:rPr>
        <w:t xml:space="preserve">Circulation</w:t>
      </w:r>
      <w:r>
        <w:t xml:space="preserve"> </w:t>
      </w:r>
      <w:r>
        <w:t xml:space="preserve">· Effect of Liraglutide on Cardiovascular Events in Patients With Type 2 Diabetes Mellitus and Polyvascular Disease: Results of the LEADER Trial. PMID 29760228</w:t>
      </w:r>
    </w:p>
    <w:p>
      <w:pPr>
        <w:numPr>
          <w:ilvl w:val="0"/>
          <w:numId w:val="1377"/>
        </w:numPr>
        <w:pStyle w:val="Compact"/>
      </w:pPr>
      <w:r>
        <w:t xml:space="preserve">2018 · Salamun V ·</w:t>
      </w:r>
      <w:r>
        <w:t xml:space="preserve"> </w:t>
      </w:r>
      <w:r>
        <w:rPr>
          <w:iCs/>
          <w:i/>
        </w:rPr>
        <w:t xml:space="preserve">Eur J Endocrinol</w:t>
      </w:r>
      <w:r>
        <w:t xml:space="preserve"> </w:t>
      </w:r>
      <w:r>
        <w:t xml:space="preserve">· Liraglutide increases IVF pregnancy rates in obese PCOS women with poor response to first-line reproductive treatments: a pilot randomized study. PMID 29703793</w:t>
      </w:r>
    </w:p>
    <w:p>
      <w:pPr>
        <w:numPr>
          <w:ilvl w:val="0"/>
          <w:numId w:val="1377"/>
        </w:numPr>
        <w:pStyle w:val="Compact"/>
      </w:pPr>
      <w:r>
        <w:t xml:space="preserve">2018 · Chen XM ·</w:t>
      </w:r>
      <w:r>
        <w:t xml:space="preserve"> </w:t>
      </w:r>
      <w:r>
        <w:rPr>
          <w:iCs/>
          <w:i/>
        </w:rPr>
        <w:t xml:space="preserve">Cardiovasc Diabetol</w:t>
      </w:r>
      <w:r>
        <w:t xml:space="preserve"> </w:t>
      </w:r>
      <w:r>
        <w:t xml:space="preserve">· Liraglutide suppresses non-esterified free fatty acids and soluble vascular cell adhesion molecule-1 compared with metformin in patients with recent-onset type 2 diabetes. PMID 29636047</w:t>
      </w:r>
    </w:p>
    <w:p>
      <w:pPr>
        <w:numPr>
          <w:ilvl w:val="0"/>
          <w:numId w:val="1377"/>
        </w:numPr>
        <w:pStyle w:val="Compact"/>
      </w:pPr>
      <w:r>
        <w:t xml:space="preserve">2018 · Martinez R ·</w:t>
      </w:r>
      <w:r>
        <w:t xml:space="preserve"> </w:t>
      </w:r>
      <w:r>
        <w:rPr>
          <w:iCs/>
          <w:i/>
        </w:rPr>
        <w:t xml:space="preserve">Diabetes</w:t>
      </w:r>
      <w:r>
        <w:t xml:space="preserve"> </w:t>
      </w:r>
      <w:r>
        <w:t xml:space="preserve">· Endogenous Glucose Production and Hormonal Changes in Response to Canagliflozin and Liraglutide Combination Therapy. PMID 29602791</w:t>
      </w:r>
    </w:p>
    <w:p>
      <w:pPr>
        <w:numPr>
          <w:ilvl w:val="0"/>
          <w:numId w:val="1377"/>
        </w:numPr>
        <w:pStyle w:val="Compact"/>
      </w:pPr>
      <w:r>
        <w:t xml:space="preserve">2018 · Yamamoto S ·</w:t>
      </w:r>
      <w:r>
        <w:t xml:space="preserve"> </w:t>
      </w:r>
      <w:r>
        <w:rPr>
          <w:iCs/>
          <w:i/>
        </w:rPr>
        <w:t xml:space="preserve">Diabetes Res Clin Pract</w:t>
      </w:r>
      <w:r>
        <w:t xml:space="preserve"> </w:t>
      </w:r>
      <w:r>
        <w:t xml:space="preserve">· Comparison of liraglutide plus basal insulin and basal-bolus insulin therapy (BBIT) for glycemic control, body weight stability, and treatment satisfaction in patients treated using BBIT for type 2 diabetes without severe insulin deficiency: A randomized prospective pilot study. PMID 29588170</w:t>
      </w:r>
    </w:p>
    <w:p>
      <w:pPr>
        <w:numPr>
          <w:ilvl w:val="0"/>
          <w:numId w:val="1377"/>
        </w:numPr>
        <w:pStyle w:val="Compact"/>
      </w:pPr>
      <w:r>
        <w:t xml:space="preserve">2018 · Shankar SS ·</w:t>
      </w:r>
      <w:r>
        <w:t xml:space="preserve"> </w:t>
      </w:r>
      <w:r>
        <w:rPr>
          <w:iCs/>
          <w:i/>
        </w:rPr>
        <w:t xml:space="preserve">Diabetes</w:t>
      </w:r>
      <w:r>
        <w:t xml:space="preserve"> </w:t>
      </w:r>
      <w:r>
        <w:t xml:space="preserve">· Native Oxyntomodulin Has Significant Glucoregulatory Effects Independent of Weight Loss in Obese Humans With and Without Type 2 Diabetes. PMID 29545266</w:t>
      </w:r>
    </w:p>
    <w:p>
      <w:pPr>
        <w:numPr>
          <w:ilvl w:val="0"/>
          <w:numId w:val="1377"/>
        </w:numPr>
        <w:pStyle w:val="Compact"/>
      </w:pPr>
      <w:r>
        <w:t xml:space="preserve">2018 · Chedid V ·</w:t>
      </w:r>
      <w:r>
        <w:t xml:space="preserve"> </w:t>
      </w:r>
      <w:r>
        <w:rPr>
          <w:iCs/>
          <w:i/>
        </w:rPr>
        <w:t xml:space="preserve">Neurogastroenterol Motil</w:t>
      </w:r>
      <w:r>
        <w:t xml:space="preserve"> </w:t>
      </w:r>
      <w:r>
        <w:t xml:space="preserve">· Allelic variant in the glucagon-like peptide 1 receptor gene associated with greater effect of liraglutide and exenatide on gastric emptying: A pilot pharmacogenetics study. PMID 29488276</w:t>
      </w:r>
    </w:p>
    <w:p>
      <w:pPr>
        <w:numPr>
          <w:ilvl w:val="0"/>
          <w:numId w:val="1377"/>
        </w:numPr>
        <w:pStyle w:val="Compact"/>
      </w:pPr>
      <w:r>
        <w:t xml:space="preserve">2018 · Billings LK ·</w:t>
      </w:r>
      <w:r>
        <w:t xml:space="preserve"> </w:t>
      </w:r>
      <w:r>
        <w:rPr>
          <w:iCs/>
          <w:i/>
        </w:rPr>
        <w:t xml:space="preserve">Diabetes Care</w:t>
      </w:r>
      <w:r>
        <w:t xml:space="preserve"> </w:t>
      </w:r>
      <w:r>
        <w:t xml:space="preserve">· Efficacy and Safety of IDegLira Versus Basal-Bolus Insulin Therapy in Patients With Type 2 Diabetes Uncontrolled on Metformin and Basal Insulin: The DUAL VII Randomized Clinical Trial. PMID 29483185</w:t>
      </w:r>
    </w:p>
    <w:p>
      <w:pPr>
        <w:numPr>
          <w:ilvl w:val="0"/>
          <w:numId w:val="1377"/>
        </w:numPr>
        <w:pStyle w:val="Compact"/>
      </w:pPr>
      <w:r>
        <w:t xml:space="preserve">2018 · Kaneko M ·</w:t>
      </w:r>
      <w:r>
        <w:t xml:space="preserve"> </w:t>
      </w:r>
      <w:r>
        <w:rPr>
          <w:iCs/>
          <w:i/>
        </w:rPr>
        <w:t xml:space="preserve">Ann Pharmacother</w:t>
      </w:r>
      <w:r>
        <w:t xml:space="preserve"> </w:t>
      </w:r>
      <w:r>
        <w:t xml:space="preserve">· Assessment of Cardiovascular Risk With Glucagon-Like Peptide 1 Receptor Agonists in Patients With Type 2 Diabetes Using an Alternative Measure to the Hazard Ratio. PMID 29424239</w:t>
      </w:r>
    </w:p>
    <w:p>
      <w:pPr>
        <w:numPr>
          <w:ilvl w:val="0"/>
          <w:numId w:val="1377"/>
        </w:numPr>
        <w:pStyle w:val="Compact"/>
      </w:pPr>
      <w:r>
        <w:t xml:space="preserve">2018 · Capristo E ·</w:t>
      </w:r>
      <w:r>
        <w:t xml:space="preserve"> </w:t>
      </w:r>
      <w:r>
        <w:rPr>
          <w:iCs/>
          <w:i/>
        </w:rPr>
        <w:t xml:space="preserve">Diabetes Metab</w:t>
      </w:r>
      <w:r>
        <w:t xml:space="preserve"> </w:t>
      </w:r>
      <w:r>
        <w:t xml:space="preserve">· Intensive lifestyle modifications with or without liraglutide 3mg vs. sleeve gastrectomy: A three-arm non-randomised, controlled, pilot study. PMID 29398254</w:t>
      </w:r>
    </w:p>
    <w:p>
      <w:pPr>
        <w:numPr>
          <w:ilvl w:val="0"/>
          <w:numId w:val="1377"/>
        </w:numPr>
        <w:pStyle w:val="Compact"/>
      </w:pPr>
      <w:r>
        <w:t xml:space="preserve">2018 · Tonneijck L ·</w:t>
      </w:r>
      <w:r>
        <w:t xml:space="preserve"> </w:t>
      </w:r>
      <w:r>
        <w:rPr>
          <w:iCs/>
          <w:i/>
        </w:rPr>
        <w:t xml:space="preserve">Diabetes Obes Metab</w:t>
      </w:r>
      <w:r>
        <w:t xml:space="preserve"> </w:t>
      </w:r>
      <w:r>
        <w:t xml:space="preserve">· Effect of immediate and prolonged GLP-1 receptor agonist administration on uric acid and kidney clearance: Post-hoc analyses of four clinical trials. PMID 29341461</w:t>
      </w:r>
    </w:p>
    <w:p>
      <w:pPr>
        <w:numPr>
          <w:ilvl w:val="0"/>
          <w:numId w:val="1377"/>
        </w:numPr>
        <w:pStyle w:val="Compact"/>
      </w:pPr>
      <w:r>
        <w:t xml:space="preserve">2018 · Lambadiari V ·</w:t>
      </w:r>
      <w:r>
        <w:t xml:space="preserve"> </w:t>
      </w:r>
      <w:r>
        <w:rPr>
          <w:iCs/>
          <w:i/>
        </w:rPr>
        <w:t xml:space="preserve">Cardiovasc Diabetol</w:t>
      </w:r>
      <w:r>
        <w:t xml:space="preserve"> </w:t>
      </w:r>
      <w:r>
        <w:t xml:space="preserve">· Effects of 6-month treatment with the glucagon like peptide-1 analogue liraglutide on arterial stiffness, left ventricular myocardial deformation and oxidative stress in subjects with newly diagnosed type 2 diabetes. PMID 29310645</w:t>
      </w:r>
    </w:p>
    <w:p>
      <w:pPr>
        <w:numPr>
          <w:ilvl w:val="0"/>
          <w:numId w:val="1377"/>
        </w:numPr>
        <w:pStyle w:val="Compact"/>
      </w:pPr>
      <w:r>
        <w:t xml:space="preserve">2018 · Hegedüs L ·</w:t>
      </w:r>
      <w:r>
        <w:t xml:space="preserve"> </w:t>
      </w:r>
      <w:r>
        <w:rPr>
          <w:iCs/>
          <w:i/>
        </w:rPr>
        <w:t xml:space="preserve">Diabetes Care</w:t>
      </w:r>
      <w:r>
        <w:t xml:space="preserve"> </w:t>
      </w:r>
      <w:r>
        <w:t xml:space="preserve">· No Evidence of Increase in Calcitonin Concentrations or Development of C-Cell Malignancy in Response to Liraglutide for Up to 5 Years in the LEADER Trial. PMID 29279300</w:t>
      </w:r>
    </w:p>
    <w:p>
      <w:pPr>
        <w:numPr>
          <w:ilvl w:val="0"/>
          <w:numId w:val="1377"/>
        </w:numPr>
        <w:pStyle w:val="Compact"/>
      </w:pPr>
      <w:r>
        <w:t xml:space="preserve">2018 · Kaneko S ·</w:t>
      </w:r>
      <w:r>
        <w:t xml:space="preserve"> </w:t>
      </w:r>
      <w:r>
        <w:rPr>
          <w:iCs/>
          <w:i/>
        </w:rPr>
        <w:t xml:space="preserve">J Diabetes Investig</w:t>
      </w:r>
      <w:r>
        <w:t xml:space="preserve"> </w:t>
      </w:r>
      <w:r>
        <w:t xml:space="preserve">· Efficacy and safety of adding liraglutide to existing insulin regimens in Japanese patients with type 2 diabetes mellitus: A post-hoc analysis of a phase 3 randomized clinical trial. PMID 29277968</w:t>
      </w:r>
    </w:p>
    <w:p>
      <w:pPr>
        <w:numPr>
          <w:ilvl w:val="0"/>
          <w:numId w:val="1377"/>
        </w:numPr>
        <w:pStyle w:val="Compact"/>
      </w:pPr>
      <w:r>
        <w:t xml:space="preserve">2018 · Polderman JAW ·</w:t>
      </w:r>
      <w:r>
        <w:t xml:space="preserve"> </w:t>
      </w:r>
      <w:r>
        <w:rPr>
          <w:iCs/>
          <w:i/>
        </w:rPr>
        <w:t xml:space="preserve">Anaesthesia</w:t>
      </w:r>
      <w:r>
        <w:t xml:space="preserve"> </w:t>
      </w:r>
      <w:r>
        <w:t xml:space="preserve">· Peri-operative management of patients with type-2 diabetes mellitus undergoing non-cardiac surgery using liraglutide, glucose-insulin-potassium infusion or intravenous insulin bolus regimens: a randomised controlled trial. PMID 29230803</w:t>
      </w:r>
    </w:p>
    <w:p>
      <w:pPr>
        <w:numPr>
          <w:ilvl w:val="0"/>
          <w:numId w:val="1377"/>
        </w:numPr>
        <w:pStyle w:val="Compact"/>
      </w:pPr>
      <w:r>
        <w:t xml:space="preserve">2018 · Galderisi A ·</w:t>
      </w:r>
      <w:r>
        <w:t xml:space="preserve"> </w:t>
      </w:r>
      <w:r>
        <w:rPr>
          <w:iCs/>
          <w:i/>
        </w:rPr>
        <w:t xml:space="preserve">J Clin Endocrinol Metab</w:t>
      </w:r>
      <w:r>
        <w:t xml:space="preserve"> </w:t>
      </w:r>
      <w:r>
        <w:t xml:space="preserve">· Pramlintide but Not Liraglutide Suppresses Meal-Stimulated Glucagon Responses in Type 1 Diabetes. PMID 29211871</w:t>
      </w:r>
    </w:p>
    <w:p>
      <w:pPr>
        <w:numPr>
          <w:ilvl w:val="0"/>
          <w:numId w:val="1377"/>
        </w:numPr>
        <w:pStyle w:val="Compact"/>
      </w:pPr>
      <w:r>
        <w:t xml:space="preserve">2018 · Tran S ·</w:t>
      </w:r>
      <w:r>
        <w:t xml:space="preserve"> </w:t>
      </w:r>
      <w:r>
        <w:rPr>
          <w:iCs/>
          <w:i/>
        </w:rPr>
        <w:t xml:space="preserve">Am J Physiol Endocrinol Metab</w:t>
      </w:r>
      <w:r>
        <w:t xml:space="preserve"> </w:t>
      </w:r>
      <w:r>
        <w:t xml:space="preserve">· Effect of chronic liraglutide therapy and its withdrawal on time to postchallenge peak glucose in type 2 diabetes. PMID 29183873</w:t>
      </w:r>
    </w:p>
    <w:p>
      <w:pPr>
        <w:numPr>
          <w:ilvl w:val="0"/>
          <w:numId w:val="1377"/>
        </w:numPr>
        <w:pStyle w:val="Compact"/>
      </w:pPr>
      <w:r>
        <w:t xml:space="preserve">2018 · Evans M ·</w:t>
      </w:r>
      <w:r>
        <w:t xml:space="preserve"> </w:t>
      </w:r>
      <w:r>
        <w:rPr>
          <w:iCs/>
          <w:i/>
        </w:rPr>
        <w:t xml:space="preserve">J Med Econ</w:t>
      </w:r>
      <w:r>
        <w:t xml:space="preserve"> </w:t>
      </w:r>
      <w:r>
        <w:t xml:space="preserve">· An indirect treatment comparison of the efficacy of insulin degludec/liraglutide (IDegLira) and insulin glargine/lixisenatide (iGlarLixi) in patients with type 2 diabetes uncontrolled on basal insulin. PMID 29164973</w:t>
      </w:r>
    </w:p>
    <w:p>
      <w:pPr>
        <w:numPr>
          <w:ilvl w:val="0"/>
          <w:numId w:val="1377"/>
        </w:numPr>
        <w:pStyle w:val="Compact"/>
      </w:pPr>
      <w:r>
        <w:t xml:space="preserve">2018 · Tzanetakos C ·</w:t>
      </w:r>
      <w:r>
        <w:t xml:space="preserve"> </w:t>
      </w:r>
      <w:r>
        <w:rPr>
          <w:iCs/>
          <w:i/>
        </w:rPr>
        <w:t xml:space="preserve">Clin Drug Investig</w:t>
      </w:r>
      <w:r>
        <w:t xml:space="preserve"> </w:t>
      </w:r>
      <w:r>
        <w:t xml:space="preserve">· Cost Effectiveness of Exenatide Once Weekly Versus Insulin Glargine and Liraglutide for the Treatment of Type 2 Diabetes Mellitus in Greece. PMID 29080210</w:t>
      </w:r>
    </w:p>
    <w:p>
      <w:pPr>
        <w:numPr>
          <w:ilvl w:val="0"/>
          <w:numId w:val="1377"/>
        </w:numPr>
        <w:pStyle w:val="Compact"/>
      </w:pPr>
      <w:r>
        <w:t xml:space="preserve">2018 · Kolotkin RL ·</w:t>
      </w:r>
      <w:r>
        <w:t xml:space="preserve"> </w:t>
      </w:r>
      <w:r>
        <w:rPr>
          <w:iCs/>
          <w:i/>
        </w:rPr>
        <w:t xml:space="preserve">Clin Obes</w:t>
      </w:r>
      <w:r>
        <w:t xml:space="preserve"> </w:t>
      </w:r>
      <w:r>
        <w:t xml:space="preserve">· Improvements in health-related quality of life over 3 years with liraglutide 3.0 mg compared with placebo in participants with overweight or obesity. PMID 29045079</w:t>
      </w:r>
    </w:p>
    <w:p>
      <w:pPr>
        <w:numPr>
          <w:ilvl w:val="0"/>
          <w:numId w:val="1377"/>
        </w:numPr>
        <w:pStyle w:val="Compact"/>
      </w:pPr>
      <w:r>
        <w:t xml:space="preserve">2018 · Kiyosue A ·</w:t>
      </w:r>
      <w:r>
        <w:t xml:space="preserve"> </w:t>
      </w:r>
      <w:r>
        <w:rPr>
          <w:iCs/>
          <w:i/>
        </w:rPr>
        <w:t xml:space="preserve">J Diabetes Investig</w:t>
      </w:r>
      <w:r>
        <w:t xml:space="preserve"> </w:t>
      </w:r>
      <w:r>
        <w:t xml:space="preserve">· Safety and efficacy of the combination of the glucagon-like peptide-1 receptor agonist liraglutide with an oral antidiabetic drug in Japanese patients with type 2 diabetes: Post-hoc analysis of a randomized, 52-week, open-label, parallel-group trial. PMID 28984041</w:t>
      </w:r>
    </w:p>
    <w:p>
      <w:pPr>
        <w:numPr>
          <w:ilvl w:val="0"/>
          <w:numId w:val="1377"/>
        </w:numPr>
        <w:pStyle w:val="Compact"/>
      </w:pPr>
      <w:r>
        <w:t xml:space="preserve">2018 · Dubé MC ·</w:t>
      </w:r>
      <w:r>
        <w:t xml:space="preserve"> </w:t>
      </w:r>
      <w:r>
        <w:rPr>
          <w:iCs/>
          <w:i/>
        </w:rPr>
        <w:t xml:space="preserve">Diabetes Obes Metab</w:t>
      </w:r>
      <w:r>
        <w:t xml:space="preserve"> </w:t>
      </w:r>
      <w:r>
        <w:t xml:space="preserve">· Beyond glycaemic control: A cross-over, double-blinded, 24-week intervention with liraglutide in type 1 diabetes. PMID 28722271</w:t>
      </w:r>
    </w:p>
    <w:p>
      <w:pPr>
        <w:numPr>
          <w:ilvl w:val="0"/>
          <w:numId w:val="1377"/>
        </w:numPr>
        <w:pStyle w:val="Compact"/>
      </w:pPr>
      <w:r>
        <w:t xml:space="preserve">2018 · Frøssing S ·</w:t>
      </w:r>
      <w:r>
        <w:t xml:space="preserve"> </w:t>
      </w:r>
      <w:r>
        <w:rPr>
          <w:iCs/>
          <w:i/>
        </w:rPr>
        <w:t xml:space="preserve">Diabetes Obes Metab</w:t>
      </w:r>
      <w:r>
        <w:t xml:space="preserve"> </w:t>
      </w:r>
      <w:r>
        <w:t xml:space="preserve">· Effect of liraglutide on ectopic fat in polycystic ovary syndrome: A randomized clinical trial. PMID 28681988</w:t>
      </w:r>
    </w:p>
    <w:p>
      <w:pPr>
        <w:numPr>
          <w:ilvl w:val="0"/>
          <w:numId w:val="1377"/>
        </w:numPr>
        <w:pStyle w:val="Compact"/>
      </w:pPr>
      <w:r>
        <w:t xml:space="preserve">2018 · Lingvay I ·</w:t>
      </w:r>
      <w:r>
        <w:t xml:space="preserve"> </w:t>
      </w:r>
      <w:r>
        <w:rPr>
          <w:iCs/>
          <w:i/>
        </w:rPr>
        <w:t xml:space="preserve">Diabetes Obes Metab</w:t>
      </w:r>
      <w:r>
        <w:t xml:space="preserve"> </w:t>
      </w:r>
      <w:r>
        <w:t xml:space="preserve">· Insulin degludec/liraglutide (IDegLira) was effective across a range of dysglycaemia and body mass index categories in the DUAL V randomized trial. PMID 28643425</w:t>
      </w:r>
    </w:p>
    <w:p>
      <w:pPr>
        <w:numPr>
          <w:ilvl w:val="0"/>
          <w:numId w:val="1377"/>
        </w:numPr>
        <w:pStyle w:val="Compact"/>
      </w:pPr>
      <w:r>
        <w:t xml:space="preserve">2018 · Koska J ·</w:t>
      </w:r>
      <w:r>
        <w:t xml:space="preserve"> </w:t>
      </w:r>
      <w:r>
        <w:rPr>
          <w:iCs/>
          <w:i/>
        </w:rPr>
        <w:t xml:space="preserve">Diabetes Obes Metab</w:t>
      </w:r>
      <w:r>
        <w:t xml:space="preserve"> </w:t>
      </w:r>
      <w:r>
        <w:t xml:space="preserve">· Effect of liraglutide on dietary lipid-induced insulin resistance in humans. PMID 28605158</w:t>
      </w:r>
    </w:p>
    <w:p>
      <w:pPr>
        <w:numPr>
          <w:ilvl w:val="0"/>
          <w:numId w:val="1377"/>
        </w:numPr>
        <w:pStyle w:val="Compact"/>
      </w:pPr>
      <w:r>
        <w:t xml:space="preserve">2018 · Seino Y ·</w:t>
      </w:r>
      <w:r>
        <w:t xml:space="preserve"> </w:t>
      </w:r>
      <w:r>
        <w:rPr>
          <w:iCs/>
          <w:i/>
        </w:rPr>
        <w:t xml:space="preserve">J Diabetes Investig</w:t>
      </w:r>
      <w:r>
        <w:t xml:space="preserve"> </w:t>
      </w:r>
      <w:r>
        <w:t xml:space="preserve">· Sodium-glucose cotransporter-2 inhibitor luseogliflozin added to glucagon-like peptide 1 receptor agonist liraglutide improves glycemic control with bodyweight and fat mass reductions in Japanese patients with type 2 diabetes: A 52-week, open-label, single-arm study. PMID 28502112</w:t>
      </w:r>
    </w:p>
    <w:p>
      <w:pPr>
        <w:numPr>
          <w:ilvl w:val="0"/>
          <w:numId w:val="1377"/>
        </w:numPr>
        <w:pStyle w:val="Compact"/>
      </w:pPr>
      <w:r>
        <w:t xml:space="preserve">2017 · Gejl M ·</w:t>
      </w:r>
      <w:r>
        <w:t xml:space="preserve"> </w:t>
      </w:r>
      <w:r>
        <w:rPr>
          <w:iCs/>
          <w:i/>
        </w:rPr>
        <w:t xml:space="preserve">Sci Rep</w:t>
      </w:r>
      <w:r>
        <w:t xml:space="preserve"> </w:t>
      </w:r>
      <w:r>
        <w:t xml:space="preserve">· Blood-Brain Glucose Transfer in Alzheimer’s disease: Effect of GLP-1 Analog Treatment. PMID 29235507</w:t>
      </w:r>
    </w:p>
    <w:p>
      <w:pPr>
        <w:numPr>
          <w:ilvl w:val="0"/>
          <w:numId w:val="1377"/>
        </w:numPr>
        <w:pStyle w:val="Compact"/>
      </w:pPr>
      <w:r>
        <w:t xml:space="preserve">2017 · le Roux C ·</w:t>
      </w:r>
      <w:r>
        <w:t xml:space="preserve"> </w:t>
      </w:r>
      <w:r>
        <w:rPr>
          <w:iCs/>
          <w:i/>
        </w:rPr>
        <w:t xml:space="preserve">Obes Facts</w:t>
      </w:r>
      <w:r>
        <w:t xml:space="preserve"> </w:t>
      </w:r>
      <w:r>
        <w:t xml:space="preserve">· Comparison of Efficacy and Safety of Liraglutide 3.0 mg in Individuals with BMI above and below 35 kg/m²: A Post-hoc Analysis. PMID 29145215</w:t>
      </w:r>
    </w:p>
    <w:p>
      <w:pPr>
        <w:numPr>
          <w:ilvl w:val="0"/>
          <w:numId w:val="1377"/>
        </w:numPr>
        <w:pStyle w:val="Compact"/>
      </w:pPr>
      <w:r>
        <w:t xml:space="preserve">2017 · Davidson JA ·</w:t>
      </w:r>
      <w:r>
        <w:t xml:space="preserve"> </w:t>
      </w:r>
      <w:r>
        <w:rPr>
          <w:iCs/>
          <w:i/>
        </w:rPr>
        <w:t xml:space="preserve">Postgrad Med</w:t>
      </w:r>
      <w:r>
        <w:t xml:space="preserve"> </w:t>
      </w:r>
      <w:r>
        <w:t xml:space="preserve">· Albiglutide efficacy and safety in the Latino/Hispanic subpopulation for the integrated phase III program. PMID 29083275</w:t>
      </w:r>
    </w:p>
    <w:p>
      <w:pPr>
        <w:numPr>
          <w:ilvl w:val="0"/>
          <w:numId w:val="1377"/>
        </w:numPr>
        <w:pStyle w:val="Compact"/>
      </w:pPr>
      <w:r>
        <w:t xml:space="preserve">2017 · Ferjan S ·</w:t>
      </w:r>
      <w:r>
        <w:t xml:space="preserve"> </w:t>
      </w:r>
      <w:r>
        <w:rPr>
          <w:iCs/>
          <w:i/>
        </w:rPr>
        <w:t xml:space="preserve">Metab Syndr Relat Disord</w:t>
      </w:r>
      <w:r>
        <w:t xml:space="preserve"> </w:t>
      </w:r>
      <w:r>
        <w:t xml:space="preserve">· Dipeptidyl Peptidase-4 Inhibitor Sitagliptin Prevented Weight Regain in Obese Women with Polycystic Ovary Syndrome Previously Treated with Liraglutide: A Pilot Randomized Study. PMID 29064743</w:t>
      </w:r>
    </w:p>
    <w:p>
      <w:pPr>
        <w:numPr>
          <w:ilvl w:val="0"/>
          <w:numId w:val="1377"/>
        </w:numPr>
        <w:pStyle w:val="Compact"/>
      </w:pPr>
      <w:r>
        <w:t xml:space="preserve">2017 · Halawi H ·</w:t>
      </w:r>
      <w:r>
        <w:t xml:space="preserve"> </w:t>
      </w:r>
      <w:r>
        <w:rPr>
          <w:iCs/>
          <w:i/>
        </w:rPr>
        <w:t xml:space="preserve">Lancet Gastroenterol Hepatol</w:t>
      </w:r>
      <w:r>
        <w:t xml:space="preserve"> </w:t>
      </w:r>
      <w:r>
        <w:t xml:space="preserve">· Effects of liraglutide on weight, satiation, and gastric functions in obesity: a randomised, placebo-controlled pilot trial. PMID 28958851</w:t>
      </w:r>
    </w:p>
    <w:p>
      <w:pPr>
        <w:numPr>
          <w:ilvl w:val="0"/>
          <w:numId w:val="1377"/>
        </w:numPr>
        <w:pStyle w:val="Compact"/>
      </w:pPr>
      <w:r>
        <w:t xml:space="preserve">2017 · de Wit HM ·</w:t>
      </w:r>
      <w:r>
        <w:t xml:space="preserve"> </w:t>
      </w:r>
      <w:r>
        <w:rPr>
          <w:iCs/>
          <w:i/>
        </w:rPr>
        <w:t xml:space="preserve">Neth J Med</w:t>
      </w:r>
      <w:r>
        <w:t xml:space="preserve"> </w:t>
      </w:r>
      <w:r>
        <w:t xml:space="preserve">· A cost-controlling treatment strategy of adding liraglutide to insulin in type 2 diabetes. PMID 28956786</w:t>
      </w:r>
    </w:p>
    <w:p>
      <w:pPr>
        <w:numPr>
          <w:ilvl w:val="0"/>
          <w:numId w:val="1377"/>
        </w:numPr>
        <w:pStyle w:val="Compact"/>
      </w:pPr>
      <w:r>
        <w:t xml:space="preserve">2017 · Santilli F ·</w:t>
      </w:r>
      <w:r>
        <w:t xml:space="preserve"> </w:t>
      </w:r>
      <w:r>
        <w:rPr>
          <w:iCs/>
          <w:i/>
        </w:rPr>
        <w:t xml:space="preserve">Diabetes Care</w:t>
      </w:r>
      <w:r>
        <w:t xml:space="preserve"> </w:t>
      </w:r>
      <w:r>
        <w:t xml:space="preserve">· Effects of Liraglutide on Weight Loss, Fat Distribution, and β-Cell Function in Obese Subjects With Prediabetes or Early Type 2 Diabetes. PMID 28912305</w:t>
      </w:r>
    </w:p>
    <w:p>
      <w:pPr>
        <w:numPr>
          <w:ilvl w:val="0"/>
          <w:numId w:val="1377"/>
        </w:numPr>
        <w:pStyle w:val="Compact"/>
      </w:pPr>
      <w:r>
        <w:t xml:space="preserve">2017 · Mann JFE ·</w:t>
      </w:r>
      <w:r>
        <w:t xml:space="preserve"> </w:t>
      </w:r>
      <w:r>
        <w:rPr>
          <w:iCs/>
          <w:i/>
        </w:rPr>
        <w:t xml:space="preserve">N Engl J Med</w:t>
      </w:r>
      <w:r>
        <w:t xml:space="preserve"> </w:t>
      </w:r>
      <w:r>
        <w:t xml:space="preserve">· Liraglutide and Renal Outcomes in Type 2 Diabetes. PMID 28854085</w:t>
      </w:r>
    </w:p>
    <w:p>
      <w:pPr>
        <w:numPr>
          <w:ilvl w:val="0"/>
          <w:numId w:val="1377"/>
        </w:numPr>
        <w:pStyle w:val="Compact"/>
      </w:pPr>
      <w:r>
        <w:t xml:space="preserve">2017 · Frias JP ·</w:t>
      </w:r>
      <w:r>
        <w:t xml:space="preserve"> </w:t>
      </w:r>
      <w:r>
        <w:rPr>
          <w:iCs/>
          <w:i/>
        </w:rPr>
        <w:t xml:space="preserve">Cell Metab</w:t>
      </w:r>
      <w:r>
        <w:t xml:space="preserve"> </w:t>
      </w:r>
      <w:r>
        <w:t xml:space="preserve">· The Sustained Effects of a Dual GIP/GLP-1 Receptor Agonist, NNC0090-2746, in Patients with Type 2 Diabetes. PMID 28768173</w:t>
      </w:r>
    </w:p>
    <w:p>
      <w:pPr>
        <w:numPr>
          <w:ilvl w:val="0"/>
          <w:numId w:val="1377"/>
        </w:numPr>
        <w:pStyle w:val="Compact"/>
      </w:pPr>
      <w:r>
        <w:t xml:space="preserve">2017 · Hunt B ·</w:t>
      </w:r>
      <w:r>
        <w:t xml:space="preserve"> </w:t>
      </w:r>
      <w:r>
        <w:rPr>
          <w:iCs/>
          <w:i/>
        </w:rPr>
        <w:t xml:space="preserve">Clin Ther</w:t>
      </w:r>
      <w:r>
        <w:t xml:space="preserve"> </w:t>
      </w:r>
      <w:r>
        <w:t xml:space="preserve">· Long-term Cost-effectiveness of Two GLP-1 Receptor Agonists for the Treatment of Type 2 Diabetes Mellitus in the Italian Setting: Liraglutide Versus Lixisenatide. PMID 28625506</w:t>
      </w:r>
    </w:p>
    <w:p>
      <w:pPr>
        <w:numPr>
          <w:ilvl w:val="0"/>
          <w:numId w:val="1377"/>
        </w:numPr>
        <w:pStyle w:val="Compact"/>
      </w:pPr>
      <w:r>
        <w:t xml:space="preserve">2017 · Pokala N ·</w:t>
      </w:r>
      <w:r>
        <w:t xml:space="preserve"> </w:t>
      </w:r>
      <w:r>
        <w:rPr>
          <w:iCs/>
          <w:i/>
        </w:rPr>
        <w:t xml:space="preserve">Diabetes Obes Metab</w:t>
      </w:r>
      <w:r>
        <w:t xml:space="preserve"> </w:t>
      </w:r>
      <w:r>
        <w:t xml:space="preserve">· The effect of baseline characteristics on clinical efficacy of liraglutide in patients treated with high-dose insulin. PMID 28608447</w:t>
      </w:r>
    </w:p>
    <w:p>
      <w:pPr>
        <w:numPr>
          <w:ilvl w:val="0"/>
          <w:numId w:val="1377"/>
        </w:numPr>
        <w:pStyle w:val="Compact"/>
      </w:pPr>
      <w:r>
        <w:t xml:space="preserve">2017 · Suzuki S ·</w:t>
      </w:r>
      <w:r>
        <w:t xml:space="preserve"> </w:t>
      </w:r>
      <w:r>
        <w:rPr>
          <w:iCs/>
          <w:i/>
        </w:rPr>
        <w:t xml:space="preserve">Health Qual Life Outcomes</w:t>
      </w:r>
      <w:r>
        <w:t xml:space="preserve"> </w:t>
      </w:r>
      <w:r>
        <w:t xml:space="preserve">· Evaluation of the impact of once weekly dulaglutide on patient-reported outcomes in Japanese patients with type 2 diabetes: comparisons with liraglutide, insulin glargine, and placebo in two randomized studies. PMID 28606095</w:t>
      </w:r>
    </w:p>
    <w:p>
      <w:pPr>
        <w:numPr>
          <w:ilvl w:val="0"/>
          <w:numId w:val="1377"/>
        </w:numPr>
        <w:pStyle w:val="Compact"/>
      </w:pPr>
      <w:r>
        <w:t xml:space="preserve">2017 · Larsen JR ·</w:t>
      </w:r>
      <w:r>
        <w:t xml:space="preserve"> </w:t>
      </w:r>
      <w:r>
        <w:rPr>
          <w:iCs/>
          <w:i/>
        </w:rPr>
        <w:t xml:space="preserve">JAMA Psychiatry</w:t>
      </w:r>
      <w:r>
        <w:t xml:space="preserve"> </w:t>
      </w:r>
      <w:r>
        <w:t xml:space="preserve">· Effect of Liraglutide Treatment on Prediabetes and Overweight or Obesity in Clozapine- or Olanzapine-Treated Patients With Schizophrenia Spectrum Disorder: A Randomized Clinical Trial. PMID 28601891</w:t>
      </w:r>
    </w:p>
    <w:p>
      <w:pPr>
        <w:numPr>
          <w:ilvl w:val="0"/>
          <w:numId w:val="1377"/>
        </w:numPr>
        <w:pStyle w:val="Compact"/>
      </w:pPr>
      <w:r>
        <w:t xml:space="preserve">2017 · Khoo J ·</w:t>
      </w:r>
      <w:r>
        <w:t xml:space="preserve"> </w:t>
      </w:r>
      <w:r>
        <w:rPr>
          <w:iCs/>
          <w:i/>
        </w:rPr>
        <w:t xml:space="preserve">Diabetes Obes Metab</w:t>
      </w:r>
      <w:r>
        <w:t xml:space="preserve"> </w:t>
      </w:r>
      <w:r>
        <w:t xml:space="preserve">· Comparative effects of liraglutide 3 mg vs structured lifestyle modification on body weight, liver fat and liver function in obese patients with non-alcoholic fatty liver disease: A pilot randomized trial. PMID 28503750</w:t>
      </w:r>
    </w:p>
    <w:p>
      <w:pPr>
        <w:numPr>
          <w:ilvl w:val="0"/>
          <w:numId w:val="1377"/>
        </w:numPr>
        <w:pStyle w:val="Compact"/>
      </w:pPr>
      <w:r>
        <w:t xml:space="preserve">2017 · Nylander M ·</w:t>
      </w:r>
      <w:r>
        <w:t xml:space="preserve"> </w:t>
      </w:r>
      <w:r>
        <w:rPr>
          <w:iCs/>
          <w:i/>
        </w:rPr>
        <w:t xml:space="preserve">Reprod Biomed Online</w:t>
      </w:r>
      <w:r>
        <w:t xml:space="preserve"> </w:t>
      </w:r>
      <w:r>
        <w:t xml:space="preserve">· Effects of liraglutide on ovarian dysfunction in polycystic ovary syndrome: a randomized clinical trial. PMID 28479118</w:t>
      </w:r>
    </w:p>
    <w:p>
      <w:pPr>
        <w:numPr>
          <w:ilvl w:val="0"/>
          <w:numId w:val="1377"/>
        </w:numPr>
        <w:pStyle w:val="Compact"/>
      </w:pPr>
      <w:r>
        <w:t xml:space="preserve">2017 · Steinberg WM ·</w:t>
      </w:r>
      <w:r>
        <w:t xml:space="preserve"> </w:t>
      </w:r>
      <w:r>
        <w:rPr>
          <w:iCs/>
          <w:i/>
        </w:rPr>
        <w:t xml:space="preserve">Diabetes Care</w:t>
      </w:r>
      <w:r>
        <w:t xml:space="preserve"> </w:t>
      </w:r>
      <w:r>
        <w:t xml:space="preserve">· Amylase, Lipase, and Acute Pancreatitis in People With Type 2 Diabetes Treated With Liraglutide: Results From the LEADER Randomized Trial. PMID 28476871</w:t>
      </w:r>
    </w:p>
    <w:p>
      <w:pPr>
        <w:numPr>
          <w:ilvl w:val="0"/>
          <w:numId w:val="1377"/>
        </w:numPr>
        <w:pStyle w:val="Compact"/>
      </w:pPr>
      <w:r>
        <w:t xml:space="preserve">2017 · von Scholten BJ ·</w:t>
      </w:r>
      <w:r>
        <w:t xml:space="preserve"> </w:t>
      </w:r>
      <w:r>
        <w:rPr>
          <w:iCs/>
          <w:i/>
        </w:rPr>
        <w:t xml:space="preserve">J Diabetes Complications</w:t>
      </w:r>
      <w:r>
        <w:t xml:space="preserve"> </w:t>
      </w:r>
      <w:r>
        <w:t xml:space="preserve">· Effect of weight reductions on estimated kidney function: Post-hoc analysis of two randomized trials. PMID 28462892</w:t>
      </w:r>
    </w:p>
    <w:p>
      <w:pPr>
        <w:numPr>
          <w:ilvl w:val="0"/>
          <w:numId w:val="1377"/>
        </w:numPr>
        <w:pStyle w:val="Compact"/>
      </w:pPr>
      <w:r>
        <w:t xml:space="preserve">2017 · Sedman T ·</w:t>
      </w:r>
      <w:r>
        <w:t xml:space="preserve"> </w:t>
      </w:r>
      <w:r>
        <w:rPr>
          <w:iCs/>
          <w:i/>
        </w:rPr>
        <w:t xml:space="preserve">J Clin Endocrinol Metab</w:t>
      </w:r>
      <w:r>
        <w:t xml:space="preserve"> </w:t>
      </w:r>
      <w:r>
        <w:t xml:space="preserve">· Tolerance Does Not Develop Toward Liraglutide’s Glucose-Lowering Effect. PMID 28379427</w:t>
      </w:r>
    </w:p>
    <w:p>
      <w:pPr>
        <w:numPr>
          <w:ilvl w:val="0"/>
          <w:numId w:val="1377"/>
        </w:numPr>
        <w:pStyle w:val="Compact"/>
      </w:pPr>
      <w:r>
        <w:t xml:space="preserve">2017 · Onishi Y ·</w:t>
      </w:r>
      <w:r>
        <w:t xml:space="preserve"> </w:t>
      </w:r>
      <w:r>
        <w:rPr>
          <w:iCs/>
          <w:i/>
        </w:rPr>
        <w:t xml:space="preserve">Endocr J</w:t>
      </w:r>
      <w:r>
        <w:t xml:space="preserve"> </w:t>
      </w:r>
      <w:r>
        <w:t xml:space="preserve">· Analysis of efficacy and safety of dulaglutide 0.75 mg stratified by sex in patients with type 2 diabetes in 2 randomized, controlled phase 3 studies in Japan. PMID 28367916</w:t>
      </w:r>
    </w:p>
    <w:p>
      <w:pPr>
        <w:numPr>
          <w:ilvl w:val="0"/>
          <w:numId w:val="1377"/>
        </w:numPr>
        <w:pStyle w:val="Compact"/>
      </w:pPr>
      <w:r>
        <w:t xml:space="preserve">2017 · Feng W ·</w:t>
      </w:r>
      <w:r>
        <w:t xml:space="preserve"> </w:t>
      </w:r>
      <w:r>
        <w:rPr>
          <w:iCs/>
          <w:i/>
        </w:rPr>
        <w:t xml:space="preserve">J Diabetes</w:t>
      </w:r>
      <w:r>
        <w:t xml:space="preserve"> </w:t>
      </w:r>
      <w:r>
        <w:t xml:space="preserve">· Randomized trial comparing the effects of gliclazide, liraglutide, and metformin on diabetes with non-alcoholic fatty liver disease. PMID 28332301</w:t>
      </w:r>
    </w:p>
    <w:p>
      <w:pPr>
        <w:numPr>
          <w:ilvl w:val="0"/>
          <w:numId w:val="1377"/>
        </w:numPr>
        <w:pStyle w:val="Compact"/>
      </w:pPr>
      <w:r>
        <w:t xml:space="preserve">2017 · Garg M ·</w:t>
      </w:r>
      <w:r>
        <w:t xml:space="preserve"> </w:t>
      </w:r>
      <w:r>
        <w:rPr>
          <w:iCs/>
          <w:i/>
        </w:rPr>
        <w:t xml:space="preserve">Diabetes Obes Metab</w:t>
      </w:r>
      <w:r>
        <w:t xml:space="preserve"> </w:t>
      </w:r>
      <w:r>
        <w:t xml:space="preserve">· Liraglutide acutely suppresses glucagon, lipolysis and ketogenesis in type 1 diabetes. PMID 28304146</w:t>
      </w:r>
    </w:p>
    <w:p>
      <w:pPr>
        <w:numPr>
          <w:ilvl w:val="0"/>
          <w:numId w:val="1377"/>
        </w:numPr>
        <w:pStyle w:val="Compact"/>
      </w:pPr>
      <w:r>
        <w:t xml:space="preserve">2017 · Hunt B ·</w:t>
      </w:r>
      <w:r>
        <w:t xml:space="preserve"> </w:t>
      </w:r>
      <w:r>
        <w:rPr>
          <w:iCs/>
          <w:i/>
        </w:rPr>
        <w:t xml:space="preserve">J Med Econ</w:t>
      </w:r>
      <w:r>
        <w:t xml:space="preserve"> </w:t>
      </w:r>
      <w:r>
        <w:t xml:space="preserve">· Evaluation of the long-term cost-effectiveness of IDegLira versus liraglutide added to basal insulin for patients with type 2 diabetes failing to achieve glycemic control on basal insulin in the USA. PMID 28294641</w:t>
      </w:r>
    </w:p>
    <w:p>
      <w:pPr>
        <w:numPr>
          <w:ilvl w:val="0"/>
          <w:numId w:val="1377"/>
        </w:numPr>
        <w:pStyle w:val="Compact"/>
      </w:pPr>
      <w:r>
        <w:t xml:space="preserve">2017 · King AB ·</w:t>
      </w:r>
      <w:r>
        <w:t xml:space="preserve"> </w:t>
      </w:r>
      <w:r>
        <w:rPr>
          <w:iCs/>
          <w:i/>
        </w:rPr>
        <w:t xml:space="preserve">Diabetes Technol Ther</w:t>
      </w:r>
      <w:r>
        <w:t xml:space="preserve"> </w:t>
      </w:r>
      <w:r>
        <w:t xml:space="preserve">· A Fixed Ratio Combination of Insulin Degludec and Liraglutide (IDegLira) Reduces Glycemic Fluctuation and Brings More Patients with Type 2 Diabetes Within Blood Glucose Target Ranges. PMID 28282219</w:t>
      </w:r>
    </w:p>
    <w:p>
      <w:pPr>
        <w:numPr>
          <w:ilvl w:val="0"/>
          <w:numId w:val="1377"/>
        </w:numPr>
        <w:pStyle w:val="Compact"/>
      </w:pPr>
      <w:r>
        <w:t xml:space="preserve">2017 · le Roux CW ·</w:t>
      </w:r>
      <w:r>
        <w:t xml:space="preserve"> </w:t>
      </w:r>
      <w:r>
        <w:rPr>
          <w:iCs/>
          <w:i/>
        </w:rPr>
        <w:t xml:space="preserve">Lancet</w:t>
      </w:r>
      <w:r>
        <w:t xml:space="preserve"> </w:t>
      </w:r>
      <w:r>
        <w:t xml:space="preserve">· 3 years of liraglutide versus placebo for type 2 diabetes risk reduction and weight management in individuals with prediabetes: a randomised, double-blind trial. PMID 28237263</w:t>
      </w:r>
    </w:p>
    <w:p>
      <w:pPr>
        <w:numPr>
          <w:ilvl w:val="0"/>
          <w:numId w:val="1377"/>
        </w:numPr>
        <w:pStyle w:val="Compact"/>
      </w:pPr>
      <w:r>
        <w:t xml:space="preserve">2017 · Jørgensen PG ·</w:t>
      </w:r>
      <w:r>
        <w:t xml:space="preserve"> </w:t>
      </w:r>
      <w:r>
        <w:rPr>
          <w:iCs/>
          <w:i/>
        </w:rPr>
        <w:t xml:space="preserve">Diabetes Obes Metab</w:t>
      </w:r>
      <w:r>
        <w:t xml:space="preserve"> </w:t>
      </w:r>
      <w:r>
        <w:t xml:space="preserve">· Effect of exercise combined with glucagon-like peptide-1 receptor agonist treatment on cardiac function: A randomized double-blind placebo-controlled clinical trial. PMID 28188972</w:t>
      </w:r>
    </w:p>
    <w:p>
      <w:pPr>
        <w:numPr>
          <w:ilvl w:val="0"/>
          <w:numId w:val="1377"/>
        </w:numPr>
        <w:pStyle w:val="Compact"/>
      </w:pPr>
      <w:r>
        <w:t xml:space="preserve">2017 · Kramer CK ·</w:t>
      </w:r>
      <w:r>
        <w:t xml:space="preserve"> </w:t>
      </w:r>
      <w:r>
        <w:rPr>
          <w:iCs/>
          <w:i/>
        </w:rPr>
        <w:t xml:space="preserve">Diabetes Obes Metab</w:t>
      </w:r>
      <w:r>
        <w:t xml:space="preserve"> </w:t>
      </w:r>
      <w:r>
        <w:t xml:space="preserve">· Chronic liraglutide therapy induces an enhanced endogenous glucagon-like peptide-1 secretory response in early type 2 diabetes. PMID 28181363</w:t>
      </w:r>
    </w:p>
    <w:p>
      <w:pPr>
        <w:numPr>
          <w:ilvl w:val="0"/>
          <w:numId w:val="1377"/>
        </w:numPr>
        <w:pStyle w:val="Compact"/>
      </w:pPr>
      <w:r>
        <w:t xml:space="preserve">2017 · Jensterle M ·</w:t>
      </w:r>
      <w:r>
        <w:t xml:space="preserve"> </w:t>
      </w:r>
      <w:r>
        <w:rPr>
          <w:iCs/>
          <w:i/>
        </w:rPr>
        <w:t xml:space="preserve">BMC Endocr Disord</w:t>
      </w:r>
      <w:r>
        <w:t xml:space="preserve"> </w:t>
      </w:r>
      <w:r>
        <w:t xml:space="preserve">· Short-term effectiveness of low dose liraglutide in combination with metformin versus high dose liraglutide alone in treatment of obese PCOS: randomized trial. PMID 28143456</w:t>
      </w:r>
    </w:p>
    <w:p>
      <w:pPr>
        <w:numPr>
          <w:ilvl w:val="0"/>
          <w:numId w:val="1377"/>
        </w:numPr>
        <w:pStyle w:val="Compact"/>
      </w:pPr>
      <w:r>
        <w:t xml:space="preserve">2017 · Kumarathurai P ·</w:t>
      </w:r>
      <w:r>
        <w:t xml:space="preserve"> </w:t>
      </w:r>
      <w:r>
        <w:rPr>
          <w:iCs/>
          <w:i/>
        </w:rPr>
        <w:t xml:space="preserve">J Hypertens</w:t>
      </w:r>
      <w:r>
        <w:t xml:space="preserve"> </w:t>
      </w:r>
      <w:r>
        <w:t xml:space="preserve">· Effects of the glucagon-like peptide-1 receptor agonist liraglutide on 24-h ambulatory blood pressure in patients with type 2 diabetes and stable coronary artery disease: a randomized, double-blind, placebo-controlled, crossover study. PMID 28129251</w:t>
      </w:r>
    </w:p>
    <w:p>
      <w:pPr>
        <w:numPr>
          <w:ilvl w:val="0"/>
          <w:numId w:val="1377"/>
        </w:numPr>
        <w:pStyle w:val="Compact"/>
      </w:pPr>
      <w:r>
        <w:t xml:space="preserve">2017 · Anholm C ·</w:t>
      </w:r>
      <w:r>
        <w:t xml:space="preserve"> </w:t>
      </w:r>
      <w:r>
        <w:rPr>
          <w:iCs/>
          <w:i/>
        </w:rPr>
        <w:t xml:space="preserve">Diabetes Obes Metab</w:t>
      </w:r>
      <w:r>
        <w:t xml:space="preserve"> </w:t>
      </w:r>
      <w:r>
        <w:t xml:space="preserve">· Liraglutide effects on beta-cell, insulin sensitivity and glucose effectiveness in patients with stable coronary artery disease and newly diagnosed type 2 diabetes. PMID 28124822</w:t>
      </w:r>
    </w:p>
    <w:p>
      <w:pPr>
        <w:numPr>
          <w:ilvl w:val="0"/>
          <w:numId w:val="1377"/>
        </w:numPr>
        <w:pStyle w:val="Compact"/>
      </w:pPr>
      <w:r>
        <w:t xml:space="preserve">2017 · Harris SB ·</w:t>
      </w:r>
      <w:r>
        <w:t xml:space="preserve"> </w:t>
      </w:r>
      <w:r>
        <w:rPr>
          <w:iCs/>
          <w:i/>
        </w:rPr>
        <w:t xml:space="preserve">Diabetes Obes Metab</w:t>
      </w:r>
      <w:r>
        <w:t xml:space="preserve"> </w:t>
      </w:r>
      <w:r>
        <w:t xml:space="preserve">· Safety and efficacy of IDegLira titrated once weekly versus twice weekly in patients with type 2 diabetes uncontrolled on oral antidiabetic drugs: DUAL VI randomized clinical trial. PMID 28124817</w:t>
      </w:r>
    </w:p>
    <w:p>
      <w:pPr>
        <w:numPr>
          <w:ilvl w:val="0"/>
          <w:numId w:val="1377"/>
        </w:numPr>
        <w:pStyle w:val="Compact"/>
      </w:pPr>
      <w:r>
        <w:t xml:space="preserve">2017 · Iacobellis G ·</w:t>
      </w:r>
      <w:r>
        <w:t xml:space="preserve"> </w:t>
      </w:r>
      <w:r>
        <w:rPr>
          <w:iCs/>
          <w:i/>
        </w:rPr>
        <w:t xml:space="preserve">Obesity (Silver Spring)</w:t>
      </w:r>
      <w:r>
        <w:t xml:space="preserve"> </w:t>
      </w:r>
      <w:r>
        <w:t xml:space="preserve">· Liraglutide causes large and rapid epicardial fat reduction. PMID 28124506</w:t>
      </w:r>
    </w:p>
    <w:p>
      <w:pPr>
        <w:numPr>
          <w:ilvl w:val="0"/>
          <w:numId w:val="1377"/>
        </w:numPr>
        <w:pStyle w:val="Compact"/>
      </w:pPr>
      <w:r>
        <w:t xml:space="preserve">2017 · von Scholten BJ ·</w:t>
      </w:r>
      <w:r>
        <w:t xml:space="preserve"> </w:t>
      </w:r>
      <w:r>
        <w:rPr>
          <w:iCs/>
          <w:i/>
        </w:rPr>
        <w:t xml:space="preserve">Diabetes Obes Metab</w:t>
      </w:r>
      <w:r>
        <w:t xml:space="preserve"> </w:t>
      </w:r>
      <w:r>
        <w:t xml:space="preserve">· Effects of liraglutide on cardiovascular risk biomarkers in patients with type 2 diabetes and albuminuria: A sub-analysis of a randomized, placebo-controlled, double-blind, crossover trial. PMID 28105731</w:t>
      </w:r>
    </w:p>
    <w:p>
      <w:pPr>
        <w:numPr>
          <w:ilvl w:val="0"/>
          <w:numId w:val="1377"/>
        </w:numPr>
        <w:pStyle w:val="Compact"/>
      </w:pPr>
      <w:r>
        <w:t xml:space="preserve">2017 · Farmer AD ·</w:t>
      </w:r>
      <w:r>
        <w:t xml:space="preserve"> </w:t>
      </w:r>
      <w:r>
        <w:rPr>
          <w:iCs/>
          <w:i/>
        </w:rPr>
        <w:t xml:space="preserve">Diabetologia</w:t>
      </w:r>
      <w:r>
        <w:t xml:space="preserve"> </w:t>
      </w:r>
      <w:r>
        <w:t xml:space="preserve">· Type 1 diabetic patients with peripheral neuropathy have pan-enteric prolongation of gastrointestinal transit times and an altered caecal pH profile. PMID 28105520</w:t>
      </w:r>
    </w:p>
    <w:p>
      <w:pPr>
        <w:numPr>
          <w:ilvl w:val="0"/>
          <w:numId w:val="1377"/>
        </w:numPr>
        <w:pStyle w:val="Compact"/>
      </w:pPr>
      <w:r>
        <w:t xml:space="preserve">2017 · Smits MM ·</w:t>
      </w:r>
      <w:r>
        <w:t xml:space="preserve"> </w:t>
      </w:r>
      <w:r>
        <w:rPr>
          <w:iCs/>
          <w:i/>
        </w:rPr>
        <w:t xml:space="preserve">Diabetes Res Clin Pract</w:t>
      </w:r>
      <w:r>
        <w:t xml:space="preserve"> </w:t>
      </w:r>
      <w:r>
        <w:t xml:space="preserve">· The effects of GLP-1 based therapies on postprandial haemodynamics: Two randomised, placebo-controlled trials in overweight type 2 diabetes patients. PMID 28086201</w:t>
      </w:r>
    </w:p>
    <w:p>
      <w:pPr>
        <w:numPr>
          <w:ilvl w:val="0"/>
          <w:numId w:val="1377"/>
        </w:numPr>
        <w:pStyle w:val="Compact"/>
      </w:pPr>
      <w:r>
        <w:t xml:space="preserve">2017 · Horowitz M ·</w:t>
      </w:r>
      <w:r>
        <w:t xml:space="preserve"> </w:t>
      </w:r>
      <w:r>
        <w:rPr>
          <w:iCs/>
          <w:i/>
        </w:rPr>
        <w:t xml:space="preserve">Diabetes Obes Metab</w:t>
      </w:r>
      <w:r>
        <w:t xml:space="preserve"> </w:t>
      </w:r>
      <w:r>
        <w:t xml:space="preserve">· Upper and/or lower gastrointestinal adverse events with glucagon-like peptide-1 receptor agonists: Incidence and consequences. PMID 28058769</w:t>
      </w:r>
    </w:p>
    <w:p>
      <w:pPr>
        <w:numPr>
          <w:ilvl w:val="0"/>
          <w:numId w:val="1377"/>
        </w:numPr>
        <w:pStyle w:val="Compact"/>
      </w:pPr>
      <w:r>
        <w:t xml:space="preserve">2017 · Pastel E ·</w:t>
      </w:r>
      <w:r>
        <w:t xml:space="preserve"> </w:t>
      </w:r>
      <w:r>
        <w:rPr>
          <w:iCs/>
          <w:i/>
        </w:rPr>
        <w:t xml:space="preserve">Clin Sci (Lond)</w:t>
      </w:r>
      <w:r>
        <w:t xml:space="preserve"> </w:t>
      </w:r>
      <w:r>
        <w:t xml:space="preserve">· GLP-1 analogue-induced weight loss does not improve obesity-induced AT dysfunction. PMID 28049736</w:t>
      </w:r>
    </w:p>
    <w:p>
      <w:pPr>
        <w:numPr>
          <w:ilvl w:val="0"/>
          <w:numId w:val="1377"/>
        </w:numPr>
        <w:pStyle w:val="Compact"/>
      </w:pPr>
      <w:r>
        <w:t xml:space="preserve">2017 · Smits MM ·</w:t>
      </w:r>
      <w:r>
        <w:t xml:space="preserve"> </w:t>
      </w:r>
      <w:r>
        <w:rPr>
          <w:iCs/>
          <w:i/>
        </w:rPr>
        <w:t xml:space="preserve">Diabetes Care</w:t>
      </w:r>
      <w:r>
        <w:t xml:space="preserve"> </w:t>
      </w:r>
      <w:r>
        <w:t xml:space="preserve">· Pancreatic Effects of Liraglutide or Sitagliptin in Overweight Patients With Type 2 Diabetes: A 12-Week Randomized, Placebo-Controlled Trial. PMID 27998910</w:t>
      </w:r>
    </w:p>
    <w:p>
      <w:pPr>
        <w:numPr>
          <w:ilvl w:val="0"/>
          <w:numId w:val="1377"/>
        </w:numPr>
        <w:pStyle w:val="Compact"/>
      </w:pPr>
      <w:r>
        <w:t xml:space="preserve">2017 · Danne T ·</w:t>
      </w:r>
      <w:r>
        <w:t xml:space="preserve"> </w:t>
      </w:r>
      <w:r>
        <w:rPr>
          <w:iCs/>
          <w:i/>
        </w:rPr>
        <w:t xml:space="preserve">J Pediatr</w:t>
      </w:r>
      <w:r>
        <w:t xml:space="preserve"> </w:t>
      </w:r>
      <w:r>
        <w:t xml:space="preserve">· Liraglutide in an Adolescent Population with Obesity: A Randomized, Double-Blind, Placebo-Controlled 5-Week Trial to Assess Safety, Tolerability, and Pharmacokinetics of Liraglutide in Adolescents Aged 12-17 Years. PMID 27979579</w:t>
      </w:r>
    </w:p>
    <w:p>
      <w:pPr>
        <w:numPr>
          <w:ilvl w:val="0"/>
          <w:numId w:val="1377"/>
        </w:numPr>
        <w:pStyle w:val="Compact"/>
      </w:pPr>
      <w:r>
        <w:t xml:space="preserve">2017 · Dejgaard TF ·</w:t>
      </w:r>
      <w:r>
        <w:t xml:space="preserve"> </w:t>
      </w:r>
      <w:r>
        <w:rPr>
          <w:iCs/>
          <w:i/>
        </w:rPr>
        <w:t xml:space="preserve">Diabetes Obes Metab</w:t>
      </w:r>
      <w:r>
        <w:t xml:space="preserve"> </w:t>
      </w:r>
      <w:r>
        <w:t xml:space="preserve">· Effects of liraglutide on cardiovascular risk factors in patients with type 1 diabetes. PMID 27935240</w:t>
      </w:r>
    </w:p>
    <w:p>
      <w:pPr>
        <w:numPr>
          <w:ilvl w:val="0"/>
          <w:numId w:val="1377"/>
        </w:numPr>
        <w:pStyle w:val="Compact"/>
      </w:pPr>
      <w:r>
        <w:t xml:space="preserve">2017 · Bouchi R ·</w:t>
      </w:r>
      <w:r>
        <w:t xml:space="preserve"> </w:t>
      </w:r>
      <w:r>
        <w:rPr>
          <w:iCs/>
          <w:i/>
        </w:rPr>
        <w:t xml:space="preserve">Endocr J</w:t>
      </w:r>
      <w:r>
        <w:t xml:space="preserve"> </w:t>
      </w:r>
      <w:r>
        <w:t xml:space="preserve">· Reduction of visceral fat by liraglutide is associated with ameliorations of hepatic steatosis, albuminuria, and micro-inflammation in type 2 diabetic patients with insulin treatment: a randomized control trial. PMID 27916783</w:t>
      </w:r>
    </w:p>
    <w:p>
      <w:pPr>
        <w:numPr>
          <w:ilvl w:val="0"/>
          <w:numId w:val="1377"/>
        </w:numPr>
        <w:pStyle w:val="Compact"/>
      </w:pPr>
      <w:r>
        <w:t xml:space="preserve">2017 · Frandsen CS ·</w:t>
      </w:r>
      <w:r>
        <w:t xml:space="preserve"> </w:t>
      </w:r>
      <w:r>
        <w:rPr>
          <w:iCs/>
          <w:i/>
        </w:rPr>
        <w:t xml:space="preserve">Diabetes Obes Metab</w:t>
      </w:r>
      <w:r>
        <w:t xml:space="preserve"> </w:t>
      </w:r>
      <w:r>
        <w:t xml:space="preserve">· Liraglutide as adjunct to insulin treatment in type 1 diabetes does not interfere with glycaemic recovery or gastric emptying rate during hypoglycaemia: A randomized, placebo-controlled, double-blind, parallel-group study. PMID 27868372</w:t>
      </w:r>
    </w:p>
    <w:p>
      <w:pPr>
        <w:numPr>
          <w:ilvl w:val="0"/>
          <w:numId w:val="1377"/>
        </w:numPr>
        <w:pStyle w:val="Compact"/>
      </w:pPr>
      <w:r>
        <w:t xml:space="preserve">2017 · Emoto M ·</w:t>
      </w:r>
      <w:r>
        <w:t xml:space="preserve"> </w:t>
      </w:r>
      <w:r>
        <w:rPr>
          <w:iCs/>
          <w:i/>
        </w:rPr>
        <w:t xml:space="preserve">Endocr J</w:t>
      </w:r>
      <w:r>
        <w:t xml:space="preserve"> </w:t>
      </w:r>
      <w:r>
        <w:t xml:space="preserve">· Pancreatic safety in Japanese patients with type 2 diabetes treated with once weekly dulaglutide 0.75 mg up to 52 weeks in phase 3 clinical trials. PMID 27853058</w:t>
      </w:r>
    </w:p>
    <w:p>
      <w:pPr>
        <w:numPr>
          <w:ilvl w:val="0"/>
          <w:numId w:val="1377"/>
        </w:numPr>
        <w:pStyle w:val="Compact"/>
      </w:pPr>
      <w:r>
        <w:t xml:space="preserve">2017 · Arturi F ·</w:t>
      </w:r>
      <w:r>
        <w:t xml:space="preserve"> </w:t>
      </w:r>
      <w:r>
        <w:rPr>
          <w:iCs/>
          <w:i/>
        </w:rPr>
        <w:t xml:space="preserve">Endocrine</w:t>
      </w:r>
      <w:r>
        <w:t xml:space="preserve"> </w:t>
      </w:r>
      <w:r>
        <w:t xml:space="preserve">· Liraglutide improves cardiac function in patients with type 2 diabetes and chronic heart failure. PMID 27830456</w:t>
      </w:r>
    </w:p>
    <w:p>
      <w:pPr>
        <w:numPr>
          <w:ilvl w:val="0"/>
          <w:numId w:val="1377"/>
        </w:numPr>
        <w:pStyle w:val="Compact"/>
      </w:pPr>
      <w:r>
        <w:t xml:space="preserve">2017 · Yabe D ·</w:t>
      </w:r>
      <w:r>
        <w:t xml:space="preserve"> </w:t>
      </w:r>
      <w:r>
        <w:rPr>
          <w:iCs/>
          <w:i/>
        </w:rPr>
        <w:t xml:space="preserve">Diabetes Obes Metab</w:t>
      </w:r>
      <w:r>
        <w:t xml:space="preserve"> </w:t>
      </w:r>
      <w:r>
        <w:t xml:space="preserve">· Effects of DPP-4 inhibitor linagliptin and GLP-1 receptor agonist liraglutide on physiological response to hypoglycaemia in Japanese subjects with type 2 diabetes: A randomized, open-label, 2-arm parallel comparative, exploratory trial. PMID 27800649</w:t>
      </w:r>
    </w:p>
    <w:p>
      <w:pPr>
        <w:numPr>
          <w:ilvl w:val="0"/>
          <w:numId w:val="1377"/>
        </w:numPr>
        <w:pStyle w:val="Compact"/>
      </w:pPr>
      <w:r>
        <w:t xml:space="preserve">2017 · Kumarathurai P ·</w:t>
      </w:r>
      <w:r>
        <w:t xml:space="preserve"> </w:t>
      </w:r>
      <w:r>
        <w:rPr>
          <w:iCs/>
          <w:i/>
        </w:rPr>
        <w:t xml:space="preserve">Diabetes Care</w:t>
      </w:r>
      <w:r>
        <w:t xml:space="preserve"> </w:t>
      </w:r>
      <w:r>
        <w:t xml:space="preserve">· Effects of Liraglutide on Heart Rate and Heart Rate Variability: A Randomized, Double-Blind, Placebo-Controlled Crossover Study. PMID 27797930</w:t>
      </w:r>
    </w:p>
    <w:p>
      <w:pPr>
        <w:numPr>
          <w:ilvl w:val="0"/>
          <w:numId w:val="1377"/>
        </w:numPr>
        <w:pStyle w:val="Compact"/>
      </w:pPr>
      <w:r>
        <w:t xml:space="preserve">2017 · Jorsal A ·</w:t>
      </w:r>
      <w:r>
        <w:t xml:space="preserve"> </w:t>
      </w:r>
      <w:r>
        <w:rPr>
          <w:iCs/>
          <w:i/>
        </w:rPr>
        <w:t xml:space="preserve">Eur J Heart Fail</w:t>
      </w:r>
      <w:r>
        <w:t xml:space="preserve"> </w:t>
      </w:r>
      <w:r>
        <w:t xml:space="preserve">· Effect of liraglutide, a glucagon-like peptide-1 analogue, on left ventricular function in stable chronic heart failure patients with and without diabetes (LIVE)-a multicentre, double-blind, randomised, placebo-controlled trial. PMID 27790809</w:t>
      </w:r>
    </w:p>
    <w:p>
      <w:pPr>
        <w:numPr>
          <w:ilvl w:val="0"/>
          <w:numId w:val="1377"/>
        </w:numPr>
        <w:pStyle w:val="Compact"/>
      </w:pPr>
      <w:r>
        <w:t xml:space="preserve">2017 · Smits MM ·</w:t>
      </w:r>
      <w:r>
        <w:t xml:space="preserve"> </w:t>
      </w:r>
      <w:r>
        <w:rPr>
          <w:iCs/>
          <w:i/>
        </w:rPr>
        <w:t xml:space="preserve">Eur J Endocrinol</w:t>
      </w:r>
      <w:r>
        <w:t xml:space="preserve"> </w:t>
      </w:r>
      <w:r>
        <w:t xml:space="preserve">· Heart rate acceleration with GLP-1 receptor agonists in type 2 diabetes patients: an acute and 12-week randomised, double-blind, placebo-controlled trial. PMID 27777261</w:t>
      </w:r>
    </w:p>
    <w:p>
      <w:pPr>
        <w:numPr>
          <w:ilvl w:val="0"/>
          <w:numId w:val="1377"/>
        </w:numPr>
        <w:pStyle w:val="Compact"/>
      </w:pPr>
      <w:r>
        <w:t xml:space="preserve">2017 · Zobel EH ·</w:t>
      </w:r>
      <w:r>
        <w:t xml:space="preserve"> </w:t>
      </w:r>
      <w:r>
        <w:rPr>
          <w:iCs/>
          <w:i/>
        </w:rPr>
        <w:t xml:space="preserve">J Diabetes Complications</w:t>
      </w:r>
      <w:r>
        <w:t xml:space="preserve"> </w:t>
      </w:r>
      <w:r>
        <w:t xml:space="preserve">· Pleiotropic effects of liraglutide treatment on renal risk factors in type 2 diabetes: Individual effects of treatment. PMID 27769801</w:t>
      </w:r>
    </w:p>
    <w:p>
      <w:pPr>
        <w:numPr>
          <w:ilvl w:val="0"/>
          <w:numId w:val="1377"/>
        </w:numPr>
        <w:pStyle w:val="Compact"/>
      </w:pPr>
      <w:r>
        <w:t xml:space="preserve">2017 · von Scholten BJ ·</w:t>
      </w:r>
      <w:r>
        <w:t xml:space="preserve"> </w:t>
      </w:r>
      <w:r>
        <w:rPr>
          <w:iCs/>
          <w:i/>
        </w:rPr>
        <w:t xml:space="preserve">Diabetes Obes Metab</w:t>
      </w:r>
      <w:r>
        <w:t xml:space="preserve"> </w:t>
      </w:r>
      <w:r>
        <w:t xml:space="preserve">· The effect of liraglutide on renal function: A randomized clinical trial. PMID 27753201</w:t>
      </w:r>
    </w:p>
    <w:p>
      <w:pPr>
        <w:numPr>
          <w:ilvl w:val="0"/>
          <w:numId w:val="1377"/>
        </w:numPr>
        <w:pStyle w:val="Compact"/>
      </w:pPr>
      <w:r>
        <w:t xml:space="preserve">2017 · Petit JM ·</w:t>
      </w:r>
      <w:r>
        <w:t xml:space="preserve"> </w:t>
      </w:r>
      <w:r>
        <w:rPr>
          <w:iCs/>
          <w:i/>
        </w:rPr>
        <w:t xml:space="preserve">J Clin Endocrinol Metab</w:t>
      </w:r>
      <w:r>
        <w:t xml:space="preserve"> </w:t>
      </w:r>
      <w:r>
        <w:t xml:space="preserve">· Effect of Liraglutide Therapy on Liver Fat Content in Patients With Inadequately Controlled Type 2 Diabetes: The Lira-NAFLD Study. PMID 27732328</w:t>
      </w:r>
    </w:p>
    <w:p>
      <w:pPr>
        <w:numPr>
          <w:ilvl w:val="0"/>
          <w:numId w:val="1377"/>
        </w:numPr>
        <w:pStyle w:val="Compact"/>
      </w:pPr>
      <w:r>
        <w:t xml:space="preserve">2017 · Mensberg P ·</w:t>
      </w:r>
      <w:r>
        <w:t xml:space="preserve"> </w:t>
      </w:r>
      <w:r>
        <w:rPr>
          <w:iCs/>
          <w:i/>
        </w:rPr>
        <w:t xml:space="preserve">Diabetes Obes Metab</w:t>
      </w:r>
      <w:r>
        <w:t xml:space="preserve"> </w:t>
      </w:r>
      <w:r>
        <w:t xml:space="preserve">· Near-normalization of glycaemic control with glucagon-like peptide-1 receptor agonist treatment combined with exercise in patients with type 2 diabetes. PMID 27717126</w:t>
      </w:r>
    </w:p>
    <w:p>
      <w:pPr>
        <w:numPr>
          <w:ilvl w:val="0"/>
          <w:numId w:val="1377"/>
        </w:numPr>
        <w:pStyle w:val="Compact"/>
      </w:pPr>
      <w:r>
        <w:t xml:space="preserve">2017 · Nauck MA ·</w:t>
      </w:r>
      <w:r>
        <w:t xml:space="preserve"> </w:t>
      </w:r>
      <w:r>
        <w:rPr>
          <w:iCs/>
          <w:i/>
        </w:rPr>
        <w:t xml:space="preserve">Diabetes Obes Metab</w:t>
      </w:r>
      <w:r>
        <w:t xml:space="preserve"> </w:t>
      </w:r>
      <w:r>
        <w:t xml:space="preserve">· Addition of a dipeptidyl peptidase-4 inhibitor, sitagliptin, to ongoing therapy with the glucagon-like peptide-1 receptor agonist liraglutide: A randomized controlled trial in patients with type 2 diabetes. PMID 27709794</w:t>
      </w:r>
    </w:p>
    <w:p>
      <w:pPr>
        <w:numPr>
          <w:ilvl w:val="0"/>
          <w:numId w:val="1377"/>
        </w:numPr>
        <w:pStyle w:val="Compact"/>
      </w:pPr>
      <w:r>
        <w:t xml:space="preserve">2017 · Rodbard HW ·</w:t>
      </w:r>
      <w:r>
        <w:t xml:space="preserve"> </w:t>
      </w:r>
      <w:r>
        <w:rPr>
          <w:iCs/>
          <w:i/>
        </w:rPr>
        <w:t xml:space="preserve">Diabet Med</w:t>
      </w:r>
      <w:r>
        <w:t xml:space="preserve"> </w:t>
      </w:r>
      <w:r>
        <w:t xml:space="preserve">· Safety and efficacy of insulin degludec/liraglutide (IDegLira) added to sulphonylurea alone or to sulphonylurea and metformin in insulin-naïve people with Type 2 diabetes: the DUAL IV trial. PMID 27589252</w:t>
      </w:r>
    </w:p>
    <w:p>
      <w:pPr>
        <w:numPr>
          <w:ilvl w:val="0"/>
          <w:numId w:val="1377"/>
        </w:numPr>
        <w:pStyle w:val="Compact"/>
      </w:pPr>
      <w:r>
        <w:t xml:space="preserve">2017 · Sedman T ·</w:t>
      </w:r>
      <w:r>
        <w:t xml:space="preserve"> </w:t>
      </w:r>
      <w:r>
        <w:rPr>
          <w:iCs/>
          <w:i/>
        </w:rPr>
        <w:t xml:space="preserve">Horm Metab Res</w:t>
      </w:r>
      <w:r>
        <w:t xml:space="preserve"> </w:t>
      </w:r>
      <w:r>
        <w:t xml:space="preserve">· Liraglutide Treatment May Affect Renin and Aldosterone Release. PMID 27300475</w:t>
      </w:r>
    </w:p>
    <w:p>
      <w:pPr>
        <w:numPr>
          <w:ilvl w:val="0"/>
          <w:numId w:val="1377"/>
        </w:numPr>
        <w:pStyle w:val="Compact"/>
      </w:pPr>
      <w:r>
        <w:t xml:space="preserve">2016 · Jones B ·</w:t>
      </w:r>
      <w:r>
        <w:t xml:space="preserve"> </w:t>
      </w:r>
      <w:r>
        <w:rPr>
          <w:iCs/>
          <w:i/>
        </w:rPr>
        <w:t xml:space="preserve">Ann Clin Biochem</w:t>
      </w:r>
      <w:r>
        <w:t xml:space="preserve"> </w:t>
      </w:r>
      <w:r>
        <w:t xml:space="preserve">· Liraglutide and cardiovascular outcomes in type 2 diabetes. PMID 28071177</w:t>
      </w:r>
    </w:p>
    <w:p>
      <w:pPr>
        <w:numPr>
          <w:ilvl w:val="0"/>
          <w:numId w:val="1377"/>
        </w:numPr>
        <w:pStyle w:val="Compact"/>
      </w:pPr>
      <w:r>
        <w:t xml:space="preserve">2016 · Chen WR ·</w:t>
      </w:r>
      <w:r>
        <w:t xml:space="preserve"> </w:t>
      </w:r>
      <w:r>
        <w:rPr>
          <w:iCs/>
          <w:i/>
        </w:rPr>
        <w:t xml:space="preserve">Circ Cardiovasc Imaging</w:t>
      </w:r>
      <w:r>
        <w:t xml:space="preserve"> </w:t>
      </w:r>
      <w:r>
        <w:t xml:space="preserve">· Effects of Liraglutide on Reperfusion Injury in Patients With ST-Segment-Elevation Myocardial Infarction. PMID 27940956</w:t>
      </w:r>
    </w:p>
    <w:p>
      <w:pPr>
        <w:numPr>
          <w:ilvl w:val="0"/>
          <w:numId w:val="1377"/>
        </w:numPr>
        <w:pStyle w:val="Compact"/>
      </w:pPr>
      <w:r>
        <w:t xml:space="preserve">2016 · Rizzo M ·</w:t>
      </w:r>
      <w:r>
        <w:t xml:space="preserve"> </w:t>
      </w:r>
      <w:r>
        <w:rPr>
          <w:iCs/>
          <w:i/>
        </w:rPr>
        <w:t xml:space="preserve">Cardiovasc Diabetol</w:t>
      </w:r>
      <w:r>
        <w:t xml:space="preserve"> </w:t>
      </w:r>
      <w:r>
        <w:t xml:space="preserve">· Liraglutide improves metabolic parameters and carotid intima-media thickness in diabetic patients with the metabolic syndrome: an 18-month prospective study. PMID 27912784</w:t>
      </w:r>
    </w:p>
    <w:p>
      <w:pPr>
        <w:numPr>
          <w:ilvl w:val="0"/>
          <w:numId w:val="1377"/>
        </w:numPr>
        <w:pStyle w:val="Compact"/>
      </w:pPr>
      <w:r>
        <w:t xml:space="preserve">2016 · Fujioka K ·</w:t>
      </w:r>
      <w:r>
        <w:t xml:space="preserve"> </w:t>
      </w:r>
      <w:r>
        <w:rPr>
          <w:iCs/>
          <w:i/>
        </w:rPr>
        <w:t xml:space="preserve">Obesity (Silver Spring)</w:t>
      </w:r>
      <w:r>
        <w:t xml:space="preserve"> </w:t>
      </w:r>
      <w:r>
        <w:t xml:space="preserve">· Early Weight Loss with Liraglutide 3.0 mg Predicts 1-Year Weight Loss and is Associated with Improvements in Clinical Markers. PMID 27804269</w:t>
      </w:r>
    </w:p>
    <w:p>
      <w:pPr>
        <w:numPr>
          <w:ilvl w:val="0"/>
          <w:numId w:val="1377"/>
        </w:numPr>
        <w:pStyle w:val="Compact"/>
      </w:pPr>
      <w:r>
        <w:t xml:space="preserve">2016 · Smits MM ·</w:t>
      </w:r>
      <w:r>
        <w:t xml:space="preserve"> </w:t>
      </w:r>
      <w:r>
        <w:rPr>
          <w:iCs/>
          <w:i/>
        </w:rPr>
        <w:t xml:space="preserve">Diabetologia</w:t>
      </w:r>
      <w:r>
        <w:t xml:space="preserve"> </w:t>
      </w:r>
      <w:r>
        <w:t xml:space="preserve">· Twelve week liraglutide or sitagliptin does not affect hepatic fat in type 2 diabetes: a randomised placebo-controlled trial. PMID 27627981</w:t>
      </w:r>
    </w:p>
    <w:p>
      <w:pPr>
        <w:numPr>
          <w:ilvl w:val="0"/>
          <w:numId w:val="1377"/>
        </w:numPr>
        <w:pStyle w:val="Compact"/>
      </w:pPr>
      <w:r>
        <w:t xml:space="preserve">2016 · Tonneijck L ·</w:t>
      </w:r>
      <w:r>
        <w:t xml:space="preserve"> </w:t>
      </w:r>
      <w:r>
        <w:rPr>
          <w:iCs/>
          <w:i/>
        </w:rPr>
        <w:t xml:space="preserve">Diabetes Care</w:t>
      </w:r>
      <w:r>
        <w:t xml:space="preserve"> </w:t>
      </w:r>
      <w:r>
        <w:t xml:space="preserve">· Renal Effects of DPP-4 Inhibitor Sitagliptin or GLP-1 Receptor Agonist Liraglutide in Overweight Patients With Type 2 Diabetes: A 12-Week, Randomized, Double-Blind, Placebo-Controlled Trial. PMID 27585605</w:t>
      </w:r>
    </w:p>
    <w:p>
      <w:pPr>
        <w:numPr>
          <w:ilvl w:val="0"/>
          <w:numId w:val="1377"/>
        </w:numPr>
        <w:pStyle w:val="Compact"/>
      </w:pPr>
      <w:r>
        <w:t xml:space="preserve">2016 · Smits MM ·</w:t>
      </w:r>
      <w:r>
        <w:t xml:space="preserve"> </w:t>
      </w:r>
      <w:r>
        <w:rPr>
          <w:iCs/>
          <w:i/>
        </w:rPr>
        <w:t xml:space="preserve">Arterioscler Thromb Vasc Biol</w:t>
      </w:r>
      <w:r>
        <w:t xml:space="preserve"> </w:t>
      </w:r>
      <w:r>
        <w:t xml:space="preserve">· GLP-1-Based Therapies Have No Microvascular Effects in Type 2 Diabetes Mellitus: An Acute and 12-Week Randomized, Double-Blind, Placebo-Controlled Trial. PMID 27562916</w:t>
      </w:r>
    </w:p>
    <w:p>
      <w:pPr>
        <w:numPr>
          <w:ilvl w:val="0"/>
          <w:numId w:val="1377"/>
        </w:numPr>
        <w:pStyle w:val="Compact"/>
      </w:pPr>
      <w:r>
        <w:t xml:space="preserve">2016 · Mathieu C ·</w:t>
      </w:r>
      <w:r>
        <w:t xml:space="preserve"> </w:t>
      </w:r>
      <w:r>
        <w:rPr>
          <w:iCs/>
          <w:i/>
        </w:rPr>
        <w:t xml:space="preserve">Diabetes Care</w:t>
      </w:r>
      <w:r>
        <w:t xml:space="preserve"> </w:t>
      </w:r>
      <w:r>
        <w:t xml:space="preserve">· Efficacy and Safety of Liraglutide Added to Insulin Treatment in Type 1 Diabetes: The ADJUNCT ONE Treat-To-Target Randomized Trial. PMID 27506222</w:t>
      </w:r>
    </w:p>
    <w:p>
      <w:pPr>
        <w:numPr>
          <w:ilvl w:val="0"/>
          <w:numId w:val="1377"/>
        </w:numPr>
        <w:pStyle w:val="Compact"/>
      </w:pPr>
      <w:r>
        <w:t xml:space="preserve">2016 · Ahrén B ·</w:t>
      </w:r>
      <w:r>
        <w:t xml:space="preserve"> </w:t>
      </w:r>
      <w:r>
        <w:rPr>
          <w:iCs/>
          <w:i/>
        </w:rPr>
        <w:t xml:space="preserve">Diabetes Care</w:t>
      </w:r>
      <w:r>
        <w:t xml:space="preserve"> </w:t>
      </w:r>
      <w:r>
        <w:t xml:space="preserve">· Efficacy and Safety of Liraglutide Added to Capped Insulin Treatment in Subjects With Type 1 Diabetes: The ADJUNCT TWO Randomized Trial. PMID 27493132</w:t>
      </w:r>
    </w:p>
    <w:p>
      <w:pPr>
        <w:numPr>
          <w:ilvl w:val="0"/>
          <w:numId w:val="1377"/>
        </w:numPr>
        <w:pStyle w:val="Compact"/>
      </w:pPr>
      <w:r>
        <w:t xml:space="preserve">2016 · Kuhadiya ND ·</w:t>
      </w:r>
      <w:r>
        <w:t xml:space="preserve"> </w:t>
      </w:r>
      <w:r>
        <w:rPr>
          <w:iCs/>
          <w:i/>
        </w:rPr>
        <w:t xml:space="preserve">J Clin Endocrinol Metab</w:t>
      </w:r>
      <w:r>
        <w:t xml:space="preserve"> </w:t>
      </w:r>
      <w:r>
        <w:t xml:space="preserve">· Dapagliflozin as Additional Treatment to Liraglutide and Insulin in Patients With Type 1 Diabetes. PMID 27490915</w:t>
      </w:r>
    </w:p>
    <w:p>
      <w:pPr>
        <w:numPr>
          <w:ilvl w:val="0"/>
          <w:numId w:val="1377"/>
        </w:numPr>
        <w:pStyle w:val="Compact"/>
      </w:pPr>
      <w:r>
        <w:t xml:space="preserve">2016 · Margulies KB ·</w:t>
      </w:r>
      <w:r>
        <w:t xml:space="preserve"> </w:t>
      </w:r>
      <w:r>
        <w:rPr>
          <w:iCs/>
          <w:i/>
        </w:rPr>
        <w:t xml:space="preserve">JAMA</w:t>
      </w:r>
      <w:r>
        <w:t xml:space="preserve"> </w:t>
      </w:r>
      <w:r>
        <w:t xml:space="preserve">· Effects of Liraglutide on Clinical Stability Among Patients With Advanced Heart Failure and Reduced Ejection Fraction: A Randomized Clinical Trial. PMID 27483064</w:t>
      </w:r>
    </w:p>
    <w:p>
      <w:pPr>
        <w:numPr>
          <w:ilvl w:val="0"/>
          <w:numId w:val="1377"/>
        </w:numPr>
        <w:pStyle w:val="Compact"/>
      </w:pPr>
      <w:r>
        <w:t xml:space="preserve">2016 · O’Neil PM ·</w:t>
      </w:r>
      <w:r>
        <w:t xml:space="preserve"> </w:t>
      </w:r>
      <w:r>
        <w:rPr>
          <w:iCs/>
          <w:i/>
        </w:rPr>
        <w:t xml:space="preserve">Endocr Pract</w:t>
      </w:r>
      <w:r>
        <w:t xml:space="preserve"> </w:t>
      </w:r>
      <w:r>
        <w:t xml:space="preserve">· EFFECTS OF LIRAGLUTIDE 3.0 MG ON WEIGHT AND RISK FACTORS IN HISPANIC VERSUS NON-HIPANIC POPULATIONS: SUBGROUP ANALYSIS FROM SCALE RANDOMIZED TRIALS. PMID 27482610</w:t>
      </w:r>
    </w:p>
    <w:p>
      <w:pPr>
        <w:numPr>
          <w:ilvl w:val="0"/>
          <w:numId w:val="1377"/>
        </w:numPr>
        <w:pStyle w:val="Compact"/>
      </w:pPr>
      <w:r>
        <w:t xml:space="preserve">2016 · Kumarathurai P ·</w:t>
      </w:r>
      <w:r>
        <w:t xml:space="preserve"> </w:t>
      </w:r>
      <w:r>
        <w:rPr>
          <w:iCs/>
          <w:i/>
        </w:rPr>
        <w:t xml:space="preserve">Cardiovasc Diabetol</w:t>
      </w:r>
      <w:r>
        <w:t xml:space="preserve"> </w:t>
      </w:r>
      <w:r>
        <w:t xml:space="preserve">· Effects of the glucagon-like peptide-1 receptor agonist liraglutide on systolic function in patients with coronary artery disease and type 2 diabetes: a randomized double-blind placebo-controlled crossover study. PMID 27455835</w:t>
      </w:r>
    </w:p>
    <w:p>
      <w:pPr>
        <w:numPr>
          <w:ilvl w:val="0"/>
          <w:numId w:val="1377"/>
        </w:numPr>
        <w:pStyle w:val="Compact"/>
      </w:pPr>
      <w:r>
        <w:t xml:space="preserve">2016 · Smits MM ·</w:t>
      </w:r>
      <w:r>
        <w:t xml:space="preserve"> </w:t>
      </w:r>
      <w:r>
        <w:rPr>
          <w:iCs/>
          <w:i/>
        </w:rPr>
        <w:t xml:space="preserve">Diabetes Obes Metab</w:t>
      </w:r>
      <w:r>
        <w:t xml:space="preserve"> </w:t>
      </w:r>
      <w:r>
        <w:t xml:space="preserve">· Biliary effects of liraglutide and sitagliptin, a 12-week randomized placebo-controlled trial in type 2 diabetes patients. PMID 27451030</w:t>
      </w:r>
    </w:p>
    <w:p>
      <w:pPr>
        <w:numPr>
          <w:ilvl w:val="0"/>
          <w:numId w:val="1377"/>
        </w:numPr>
        <w:pStyle w:val="Compact"/>
      </w:pPr>
      <w:r>
        <w:t xml:space="preserve">2016 · Htike ZZ ·</w:t>
      </w:r>
      <w:r>
        <w:t xml:space="preserve"> </w:t>
      </w:r>
      <w:r>
        <w:rPr>
          <w:iCs/>
          <w:i/>
        </w:rPr>
        <w:t xml:space="preserve">Cardiovasc Diabetol</w:t>
      </w:r>
      <w:r>
        <w:t xml:space="preserve"> </w:t>
      </w:r>
      <w:r>
        <w:t xml:space="preserve">· Rationale and design of the randomised controlled trial to assess the impact of liraglutide on cardiac function and structure in young adults with type 2 diabetes (the LYDIA study). PMID 27440110</w:t>
      </w:r>
    </w:p>
    <w:p>
      <w:pPr>
        <w:numPr>
          <w:ilvl w:val="0"/>
          <w:numId w:val="1377"/>
        </w:numPr>
        <w:pStyle w:val="Compact"/>
      </w:pPr>
      <w:r>
        <w:t xml:space="preserve">2016 · Bailey TS ·</w:t>
      </w:r>
      <w:r>
        <w:t xml:space="preserve"> </w:t>
      </w:r>
      <w:r>
        <w:rPr>
          <w:iCs/>
          <w:i/>
        </w:rPr>
        <w:t xml:space="preserve">Diabetes Obes Metab</w:t>
      </w:r>
      <w:r>
        <w:t xml:space="preserve"> </w:t>
      </w:r>
      <w:r>
        <w:t xml:space="preserve">· Efficacy and safety of switching from sitagliptin to liraglutide in subjects with type 2 diabetes (LIRA-SWITCH): a randomized, double-blind, double-dummy, active-controlled 26-week trial. PMID 27381275</w:t>
      </w:r>
    </w:p>
    <w:p>
      <w:pPr>
        <w:numPr>
          <w:ilvl w:val="0"/>
          <w:numId w:val="1377"/>
        </w:numPr>
        <w:pStyle w:val="Compact"/>
      </w:pPr>
      <w:r>
        <w:t xml:space="preserve">2016 · Azar ST ·</w:t>
      </w:r>
      <w:r>
        <w:t xml:space="preserve"> </w:t>
      </w:r>
      <w:r>
        <w:rPr>
          <w:iCs/>
          <w:i/>
        </w:rPr>
        <w:t xml:space="preserve">Diabetes Obes Metab</w:t>
      </w:r>
      <w:r>
        <w:t xml:space="preserve"> </w:t>
      </w:r>
      <w:r>
        <w:t xml:space="preserve">· Efficacy and safety of liraglutide compared to sulphonylurea during Ramadan in patients with type 2 diabetes (LIRA-Ramadan): a randomized trial. PMID 27376711</w:t>
      </w:r>
    </w:p>
    <w:p>
      <w:pPr>
        <w:numPr>
          <w:ilvl w:val="0"/>
          <w:numId w:val="1377"/>
        </w:numPr>
        <w:pStyle w:val="Compact"/>
      </w:pPr>
      <w:r>
        <w:t xml:space="preserve">2016 · Nauck M ·</w:t>
      </w:r>
      <w:r>
        <w:t xml:space="preserve"> </w:t>
      </w:r>
      <w:r>
        <w:rPr>
          <w:iCs/>
          <w:i/>
        </w:rPr>
        <w:t xml:space="preserve">Diabetes Care</w:t>
      </w:r>
      <w:r>
        <w:t xml:space="preserve"> </w:t>
      </w:r>
      <w:r>
        <w:t xml:space="preserve">· Once-Daily Liraglutide Versus Lixisenatide as Add-on to Metformin in Type 2 Diabetes: A 26-Week Randomized Controlled Clinical Trial. PMID 27311491</w:t>
      </w:r>
    </w:p>
    <w:p>
      <w:pPr>
        <w:numPr>
          <w:ilvl w:val="0"/>
          <w:numId w:val="1377"/>
        </w:numPr>
        <w:pStyle w:val="Compact"/>
      </w:pPr>
      <w:r>
        <w:t xml:space="preserve">2016 · Marso SP ·</w:t>
      </w:r>
      <w:r>
        <w:t xml:space="preserve"> </w:t>
      </w:r>
      <w:r>
        <w:rPr>
          <w:iCs/>
          <w:i/>
        </w:rPr>
        <w:t xml:space="preserve">N Engl J Med</w:t>
      </w:r>
      <w:r>
        <w:t xml:space="preserve"> </w:t>
      </w:r>
      <w:r>
        <w:t xml:space="preserve">· Liraglutide and Cardiovascular Outcomes in Type 2 Diabetes. PMID 27295427</w:t>
      </w:r>
    </w:p>
    <w:p>
      <w:pPr>
        <w:numPr>
          <w:ilvl w:val="0"/>
          <w:numId w:val="1377"/>
        </w:numPr>
        <w:pStyle w:val="Compact"/>
      </w:pPr>
      <w:r>
        <w:t xml:space="preserve">2016 · Farr OM ·</w:t>
      </w:r>
      <w:r>
        <w:t xml:space="preserve"> </w:t>
      </w:r>
      <w:r>
        <w:rPr>
          <w:iCs/>
          <w:i/>
        </w:rPr>
        <w:t xml:space="preserve">Metabolism</w:t>
      </w:r>
      <w:r>
        <w:t xml:space="preserve"> </w:t>
      </w:r>
      <w:r>
        <w:t xml:space="preserve">· Short-term administration of the GLP-1 analog liraglutide decreases circulating leptin and increases GIP levels and these changes are associated with alterations in CNS responses to food cues: A randomized, placebo-controlled, crossover study. PMID 27282865</w:t>
      </w:r>
    </w:p>
    <w:p>
      <w:pPr>
        <w:numPr>
          <w:ilvl w:val="0"/>
          <w:numId w:val="1377"/>
        </w:numPr>
        <w:pStyle w:val="Compact"/>
      </w:pPr>
      <w:r>
        <w:t xml:space="preserve">2016 · Mader JK ·</w:t>
      </w:r>
      <w:r>
        <w:t xml:space="preserve"> </w:t>
      </w:r>
      <w:r>
        <w:rPr>
          <w:iCs/>
          <w:i/>
        </w:rPr>
        <w:t xml:space="preserve">Clin Pharmacokinet</w:t>
      </w:r>
      <w:r>
        <w:t xml:space="preserve"> </w:t>
      </w:r>
      <w:r>
        <w:t xml:space="preserve">· Pharmacokinetic Properties of Liraglutide as Adjunct to Insulin in Subjects with Type 1 Diabetes Mellitus. PMID 27282158</w:t>
      </w:r>
    </w:p>
    <w:p>
      <w:pPr>
        <w:numPr>
          <w:ilvl w:val="0"/>
          <w:numId w:val="1377"/>
        </w:numPr>
        <w:pStyle w:val="Compact"/>
      </w:pPr>
      <w:r>
        <w:t xml:space="preserve">2016 · Vanderheiden A ·</w:t>
      </w:r>
      <w:r>
        <w:t xml:space="preserve"> </w:t>
      </w:r>
      <w:r>
        <w:rPr>
          <w:iCs/>
          <w:i/>
        </w:rPr>
        <w:t xml:space="preserve">JAMA Intern Med</w:t>
      </w:r>
      <w:r>
        <w:t xml:space="preserve"> </w:t>
      </w:r>
      <w:r>
        <w:t xml:space="preserve">· Effect of Adding Liraglutide vs Placebo to a High-Dose lnsulin Regimen in Patients With Type 2 Diabetes: A Randomized Clinical Trial. PMID 27273731</w:t>
      </w:r>
    </w:p>
    <w:p>
      <w:pPr>
        <w:numPr>
          <w:ilvl w:val="0"/>
          <w:numId w:val="1377"/>
        </w:numPr>
        <w:pStyle w:val="Compact"/>
      </w:pPr>
      <w:r>
        <w:t xml:space="preserve">2016 · Kuhadiya ND ·</w:t>
      </w:r>
      <w:r>
        <w:t xml:space="preserve"> </w:t>
      </w:r>
      <w:r>
        <w:rPr>
          <w:iCs/>
          <w:i/>
        </w:rPr>
        <w:t xml:space="preserve">Diabetes Care</w:t>
      </w:r>
      <w:r>
        <w:t xml:space="preserve"> </w:t>
      </w:r>
      <w:r>
        <w:t xml:space="preserve">· Addition of Liraglutide to Insulin in Patients With Type 1 Diabetes: A Randomized Placebo-Controlled Clinical Trial of 12 Weeks. PMID 27208343</w:t>
      </w:r>
    </w:p>
    <w:p>
      <w:pPr>
        <w:numPr>
          <w:ilvl w:val="0"/>
          <w:numId w:val="1377"/>
        </w:numPr>
        <w:pStyle w:val="Compact"/>
      </w:pPr>
      <w:r>
        <w:t xml:space="preserve">2016 · Sherr JL ·</w:t>
      </w:r>
      <w:r>
        <w:t xml:space="preserve"> </w:t>
      </w:r>
      <w:r>
        <w:rPr>
          <w:iCs/>
          <w:i/>
        </w:rPr>
        <w:t xml:space="preserve">Diabetes Care</w:t>
      </w:r>
      <w:r>
        <w:t xml:space="preserve"> </w:t>
      </w:r>
      <w:r>
        <w:t xml:space="preserve">· Mitigating Meal-Related Glycemic Excursions in an Insulin-Sparing Manner During Closed-Loop Insulin Delivery: The Beneficial Effects of Adjunctive Pramlintide and Liraglutide. PMID 27208332</w:t>
      </w:r>
    </w:p>
    <w:p>
      <w:pPr>
        <w:numPr>
          <w:ilvl w:val="0"/>
          <w:numId w:val="1377"/>
        </w:numPr>
        <w:pStyle w:val="Compact"/>
      </w:pPr>
      <w:r>
        <w:t xml:space="preserve">2016 · Kolotkin RL ·</w:t>
      </w:r>
      <w:r>
        <w:t xml:space="preserve"> </w:t>
      </w:r>
      <w:r>
        <w:rPr>
          <w:iCs/>
          <w:i/>
        </w:rPr>
        <w:t xml:space="preserve">Clin Obes</w:t>
      </w:r>
      <w:r>
        <w:t xml:space="preserve"> </w:t>
      </w:r>
      <w:r>
        <w:t xml:space="preserve">· Improvements in health-related quality of life with liraglutide 3.0 mg compared with placebo in weight management. PMID 27198973</w:t>
      </w:r>
    </w:p>
    <w:p>
      <w:pPr>
        <w:numPr>
          <w:ilvl w:val="0"/>
          <w:numId w:val="1377"/>
        </w:numPr>
        <w:pStyle w:val="Compact"/>
      </w:pPr>
      <w:r>
        <w:t xml:space="preserve">2016 · Overgaard RV ·</w:t>
      </w:r>
      <w:r>
        <w:t xml:space="preserve"> </w:t>
      </w:r>
      <w:r>
        <w:rPr>
          <w:iCs/>
          <w:i/>
        </w:rPr>
        <w:t xml:space="preserve">Clin Pharmacokinet</w:t>
      </w:r>
      <w:r>
        <w:t xml:space="preserve"> </w:t>
      </w:r>
      <w:r>
        <w:t xml:space="preserve">· Liraglutide 3.0 mg for Weight Management: A Population Pharmacokinetic Analysis. PMID 27193270</w:t>
      </w:r>
    </w:p>
    <w:p>
      <w:pPr>
        <w:numPr>
          <w:ilvl w:val="0"/>
          <w:numId w:val="1377"/>
        </w:numPr>
        <w:pStyle w:val="Compact"/>
      </w:pPr>
      <w:r>
        <w:t xml:space="preserve">2016 · Ilkowitz JT ·</w:t>
      </w:r>
      <w:r>
        <w:t xml:space="preserve"> </w:t>
      </w:r>
      <w:r>
        <w:rPr>
          <w:iCs/>
          <w:i/>
        </w:rPr>
        <w:t xml:space="preserve">J Diabetes Sci Technol</w:t>
      </w:r>
      <w:r>
        <w:t xml:space="preserve"> </w:t>
      </w:r>
      <w:r>
        <w:t xml:space="preserve">· Adjuvant Liraglutide and Insulin Versus Insulin Monotherapy in the Closed-Loop System in Type 1 Diabetes: A Randomized Open-Labeled Crossover Design Trial. PMID 27184690</w:t>
      </w:r>
    </w:p>
    <w:p>
      <w:pPr>
        <w:numPr>
          <w:ilvl w:val="0"/>
          <w:numId w:val="1377"/>
        </w:numPr>
        <w:pStyle w:val="Compact"/>
      </w:pPr>
      <w:r>
        <w:t xml:space="preserve">2016 · Seino Y ·</w:t>
      </w:r>
      <w:r>
        <w:t xml:space="preserve"> </w:t>
      </w:r>
      <w:r>
        <w:rPr>
          <w:iCs/>
          <w:i/>
        </w:rPr>
        <w:t xml:space="preserve">J Diabetes Investig</w:t>
      </w:r>
      <w:r>
        <w:t xml:space="preserve"> </w:t>
      </w:r>
      <w:r>
        <w:t xml:space="preserve">· Combination therapy with liraglutide and insulin in Japanese patients with type 2 diabetes: A 36-week, randomized, double-blind, parallel-group trial. PMID 27182042</w:t>
      </w:r>
    </w:p>
    <w:p>
      <w:pPr>
        <w:numPr>
          <w:ilvl w:val="0"/>
          <w:numId w:val="1377"/>
        </w:numPr>
        <w:pStyle w:val="Compact"/>
      </w:pPr>
      <w:r>
        <w:t xml:space="preserve">2016 · Chen P ·</w:t>
      </w:r>
      <w:r>
        <w:t xml:space="preserve"> </w:t>
      </w:r>
      <w:r>
        <w:rPr>
          <w:iCs/>
          <w:i/>
        </w:rPr>
        <w:t xml:space="preserve">Zhonghua Nei Ke Za Zhi</w:t>
      </w:r>
      <w:r>
        <w:t xml:space="preserve"> </w:t>
      </w:r>
      <w:r>
        <w:t xml:space="preserve">· [The effect of liraglutide in combination with human umbilical cord mesenchymal stem cells treatment on glucose metabolism and β cell function in type 2 diabetes mellitus]. PMID 27143183</w:t>
      </w:r>
    </w:p>
    <w:p>
      <w:pPr>
        <w:numPr>
          <w:ilvl w:val="0"/>
          <w:numId w:val="1377"/>
        </w:numPr>
        <w:pStyle w:val="Compact"/>
      </w:pPr>
      <w:r>
        <w:t xml:space="preserve">2016 · Hodge RJ ·</w:t>
      </w:r>
      <w:r>
        <w:t xml:space="preserve"> </w:t>
      </w:r>
      <w:r>
        <w:rPr>
          <w:iCs/>
          <w:i/>
        </w:rPr>
        <w:t xml:space="preserve">PLoS One</w:t>
      </w:r>
      <w:r>
        <w:t xml:space="preserve"> </w:t>
      </w:r>
      <w:r>
        <w:t xml:space="preserve">· Weight and Glucose Reduction Observed with a Combination of Nutritional Agents in Rodent Models Does Not Translate to Humans in a Randomized Clinical Trial with Healthy Volunteers and Subjects with Type 2 Diabetes. PMID 27093610</w:t>
      </w:r>
    </w:p>
    <w:p>
      <w:pPr>
        <w:numPr>
          <w:ilvl w:val="0"/>
          <w:numId w:val="1377"/>
        </w:numPr>
        <w:pStyle w:val="Compact"/>
      </w:pPr>
      <w:r>
        <w:t xml:space="preserve">2016 · Shankar SS ·</w:t>
      </w:r>
      <w:r>
        <w:t xml:space="preserve"> </w:t>
      </w:r>
      <w:r>
        <w:rPr>
          <w:iCs/>
          <w:i/>
        </w:rPr>
        <w:t xml:space="preserve">Am J Physiol Endocrinol Metab</w:t>
      </w:r>
      <w:r>
        <w:t xml:space="preserve"> </w:t>
      </w:r>
      <w:r>
        <w:t xml:space="preserve">· Linearity of β-cell response across the metabolic spectrum and to pharmacology: insights from a graded glucose infusion-based investigation series. PMID 27072496</w:t>
      </w:r>
    </w:p>
    <w:p>
      <w:pPr>
        <w:numPr>
          <w:ilvl w:val="0"/>
          <w:numId w:val="1377"/>
        </w:numPr>
        <w:pStyle w:val="Compact"/>
      </w:pPr>
      <w:r>
        <w:t xml:space="preserve">2016 · Zang L ·</w:t>
      </w:r>
      <w:r>
        <w:t xml:space="preserve"> </w:t>
      </w:r>
      <w:r>
        <w:rPr>
          <w:iCs/>
          <w:i/>
        </w:rPr>
        <w:t xml:space="preserve">Diabetes Obes Metab</w:t>
      </w:r>
      <w:r>
        <w:t xml:space="preserve"> </w:t>
      </w:r>
      <w:r>
        <w:t xml:space="preserve">· Efficacy and safety of liraglutide versus sitagliptin, both in combination with metformin, in Chinese patients with type 2 diabetes: a 26-week, open-label, randomized, active comparator clinical trial. PMID 27060930</w:t>
      </w:r>
    </w:p>
    <w:p>
      <w:pPr>
        <w:numPr>
          <w:ilvl w:val="0"/>
          <w:numId w:val="1377"/>
        </w:numPr>
        <w:pStyle w:val="Compact"/>
      </w:pPr>
      <w:r>
        <w:t xml:space="preserve">2016 · Blackman A ·</w:t>
      </w:r>
      <w:r>
        <w:t xml:space="preserve"> </w:t>
      </w:r>
      <w:r>
        <w:rPr>
          <w:iCs/>
          <w:i/>
        </w:rPr>
        <w:t xml:space="preserve">Int J Obes (Lond)</w:t>
      </w:r>
      <w:r>
        <w:t xml:space="preserve"> </w:t>
      </w:r>
      <w:r>
        <w:t xml:space="preserve">· Effect of liraglutide 3.0 mg in individuals with obesity and moderate or severe obstructive sleep apnea: the SCALE Sleep Apnea randomized clinical trial. PMID 27005405</w:t>
      </w:r>
    </w:p>
    <w:p>
      <w:pPr>
        <w:numPr>
          <w:ilvl w:val="0"/>
          <w:numId w:val="1377"/>
        </w:numPr>
        <w:pStyle w:val="Compact"/>
      </w:pPr>
      <w:r>
        <w:t xml:space="preserve">2016 · Aroda VR ·</w:t>
      </w:r>
      <w:r>
        <w:t xml:space="preserve"> </w:t>
      </w:r>
      <w:r>
        <w:rPr>
          <w:iCs/>
          <w:i/>
        </w:rPr>
        <w:t xml:space="preserve">Diabetes Obes Metab</w:t>
      </w:r>
      <w:r>
        <w:t xml:space="preserve"> </w:t>
      </w:r>
      <w:r>
        <w:t xml:space="preserve">· Effect of adding insulin degludec to treatment in patients with type 2 diabetes inadequately controlled with metformin and liraglutide: a double-blind randomized controlled trial (BEGIN: ADD TO GLP-1 Study). PMID 26990378</w:t>
      </w:r>
    </w:p>
    <w:p>
      <w:pPr>
        <w:numPr>
          <w:ilvl w:val="0"/>
          <w:numId w:val="1377"/>
        </w:numPr>
        <w:pStyle w:val="Compact"/>
      </w:pPr>
      <w:r>
        <w:t xml:space="preserve">2016 · Lingvay I ·</w:t>
      </w:r>
      <w:r>
        <w:t xml:space="preserve"> </w:t>
      </w:r>
      <w:r>
        <w:rPr>
          <w:iCs/>
          <w:i/>
        </w:rPr>
        <w:t xml:space="preserve">JAMA</w:t>
      </w:r>
      <w:r>
        <w:t xml:space="preserve"> </w:t>
      </w:r>
      <w:r>
        <w:t xml:space="preserve">· Effect of Insulin Glargine Up-titration vs Insulin Degludec/Liraglutide on Glycated Hemoglobin Levels in Patients With Uncontrolled Type 2 Diabetes: The DUAL V Randomized Clinical Trial. PMID 26934259</w:t>
      </w:r>
    </w:p>
    <w:p>
      <w:pPr>
        <w:numPr>
          <w:ilvl w:val="0"/>
          <w:numId w:val="1377"/>
        </w:numPr>
        <w:pStyle w:val="Compact"/>
      </w:pPr>
      <w:r>
        <w:t xml:space="preserve">2016 · Skov J ·</w:t>
      </w:r>
      <w:r>
        <w:t xml:space="preserve"> </w:t>
      </w:r>
      <w:r>
        <w:rPr>
          <w:iCs/>
          <w:i/>
        </w:rPr>
        <w:t xml:space="preserve">Diabetes Obes Metab</w:t>
      </w:r>
      <w:r>
        <w:t xml:space="preserve"> </w:t>
      </w:r>
      <w:r>
        <w:t xml:space="preserve">· Short-term effects of liraglutide on kidney function and vasoactive hormones in type 2 diabetes: a randomized clinical trial. PMID 26910107</w:t>
      </w:r>
    </w:p>
    <w:p>
      <w:pPr>
        <w:numPr>
          <w:ilvl w:val="0"/>
          <w:numId w:val="1377"/>
        </w:numPr>
        <w:pStyle w:val="Compact"/>
      </w:pPr>
      <w:r>
        <w:t xml:space="preserve">2016 · Vanderheiden A ·</w:t>
      </w:r>
      <w:r>
        <w:t xml:space="preserve"> </w:t>
      </w:r>
      <w:r>
        <w:rPr>
          <w:iCs/>
          <w:i/>
        </w:rPr>
        <w:t xml:space="preserve">J Clin Endocrinol Metab</w:t>
      </w:r>
      <w:r>
        <w:t xml:space="preserve"> </w:t>
      </w:r>
      <w:r>
        <w:t xml:space="preserve">· Mechanisms of Action of Liraglutide in Patients With Type 2 Diabetes Treated With High-Dose Insulin. PMID 26909799</w:t>
      </w:r>
    </w:p>
    <w:p>
      <w:pPr>
        <w:numPr>
          <w:ilvl w:val="0"/>
          <w:numId w:val="1377"/>
        </w:numPr>
        <w:pStyle w:val="Compact"/>
      </w:pPr>
      <w:r>
        <w:t xml:space="preserve">2016 · Masmiquel L ·</w:t>
      </w:r>
      <w:r>
        <w:t xml:space="preserve"> </w:t>
      </w:r>
      <w:r>
        <w:rPr>
          <w:iCs/>
          <w:i/>
        </w:rPr>
        <w:t xml:space="preserve">Cardiovasc Diabetol</w:t>
      </w:r>
      <w:r>
        <w:t xml:space="preserve"> </w:t>
      </w:r>
      <w:r>
        <w:t xml:space="preserve">· LEADER 5: prevalence and cardiometabolic impact of obesity in cardiovascular high-risk patients with type 2 diabetes mellitus: baseline global data from the LEADER trial. PMID 26864124</w:t>
      </w:r>
    </w:p>
    <w:p>
      <w:pPr>
        <w:numPr>
          <w:ilvl w:val="0"/>
          <w:numId w:val="1377"/>
        </w:numPr>
        <w:pStyle w:val="Compact"/>
      </w:pPr>
      <w:r>
        <w:t xml:space="preserve">2016 · Petrie JR ·</w:t>
      </w:r>
      <w:r>
        <w:t xml:space="preserve"> </w:t>
      </w:r>
      <w:r>
        <w:rPr>
          <w:iCs/>
          <w:i/>
        </w:rPr>
        <w:t xml:space="preserve">J Hypertens</w:t>
      </w:r>
      <w:r>
        <w:t xml:space="preserve"> </w:t>
      </w:r>
      <w:r>
        <w:t xml:space="preserve">· LEADER-4: blood pressure control in patients with type 2 diabetes and high cardiovascular risk: baseline data from the LEADER randomized trial. PMID 26855018</w:t>
      </w:r>
    </w:p>
    <w:p>
      <w:pPr>
        <w:numPr>
          <w:ilvl w:val="0"/>
          <w:numId w:val="1377"/>
        </w:numPr>
        <w:pStyle w:val="Compact"/>
      </w:pPr>
      <w:r>
        <w:t xml:space="preserve">2016 · Chen WR ·</w:t>
      </w:r>
      <w:r>
        <w:t xml:space="preserve"> </w:t>
      </w:r>
      <w:r>
        <w:rPr>
          <w:iCs/>
          <w:i/>
        </w:rPr>
        <w:t xml:space="preserve">Int J Cardiol</w:t>
      </w:r>
      <w:r>
        <w:t xml:space="preserve"> </w:t>
      </w:r>
      <w:r>
        <w:t xml:space="preserve">· Effects of liraglutide on no-reflow in patients with acute ST-segment elevation myocardial infarction. PMID 26849684</w:t>
      </w:r>
    </w:p>
    <w:p>
      <w:pPr>
        <w:numPr>
          <w:ilvl w:val="0"/>
          <w:numId w:val="1377"/>
        </w:numPr>
        <w:pStyle w:val="Compact"/>
      </w:pPr>
      <w:r>
        <w:t xml:space="preserve">2016 · Wilding JP ·</w:t>
      </w:r>
      <w:r>
        <w:t xml:space="preserve"> </w:t>
      </w:r>
      <w:r>
        <w:rPr>
          <w:iCs/>
          <w:i/>
        </w:rPr>
        <w:t xml:space="preserve">Diabetes Obes Metab</w:t>
      </w:r>
      <w:r>
        <w:t xml:space="preserve"> </w:t>
      </w:r>
      <w:r>
        <w:t xml:space="preserve">· Exposure-response analyses of liraglutide 3.0 mg for weight management. PMID 26833744</w:t>
      </w:r>
    </w:p>
    <w:p>
      <w:pPr>
        <w:numPr>
          <w:ilvl w:val="0"/>
          <w:numId w:val="1377"/>
        </w:numPr>
        <w:pStyle w:val="Compact"/>
      </w:pPr>
      <w:r>
        <w:t xml:space="preserve">2016 · Farr OM ·</w:t>
      </w:r>
      <w:r>
        <w:t xml:space="preserve"> </w:t>
      </w:r>
      <w:r>
        <w:rPr>
          <w:iCs/>
          <w:i/>
        </w:rPr>
        <w:t xml:space="preserve">Diabetologia</w:t>
      </w:r>
      <w:r>
        <w:t xml:space="preserve"> </w:t>
      </w:r>
      <w:r>
        <w:t xml:space="preserve">· GLP-1 receptors exist in the parietal cortex, hypothalamus and medulla of human brains and the GLP-1 analogue liraglutide alters brain activity related to highly desirable food cues in individuals with diabetes: a crossover, randomised, placebo-controlled trial. PMID 26831302</w:t>
      </w:r>
    </w:p>
    <w:p>
      <w:pPr>
        <w:numPr>
          <w:ilvl w:val="0"/>
          <w:numId w:val="1377"/>
        </w:numPr>
        <w:pStyle w:val="Compact"/>
      </w:pPr>
      <w:r>
        <w:t xml:space="preserve">2016 · Kaku K ·</w:t>
      </w:r>
      <w:r>
        <w:t xml:space="preserve"> </w:t>
      </w:r>
      <w:r>
        <w:rPr>
          <w:iCs/>
          <w:i/>
        </w:rPr>
        <w:t xml:space="preserve">J Diabetes Investig</w:t>
      </w:r>
      <w:r>
        <w:t xml:space="preserve"> </w:t>
      </w:r>
      <w:r>
        <w:t xml:space="preserve">· Liraglutide is effective and well tolerated in combination with an oral antidiabetic drug in Japanese patients with type 2 diabetes: A randomized, 52-week, open-label, parallel-group trial. PMID 26816604</w:t>
      </w:r>
    </w:p>
    <w:p>
      <w:pPr>
        <w:numPr>
          <w:ilvl w:val="0"/>
          <w:numId w:val="1377"/>
        </w:numPr>
        <w:pStyle w:val="Compact"/>
      </w:pPr>
      <w:r>
        <w:t xml:space="preserve">2016 · Ard J ·</w:t>
      </w:r>
      <w:r>
        <w:t xml:space="preserve"> </w:t>
      </w:r>
      <w:r>
        <w:rPr>
          <w:iCs/>
          <w:i/>
        </w:rPr>
        <w:t xml:space="preserve">Diabetes Obes Metab</w:t>
      </w:r>
      <w:r>
        <w:t xml:space="preserve"> </w:t>
      </w:r>
      <w:r>
        <w:t xml:space="preserve">· Efficacy and safety of liraglutide 3.0 mg for weight management are similar across races: subgroup analysis across the SCALE and phase II randomized trials. PMID 26744025</w:t>
      </w:r>
    </w:p>
    <w:p>
      <w:pPr>
        <w:numPr>
          <w:ilvl w:val="0"/>
          <w:numId w:val="1377"/>
        </w:numPr>
        <w:pStyle w:val="Compact"/>
      </w:pPr>
      <w:r>
        <w:t xml:space="preserve">2016 · Nagakura J ·</w:t>
      </w:r>
      <w:r>
        <w:t xml:space="preserve"> </w:t>
      </w:r>
      <w:r>
        <w:rPr>
          <w:iCs/>
          <w:i/>
        </w:rPr>
        <w:t xml:space="preserve">Endocr J</w:t>
      </w:r>
      <w:r>
        <w:t xml:space="preserve"> </w:t>
      </w:r>
      <w:r>
        <w:t xml:space="preserve">· Effects of exenatide and liraglutide on 24-hour glucose fluctuations in type 2 diabetes. PMID 26743240</w:t>
      </w:r>
    </w:p>
    <w:p>
      <w:pPr>
        <w:numPr>
          <w:ilvl w:val="0"/>
          <w:numId w:val="1377"/>
        </w:numPr>
        <w:pStyle w:val="Compact"/>
      </w:pPr>
      <w:r>
        <w:t xml:space="preserve">2016 · Davies MJ ·</w:t>
      </w:r>
      <w:r>
        <w:t xml:space="preserve"> </w:t>
      </w:r>
      <w:r>
        <w:rPr>
          <w:iCs/>
          <w:i/>
        </w:rPr>
        <w:t xml:space="preserve">Diabetes Care</w:t>
      </w:r>
      <w:r>
        <w:t xml:space="preserve"> </w:t>
      </w:r>
      <w:r>
        <w:t xml:space="preserve">· Efficacy and Safety of Liraglutide Versus Placebo as Add-on to Glucose-Lowering Therapy in Patients With Type 2 Diabetes and Moderate Renal Impairment (LIRA-RENAL): A Randomized Clinical Trial. PMID 26681713</w:t>
      </w:r>
    </w:p>
    <w:p>
      <w:pPr>
        <w:numPr>
          <w:ilvl w:val="0"/>
          <w:numId w:val="1377"/>
        </w:numPr>
        <w:pStyle w:val="Compact"/>
      </w:pPr>
      <w:r>
        <w:t xml:space="preserve">2016 · Odawara M ·</w:t>
      </w:r>
      <w:r>
        <w:t xml:space="preserve"> </w:t>
      </w:r>
      <w:r>
        <w:rPr>
          <w:iCs/>
          <w:i/>
        </w:rPr>
        <w:t xml:space="preserve">Diabetes Obes Metab</w:t>
      </w:r>
      <w:r>
        <w:t xml:space="preserve"> </w:t>
      </w:r>
      <w:r>
        <w:t xml:space="preserve">· Once-weekly glucagon-like peptide-1 receptor agonist dulaglutide significantly decreases glycated haemoglobin compared with once-daily liraglutide in Japanese patients with type 2 diabetes: 52 weeks of treatment in a randomized phase III study. PMID 26661514</w:t>
      </w:r>
    </w:p>
    <w:p>
      <w:pPr>
        <w:numPr>
          <w:ilvl w:val="0"/>
          <w:numId w:val="1377"/>
        </w:numPr>
        <w:pStyle w:val="Compact"/>
      </w:pPr>
      <w:r>
        <w:t xml:space="preserve">2016 · Dejgaard TF ·</w:t>
      </w:r>
      <w:r>
        <w:t xml:space="preserve"> </w:t>
      </w:r>
      <w:r>
        <w:rPr>
          <w:iCs/>
          <w:i/>
        </w:rPr>
        <w:t xml:space="preserve">Lancet Diabetes Endocrinol</w:t>
      </w:r>
      <w:r>
        <w:t xml:space="preserve"> </w:t>
      </w:r>
      <w:r>
        <w:t xml:space="preserve">· Efficacy and safety of liraglutide for overweight adult patients with type 1 diabetes and insufficient glycaemic control (Lira-1): a randomised, double-blind, placebo-controlled trial. PMID 26656289</w:t>
      </w:r>
    </w:p>
    <w:p>
      <w:pPr>
        <w:numPr>
          <w:ilvl w:val="0"/>
          <w:numId w:val="1377"/>
        </w:numPr>
        <w:pStyle w:val="Compact"/>
      </w:pPr>
      <w:r>
        <w:t xml:space="preserve">2016 · Ke W ·</w:t>
      </w:r>
      <w:r>
        <w:t xml:space="preserve"> </w:t>
      </w:r>
      <w:r>
        <w:rPr>
          <w:iCs/>
          <w:i/>
        </w:rPr>
        <w:t xml:space="preserve">J Diabetes Res</w:t>
      </w:r>
      <w:r>
        <w:t xml:space="preserve"> </w:t>
      </w:r>
      <w:r>
        <w:t xml:space="preserve">· Effects of Liraglutide Combined with Short-Term Continuous Subcutaneous Insulin Infusion on Glycemic Control and Beta Cell Function in Patients with Newly Diagnosed Type 2 Diabetes Mellitus: A Pilot Study. PMID 26640805</w:t>
      </w:r>
    </w:p>
    <w:p>
      <w:pPr>
        <w:numPr>
          <w:ilvl w:val="0"/>
          <w:numId w:val="1377"/>
        </w:numPr>
        <w:pStyle w:val="Compact"/>
      </w:pPr>
      <w:r>
        <w:t xml:space="preserve">2016 · Armstrong MJ ·</w:t>
      </w:r>
      <w:r>
        <w:t xml:space="preserve"> </w:t>
      </w:r>
      <w:r>
        <w:rPr>
          <w:iCs/>
          <w:i/>
        </w:rPr>
        <w:t xml:space="preserve">Lancet</w:t>
      </w:r>
      <w:r>
        <w:t xml:space="preserve"> </w:t>
      </w:r>
      <w:r>
        <w:t xml:space="preserve">· Liraglutide safety and efficacy in patients with non-alcoholic steatohepatitis (LEAN): a multicentre, double-blind, randomised, placebo-controlled phase 2 study. PMID 26608256</w:t>
      </w:r>
    </w:p>
    <w:p>
      <w:pPr>
        <w:numPr>
          <w:ilvl w:val="0"/>
          <w:numId w:val="1377"/>
        </w:numPr>
        <w:pStyle w:val="Compact"/>
      </w:pPr>
      <w:r>
        <w:t xml:space="preserve">2016 · Gilbert MP ·</w:t>
      </w:r>
      <w:r>
        <w:t xml:space="preserve"> </w:t>
      </w:r>
      <w:r>
        <w:rPr>
          <w:iCs/>
          <w:i/>
        </w:rPr>
        <w:t xml:space="preserve">Endocr Pract</w:t>
      </w:r>
      <w:r>
        <w:t xml:space="preserve"> </w:t>
      </w:r>
      <w:r>
        <w:t xml:space="preserve">· COMPARISON OF THE LONG-TERM EFFECTS OF LIRAGLUTIDE AND GLIMEPIRIDE MONOTHERAPY ON BONE MINERAL DENSITY IN PATIENTS WITH TYPE 2 DIABETES. PMID 26574791</w:t>
      </w:r>
    </w:p>
    <w:p>
      <w:pPr>
        <w:numPr>
          <w:ilvl w:val="0"/>
          <w:numId w:val="1377"/>
        </w:numPr>
        <w:pStyle w:val="Compact"/>
      </w:pPr>
      <w:r>
        <w:t xml:space="preserve">2016 · Chen WR ·</w:t>
      </w:r>
      <w:r>
        <w:t xml:space="preserve"> </w:t>
      </w:r>
      <w:r>
        <w:rPr>
          <w:iCs/>
          <w:i/>
        </w:rPr>
        <w:t xml:space="preserve">Endocrine</w:t>
      </w:r>
      <w:r>
        <w:t xml:space="preserve"> </w:t>
      </w:r>
      <w:r>
        <w:t xml:space="preserve">· Effects of liraglutide on left ventricular function in patients with non-ST-segment elevation myocardial infarction. PMID 26573925</w:t>
      </w:r>
    </w:p>
    <w:p>
      <w:pPr>
        <w:numPr>
          <w:ilvl w:val="0"/>
          <w:numId w:val="1377"/>
        </w:numPr>
        <w:pStyle w:val="Compact"/>
      </w:pPr>
      <w:r>
        <w:t xml:space="preserve">2016 · de Wit HM ·</w:t>
      </w:r>
      <w:r>
        <w:t xml:space="preserve"> </w:t>
      </w:r>
      <w:r>
        <w:rPr>
          <w:iCs/>
          <w:i/>
        </w:rPr>
        <w:t xml:space="preserve">J Intern Med</w:t>
      </w:r>
      <w:r>
        <w:t xml:space="preserve"> </w:t>
      </w:r>
      <w:r>
        <w:t xml:space="preserve">· Durable efficacy of liraglutide in patients with type 2 diabetes and pronounced insulin-associated weight gain: 52-week results from the Effect of Liraglutide on insulin-associated wEight GAiN in patients with Type 2 diabetes’ (ELEGANT) randomized controlled trial. PMID 26553486</w:t>
      </w:r>
    </w:p>
    <w:p>
      <w:pPr>
        <w:numPr>
          <w:ilvl w:val="0"/>
          <w:numId w:val="1377"/>
        </w:numPr>
        <w:pStyle w:val="Compact"/>
      </w:pPr>
      <w:r>
        <w:t xml:space="preserve">2016 · Armstrong MJ ·</w:t>
      </w:r>
      <w:r>
        <w:t xml:space="preserve"> </w:t>
      </w:r>
      <w:r>
        <w:rPr>
          <w:iCs/>
          <w:i/>
        </w:rPr>
        <w:t xml:space="preserve">J Hepatol</w:t>
      </w:r>
      <w:r>
        <w:t xml:space="preserve"> </w:t>
      </w:r>
      <w:r>
        <w:t xml:space="preserve">· Glucagon-like peptide 1 decreases lipotoxicity in non-alcoholic steatohepatitis. PMID 26394161</w:t>
      </w:r>
    </w:p>
    <w:p>
      <w:pPr>
        <w:numPr>
          <w:ilvl w:val="0"/>
          <w:numId w:val="1377"/>
        </w:numPr>
        <w:pStyle w:val="Compact"/>
      </w:pPr>
      <w:r>
        <w:t xml:space="preserve">2016 · Nauck MA ·</w:t>
      </w:r>
      <w:r>
        <w:t xml:space="preserve"> </w:t>
      </w:r>
      <w:r>
        <w:rPr>
          <w:iCs/>
          <w:i/>
        </w:rPr>
        <w:t xml:space="preserve">Diabetes Care</w:t>
      </w:r>
      <w:r>
        <w:t xml:space="preserve"> </w:t>
      </w:r>
      <w:r>
        <w:t xml:space="preserve">· A Phase 2, Randomized, Dose-Finding Study of the Novel Once-Weekly Human GLP-1 Analog, Semaglutide, Compared With Placebo and Open-Label Liraglutide in Patients With Type 2 Diabetes. PMID 26358288</w:t>
      </w:r>
    </w:p>
    <w:p>
      <w:pPr>
        <w:numPr>
          <w:ilvl w:val="0"/>
          <w:numId w:val="1377"/>
        </w:numPr>
        <w:pStyle w:val="Compact"/>
      </w:pPr>
      <w:r>
        <w:t xml:space="preserve">2016 · Idorn T ·</w:t>
      </w:r>
      <w:r>
        <w:t xml:space="preserve"> </w:t>
      </w:r>
      <w:r>
        <w:rPr>
          <w:iCs/>
          <w:i/>
        </w:rPr>
        <w:t xml:space="preserve">Diabetes Care</w:t>
      </w:r>
      <w:r>
        <w:t xml:space="preserve"> </w:t>
      </w:r>
      <w:r>
        <w:t xml:space="preserve">· Safety and Efficacy of Liraglutide in Patients With Type 2 Diabetes and End-Stage Renal Disease: An Investigator-Initiated, Placebo-Controlled, Double-Blind, Parallel-Group, Randomized Trial. PMID 26283739</w:t>
      </w:r>
    </w:p>
    <w:p>
      <w:pPr>
        <w:numPr>
          <w:ilvl w:val="0"/>
          <w:numId w:val="1377"/>
        </w:numPr>
        <w:pStyle w:val="Compact"/>
      </w:pPr>
      <w:r>
        <w:t xml:space="preserve">2016 · Ten Kulve JS ·</w:t>
      </w:r>
      <w:r>
        <w:t xml:space="preserve"> </w:t>
      </w:r>
      <w:r>
        <w:rPr>
          <w:iCs/>
          <w:i/>
        </w:rPr>
        <w:t xml:space="preserve">Diabetes Care</w:t>
      </w:r>
      <w:r>
        <w:t xml:space="preserve"> </w:t>
      </w:r>
      <w:r>
        <w:t xml:space="preserve">· Liraglutide Reduces CNS Activation in Response to Visual Food Cues Only After Short-term Treatment in Patients With Type 2 Diabetes. PMID 26283736</w:t>
      </w:r>
    </w:p>
    <w:p>
      <w:pPr>
        <w:numPr>
          <w:ilvl w:val="0"/>
          <w:numId w:val="1377"/>
        </w:numPr>
        <w:pStyle w:val="Compact"/>
      </w:pPr>
      <w:r>
        <w:t xml:space="preserve">2015 · Smits MM ·</w:t>
      </w:r>
      <w:r>
        <w:t xml:space="preserve"> </w:t>
      </w:r>
      <w:r>
        <w:rPr>
          <w:iCs/>
          <w:i/>
        </w:rPr>
        <w:t xml:space="preserve">BMJ Open</w:t>
      </w:r>
      <w:r>
        <w:t xml:space="preserve"> </w:t>
      </w:r>
      <w:r>
        <w:t xml:space="preserve">· Cardiovascular, renal and gastrointestinal effects of incretin-based therapies: an acute and 12-week randomised, double-blind, placebo-controlled, mechanistic intervention trial in type 2 diabetes. PMID 26586327</w:t>
      </w:r>
    </w:p>
    <w:p>
      <w:pPr>
        <w:numPr>
          <w:ilvl w:val="0"/>
          <w:numId w:val="1377"/>
        </w:numPr>
        <w:pStyle w:val="Compact"/>
      </w:pPr>
      <w:r>
        <w:t xml:space="preserve">2015 · Chen WR ·</w:t>
      </w:r>
      <w:r>
        <w:t xml:space="preserve"> </w:t>
      </w:r>
      <w:r>
        <w:rPr>
          <w:iCs/>
          <w:i/>
        </w:rPr>
        <w:t xml:space="preserve">Am Heart J</w:t>
      </w:r>
      <w:r>
        <w:t xml:space="preserve"> </w:t>
      </w:r>
      <w:r>
        <w:t xml:space="preserve">· Effects of liraglutide on left ventricular function in patients with ST-segment elevation myocardial infarction undergoing primary percutaneous coronary intervention. PMID 26542491</w:t>
      </w:r>
    </w:p>
    <w:p>
      <w:pPr>
        <w:numPr>
          <w:ilvl w:val="0"/>
          <w:numId w:val="1377"/>
        </w:numPr>
        <w:pStyle w:val="Compact"/>
      </w:pPr>
      <w:r>
        <w:t xml:space="preserve">2015 · Lind M ·</w:t>
      </w:r>
      <w:r>
        <w:t xml:space="preserve"> </w:t>
      </w:r>
      <w:r>
        <w:rPr>
          <w:iCs/>
          <w:i/>
        </w:rPr>
        <w:t xml:space="preserve">BMJ</w:t>
      </w:r>
      <w:r>
        <w:t xml:space="preserve"> </w:t>
      </w:r>
      <w:r>
        <w:t xml:space="preserve">· Liraglutide in people treated for type 2 diabetes with multiple daily insulin injections: randomised clinical trial (MDI Liraglutide trial). PMID 26512041</w:t>
      </w:r>
    </w:p>
    <w:p>
      <w:pPr>
        <w:numPr>
          <w:ilvl w:val="0"/>
          <w:numId w:val="1377"/>
        </w:numPr>
        <w:pStyle w:val="Compact"/>
      </w:pPr>
      <w:r>
        <w:t xml:space="preserve">2015 · Frandsen CS ·</w:t>
      </w:r>
      <w:r>
        <w:t xml:space="preserve"> </w:t>
      </w:r>
      <w:r>
        <w:rPr>
          <w:iCs/>
          <w:i/>
        </w:rPr>
        <w:t xml:space="preserve">Diabetes Care</w:t>
      </w:r>
      <w:r>
        <w:t xml:space="preserve"> </w:t>
      </w:r>
      <w:r>
        <w:t xml:space="preserve">· Twelve-Week Treatment With Liraglutide as Add-on to Insulin in Normal-Weight Patients With Poorly Controlled Type 1 Diabetes: A Randomized, Placebo-Controlled, Double-Blind Parallel Study. PMID 26486191</w:t>
      </w:r>
    </w:p>
    <w:p>
      <w:pPr>
        <w:numPr>
          <w:ilvl w:val="0"/>
          <w:numId w:val="1377"/>
        </w:numPr>
        <w:pStyle w:val="Compact"/>
      </w:pPr>
      <w:r>
        <w:t xml:space="preserve">2015 · Holst JJ ·</w:t>
      </w:r>
      <w:r>
        <w:t xml:space="preserve"> </w:t>
      </w:r>
      <w:r>
        <w:rPr>
          <w:iCs/>
          <w:i/>
        </w:rPr>
        <w:t xml:space="preserve">J Diabetes Sci Technol</w:t>
      </w:r>
      <w:r>
        <w:t xml:space="preserve"> </w:t>
      </w:r>
      <w:r>
        <w:t xml:space="preserve">· IDegLira Improves Both Fasting and Postprandial Glucose Control as Demonstrated Using Continuous Glucose Monitoring and a Standardized Meal Test. PMID 26443290</w:t>
      </w:r>
    </w:p>
    <w:p>
      <w:pPr>
        <w:numPr>
          <w:ilvl w:val="0"/>
          <w:numId w:val="1377"/>
        </w:numPr>
        <w:pStyle w:val="Compact"/>
      </w:pPr>
      <w:r>
        <w:t xml:space="preserve">2015 · Malm-Erjefält M ·</w:t>
      </w:r>
      <w:r>
        <w:t xml:space="preserve"> </w:t>
      </w:r>
      <w:r>
        <w:rPr>
          <w:iCs/>
          <w:i/>
        </w:rPr>
        <w:t xml:space="preserve">Mol Pharm</w:t>
      </w:r>
      <w:r>
        <w:t xml:space="preserve"> </w:t>
      </w:r>
      <w:r>
        <w:t xml:space="preserve">· Effect on the Gastrointestinal Absorption of Drugs from Different Classes in the Biopharmaceutics Classification System, When Treating with Liraglutide. PMID 26426736</w:t>
      </w:r>
    </w:p>
    <w:p>
      <w:pPr>
        <w:numPr>
          <w:ilvl w:val="0"/>
          <w:numId w:val="1377"/>
        </w:numPr>
        <w:pStyle w:val="Compact"/>
      </w:pPr>
      <w:r>
        <w:t xml:space="preserve">2015 · Li D ·</w:t>
      </w:r>
      <w:r>
        <w:t xml:space="preserve"> </w:t>
      </w:r>
      <w:r>
        <w:rPr>
          <w:iCs/>
          <w:i/>
        </w:rPr>
        <w:t xml:space="preserve">Diabetes Res Clin Pract</w:t>
      </w:r>
      <w:r>
        <w:t xml:space="preserve"> </w:t>
      </w:r>
      <w:r>
        <w:t xml:space="preserve">· Liraglutide treatment causes upregulation of adiponectin and downregulation of resistin in Chinese type 2 diabetes. PMID 26376464</w:t>
      </w:r>
    </w:p>
    <w:p>
      <w:pPr>
        <w:numPr>
          <w:ilvl w:val="0"/>
          <w:numId w:val="1377"/>
        </w:numPr>
        <w:pStyle w:val="Compact"/>
      </w:pPr>
      <w:r>
        <w:t xml:space="preserve">2015 · Tanaka K ·</w:t>
      </w:r>
      <w:r>
        <w:t xml:space="preserve"> </w:t>
      </w:r>
      <w:r>
        <w:rPr>
          <w:iCs/>
          <w:i/>
        </w:rPr>
        <w:t xml:space="preserve">Clin Drug Investig</w:t>
      </w:r>
      <w:r>
        <w:t xml:space="preserve"> </w:t>
      </w:r>
      <w:r>
        <w:t xml:space="preserve">· Effects of Liraglutide Monotherapy on Beta Cell Function and Pancreatic Enzymes Compared with Metformin in Japanese Overweight/Obese Patients with Type 2 Diabetes Mellitus: A Subpopulation Analysis of the KIND-LM Randomized Trial. PMID 26369653</w:t>
      </w:r>
    </w:p>
    <w:p>
      <w:pPr>
        <w:numPr>
          <w:ilvl w:val="0"/>
          <w:numId w:val="1377"/>
        </w:numPr>
        <w:pStyle w:val="Compact"/>
      </w:pPr>
      <w:r>
        <w:t xml:space="preserve">2015 · Ma Z ·</w:t>
      </w:r>
      <w:r>
        <w:t xml:space="preserve"> </w:t>
      </w:r>
      <w:r>
        <w:rPr>
          <w:iCs/>
          <w:i/>
        </w:rPr>
        <w:t xml:space="preserve">Int J Clin Pharmacol Ther</w:t>
      </w:r>
      <w:r>
        <w:t xml:space="preserve"> </w:t>
      </w:r>
      <w:r>
        <w:t xml:space="preserve">· Effect of liraglutide vs. NPH in combination with metformin on blood glucose fluctuations assessed using continuous glucose monitoring in patients with newly diagnosed type 2 diabetes. PMID 26365337</w:t>
      </w:r>
    </w:p>
    <w:p>
      <w:pPr>
        <w:numPr>
          <w:ilvl w:val="0"/>
          <w:numId w:val="1377"/>
        </w:numPr>
        <w:pStyle w:val="Compact"/>
      </w:pPr>
      <w:r>
        <w:t xml:space="preserve">2015 · Østoft SH ·</w:t>
      </w:r>
      <w:r>
        <w:t xml:space="preserve"> </w:t>
      </w:r>
      <w:r>
        <w:rPr>
          <w:iCs/>
          <w:i/>
        </w:rPr>
        <w:t xml:space="preserve">Dan Med J</w:t>
      </w:r>
      <w:r>
        <w:t xml:space="preserve"> </w:t>
      </w:r>
      <w:r>
        <w:t xml:space="preserve">· Incretin hormones and maturity onset diabetes of the young–pathophysiological implications and anti-diabetic treatment potential. PMID 26324089</w:t>
      </w:r>
    </w:p>
    <w:p>
      <w:pPr>
        <w:numPr>
          <w:ilvl w:val="0"/>
          <w:numId w:val="1377"/>
        </w:numPr>
        <w:pStyle w:val="Compact"/>
      </w:pPr>
      <w:r>
        <w:t xml:space="preserve">2015 · Nomoto H ·</w:t>
      </w:r>
      <w:r>
        <w:t xml:space="preserve"> </w:t>
      </w:r>
      <w:r>
        <w:rPr>
          <w:iCs/>
          <w:i/>
        </w:rPr>
        <w:t xml:space="preserve">PLoS One</w:t>
      </w:r>
      <w:r>
        <w:t xml:space="preserve"> </w:t>
      </w:r>
      <w:r>
        <w:t xml:space="preserve">· A Comparison of the Effects of the GLP-1 Analogue Liraglutide and Insulin Glargine on Endothelial Function and Metabolic Parameters: A Randomized, Controlled Trial Sapporo Athero-Incretin Study 2 (SAIS2). PMID 26284918</w:t>
      </w:r>
    </w:p>
    <w:p>
      <w:pPr>
        <w:numPr>
          <w:ilvl w:val="0"/>
          <w:numId w:val="1377"/>
        </w:numPr>
        <w:pStyle w:val="Compact"/>
      </w:pPr>
      <w:r>
        <w:t xml:space="preserve">2015 · Davies MJ ·</w:t>
      </w:r>
      <w:r>
        <w:t xml:space="preserve"> </w:t>
      </w:r>
      <w:r>
        <w:rPr>
          <w:iCs/>
          <w:i/>
        </w:rPr>
        <w:t xml:space="preserve">JAMA</w:t>
      </w:r>
      <w:r>
        <w:t xml:space="preserve"> </w:t>
      </w:r>
      <w:r>
        <w:t xml:space="preserve">· Efficacy of Liraglutide for Weight Loss Among Patients With Type 2 Diabetes: The SCALE Diabetes Randomized Clinical Trial. PMID 26284720</w:t>
      </w:r>
    </w:p>
    <w:p>
      <w:pPr>
        <w:numPr>
          <w:ilvl w:val="0"/>
          <w:numId w:val="1377"/>
        </w:numPr>
        <w:pStyle w:val="Compact"/>
      </w:pPr>
      <w:r>
        <w:t xml:space="preserve">2015 · Yan L ·</w:t>
      </w:r>
      <w:r>
        <w:t xml:space="preserve"> </w:t>
      </w:r>
      <w:r>
        <w:rPr>
          <w:iCs/>
          <w:i/>
        </w:rPr>
        <w:t xml:space="preserve">Zhonghua Nei Ke Za Zhi</w:t>
      </w:r>
      <w:r>
        <w:t xml:space="preserve"> </w:t>
      </w:r>
      <w:r>
        <w:t xml:space="preserve">· [The efficacy and safety of human glucagon-like peptide-1 analogue liraglutide in newly diagnosed type 2 diabetes with glycosylated hemoglobin A1c &gt; 9]. PMID 26268058</w:t>
      </w:r>
    </w:p>
    <w:p>
      <w:pPr>
        <w:numPr>
          <w:ilvl w:val="0"/>
          <w:numId w:val="1377"/>
        </w:numPr>
        <w:pStyle w:val="Compact"/>
      </w:pPr>
      <w:r>
        <w:t xml:space="preserve">2015 · Kramer CK ·</w:t>
      </w:r>
      <w:r>
        <w:t xml:space="preserve"> </w:t>
      </w:r>
      <w:r>
        <w:rPr>
          <w:iCs/>
          <w:i/>
        </w:rPr>
        <w:t xml:space="preserve">J Clin Endocrinol Metab</w:t>
      </w:r>
      <w:r>
        <w:t xml:space="preserve"> </w:t>
      </w:r>
      <w:r>
        <w:t xml:space="preserve">· The Impact of Chronic Liraglutide Therapy on Glucagon Secretion in Type 2 Diabetes: Insight From the LIBRA Trial. PMID 26230296</w:t>
      </w:r>
    </w:p>
    <w:p>
      <w:pPr>
        <w:numPr>
          <w:ilvl w:val="0"/>
          <w:numId w:val="1377"/>
        </w:numPr>
        <w:pStyle w:val="Compact"/>
      </w:pPr>
      <w:r>
        <w:t xml:space="preserve">2015 · Rizvi AA ·</w:t>
      </w:r>
      <w:r>
        <w:t xml:space="preserve"> </w:t>
      </w:r>
      <w:r>
        <w:rPr>
          <w:iCs/>
          <w:i/>
        </w:rPr>
        <w:t xml:space="preserve">Expert Opin Biol Ther</w:t>
      </w:r>
      <w:r>
        <w:t xml:space="preserve"> </w:t>
      </w:r>
      <w:r>
        <w:t xml:space="preserve">· Liraglutide improves carotid intima-media thickness in patients with type 2 diabetes and non-alcoholic fatty liver disease: an 8-month prospective pilot study. PMID 26195184</w:t>
      </w:r>
    </w:p>
    <w:p>
      <w:pPr>
        <w:numPr>
          <w:ilvl w:val="0"/>
          <w:numId w:val="1377"/>
        </w:numPr>
        <w:pStyle w:val="Compact"/>
      </w:pPr>
      <w:r>
        <w:t xml:space="preserve">2015 · Fujioka K ·</w:t>
      </w:r>
      <w:r>
        <w:t xml:space="preserve"> </w:t>
      </w:r>
      <w:r>
        <w:rPr>
          <w:iCs/>
          <w:i/>
        </w:rPr>
        <w:t xml:space="preserve">J Diabetes Sci Technol</w:t>
      </w:r>
      <w:r>
        <w:t xml:space="preserve"> </w:t>
      </w:r>
      <w:r>
        <w:t xml:space="preserve">· Usability of the Novel Liraglutide 3.0 mg Pen Injector Among Overweight or Obese Adult Patients With or Without Prior Injection Experience. PMID 26183599</w:t>
      </w:r>
    </w:p>
    <w:p>
      <w:pPr>
        <w:numPr>
          <w:ilvl w:val="0"/>
          <w:numId w:val="1377"/>
        </w:numPr>
        <w:pStyle w:val="Compact"/>
      </w:pPr>
      <w:r>
        <w:t xml:space="preserve">2015 · Ahmann A ·</w:t>
      </w:r>
      <w:r>
        <w:t xml:space="preserve"> </w:t>
      </w:r>
      <w:r>
        <w:rPr>
          <w:iCs/>
          <w:i/>
        </w:rPr>
        <w:t xml:space="preserve">Diabetes Obes Metab</w:t>
      </w:r>
      <w:r>
        <w:t xml:space="preserve"> </w:t>
      </w:r>
      <w:r>
        <w:t xml:space="preserve">· Efficacy and safety of liraglutide versus placebo added to basal insulin analogues (with or without metformin) in patients with type 2 diabetes: a randomized, placebo-controlled trial. PMID 26179619</w:t>
      </w:r>
    </w:p>
    <w:p>
      <w:pPr>
        <w:numPr>
          <w:ilvl w:val="0"/>
          <w:numId w:val="1377"/>
        </w:numPr>
        <w:pStyle w:val="Compact"/>
      </w:pPr>
      <w:r>
        <w:t xml:space="preserve">2015 · Miyagawa J ·</w:t>
      </w:r>
      <w:r>
        <w:t xml:space="preserve"> </w:t>
      </w:r>
      <w:r>
        <w:rPr>
          <w:iCs/>
          <w:i/>
        </w:rPr>
        <w:t xml:space="preserve">Diabetes Obes Metab</w:t>
      </w:r>
      <w:r>
        <w:t xml:space="preserve"> </w:t>
      </w:r>
      <w:r>
        <w:t xml:space="preserve">· Once-weekly glucagon-like peptide-1 receptor agonist dulaglutide is non-inferior to once-daily liraglutide and superior to placebo in Japanese patients with type 2 diabetes: a 26-week randomized phase III study. PMID 26179187</w:t>
      </w:r>
    </w:p>
    <w:p>
      <w:pPr>
        <w:numPr>
          <w:ilvl w:val="0"/>
          <w:numId w:val="1377"/>
        </w:numPr>
        <w:pStyle w:val="Compact"/>
      </w:pPr>
      <w:r>
        <w:t xml:space="preserve">2015 · Pi-Sunyer X ·</w:t>
      </w:r>
      <w:r>
        <w:t xml:space="preserve"> </w:t>
      </w:r>
      <w:r>
        <w:rPr>
          <w:iCs/>
          <w:i/>
        </w:rPr>
        <w:t xml:space="preserve">N Engl J Med</w:t>
      </w:r>
      <w:r>
        <w:t xml:space="preserve"> </w:t>
      </w:r>
      <w:r>
        <w:t xml:space="preserve">· A Randomized, Controlled Trial of 3.0 mg of Liraglutide in Weight Management. PMID 26132939</w:t>
      </w:r>
    </w:p>
    <w:p>
      <w:pPr>
        <w:numPr>
          <w:ilvl w:val="0"/>
          <w:numId w:val="1377"/>
        </w:numPr>
        <w:pStyle w:val="Compact"/>
      </w:pPr>
      <w:r>
        <w:t xml:space="preserve">2015 · Iepsen EW ·</w:t>
      </w:r>
      <w:r>
        <w:t xml:space="preserve"> </w:t>
      </w:r>
      <w:r>
        <w:rPr>
          <w:iCs/>
          <w:i/>
        </w:rPr>
        <w:t xml:space="preserve">J Clin Endocrinol Metab</w:t>
      </w:r>
      <w:r>
        <w:t xml:space="preserve"> </w:t>
      </w:r>
      <w:r>
        <w:t xml:space="preserve">· GLP-1 Receptor Agonist Treatment Increases Bone Formation and Prevents Bone Loss in Weight-Reduced Obese Women. PMID 26043228</w:t>
      </w:r>
    </w:p>
    <w:p>
      <w:pPr>
        <w:numPr>
          <w:ilvl w:val="0"/>
          <w:numId w:val="1377"/>
        </w:numPr>
        <w:pStyle w:val="Compact"/>
      </w:pPr>
      <w:r>
        <w:t xml:space="preserve">2015 · Jensterle M ·</w:t>
      </w:r>
      <w:r>
        <w:t xml:space="preserve"> </w:t>
      </w:r>
      <w:r>
        <w:rPr>
          <w:iCs/>
          <w:i/>
        </w:rPr>
        <w:t xml:space="preserve">J Ovarian Res</w:t>
      </w:r>
      <w:r>
        <w:t xml:space="preserve"> </w:t>
      </w:r>
      <w:r>
        <w:t xml:space="preserve">· Short term monotherapy with GLP-1 receptor agonist liraglutide or PDE 4 inhibitor roflumilast is superior to metformin in weight loss in obese PCOS women: a pilot randomized study. PMID 26032655</w:t>
      </w:r>
    </w:p>
    <w:p>
      <w:pPr>
        <w:numPr>
          <w:ilvl w:val="0"/>
          <w:numId w:val="1377"/>
        </w:numPr>
        <w:pStyle w:val="Compact"/>
      </w:pPr>
      <w:r>
        <w:t xml:space="preserve">2015 · Kapitza C ·</w:t>
      </w:r>
      <w:r>
        <w:t xml:space="preserve"> </w:t>
      </w:r>
      <w:r>
        <w:rPr>
          <w:iCs/>
          <w:i/>
        </w:rPr>
        <w:t xml:space="preserve">J Clin Pharmacol</w:t>
      </w:r>
      <w:r>
        <w:t xml:space="preserve"> </w:t>
      </w:r>
      <w:r>
        <w:t xml:space="preserve">· Preserved pharmacokinetic exposure and distinct glycemic effects of insulin degludec and liraglutide in IDegLira, a fixed-ratio combination therapy. PMID 25998481</w:t>
      </w:r>
    </w:p>
    <w:p>
      <w:pPr>
        <w:numPr>
          <w:ilvl w:val="0"/>
          <w:numId w:val="1377"/>
        </w:numPr>
        <w:pStyle w:val="Compact"/>
      </w:pPr>
      <w:r>
        <w:t xml:space="preserve">2015 · Jensterle M ·</w:t>
      </w:r>
      <w:r>
        <w:t xml:space="preserve"> </w:t>
      </w:r>
      <w:r>
        <w:rPr>
          <w:iCs/>
          <w:i/>
        </w:rPr>
        <w:t xml:space="preserve">Eur J Clin Pharmacol</w:t>
      </w:r>
      <w:r>
        <w:t xml:space="preserve"> </w:t>
      </w:r>
      <w:r>
        <w:t xml:space="preserve">· Genetic variability in GLP-1 receptor is associated with inter-individual differences in weight lowering potential of liraglutide in obese women with PCOS: a pilot study. PMID 25991051</w:t>
      </w:r>
    </w:p>
    <w:p>
      <w:pPr>
        <w:numPr>
          <w:ilvl w:val="0"/>
          <w:numId w:val="1377"/>
        </w:numPr>
        <w:pStyle w:val="Compact"/>
      </w:pPr>
      <w:r>
        <w:t xml:space="preserve">2015 · Gough SC ·</w:t>
      </w:r>
      <w:r>
        <w:t xml:space="preserve"> </w:t>
      </w:r>
      <w:r>
        <w:rPr>
          <w:iCs/>
          <w:i/>
        </w:rPr>
        <w:t xml:space="preserve">Diabetes Obes Metab</w:t>
      </w:r>
      <w:r>
        <w:t xml:space="preserve"> </w:t>
      </w:r>
      <w:r>
        <w:t xml:space="preserve">· One-year efficacy and safety of a fixed combination of insulin degludec and liraglutide in patients with type 2 diabetes: results of a 26-week extension to a 26-week main trial. PMID 25980900</w:t>
      </w:r>
    </w:p>
    <w:p>
      <w:pPr>
        <w:numPr>
          <w:ilvl w:val="0"/>
          <w:numId w:val="1377"/>
        </w:numPr>
        <w:pStyle w:val="Compact"/>
      </w:pPr>
      <w:r>
        <w:t xml:space="preserve">2015 · von Scholten BJ ·</w:t>
      </w:r>
      <w:r>
        <w:t xml:space="preserve"> </w:t>
      </w:r>
      <w:r>
        <w:rPr>
          <w:iCs/>
          <w:i/>
        </w:rPr>
        <w:t xml:space="preserve">J Diabetes Complications</w:t>
      </w:r>
      <w:r>
        <w:t xml:space="preserve"> </w:t>
      </w:r>
      <w:r>
        <w:t xml:space="preserve">· Glucagon-like peptide 1 receptor agonist (GLP-1 RA): long-term effect on kidney function in patients with type 2 diabetes. PMID 25935863</w:t>
      </w:r>
    </w:p>
    <w:p>
      <w:pPr>
        <w:numPr>
          <w:ilvl w:val="0"/>
          <w:numId w:val="1377"/>
        </w:numPr>
        <w:pStyle w:val="Compact"/>
      </w:pPr>
      <w:r>
        <w:t xml:space="preserve">2015 · Faber R ·</w:t>
      </w:r>
      <w:r>
        <w:t xml:space="preserve"> </w:t>
      </w:r>
      <w:r>
        <w:rPr>
          <w:iCs/>
          <w:i/>
        </w:rPr>
        <w:t xml:space="preserve">Cardiovasc Diabetol</w:t>
      </w:r>
      <w:r>
        <w:t xml:space="preserve"> </w:t>
      </w:r>
      <w:r>
        <w:t xml:space="preserve">· Effect of the glucagon-like peptide-1 analogue liraglutide on coronary microvascular function in patients with type 2 diabetes - a randomized, single-blinded, cross-over pilot study. PMID 25896352</w:t>
      </w:r>
    </w:p>
    <w:p>
      <w:pPr>
        <w:numPr>
          <w:ilvl w:val="0"/>
          <w:numId w:val="1377"/>
        </w:numPr>
        <w:pStyle w:val="Compact"/>
      </w:pPr>
      <w:r>
        <w:t xml:space="preserve">2015 · Meier JJ ·</w:t>
      </w:r>
      <w:r>
        <w:t xml:space="preserve"> </w:t>
      </w:r>
      <w:r>
        <w:rPr>
          <w:iCs/>
          <w:i/>
        </w:rPr>
        <w:t xml:space="preserve">Diabetes Care</w:t>
      </w:r>
      <w:r>
        <w:t xml:space="preserve"> </w:t>
      </w:r>
      <w:r>
        <w:t xml:space="preserve">· Contrasting Effects of Lixisenatide and Liraglutide on Postprandial Glycemic Control, Gastric Emptying, and Safety Parameters in Patients With Type 2 Diabetes on Optimized Insulin Glargine With or Without Metformin: A Randomized, Open-Label Trial. PMID 25887358</w:t>
      </w:r>
    </w:p>
    <w:p>
      <w:pPr>
        <w:numPr>
          <w:ilvl w:val="0"/>
          <w:numId w:val="1377"/>
        </w:numPr>
        <w:pStyle w:val="Compact"/>
      </w:pPr>
      <w:r>
        <w:t xml:space="preserve">2015 · Jensterle M ·</w:t>
      </w:r>
      <w:r>
        <w:t xml:space="preserve"> </w:t>
      </w:r>
      <w:r>
        <w:rPr>
          <w:iCs/>
          <w:i/>
        </w:rPr>
        <w:t xml:space="preserve">Hormones (Athens)</w:t>
      </w:r>
      <w:r>
        <w:t xml:space="preserve"> </w:t>
      </w:r>
      <w:r>
        <w:t xml:space="preserve">· A 12-week treatment with the long-acting glucagon-like peptide 1 receptor agonist liraglutide leads to significant weight loss in a subset of obese women with newly diagnosed polycystic ovary syndrome. PMID 25885106</w:t>
      </w:r>
    </w:p>
    <w:p>
      <w:pPr>
        <w:numPr>
          <w:ilvl w:val="0"/>
          <w:numId w:val="1377"/>
        </w:numPr>
        <w:pStyle w:val="Compact"/>
      </w:pPr>
      <w:r>
        <w:t xml:space="preserve">2015 · Kahal H ·</w:t>
      </w:r>
      <w:r>
        <w:t xml:space="preserve"> </w:t>
      </w:r>
      <w:r>
        <w:rPr>
          <w:iCs/>
          <w:i/>
        </w:rPr>
        <w:t xml:space="preserve">BMC Endocr Disord</w:t>
      </w:r>
      <w:r>
        <w:t xml:space="preserve"> </w:t>
      </w:r>
      <w:r>
        <w:t xml:space="preserve">· The effects of treatment with liraglutide on atherothrombotic risk in obese young women with polycystic ovary syndrome and controls. PMID 25880805</w:t>
      </w:r>
    </w:p>
    <w:p>
      <w:pPr>
        <w:numPr>
          <w:ilvl w:val="0"/>
          <w:numId w:val="1377"/>
        </w:numPr>
        <w:pStyle w:val="Compact"/>
      </w:pPr>
      <w:r>
        <w:t xml:space="preserve">2015 · Robert SA ·</w:t>
      </w:r>
      <w:r>
        <w:t xml:space="preserve"> </w:t>
      </w:r>
      <w:r>
        <w:rPr>
          <w:iCs/>
          <w:i/>
        </w:rPr>
        <w:t xml:space="preserve">Obes Res Clin Pract</w:t>
      </w:r>
      <w:r>
        <w:t xml:space="preserve"> </w:t>
      </w:r>
      <w:r>
        <w:t xml:space="preserve">· Improvement in binge eating in non-diabetic obese individuals after 3 months of treatment with liraglutide - A pilot study. PMID 25870084</w:t>
      </w:r>
    </w:p>
    <w:p>
      <w:pPr>
        <w:numPr>
          <w:ilvl w:val="0"/>
          <w:numId w:val="1377"/>
        </w:numPr>
        <w:pStyle w:val="Compact"/>
      </w:pPr>
      <w:r>
        <w:t xml:space="preserve">2015 · Pieber TR ·</w:t>
      </w:r>
      <w:r>
        <w:t xml:space="preserve"> </w:t>
      </w:r>
      <w:r>
        <w:rPr>
          <w:iCs/>
          <w:i/>
        </w:rPr>
        <w:t xml:space="preserve">Diabetes Obes Metab</w:t>
      </w:r>
      <w:r>
        <w:t xml:space="preserve"> </w:t>
      </w:r>
      <w:r>
        <w:t xml:space="preserve">· Counter-regulatory hormone responses to hypoglycaemia in people with type 1 diabetes after 4 weeks of treatment with liraglutide adjunct to insulin: a randomized, placebo-controlled, double-blind, crossover trial. PMID 25855340</w:t>
      </w:r>
    </w:p>
    <w:p>
      <w:pPr>
        <w:numPr>
          <w:ilvl w:val="0"/>
          <w:numId w:val="1377"/>
        </w:numPr>
        <w:pStyle w:val="Compact"/>
      </w:pPr>
      <w:r>
        <w:t xml:space="preserve">2015 · Myat A ·</w:t>
      </w:r>
      <w:r>
        <w:t xml:space="preserve"> </w:t>
      </w:r>
      <w:r>
        <w:rPr>
          <w:iCs/>
          <w:i/>
        </w:rPr>
        <w:t xml:space="preserve">Cardiovasc Diabetol</w:t>
      </w:r>
      <w:r>
        <w:t xml:space="preserve"> </w:t>
      </w:r>
      <w:r>
        <w:t xml:space="preserve">· Design and rationale for the randomised, double-blinded, placebo-controlled Liraglutide to Improve corONary haemodynamics during Exercise streSS (LIONESS) crossover study. PMID 25848859</w:t>
      </w:r>
    </w:p>
    <w:p>
      <w:pPr>
        <w:numPr>
          <w:ilvl w:val="0"/>
          <w:numId w:val="1377"/>
        </w:numPr>
        <w:pStyle w:val="Compact"/>
      </w:pPr>
      <w:r>
        <w:t xml:space="preserve">2015 · Dejgaard TF ·</w:t>
      </w:r>
      <w:r>
        <w:t xml:space="preserve"> </w:t>
      </w:r>
      <w:r>
        <w:rPr>
          <w:iCs/>
          <w:i/>
        </w:rPr>
        <w:t xml:space="preserve">BMJ Open</w:t>
      </w:r>
      <w:r>
        <w:t xml:space="preserve"> </w:t>
      </w:r>
      <w:r>
        <w:t xml:space="preserve">· Efficacy and safety of the glucagon-like peptide-1 receptor agonist liraglutide added to insulin therapy in poorly regulated patients with type 1 diabetes–a protocol for a randomised, double-blind, placebo-controlled study: the Lira-1 study. PMID 25838513</w:t>
      </w:r>
    </w:p>
    <w:p>
      <w:pPr>
        <w:numPr>
          <w:ilvl w:val="0"/>
          <w:numId w:val="1377"/>
        </w:numPr>
        <w:pStyle w:val="Compact"/>
      </w:pPr>
      <w:r>
        <w:t xml:space="preserve">2015 · de Luis DA ·</w:t>
      </w:r>
      <w:r>
        <w:t xml:space="preserve"> </w:t>
      </w:r>
      <w:r>
        <w:rPr>
          <w:iCs/>
          <w:i/>
        </w:rPr>
        <w:t xml:space="preserve">J Diabetes Complications</w:t>
      </w:r>
      <w:r>
        <w:t xml:space="preserve"> </w:t>
      </w:r>
      <w:r>
        <w:t xml:space="preserve">· Evaluation of weight loss and metabolic changes in diabetic patients treated with liraglutide, effect of RS 6923761 gene variant of glucagon-like peptide 1 receptor. PMID 25825013</w:t>
      </w:r>
    </w:p>
    <w:p>
      <w:pPr>
        <w:numPr>
          <w:ilvl w:val="0"/>
          <w:numId w:val="1377"/>
        </w:numPr>
        <w:pStyle w:val="Compact"/>
      </w:pPr>
      <w:r>
        <w:t xml:space="preserve">2015 · Tang A ·</w:t>
      </w:r>
      <w:r>
        <w:t xml:space="preserve"> </w:t>
      </w:r>
      <w:r>
        <w:rPr>
          <w:iCs/>
          <w:i/>
        </w:rPr>
        <w:t xml:space="preserve">Diabetes Care</w:t>
      </w:r>
      <w:r>
        <w:t xml:space="preserve"> </w:t>
      </w:r>
      <w:r>
        <w:t xml:space="preserve">· Effects of Insulin Glargine and Liraglutide Therapy on Liver Fat as Measured by Magnetic Resonance in Patients With Type 2 Diabetes: A Randomized Trial. PMID 25813773</w:t>
      </w:r>
    </w:p>
    <w:p>
      <w:pPr>
        <w:numPr>
          <w:ilvl w:val="0"/>
          <w:numId w:val="1377"/>
        </w:numPr>
        <w:pStyle w:val="Compact"/>
      </w:pPr>
      <w:r>
        <w:t xml:space="preserve">2015 · Tanaka K ·</w:t>
      </w:r>
      <w:r>
        <w:t xml:space="preserve"> </w:t>
      </w:r>
      <w:r>
        <w:rPr>
          <w:iCs/>
          <w:i/>
        </w:rPr>
        <w:t xml:space="preserve">Endocr J</w:t>
      </w:r>
      <w:r>
        <w:t xml:space="preserve"> </w:t>
      </w:r>
      <w:r>
        <w:t xml:space="preserve">· Efficacy and safety of liraglutide monotherapy compared with metformin in Japanese overweight/obese patients with type 2 diabetes. PMID 25739726</w:t>
      </w:r>
    </w:p>
    <w:p>
      <w:pPr>
        <w:numPr>
          <w:ilvl w:val="0"/>
          <w:numId w:val="1377"/>
        </w:numPr>
        <w:pStyle w:val="Compact"/>
      </w:pPr>
      <w:r>
        <w:t xml:space="preserve">2015 · Ingwersen SH ·</w:t>
      </w:r>
      <w:r>
        <w:t xml:space="preserve"> </w:t>
      </w:r>
      <w:r>
        <w:rPr>
          <w:iCs/>
          <w:i/>
        </w:rPr>
        <w:t xml:space="preserve">Diabetes Res Clin Pract</w:t>
      </w:r>
      <w:r>
        <w:t xml:space="preserve"> </w:t>
      </w:r>
      <w:r>
        <w:t xml:space="preserve">· Liraglutide pharmacokinetics and dose-exposure response in Asian subjects with Type 2 diabetes from China, India and South Korea. PMID 25684604</w:t>
      </w:r>
    </w:p>
    <w:p>
      <w:pPr>
        <w:numPr>
          <w:ilvl w:val="0"/>
          <w:numId w:val="1377"/>
        </w:numPr>
        <w:pStyle w:val="Compact"/>
      </w:pPr>
      <w:r>
        <w:t xml:space="preserve">2015 · Inoue Y ·</w:t>
      </w:r>
      <w:r>
        <w:t xml:space="preserve"> </w:t>
      </w:r>
      <w:r>
        <w:rPr>
          <w:iCs/>
          <w:i/>
        </w:rPr>
        <w:t xml:space="preserve">J Clin Pharmacol</w:t>
      </w:r>
      <w:r>
        <w:t xml:space="preserve"> </w:t>
      </w:r>
      <w:r>
        <w:t xml:space="preserve">· A randomized controlled trial of liraglutide versus insulin detemir plus sitagliptin: Effective switch from intensive insulin therapy to the once-daily injection in patients with well-controlled type 2 diabetes. PMID 25677642</w:t>
      </w:r>
    </w:p>
    <w:p>
      <w:pPr>
        <w:numPr>
          <w:ilvl w:val="0"/>
          <w:numId w:val="1377"/>
        </w:numPr>
        <w:pStyle w:val="Compact"/>
      </w:pPr>
      <w:r>
        <w:t xml:space="preserve">2015 · Daniels GH ·</w:t>
      </w:r>
      <w:r>
        <w:t xml:space="preserve"> </w:t>
      </w:r>
      <w:r>
        <w:rPr>
          <w:iCs/>
          <w:i/>
        </w:rPr>
        <w:t xml:space="preserve">Diabetes Obes Metab</w:t>
      </w:r>
      <w:r>
        <w:t xml:space="preserve"> </w:t>
      </w:r>
      <w:r>
        <w:t xml:space="preserve">· LEADER 2: baseline calcitonin in 9340 people with type 2 diabetes enrolled in the Liraglutide Effect and Action in Diabetes: Evaluation of cardiovascular outcome Results (LEADER) trial: preliminary observations. PMID 25656058</w:t>
      </w:r>
    </w:p>
    <w:p>
      <w:pPr>
        <w:numPr>
          <w:ilvl w:val="0"/>
          <w:numId w:val="1377"/>
        </w:numPr>
        <w:pStyle w:val="Compact"/>
      </w:pPr>
      <w:r>
        <w:t xml:space="preserve">2015 · Feng P ·</w:t>
      </w:r>
      <w:r>
        <w:t xml:space="preserve"> </w:t>
      </w:r>
      <w:r>
        <w:rPr>
          <w:iCs/>
          <w:i/>
        </w:rPr>
        <w:t xml:space="preserve">Acta Pharmacol Sin</w:t>
      </w:r>
      <w:r>
        <w:t xml:space="preserve"> </w:t>
      </w:r>
      <w:r>
        <w:t xml:space="preserve">· Liraglutide reduces the body weight and waist circumference in Chinese overweight and obese type 2 diabetic patients. PMID 25619391</w:t>
      </w:r>
    </w:p>
    <w:p>
      <w:pPr>
        <w:numPr>
          <w:ilvl w:val="0"/>
          <w:numId w:val="1377"/>
        </w:numPr>
        <w:pStyle w:val="Compact"/>
      </w:pPr>
      <w:r>
        <w:t xml:space="preserve">2015 · Petri KC ·</w:t>
      </w:r>
      <w:r>
        <w:t xml:space="preserve"> </w:t>
      </w:r>
      <w:r>
        <w:rPr>
          <w:iCs/>
          <w:i/>
        </w:rPr>
        <w:t xml:space="preserve">Clin Pharmacokinet</w:t>
      </w:r>
      <w:r>
        <w:t xml:space="preserve"> </w:t>
      </w:r>
      <w:r>
        <w:t xml:space="preserve">· Comparable liraglutide pharmacokinetics in pediatric and adult populations with type 2 diabetes: a population pharmacokinetic analysis. PMID 25603819</w:t>
      </w:r>
    </w:p>
    <w:p>
      <w:pPr>
        <w:numPr>
          <w:ilvl w:val="0"/>
          <w:numId w:val="1377"/>
        </w:numPr>
        <w:pStyle w:val="Compact"/>
      </w:pPr>
      <w:r>
        <w:t xml:space="preserve">2015 · Lovshin JA ·</w:t>
      </w:r>
      <w:r>
        <w:t xml:space="preserve"> </w:t>
      </w:r>
      <w:r>
        <w:rPr>
          <w:iCs/>
          <w:i/>
        </w:rPr>
        <w:t xml:space="preserve">Diabetes Care</w:t>
      </w:r>
      <w:r>
        <w:t xml:space="preserve"> </w:t>
      </w:r>
      <w:r>
        <w:t xml:space="preserve">· Liraglutide promotes natriuresis but does not increase circulating levels of atrial natriuretic peptide in hypertensive subjects with type 2 diabetes. PMID 25414155</w:t>
      </w:r>
    </w:p>
    <w:p>
      <w:pPr>
        <w:numPr>
          <w:ilvl w:val="0"/>
          <w:numId w:val="1377"/>
        </w:numPr>
        <w:pStyle w:val="Compact"/>
      </w:pPr>
      <w:r>
        <w:t xml:space="preserve">2015 · Rizzo M ·</w:t>
      </w:r>
      <w:r>
        <w:t xml:space="preserve"> </w:t>
      </w:r>
      <w:r>
        <w:rPr>
          <w:iCs/>
          <w:i/>
        </w:rPr>
        <w:t xml:space="preserve">J Clin Endocrinol Metab</w:t>
      </w:r>
      <w:r>
        <w:t xml:space="preserve"> </w:t>
      </w:r>
      <w:r>
        <w:t xml:space="preserve">· Liraglutide reduces oxidative stress and restores heme oxygenase-1 and ghrelin levels in patients with type 2 diabetes: a prospective pilot study. PMID 25393640</w:t>
      </w:r>
    </w:p>
    <w:p>
      <w:pPr>
        <w:numPr>
          <w:ilvl w:val="0"/>
          <w:numId w:val="1377"/>
        </w:numPr>
        <w:pStyle w:val="Compact"/>
      </w:pPr>
      <w:r>
        <w:t xml:space="preserve">2015 · D’Alessio D ·</w:t>
      </w:r>
      <w:r>
        <w:t xml:space="preserve"> </w:t>
      </w:r>
      <w:r>
        <w:rPr>
          <w:iCs/>
          <w:i/>
        </w:rPr>
        <w:t xml:space="preserve">Diabetes Obes Metab</w:t>
      </w:r>
      <w:r>
        <w:t xml:space="preserve"> </w:t>
      </w:r>
      <w:r>
        <w:t xml:space="preserve">· Comparison of insulin glargine and liraglutide added to oral agents in patients with poorly controlled type 2 diabetes. PMID 25359159</w:t>
      </w:r>
    </w:p>
    <w:p>
      <w:pPr>
        <w:numPr>
          <w:ilvl w:val="0"/>
          <w:numId w:val="1377"/>
        </w:numPr>
        <w:pStyle w:val="Compact"/>
      </w:pPr>
      <w:r>
        <w:t xml:space="preserve">2015 · Jensterle M ·</w:t>
      </w:r>
      <w:r>
        <w:t xml:space="preserve"> </w:t>
      </w:r>
      <w:r>
        <w:rPr>
          <w:iCs/>
          <w:i/>
        </w:rPr>
        <w:t xml:space="preserve">Endocr Res</w:t>
      </w:r>
      <w:r>
        <w:t xml:space="preserve"> </w:t>
      </w:r>
      <w:r>
        <w:t xml:space="preserve">· Short-term intervention with liraglutide improved eating behavior in obese women with polycystic ovary syndrome. PMID 25330463</w:t>
      </w:r>
    </w:p>
    <w:p>
      <w:pPr>
        <w:numPr>
          <w:ilvl w:val="0"/>
          <w:numId w:val="1377"/>
        </w:numPr>
        <w:pStyle w:val="Compact"/>
      </w:pPr>
      <w:r>
        <w:t xml:space="preserve">2015 · Iepsen EW ·</w:t>
      </w:r>
      <w:r>
        <w:t xml:space="preserve"> </w:t>
      </w:r>
      <w:r>
        <w:rPr>
          <w:iCs/>
          <w:i/>
        </w:rPr>
        <w:t xml:space="preserve">Int J Obes (Lond)</w:t>
      </w:r>
      <w:r>
        <w:t xml:space="preserve"> </w:t>
      </w:r>
      <w:r>
        <w:t xml:space="preserve">· Treatment with a GLP-1 receptor agonist diminishes the decrease in free plasma leptin during maintenance of weight loss. PMID 25287751</w:t>
      </w:r>
    </w:p>
    <w:p>
      <w:pPr>
        <w:numPr>
          <w:ilvl w:val="0"/>
          <w:numId w:val="1377"/>
        </w:numPr>
        <w:pStyle w:val="Compact"/>
      </w:pPr>
      <w:r>
        <w:t xml:space="preserve">2015 · von Scholten BJ ·</w:t>
      </w:r>
      <w:r>
        <w:t xml:space="preserve"> </w:t>
      </w:r>
      <w:r>
        <w:rPr>
          <w:iCs/>
          <w:i/>
        </w:rPr>
        <w:t xml:space="preserve">Diabet Med</w:t>
      </w:r>
      <w:r>
        <w:t xml:space="preserve"> </w:t>
      </w:r>
      <w:r>
        <w:t xml:space="preserve">· Time course and mechanisms of the anti-hypertensive and renal effects of liraglutide treatment. PMID 25251901</w:t>
      </w:r>
    </w:p>
    <w:p>
      <w:pPr>
        <w:numPr>
          <w:ilvl w:val="0"/>
          <w:numId w:val="1377"/>
        </w:numPr>
        <w:pStyle w:val="Compact"/>
      </w:pPr>
      <w:r>
        <w:t xml:space="preserve">2015 · Lind M ·</w:t>
      </w:r>
      <w:r>
        <w:t xml:space="preserve"> </w:t>
      </w:r>
      <w:r>
        <w:rPr>
          <w:iCs/>
          <w:i/>
        </w:rPr>
        <w:t xml:space="preserve">Prim Care Diabetes</w:t>
      </w:r>
      <w:r>
        <w:t xml:space="preserve"> </w:t>
      </w:r>
      <w:r>
        <w:t xml:space="preserve">· Design and methods of a randomised double-blind trial of adding liraglutide to control HbA1c in patients with type 2 diabetes with impaired glycaemic control treated with multiple daily insulin injections (MDI-Liraglutide trial). PMID 25175385</w:t>
      </w:r>
    </w:p>
    <w:p>
      <w:pPr>
        <w:numPr>
          <w:ilvl w:val="0"/>
          <w:numId w:val="1377"/>
        </w:numPr>
        <w:pStyle w:val="Compact"/>
      </w:pPr>
      <w:r>
        <w:t xml:space="preserve">2015 · Faurschou A ·</w:t>
      </w:r>
      <w:r>
        <w:t xml:space="preserve"> </w:t>
      </w:r>
      <w:r>
        <w:rPr>
          <w:iCs/>
          <w:i/>
        </w:rPr>
        <w:t xml:space="preserve">J Eur Acad Dermatol Venereol</w:t>
      </w:r>
      <w:r>
        <w:t xml:space="preserve"> </w:t>
      </w:r>
      <w:r>
        <w:t xml:space="preserve">· Lack of effect of the glucagon-like peptide-1 receptor agonist liraglutide on psoriasis in glucose-tolerant patients–a randomized placebo-controlled trial. PMID 25139195</w:t>
      </w:r>
    </w:p>
    <w:p>
      <w:pPr>
        <w:numPr>
          <w:ilvl w:val="0"/>
          <w:numId w:val="1377"/>
        </w:numPr>
        <w:pStyle w:val="Compact"/>
      </w:pPr>
      <w:r>
        <w:t xml:space="preserve">2014 · Osonoi T ·</w:t>
      </w:r>
      <w:r>
        <w:t xml:space="preserve"> </w:t>
      </w:r>
      <w:r>
        <w:rPr>
          <w:iCs/>
          <w:i/>
        </w:rPr>
        <w:t xml:space="preserve">PLoS One</w:t>
      </w:r>
      <w:r>
        <w:t xml:space="preserve"> </w:t>
      </w:r>
      <w:r>
        <w:t xml:space="preserve">· Effect of hemodialysis on plasma glucose profile and plasma level of liraglutide in patients with type 2 diabetes mellitus and end-stage renal disease: a pilot study. PMID 25526642</w:t>
      </w:r>
    </w:p>
    <w:p>
      <w:pPr>
        <w:numPr>
          <w:ilvl w:val="0"/>
          <w:numId w:val="1377"/>
        </w:numPr>
        <w:pStyle w:val="Compact"/>
      </w:pPr>
      <w:r>
        <w:t xml:space="preserve">2014 · Polderman JA ·</w:t>
      </w:r>
      <w:r>
        <w:t xml:space="preserve"> </w:t>
      </w:r>
      <w:r>
        <w:rPr>
          <w:iCs/>
          <w:i/>
        </w:rPr>
        <w:t xml:space="preserve">BMC Anesthesiol</w:t>
      </w:r>
      <w:r>
        <w:t xml:space="preserve"> </w:t>
      </w:r>
      <w:r>
        <w:t xml:space="preserve">· Study protocol of a randomised controlled trial comparing perioperative intravenous insulin, GIK or GLP-1 treatment in diabetes-PILGRIM trial. PMID 25419179</w:t>
      </w:r>
    </w:p>
    <w:p>
      <w:pPr>
        <w:numPr>
          <w:ilvl w:val="0"/>
          <w:numId w:val="1377"/>
        </w:numPr>
        <w:pStyle w:val="Compact"/>
      </w:pPr>
      <w:r>
        <w:t xml:space="preserve">2014 · Steinberg WM ·</w:t>
      </w:r>
      <w:r>
        <w:t xml:space="preserve"> </w:t>
      </w:r>
      <w:r>
        <w:rPr>
          <w:iCs/>
          <w:i/>
        </w:rPr>
        <w:t xml:space="preserve">Pancreas</w:t>
      </w:r>
      <w:r>
        <w:t xml:space="preserve"> </w:t>
      </w:r>
      <w:r>
        <w:t xml:space="preserve">· LEADER 3–lipase and amylase activity in subjects with type 2 diabetes: baseline data from over 9000 subjects in the LEADER Trial. PMID 25275271</w:t>
      </w:r>
    </w:p>
    <w:p>
      <w:pPr>
        <w:numPr>
          <w:ilvl w:val="0"/>
          <w:numId w:val="1377"/>
        </w:numPr>
        <w:pStyle w:val="Compact"/>
      </w:pPr>
      <w:r>
        <w:t xml:space="preserve">2014 · Retnakaran R ·</w:t>
      </w:r>
      <w:r>
        <w:t xml:space="preserve"> </w:t>
      </w:r>
      <w:r>
        <w:rPr>
          <w:iCs/>
          <w:i/>
        </w:rPr>
        <w:t xml:space="preserve">Diabetes Care</w:t>
      </w:r>
      <w:r>
        <w:t xml:space="preserve"> </w:t>
      </w:r>
      <w:r>
        <w:t xml:space="preserve">· Liraglutide and the preservation of pancreatic β-cell function in early type 2 diabetes: the LIBRA trial. PMID 25249651</w:t>
      </w:r>
    </w:p>
    <w:p>
      <w:pPr>
        <w:numPr>
          <w:ilvl w:val="0"/>
          <w:numId w:val="1377"/>
        </w:numPr>
        <w:pStyle w:val="Compact"/>
      </w:pPr>
      <w:r>
        <w:t xml:space="preserve">2014 · Nandy D ·</w:t>
      </w:r>
      <w:r>
        <w:t xml:space="preserve"> </w:t>
      </w:r>
      <w:r>
        <w:rPr>
          <w:iCs/>
          <w:i/>
        </w:rPr>
        <w:t xml:space="preserve">Diab Vasc Dis Res</w:t>
      </w:r>
      <w:r>
        <w:t xml:space="preserve"> </w:t>
      </w:r>
      <w:r>
        <w:t xml:space="preserve">· The effect of liraglutide on endothelial function in patients with type 2 diabetes. PMID 25212693</w:t>
      </w:r>
    </w:p>
    <w:p>
      <w:pPr>
        <w:numPr>
          <w:ilvl w:val="0"/>
          <w:numId w:val="1377"/>
        </w:numPr>
        <w:pStyle w:val="Compact"/>
      </w:pPr>
      <w:r>
        <w:t xml:space="preserve">2014 · Gough SC ·</w:t>
      </w:r>
      <w:r>
        <w:t xml:space="preserve"> </w:t>
      </w:r>
      <w:r>
        <w:rPr>
          <w:iCs/>
          <w:i/>
        </w:rPr>
        <w:t xml:space="preserve">Lancet Diabetes Endocrinol</w:t>
      </w:r>
      <w:r>
        <w:t xml:space="preserve"> </w:t>
      </w:r>
      <w:r>
        <w:t xml:space="preserve">· Efficacy and safety of a fixed-ratio combination of insulin degludec and liraglutide (IDegLira) compared with its components given alone: results of a phase 3, open-label, randomised, 26-week, treat-to-target trial in insulin-naive patients with type 2 diabetes. PMID 25190523</w:t>
      </w:r>
    </w:p>
    <w:p>
      <w:pPr>
        <w:numPr>
          <w:ilvl w:val="0"/>
          <w:numId w:val="1377"/>
        </w:numPr>
        <w:pStyle w:val="Compact"/>
      </w:pPr>
      <w:r>
        <w:t xml:space="preserve">2014 · Voukali M ·</w:t>
      </w:r>
      <w:r>
        <w:t xml:space="preserve"> </w:t>
      </w:r>
      <w:r>
        <w:rPr>
          <w:iCs/>
          <w:i/>
        </w:rPr>
        <w:t xml:space="preserve">J Diabetes Res</w:t>
      </w:r>
      <w:r>
        <w:t xml:space="preserve"> </w:t>
      </w:r>
      <w:r>
        <w:t xml:space="preserve">· Study of postprandial lipaemia in type 2 diabetes mellitus: exenatide versus liraglutide. PMID 25165723</w:t>
      </w:r>
    </w:p>
    <w:p>
      <w:pPr>
        <w:numPr>
          <w:ilvl w:val="0"/>
          <w:numId w:val="1377"/>
        </w:numPr>
        <w:pStyle w:val="Compact"/>
      </w:pPr>
      <w:r>
        <w:t xml:space="preserve">2014 · Buse JB ·</w:t>
      </w:r>
      <w:r>
        <w:t xml:space="preserve"> </w:t>
      </w:r>
      <w:r>
        <w:rPr>
          <w:iCs/>
          <w:i/>
        </w:rPr>
        <w:t xml:space="preserve">Diabetes Care</w:t>
      </w:r>
      <w:r>
        <w:t xml:space="preserve"> </w:t>
      </w:r>
      <w:r>
        <w:t xml:space="preserve">· Contribution of liraglutide in the fixed-ratio combination of insulin degludec and liraglutide (IDegLira). PMID 25114296</w:t>
      </w:r>
    </w:p>
    <w:p>
      <w:pPr>
        <w:numPr>
          <w:ilvl w:val="0"/>
          <w:numId w:val="1377"/>
        </w:numPr>
        <w:pStyle w:val="Compact"/>
      </w:pPr>
      <w:r>
        <w:t xml:space="preserve">2014 · Klein DJ ·</w:t>
      </w:r>
      <w:r>
        <w:t xml:space="preserve"> </w:t>
      </w:r>
      <w:r>
        <w:rPr>
          <w:iCs/>
          <w:i/>
        </w:rPr>
        <w:t xml:space="preserve">Diabetes Technol Ther</w:t>
      </w:r>
      <w:r>
        <w:t xml:space="preserve"> </w:t>
      </w:r>
      <w:r>
        <w:t xml:space="preserve">· Liraglutide’s safety, tolerability, pharmacokinetics, and pharmacodynamics in pediatric type 2 diabetes: a randomized, double-blind, placebo-controlled trial. PMID 25036533</w:t>
      </w:r>
    </w:p>
    <w:p>
      <w:pPr>
        <w:numPr>
          <w:ilvl w:val="0"/>
          <w:numId w:val="1377"/>
        </w:numPr>
        <w:pStyle w:val="Compact"/>
      </w:pPr>
      <w:r>
        <w:t xml:space="preserve">2014 · Anholm C ·</w:t>
      </w:r>
      <w:r>
        <w:t xml:space="preserve"> </w:t>
      </w:r>
      <w:r>
        <w:rPr>
          <w:iCs/>
          <w:i/>
        </w:rPr>
        <w:t xml:space="preserve">BMJ Open</w:t>
      </w:r>
      <w:r>
        <w:t xml:space="preserve"> </w:t>
      </w:r>
      <w:r>
        <w:t xml:space="preserve">· Adding liraglutide to the backbone therapy of biguanide in patients with coronary artery disease and newly diagnosed type-2 diabetes (the AddHope2 study): a randomised controlled study protocol. PMID 25031198</w:t>
      </w:r>
    </w:p>
    <w:p>
      <w:pPr>
        <w:numPr>
          <w:ilvl w:val="0"/>
          <w:numId w:val="1377"/>
        </w:numPr>
        <w:pStyle w:val="Compact"/>
      </w:pPr>
      <w:r>
        <w:t xml:space="preserve">2014 · Dungan KM ·</w:t>
      </w:r>
      <w:r>
        <w:t xml:space="preserve"> </w:t>
      </w:r>
      <w:r>
        <w:rPr>
          <w:iCs/>
          <w:i/>
        </w:rPr>
        <w:t xml:space="preserve">Lancet</w:t>
      </w:r>
      <w:r>
        <w:t xml:space="preserve"> </w:t>
      </w:r>
      <w:r>
        <w:t xml:space="preserve">· Once-weekly dulaglutide versus once-daily liraglutide in metformin-treated patients with type 2 diabetes (AWARD-6): a randomised, open-label, phase 3, non-inferiority trial. PMID 25018121</w:t>
      </w:r>
    </w:p>
    <w:p>
      <w:pPr>
        <w:numPr>
          <w:ilvl w:val="0"/>
          <w:numId w:val="1377"/>
        </w:numPr>
        <w:pStyle w:val="Compact"/>
      </w:pPr>
      <w:r>
        <w:t xml:space="preserve">2014 · de Wit HM ·</w:t>
      </w:r>
      <w:r>
        <w:t xml:space="preserve"> </w:t>
      </w:r>
      <w:r>
        <w:rPr>
          <w:iCs/>
          <w:i/>
        </w:rPr>
        <w:t xml:space="preserve">Diabetologia</w:t>
      </w:r>
      <w:r>
        <w:t xml:space="preserve"> </w:t>
      </w:r>
      <w:r>
        <w:t xml:space="preserve">· Liraglutide reverses pronounced insulin-associated weight gain, improves glycaemic control and decreases insulin dose in patients with type 2 diabetes: a 26 week, randomised clinical trial (ELEGANT). PMID 24947583</w:t>
      </w:r>
    </w:p>
    <w:p>
      <w:pPr>
        <w:numPr>
          <w:ilvl w:val="0"/>
          <w:numId w:val="1377"/>
        </w:numPr>
        <w:pStyle w:val="Compact"/>
      </w:pPr>
      <w:r>
        <w:t xml:space="preserve">2014 · Østoft SH ·</w:t>
      </w:r>
      <w:r>
        <w:t xml:space="preserve"> </w:t>
      </w:r>
      <w:r>
        <w:rPr>
          <w:iCs/>
          <w:i/>
        </w:rPr>
        <w:t xml:space="preserve">Diabetes Care</w:t>
      </w:r>
      <w:r>
        <w:t xml:space="preserve"> </w:t>
      </w:r>
      <w:r>
        <w:t xml:space="preserve">· Glucose-lowering effects and low risk of hypoglycemia in patients with maturity-onset diabetes of the young when treated with a GLP-1 receptor agonist: a double-blind, randomized, crossover trial. PMID 24929431</w:t>
      </w:r>
    </w:p>
    <w:p>
      <w:pPr>
        <w:numPr>
          <w:ilvl w:val="0"/>
          <w:numId w:val="1377"/>
        </w:numPr>
        <w:pStyle w:val="Compact"/>
      </w:pPr>
      <w:r>
        <w:t xml:space="preserve">2014 · Jorsal A ·</w:t>
      </w:r>
      <w:r>
        <w:t xml:space="preserve"> </w:t>
      </w:r>
      <w:r>
        <w:rPr>
          <w:iCs/>
          <w:i/>
        </w:rPr>
        <w:t xml:space="preserve">BMJ Open</w:t>
      </w:r>
      <w:r>
        <w:t xml:space="preserve"> </w:t>
      </w:r>
      <w:r>
        <w:t xml:space="preserve">· A protocol for a randomised, double-blind, placebo-controlled study of the effect of LIraglutide on left VEntricular function in chronic heart failure patients with and without type 2 diabetes (The LIVE Study). PMID 24844271</w:t>
      </w:r>
    </w:p>
    <w:p>
      <w:pPr>
        <w:numPr>
          <w:ilvl w:val="0"/>
          <w:numId w:val="1377"/>
        </w:numPr>
        <w:pStyle w:val="Compact"/>
      </w:pPr>
      <w:r>
        <w:t xml:space="preserve">2014 · Li CJ ·</w:t>
      </w:r>
      <w:r>
        <w:t xml:space="preserve"> </w:t>
      </w:r>
      <w:r>
        <w:rPr>
          <w:iCs/>
          <w:i/>
        </w:rPr>
        <w:t xml:space="preserve">Exp Clin Endocrinol Diabetes</w:t>
      </w:r>
      <w:r>
        <w:t xml:space="preserve"> </w:t>
      </w:r>
      <w:r>
        <w:t xml:space="preserve">· Efficacy and safety comparison of add-on therapy with liraglutide, saxagliptin and vildagliptin, all in combination with current conventional oral hypoglycemic agents therapy in poorly controlled Chinese type 2 diabetes. PMID 24838155</w:t>
      </w:r>
    </w:p>
    <w:p>
      <w:pPr>
        <w:numPr>
          <w:ilvl w:val="0"/>
          <w:numId w:val="1377"/>
        </w:numPr>
        <w:pStyle w:val="Compact"/>
      </w:pPr>
      <w:r>
        <w:t xml:space="preserve">2014 · Pratley RE ·</w:t>
      </w:r>
      <w:r>
        <w:t xml:space="preserve"> </w:t>
      </w:r>
      <w:r>
        <w:rPr>
          <w:iCs/>
          <w:i/>
        </w:rPr>
        <w:t xml:space="preserve">Lancet Diabetes Endocrinol</w:t>
      </w:r>
      <w:r>
        <w:t xml:space="preserve"> </w:t>
      </w:r>
      <w:r>
        <w:t xml:space="preserve">· Once-weekly albiglutide versus once-daily liraglutide in patients with type 2 diabetes inadequately controlled on oral drugs (HARMONY 7): a randomised, open-label, multicentre, non-inferiority phase 3 study. PMID 24703047</w:t>
      </w:r>
    </w:p>
    <w:p>
      <w:pPr>
        <w:numPr>
          <w:ilvl w:val="0"/>
          <w:numId w:val="1377"/>
        </w:numPr>
        <w:pStyle w:val="Compact"/>
      </w:pPr>
      <w:r>
        <w:t xml:space="preserve">2014 · Larsen JR ·</w:t>
      </w:r>
      <w:r>
        <w:t xml:space="preserve"> </w:t>
      </w:r>
      <w:r>
        <w:rPr>
          <w:iCs/>
          <w:i/>
        </w:rPr>
        <w:t xml:space="preserve">BMJ Open</w:t>
      </w:r>
      <w:r>
        <w:t xml:space="preserve"> </w:t>
      </w:r>
      <w:r>
        <w:t xml:space="preserve">· Does a GLP-1 receptor agonist change glucose tolerance in patients treated with antipsychotic medications? Design of a randomised, double-blinded, placebo-controlled clinical trial. PMID 24667381</w:t>
      </w:r>
    </w:p>
    <w:p>
      <w:pPr>
        <w:numPr>
          <w:ilvl w:val="0"/>
          <w:numId w:val="1377"/>
        </w:numPr>
        <w:pStyle w:val="Compact"/>
      </w:pPr>
      <w:r>
        <w:t xml:space="preserve">2014 · Lane W ·</w:t>
      </w:r>
      <w:r>
        <w:t xml:space="preserve"> </w:t>
      </w:r>
      <w:r>
        <w:rPr>
          <w:iCs/>
          <w:i/>
        </w:rPr>
        <w:t xml:space="preserve">Diabetes Obes Metab</w:t>
      </w:r>
      <w:r>
        <w:t xml:space="preserve"> </w:t>
      </w:r>
      <w:r>
        <w:t xml:space="preserve">· The effect of addition of liraglutide to high-dose intensive insulin therapy: a randomized prospective trial. PMID 24589127</w:t>
      </w:r>
    </w:p>
    <w:p>
      <w:pPr>
        <w:numPr>
          <w:ilvl w:val="0"/>
          <w:numId w:val="1377"/>
        </w:numPr>
        <w:pStyle w:val="Compact"/>
      </w:pPr>
      <w:r>
        <w:t xml:space="preserve">2014 · Rizzo M ·</w:t>
      </w:r>
      <w:r>
        <w:t xml:space="preserve"> </w:t>
      </w:r>
      <w:r>
        <w:rPr>
          <w:iCs/>
          <w:i/>
        </w:rPr>
        <w:t xml:space="preserve">Cardiovasc Diabetol</w:t>
      </w:r>
      <w:r>
        <w:t xml:space="preserve"> </w:t>
      </w:r>
      <w:r>
        <w:t xml:space="preserve">· Liraglutide decreases carotid intima-media thickness in patients with type 2 diabetes: 8-month prospective pilot study. PMID 24559258</w:t>
      </w:r>
    </w:p>
    <w:p>
      <w:pPr>
        <w:numPr>
          <w:ilvl w:val="0"/>
          <w:numId w:val="1377"/>
        </w:numPr>
        <w:pStyle w:val="Compact"/>
      </w:pPr>
      <w:r>
        <w:t xml:space="preserve">2014 · Breitschaft A ·</w:t>
      </w:r>
      <w:r>
        <w:t xml:space="preserve"> </w:t>
      </w:r>
      <w:r>
        <w:rPr>
          <w:iCs/>
          <w:i/>
        </w:rPr>
        <w:t xml:space="preserve">Diabetes Res Clin Pract</w:t>
      </w:r>
      <w:r>
        <w:t xml:space="preserve"> </w:t>
      </w:r>
      <w:r>
        <w:t xml:space="preserve">· Management of hyperglycemia associated with pasireotide (SOM230): healthy volunteer study. PMID 24461109</w:t>
      </w:r>
    </w:p>
    <w:p>
      <w:pPr>
        <w:numPr>
          <w:ilvl w:val="0"/>
          <w:numId w:val="1377"/>
        </w:numPr>
        <w:pStyle w:val="Compact"/>
      </w:pPr>
      <w:r>
        <w:t xml:space="preserve">2014 · Mathieu C ·</w:t>
      </w:r>
      <w:r>
        <w:t xml:space="preserve"> </w:t>
      </w:r>
      <w:r>
        <w:rPr>
          <w:iCs/>
          <w:i/>
        </w:rPr>
        <w:t xml:space="preserve">Diabetes Obes Metab</w:t>
      </w:r>
      <w:r>
        <w:t xml:space="preserve"> </w:t>
      </w:r>
      <w:r>
        <w:t xml:space="preserve">· A comparison of adding liraglutide versus a single daily dose of insulin aspart to insulin degludec in subjects with type 2 diabetes (BEGIN: VICTOZA ADD-ON). PMID 24443830</w:t>
      </w:r>
    </w:p>
    <w:p>
      <w:pPr>
        <w:numPr>
          <w:ilvl w:val="0"/>
          <w:numId w:val="1377"/>
        </w:numPr>
        <w:pStyle w:val="Compact"/>
      </w:pPr>
      <w:r>
        <w:t xml:space="preserve">2014 · Brady EM ·</w:t>
      </w:r>
      <w:r>
        <w:t xml:space="preserve"> </w:t>
      </w:r>
      <w:r>
        <w:rPr>
          <w:iCs/>
          <w:i/>
        </w:rPr>
        <w:t xml:space="preserve">Diabetes Obes Metab</w:t>
      </w:r>
      <w:r>
        <w:t xml:space="preserve"> </w:t>
      </w:r>
      <w:r>
        <w:t xml:space="preserve">· A randomized controlled trial comparing the GLP-1 receptor agonist liraglutide to a sulphonylurea as add on to metformin in patients with established type 2 diabetes during Ramadan: the Treat 4 Ramadan Trial. PMID 24373063</w:t>
      </w:r>
    </w:p>
    <w:p>
      <w:pPr>
        <w:numPr>
          <w:ilvl w:val="0"/>
          <w:numId w:val="1377"/>
        </w:numPr>
        <w:pStyle w:val="Compact"/>
      </w:pPr>
      <w:r>
        <w:t xml:space="preserve">2014 · Jensterle Sever M ·</w:t>
      </w:r>
      <w:r>
        <w:t xml:space="preserve"> </w:t>
      </w:r>
      <w:r>
        <w:rPr>
          <w:iCs/>
          <w:i/>
        </w:rPr>
        <w:t xml:space="preserve">Eur J Endocrinol</w:t>
      </w:r>
      <w:r>
        <w:t xml:space="preserve"> </w:t>
      </w:r>
      <w:r>
        <w:t xml:space="preserve">· Short-term combined treatment with liraglutide and metformin leads to significant weight loss in obese women with polycystic ovary syndrome and previous poor response to metformin. PMID 24362411</w:t>
      </w:r>
    </w:p>
    <w:p>
      <w:pPr>
        <w:numPr>
          <w:ilvl w:val="0"/>
          <w:numId w:val="1377"/>
        </w:numPr>
        <w:pStyle w:val="Compact"/>
      </w:pPr>
      <w:r>
        <w:t xml:space="preserve">2014 · Kim SH ·</w:t>
      </w:r>
      <w:r>
        <w:t xml:space="preserve"> </w:t>
      </w:r>
      <w:r>
        <w:rPr>
          <w:iCs/>
          <w:i/>
        </w:rPr>
        <w:t xml:space="preserve">Diabetologia</w:t>
      </w:r>
      <w:r>
        <w:t xml:space="preserve"> </w:t>
      </w:r>
      <w:r>
        <w:t xml:space="preserve">· Pancreatic beta cell function following liraglutide-augmented weight loss in individuals with prediabetes: analysis of a randomised, placebo-controlled study. PMID 24326527</w:t>
      </w:r>
    </w:p>
    <w:p>
      <w:pPr>
        <w:numPr>
          <w:ilvl w:val="0"/>
          <w:numId w:val="1377"/>
        </w:numPr>
        <w:pStyle w:val="Compact"/>
      </w:pPr>
      <w:r>
        <w:t xml:space="preserve">2014 · Nagai Y ·</w:t>
      </w:r>
      <w:r>
        <w:t xml:space="preserve"> </w:t>
      </w:r>
      <w:r>
        <w:rPr>
          <w:iCs/>
          <w:i/>
        </w:rPr>
        <w:t xml:space="preserve">Diabetes Obes Metab</w:t>
      </w:r>
      <w:r>
        <w:t xml:space="preserve"> </w:t>
      </w:r>
      <w:r>
        <w:t xml:space="preserve">· Differing effects of liraglutide on gastric emptying in Japanese patients with type 2 diabetes. PMID 24320758</w:t>
      </w:r>
    </w:p>
    <w:p>
      <w:pPr>
        <w:numPr>
          <w:ilvl w:val="0"/>
          <w:numId w:val="1377"/>
        </w:numPr>
        <w:pStyle w:val="Compact"/>
      </w:pPr>
      <w:r>
        <w:t xml:space="preserve">2014 · RISE Consortium ·</w:t>
      </w:r>
      <w:r>
        <w:t xml:space="preserve"> </w:t>
      </w:r>
      <w:r>
        <w:rPr>
          <w:iCs/>
          <w:i/>
        </w:rPr>
        <w:t xml:space="preserve">Diabetes Care</w:t>
      </w:r>
      <w:r>
        <w:t xml:space="preserve"> </w:t>
      </w:r>
      <w:r>
        <w:t xml:space="preserve">· Restoring Insulin Secretion (RISE): design of studies of β-cell preservation in prediabetes and early type 2 diabetes across the life span. PMID 24194506</w:t>
      </w:r>
    </w:p>
    <w:p>
      <w:pPr>
        <w:numPr>
          <w:ilvl w:val="0"/>
          <w:numId w:val="1377"/>
        </w:numPr>
        <w:pStyle w:val="Compact"/>
      </w:pPr>
      <w:r>
        <w:t xml:space="preserve">2014 · van Can J ·</w:t>
      </w:r>
      <w:r>
        <w:t xml:space="preserve"> </w:t>
      </w:r>
      <w:r>
        <w:rPr>
          <w:iCs/>
          <w:i/>
        </w:rPr>
        <w:t xml:space="preserve">Int J Obes (Lond)</w:t>
      </w:r>
      <w:r>
        <w:t xml:space="preserve"> </w:t>
      </w:r>
      <w:r>
        <w:t xml:space="preserve">· Effects of the once-daily GLP-1 analog liraglutide on gastric emptying, glycemic parameters, appetite and energy metabolism in obese, non-diabetic adults. PMID 23999198</w:t>
      </w:r>
    </w:p>
    <w:p>
      <w:pPr>
        <w:numPr>
          <w:ilvl w:val="0"/>
          <w:numId w:val="1377"/>
        </w:numPr>
        <w:pStyle w:val="Compact"/>
      </w:pPr>
      <w:r>
        <w:t xml:space="preserve">2014 · Lean ME ·</w:t>
      </w:r>
      <w:r>
        <w:t xml:space="preserve"> </w:t>
      </w:r>
      <w:r>
        <w:rPr>
          <w:iCs/>
          <w:i/>
        </w:rPr>
        <w:t xml:space="preserve">Int J Obes (Lond)</w:t>
      </w:r>
      <w:r>
        <w:t xml:space="preserve"> </w:t>
      </w:r>
      <w:r>
        <w:t xml:space="preserve">· Tolerability of nausea and vomiting and associations with weight loss in a randomized trial of liraglutide in obese, non-diabetic adults. PMID 23942319</w:t>
      </w:r>
    </w:p>
    <w:p>
      <w:pPr>
        <w:numPr>
          <w:ilvl w:val="0"/>
          <w:numId w:val="1377"/>
        </w:numPr>
        <w:pStyle w:val="Compact"/>
      </w:pPr>
      <w:r>
        <w:t xml:space="preserve">2013 · Marso SP ·</w:t>
      </w:r>
      <w:r>
        <w:t xml:space="preserve"> </w:t>
      </w:r>
      <w:r>
        <w:rPr>
          <w:iCs/>
          <w:i/>
        </w:rPr>
        <w:t xml:space="preserve">Am Heart J</w:t>
      </w:r>
      <w:r>
        <w:t xml:space="preserve"> </w:t>
      </w:r>
      <w:r>
        <w:t xml:space="preserve">· Design of the liraglutide effect and action in diabetes: evaluation of cardiovascular outcome results (LEADER) trial. PMID 24176437</w:t>
      </w:r>
    </w:p>
    <w:p>
      <w:pPr>
        <w:numPr>
          <w:ilvl w:val="0"/>
          <w:numId w:val="1377"/>
        </w:numPr>
        <w:pStyle w:val="Compact"/>
      </w:pPr>
      <w:r>
        <w:t xml:space="preserve">2013 · Imamura S ·</w:t>
      </w:r>
      <w:r>
        <w:t xml:space="preserve"> </w:t>
      </w:r>
      <w:r>
        <w:rPr>
          <w:iCs/>
          <w:i/>
        </w:rPr>
        <w:t xml:space="preserve">Tohoku J Exp Med</w:t>
      </w:r>
      <w:r>
        <w:t xml:space="preserve"> </w:t>
      </w:r>
      <w:r>
        <w:t xml:space="preserve">· The glucagon-like peptide-1 receptor agonist, liraglutide, attenuates the progression of overt diabetic nephropathy in type 2 diabetic patients. PMID 24064677</w:t>
      </w:r>
    </w:p>
    <w:p>
      <w:pPr>
        <w:numPr>
          <w:ilvl w:val="0"/>
          <w:numId w:val="1377"/>
        </w:numPr>
        <w:pStyle w:val="Compact"/>
      </w:pPr>
      <w:r>
        <w:t xml:space="preserve">2013 · Kim SH ·</w:t>
      </w:r>
      <w:r>
        <w:t xml:space="preserve"> </w:t>
      </w:r>
      <w:r>
        <w:rPr>
          <w:iCs/>
          <w:i/>
        </w:rPr>
        <w:t xml:space="preserve">Diabetes Care</w:t>
      </w:r>
      <w:r>
        <w:t xml:space="preserve"> </w:t>
      </w:r>
      <w:r>
        <w:t xml:space="preserve">· Benefits of liraglutide treatment in overweight and obese older individuals with prediabetes. PMID 23835684</w:t>
      </w:r>
    </w:p>
    <w:p>
      <w:pPr>
        <w:numPr>
          <w:ilvl w:val="0"/>
          <w:numId w:val="1377"/>
        </w:numPr>
        <w:pStyle w:val="Compact"/>
      </w:pPr>
      <w:r>
        <w:t xml:space="preserve">2013 · Wadden TA ·</w:t>
      </w:r>
      <w:r>
        <w:t xml:space="preserve"> </w:t>
      </w:r>
      <w:r>
        <w:rPr>
          <w:iCs/>
          <w:i/>
        </w:rPr>
        <w:t xml:space="preserve">Int J Obes (Lond)</w:t>
      </w:r>
      <w:r>
        <w:t xml:space="preserve"> </w:t>
      </w:r>
      <w:r>
        <w:t xml:space="preserve">· Weight maintenance and additional weight loss with liraglutide after low-calorie-diet-induced weight loss: the SCALE Maintenance randomized study. PMID 23812094</w:t>
      </w:r>
    </w:p>
    <w:p>
      <w:pPr>
        <w:numPr>
          <w:ilvl w:val="0"/>
          <w:numId w:val="1377"/>
        </w:numPr>
        <w:pStyle w:val="Compact"/>
      </w:pPr>
      <w:r>
        <w:t xml:space="preserve">2013 · Fadini GP ·</w:t>
      </w:r>
      <w:r>
        <w:t xml:space="preserve"> </w:t>
      </w:r>
      <w:r>
        <w:rPr>
          <w:iCs/>
          <w:i/>
        </w:rPr>
        <w:t xml:space="preserve">Acta Diabetol</w:t>
      </w:r>
      <w:r>
        <w:t xml:space="preserve"> </w:t>
      </w:r>
      <w:r>
        <w:t xml:space="preserve">· Independent glucose and weight-reducing effects of Liraglutide in a real-world population of type 2 diabetic outpatients. PMID 23754673</w:t>
      </w:r>
    </w:p>
    <w:p>
      <w:pPr>
        <w:numPr>
          <w:ilvl w:val="0"/>
          <w:numId w:val="1377"/>
        </w:numPr>
        <w:pStyle w:val="Compact"/>
      </w:pPr>
      <w:r>
        <w:t xml:space="preserve">2013 · Rosenstock J ·</w:t>
      </w:r>
      <w:r>
        <w:t xml:space="preserve"> </w:t>
      </w:r>
      <w:r>
        <w:rPr>
          <w:iCs/>
          <w:i/>
        </w:rPr>
        <w:t xml:space="preserve">J Diabetes Complications</w:t>
      </w:r>
      <w:r>
        <w:t xml:space="preserve"> </w:t>
      </w:r>
      <w:r>
        <w:t xml:space="preserve">· One-year sustained glycemic control and weight reduction in type 2 diabetes after addition of liraglutide to metformin followed by insulin detemir according to HbA1c target. PMID 23746555</w:t>
      </w:r>
    </w:p>
    <w:p>
      <w:pPr>
        <w:numPr>
          <w:ilvl w:val="0"/>
          <w:numId w:val="1377"/>
        </w:numPr>
        <w:pStyle w:val="Compact"/>
      </w:pPr>
      <w:r>
        <w:t xml:space="preserve">2013 · Hermansen K ·</w:t>
      </w:r>
      <w:r>
        <w:t xml:space="preserve"> </w:t>
      </w:r>
      <w:r>
        <w:rPr>
          <w:iCs/>
          <w:i/>
        </w:rPr>
        <w:t xml:space="preserve">Diabetes Obes Metab</w:t>
      </w:r>
      <w:r>
        <w:t xml:space="preserve"> </w:t>
      </w:r>
      <w:r>
        <w:t xml:space="preserve">· Liraglutide suppresses postprandial triglyceride and apolipoprotein B48 elevations after a fat-rich meal in patients with type 2 diabetes: a randomized, double-blind, placebo-controlled, cross-over trial. PMID 23683069</w:t>
      </w:r>
    </w:p>
    <w:p>
      <w:pPr>
        <w:numPr>
          <w:ilvl w:val="0"/>
          <w:numId w:val="1377"/>
        </w:numPr>
        <w:pStyle w:val="Compact"/>
      </w:pPr>
      <w:r>
        <w:t xml:space="preserve">2013 · Suzuki D ·</w:t>
      </w:r>
      <w:r>
        <w:t xml:space="preserve"> </w:t>
      </w:r>
      <w:r>
        <w:rPr>
          <w:iCs/>
          <w:i/>
        </w:rPr>
        <w:t xml:space="preserve">Intern Med</w:t>
      </w:r>
      <w:r>
        <w:t xml:space="preserve"> </w:t>
      </w:r>
      <w:r>
        <w:t xml:space="preserve">· Effects of liraglutide, a human glucagon-like peptide-1 analogue, on body weight, body fat area and body fat-related markers in patients with type 2 diabetes mellitus. PMID 23676586</w:t>
      </w:r>
    </w:p>
    <w:p>
      <w:pPr>
        <w:numPr>
          <w:ilvl w:val="0"/>
          <w:numId w:val="1377"/>
        </w:numPr>
        <w:pStyle w:val="Compact"/>
      </w:pPr>
      <w:r>
        <w:t xml:space="preserve">2013 · Charbonnel B ·</w:t>
      </w:r>
      <w:r>
        <w:t xml:space="preserve"> </w:t>
      </w:r>
      <w:r>
        <w:rPr>
          <w:iCs/>
          <w:i/>
        </w:rPr>
        <w:t xml:space="preserve">Diabetologia</w:t>
      </w:r>
      <w:r>
        <w:t xml:space="preserve"> </w:t>
      </w:r>
      <w:r>
        <w:t xml:space="preserve">· Efficacy and safety over 26 weeks of an oral treatment strategy including sitagliptin compared with an injectable treatment strategy with liraglutide in patients with type 2 diabetes mellitus inadequately controlled on metformin: a randomised clinical trial. PMID 23604551</w:t>
      </w:r>
    </w:p>
    <w:p>
      <w:pPr>
        <w:numPr>
          <w:ilvl w:val="0"/>
          <w:numId w:val="1377"/>
        </w:numPr>
        <w:pStyle w:val="Compact"/>
      </w:pPr>
      <w:r>
        <w:t xml:space="preserve">2013 · Flint A ·</w:t>
      </w:r>
      <w:r>
        <w:t xml:space="preserve"> </w:t>
      </w:r>
      <w:r>
        <w:rPr>
          <w:iCs/>
          <w:i/>
        </w:rPr>
        <w:t xml:space="preserve">Diabetes Obes Metab</w:t>
      </w:r>
      <w:r>
        <w:t xml:space="preserve"> </w:t>
      </w:r>
      <w:r>
        <w:t xml:space="preserve">· The once-daily human GLP-1 analogue liraglutide impacts appetite and energy intake in patients with type 2 diabetes after short-term treatment. PMID 23551925</w:t>
      </w:r>
    </w:p>
    <w:p>
      <w:pPr>
        <w:numPr>
          <w:ilvl w:val="0"/>
          <w:numId w:val="1377"/>
        </w:numPr>
        <w:pStyle w:val="Compact"/>
      </w:pPr>
      <w:r>
        <w:t xml:space="preserve">2013 · Kapitza C ·</w:t>
      </w:r>
      <w:r>
        <w:t xml:space="preserve"> </w:t>
      </w:r>
      <w:r>
        <w:rPr>
          <w:iCs/>
          <w:i/>
        </w:rPr>
        <w:t xml:space="preserve">Diabetes Obes Metab</w:t>
      </w:r>
      <w:r>
        <w:t xml:space="preserve"> </w:t>
      </w:r>
      <w:r>
        <w:t xml:space="preserve">· Pharmacodynamic characteristics of lixisenatide once daily versus liraglutide once daily in patients with type 2 diabetes insufficiently controlled on metformin. PMID 23368510</w:t>
      </w:r>
    </w:p>
    <w:p>
      <w:pPr>
        <w:numPr>
          <w:ilvl w:val="0"/>
          <w:numId w:val="1377"/>
        </w:numPr>
        <w:pStyle w:val="Compact"/>
      </w:pPr>
      <w:r>
        <w:t xml:space="preserve">2013 · Yang M ·</w:t>
      </w:r>
      <w:r>
        <w:t xml:space="preserve"> </w:t>
      </w:r>
      <w:r>
        <w:rPr>
          <w:iCs/>
          <w:i/>
        </w:rPr>
        <w:t xml:space="preserve">Diabetes Care</w:t>
      </w:r>
      <w:r>
        <w:t xml:space="preserve"> </w:t>
      </w:r>
      <w:r>
        <w:t xml:space="preserve">· Zinc-α2-glycoprotein is associated with insulin resistance in humans and is regulated by hyperglycemia, hyperinsulinemia, or liraglutide administration: cross-sectional and interventional studies in normal subjects, insulin-resistant subjects, and subjects with newly diagnosed diabetes. PMID 23275352</w:t>
      </w:r>
    </w:p>
    <w:p>
      <w:pPr>
        <w:numPr>
          <w:ilvl w:val="0"/>
          <w:numId w:val="1377"/>
        </w:numPr>
        <w:pStyle w:val="Compact"/>
      </w:pPr>
      <w:r>
        <w:t xml:space="preserve">2013 · Hu W ·</w:t>
      </w:r>
      <w:r>
        <w:t xml:space="preserve"> </w:t>
      </w:r>
      <w:r>
        <w:rPr>
          <w:iCs/>
          <w:i/>
        </w:rPr>
        <w:t xml:space="preserve">J Clin Endocrinol Metab</w:t>
      </w:r>
      <w:r>
        <w:t xml:space="preserve"> </w:t>
      </w:r>
      <w:r>
        <w:t xml:space="preserve">· Circulating Sfrp5 is a signature of obesity-related metabolic disorders and is regulated by glucose and liraglutide in humans. PMID 23185036</w:t>
      </w:r>
    </w:p>
    <w:p>
      <w:pPr>
        <w:numPr>
          <w:ilvl w:val="0"/>
          <w:numId w:val="1377"/>
        </w:numPr>
        <w:pStyle w:val="Compact"/>
      </w:pPr>
      <w:r>
        <w:t xml:space="preserve">2013 · Buse JB ·</w:t>
      </w:r>
      <w:r>
        <w:t xml:space="preserve"> </w:t>
      </w:r>
      <w:r>
        <w:rPr>
          <w:iCs/>
          <w:i/>
        </w:rPr>
        <w:t xml:space="preserve">Lancet</w:t>
      </w:r>
      <w:r>
        <w:t xml:space="preserve"> </w:t>
      </w:r>
      <w:r>
        <w:t xml:space="preserve">· Exenatide once weekly versus liraglutide once daily in patients with type 2 diabetes (DURATION-6): a randomised, open-label study. PMID 23141817</w:t>
      </w:r>
    </w:p>
    <w:p>
      <w:pPr>
        <w:numPr>
          <w:ilvl w:val="0"/>
          <w:numId w:val="1377"/>
        </w:numPr>
        <w:pStyle w:val="Compact"/>
      </w:pPr>
      <w:r>
        <w:t xml:space="preserve">2013 · Iwao T ·</w:t>
      </w:r>
      <w:r>
        <w:t xml:space="preserve"> </w:t>
      </w:r>
      <w:r>
        <w:rPr>
          <w:iCs/>
          <w:i/>
        </w:rPr>
        <w:t xml:space="preserve">J Diabetes Complications</w:t>
      </w:r>
      <w:r>
        <w:t xml:space="preserve"> </w:t>
      </w:r>
      <w:r>
        <w:t xml:space="preserve">· Postprandial serum C-peptide is a useful parameter in the prediction of successful switching to liraglutide monotherapy from complex insulin therapy in Japanese patients with type 2 diabetes. PMID 22863615</w:t>
      </w:r>
    </w:p>
    <w:p>
      <w:pPr>
        <w:numPr>
          <w:ilvl w:val="0"/>
          <w:numId w:val="1377"/>
        </w:numPr>
        <w:pStyle w:val="Compact"/>
      </w:pPr>
      <w:r>
        <w:t xml:space="preserve">2013 · Niswender K ·</w:t>
      </w:r>
      <w:r>
        <w:t xml:space="preserve"> </w:t>
      </w:r>
      <w:r>
        <w:rPr>
          <w:iCs/>
          <w:i/>
        </w:rPr>
        <w:t xml:space="preserve">Diabetes Obes Metab</w:t>
      </w:r>
      <w:r>
        <w:t xml:space="preserve"> </w:t>
      </w:r>
      <w:r>
        <w:t xml:space="preserve">· Weight change with liraglutide and comparator therapies: an analysis of seven phase 3 trials from the liraglutide diabetes development programme. PMID 22862847</w:t>
      </w:r>
    </w:p>
    <w:p>
      <w:pPr>
        <w:numPr>
          <w:ilvl w:val="0"/>
          <w:numId w:val="1377"/>
        </w:numPr>
        <w:pStyle w:val="Compact"/>
      </w:pPr>
      <w:r>
        <w:t xml:space="preserve">2013 · Rotondo A ·</w:t>
      </w:r>
      <w:r>
        <w:t xml:space="preserve"> </w:t>
      </w:r>
      <w:r>
        <w:rPr>
          <w:iCs/>
          <w:i/>
        </w:rPr>
        <w:t xml:space="preserve">Int J Obes (Lond)</w:t>
      </w:r>
      <w:r>
        <w:t xml:space="preserve"> </w:t>
      </w:r>
      <w:r>
        <w:t xml:space="preserve">· Effect of the GLP-1 analog liraglutide on satiation and gastric sensorimotor function during nutrient-drink ingestion. PMID 22846777</w:t>
      </w:r>
    </w:p>
    <w:p>
      <w:pPr>
        <w:numPr>
          <w:ilvl w:val="0"/>
          <w:numId w:val="1377"/>
        </w:numPr>
        <w:pStyle w:val="Compact"/>
      </w:pPr>
      <w:r>
        <w:t xml:space="preserve">2012 · Egefjord L ·</w:t>
      </w:r>
      <w:r>
        <w:t xml:space="preserve"> </w:t>
      </w:r>
      <w:r>
        <w:rPr>
          <w:iCs/>
          <w:i/>
        </w:rPr>
        <w:t xml:space="preserve">Dan Med J</w:t>
      </w:r>
      <w:r>
        <w:t xml:space="preserve"> </w:t>
      </w:r>
      <w:r>
        <w:t xml:space="preserve">· Effects of liraglutide on neurodegeneration, blood flow and cognition in Alzheimer´s disease - protocol for a controlled, randomized double-blinded trial. PMID 23158895</w:t>
      </w:r>
    </w:p>
    <w:p>
      <w:pPr>
        <w:numPr>
          <w:ilvl w:val="0"/>
          <w:numId w:val="1377"/>
        </w:numPr>
        <w:pStyle w:val="Compact"/>
      </w:pPr>
      <w:r>
        <w:t xml:space="preserve">2012 · Li CJ ·</w:t>
      </w:r>
      <w:r>
        <w:t xml:space="preserve"> </w:t>
      </w:r>
      <w:r>
        <w:rPr>
          <w:iCs/>
          <w:i/>
        </w:rPr>
        <w:t xml:space="preserve">Cardiovasc Diabetol</w:t>
      </w:r>
      <w:r>
        <w:t xml:space="preserve"> </w:t>
      </w:r>
      <w:r>
        <w:t xml:space="preserve">· Efficacy and safety comparison between liraglutide as add-on therapy to insulin and insulin dose-increase in Chinese subjects with poorly controlled type 2 diabetes and abdominal obesity. PMID 23153177</w:t>
      </w:r>
    </w:p>
    <w:p>
      <w:pPr>
        <w:numPr>
          <w:ilvl w:val="0"/>
          <w:numId w:val="1377"/>
        </w:numPr>
        <w:pStyle w:val="Compact"/>
      </w:pPr>
      <w:r>
        <w:t xml:space="preserve">2012 · Pratley RE ·</w:t>
      </w:r>
      <w:r>
        <w:t xml:space="preserve"> </w:t>
      </w:r>
      <w:r>
        <w:rPr>
          <w:iCs/>
          <w:i/>
        </w:rPr>
        <w:t xml:space="preserve">Diabetes Care</w:t>
      </w:r>
      <w:r>
        <w:t xml:space="preserve"> </w:t>
      </w:r>
      <w:r>
        <w:t xml:space="preserve">· Efficacy and safety of switching from the DPP-4 inhibitor sitagliptin to the human GLP-1 analog liraglutide after 52 weeks in metformin-treated patients with type 2 diabetes: a randomized, open-label trial. PMID 22851600</w:t>
      </w:r>
    </w:p>
    <w:p>
      <w:pPr>
        <w:numPr>
          <w:ilvl w:val="0"/>
          <w:numId w:val="1377"/>
        </w:numPr>
        <w:pStyle w:val="Compact"/>
      </w:pPr>
      <w:r>
        <w:t xml:space="preserve">2012 · DeVries JH ·</w:t>
      </w:r>
      <w:r>
        <w:t xml:space="preserve"> </w:t>
      </w:r>
      <w:r>
        <w:rPr>
          <w:iCs/>
          <w:i/>
        </w:rPr>
        <w:t xml:space="preserve">Diabetes Care</w:t>
      </w:r>
      <w:r>
        <w:t xml:space="preserve"> </w:t>
      </w:r>
      <w:r>
        <w:t xml:space="preserve">· Sequential intensification of metformin treatment in type 2 diabetes with liraglutide followed by randomized addition of basal insulin prompted by A1C targets. PMID 22584132</w:t>
      </w:r>
    </w:p>
    <w:p>
      <w:pPr>
        <w:numPr>
          <w:ilvl w:val="0"/>
          <w:numId w:val="1377"/>
        </w:numPr>
        <w:pStyle w:val="Compact"/>
      </w:pPr>
      <w:r>
        <w:t xml:space="preserve">2012 · Horowitz M ·</w:t>
      </w:r>
      <w:r>
        <w:t xml:space="preserve"> </w:t>
      </w:r>
      <w:r>
        <w:rPr>
          <w:iCs/>
          <w:i/>
        </w:rPr>
        <w:t xml:space="preserve">Diabetes Res Clin Pract</w:t>
      </w:r>
      <w:r>
        <w:t xml:space="preserve"> </w:t>
      </w:r>
      <w:r>
        <w:t xml:space="preserve">· Effect of the once-daily human GLP-1 analogue liraglutide on appetite, energy intake, energy expenditure and gastric emptying in type 2 diabetes. PMID 22446097</w:t>
      </w:r>
    </w:p>
    <w:p>
      <w:pPr>
        <w:numPr>
          <w:ilvl w:val="0"/>
          <w:numId w:val="1377"/>
        </w:numPr>
        <w:pStyle w:val="Compact"/>
      </w:pPr>
      <w:r>
        <w:t xml:space="preserve">2012 · Forst T ·</w:t>
      </w:r>
      <w:r>
        <w:t xml:space="preserve"> </w:t>
      </w:r>
      <w:r>
        <w:rPr>
          <w:iCs/>
          <w:i/>
        </w:rPr>
        <w:t xml:space="preserve">Diabet Med</w:t>
      </w:r>
      <w:r>
        <w:t xml:space="preserve"> </w:t>
      </w:r>
      <w:r>
        <w:t xml:space="preserve">· Addition of liraglutide in patients with Type 2 diabetes well controlled on metformin monotherapy improves several markers of vascular function. PMID 22288732</w:t>
      </w:r>
    </w:p>
    <w:p>
      <w:pPr>
        <w:numPr>
          <w:ilvl w:val="0"/>
          <w:numId w:val="1377"/>
        </w:numPr>
        <w:pStyle w:val="Compact"/>
      </w:pPr>
      <w:r>
        <w:t xml:space="preserve">2012 · Ingwersen SH ·</w:t>
      </w:r>
      <w:r>
        <w:t xml:space="preserve"> </w:t>
      </w:r>
      <w:r>
        <w:rPr>
          <w:iCs/>
          <w:i/>
        </w:rPr>
        <w:t xml:space="preserve">J Clin Pharmacol</w:t>
      </w:r>
      <w:r>
        <w:t xml:space="preserve"> </w:t>
      </w:r>
      <w:r>
        <w:t xml:space="preserve">· Dosing rationale for liraglutide in type 2 diabetes mellitus: a pharmacometric assessment. PMID 22174428</w:t>
      </w:r>
    </w:p>
    <w:p>
      <w:pPr>
        <w:numPr>
          <w:ilvl w:val="0"/>
          <w:numId w:val="1377"/>
        </w:numPr>
        <w:pStyle w:val="Compact"/>
      </w:pPr>
      <w:r>
        <w:t xml:space="preserve">2012 · Astrup A ·</w:t>
      </w:r>
      <w:r>
        <w:t xml:space="preserve"> </w:t>
      </w:r>
      <w:r>
        <w:rPr>
          <w:iCs/>
          <w:i/>
        </w:rPr>
        <w:t xml:space="preserve">Int J Obes (Lond)</w:t>
      </w:r>
      <w:r>
        <w:t xml:space="preserve"> </w:t>
      </w:r>
      <w:r>
        <w:t xml:space="preserve">· Safety, tolerability and sustained weight loss over 2 years with the once-daily human GLP-1 analog, liraglutide. PMID 21844879</w:t>
      </w:r>
    </w:p>
    <w:p>
      <w:pPr>
        <w:numPr>
          <w:ilvl w:val="0"/>
          <w:numId w:val="1377"/>
        </w:numPr>
        <w:pStyle w:val="Compact"/>
      </w:pPr>
      <w:r>
        <w:t xml:space="preserve">2011 · Mori Y ·</w:t>
      </w:r>
      <w:r>
        <w:t xml:space="preserve"> </w:t>
      </w:r>
      <w:r>
        <w:rPr>
          <w:iCs/>
          <w:i/>
        </w:rPr>
        <w:t xml:space="preserve">Diabetes Technol Ther</w:t>
      </w:r>
      <w:r>
        <w:t xml:space="preserve"> </w:t>
      </w:r>
      <w:r>
        <w:t xml:space="preserve">· Liraglutide narrows the range of circadian glycemic variations in Japanese type 2 diabetes patients and nearly flattens these variations in drug-naive type 2 diabetes patients: a continuous glucose monitoring-based study. PMID 21877924</w:t>
      </w:r>
    </w:p>
    <w:p>
      <w:pPr>
        <w:numPr>
          <w:ilvl w:val="0"/>
          <w:numId w:val="1377"/>
        </w:numPr>
        <w:pStyle w:val="Compact"/>
      </w:pPr>
      <w:r>
        <w:t xml:space="preserve">2011 · Kapitza C ·</w:t>
      </w:r>
      <w:r>
        <w:t xml:space="preserve"> </w:t>
      </w:r>
      <w:r>
        <w:rPr>
          <w:iCs/>
          <w:i/>
        </w:rPr>
        <w:t xml:space="preserve">Adv Ther</w:t>
      </w:r>
      <w:r>
        <w:t xml:space="preserve"> </w:t>
      </w:r>
      <w:r>
        <w:t xml:space="preserve">· The effect of the once-daily human glucagon-like peptide 1 analog liraglutide on the pharmacokinetics of acetaminophen. PMID 21792552</w:t>
      </w:r>
    </w:p>
    <w:p>
      <w:pPr>
        <w:numPr>
          <w:ilvl w:val="0"/>
          <w:numId w:val="1377"/>
        </w:numPr>
        <w:pStyle w:val="Compact"/>
      </w:pPr>
      <w:r>
        <w:t xml:space="preserve">2011 · Kielgast U ·</w:t>
      </w:r>
      <w:r>
        <w:t xml:space="preserve"> </w:t>
      </w:r>
      <w:r>
        <w:rPr>
          <w:iCs/>
          <w:i/>
        </w:rPr>
        <w:t xml:space="preserve">Diabetes Care</w:t>
      </w:r>
      <w:r>
        <w:t xml:space="preserve"> </w:t>
      </w:r>
      <w:r>
        <w:t xml:space="preserve">· Four weeks of treatment with liraglutide reduces insulin dose without loss of glycemic control in type 1 diabetic patients with and without residual beta-cell function. PMID 21593296</w:t>
      </w:r>
    </w:p>
    <w:p>
      <w:pPr>
        <w:numPr>
          <w:ilvl w:val="0"/>
          <w:numId w:val="1377"/>
        </w:numPr>
        <w:pStyle w:val="Compact"/>
      </w:pPr>
      <w:r>
        <w:t xml:space="preserve">2011 · Yan P ·</w:t>
      </w:r>
      <w:r>
        <w:t xml:space="preserve"> </w:t>
      </w:r>
      <w:r>
        <w:rPr>
          <w:iCs/>
          <w:i/>
        </w:rPr>
        <w:t xml:space="preserve">Diabetes Res Clin Pract</w:t>
      </w:r>
      <w:r>
        <w:t xml:space="preserve"> </w:t>
      </w:r>
      <w:r>
        <w:t xml:space="preserve">· Effects of the long-acting human glucagon-like peptide-1 analog liraglutide on plasma omentin-1 levels in patients with type 2 diabetes mellitus. PMID 21458097</w:t>
      </w:r>
    </w:p>
    <w:p>
      <w:pPr>
        <w:numPr>
          <w:ilvl w:val="0"/>
          <w:numId w:val="1377"/>
        </w:numPr>
        <w:pStyle w:val="Compact"/>
      </w:pPr>
      <w:r>
        <w:t xml:space="preserve">2011 · Buse JB ·</w:t>
      </w:r>
      <w:r>
        <w:t xml:space="preserve"> </w:t>
      </w:r>
      <w:r>
        <w:rPr>
          <w:iCs/>
          <w:i/>
        </w:rPr>
        <w:t xml:space="preserve">J Clin Endocrinol Metab</w:t>
      </w:r>
      <w:r>
        <w:t xml:space="preserve"> </w:t>
      </w:r>
      <w:r>
        <w:t xml:space="preserve">· Liraglutide treatment is associated with a low frequency and magnitude of antibody formation with no apparent impact on glycemic response or increased frequency of adverse events: results from the Liraglutide Effect and Action in Diabetes (LEAD) trials. PMID 21450987</w:t>
      </w:r>
    </w:p>
    <w:p>
      <w:pPr>
        <w:numPr>
          <w:ilvl w:val="0"/>
          <w:numId w:val="1377"/>
        </w:numPr>
        <w:pStyle w:val="Compact"/>
      </w:pPr>
      <w:r>
        <w:t xml:space="preserve">2011 · Schmidt WE ·</w:t>
      </w:r>
      <w:r>
        <w:t xml:space="preserve"> </w:t>
      </w:r>
      <w:r>
        <w:rPr>
          <w:iCs/>
          <w:i/>
        </w:rPr>
        <w:t xml:space="preserve">Diabet Med</w:t>
      </w:r>
      <w:r>
        <w:t xml:space="preserve"> </w:t>
      </w:r>
      <w:r>
        <w:t xml:space="preserve">· Patient-reported outcomes are superior in patients with Type 2 diabetes treated with liraglutide as compared with exenatide, when added to metformin, sulphonylurea or both: results from a randomized, open-label study. PMID 21388442</w:t>
      </w:r>
    </w:p>
    <w:p>
      <w:pPr>
        <w:numPr>
          <w:ilvl w:val="0"/>
          <w:numId w:val="1377"/>
        </w:numPr>
        <w:pStyle w:val="Compact"/>
      </w:pPr>
      <w:r>
        <w:t xml:space="preserve">2011 · Pratley R ·</w:t>
      </w:r>
      <w:r>
        <w:t xml:space="preserve"> </w:t>
      </w:r>
      <w:r>
        <w:rPr>
          <w:iCs/>
          <w:i/>
        </w:rPr>
        <w:t xml:space="preserve">Int J Clin Pract</w:t>
      </w:r>
      <w:r>
        <w:t xml:space="preserve"> </w:t>
      </w:r>
      <w:r>
        <w:t xml:space="preserve">· One year of liraglutide treatment offers sustained and more effective glycaemic control and weight reduction compared with sitagliptin, both in combination with metformin, in patients with type 2 diabetes: a randomised, parallel-group, open-label trial. PMID 21355967</w:t>
      </w:r>
    </w:p>
    <w:p>
      <w:pPr>
        <w:numPr>
          <w:ilvl w:val="0"/>
          <w:numId w:val="1377"/>
        </w:numPr>
        <w:pStyle w:val="Compact"/>
      </w:pPr>
      <w:r>
        <w:t xml:space="preserve">2011 · Lee WC ·</w:t>
      </w:r>
      <w:r>
        <w:t xml:space="preserve"> </w:t>
      </w:r>
      <w:r>
        <w:rPr>
          <w:iCs/>
          <w:i/>
        </w:rPr>
        <w:t xml:space="preserve">Curr Med Res Opin</w:t>
      </w:r>
      <w:r>
        <w:t xml:space="preserve"> </w:t>
      </w:r>
      <w:r>
        <w:t xml:space="preserve">· Cost-effectiveness of liraglutide versus rosiglitazone, both in combination with glimepiride in treatment of type 2 diabetes in the US. PMID 21348806</w:t>
      </w:r>
    </w:p>
    <w:p>
      <w:pPr>
        <w:numPr>
          <w:ilvl w:val="0"/>
          <w:numId w:val="1377"/>
        </w:numPr>
        <w:pStyle w:val="Compact"/>
      </w:pPr>
      <w:r>
        <w:t xml:space="preserve">2011 · Flint A ·</w:t>
      </w:r>
      <w:r>
        <w:t xml:space="preserve"> </w:t>
      </w:r>
      <w:r>
        <w:rPr>
          <w:iCs/>
          <w:i/>
        </w:rPr>
        <w:t xml:space="preserve">Adv Ther</w:t>
      </w:r>
      <w:r>
        <w:t xml:space="preserve"> </w:t>
      </w:r>
      <w:r>
        <w:t xml:space="preserve">· The once-daily human glucagon-like peptide-1 (GLP-1) analog liraglutide improves postprandial glucose levels in type 2 diabetes patients. PMID 21340616</w:t>
      </w:r>
    </w:p>
    <w:p>
      <w:pPr>
        <w:numPr>
          <w:ilvl w:val="0"/>
          <w:numId w:val="1377"/>
        </w:numPr>
        <w:pStyle w:val="Compact"/>
      </w:pPr>
      <w:r>
        <w:t xml:space="preserve">2011 · Davies M ·</w:t>
      </w:r>
      <w:r>
        <w:t xml:space="preserve"> </w:t>
      </w:r>
      <w:r>
        <w:rPr>
          <w:iCs/>
          <w:i/>
        </w:rPr>
        <w:t xml:space="preserve">Diabet Med</w:t>
      </w:r>
      <w:r>
        <w:t xml:space="preserve"> </w:t>
      </w:r>
      <w:r>
        <w:t xml:space="preserve">· Liraglutide improves treatment satisfaction in people with Type 2 diabetes compared with sitagliptin, each as an add on to metformin. PMID 21309842</w:t>
      </w:r>
    </w:p>
    <w:p>
      <w:pPr>
        <w:numPr>
          <w:ilvl w:val="0"/>
          <w:numId w:val="1377"/>
        </w:numPr>
        <w:pStyle w:val="Compact"/>
      </w:pPr>
      <w:r>
        <w:t xml:space="preserve">2011 · Jiang J ·</w:t>
      </w:r>
      <w:r>
        <w:t xml:space="preserve"> </w:t>
      </w:r>
      <w:r>
        <w:rPr>
          <w:iCs/>
          <w:i/>
        </w:rPr>
        <w:t xml:space="preserve">J Clin Pharmacol</w:t>
      </w:r>
      <w:r>
        <w:t xml:space="preserve"> </w:t>
      </w:r>
      <w:r>
        <w:t xml:space="preserve">· The pharmacokinetics, pharmacodynamics, and tolerability of liraglutide, a once-daily human GLP-1 analogue, after multiple subcutaneous administration in healthy Chinese male subjects. PMID 21273395</w:t>
      </w:r>
    </w:p>
    <w:p>
      <w:pPr>
        <w:numPr>
          <w:ilvl w:val="0"/>
          <w:numId w:val="1377"/>
        </w:numPr>
        <w:pStyle w:val="Compact"/>
      </w:pPr>
      <w:r>
        <w:t xml:space="preserve">2011 · Jacobsen LV ·</w:t>
      </w:r>
      <w:r>
        <w:t xml:space="preserve"> </w:t>
      </w:r>
      <w:r>
        <w:rPr>
          <w:iCs/>
          <w:i/>
        </w:rPr>
        <w:t xml:space="preserve">J Clin Pharmacol</w:t>
      </w:r>
      <w:r>
        <w:t xml:space="preserve"> </w:t>
      </w:r>
      <w:r>
        <w:t xml:space="preserve">· Treatment with liraglutide–a once-daily GLP-1 analog–does not reduce the bioavailability of ethinyl estradiol/levonorgestrel taken as an oral combination contraceptive drug. PMID 21228406</w:t>
      </w:r>
    </w:p>
    <w:p>
      <w:pPr>
        <w:numPr>
          <w:ilvl w:val="0"/>
          <w:numId w:val="1377"/>
        </w:numPr>
        <w:pStyle w:val="Compact"/>
      </w:pPr>
      <w:r>
        <w:t xml:space="preserve">2011 · Hegedüs L ·</w:t>
      </w:r>
      <w:r>
        <w:t xml:space="preserve"> </w:t>
      </w:r>
      <w:r>
        <w:rPr>
          <w:iCs/>
          <w:i/>
        </w:rPr>
        <w:t xml:space="preserve">J Clin Endocrinol Metab</w:t>
      </w:r>
      <w:r>
        <w:t xml:space="preserve"> </w:t>
      </w:r>
      <w:r>
        <w:t xml:space="preserve">· GLP-1 and calcitonin concentration in humans: lack of evidence of calcitonin release from sequential screening in over 5000 subjects with type 2 diabetes or nondiabetic obese subjects treated with the human GLP-1 analog, liraglutide. PMID 21209033</w:t>
      </w:r>
    </w:p>
    <w:p>
      <w:pPr>
        <w:numPr>
          <w:ilvl w:val="0"/>
          <w:numId w:val="1377"/>
        </w:numPr>
        <w:pStyle w:val="Compact"/>
      </w:pPr>
      <w:r>
        <w:t xml:space="preserve">2011 · Garber A ·</w:t>
      </w:r>
      <w:r>
        <w:t xml:space="preserve"> </w:t>
      </w:r>
      <w:r>
        <w:rPr>
          <w:iCs/>
          <w:i/>
        </w:rPr>
        <w:t xml:space="preserve">Diabetes Obes Metab</w:t>
      </w:r>
      <w:r>
        <w:t xml:space="preserve"> </w:t>
      </w:r>
      <w:r>
        <w:t xml:space="preserve">· Liraglutide, a once-daily human glucagon-like peptide 1 analogue, provides sustained improvements in glycaemic control and weight for 2 years as monotherapy compared with glimepiride in patients with type 2 diabetes. PMID 21205128</w:t>
      </w:r>
    </w:p>
    <w:p>
      <w:pPr>
        <w:numPr>
          <w:ilvl w:val="0"/>
          <w:numId w:val="1377"/>
        </w:numPr>
        <w:pStyle w:val="Compact"/>
      </w:pPr>
      <w:r>
        <w:t xml:space="preserve">2011 · Yang W ·</w:t>
      </w:r>
      <w:r>
        <w:t xml:space="preserve"> </w:t>
      </w:r>
      <w:r>
        <w:rPr>
          <w:iCs/>
          <w:i/>
        </w:rPr>
        <w:t xml:space="preserve">Diabetes Obes Metab</w:t>
      </w:r>
      <w:r>
        <w:t xml:space="preserve"> </w:t>
      </w:r>
      <w:r>
        <w:t xml:space="preserve">· Liraglutide provides similar glycaemic control as glimepiride (both in combination with metformin) and reduces body weight and systolic blood pressure in Asian population with type 2 diabetes from China, South Korea and India: a 16-week, randomized, double-blind, active control trial(*). PMID 21114607</w:t>
      </w:r>
    </w:p>
    <w:p>
      <w:pPr>
        <w:numPr>
          <w:ilvl w:val="0"/>
          <w:numId w:val="1377"/>
        </w:numPr>
        <w:pStyle w:val="Compact"/>
      </w:pPr>
      <w:r>
        <w:t xml:space="preserve">2011 · Kapitza C ·</w:t>
      </w:r>
      <w:r>
        <w:t xml:space="preserve"> </w:t>
      </w:r>
      <w:r>
        <w:rPr>
          <w:iCs/>
          <w:i/>
        </w:rPr>
        <w:t xml:space="preserve">J Clin Pharmacol</w:t>
      </w:r>
      <w:r>
        <w:t xml:space="preserve"> </w:t>
      </w:r>
      <w:r>
        <w:t xml:space="preserve">· Effect of three different injection sites on the pharmacokinetics of the once-daily human GLP-1 analogue liraglutide. PMID 20671294</w:t>
      </w:r>
    </w:p>
    <w:p>
      <w:pPr>
        <w:numPr>
          <w:ilvl w:val="0"/>
          <w:numId w:val="1377"/>
        </w:numPr>
        <w:pStyle w:val="Compact"/>
      </w:pPr>
      <w:r>
        <w:t xml:space="preserve">2010 · García-Hernández P ·</w:t>
      </w:r>
      <w:r>
        <w:t xml:space="preserve"> </w:t>
      </w:r>
      <w:r>
        <w:rPr>
          <w:iCs/>
          <w:i/>
        </w:rPr>
        <w:t xml:space="preserve">Rev Med Inst Mex Seguro Soc</w:t>
      </w:r>
      <w:r>
        <w:t xml:space="preserve"> </w:t>
      </w:r>
      <w:r>
        <w:t xml:space="preserve">· [Liraglutide and glimepiride on glycaemic control in type 2 diabetes in the Mexican cohort (LEAD 3)]. PMID 21205505</w:t>
      </w:r>
    </w:p>
    <w:p>
      <w:pPr>
        <w:numPr>
          <w:ilvl w:val="0"/>
          <w:numId w:val="1377"/>
        </w:numPr>
        <w:pStyle w:val="Compact"/>
      </w:pPr>
      <w:r>
        <w:t xml:space="preserve">2010 · Flint A ·</w:t>
      </w:r>
      <w:r>
        <w:t xml:space="preserve"> </w:t>
      </w:r>
      <w:r>
        <w:rPr>
          <w:iCs/>
          <w:i/>
        </w:rPr>
        <w:t xml:space="preserve">Br J Clin Pharmacol</w:t>
      </w:r>
      <w:r>
        <w:t xml:space="preserve"> </w:t>
      </w:r>
      <w:r>
        <w:t xml:space="preserve">· Influence of hepatic impairment on pharmacokinetics of the human GLP-1 analogue, liraglutide. PMID 21175436</w:t>
      </w:r>
    </w:p>
    <w:p>
      <w:pPr>
        <w:numPr>
          <w:ilvl w:val="0"/>
          <w:numId w:val="1377"/>
        </w:numPr>
        <w:pStyle w:val="Compact"/>
      </w:pPr>
      <w:r>
        <w:t xml:space="preserve">2010 · Malm-Erjefält M ·</w:t>
      </w:r>
      <w:r>
        <w:t xml:space="preserve"> </w:t>
      </w:r>
      <w:r>
        <w:rPr>
          <w:iCs/>
          <w:i/>
        </w:rPr>
        <w:t xml:space="preserve">Drug Metab Dispos</w:t>
      </w:r>
      <w:r>
        <w:t xml:space="preserve"> </w:t>
      </w:r>
      <w:r>
        <w:t xml:space="preserve">· Metabolism and excretion of the once-daily human glucagon-like peptide-1 analog liraglutide in healthy male subjects and its in vitro degradation by dipeptidyl peptidase IV and neutral endopeptidase. PMID 20709939</w:t>
      </w:r>
    </w:p>
    <w:p>
      <w:pPr>
        <w:numPr>
          <w:ilvl w:val="0"/>
          <w:numId w:val="1377"/>
        </w:numPr>
        <w:pStyle w:val="Compact"/>
      </w:pPr>
      <w:r>
        <w:t xml:space="preserve">2010 · Bode BW ·</w:t>
      </w:r>
      <w:r>
        <w:t xml:space="preserve"> </w:t>
      </w:r>
      <w:r>
        <w:rPr>
          <w:iCs/>
          <w:i/>
        </w:rPr>
        <w:t xml:space="preserve">Diabetes Obes Metab</w:t>
      </w:r>
      <w:r>
        <w:t xml:space="preserve"> </w:t>
      </w:r>
      <w:r>
        <w:t xml:space="preserve">· Patient-reported outcomes following treatment with the human GLP-1 analogue liraglutide or glimepiride in monotherapy: results from a randomized controlled trial in patients with type 2 diabetes. PMID 20590735</w:t>
      </w:r>
    </w:p>
    <w:p>
      <w:pPr>
        <w:numPr>
          <w:ilvl w:val="0"/>
          <w:numId w:val="1377"/>
        </w:numPr>
        <w:pStyle w:val="Compact"/>
      </w:pPr>
      <w:r>
        <w:t xml:space="preserve">2010 · Hermansen K ·</w:t>
      </w:r>
      <w:r>
        <w:t xml:space="preserve"> </w:t>
      </w:r>
      <w:r>
        <w:rPr>
          <w:iCs/>
          <w:i/>
        </w:rPr>
        <w:t xml:space="preserve">Prim Care Diabetes</w:t>
      </w:r>
      <w:r>
        <w:t xml:space="preserve"> </w:t>
      </w:r>
      <w:r>
        <w:t xml:space="preserve">· Patient-reported outcomes in patients with type 2 diabetes treated with liraglutide or glimepiride, both as add-on to metformin. PMID 20444662</w:t>
      </w:r>
    </w:p>
    <w:p>
      <w:pPr>
        <w:numPr>
          <w:ilvl w:val="0"/>
          <w:numId w:val="1377"/>
        </w:numPr>
        <w:pStyle w:val="Compact"/>
      </w:pPr>
      <w:r>
        <w:t xml:space="preserve">2010 · Pratley RE ·</w:t>
      </w:r>
      <w:r>
        <w:t xml:space="preserve"> </w:t>
      </w:r>
      <w:r>
        <w:rPr>
          <w:iCs/>
          <w:i/>
        </w:rPr>
        <w:t xml:space="preserve">Lancet</w:t>
      </w:r>
      <w:r>
        <w:t xml:space="preserve"> </w:t>
      </w:r>
      <w:r>
        <w:t xml:space="preserve">· Liraglutide versus sitagliptin for patients with type 2 diabetes who did not have adequate glycaemic control with metformin: a 26-week, randomised, parallel-group, open-label trial. PMID 20417856</w:t>
      </w:r>
    </w:p>
    <w:p>
      <w:pPr>
        <w:numPr>
          <w:ilvl w:val="0"/>
          <w:numId w:val="1377"/>
        </w:numPr>
        <w:pStyle w:val="Compact"/>
      </w:pPr>
      <w:r>
        <w:t xml:space="preserve">2010 · Kaku K ·</w:t>
      </w:r>
      <w:r>
        <w:t xml:space="preserve"> </w:t>
      </w:r>
      <w:r>
        <w:rPr>
          <w:iCs/>
          <w:i/>
        </w:rPr>
        <w:t xml:space="preserve">Diabetes Obes Metab</w:t>
      </w:r>
      <w:r>
        <w:t xml:space="preserve"> </w:t>
      </w:r>
      <w:r>
        <w:t xml:space="preserve">· Improved glycaemic control with minimal hypoglycaemia and no weight change with the once-daily human glucagon-like peptide-1 analogue liraglutide as add-on to sulphonylurea in Japanese patients with type 2 diabetes. PMID 20380655</w:t>
      </w:r>
    </w:p>
    <w:p>
      <w:pPr>
        <w:numPr>
          <w:ilvl w:val="0"/>
          <w:numId w:val="1377"/>
        </w:numPr>
        <w:pStyle w:val="Compact"/>
      </w:pPr>
      <w:r>
        <w:t xml:space="preserve">2010 · Buse JB ·</w:t>
      </w:r>
      <w:r>
        <w:t xml:space="preserve"> </w:t>
      </w:r>
      <w:r>
        <w:rPr>
          <w:iCs/>
          <w:i/>
        </w:rPr>
        <w:t xml:space="preserve">Diabetes Care</w:t>
      </w:r>
      <w:r>
        <w:t xml:space="preserve"> </w:t>
      </w:r>
      <w:r>
        <w:t xml:space="preserve">· Switching to once-daily liraglutide from twice-daily exenatide further improves glycemic control in patients with type 2 diabetes using oral agents. PMID 20332351</w:t>
      </w:r>
    </w:p>
    <w:p>
      <w:pPr>
        <w:numPr>
          <w:ilvl w:val="0"/>
          <w:numId w:val="1377"/>
        </w:numPr>
        <w:pStyle w:val="Compact"/>
      </w:pPr>
      <w:r>
        <w:t xml:space="preserve">2010 · Bjerre Knudsen L ·</w:t>
      </w:r>
      <w:r>
        <w:t xml:space="preserve"> </w:t>
      </w:r>
      <w:r>
        <w:rPr>
          <w:iCs/>
          <w:i/>
        </w:rPr>
        <w:t xml:space="preserve">Endocrinology</w:t>
      </w:r>
      <w:r>
        <w:t xml:space="preserve"> </w:t>
      </w:r>
      <w:r>
        <w:t xml:space="preserve">· Glucagon-like Peptide-1 receptor agonists activate rodent thyroid C-cells causing calcitonin release and C-cell proliferation. PMID 20203154</w:t>
      </w:r>
    </w:p>
    <w:p>
      <w:pPr>
        <w:numPr>
          <w:ilvl w:val="0"/>
          <w:numId w:val="1377"/>
        </w:numPr>
        <w:pStyle w:val="Compact"/>
      </w:pPr>
      <w:r>
        <w:t xml:space="preserve">2010 · Seino Y ·</w:t>
      </w:r>
      <w:r>
        <w:t xml:space="preserve"> </w:t>
      </w:r>
      <w:r>
        <w:rPr>
          <w:iCs/>
          <w:i/>
        </w:rPr>
        <w:t xml:space="preserve">Curr Med Res Opin</w:t>
      </w:r>
      <w:r>
        <w:t xml:space="preserve"> </w:t>
      </w:r>
      <w:r>
        <w:t xml:space="preserve">· Efficacy and safety of the once-daily human GLP-1 analogue, liraglutide, vs glibenclamide monotherapy in Japanese patients with type 2 diabetes. PMID 20199137</w:t>
      </w:r>
    </w:p>
    <w:p>
      <w:pPr>
        <w:numPr>
          <w:ilvl w:val="0"/>
          <w:numId w:val="1377"/>
        </w:numPr>
        <w:pStyle w:val="Compact"/>
      </w:pPr>
      <w:r>
        <w:t xml:space="preserve">2010 · Gallwitz B ·</w:t>
      </w:r>
      <w:r>
        <w:t xml:space="preserve"> </w:t>
      </w:r>
      <w:r>
        <w:rPr>
          <w:iCs/>
          <w:i/>
        </w:rPr>
        <w:t xml:space="preserve">Int J Clin Pract</w:t>
      </w:r>
      <w:r>
        <w:t xml:space="preserve"> </w:t>
      </w:r>
      <w:r>
        <w:t xml:space="preserve">· Adding liraglutide to oral antidiabetic drug therapy: onset of treatment effects over time. PMID 19925617</w:t>
      </w:r>
    </w:p>
    <w:p>
      <w:pPr>
        <w:numPr>
          <w:ilvl w:val="0"/>
          <w:numId w:val="1377"/>
        </w:numPr>
        <w:pStyle w:val="Compact"/>
      </w:pPr>
      <w:r>
        <w:t xml:space="preserve">2009 · Jacobsen LV ·</w:t>
      </w:r>
      <w:r>
        <w:t xml:space="preserve"> </w:t>
      </w:r>
      <w:r>
        <w:rPr>
          <w:iCs/>
          <w:i/>
        </w:rPr>
        <w:t xml:space="preserve">Br J Clin Pharmacol</w:t>
      </w:r>
      <w:r>
        <w:t xml:space="preserve"> </w:t>
      </w:r>
      <w:r>
        <w:t xml:space="preserve">· Effect of renal impairment on the pharmacokinetics of the GLP-1 analogue liraglutide. PMID 20002084</w:t>
      </w:r>
    </w:p>
    <w:p>
      <w:pPr>
        <w:numPr>
          <w:ilvl w:val="0"/>
          <w:numId w:val="1377"/>
        </w:numPr>
        <w:pStyle w:val="Compact"/>
      </w:pPr>
      <w:r>
        <w:t xml:space="preserve">2009 · Jendle J ·</w:t>
      </w:r>
      <w:r>
        <w:t xml:space="preserve"> </w:t>
      </w:r>
      <w:r>
        <w:rPr>
          <w:iCs/>
          <w:i/>
        </w:rPr>
        <w:t xml:space="preserve">Diabetes Obes Metab</w:t>
      </w:r>
      <w:r>
        <w:t xml:space="preserve"> </w:t>
      </w:r>
      <w:r>
        <w:t xml:space="preserve">· Weight loss with liraglutide, a once-daily human glucagon-like peptide-1 analogue for type 2 diabetes treatment as monotherapy or added to metformin, is primarily as a result of a reduction in fat tissue. PMID 19930006</w:t>
      </w:r>
    </w:p>
    <w:p>
      <w:pPr>
        <w:numPr>
          <w:ilvl w:val="0"/>
          <w:numId w:val="1377"/>
        </w:numPr>
        <w:pStyle w:val="Compact"/>
      </w:pPr>
      <w:r>
        <w:t xml:space="preserve">2009 · Sullivan SD ·</w:t>
      </w:r>
      <w:r>
        <w:t xml:space="preserve"> </w:t>
      </w:r>
      <w:r>
        <w:rPr>
          <w:iCs/>
          <w:i/>
        </w:rPr>
        <w:t xml:space="preserve">Pharmacotherapy</w:t>
      </w:r>
      <w:r>
        <w:t xml:space="preserve"> </w:t>
      </w:r>
      <w:r>
        <w:t xml:space="preserve">· A simulation of the comparative long-term effectiveness of liraglutide and glimepiride monotherapies in patients with type 2 diabetes mellitus. PMID 19873688</w:t>
      </w:r>
    </w:p>
    <w:p>
      <w:pPr>
        <w:numPr>
          <w:ilvl w:val="0"/>
          <w:numId w:val="1377"/>
        </w:numPr>
        <w:pStyle w:val="Compact"/>
      </w:pPr>
      <w:r>
        <w:t xml:space="preserve">2009 · Astrup A ·</w:t>
      </w:r>
      <w:r>
        <w:t xml:space="preserve"> </w:t>
      </w:r>
      <w:r>
        <w:rPr>
          <w:iCs/>
          <w:i/>
        </w:rPr>
        <w:t xml:space="preserve">Lancet</w:t>
      </w:r>
      <w:r>
        <w:t xml:space="preserve"> </w:t>
      </w:r>
      <w:r>
        <w:t xml:space="preserve">· Effects of liraglutide in the treatment of obesity: a randomised, double-blind, placebo-controlled study. PMID 19853906</w:t>
      </w:r>
    </w:p>
    <w:p>
      <w:pPr>
        <w:numPr>
          <w:ilvl w:val="0"/>
          <w:numId w:val="1377"/>
        </w:numPr>
        <w:pStyle w:val="Compact"/>
      </w:pPr>
      <w:r>
        <w:t xml:space="preserve">2009 · Chatterjee DJ ·</w:t>
      </w:r>
      <w:r>
        <w:t xml:space="preserve"> </w:t>
      </w:r>
      <w:r>
        <w:rPr>
          <w:iCs/>
          <w:i/>
        </w:rPr>
        <w:t xml:space="preserve">J Clin Pharmacol</w:t>
      </w:r>
      <w:r>
        <w:t xml:space="preserve"> </w:t>
      </w:r>
      <w:r>
        <w:t xml:space="preserve">· Absence of QTc prolongation in a thorough QT study with subcutaneous liraglutide, a once-daily human GLP-1 analog for treatment of type 2 diabetes. PMID 19737980</w:t>
      </w:r>
    </w:p>
    <w:p>
      <w:pPr>
        <w:numPr>
          <w:ilvl w:val="0"/>
          <w:numId w:val="1377"/>
        </w:numPr>
        <w:pStyle w:val="Compact"/>
      </w:pPr>
      <w:r>
        <w:t xml:space="preserve">2009 · Russell-Jones D ·</w:t>
      </w:r>
      <w:r>
        <w:t xml:space="preserve"> </w:t>
      </w:r>
      <w:r>
        <w:rPr>
          <w:iCs/>
          <w:i/>
        </w:rPr>
        <w:t xml:space="preserve">Diabetologia</w:t>
      </w:r>
      <w:r>
        <w:t xml:space="preserve"> </w:t>
      </w:r>
      <w:r>
        <w:t xml:space="preserve">· Liraglutide vs insulin glargine and placebo in combination with metformin and sulfonylurea therapy in type 2 diabetes mellitus (LEAD-5 met+SU): a randomised controlled trial. PMID 19688338</w:t>
      </w:r>
    </w:p>
    <w:p>
      <w:pPr>
        <w:numPr>
          <w:ilvl w:val="0"/>
          <w:numId w:val="1377"/>
        </w:numPr>
        <w:pStyle w:val="Compact"/>
      </w:pPr>
      <w:r>
        <w:t xml:space="preserve">2009 · Buse JB ·</w:t>
      </w:r>
      <w:r>
        <w:t xml:space="preserve"> </w:t>
      </w:r>
      <w:r>
        <w:rPr>
          <w:iCs/>
          <w:i/>
        </w:rPr>
        <w:t xml:space="preserve">Lancet</w:t>
      </w:r>
      <w:r>
        <w:t xml:space="preserve"> </w:t>
      </w:r>
      <w:r>
        <w:t xml:space="preserve">· Liraglutide once a day versus exenatide twice a day for type 2 diabetes: a 26-week randomised, parallel-group, multinational, open-label trial (LEAD-6). PMID 19515413</w:t>
      </w:r>
    </w:p>
    <w:p>
      <w:pPr>
        <w:numPr>
          <w:ilvl w:val="0"/>
          <w:numId w:val="1377"/>
        </w:numPr>
        <w:pStyle w:val="Compact"/>
      </w:pPr>
      <w:r>
        <w:t xml:space="preserve">2009 · Nauck M ·</w:t>
      </w:r>
      <w:r>
        <w:t xml:space="preserve"> </w:t>
      </w:r>
      <w:r>
        <w:rPr>
          <w:iCs/>
          <w:i/>
        </w:rPr>
        <w:t xml:space="preserve">Postgrad Med</w:t>
      </w:r>
      <w:r>
        <w:t xml:space="preserve"> </w:t>
      </w:r>
      <w:r>
        <w:t xml:space="preserve">· Adding liraglutide to oral antidiabetic drug monotherapy: efficacy and weight benefits. PMID 19491535</w:t>
      </w:r>
    </w:p>
    <w:p>
      <w:pPr>
        <w:numPr>
          <w:ilvl w:val="0"/>
          <w:numId w:val="1377"/>
        </w:numPr>
        <w:pStyle w:val="Compact"/>
      </w:pPr>
      <w:r>
        <w:t xml:space="preserve">2009 · Marre M ·</w:t>
      </w:r>
      <w:r>
        <w:t xml:space="preserve"> </w:t>
      </w:r>
      <w:r>
        <w:rPr>
          <w:iCs/>
          <w:i/>
        </w:rPr>
        <w:t xml:space="preserve">Diabet Med</w:t>
      </w:r>
      <w:r>
        <w:t xml:space="preserve"> </w:t>
      </w:r>
      <w:r>
        <w:t xml:space="preserve">· Liraglutide, a once-daily human GLP-1 analogue, added to a sulphonylurea over 26 weeks produces greater improvements in glycaemic and weight control compared with adding rosiglitazone or placebo in subjects with Type 2 diabetes (LEAD-1 SU). PMID 19317822</w:t>
      </w:r>
    </w:p>
    <w:p>
      <w:pPr>
        <w:numPr>
          <w:ilvl w:val="0"/>
          <w:numId w:val="1377"/>
        </w:numPr>
        <w:pStyle w:val="Compact"/>
      </w:pPr>
      <w:r>
        <w:t xml:space="preserve">2009 · Zinman B ·</w:t>
      </w:r>
      <w:r>
        <w:t xml:space="preserve"> </w:t>
      </w:r>
      <w:r>
        <w:rPr>
          <w:iCs/>
          <w:i/>
        </w:rPr>
        <w:t xml:space="preserve">Diabetes Care</w:t>
      </w:r>
      <w:r>
        <w:t xml:space="preserve"> </w:t>
      </w:r>
      <w:r>
        <w:t xml:space="preserve">· Efficacy and safety of the human glucagon-like peptide-1 analog liraglutide in combination with metformin and thiazolidinedione in patients with type 2 diabetes (LEAD-4 Met+TZD). PMID 19289857</w:t>
      </w:r>
    </w:p>
    <w:p>
      <w:pPr>
        <w:numPr>
          <w:ilvl w:val="0"/>
          <w:numId w:val="1377"/>
        </w:numPr>
        <w:pStyle w:val="Compact"/>
      </w:pPr>
      <w:r>
        <w:t xml:space="preserve">2009 · Sullivan SD ·</w:t>
      </w:r>
      <w:r>
        <w:t xml:space="preserve"> </w:t>
      </w:r>
      <w:r>
        <w:rPr>
          <w:iCs/>
          <w:i/>
        </w:rPr>
        <w:t xml:space="preserve">Cardiovasc Diabetol</w:t>
      </w:r>
      <w:r>
        <w:t xml:space="preserve"> </w:t>
      </w:r>
      <w:r>
        <w:t xml:space="preserve">· Long-term outcomes in patients with type 2 diabetes receiving glimepiride combined with liraglutide or rosiglitazone. PMID 19245711</w:t>
      </w:r>
    </w:p>
    <w:p>
      <w:pPr>
        <w:numPr>
          <w:ilvl w:val="0"/>
          <w:numId w:val="1377"/>
        </w:numPr>
        <w:pStyle w:val="Compact"/>
      </w:pPr>
      <w:r>
        <w:t xml:space="preserve">2009 · Nauck M ·</w:t>
      </w:r>
      <w:r>
        <w:t xml:space="preserve"> </w:t>
      </w:r>
      <w:r>
        <w:rPr>
          <w:iCs/>
          <w:i/>
        </w:rPr>
        <w:t xml:space="preserve">Diabetes Care</w:t>
      </w:r>
      <w:r>
        <w:t xml:space="preserve"> </w:t>
      </w:r>
      <w:r>
        <w:t xml:space="preserve">· Efficacy and safety comparison of liraglutide, glimepiride, and placebo, all in combination with metformin, in type 2 diabetes: the LEAD (liraglutide effect and action in diabetes)-2 study. PMID 18931095</w:t>
      </w:r>
    </w:p>
    <w:p>
      <w:pPr>
        <w:numPr>
          <w:ilvl w:val="0"/>
          <w:numId w:val="1377"/>
        </w:numPr>
        <w:pStyle w:val="Compact"/>
      </w:pPr>
      <w:r>
        <w:t xml:space="preserve">2009 · Garber A ·</w:t>
      </w:r>
      <w:r>
        <w:t xml:space="preserve"> </w:t>
      </w:r>
      <w:r>
        <w:rPr>
          <w:iCs/>
          <w:i/>
        </w:rPr>
        <w:t xml:space="preserve">Lancet</w:t>
      </w:r>
      <w:r>
        <w:t xml:space="preserve"> </w:t>
      </w:r>
      <w:r>
        <w:t xml:space="preserve">· Liraglutide versus glimepiride monotherapy for type 2 diabetes (LEAD-3 Mono): a randomised, 52-week, phase III, double-blind, parallel-treatment trial. PMID 18819705</w:t>
      </w:r>
    </w:p>
    <w:p>
      <w:pPr>
        <w:numPr>
          <w:ilvl w:val="0"/>
          <w:numId w:val="1377"/>
        </w:numPr>
        <w:pStyle w:val="Compact"/>
      </w:pPr>
      <w:r>
        <w:t xml:space="preserve">2008 · Courrèges JP ·</w:t>
      </w:r>
      <w:r>
        <w:t xml:space="preserve"> </w:t>
      </w:r>
      <w:r>
        <w:rPr>
          <w:iCs/>
          <w:i/>
        </w:rPr>
        <w:t xml:space="preserve">Diabet Med</w:t>
      </w:r>
      <w:r>
        <w:t xml:space="preserve"> </w:t>
      </w:r>
      <w:r>
        <w:t xml:space="preserve">· Beneficial effects of once-daily liraglutide, a human glucagon-like peptide-1 analogue, on cardiovascular risk biomarkers in patients with Type 2 diabetes. PMID 19183322</w:t>
      </w:r>
    </w:p>
    <w:p>
      <w:pPr>
        <w:numPr>
          <w:ilvl w:val="0"/>
          <w:numId w:val="1377"/>
        </w:numPr>
        <w:pStyle w:val="Compact"/>
      </w:pPr>
      <w:r>
        <w:t xml:space="preserve">2008 · Irie S ·</w:t>
      </w:r>
      <w:r>
        <w:t xml:space="preserve"> </w:t>
      </w:r>
      <w:r>
        <w:rPr>
          <w:iCs/>
          <w:i/>
        </w:rPr>
        <w:t xml:space="preserve">Int J Clin Pharmacol Ther</w:t>
      </w:r>
      <w:r>
        <w:t xml:space="preserve"> </w:t>
      </w:r>
      <w:r>
        <w:t xml:space="preserve">· Tolerability, pharmacokinetics and pharmacodynamics of the once-daily human GLP-1 analog liraglutide in Japanese healthy subjects: a randomized, double-blind, placebo-controlled dose-escalation study. PMID 18541123</w:t>
      </w:r>
    </w:p>
    <w:p>
      <w:pPr>
        <w:numPr>
          <w:ilvl w:val="0"/>
          <w:numId w:val="1377"/>
        </w:numPr>
        <w:pStyle w:val="Compact"/>
      </w:pPr>
      <w:r>
        <w:t xml:space="preserve">2008 · Seino Y ·</w:t>
      </w:r>
      <w:r>
        <w:t xml:space="preserve"> </w:t>
      </w:r>
      <w:r>
        <w:rPr>
          <w:iCs/>
          <w:i/>
        </w:rPr>
        <w:t xml:space="preserve">Diabetes Res Clin Pract</w:t>
      </w:r>
      <w:r>
        <w:t xml:space="preserve"> </w:t>
      </w:r>
      <w:r>
        <w:t xml:space="preserve">· Dose-dependent improvement in glycemia with once-daily liraglutide without hypoglycemia or weight gain: A double-blind, randomized, controlled trial in Japanese patients with type 2 diabetes. PMID 18495285</w:t>
      </w:r>
    </w:p>
    <w:p>
      <w:pPr>
        <w:numPr>
          <w:ilvl w:val="0"/>
          <w:numId w:val="1377"/>
        </w:numPr>
        <w:pStyle w:val="Compact"/>
      </w:pPr>
      <w:r>
        <w:t xml:space="preserve">2008 · Horowitz M ·</w:t>
      </w:r>
      <w:r>
        <w:t xml:space="preserve"> </w:t>
      </w:r>
      <w:r>
        <w:rPr>
          <w:iCs/>
          <w:i/>
        </w:rPr>
        <w:t xml:space="preserve">Diabetes Obes Metab</w:t>
      </w:r>
      <w:r>
        <w:t xml:space="preserve"> </w:t>
      </w:r>
      <w:r>
        <w:t xml:space="preserve">· Patient-reported rating of gastrointestinal adverse effects during treatment of type 2 diabetes with the once-daily human GLP-1 analogue, liraglutide. PMID 18435773</w:t>
      </w:r>
    </w:p>
    <w:p>
      <w:pPr>
        <w:numPr>
          <w:ilvl w:val="0"/>
          <w:numId w:val="1377"/>
        </w:numPr>
        <w:pStyle w:val="Compact"/>
      </w:pPr>
      <w:r>
        <w:t xml:space="preserve">2008 · Vilsbøll T ·</w:t>
      </w:r>
      <w:r>
        <w:t xml:space="preserve"> </w:t>
      </w:r>
      <w:r>
        <w:rPr>
          <w:iCs/>
          <w:i/>
        </w:rPr>
        <w:t xml:space="preserve">Diabet Med</w:t>
      </w:r>
      <w:r>
        <w:t xml:space="preserve"> </w:t>
      </w:r>
      <w:r>
        <w:t xml:space="preserve">· Liraglutide, a once-daily human GLP-1 analogue, improves pancreatic B-cell function and arginine-stimulated insulin secretion during hyperglycaemia in patients with Type 2 diabetes mellitus. PMID 18201212</w:t>
      </w:r>
    </w:p>
    <w:p>
      <w:pPr>
        <w:numPr>
          <w:ilvl w:val="0"/>
          <w:numId w:val="1377"/>
        </w:numPr>
        <w:pStyle w:val="Compact"/>
      </w:pPr>
      <w:r>
        <w:t xml:space="preserve">2007 · Mari A ·</w:t>
      </w:r>
      <w:r>
        <w:t xml:space="preserve"> </w:t>
      </w:r>
      <w:r>
        <w:rPr>
          <w:iCs/>
          <w:i/>
        </w:rPr>
        <w:t xml:space="preserve">Diabetes Care</w:t>
      </w:r>
      <w:r>
        <w:t xml:space="preserve"> </w:t>
      </w:r>
      <w:r>
        <w:t xml:space="preserve">· Effects of the long-acting human glucagon-like peptide-1 analog liraglutide on beta-cell function in normal living conditions. PMID 17468345</w:t>
      </w:r>
    </w:p>
    <w:p>
      <w:pPr>
        <w:numPr>
          <w:ilvl w:val="0"/>
          <w:numId w:val="1377"/>
        </w:numPr>
        <w:pStyle w:val="Compact"/>
      </w:pPr>
      <w:r>
        <w:t xml:space="preserve">2007 · Vilsbøll T ·</w:t>
      </w:r>
      <w:r>
        <w:t xml:space="preserve"> </w:t>
      </w:r>
      <w:r>
        <w:rPr>
          <w:iCs/>
          <w:i/>
        </w:rPr>
        <w:t xml:space="preserve">Diabetes Care</w:t>
      </w:r>
      <w:r>
        <w:t xml:space="preserve"> </w:t>
      </w:r>
      <w:r>
        <w:t xml:space="preserve">· Liraglutide, a long-acting human glucagon-like peptide-1 analog, given as monotherapy significantly improves glycemic control and lowers body weight without risk of hypoglycemia in patients with type 2 diabetes. PMID 17372153</w:t>
      </w:r>
    </w:p>
    <w:p>
      <w:pPr>
        <w:numPr>
          <w:ilvl w:val="0"/>
          <w:numId w:val="1377"/>
        </w:numPr>
        <w:pStyle w:val="Compact"/>
      </w:pPr>
      <w:r>
        <w:t xml:space="preserve">2006 · Nauck MA ·</w:t>
      </w:r>
      <w:r>
        <w:t xml:space="preserve"> </w:t>
      </w:r>
      <w:r>
        <w:rPr>
          <w:iCs/>
          <w:i/>
        </w:rPr>
        <w:t xml:space="preserve">Exp Clin Endocrinol Diabetes</w:t>
      </w:r>
      <w:r>
        <w:t xml:space="preserve"> </w:t>
      </w:r>
      <w:r>
        <w:t xml:space="preserve">· Five weeks of treatment with the GLP-1 analogue liraglutide improves glycaemic control and lowers body weight in subjects with type 2 diabetes. PMID 17039422</w:t>
      </w:r>
    </w:p>
    <w:p>
      <w:pPr>
        <w:numPr>
          <w:ilvl w:val="0"/>
          <w:numId w:val="1377"/>
        </w:numPr>
        <w:pStyle w:val="Compact"/>
      </w:pPr>
      <w:r>
        <w:t xml:space="preserve">2006 · Damholt B ·</w:t>
      </w:r>
      <w:r>
        <w:t xml:space="preserve"> </w:t>
      </w:r>
      <w:r>
        <w:rPr>
          <w:iCs/>
          <w:i/>
        </w:rPr>
        <w:t xml:space="preserve">J Clin Pharmacol</w:t>
      </w:r>
      <w:r>
        <w:t xml:space="preserve"> </w:t>
      </w:r>
      <w:r>
        <w:t xml:space="preserve">· An open-label, parallel group study investigating the effects of age and gender on the pharmacokinetics of the once-daily glucagon-like peptide-1 analogue liraglutide. PMID 16707410</w:t>
      </w:r>
    </w:p>
    <w:p>
      <w:pPr>
        <w:numPr>
          <w:ilvl w:val="0"/>
          <w:numId w:val="1377"/>
        </w:numPr>
        <w:pStyle w:val="Compact"/>
      </w:pPr>
      <w:r>
        <w:t xml:space="preserve">2005 · Feinglos MN ·</w:t>
      </w:r>
      <w:r>
        <w:t xml:space="preserve"> </w:t>
      </w:r>
      <w:r>
        <w:rPr>
          <w:iCs/>
          <w:i/>
        </w:rPr>
        <w:t xml:space="preserve">Diabet Med</w:t>
      </w:r>
      <w:r>
        <w:t xml:space="preserve"> </w:t>
      </w:r>
      <w:r>
        <w:t xml:space="preserve">· Effects of liraglutide (NN2211), a long-acting GLP-1 analogue, on glycaemic control and bodyweight in subjects with Type 2 diabetes. PMID 16026367</w:t>
      </w:r>
    </w:p>
    <w:p>
      <w:pPr>
        <w:numPr>
          <w:ilvl w:val="0"/>
          <w:numId w:val="1377"/>
        </w:numPr>
        <w:pStyle w:val="Compact"/>
      </w:pPr>
      <w:r>
        <w:t xml:space="preserve">2004 · Harder H ·</w:t>
      </w:r>
      <w:r>
        <w:t xml:space="preserve"> </w:t>
      </w:r>
      <w:r>
        <w:rPr>
          <w:iCs/>
          <w:i/>
        </w:rPr>
        <w:t xml:space="preserve">Diabetes Care</w:t>
      </w:r>
      <w:r>
        <w:t xml:space="preserve"> </w:t>
      </w:r>
      <w:r>
        <w:t xml:space="preserve">· The effect of liraglutide, a long-acting glucagon-like peptide 1 derivative, on glycemic control, body composition, and 24-h energy expenditure in patients with type 2 diabetes. PMID 15277417</w:t>
      </w:r>
    </w:p>
    <w:p>
      <w:pPr>
        <w:numPr>
          <w:ilvl w:val="0"/>
          <w:numId w:val="1377"/>
        </w:numPr>
        <w:pStyle w:val="Compact"/>
      </w:pPr>
      <w:r>
        <w:t xml:space="preserve">2004 · Madsbad S ·</w:t>
      </w:r>
      <w:r>
        <w:t xml:space="preserve"> </w:t>
      </w:r>
      <w:r>
        <w:rPr>
          <w:iCs/>
          <w:i/>
        </w:rPr>
        <w:t xml:space="preserve">Diabetes Care</w:t>
      </w:r>
      <w:r>
        <w:t xml:space="preserve"> </w:t>
      </w:r>
      <w:r>
        <w:t xml:space="preserve">· Improved glycemic control with no weight increase in patients with type 2 diabetes after once-daily treatment with the long-acting glucagon-like peptide 1 analog liraglutide (NN2211): a 12-week, double-blind, randomized, controlled trial. PMID 15161785</w:t>
      </w:r>
    </w:p>
    <w:p>
      <w:pPr>
        <w:numPr>
          <w:ilvl w:val="0"/>
          <w:numId w:val="1377"/>
        </w:numPr>
        <w:pStyle w:val="Compact"/>
      </w:pPr>
      <w:r>
        <w:t xml:space="preserve">2004 · Degn KB ·</w:t>
      </w:r>
      <w:r>
        <w:t xml:space="preserve"> </w:t>
      </w:r>
      <w:r>
        <w:rPr>
          <w:iCs/>
          <w:i/>
        </w:rPr>
        <w:t xml:space="preserve">Diabetes</w:t>
      </w:r>
      <w:r>
        <w:t xml:space="preserve"> </w:t>
      </w:r>
      <w:r>
        <w:t xml:space="preserve">· One week’s treatment with the long-acting glucagon-like peptide 1 derivative liraglutide (NN2211) markedly improves 24-h glycemia and alpha- and beta-cell function and reduces endogenous glucose release in patients with type 2 diabetes. PMID 15111485</w:t>
      </w:r>
    </w:p>
    <w:bookmarkEnd w:id="1117"/>
    <w:bookmarkStart w:id="1118" w:name="dulaglutide-158"/>
    <w:p>
      <w:pPr>
        <w:pStyle w:val="Heading2"/>
      </w:pPr>
      <w:r>
        <w:t xml:space="preserve">Dulaglutide (158)</w:t>
      </w:r>
    </w:p>
    <w:p>
      <w:pPr>
        <w:numPr>
          <w:ilvl w:val="0"/>
          <w:numId w:val="1378"/>
        </w:numPr>
        <w:pStyle w:val="Compact"/>
      </w:pPr>
      <w:r>
        <w:t xml:space="preserve">2026 · Adly AAM ·</w:t>
      </w:r>
      <w:r>
        <w:t xml:space="preserve"> </w:t>
      </w:r>
      <w:r>
        <w:rPr>
          <w:iCs/>
          <w:i/>
        </w:rPr>
        <w:t xml:space="preserve">Diabetologia</w:t>
      </w:r>
      <w:r>
        <w:t xml:space="preserve"> </w:t>
      </w:r>
      <w:r>
        <w:t xml:space="preserve">· Dulaglutide vs insulin in adolescents with thalassaemia-induced diabetes: effect on metabolism and atherogenesis (DIADEMA). PMID 42618811</w:t>
      </w:r>
    </w:p>
    <w:p>
      <w:pPr>
        <w:numPr>
          <w:ilvl w:val="0"/>
          <w:numId w:val="1378"/>
        </w:numPr>
        <w:pStyle w:val="Compact"/>
      </w:pPr>
      <w:r>
        <w:t xml:space="preserve">2026 · Ruotolo G ·</w:t>
      </w:r>
      <w:r>
        <w:t xml:space="preserve"> </w:t>
      </w:r>
      <w:r>
        <w:rPr>
          <w:iCs/>
          <w:i/>
        </w:rPr>
        <w:t xml:space="preserve">Diabetes Obes Metab</w:t>
      </w:r>
      <w:r>
        <w:t xml:space="preserve"> </w:t>
      </w:r>
      <w:r>
        <w:t xml:space="preserve">· Retatrutide-Associated Improvements in Cardiovascular Risk Biomarkers in Adults With Obesity With or Without Type 2 Diabetes. PMID 42608321</w:t>
      </w:r>
    </w:p>
    <w:p>
      <w:pPr>
        <w:numPr>
          <w:ilvl w:val="0"/>
          <w:numId w:val="1378"/>
        </w:numPr>
        <w:pStyle w:val="Compact"/>
      </w:pPr>
      <w:r>
        <w:t xml:space="preserve">2026 · Jun JE ·</w:t>
      </w:r>
      <w:r>
        <w:t xml:space="preserve"> </w:t>
      </w:r>
      <w:r>
        <w:rPr>
          <w:iCs/>
          <w:i/>
        </w:rPr>
        <w:t xml:space="preserve">Front Endocrinol (Lausanne)</w:t>
      </w:r>
      <w:r>
        <w:t xml:space="preserve"> </w:t>
      </w:r>
      <w:r>
        <w:t xml:space="preserve">· Dulaglutide versus empagliflozin as add-on therapy to metformin and sulfonylurea in type 2 diabetes: a randomized pilot study with exploratory metabolomic and microbiome analyses. PMID 42388875</w:t>
      </w:r>
    </w:p>
    <w:p>
      <w:pPr>
        <w:numPr>
          <w:ilvl w:val="0"/>
          <w:numId w:val="1378"/>
        </w:numPr>
        <w:pStyle w:val="Compact"/>
      </w:pPr>
      <w:r>
        <w:t xml:space="preserve">2026 · Heise T ·</w:t>
      </w:r>
      <w:r>
        <w:t xml:space="preserve"> </w:t>
      </w:r>
      <w:r>
        <w:rPr>
          <w:iCs/>
          <w:i/>
        </w:rPr>
        <w:t xml:space="preserve">Diabetes Obes Metab</w:t>
      </w:r>
      <w:r>
        <w:t xml:space="preserve"> </w:t>
      </w:r>
      <w:r>
        <w:t xml:space="preserve">· Insulin Sensitivity and Beta Cell Function With Macupatide Alone or With Dulaglutide in Type 2 Diabetes: A Phase 1b, Randomised Controlled Trial. PMID 42229460</w:t>
      </w:r>
    </w:p>
    <w:p>
      <w:pPr>
        <w:numPr>
          <w:ilvl w:val="0"/>
          <w:numId w:val="1378"/>
        </w:numPr>
        <w:pStyle w:val="Compact"/>
      </w:pPr>
      <w:r>
        <w:t xml:space="preserve">2026 · Pearson MJ ·</w:t>
      </w:r>
      <w:r>
        <w:t xml:space="preserve"> </w:t>
      </w:r>
      <w:r>
        <w:rPr>
          <w:iCs/>
          <w:i/>
        </w:rPr>
        <w:t xml:space="preserve">J Clin Endocrinol Metab</w:t>
      </w:r>
      <w:r>
        <w:t xml:space="preserve"> </w:t>
      </w:r>
      <w:r>
        <w:t xml:space="preserve">· Retatrutide and lipid and metabolite profiles in participants with obesity with or without type 2 diabetes. PMID 42135195</w:t>
      </w:r>
    </w:p>
    <w:p>
      <w:pPr>
        <w:numPr>
          <w:ilvl w:val="0"/>
          <w:numId w:val="1378"/>
        </w:numPr>
        <w:pStyle w:val="Compact"/>
      </w:pPr>
      <w:r>
        <w:t xml:space="preserve">2026 · Zoungas S ·</w:t>
      </w:r>
      <w:r>
        <w:t xml:space="preserve"> </w:t>
      </w:r>
      <w:r>
        <w:rPr>
          <w:iCs/>
          <w:i/>
        </w:rPr>
        <w:t xml:space="preserve">Lancet Diabetes Endocrinol</w:t>
      </w:r>
      <w:r>
        <w:t xml:space="preserve"> </w:t>
      </w:r>
      <w:r>
        <w:t xml:space="preserve">· A comparison of the effects of tirzepatide and dulaglutide on major kidney events in people with type 2 diabetes: pre-specified exploratory analyses of the SURPASS-CVOT trial. PMID 42114520</w:t>
      </w:r>
    </w:p>
    <w:p>
      <w:pPr>
        <w:numPr>
          <w:ilvl w:val="0"/>
          <w:numId w:val="1378"/>
        </w:numPr>
        <w:pStyle w:val="Compact"/>
      </w:pPr>
      <w:r>
        <w:t xml:space="preserve">2026 · Wilson JM ·</w:t>
      </w:r>
      <w:r>
        <w:t xml:space="preserve"> </w:t>
      </w:r>
      <w:r>
        <w:rPr>
          <w:iCs/>
          <w:i/>
        </w:rPr>
        <w:t xml:space="preserve">Alzheimers Dement</w:t>
      </w:r>
      <w:r>
        <w:t xml:space="preserve"> </w:t>
      </w:r>
      <w:r>
        <w:t xml:space="preserve">· Dulaglutide and neurodegeneration biomarkers: REWIND post hoc analysis. PMID 41988866</w:t>
      </w:r>
    </w:p>
    <w:p>
      <w:pPr>
        <w:numPr>
          <w:ilvl w:val="0"/>
          <w:numId w:val="1378"/>
        </w:numPr>
        <w:pStyle w:val="Compact"/>
      </w:pPr>
      <w:r>
        <w:t xml:space="preserve">2026 · Sattar N ·</w:t>
      </w:r>
      <w:r>
        <w:t xml:space="preserve"> </w:t>
      </w:r>
      <w:r>
        <w:rPr>
          <w:iCs/>
          <w:i/>
        </w:rPr>
        <w:t xml:space="preserve">Diabetes Care</w:t>
      </w:r>
      <w:r>
        <w:t xml:space="preserve"> </w:t>
      </w:r>
      <w:r>
        <w:t xml:space="preserve">· Estimating the True MACE Benefits From Tirzepatide in SURPASS-CVOT Using an Imputed Placebo Analysis of REWIND. PMID 41940793</w:t>
      </w:r>
    </w:p>
    <w:p>
      <w:pPr>
        <w:numPr>
          <w:ilvl w:val="0"/>
          <w:numId w:val="1378"/>
        </w:numPr>
        <w:pStyle w:val="Compact"/>
      </w:pPr>
      <w:r>
        <w:t xml:space="preserve">2026 · Violante-Ortiz R ·</w:t>
      </w:r>
      <w:r>
        <w:t xml:space="preserve"> </w:t>
      </w:r>
      <w:r>
        <w:rPr>
          <w:iCs/>
          <w:i/>
        </w:rPr>
        <w:t xml:space="preserve">BMJ Open Diabetes Res Care</w:t>
      </w:r>
      <w:r>
        <w:t xml:space="preserve"> </w:t>
      </w:r>
      <w:r>
        <w:t xml:space="preserve">· Safety and efficacy of switching from dulaglutide to tirzepatide across clinically relevant baseline characteristics in participants with T2D: subgroup analysis of SURPASS-SWITCH. PMID 41912265</w:t>
      </w:r>
    </w:p>
    <w:p>
      <w:pPr>
        <w:numPr>
          <w:ilvl w:val="0"/>
          <w:numId w:val="1378"/>
        </w:numPr>
        <w:pStyle w:val="Compact"/>
      </w:pPr>
      <w:r>
        <w:t xml:space="preserve">2026 · Nissen SE ·</w:t>
      </w:r>
      <w:r>
        <w:t xml:space="preserve"> </w:t>
      </w:r>
      <w:r>
        <w:rPr>
          <w:iCs/>
          <w:i/>
        </w:rPr>
        <w:t xml:space="preserve">JAMA Cardiol</w:t>
      </w:r>
      <w:r>
        <w:t xml:space="preserve"> </w:t>
      </w:r>
      <w:r>
        <w:t xml:space="preserve">· Cardiorenal Outcomes With Tirzepatide Compared With Dulaglutide in Patients With Diabetes and Cardiovascular Disease: A Post Hoc Analysis of the SURPASS-CVOT Randomized Clinical Trial. PMID 41903177</w:t>
      </w:r>
    </w:p>
    <w:p>
      <w:pPr>
        <w:numPr>
          <w:ilvl w:val="0"/>
          <w:numId w:val="1378"/>
        </w:numPr>
        <w:pStyle w:val="Compact"/>
      </w:pPr>
      <w:r>
        <w:t xml:space="preserve">2026 · Scheen A ·</w:t>
      </w:r>
      <w:r>
        <w:t xml:space="preserve"> </w:t>
      </w:r>
      <w:r>
        <w:rPr>
          <w:iCs/>
          <w:i/>
        </w:rPr>
        <w:t xml:space="preserve">Rev Med Liege</w:t>
      </w:r>
      <w:r>
        <w:t xml:space="preserve"> </w:t>
      </w:r>
      <w:r>
        <w:t xml:space="preserve">· [SURPASS CVOT : cardiovascular benefits with tirzepatide versus dulaglutide in type 2 diabetes]. PMID 41815032</w:t>
      </w:r>
    </w:p>
    <w:p>
      <w:pPr>
        <w:numPr>
          <w:ilvl w:val="0"/>
          <w:numId w:val="1378"/>
        </w:numPr>
        <w:pStyle w:val="Compact"/>
      </w:pPr>
      <w:r>
        <w:t xml:space="preserve">2026 · Leibnitz S ·</w:t>
      </w:r>
      <w:r>
        <w:t xml:space="preserve"> </w:t>
      </w:r>
      <w:r>
        <w:rPr>
          <w:iCs/>
          <w:i/>
        </w:rPr>
        <w:t xml:space="preserve">Eur J Endocrinol</w:t>
      </w:r>
      <w:r>
        <w:t xml:space="preserve"> </w:t>
      </w:r>
      <w:r>
        <w:t xml:space="preserve">· Effects of GLP-1 receptor agonists on copeptin in euvolemic participants. PMID 41525326</w:t>
      </w:r>
    </w:p>
    <w:p>
      <w:pPr>
        <w:numPr>
          <w:ilvl w:val="0"/>
          <w:numId w:val="1378"/>
        </w:numPr>
        <w:pStyle w:val="Compact"/>
      </w:pPr>
      <w:r>
        <w:t xml:space="preserve">2026 · Guo L ·</w:t>
      </w:r>
      <w:r>
        <w:t xml:space="preserve"> </w:t>
      </w:r>
      <w:r>
        <w:rPr>
          <w:iCs/>
          <w:i/>
        </w:rPr>
        <w:t xml:space="preserve">Nature</w:t>
      </w:r>
      <w:r>
        <w:t xml:space="preserve"> </w:t>
      </w:r>
      <w:r>
        <w:t xml:space="preserve">· Mazdutide versus dulaglutide in Chinese adults with type 2 diabetes. PMID 41407860</w:t>
      </w:r>
    </w:p>
    <w:p>
      <w:pPr>
        <w:numPr>
          <w:ilvl w:val="0"/>
          <w:numId w:val="1378"/>
        </w:numPr>
        <w:pStyle w:val="Compact"/>
      </w:pPr>
      <w:r>
        <w:t xml:space="preserve">2025 · Nicholls SJ ·</w:t>
      </w:r>
      <w:r>
        <w:t xml:space="preserve"> </w:t>
      </w:r>
      <w:r>
        <w:rPr>
          <w:iCs/>
          <w:i/>
        </w:rPr>
        <w:t xml:space="preserve">N Engl J Med</w:t>
      </w:r>
      <w:r>
        <w:t xml:space="preserve"> </w:t>
      </w:r>
      <w:r>
        <w:t xml:space="preserve">· Cardiovascular Outcomes with Tirzepatide versus Dulaglutide in Type 2 Diabetes. PMID 41406444</w:t>
      </w:r>
    </w:p>
    <w:p>
      <w:pPr>
        <w:numPr>
          <w:ilvl w:val="0"/>
          <w:numId w:val="1378"/>
        </w:numPr>
        <w:pStyle w:val="Compact"/>
      </w:pPr>
      <w:r>
        <w:t xml:space="preserve">2025 · Gao R ·</w:t>
      </w:r>
      <w:r>
        <w:t xml:space="preserve"> </w:t>
      </w:r>
      <w:r>
        <w:rPr>
          <w:iCs/>
          <w:i/>
        </w:rPr>
        <w:t xml:space="preserve">Pak J Pharm Sci</w:t>
      </w:r>
      <w:r>
        <w:t xml:space="preserve"> </w:t>
      </w:r>
      <w:r>
        <w:t xml:space="preserve">· Effect of ketogenic diet plus dulaglutide on glucose and lipid metabolism in diabetes mellitus. PMID 41241797</w:t>
      </w:r>
    </w:p>
    <w:p>
      <w:pPr>
        <w:numPr>
          <w:ilvl w:val="0"/>
          <w:numId w:val="1378"/>
        </w:numPr>
        <w:pStyle w:val="Compact"/>
      </w:pPr>
      <w:r>
        <w:t xml:space="preserve">2025 · Kanu C ·</w:t>
      </w:r>
      <w:r>
        <w:t xml:space="preserve"> </w:t>
      </w:r>
      <w:r>
        <w:rPr>
          <w:iCs/>
          <w:i/>
        </w:rPr>
        <w:t xml:space="preserve">Diabetes Obes Metab</w:t>
      </w:r>
      <w:r>
        <w:t xml:space="preserve"> </w:t>
      </w:r>
      <w:r>
        <w:t xml:space="preserve">· Appetite, eating attitudes, and eating behaviours during treatment with retatrutide in adults with type 2 diabetes: Results of a phase 2 study. PMID 40916752</w:t>
      </w:r>
    </w:p>
    <w:p>
      <w:pPr>
        <w:numPr>
          <w:ilvl w:val="0"/>
          <w:numId w:val="1378"/>
        </w:numPr>
        <w:pStyle w:val="Compact"/>
      </w:pPr>
      <w:r>
        <w:t xml:space="preserve">2025 · He Y ·</w:t>
      </w:r>
      <w:r>
        <w:t xml:space="preserve"> </w:t>
      </w:r>
      <w:r>
        <w:rPr>
          <w:iCs/>
          <w:i/>
        </w:rPr>
        <w:t xml:space="preserve">Lancet Diabetes Endocrinol</w:t>
      </w:r>
      <w:r>
        <w:t xml:space="preserve"> </w:t>
      </w:r>
      <w:r>
        <w:t xml:space="preserve">· Efficacy and safety of cAMP-biased GLP-1 receptor agonist ecnoglutide versus dulaglutide in patients with type 2 diabetes and elevated glucose concentrations on metformin monotherapy (EECOH-2): a 52-week, multicentre, open-label, non-inferiority, randomised, phase 3 trial. PMID 40854315</w:t>
      </w:r>
    </w:p>
    <w:p>
      <w:pPr>
        <w:numPr>
          <w:ilvl w:val="0"/>
          <w:numId w:val="1378"/>
        </w:numPr>
        <w:pStyle w:val="Compact"/>
      </w:pPr>
      <w:r>
        <w:t xml:space="preserve">2025 · Rosenstock J ·</w:t>
      </w:r>
      <w:r>
        <w:t xml:space="preserve"> </w:t>
      </w:r>
      <w:r>
        <w:rPr>
          <w:iCs/>
          <w:i/>
        </w:rPr>
        <w:t xml:space="preserve">Diabetes Obes Metab</w:t>
      </w:r>
      <w:r>
        <w:t xml:space="preserve"> </w:t>
      </w:r>
      <w:r>
        <w:t xml:space="preserve">· Orforglipron, an oral non-peptide glucagon-like peptide-1 receptor agonist, improves markers of β-cell function and insulin sensitivity in type 2 diabetes. PMID 40808573</w:t>
      </w:r>
    </w:p>
    <w:p>
      <w:pPr>
        <w:numPr>
          <w:ilvl w:val="0"/>
          <w:numId w:val="1378"/>
        </w:numPr>
        <w:pStyle w:val="Compact"/>
      </w:pPr>
      <w:r>
        <w:t xml:space="preserve">2025 · Coskun T ·</w:t>
      </w:r>
      <w:r>
        <w:t xml:space="preserve"> </w:t>
      </w:r>
      <w:r>
        <w:rPr>
          <w:iCs/>
          <w:i/>
        </w:rPr>
        <w:t xml:space="preserve">Lancet Diabetes Endocrinol</w:t>
      </w:r>
      <w:r>
        <w:t xml:space="preserve"> </w:t>
      </w:r>
      <w:r>
        <w:t xml:space="preserve">· Effects of retatrutide on body composition in people with type 2 diabetes: a substudy of a phase 2, double-blind, parallel-group, placebo-controlled, randomised trial. PMID 40609566</w:t>
      </w:r>
    </w:p>
    <w:p>
      <w:pPr>
        <w:numPr>
          <w:ilvl w:val="0"/>
          <w:numId w:val="1378"/>
        </w:numPr>
        <w:pStyle w:val="Compact"/>
      </w:pPr>
      <w:r>
        <w:t xml:space="preserve">2025 · Wharton S ·</w:t>
      </w:r>
      <w:r>
        <w:t xml:space="preserve"> </w:t>
      </w:r>
      <w:r>
        <w:rPr>
          <w:iCs/>
          <w:i/>
        </w:rPr>
        <w:t xml:space="preserve">Cardiovasc Diabetol</w:t>
      </w:r>
      <w:r>
        <w:t xml:space="preserve"> </w:t>
      </w:r>
      <w:r>
        <w:t xml:space="preserve">· Treatment with orforglipron, an oral glucagon like peptide-1 receptor agonist, is associated with improvements of CV risk biomarkers in participants with type 2 diabetes or obesity without diabetes. PMID 40481478</w:t>
      </w:r>
    </w:p>
    <w:p>
      <w:pPr>
        <w:numPr>
          <w:ilvl w:val="0"/>
          <w:numId w:val="1378"/>
        </w:numPr>
        <w:pStyle w:val="Compact"/>
      </w:pPr>
      <w:r>
        <w:t xml:space="preserve">2025 · Tian J ·</w:t>
      </w:r>
      <w:r>
        <w:t xml:space="preserve"> </w:t>
      </w:r>
      <w:r>
        <w:rPr>
          <w:iCs/>
          <w:i/>
        </w:rPr>
        <w:t xml:space="preserve">Hormones (Athens)</w:t>
      </w:r>
      <w:r>
        <w:t xml:space="preserve"> </w:t>
      </w:r>
      <w:r>
        <w:t xml:space="preserve">· Comparative evaluation of dulaglutide alone vs. dulaglutide combined with probiotics on cardiovascular risk factors in T2DM. PMID 40214965</w:t>
      </w:r>
    </w:p>
    <w:p>
      <w:pPr>
        <w:numPr>
          <w:ilvl w:val="0"/>
          <w:numId w:val="1378"/>
        </w:numPr>
        <w:pStyle w:val="Compact"/>
      </w:pPr>
      <w:r>
        <w:t xml:space="preserve">2025 · Liu L ·</w:t>
      </w:r>
      <w:r>
        <w:t xml:space="preserve"> </w:t>
      </w:r>
      <w:r>
        <w:rPr>
          <w:iCs/>
          <w:i/>
        </w:rPr>
        <w:t xml:space="preserve">J Diabetes</w:t>
      </w:r>
      <w:r>
        <w:t xml:space="preserve"> </w:t>
      </w:r>
      <w:r>
        <w:t xml:space="preserve">· Efficacy and Safety of Dulaglutide Biosimilar LY05008 Versus the Reference Product Dulaglutide (Trulicity) in Chinese Adults With Type 2 Diabetes Mellitus: A Randomized, Open-Label, Active Comparator Study. PMID 40214296</w:t>
      </w:r>
    </w:p>
    <w:p>
      <w:pPr>
        <w:numPr>
          <w:ilvl w:val="0"/>
          <w:numId w:val="1378"/>
        </w:numPr>
        <w:pStyle w:val="Compact"/>
      </w:pPr>
      <w:r>
        <w:t xml:space="preserve">2025 · Billings LK ·</w:t>
      </w:r>
      <w:r>
        <w:t xml:space="preserve"> </w:t>
      </w:r>
      <w:r>
        <w:rPr>
          <w:iCs/>
          <w:i/>
        </w:rPr>
        <w:t xml:space="preserve">Ann Intern Med</w:t>
      </w:r>
      <w:r>
        <w:t xml:space="preserve"> </w:t>
      </w:r>
      <w:r>
        <w:t xml:space="preserve">· Comparison of Dose Escalation Versus Switching to Tirzepatide Among People With Type 2 Diabetes Inadequately Controlled on Lower Doses of Dulaglutide : A Randomized Clinical Trial. PMID 40183678</w:t>
      </w:r>
    </w:p>
    <w:p>
      <w:pPr>
        <w:numPr>
          <w:ilvl w:val="0"/>
          <w:numId w:val="1378"/>
        </w:numPr>
        <w:pStyle w:val="Compact"/>
      </w:pPr>
      <w:r>
        <w:t xml:space="preserve">2025 · Beck J ·</w:t>
      </w:r>
      <w:r>
        <w:t xml:space="preserve"> </w:t>
      </w:r>
      <w:r>
        <w:rPr>
          <w:iCs/>
          <w:i/>
        </w:rPr>
        <w:t xml:space="preserve">Eur J Prev Cardiol</w:t>
      </w:r>
      <w:r>
        <w:t xml:space="preserve"> </w:t>
      </w:r>
      <w:r>
        <w:t xml:space="preserve">· Blood pressure changes during smoking cessation in a randomized, double-blind, placebo-controlled trial of dulaglutide treatment. PMID 40037282</w:t>
      </w:r>
    </w:p>
    <w:p>
      <w:pPr>
        <w:numPr>
          <w:ilvl w:val="0"/>
          <w:numId w:val="1378"/>
        </w:numPr>
        <w:pStyle w:val="Compact"/>
      </w:pPr>
      <w:r>
        <w:t xml:space="preserve">2025 · Mimura H ·</w:t>
      </w:r>
      <w:r>
        <w:t xml:space="preserve"> </w:t>
      </w:r>
      <w:r>
        <w:rPr>
          <w:iCs/>
          <w:i/>
        </w:rPr>
        <w:t xml:space="preserve">J Diabetes Investig</w:t>
      </w:r>
      <w:r>
        <w:t xml:space="preserve"> </w:t>
      </w:r>
      <w:r>
        <w:t xml:space="preserve">· Association of bodyweight loss with changes in lipids, blood pressure, and fasting serum glucose following tirzepatide treatment in Japanese participants with type 2 diabetes: A post hoc analysis of the SURPASS J-mono trial. PMID 39891527</w:t>
      </w:r>
    </w:p>
    <w:p>
      <w:pPr>
        <w:numPr>
          <w:ilvl w:val="0"/>
          <w:numId w:val="1378"/>
        </w:numPr>
        <w:pStyle w:val="Compact"/>
      </w:pPr>
      <w:r>
        <w:t xml:space="preserve">2025 · Liu C ·</w:t>
      </w:r>
      <w:r>
        <w:t xml:space="preserve"> </w:t>
      </w:r>
      <w:r>
        <w:rPr>
          <w:iCs/>
          <w:i/>
        </w:rPr>
        <w:t xml:space="preserve">Endocrinol Diabetes Metab</w:t>
      </w:r>
      <w:r>
        <w:t xml:space="preserve"> </w:t>
      </w:r>
      <w:r>
        <w:t xml:space="preserve">· Reduction of Hepatic Fat Content by Dulaglutide for the Treatment of Diabetes Mellitus: A Two-Centre Open, Single-Arm Trial. PMID 39718468</w:t>
      </w:r>
    </w:p>
    <w:p>
      <w:pPr>
        <w:numPr>
          <w:ilvl w:val="0"/>
          <w:numId w:val="1378"/>
        </w:numPr>
        <w:pStyle w:val="Compact"/>
      </w:pPr>
      <w:r>
        <w:t xml:space="preserve">2025 · Harrison SA ·</w:t>
      </w:r>
      <w:r>
        <w:t xml:space="preserve"> </w:t>
      </w:r>
      <w:r>
        <w:rPr>
          <w:iCs/>
          <w:i/>
        </w:rPr>
        <w:t xml:space="preserve">Clin Gastroenterol Hepatol</w:t>
      </w:r>
      <w:r>
        <w:t xml:space="preserve"> </w:t>
      </w:r>
      <w:r>
        <w:t xml:space="preserve">· Safety and Efficacy of Efruxifermin in Combination With a GLP-1 Receptor Agonist in Patients With NASH/MASH and Type 2 Diabetes in a Randomized Phase 2 Study. PMID 38447814</w:t>
      </w:r>
    </w:p>
    <w:p>
      <w:pPr>
        <w:numPr>
          <w:ilvl w:val="0"/>
          <w:numId w:val="1378"/>
        </w:numPr>
        <w:pStyle w:val="Compact"/>
      </w:pPr>
      <w:r>
        <w:t xml:space="preserve">2024 · Lengsfeld S ·</w:t>
      </w:r>
      <w:r>
        <w:t xml:space="preserve"> </w:t>
      </w:r>
      <w:r>
        <w:rPr>
          <w:iCs/>
          <w:i/>
        </w:rPr>
        <w:t xml:space="preserve">EBioMedicine</w:t>
      </w:r>
      <w:r>
        <w:t xml:space="preserve"> </w:t>
      </w:r>
      <w:r>
        <w:t xml:space="preserve">· Effects of the glucagon-like peptide-1 receptor agonist dulaglutide on sexuality in healthy men: a randomised, double-blind, placebo-controlled crossover study. PMID 39232425</w:t>
      </w:r>
    </w:p>
    <w:p>
      <w:pPr>
        <w:numPr>
          <w:ilvl w:val="0"/>
          <w:numId w:val="1378"/>
        </w:numPr>
        <w:pStyle w:val="Compact"/>
      </w:pPr>
      <w:r>
        <w:t xml:space="preserve">2024 · Fujihara K ·</w:t>
      </w:r>
      <w:r>
        <w:t xml:space="preserve"> </w:t>
      </w:r>
      <w:r>
        <w:rPr>
          <w:iCs/>
          <w:i/>
        </w:rPr>
        <w:t xml:space="preserve">Diabetes Obes Metab</w:t>
      </w:r>
      <w:r>
        <w:t xml:space="preserve"> </w:t>
      </w:r>
      <w:r>
        <w:t xml:space="preserve">· Achieving normoglycaemia with tirzepatide: Post hoc exploratory analysis of the SURPASS J-mono and J-combo studies. PMID 39192522</w:t>
      </w:r>
    </w:p>
    <w:p>
      <w:pPr>
        <w:numPr>
          <w:ilvl w:val="0"/>
          <w:numId w:val="1378"/>
        </w:numPr>
        <w:pStyle w:val="Compact"/>
      </w:pPr>
      <w:r>
        <w:t xml:space="preserve">2024 · Bjornstad P ·</w:t>
      </w:r>
      <w:r>
        <w:t xml:space="preserve"> </w:t>
      </w:r>
      <w:r>
        <w:rPr>
          <w:iCs/>
          <w:i/>
        </w:rPr>
        <w:t xml:space="preserve">Diabetes Care</w:t>
      </w:r>
      <w:r>
        <w:t xml:space="preserve"> </w:t>
      </w:r>
      <w:r>
        <w:t xml:space="preserve">· Dulaglutide and Glomerular Hyperfiltration, Proteinuria, and Albuminuria in Youth With Type 2 Diabetes: Post Hoc Analysis of the AWARD-PEDS Study. PMID 38954432</w:t>
      </w:r>
    </w:p>
    <w:p>
      <w:pPr>
        <w:numPr>
          <w:ilvl w:val="0"/>
          <w:numId w:val="1378"/>
        </w:numPr>
        <w:pStyle w:val="Compact"/>
      </w:pPr>
      <w:r>
        <w:t xml:space="preserve">2024 · Morioka T ·</w:t>
      </w:r>
      <w:r>
        <w:t xml:space="preserve"> </w:t>
      </w:r>
      <w:r>
        <w:rPr>
          <w:iCs/>
          <w:i/>
        </w:rPr>
        <w:t xml:space="preserve">Diabetes Obes Metab</w:t>
      </w:r>
      <w:r>
        <w:t xml:space="preserve"> </w:t>
      </w:r>
      <w:r>
        <w:t xml:space="preserve">· A randomized, double-blind trial assessing the efficacy and safety of two doses of dulaglutide in Japanese participants with type 2 diabetes (AWARD-JPN). PMID 38715179</w:t>
      </w:r>
    </w:p>
    <w:p>
      <w:pPr>
        <w:numPr>
          <w:ilvl w:val="0"/>
          <w:numId w:val="1378"/>
        </w:numPr>
        <w:pStyle w:val="Compact"/>
      </w:pPr>
      <w:r>
        <w:t xml:space="preserve">2024 · Gao X ·</w:t>
      </w:r>
      <w:r>
        <w:t xml:space="preserve"> </w:t>
      </w:r>
      <w:r>
        <w:rPr>
          <w:iCs/>
          <w:i/>
        </w:rPr>
        <w:t xml:space="preserve">Clin Transl Sci</w:t>
      </w:r>
      <w:r>
        <w:t xml:space="preserve"> </w:t>
      </w:r>
      <w:r>
        <w:t xml:space="preserve">· A pharmacokinetic study comparing the biosimilar HEC14028 and Dulaglutide (Trulicity®) in healthy Chinese subjects. PMID 38651744</w:t>
      </w:r>
    </w:p>
    <w:p>
      <w:pPr>
        <w:numPr>
          <w:ilvl w:val="0"/>
          <w:numId w:val="1378"/>
        </w:numPr>
        <w:pStyle w:val="Compact"/>
      </w:pPr>
      <w:r>
        <w:t xml:space="preserve">2024 · Zhang B ·</w:t>
      </w:r>
      <w:r>
        <w:t xml:space="preserve"> </w:t>
      </w:r>
      <w:r>
        <w:rPr>
          <w:iCs/>
          <w:i/>
        </w:rPr>
        <w:t xml:space="preserve">Diabetes Care</w:t>
      </w:r>
      <w:r>
        <w:t xml:space="preserve"> </w:t>
      </w:r>
      <w:r>
        <w:t xml:space="preserve">· Efficacy and Safety of Mazdutide in Chinese Patients With Type 2 Diabetes: A Randomized, Double-Blind, Placebo-Controlled Phase 2 Trial. PMID 37943529</w:t>
      </w:r>
    </w:p>
    <w:p>
      <w:pPr>
        <w:numPr>
          <w:ilvl w:val="0"/>
          <w:numId w:val="1378"/>
        </w:numPr>
        <w:pStyle w:val="Compact"/>
      </w:pPr>
      <w:r>
        <w:t xml:space="preserve">2024 · Osonoi T ·</w:t>
      </w:r>
      <w:r>
        <w:t xml:space="preserve"> </w:t>
      </w:r>
      <w:r>
        <w:rPr>
          <w:iCs/>
          <w:i/>
        </w:rPr>
        <w:t xml:space="preserve">Diabetes Obes Metab</w:t>
      </w:r>
      <w:r>
        <w:t xml:space="preserve"> </w:t>
      </w:r>
      <w:r>
        <w:t xml:space="preserve">· Glycaemic control, body weight, and safety of tirzepatide versus dulaglutide by baseline glycated haemoglobin level in Japanese patients with type 2 diabetes: A subgroup analysis of the SURPASS J-mono study. PMID 37794628</w:t>
      </w:r>
    </w:p>
    <w:p>
      <w:pPr>
        <w:numPr>
          <w:ilvl w:val="0"/>
          <w:numId w:val="1378"/>
        </w:numPr>
        <w:pStyle w:val="Compact"/>
      </w:pPr>
      <w:r>
        <w:t xml:space="preserve">2023 · Probst L ·</w:t>
      </w:r>
      <w:r>
        <w:t xml:space="preserve"> </w:t>
      </w:r>
      <w:r>
        <w:rPr>
          <w:iCs/>
          <w:i/>
        </w:rPr>
        <w:t xml:space="preserve">JCI Insight</w:t>
      </w:r>
      <w:r>
        <w:t xml:space="preserve"> </w:t>
      </w:r>
      <w:r>
        <w:t xml:space="preserve">· Effects of dulaglutide on alcohol consumption during smoking cessation. PMID 37991022</w:t>
      </w:r>
    </w:p>
    <w:p>
      <w:pPr>
        <w:numPr>
          <w:ilvl w:val="0"/>
          <w:numId w:val="1378"/>
        </w:numPr>
        <w:pStyle w:val="Compact"/>
      </w:pPr>
      <w:r>
        <w:t xml:space="preserve">2023 · Wang W ·</w:t>
      </w:r>
      <w:r>
        <w:t xml:space="preserve"> </w:t>
      </w:r>
      <w:r>
        <w:rPr>
          <w:iCs/>
          <w:i/>
        </w:rPr>
        <w:t xml:space="preserve">Diabetes Obes Metab</w:t>
      </w:r>
      <w:r>
        <w:t xml:space="preserve"> </w:t>
      </w:r>
      <w:r>
        <w:t xml:space="preserve">· Efficacy and safety of adding once-weekly dulaglutide to basal insulin for inadequately controlled type 2 diabetes in Chinese patients (AWARD-CHN3): A randomized, double-blind, placebo-controlled, phase III trial. PMID 37732487</w:t>
      </w:r>
    </w:p>
    <w:p>
      <w:pPr>
        <w:numPr>
          <w:ilvl w:val="0"/>
          <w:numId w:val="1378"/>
        </w:numPr>
        <w:pStyle w:val="Compact"/>
      </w:pPr>
      <w:r>
        <w:t xml:space="preserve">2023 · Kimura T ·</w:t>
      </w:r>
      <w:r>
        <w:t xml:space="preserve"> </w:t>
      </w:r>
      <w:r>
        <w:rPr>
          <w:iCs/>
          <w:i/>
        </w:rPr>
        <w:t xml:space="preserve">Diabetes Obes Metab</w:t>
      </w:r>
      <w:r>
        <w:t xml:space="preserve"> </w:t>
      </w:r>
      <w:r>
        <w:t xml:space="preserve">· Comparison of clinical efficacy and safety of weekly glucagon-like peptide-1 receptor agonists dulaglutide and semaglutide in Japanese patients with type 2 diabetes: Randomized, parallel-group, multicentre, open-label trial (COMING study). PMID 37646192</w:t>
      </w:r>
    </w:p>
    <w:p>
      <w:pPr>
        <w:numPr>
          <w:ilvl w:val="0"/>
          <w:numId w:val="1378"/>
        </w:numPr>
        <w:pStyle w:val="Compact"/>
      </w:pPr>
      <w:r>
        <w:t xml:space="preserve">2023 · Lee EY ·</w:t>
      </w:r>
      <w:r>
        <w:t xml:space="preserve"> </w:t>
      </w:r>
      <w:r>
        <w:rPr>
          <w:iCs/>
          <w:i/>
        </w:rPr>
        <w:t xml:space="preserve">Diabetes Res Clin Pract</w:t>
      </w:r>
      <w:r>
        <w:t xml:space="preserve"> </w:t>
      </w:r>
      <w:r>
        <w:t xml:space="preserve">· Glucometabolic control of once-weekly dulaglutide switched from DPP4 inhibitor versus daily empagliflozin add-on in patients with type 2 diabetes inadequately controlled with metformin, sulfonylurea, and DPP4 inhibitor: A randomised trial. PMID 37595844</w:t>
      </w:r>
    </w:p>
    <w:p>
      <w:pPr>
        <w:numPr>
          <w:ilvl w:val="0"/>
          <w:numId w:val="1378"/>
        </w:numPr>
        <w:pStyle w:val="Compact"/>
      </w:pPr>
      <w:r>
        <w:t xml:space="preserve">2023 · Rosenstock J ·</w:t>
      </w:r>
      <w:r>
        <w:t xml:space="preserve"> </w:t>
      </w:r>
      <w:r>
        <w:rPr>
          <w:iCs/>
          <w:i/>
        </w:rPr>
        <w:t xml:space="preserve">Lancet</w:t>
      </w:r>
      <w:r>
        <w:t xml:space="preserve"> </w:t>
      </w:r>
      <w:r>
        <w:t xml:space="preserve">· Retatrutide, a GIP, GLP-1 and glucagon receptor agonist, for people with type 2 diabetes: a randomised, double-blind, placebo and active-controlled, parallel-group, phase 2 trial conducted in the USA. PMID 37385280</w:t>
      </w:r>
    </w:p>
    <w:p>
      <w:pPr>
        <w:numPr>
          <w:ilvl w:val="0"/>
          <w:numId w:val="1378"/>
        </w:numPr>
        <w:pStyle w:val="Compact"/>
      </w:pPr>
      <w:r>
        <w:t xml:space="preserve">2023 · Frias JP ·</w:t>
      </w:r>
      <w:r>
        <w:t xml:space="preserve"> </w:t>
      </w:r>
      <w:r>
        <w:rPr>
          <w:iCs/>
          <w:i/>
        </w:rPr>
        <w:t xml:space="preserve">Lancet</w:t>
      </w:r>
      <w:r>
        <w:t xml:space="preserve"> </w:t>
      </w:r>
      <w:r>
        <w:t xml:space="preserve">· Efficacy and safety of oral orforglipron in patients with type 2 diabetes: a multicentre, randomised, dose-response, phase 2 study. PMID 37369232</w:t>
      </w:r>
    </w:p>
    <w:p>
      <w:pPr>
        <w:numPr>
          <w:ilvl w:val="0"/>
          <w:numId w:val="1378"/>
        </w:numPr>
        <w:pStyle w:val="Compact"/>
      </w:pPr>
      <w:r>
        <w:t xml:space="preserve">2023 · Gerstein HC ·</w:t>
      </w:r>
      <w:r>
        <w:t xml:space="preserve"> </w:t>
      </w:r>
      <w:r>
        <w:rPr>
          <w:iCs/>
          <w:i/>
        </w:rPr>
        <w:t xml:space="preserve">Diabetes Care</w:t>
      </w:r>
      <w:r>
        <w:t xml:space="preserve"> </w:t>
      </w:r>
      <w:r>
        <w:t xml:space="preserve">· Biomarker Changes Associated With Both Dulaglutide and Cardiovascular Events in the REWIND Randomized Controlled Trial: A Nested Case-Control Post Hoc Analysis. PMID 36897834</w:t>
      </w:r>
    </w:p>
    <w:p>
      <w:pPr>
        <w:numPr>
          <w:ilvl w:val="0"/>
          <w:numId w:val="1378"/>
        </w:numPr>
        <w:pStyle w:val="Compact"/>
      </w:pPr>
      <w:r>
        <w:t xml:space="preserve">2023 · Zhang Q ·</w:t>
      </w:r>
      <w:r>
        <w:t xml:space="preserve"> </w:t>
      </w:r>
      <w:r>
        <w:rPr>
          <w:iCs/>
          <w:i/>
        </w:rPr>
        <w:t xml:space="preserve">Expert Opin Biol Ther</w:t>
      </w:r>
      <w:r>
        <w:t xml:space="preserve"> </w:t>
      </w:r>
      <w:r>
        <w:t xml:space="preserve">· Pharmacokinetic similarity study comparing the biosimilar candidate, LY05008, with its reference product dulaglutide in healthy Chinese male subjects. PMID 36880118</w:t>
      </w:r>
    </w:p>
    <w:p>
      <w:pPr>
        <w:numPr>
          <w:ilvl w:val="0"/>
          <w:numId w:val="1378"/>
        </w:numPr>
        <w:pStyle w:val="Compact"/>
      </w:pPr>
      <w:r>
        <w:t xml:space="preserve">2023 · Iijima T ·</w:t>
      </w:r>
      <w:r>
        <w:t xml:space="preserve"> </w:t>
      </w:r>
      <w:r>
        <w:rPr>
          <w:iCs/>
          <w:i/>
        </w:rPr>
        <w:t xml:space="preserve">J Diabetes Investig</w:t>
      </w:r>
      <w:r>
        <w:t xml:space="preserve"> </w:t>
      </w:r>
      <w:r>
        <w:t xml:space="preserve">· Effects of switching from liraglutide to semaglutide or dulaglutide in patients with type 2 diabetes: A randomized controlled trial. PMID 36871272</w:t>
      </w:r>
    </w:p>
    <w:p>
      <w:pPr>
        <w:numPr>
          <w:ilvl w:val="0"/>
          <w:numId w:val="1378"/>
        </w:numPr>
        <w:pStyle w:val="Compact"/>
      </w:pPr>
      <w:r>
        <w:t xml:space="preserve">2023 · Thivolet C ·</w:t>
      </w:r>
      <w:r>
        <w:t xml:space="preserve"> </w:t>
      </w:r>
      <w:r>
        <w:rPr>
          <w:iCs/>
          <w:i/>
        </w:rPr>
        <w:t xml:space="preserve">Diabetes Metab</w:t>
      </w:r>
      <w:r>
        <w:t xml:space="preserve"> </w:t>
      </w:r>
      <w:r>
        <w:t xml:space="preserve">· Dulaglutide and insulin microsecretion in people with type 1 diabetes (DIAMOND-GLP-1): A randomized double-blind placebo-controlled trial. PMID 36781064</w:t>
      </w:r>
    </w:p>
    <w:p>
      <w:pPr>
        <w:numPr>
          <w:ilvl w:val="0"/>
          <w:numId w:val="1378"/>
        </w:numPr>
        <w:pStyle w:val="Compact"/>
      </w:pPr>
      <w:r>
        <w:t xml:space="preserve">2023 · Zhang Y ·</w:t>
      </w:r>
      <w:r>
        <w:t xml:space="preserve"> </w:t>
      </w:r>
      <w:r>
        <w:rPr>
          <w:iCs/>
          <w:i/>
        </w:rPr>
        <w:t xml:space="preserve">Nutrients</w:t>
      </w:r>
      <w:r>
        <w:t xml:space="preserve"> </w:t>
      </w:r>
      <w:r>
        <w:t xml:space="preserve">· Effects of a Dulaglutide plus Calorie-Restricted Diet versus a Calorie-Restricted Diet on Visceral Fat and Metabolic Profiles in Women with Polycystic Ovary Syndrome: A Randomized Controlled Trial. PMID 36771262</w:t>
      </w:r>
    </w:p>
    <w:p>
      <w:pPr>
        <w:numPr>
          <w:ilvl w:val="0"/>
          <w:numId w:val="1378"/>
        </w:numPr>
        <w:pStyle w:val="Compact"/>
      </w:pPr>
      <w:r>
        <w:t xml:space="preserve">2023 · Su Y ·</w:t>
      </w:r>
      <w:r>
        <w:t xml:space="preserve"> </w:t>
      </w:r>
      <w:r>
        <w:rPr>
          <w:iCs/>
          <w:i/>
        </w:rPr>
        <w:t xml:space="preserve">Front Endocrinol (Lausanne)</w:t>
      </w:r>
      <w:r>
        <w:t xml:space="preserve"> </w:t>
      </w:r>
      <w:r>
        <w:t xml:space="preserve">· Pharmacoeconomic analysis (CER) of Dulaglutide and Liraglutide in the treatment of patients with type 2 diabetes. PMID 36755915</w:t>
      </w:r>
    </w:p>
    <w:p>
      <w:pPr>
        <w:numPr>
          <w:ilvl w:val="0"/>
          <w:numId w:val="1378"/>
        </w:numPr>
        <w:pStyle w:val="Compact"/>
      </w:pPr>
      <w:r>
        <w:t xml:space="preserve">2023 · Takahashi Y ·</w:t>
      </w:r>
      <w:r>
        <w:t xml:space="preserve"> </w:t>
      </w:r>
      <w:r>
        <w:rPr>
          <w:iCs/>
          <w:i/>
        </w:rPr>
        <w:t xml:space="preserve">Diabetes Obes Metab</w:t>
      </w:r>
      <w:r>
        <w:t xml:space="preserve"> </w:t>
      </w:r>
      <w:r>
        <w:t xml:space="preserve">· Improvement of glycaemic control and treatment satisfaction by switching from liraglutide or dulaglutide to subcutaneous semaglutide in patients with type 2 diabetes: A multicentre, prospective, randomized, open-label, parallel-group comparison study (SWITCH-SEMA 1 study). PMID 36722623</w:t>
      </w:r>
    </w:p>
    <w:p>
      <w:pPr>
        <w:numPr>
          <w:ilvl w:val="0"/>
          <w:numId w:val="1378"/>
        </w:numPr>
        <w:pStyle w:val="Compact"/>
      </w:pPr>
      <w:r>
        <w:t xml:space="preserve">2023 · Yabe D ·</w:t>
      </w:r>
      <w:r>
        <w:t xml:space="preserve"> </w:t>
      </w:r>
      <w:r>
        <w:rPr>
          <w:iCs/>
          <w:i/>
        </w:rPr>
        <w:t xml:space="preserve">Diabetes Obes Metab</w:t>
      </w:r>
      <w:r>
        <w:t xml:space="preserve"> </w:t>
      </w:r>
      <w:r>
        <w:t xml:space="preserve">· Change in pharmacodynamic variables following once-weekly tirzepatide treatment versus dulaglutide in Japanese patients with type 2 diabetes (SURPASS J-mono substudy). PMID 36184780</w:t>
      </w:r>
    </w:p>
    <w:p>
      <w:pPr>
        <w:numPr>
          <w:ilvl w:val="0"/>
          <w:numId w:val="1378"/>
        </w:numPr>
        <w:pStyle w:val="Compact"/>
      </w:pPr>
      <w:r>
        <w:t xml:space="preserve">2022 · Urva S ·</w:t>
      </w:r>
      <w:r>
        <w:t xml:space="preserve"> </w:t>
      </w:r>
      <w:r>
        <w:rPr>
          <w:iCs/>
          <w:i/>
        </w:rPr>
        <w:t xml:space="preserve">Lancet</w:t>
      </w:r>
      <w:r>
        <w:t xml:space="preserve"> </w:t>
      </w:r>
      <w:r>
        <w:t xml:space="preserve">· LY3437943, a novel triple GIP, GLP-1, and glucagon receptor agonist in people with type 2 diabetes: a phase 1b, multicentre, double-blind, placebo-controlled, randomised, multiple-ascending dose trial. PMID 36354040</w:t>
      </w:r>
    </w:p>
    <w:p>
      <w:pPr>
        <w:numPr>
          <w:ilvl w:val="0"/>
          <w:numId w:val="1378"/>
        </w:numPr>
        <w:pStyle w:val="Compact"/>
      </w:pPr>
      <w:r>
        <w:t xml:space="preserve">2022 · Branch KRH ·</w:t>
      </w:r>
      <w:r>
        <w:t xml:space="preserve"> </w:t>
      </w:r>
      <w:r>
        <w:rPr>
          <w:iCs/>
          <w:i/>
        </w:rPr>
        <w:t xml:space="preserve">Eur J Heart Fail</w:t>
      </w:r>
      <w:r>
        <w:t xml:space="preserve"> </w:t>
      </w:r>
      <w:r>
        <w:t xml:space="preserve">· Dulaglutide and cardiovascular and heart failure outcomes in patients with and without heart failure: a post-hoc analysis from the REWIND randomized trial. PMID 36073143</w:t>
      </w:r>
    </w:p>
    <w:p>
      <w:pPr>
        <w:numPr>
          <w:ilvl w:val="0"/>
          <w:numId w:val="1378"/>
        </w:numPr>
        <w:pStyle w:val="Compact"/>
      </w:pPr>
      <w:r>
        <w:t xml:space="preserve">2022 · Scheen AJ ·</w:t>
      </w:r>
      <w:r>
        <w:t xml:space="preserve"> </w:t>
      </w:r>
      <w:r>
        <w:rPr>
          <w:iCs/>
          <w:i/>
        </w:rPr>
        <w:t xml:space="preserve">Rev Med Suisse</w:t>
      </w:r>
      <w:r>
        <w:t xml:space="preserve"> </w:t>
      </w:r>
      <w:r>
        <w:t xml:space="preserve">· [Focus on tirzepatide, a dual unimolecular GIP-GLP-1 receptor agonist in type 2 diabetes]. PMID 36004653</w:t>
      </w:r>
    </w:p>
    <w:p>
      <w:pPr>
        <w:numPr>
          <w:ilvl w:val="0"/>
          <w:numId w:val="1378"/>
        </w:numPr>
        <w:pStyle w:val="Compact"/>
      </w:pPr>
      <w:r>
        <w:t xml:space="preserve">2022 · Inagaki N ·</w:t>
      </w:r>
      <w:r>
        <w:t xml:space="preserve"> </w:t>
      </w:r>
      <w:r>
        <w:rPr>
          <w:iCs/>
          <w:i/>
        </w:rPr>
        <w:t xml:space="preserve">Lancet Diabetes Endocrinol</w:t>
      </w:r>
      <w:r>
        <w:t xml:space="preserve"> </w:t>
      </w:r>
      <w:r>
        <w:t xml:space="preserve">· Efficacy and safety of tirzepatide monotherapy compared with dulaglutide in Japanese patients with type 2 diabetes (SURPASS J-mono): a double-blind, multicentre, randomised, phase 3 trial. PMID 35914543</w:t>
      </w:r>
    </w:p>
    <w:p>
      <w:pPr>
        <w:numPr>
          <w:ilvl w:val="0"/>
          <w:numId w:val="1378"/>
        </w:numPr>
        <w:pStyle w:val="Compact"/>
      </w:pPr>
      <w:r>
        <w:t xml:space="preserve">2022 · Jiang H ·</w:t>
      </w:r>
      <w:r>
        <w:t xml:space="preserve"> </w:t>
      </w:r>
      <w:r>
        <w:rPr>
          <w:iCs/>
          <w:i/>
        </w:rPr>
        <w:t xml:space="preserve">Nat Commun</w:t>
      </w:r>
      <w:r>
        <w:t xml:space="preserve"> </w:t>
      </w:r>
      <w:r>
        <w:t xml:space="preserve">· A phase 1b randomised controlled trial of a glucagon-like peptide-1 and glucagon receptor dual agonist IBI362 (LY3305677) in Chinese patients with type 2 diabetes. PMID 35750681</w:t>
      </w:r>
    </w:p>
    <w:p>
      <w:pPr>
        <w:numPr>
          <w:ilvl w:val="0"/>
          <w:numId w:val="1378"/>
        </w:numPr>
        <w:pStyle w:val="Compact"/>
      </w:pPr>
      <w:r>
        <w:t xml:space="preserve">2022 · Arslanian SA ·</w:t>
      </w:r>
      <w:r>
        <w:t xml:space="preserve"> </w:t>
      </w:r>
      <w:r>
        <w:rPr>
          <w:iCs/>
          <w:i/>
        </w:rPr>
        <w:t xml:space="preserve">N Engl J Med</w:t>
      </w:r>
      <w:r>
        <w:t xml:space="preserve"> </w:t>
      </w:r>
      <w:r>
        <w:t xml:space="preserve">· Once-Weekly Dulaglutide for the Treatment of Youths with Type 2 Diabetes. PMID 35658022</w:t>
      </w:r>
    </w:p>
    <w:p>
      <w:pPr>
        <w:numPr>
          <w:ilvl w:val="0"/>
          <w:numId w:val="1378"/>
        </w:numPr>
        <w:pStyle w:val="Compact"/>
      </w:pPr>
      <w:r>
        <w:t xml:space="preserve">2022 · Cox DA ·</w:t>
      </w:r>
      <w:r>
        <w:t xml:space="preserve"> </w:t>
      </w:r>
      <w:r>
        <w:rPr>
          <w:iCs/>
          <w:i/>
        </w:rPr>
        <w:t xml:space="preserve">Diabetes Obes Metab</w:t>
      </w:r>
      <w:r>
        <w:t xml:space="preserve"> </w:t>
      </w:r>
      <w:r>
        <w:t xml:space="preserve">· Effect of expanded dulaglutide weekly doses (3.0 mg and 4.5 mg) on cardiovascular disease risk factors in participants with type 2 diabetes at increased cardiovascular disease risk: a post hoc analysis of the AWARD-11 study. PMID 35546790</w:t>
      </w:r>
    </w:p>
    <w:p>
      <w:pPr>
        <w:numPr>
          <w:ilvl w:val="0"/>
          <w:numId w:val="1378"/>
        </w:numPr>
        <w:pStyle w:val="Compact"/>
      </w:pPr>
      <w:r>
        <w:t xml:space="preserve">2022 · Vukajlovic T ·</w:t>
      </w:r>
      <w:r>
        <w:t xml:space="preserve"> </w:t>
      </w:r>
      <w:r>
        <w:rPr>
          <w:iCs/>
          <w:i/>
        </w:rPr>
        <w:t xml:space="preserve">J Clin Endocrinol Metab</w:t>
      </w:r>
      <w:r>
        <w:t xml:space="preserve"> </w:t>
      </w:r>
      <w:r>
        <w:t xml:space="preserve">· Effect of a 3-Week Treatment with GLP-1 Receptor Agonists on Vasoactive Hormones in Euvolemic Participants. PMID 35134170</w:t>
      </w:r>
    </w:p>
    <w:p>
      <w:pPr>
        <w:numPr>
          <w:ilvl w:val="0"/>
          <w:numId w:val="1378"/>
        </w:numPr>
        <w:pStyle w:val="Compact"/>
      </w:pPr>
      <w:r>
        <w:t xml:space="preserve">2022 · Yabe D ·</w:t>
      </w:r>
      <w:r>
        <w:t xml:space="preserve"> </w:t>
      </w:r>
      <w:r>
        <w:rPr>
          <w:iCs/>
          <w:i/>
        </w:rPr>
        <w:t xml:space="preserve">J Diabetes Investig</w:t>
      </w:r>
      <w:r>
        <w:t xml:space="preserve"> </w:t>
      </w:r>
      <w:r>
        <w:t xml:space="preserve">· Efficacy and safety of oral semaglutide in Japanese patients with type 2 diabetes: A subgroup analysis by baseline variables in the PIONEER 9 and PIONEER 10 trials. PMID 35112504</w:t>
      </w:r>
    </w:p>
    <w:p>
      <w:pPr>
        <w:numPr>
          <w:ilvl w:val="0"/>
          <w:numId w:val="1378"/>
        </w:numPr>
        <w:pStyle w:val="Compact"/>
      </w:pPr>
      <w:r>
        <w:t xml:space="preserve">2022 · Kwan AYM ·</w:t>
      </w:r>
      <w:r>
        <w:t xml:space="preserve"> </w:t>
      </w:r>
      <w:r>
        <w:rPr>
          <w:iCs/>
          <w:i/>
        </w:rPr>
        <w:t xml:space="preserve">Diabetes Care</w:t>
      </w:r>
      <w:r>
        <w:t xml:space="preserve"> </w:t>
      </w:r>
      <w:r>
        <w:t xml:space="preserve">· HbA1c Reduction in Dulaglutide-Treated Patients Irrespective of Duration of Diabetes, Microvascular Disease, and BMI: A Post Hoc Analysis From the REWIND Trial. PMID 35043140</w:t>
      </w:r>
    </w:p>
    <w:p>
      <w:pPr>
        <w:numPr>
          <w:ilvl w:val="0"/>
          <w:numId w:val="1378"/>
        </w:numPr>
        <w:pStyle w:val="Compact"/>
      </w:pPr>
      <w:r>
        <w:t xml:space="preserve">2022 · Raubenheimer PJ ·</w:t>
      </w:r>
      <w:r>
        <w:t xml:space="preserve"> </w:t>
      </w:r>
      <w:r>
        <w:rPr>
          <w:iCs/>
          <w:i/>
        </w:rPr>
        <w:t xml:space="preserve">Diabetes Obes Metab</w:t>
      </w:r>
      <w:r>
        <w:t xml:space="preserve"> </w:t>
      </w:r>
      <w:r>
        <w:t xml:space="preserve">· Dulaglutide and incident atrial fibrillation or flutter in patients with type 2 diabetes: A post hoc analysis from the REWIND randomized trial. PMID 34984808</w:t>
      </w:r>
    </w:p>
    <w:p>
      <w:pPr>
        <w:numPr>
          <w:ilvl w:val="0"/>
          <w:numId w:val="1378"/>
        </w:numPr>
        <w:pStyle w:val="Compact"/>
      </w:pPr>
      <w:r>
        <w:t xml:space="preserve">2022 · Xu J ·</w:t>
      </w:r>
      <w:r>
        <w:t xml:space="preserve"> </w:t>
      </w:r>
      <w:r>
        <w:rPr>
          <w:iCs/>
          <w:i/>
        </w:rPr>
        <w:t xml:space="preserve">Adv Ther</w:t>
      </w:r>
      <w:r>
        <w:t xml:space="preserve"> </w:t>
      </w:r>
      <w:r>
        <w:t xml:space="preserve">· Pharmacokinetics, Pharmacodynamics, and Safety of Dulaglutide After Single or Multiple Doses in Chinese Healthy Subjects and Patients with T2DM: A Randomized, Placebo-Controlled, Phase I Study. PMID 34787823</w:t>
      </w:r>
    </w:p>
    <w:p>
      <w:pPr>
        <w:numPr>
          <w:ilvl w:val="0"/>
          <w:numId w:val="1378"/>
        </w:numPr>
        <w:pStyle w:val="Compact"/>
      </w:pPr>
      <w:r>
        <w:t xml:space="preserve">2022 · Yamada Y ·</w:t>
      </w:r>
      <w:r>
        <w:t xml:space="preserve"> </w:t>
      </w:r>
      <w:r>
        <w:rPr>
          <w:iCs/>
          <w:i/>
        </w:rPr>
        <w:t xml:space="preserve">Diabetes Obes Metab</w:t>
      </w:r>
      <w:r>
        <w:t xml:space="preserve"> </w:t>
      </w:r>
      <w:r>
        <w:t xml:space="preserve">· Efficacy and safety of oral semaglutide by baseline age in Japanese patients with type 2 diabetes: A subgroup analysis of the PIONEER 9 and 10 Japan trials. PMID 34622548</w:t>
      </w:r>
    </w:p>
    <w:p>
      <w:pPr>
        <w:numPr>
          <w:ilvl w:val="0"/>
          <w:numId w:val="1378"/>
        </w:numPr>
        <w:pStyle w:val="Compact"/>
      </w:pPr>
      <w:r>
        <w:t xml:space="preserve">2022 · Pirro V ·</w:t>
      </w:r>
      <w:r>
        <w:t xml:space="preserve"> </w:t>
      </w:r>
      <w:r>
        <w:rPr>
          <w:iCs/>
          <w:i/>
        </w:rPr>
        <w:t xml:space="preserve">J Clin Endocrinol Metab</w:t>
      </w:r>
      <w:r>
        <w:t xml:space="preserve"> </w:t>
      </w:r>
      <w:r>
        <w:t xml:space="preserve">· Effects of Tirzepatide, a Dual GIP and GLP-1 RA, on Lipid and Metabolite Profiles in Subjects With Type 2 Diabetes. PMID 34608929</w:t>
      </w:r>
    </w:p>
    <w:p>
      <w:pPr>
        <w:numPr>
          <w:ilvl w:val="0"/>
          <w:numId w:val="1378"/>
        </w:numPr>
        <w:pStyle w:val="Compact"/>
      </w:pPr>
      <w:r>
        <w:t xml:space="preserve">2022 · Wilson JM ·</w:t>
      </w:r>
      <w:r>
        <w:t xml:space="preserve"> </w:t>
      </w:r>
      <w:r>
        <w:rPr>
          <w:iCs/>
          <w:i/>
        </w:rPr>
        <w:t xml:space="preserve">Diabetes Obes Metab</w:t>
      </w:r>
      <w:r>
        <w:t xml:space="preserve"> </w:t>
      </w:r>
      <w:r>
        <w:t xml:space="preserve">· The dual glucose-dependent insulinotropic polypeptide and glucagon-like peptide-1 receptor agonist tirzepatide improves cardiovascular risk biomarkers in patients with type 2 diabetes: A post hoc analysis. PMID 34542221</w:t>
      </w:r>
    </w:p>
    <w:p>
      <w:pPr>
        <w:numPr>
          <w:ilvl w:val="0"/>
          <w:numId w:val="1378"/>
        </w:numPr>
        <w:pStyle w:val="Compact"/>
      </w:pPr>
      <w:r>
        <w:t xml:space="preserve">2021 · Tuttle KR ·</w:t>
      </w:r>
      <w:r>
        <w:t xml:space="preserve"> </w:t>
      </w:r>
      <w:r>
        <w:rPr>
          <w:iCs/>
          <w:i/>
        </w:rPr>
        <w:t xml:space="preserve">Kidney360</w:t>
      </w:r>
      <w:r>
        <w:t xml:space="preserve"> </w:t>
      </w:r>
      <w:r>
        <w:t xml:space="preserve">· Clinical Outcomes by Albuminuria Status with Dulaglutide versus Insulin Glargine in Participants with Diabetes and CKD: AWARD-7 Exploratory Analysis. PMID 35373017</w:t>
      </w:r>
    </w:p>
    <w:p>
      <w:pPr>
        <w:numPr>
          <w:ilvl w:val="0"/>
          <w:numId w:val="1378"/>
        </w:numPr>
        <w:pStyle w:val="Compact"/>
      </w:pPr>
      <w:r>
        <w:t xml:space="preserve">2021 · Cai TT ·</w:t>
      </w:r>
      <w:r>
        <w:t xml:space="preserve"> </w:t>
      </w:r>
      <w:r>
        <w:rPr>
          <w:iCs/>
          <w:i/>
        </w:rPr>
        <w:t xml:space="preserve">Biomed Res Int</w:t>
      </w:r>
      <w:r>
        <w:t xml:space="preserve"> </w:t>
      </w:r>
      <w:r>
        <w:t xml:space="preserve">· Effects of GLP-1 Receptor Agonists on Bone Mineral Density in Patients with Type 2 Diabetes Mellitus: A 52-Week Clinical Study. PMID 34580638</w:t>
      </w:r>
    </w:p>
    <w:p>
      <w:pPr>
        <w:numPr>
          <w:ilvl w:val="0"/>
          <w:numId w:val="1378"/>
        </w:numPr>
        <w:pStyle w:val="Compact"/>
      </w:pPr>
      <w:r>
        <w:t xml:space="preserve">2021 · Konig M ·</w:t>
      </w:r>
      <w:r>
        <w:t xml:space="preserve"> </w:t>
      </w:r>
      <w:r>
        <w:rPr>
          <w:iCs/>
          <w:i/>
        </w:rPr>
        <w:t xml:space="preserve">Cardiovasc Diabetol</w:t>
      </w:r>
      <w:r>
        <w:t xml:space="preserve"> </w:t>
      </w:r>
      <w:r>
        <w:t xml:space="preserve">· Exploring potential mediators of the cardiovascular benefit of dulaglutide in type 2 diabetes patients in REWIND. PMID 34563178</w:t>
      </w:r>
    </w:p>
    <w:p>
      <w:pPr>
        <w:numPr>
          <w:ilvl w:val="0"/>
          <w:numId w:val="1378"/>
        </w:numPr>
        <w:pStyle w:val="Compact"/>
      </w:pPr>
      <w:r>
        <w:t xml:space="preserve">2021 · Winzeler B ·</w:t>
      </w:r>
      <w:r>
        <w:t xml:space="preserve"> </w:t>
      </w:r>
      <w:r>
        <w:rPr>
          <w:iCs/>
          <w:i/>
        </w:rPr>
        <w:t xml:space="preserve">J Clin Invest</w:t>
      </w:r>
      <w:r>
        <w:t xml:space="preserve"> </w:t>
      </w:r>
      <w:r>
        <w:t xml:space="preserve">· A randomized controlled trial of the GLP-1 receptor agonist dulaglutide in primary polydipsia. PMID 34473645</w:t>
      </w:r>
    </w:p>
    <w:p>
      <w:pPr>
        <w:numPr>
          <w:ilvl w:val="0"/>
          <w:numId w:val="1378"/>
        </w:numPr>
        <w:pStyle w:val="Compact"/>
      </w:pPr>
      <w:r>
        <w:t xml:space="preserve">2021 · Frias JP ·</w:t>
      </w:r>
      <w:r>
        <w:t xml:space="preserve"> </w:t>
      </w:r>
      <w:r>
        <w:rPr>
          <w:iCs/>
          <w:i/>
        </w:rPr>
        <w:t xml:space="preserve">Diabetes Obes Metab</w:t>
      </w:r>
      <w:r>
        <w:t xml:space="preserve"> </w:t>
      </w:r>
      <w:r>
        <w:t xml:space="preserve">· Glycaemic efficacy of an expanded dose range of dulaglutide according to baseline glycated haemoglobin (HbA1c) subgroup: Post hoc analysis of AWARD-11. PMID 34463420</w:t>
      </w:r>
    </w:p>
    <w:p>
      <w:pPr>
        <w:numPr>
          <w:ilvl w:val="0"/>
          <w:numId w:val="1378"/>
        </w:numPr>
        <w:pStyle w:val="Compact"/>
      </w:pPr>
      <w:r>
        <w:t xml:space="preserve">2021 · Bonora E ·</w:t>
      </w:r>
      <w:r>
        <w:t xml:space="preserve"> </w:t>
      </w:r>
      <w:r>
        <w:rPr>
          <w:iCs/>
          <w:i/>
        </w:rPr>
        <w:t xml:space="preserve">Diabetes Obes Metab</w:t>
      </w:r>
      <w:r>
        <w:t xml:space="preserve"> </w:t>
      </w:r>
      <w:r>
        <w:t xml:space="preserve">· Effect of dulaglutide 3.0 and 4.5 mg on weight in patients with type 2 diabetes: Exploratory analyses of AWARD-11. PMID 34189841</w:t>
      </w:r>
    </w:p>
    <w:p>
      <w:pPr>
        <w:numPr>
          <w:ilvl w:val="0"/>
          <w:numId w:val="1378"/>
        </w:numPr>
        <w:pStyle w:val="Compact"/>
      </w:pPr>
      <w:r>
        <w:t xml:space="preserve">2021 · Frias JP ·</w:t>
      </w:r>
      <w:r>
        <w:t xml:space="preserve"> </w:t>
      </w:r>
      <w:r>
        <w:rPr>
          <w:iCs/>
          <w:i/>
        </w:rPr>
        <w:t xml:space="preserve">Diabetes Obes Metab</w:t>
      </w:r>
      <w:r>
        <w:t xml:space="preserve"> </w:t>
      </w:r>
      <w:r>
        <w:t xml:space="preserve">· Efficacy and safety of dulaglutide 3.0 and 4.5 mg in patients aged younger than 65 and 65 years or older: Post hoc analysis of the AWARD-11 trial. PMID 34159708</w:t>
      </w:r>
    </w:p>
    <w:p>
      <w:pPr>
        <w:numPr>
          <w:ilvl w:val="0"/>
          <w:numId w:val="1378"/>
        </w:numPr>
        <w:pStyle w:val="Compact"/>
      </w:pPr>
      <w:r>
        <w:t xml:space="preserve">2021 · Bajaj HS ·</w:t>
      </w:r>
      <w:r>
        <w:t xml:space="preserve"> </w:t>
      </w:r>
      <w:r>
        <w:rPr>
          <w:iCs/>
          <w:i/>
        </w:rPr>
        <w:t xml:space="preserve">Lancet Diabetes Endocrinol</w:t>
      </w:r>
      <w:r>
        <w:t xml:space="preserve"> </w:t>
      </w:r>
      <w:r>
        <w:t xml:space="preserve">· Erectile function in men with type 2 diabetes treated with dulaglutide: an exploratory analysis of the REWIND placebo-controlled randomised trial. PMID 34153269</w:t>
      </w:r>
    </w:p>
    <w:p>
      <w:pPr>
        <w:numPr>
          <w:ilvl w:val="0"/>
          <w:numId w:val="1378"/>
        </w:numPr>
        <w:pStyle w:val="Compact"/>
      </w:pPr>
      <w:r>
        <w:t xml:space="preserve">2021 · Snitker S ·</w:t>
      </w:r>
      <w:r>
        <w:t xml:space="preserve"> </w:t>
      </w:r>
      <w:r>
        <w:rPr>
          <w:iCs/>
          <w:i/>
        </w:rPr>
        <w:t xml:space="preserve">Diabetes Obes Metab</w:t>
      </w:r>
      <w:r>
        <w:t xml:space="preserve"> </w:t>
      </w:r>
      <w:r>
        <w:t xml:space="preserve">· Comparison of the injection-site experience of the starting doses with semaglutide and dulaglutide: A randomized, double-blind trial in healthy subjects. PMID 33591618</w:t>
      </w:r>
    </w:p>
    <w:p>
      <w:pPr>
        <w:numPr>
          <w:ilvl w:val="0"/>
          <w:numId w:val="1378"/>
        </w:numPr>
        <w:pStyle w:val="Compact"/>
      </w:pPr>
      <w:r>
        <w:t xml:space="preserve">2021 · Riddle MC ·</w:t>
      </w:r>
      <w:r>
        <w:t xml:space="preserve"> </w:t>
      </w:r>
      <w:r>
        <w:rPr>
          <w:iCs/>
          <w:i/>
        </w:rPr>
        <w:t xml:space="preserve">J Clin Endocrinol Metab</w:t>
      </w:r>
      <w:r>
        <w:t xml:space="preserve"> </w:t>
      </w:r>
      <w:r>
        <w:t xml:space="preserve">· Efficacy and Safety of Dulaglutide in Older Patients: A post hoc Analysis of the REWIND trial. PMID 33537745</w:t>
      </w:r>
    </w:p>
    <w:p>
      <w:pPr>
        <w:numPr>
          <w:ilvl w:val="0"/>
          <w:numId w:val="1378"/>
        </w:numPr>
        <w:pStyle w:val="Compact"/>
      </w:pPr>
      <w:r>
        <w:t xml:space="preserve">2021 · Frias JP ·</w:t>
      </w:r>
      <w:r>
        <w:t xml:space="preserve"> </w:t>
      </w:r>
      <w:r>
        <w:rPr>
          <w:iCs/>
          <w:i/>
        </w:rPr>
        <w:t xml:space="preserve">Diabetes Care</w:t>
      </w:r>
      <w:r>
        <w:t xml:space="preserve"> </w:t>
      </w:r>
      <w:r>
        <w:t xml:space="preserve">· Efficacy and Safety of Dulaglutide 3.0 mg and 4.5 mg Versus Dulaglutide 1.5 mg in Metformin-Treated Patients With Type 2 Diabetes in a Randomized Controlled Trial (AWARD-11). PMID 33397768</w:t>
      </w:r>
    </w:p>
    <w:p>
      <w:pPr>
        <w:numPr>
          <w:ilvl w:val="0"/>
          <w:numId w:val="1378"/>
        </w:numPr>
        <w:pStyle w:val="Compact"/>
      </w:pPr>
      <w:r>
        <w:t xml:space="preserve">2021 · Tuttolomondo A ·</w:t>
      </w:r>
      <w:r>
        <w:t xml:space="preserve"> </w:t>
      </w:r>
      <w:r>
        <w:rPr>
          <w:iCs/>
          <w:i/>
        </w:rPr>
        <w:t xml:space="preserve">Cardiovasc Diabetol</w:t>
      </w:r>
      <w:r>
        <w:t xml:space="preserve"> </w:t>
      </w:r>
      <w:r>
        <w:t xml:space="preserve">· Efficacy of dulaglutide on vascular health indexes in subjects with type 2 diabetes: a randomized trial. PMID 33397395</w:t>
      </w:r>
    </w:p>
    <w:p>
      <w:pPr>
        <w:numPr>
          <w:ilvl w:val="0"/>
          <w:numId w:val="1378"/>
        </w:numPr>
        <w:pStyle w:val="Compact"/>
      </w:pPr>
      <w:r>
        <w:t xml:space="preserve">2021 · Thomas MK ·</w:t>
      </w:r>
      <w:r>
        <w:t xml:space="preserve"> </w:t>
      </w:r>
      <w:r>
        <w:rPr>
          <w:iCs/>
          <w:i/>
        </w:rPr>
        <w:t xml:space="preserve">J Clin Endocrinol Metab</w:t>
      </w:r>
      <w:r>
        <w:t xml:space="preserve"> </w:t>
      </w:r>
      <w:r>
        <w:t xml:space="preserve">· Dual GIP and GLP-1 Receptor Agonist Tirzepatide Improves Beta-cell Function and Insulin Sensitivity in Type 2 Diabetes. PMID 33236115</w:t>
      </w:r>
    </w:p>
    <w:p>
      <w:pPr>
        <w:numPr>
          <w:ilvl w:val="0"/>
          <w:numId w:val="1378"/>
        </w:numPr>
        <w:pStyle w:val="Compact"/>
      </w:pPr>
      <w:r>
        <w:t xml:space="preserve">2021 · Ferrannini G ·</w:t>
      </w:r>
      <w:r>
        <w:t xml:space="preserve"> </w:t>
      </w:r>
      <w:r>
        <w:rPr>
          <w:iCs/>
          <w:i/>
        </w:rPr>
        <w:t xml:space="preserve">Eur Heart J</w:t>
      </w:r>
      <w:r>
        <w:t xml:space="preserve"> </w:t>
      </w:r>
      <w:r>
        <w:t xml:space="preserve">· Similar cardiovascular outcomes in patients with diabetes and established or high risk for coronary vascular disease treated with dulaglutide with and without baseline metformin. PMID 33197271</w:t>
      </w:r>
    </w:p>
    <w:p>
      <w:pPr>
        <w:numPr>
          <w:ilvl w:val="0"/>
          <w:numId w:val="1378"/>
        </w:numPr>
        <w:pStyle w:val="Compact"/>
      </w:pPr>
      <w:r>
        <w:t xml:space="preserve">2020 · Wilson JM ·</w:t>
      </w:r>
      <w:r>
        <w:t xml:space="preserve"> </w:t>
      </w:r>
      <w:r>
        <w:rPr>
          <w:iCs/>
          <w:i/>
        </w:rPr>
        <w:t xml:space="preserve">Diabetes Obes Metab</w:t>
      </w:r>
      <w:r>
        <w:t xml:space="preserve"> </w:t>
      </w:r>
      <w:r>
        <w:t xml:space="preserve">· The dual glucose-dependent insulinotropic peptide and glucagon-like peptide-1 receptor agonist, tirzepatide, improves lipoprotein biomarkers associated with insulin resistance and cardiovascular risk in patients with type 2 diabetes. PMID 33462955</w:t>
      </w:r>
    </w:p>
    <w:p>
      <w:pPr>
        <w:numPr>
          <w:ilvl w:val="0"/>
          <w:numId w:val="1378"/>
        </w:numPr>
        <w:pStyle w:val="Compact"/>
      </w:pPr>
      <w:r>
        <w:t xml:space="preserve">2020 · Dagenais GR ·</w:t>
      </w:r>
      <w:r>
        <w:t xml:space="preserve"> </w:t>
      </w:r>
      <w:r>
        <w:rPr>
          <w:iCs/>
          <w:i/>
        </w:rPr>
        <w:t xml:space="preserve">Cardiovasc Diabetol</w:t>
      </w:r>
      <w:r>
        <w:t xml:space="preserve"> </w:t>
      </w:r>
      <w:r>
        <w:t xml:space="preserve">· Total cardiovascular or fatal events in people with type 2 diabetes and cardiovascular risk factors treated with dulaglutide in the REWIND trail: a post hoc analysis. PMID 33239067</w:t>
      </w:r>
    </w:p>
    <w:p>
      <w:pPr>
        <w:numPr>
          <w:ilvl w:val="0"/>
          <w:numId w:val="1378"/>
        </w:numPr>
        <w:pStyle w:val="Compact"/>
      </w:pPr>
      <w:r>
        <w:t xml:space="preserve">2020 · Kuchay MS ·</w:t>
      </w:r>
      <w:r>
        <w:t xml:space="preserve"> </w:t>
      </w:r>
      <w:r>
        <w:rPr>
          <w:iCs/>
          <w:i/>
        </w:rPr>
        <w:t xml:space="preserve">Diabetologia</w:t>
      </w:r>
      <w:r>
        <w:t xml:space="preserve"> </w:t>
      </w:r>
      <w:r>
        <w:t xml:space="preserve">· Effect of dulaglutide on liver fat in patients with type 2 diabetes and NAFLD: randomised controlled trial (D-LIFT trial). PMID 32865597</w:t>
      </w:r>
    </w:p>
    <w:p>
      <w:pPr>
        <w:numPr>
          <w:ilvl w:val="0"/>
          <w:numId w:val="1378"/>
        </w:numPr>
        <w:pStyle w:val="Compact"/>
      </w:pPr>
      <w:r>
        <w:t xml:space="preserve">2020 · Winzeler B ·</w:t>
      </w:r>
      <w:r>
        <w:t xml:space="preserve"> </w:t>
      </w:r>
      <w:r>
        <w:rPr>
          <w:iCs/>
          <w:i/>
        </w:rPr>
        <w:t xml:space="preserve">Endocrine</w:t>
      </w:r>
      <w:r>
        <w:t xml:space="preserve"> </w:t>
      </w:r>
      <w:r>
        <w:t xml:space="preserve">· Effects of glucagon-like peptide-1 receptor agonists on fluid intake in healthy volunteers. PMID 32623637</w:t>
      </w:r>
    </w:p>
    <w:p>
      <w:pPr>
        <w:numPr>
          <w:ilvl w:val="0"/>
          <w:numId w:val="1378"/>
        </w:numPr>
        <w:pStyle w:val="Compact"/>
      </w:pPr>
      <w:r>
        <w:t xml:space="preserve">2020 · Cukierman-Yaffe T ·</w:t>
      </w:r>
      <w:r>
        <w:t xml:space="preserve"> </w:t>
      </w:r>
      <w:r>
        <w:rPr>
          <w:iCs/>
          <w:i/>
        </w:rPr>
        <w:t xml:space="preserve">Lancet Neurol</w:t>
      </w:r>
      <w:r>
        <w:t xml:space="preserve"> </w:t>
      </w:r>
      <w:r>
        <w:t xml:space="preserve">· Effect of dulaglutide on cognitive impairment in type 2 diabetes: an exploratory analysis of the REWIND trial. PMID 32562683</w:t>
      </w:r>
    </w:p>
    <w:p>
      <w:pPr>
        <w:numPr>
          <w:ilvl w:val="0"/>
          <w:numId w:val="1378"/>
        </w:numPr>
        <w:pStyle w:val="Compact"/>
      </w:pPr>
      <w:r>
        <w:t xml:space="preserve">2020 · Yabe D ·</w:t>
      </w:r>
      <w:r>
        <w:t xml:space="preserve"> </w:t>
      </w:r>
      <w:r>
        <w:rPr>
          <w:iCs/>
          <w:i/>
        </w:rPr>
        <w:t xml:space="preserve">Lancet Diabetes Endocrinol</w:t>
      </w:r>
      <w:r>
        <w:t xml:space="preserve"> </w:t>
      </w:r>
      <w:r>
        <w:t xml:space="preserve">· Safety and efficacy of oral semaglutide versus dulaglutide in Japanese patients with type 2 diabetes (PIONEER 10): an open-label, randomised, active-controlled, phase 3a trial. PMID 32333876</w:t>
      </w:r>
    </w:p>
    <w:p>
      <w:pPr>
        <w:numPr>
          <w:ilvl w:val="0"/>
          <w:numId w:val="1378"/>
        </w:numPr>
        <w:pStyle w:val="Compact"/>
      </w:pPr>
      <w:r>
        <w:t xml:space="preserve">2020 · An IB ·</w:t>
      </w:r>
      <w:r>
        <w:t xml:space="preserve"> </w:t>
      </w:r>
      <w:r>
        <w:rPr>
          <w:iCs/>
          <w:i/>
        </w:rPr>
        <w:t xml:space="preserve">Diabetes Obes Metab</w:t>
      </w:r>
      <w:r>
        <w:t xml:space="preserve"> </w:t>
      </w:r>
      <w:r>
        <w:t xml:space="preserve">· A glycosylated Fc-fused glucagon-like peptide-1 receptor agonist exhibits equivalent glucose lowering to but fewer gastrointestinal side effects than dulaglutide. PMID 32314505</w:t>
      </w:r>
    </w:p>
    <w:p>
      <w:pPr>
        <w:numPr>
          <w:ilvl w:val="0"/>
          <w:numId w:val="1378"/>
        </w:numPr>
        <w:pStyle w:val="Compact"/>
      </w:pPr>
      <w:r>
        <w:t xml:space="preserve">2020 · Hartman ML ·</w:t>
      </w:r>
      <w:r>
        <w:t xml:space="preserve"> </w:t>
      </w:r>
      <w:r>
        <w:rPr>
          <w:iCs/>
          <w:i/>
        </w:rPr>
        <w:t xml:space="preserve">Diabetes Care</w:t>
      </w:r>
      <w:r>
        <w:t xml:space="preserve"> </w:t>
      </w:r>
      <w:r>
        <w:t xml:space="preserve">· Effects of Novel Dual GIP and GLP-1 Receptor Agonist Tirzepatide on Biomarkers of Nonalcoholic Steatohepatitis in Patients With Type 2 Diabetes. PMID 32291277</w:t>
      </w:r>
    </w:p>
    <w:p>
      <w:pPr>
        <w:numPr>
          <w:ilvl w:val="0"/>
          <w:numId w:val="1378"/>
        </w:numPr>
        <w:pStyle w:val="Compact"/>
      </w:pPr>
      <w:r>
        <w:t xml:space="preserve">2020 · Romera I ·</w:t>
      </w:r>
      <w:r>
        <w:t xml:space="preserve"> </w:t>
      </w:r>
      <w:r>
        <w:rPr>
          <w:iCs/>
          <w:i/>
        </w:rPr>
        <w:t xml:space="preserve">J Diabetes Complications</w:t>
      </w:r>
      <w:r>
        <w:t xml:space="preserve"> </w:t>
      </w:r>
      <w:r>
        <w:t xml:space="preserve">· Once-weekly dulaglutide versus insulin glargine in the early control of fasting serum glucose and HbA1c. PMID 32220551</w:t>
      </w:r>
    </w:p>
    <w:p>
      <w:pPr>
        <w:numPr>
          <w:ilvl w:val="0"/>
          <w:numId w:val="1378"/>
        </w:numPr>
        <w:pStyle w:val="Compact"/>
      </w:pPr>
      <w:r>
        <w:t xml:space="preserve">2020 · Asakura T ·</w:t>
      </w:r>
      <w:r>
        <w:t xml:space="preserve"> </w:t>
      </w:r>
      <w:r>
        <w:rPr>
          <w:iCs/>
          <w:i/>
        </w:rPr>
        <w:t xml:space="preserve">Curr Med Res Opin</w:t>
      </w:r>
      <w:r>
        <w:t xml:space="preserve"> </w:t>
      </w:r>
      <w:r>
        <w:t xml:space="preserve">· Comparative study of dulaglutide single-use pen Ateos versus insulin degludec FlexTouch on learning and mock administration time in Japanese patients with type 2 diabetes mellitus - a post-hoc analysis. PMID 32141343</w:t>
      </w:r>
    </w:p>
    <w:p>
      <w:pPr>
        <w:numPr>
          <w:ilvl w:val="0"/>
          <w:numId w:val="1378"/>
        </w:numPr>
        <w:pStyle w:val="Compact"/>
      </w:pPr>
      <w:r>
        <w:t xml:space="preserve">2020 · Gerstein HC ·</w:t>
      </w:r>
      <w:r>
        <w:t xml:space="preserve"> </w:t>
      </w:r>
      <w:r>
        <w:rPr>
          <w:iCs/>
          <w:i/>
        </w:rPr>
        <w:t xml:space="preserve">Lancet Diabetes Endocrinol</w:t>
      </w:r>
      <w:r>
        <w:t xml:space="preserve"> </w:t>
      </w:r>
      <w:r>
        <w:t xml:space="preserve">· The effect of dulaglutide on stroke: an exploratory analysis of the REWIND trial. PMID 31924562</w:t>
      </w:r>
    </w:p>
    <w:p>
      <w:pPr>
        <w:numPr>
          <w:ilvl w:val="0"/>
          <w:numId w:val="1378"/>
        </w:numPr>
        <w:pStyle w:val="Compact"/>
      </w:pPr>
      <w:r>
        <w:t xml:space="preserve">2020 · DeSouza C ·</w:t>
      </w:r>
      <w:r>
        <w:t xml:space="preserve"> </w:t>
      </w:r>
      <w:r>
        <w:rPr>
          <w:iCs/>
          <w:i/>
        </w:rPr>
        <w:t xml:space="preserve">J Clin Endocrinol Metab</w:t>
      </w:r>
      <w:r>
        <w:t xml:space="preserve"> </w:t>
      </w:r>
      <w:r>
        <w:t xml:space="preserve">· Efficacy and Safety of Semaglutide for Type 2 Diabetes by Race and Ethnicity: A Post Hoc Analysis of the SUSTAIN Trials. PMID 31769496</w:t>
      </w:r>
    </w:p>
    <w:p>
      <w:pPr>
        <w:numPr>
          <w:ilvl w:val="0"/>
          <w:numId w:val="1378"/>
        </w:numPr>
        <w:pStyle w:val="Compact"/>
      </w:pPr>
      <w:r>
        <w:t xml:space="preserve">2020 · Xiao X ·</w:t>
      </w:r>
      <w:r>
        <w:t xml:space="preserve"> </w:t>
      </w:r>
      <w:r>
        <w:rPr>
          <w:iCs/>
          <w:i/>
        </w:rPr>
        <w:t xml:space="preserve">J Diabetes Investig</w:t>
      </w:r>
      <w:r>
        <w:t xml:space="preserve"> </w:t>
      </w:r>
      <w:r>
        <w:t xml:space="preserve">· Achieving the composite end-point of glycated hemoglobin &lt;7.0% without weight gain or hypoglycemia with once-weekly dulaglutide in Chinese patients with type 2 diabetes: A post-hoc analysis. PMID 31758850</w:t>
      </w:r>
    </w:p>
    <w:p>
      <w:pPr>
        <w:numPr>
          <w:ilvl w:val="0"/>
          <w:numId w:val="1378"/>
        </w:numPr>
        <w:pStyle w:val="Compact"/>
      </w:pPr>
      <w:r>
        <w:t xml:space="preserve">2020 · Matza LS ·</w:t>
      </w:r>
      <w:r>
        <w:t xml:space="preserve"> </w:t>
      </w:r>
      <w:r>
        <w:rPr>
          <w:iCs/>
          <w:i/>
        </w:rPr>
        <w:t xml:space="preserve">Diabetes Obes Metab</w:t>
      </w:r>
      <w:r>
        <w:t xml:space="preserve"> </w:t>
      </w:r>
      <w:r>
        <w:t xml:space="preserve">· Assessing patient PREFERence between the dulaglutide pen and the semaglutide pen: A crossover study (PREFER). PMID 31646727</w:t>
      </w:r>
    </w:p>
    <w:p>
      <w:pPr>
        <w:numPr>
          <w:ilvl w:val="0"/>
          <w:numId w:val="1378"/>
        </w:numPr>
        <w:pStyle w:val="Compact"/>
      </w:pPr>
      <w:r>
        <w:t xml:space="preserve">2020 · Fushimi N ·</w:t>
      </w:r>
      <w:r>
        <w:t xml:space="preserve"> </w:t>
      </w:r>
      <w:r>
        <w:rPr>
          <w:iCs/>
          <w:i/>
        </w:rPr>
        <w:t xml:space="preserve">J Diabetes Investig</w:t>
      </w:r>
      <w:r>
        <w:t xml:space="preserve"> </w:t>
      </w:r>
      <w:r>
        <w:t xml:space="preserve">· Dulaglutide-combined basal plus correction insulin therapy contributes to ideal glycemic control in non-critical hospitalized patients. PMID 31168938</w:t>
      </w:r>
    </w:p>
    <w:p>
      <w:pPr>
        <w:numPr>
          <w:ilvl w:val="0"/>
          <w:numId w:val="1378"/>
        </w:numPr>
        <w:pStyle w:val="Compact"/>
      </w:pPr>
      <w:r>
        <w:t xml:space="preserve">2020 · Shi LX ·</w:t>
      </w:r>
      <w:r>
        <w:t xml:space="preserve"> </w:t>
      </w:r>
      <w:r>
        <w:rPr>
          <w:iCs/>
          <w:i/>
        </w:rPr>
        <w:t xml:space="preserve">J Diabetes Investig</w:t>
      </w:r>
      <w:r>
        <w:t xml:space="preserve"> </w:t>
      </w:r>
      <w:r>
        <w:t xml:space="preserve">· Efficacy and safety of dulaglutide monotherapy compared with glimepiride in Chinese patients with type 2 diabetes: Post-hoc analyses of a randomized, double-blind, phase III study. PMID 31102326</w:t>
      </w:r>
    </w:p>
    <w:p>
      <w:pPr>
        <w:numPr>
          <w:ilvl w:val="0"/>
          <w:numId w:val="1378"/>
        </w:numPr>
        <w:pStyle w:val="Compact"/>
      </w:pPr>
      <w:r>
        <w:t xml:space="preserve">2019 · Wang J ·</w:t>
      </w:r>
      <w:r>
        <w:t xml:space="preserve"> </w:t>
      </w:r>
      <w:r>
        <w:rPr>
          <w:iCs/>
          <w:i/>
        </w:rPr>
        <w:t xml:space="preserve">Biomed Res Int</w:t>
      </w:r>
      <w:r>
        <w:t xml:space="preserve"> </w:t>
      </w:r>
      <w:r>
        <w:t xml:space="preserve">· The Effects of Once-Weekly Dulaglutide and Insulin Glargine on Glucose Fluctuation in Poorly Oral-Antidiabetic Controlled Patients with Type 2 Diabetes Mellitus. PMID 31950036</w:t>
      </w:r>
    </w:p>
    <w:p>
      <w:pPr>
        <w:numPr>
          <w:ilvl w:val="0"/>
          <w:numId w:val="1378"/>
        </w:numPr>
        <w:pStyle w:val="Compact"/>
      </w:pPr>
      <w:r>
        <w:t xml:space="preserve">2019 · Blonde L ·</w:t>
      </w:r>
      <w:r>
        <w:t xml:space="preserve"> </w:t>
      </w:r>
      <w:r>
        <w:rPr>
          <w:iCs/>
          <w:i/>
        </w:rPr>
        <w:t xml:space="preserve">Diabetes Care</w:t>
      </w:r>
      <w:r>
        <w:t xml:space="preserve"> </w:t>
      </w:r>
      <w:r>
        <w:t xml:space="preserve">· Switching to iGlarLixi Versus Continuing Daily or Weekly GLP-1 RA in Type 2 Diabetes Inadequately Controlled by GLP-1 RA and Oral Antihyperglycemic Therapy: The LixiLan-G Randomized Clinical Trial. PMID 31530665</w:t>
      </w:r>
    </w:p>
    <w:p>
      <w:pPr>
        <w:numPr>
          <w:ilvl w:val="0"/>
          <w:numId w:val="1378"/>
        </w:numPr>
        <w:pStyle w:val="Compact"/>
      </w:pPr>
      <w:r>
        <w:t xml:space="preserve">2019 · Kutoh E ·</w:t>
      </w:r>
      <w:r>
        <w:t xml:space="preserve"> </w:t>
      </w:r>
      <w:r>
        <w:rPr>
          <w:iCs/>
          <w:i/>
        </w:rPr>
        <w:t xml:space="preserve">Endocr Regul</w:t>
      </w:r>
      <w:r>
        <w:t xml:space="preserve"> </w:t>
      </w:r>
      <w:r>
        <w:t xml:space="preserve">· Efficacy and safety of dulaglutide in patients with absolute insulin deficiency. PMID 31517629</w:t>
      </w:r>
    </w:p>
    <w:p>
      <w:pPr>
        <w:numPr>
          <w:ilvl w:val="0"/>
          <w:numId w:val="1378"/>
        </w:numPr>
        <w:pStyle w:val="Compact"/>
      </w:pPr>
      <w:r>
        <w:t xml:space="preserve">2019 · Gentilella R ·</w:t>
      </w:r>
      <w:r>
        <w:t xml:space="preserve"> </w:t>
      </w:r>
      <w:r>
        <w:rPr>
          <w:iCs/>
          <w:i/>
        </w:rPr>
        <w:t xml:space="preserve">Diabetes Obes Metab</w:t>
      </w:r>
      <w:r>
        <w:t xml:space="preserve"> </w:t>
      </w:r>
      <w:r>
        <w:t xml:space="preserve">· Dulaglutide is an effective treatment for lowering HbA1c in patients with type 2 diabetes regardless of body mass index. PMID 31392822</w:t>
      </w:r>
    </w:p>
    <w:p>
      <w:pPr>
        <w:numPr>
          <w:ilvl w:val="0"/>
          <w:numId w:val="1378"/>
        </w:numPr>
        <w:pStyle w:val="Compact"/>
      </w:pPr>
      <w:r>
        <w:t xml:space="preserve">2019 · Jendle J ·</w:t>
      </w:r>
      <w:r>
        <w:t xml:space="preserve"> </w:t>
      </w:r>
      <w:r>
        <w:rPr>
          <w:iCs/>
          <w:i/>
        </w:rPr>
        <w:t xml:space="preserve">Diabetes Obes Metab</w:t>
      </w:r>
      <w:r>
        <w:t xml:space="preserve"> </w:t>
      </w:r>
      <w:r>
        <w:t xml:space="preserve">· Improved treatment satisfaction in patients with type 2 diabetes treated with once-weekly semaglutide in the SUSTAIN trials. PMID 31215727</w:t>
      </w:r>
    </w:p>
    <w:p>
      <w:pPr>
        <w:numPr>
          <w:ilvl w:val="0"/>
          <w:numId w:val="1378"/>
        </w:numPr>
        <w:pStyle w:val="Compact"/>
      </w:pPr>
      <w:r>
        <w:t xml:space="preserve">2019 · Gerstein HC ·</w:t>
      </w:r>
      <w:r>
        <w:t xml:space="preserve"> </w:t>
      </w:r>
      <w:r>
        <w:rPr>
          <w:iCs/>
          <w:i/>
        </w:rPr>
        <w:t xml:space="preserve">Lancet</w:t>
      </w:r>
      <w:r>
        <w:t xml:space="preserve"> </w:t>
      </w:r>
      <w:r>
        <w:t xml:space="preserve">· Dulaglutide and cardiovascular outcomes in type 2 diabetes (REWIND): a double-blind, randomised placebo-controlled trial. PMID 31189511</w:t>
      </w:r>
    </w:p>
    <w:p>
      <w:pPr>
        <w:numPr>
          <w:ilvl w:val="0"/>
          <w:numId w:val="1378"/>
        </w:numPr>
        <w:pStyle w:val="Compact"/>
      </w:pPr>
      <w:r>
        <w:t xml:space="preserve">2019 · Gerstein HC ·</w:t>
      </w:r>
      <w:r>
        <w:t xml:space="preserve"> </w:t>
      </w:r>
      <w:r>
        <w:rPr>
          <w:iCs/>
          <w:i/>
        </w:rPr>
        <w:t xml:space="preserve">Lancet</w:t>
      </w:r>
      <w:r>
        <w:t xml:space="preserve"> </w:t>
      </w:r>
      <w:r>
        <w:t xml:space="preserve">· Dulaglutide and renal outcomes in type 2 diabetes: an exploratory analysis of the REWIND randomised, placebo-controlled trial. PMID 31189509</w:t>
      </w:r>
    </w:p>
    <w:p>
      <w:pPr>
        <w:numPr>
          <w:ilvl w:val="0"/>
          <w:numId w:val="1378"/>
        </w:numPr>
        <w:pStyle w:val="Compact"/>
      </w:pPr>
      <w:r>
        <w:t xml:space="preserve">2019 · Li H ·</w:t>
      </w:r>
      <w:r>
        <w:t xml:space="preserve"> </w:t>
      </w:r>
      <w:r>
        <w:rPr>
          <w:iCs/>
          <w:i/>
        </w:rPr>
        <w:t xml:space="preserve">J Diabetes Res</w:t>
      </w:r>
      <w:r>
        <w:t xml:space="preserve"> </w:t>
      </w:r>
      <w:r>
        <w:t xml:space="preserve">· A Randomized Study to Compare the Effects of Once-Weekly Dulaglutide Injection and Once-Daily Glimepiride on Glucose Fluctuation of Type 2 Diabetes Mellitus Patients: A 26-Week Follow-Up. PMID 31183384</w:t>
      </w:r>
    </w:p>
    <w:p>
      <w:pPr>
        <w:numPr>
          <w:ilvl w:val="0"/>
          <w:numId w:val="1378"/>
        </w:numPr>
        <w:pStyle w:val="Compact"/>
      </w:pPr>
      <w:r>
        <w:t xml:space="preserve">2019 · Frias JP ·</w:t>
      </w:r>
      <w:r>
        <w:t xml:space="preserve"> </w:t>
      </w:r>
      <w:r>
        <w:rPr>
          <w:iCs/>
          <w:i/>
        </w:rPr>
        <w:t xml:space="preserve">Diabetes Obes Metab</w:t>
      </w:r>
      <w:r>
        <w:t xml:space="preserve"> </w:t>
      </w:r>
      <w:r>
        <w:t xml:space="preserve">· Efficacy and safety of an expanded dulaglutide dose range: A phase 2, placebo-controlled trial in patients with type 2 diabetes using metformin. PMID 31050143</w:t>
      </w:r>
    </w:p>
    <w:p>
      <w:pPr>
        <w:numPr>
          <w:ilvl w:val="0"/>
          <w:numId w:val="1378"/>
        </w:numPr>
        <w:pStyle w:val="Compact"/>
      </w:pPr>
      <w:r>
        <w:t xml:space="preserve">2019 · Tuttle KR ·</w:t>
      </w:r>
      <w:r>
        <w:t xml:space="preserve"> </w:t>
      </w:r>
      <w:r>
        <w:rPr>
          <w:iCs/>
          <w:i/>
        </w:rPr>
        <w:t xml:space="preserve">Diabetes Obes Metab</w:t>
      </w:r>
      <w:r>
        <w:t xml:space="preserve"> </w:t>
      </w:r>
      <w:r>
        <w:t xml:space="preserve">· Body weight and eGFR during dulaglutide treatment in type 2 diabetes and moderate-to-severe chronic kidney disease (AWARD-7). PMID 30762290</w:t>
      </w:r>
    </w:p>
    <w:p>
      <w:pPr>
        <w:numPr>
          <w:ilvl w:val="0"/>
          <w:numId w:val="1378"/>
        </w:numPr>
        <w:pStyle w:val="Compact"/>
      </w:pPr>
      <w:r>
        <w:t xml:space="preserve">2019 · Fuechtenbusch M ·</w:t>
      </w:r>
      <w:r>
        <w:t xml:space="preserve"> </w:t>
      </w:r>
      <w:r>
        <w:rPr>
          <w:iCs/>
          <w:i/>
        </w:rPr>
        <w:t xml:space="preserve">Diabetes Obes Metab</w:t>
      </w:r>
      <w:r>
        <w:t xml:space="preserve"> </w:t>
      </w:r>
      <w:r>
        <w:t xml:space="preserve">· Weight loss in patients with type 2 diabetes receiving once-weekly dulaglutide plus insulin lispro or insulin glargine plus insulin lispro: A post-hoc analysis of the AWARD-4 study across baseline body mass index subgroups. PMID 30737891</w:t>
      </w:r>
    </w:p>
    <w:p>
      <w:pPr>
        <w:numPr>
          <w:ilvl w:val="0"/>
          <w:numId w:val="1378"/>
        </w:numPr>
        <w:pStyle w:val="Compact"/>
      </w:pPr>
      <w:r>
        <w:t xml:space="preserve">2019 · Wang W ·</w:t>
      </w:r>
      <w:r>
        <w:t xml:space="preserve"> </w:t>
      </w:r>
      <w:r>
        <w:rPr>
          <w:iCs/>
          <w:i/>
        </w:rPr>
        <w:t xml:space="preserve">Diabetes Obes Metab</w:t>
      </w:r>
      <w:r>
        <w:t xml:space="preserve"> </w:t>
      </w:r>
      <w:r>
        <w:t xml:space="preserve">· Efficacy and safety of once-weekly dulaglutide versus insulin glargine in mainly Asian patients with type 2 diabetes mellitus on metformin and/or a sulphonylurea: A 52-week open-label, randomized phase III trial. PMID 30129089</w:t>
      </w:r>
    </w:p>
    <w:p>
      <w:pPr>
        <w:numPr>
          <w:ilvl w:val="0"/>
          <w:numId w:val="1378"/>
        </w:numPr>
        <w:pStyle w:val="Compact"/>
      </w:pPr>
      <w:r>
        <w:t xml:space="preserve">2019 · Takase T ·</w:t>
      </w:r>
      <w:r>
        <w:t xml:space="preserve"> </w:t>
      </w:r>
      <w:r>
        <w:rPr>
          <w:iCs/>
          <w:i/>
        </w:rPr>
        <w:t xml:space="preserve">J Diabetes Investig</w:t>
      </w:r>
      <w:r>
        <w:t xml:space="preserve"> </w:t>
      </w:r>
      <w:r>
        <w:t xml:space="preserve">· Improvement in treatment satisfaction after switching from liraglutide to dulaglutide in patients with type 2 diabetes: A randomized controlled trial. PMID 30076787</w:t>
      </w:r>
    </w:p>
    <w:p>
      <w:pPr>
        <w:numPr>
          <w:ilvl w:val="0"/>
          <w:numId w:val="1378"/>
        </w:numPr>
        <w:pStyle w:val="Compact"/>
      </w:pPr>
      <w:r>
        <w:t xml:space="preserve">2019 · Overgaard RV ·</w:t>
      </w:r>
      <w:r>
        <w:t xml:space="preserve"> </w:t>
      </w:r>
      <w:r>
        <w:rPr>
          <w:iCs/>
          <w:i/>
        </w:rPr>
        <w:t xml:space="preserve">Diabetes Obes Metab</w:t>
      </w:r>
      <w:r>
        <w:t xml:space="preserve"> </w:t>
      </w:r>
      <w:r>
        <w:t xml:space="preserve">· Impact on HbA1c and body weight of switching from other GLP-1 receptor agonists to semaglutide: A model-based approach. PMID 30047216</w:t>
      </w:r>
    </w:p>
    <w:p>
      <w:pPr>
        <w:numPr>
          <w:ilvl w:val="0"/>
          <w:numId w:val="1378"/>
        </w:numPr>
        <w:pStyle w:val="Compact"/>
      </w:pPr>
      <w:r>
        <w:t xml:space="preserve">2018 · Coskun T ·</w:t>
      </w:r>
      <w:r>
        <w:t xml:space="preserve"> </w:t>
      </w:r>
      <w:r>
        <w:rPr>
          <w:iCs/>
          <w:i/>
        </w:rPr>
        <w:t xml:space="preserve">Mol Metab</w:t>
      </w:r>
      <w:r>
        <w:t xml:space="preserve"> </w:t>
      </w:r>
      <w:r>
        <w:t xml:space="preserve">· LY3298176, a novel dual GIP and GLP-1 receptor agonist for the treatment of type 2 diabetes mellitus: From discovery to clinical proof of concept. PMID 30473097</w:t>
      </w:r>
    </w:p>
    <w:p>
      <w:pPr>
        <w:numPr>
          <w:ilvl w:val="0"/>
          <w:numId w:val="1378"/>
        </w:numPr>
        <w:pStyle w:val="Compact"/>
      </w:pPr>
      <w:r>
        <w:t xml:space="preserve">2018 · Frias JP ·</w:t>
      </w:r>
      <w:r>
        <w:t xml:space="preserve"> </w:t>
      </w:r>
      <w:r>
        <w:rPr>
          <w:iCs/>
          <w:i/>
        </w:rPr>
        <w:t xml:space="preserve">Lancet</w:t>
      </w:r>
      <w:r>
        <w:t xml:space="preserve"> </w:t>
      </w:r>
      <w:r>
        <w:t xml:space="preserve">· Efficacy and safety of LY3298176, a novel dual GIP and GLP-1 receptor agonist, in patients with type 2 diabetes: a randomised, placebo-controlled and active comparator-controlled phase 2 trial. PMID 30293770</w:t>
      </w:r>
    </w:p>
    <w:p>
      <w:pPr>
        <w:numPr>
          <w:ilvl w:val="0"/>
          <w:numId w:val="1378"/>
        </w:numPr>
        <w:pStyle w:val="Compact"/>
      </w:pPr>
      <w:r>
        <w:t xml:space="preserve">2018 · Tuttle KR ·</w:t>
      </w:r>
      <w:r>
        <w:t xml:space="preserve"> </w:t>
      </w:r>
      <w:r>
        <w:rPr>
          <w:iCs/>
          <w:i/>
        </w:rPr>
        <w:t xml:space="preserve">Lancet Diabetes Endocrinol</w:t>
      </w:r>
      <w:r>
        <w:t xml:space="preserve"> </w:t>
      </w:r>
      <w:r>
        <w:t xml:space="preserve">· Dulaglutide versus insulin glargine in patients with type 2 diabetes and moderate-to-severe chronic kidney disease (AWARD-7): a multicentre, open-label, randomised trial. PMID 29910024</w:t>
      </w:r>
    </w:p>
    <w:p>
      <w:pPr>
        <w:numPr>
          <w:ilvl w:val="0"/>
          <w:numId w:val="1378"/>
        </w:numPr>
        <w:pStyle w:val="Compact"/>
      </w:pPr>
      <w:r>
        <w:t xml:space="preserve">2018 · Chen YH ·</w:t>
      </w:r>
      <w:r>
        <w:t xml:space="preserve"> </w:t>
      </w:r>
      <w:r>
        <w:rPr>
          <w:iCs/>
          <w:i/>
        </w:rPr>
        <w:t xml:space="preserve">Diabetes Obes Metab</w:t>
      </w:r>
      <w:r>
        <w:t xml:space="preserve"> </w:t>
      </w:r>
      <w:r>
        <w:t xml:space="preserve">· Efficacy and safety of dulaglutide monotherapy compared with glimepiride in East-Asian patients with type 2 diabetes in a multicentre, double-blind, randomized, parallel-arm, active comparator, phase III trial. PMID 29708650</w:t>
      </w:r>
    </w:p>
    <w:p>
      <w:pPr>
        <w:numPr>
          <w:ilvl w:val="0"/>
          <w:numId w:val="1378"/>
        </w:numPr>
        <w:pStyle w:val="Compact"/>
      </w:pPr>
      <w:r>
        <w:t xml:space="preserve">2018 · Mathieu C ·</w:t>
      </w:r>
      <w:r>
        <w:t xml:space="preserve"> </w:t>
      </w:r>
      <w:r>
        <w:rPr>
          <w:iCs/>
          <w:i/>
        </w:rPr>
        <w:t xml:space="preserve">Diabetes Obes Metab</w:t>
      </w:r>
      <w:r>
        <w:t xml:space="preserve"> </w:t>
      </w:r>
      <w:r>
        <w:t xml:space="preserve">· Effect of once weekly dulaglutide by baseline beta-cell function in people with type 2 diabetes in the AWARD programme. PMID 29603872</w:t>
      </w:r>
    </w:p>
    <w:p>
      <w:pPr>
        <w:numPr>
          <w:ilvl w:val="0"/>
          <w:numId w:val="1378"/>
        </w:numPr>
        <w:pStyle w:val="Compact"/>
      </w:pPr>
      <w:r>
        <w:t xml:space="preserve">2018 · Asakura T ·</w:t>
      </w:r>
      <w:r>
        <w:t xml:space="preserve"> </w:t>
      </w:r>
      <w:r>
        <w:rPr>
          <w:iCs/>
          <w:i/>
        </w:rPr>
        <w:t xml:space="preserve">Curr Med Res Opin</w:t>
      </w:r>
      <w:r>
        <w:t xml:space="preserve"> </w:t>
      </w:r>
      <w:r>
        <w:t xml:space="preserve">· Comparative usability study of the dulaglutide single-use pen versus the insulin degludec FlexTouch(®) among self-injection-naïve patients with type 2 diabetes mellitus in Japan. PMID 29504812</w:t>
      </w:r>
    </w:p>
    <w:p>
      <w:pPr>
        <w:numPr>
          <w:ilvl w:val="0"/>
          <w:numId w:val="1378"/>
        </w:numPr>
        <w:pStyle w:val="Compact"/>
      </w:pPr>
      <w:r>
        <w:t xml:space="preserve">2018 · Ludvik B ·</w:t>
      </w:r>
      <w:r>
        <w:t xml:space="preserve"> </w:t>
      </w:r>
      <w:r>
        <w:rPr>
          <w:iCs/>
          <w:i/>
        </w:rPr>
        <w:t xml:space="preserve">Lancet Diabetes Endocrinol</w:t>
      </w:r>
      <w:r>
        <w:t xml:space="preserve"> </w:t>
      </w:r>
      <w:r>
        <w:t xml:space="preserve">· Dulaglutide as add-on therapy to SGLT2 inhibitors in patients with inadequately controlled type 2 diabetes (AWARD-10): a 24-week, randomised, double-blind, placebo-controlled trial. PMID 29483060</w:t>
      </w:r>
    </w:p>
    <w:p>
      <w:pPr>
        <w:numPr>
          <w:ilvl w:val="0"/>
          <w:numId w:val="1378"/>
        </w:numPr>
        <w:pStyle w:val="Compact"/>
      </w:pPr>
      <w:r>
        <w:t xml:space="preserve">2018 · Pantalone KM ·</w:t>
      </w:r>
      <w:r>
        <w:t xml:space="preserve"> </w:t>
      </w:r>
      <w:r>
        <w:rPr>
          <w:iCs/>
          <w:i/>
        </w:rPr>
        <w:t xml:space="preserve">Diabetes Obes Metab</w:t>
      </w:r>
      <w:r>
        <w:t xml:space="preserve"> </w:t>
      </w:r>
      <w:r>
        <w:t xml:space="preserve">· Dulaglutide 1.5 mg as an add-on option for patients uncontrolled on insulin: Subgroup analysis by age, duration of diabetes and baseline glycated haemoglobin concentration. PMID 29430801</w:t>
      </w:r>
    </w:p>
    <w:p>
      <w:pPr>
        <w:numPr>
          <w:ilvl w:val="0"/>
          <w:numId w:val="1378"/>
        </w:numPr>
        <w:pStyle w:val="Compact"/>
      </w:pPr>
      <w:r>
        <w:t xml:space="preserve">2018 · Pratley RE ·</w:t>
      </w:r>
      <w:r>
        <w:t xml:space="preserve"> </w:t>
      </w:r>
      <w:r>
        <w:rPr>
          <w:iCs/>
          <w:i/>
        </w:rPr>
        <w:t xml:space="preserve">Lancet Diabetes Endocrinol</w:t>
      </w:r>
      <w:r>
        <w:t xml:space="preserve"> </w:t>
      </w:r>
      <w:r>
        <w:t xml:space="preserve">· Semaglutide versus dulaglutide once weekly in patients with type 2 diabetes (SUSTAIN 7): a randomised, open-label, phase 3b trial. PMID 29397376</w:t>
      </w:r>
    </w:p>
    <w:p>
      <w:pPr>
        <w:numPr>
          <w:ilvl w:val="0"/>
          <w:numId w:val="1378"/>
        </w:numPr>
        <w:pStyle w:val="Compact"/>
      </w:pPr>
      <w:r>
        <w:t xml:space="preserve">2018 · Pozzilli P ·</w:t>
      </w:r>
      <w:r>
        <w:t xml:space="preserve"> </w:t>
      </w:r>
      <w:r>
        <w:rPr>
          <w:iCs/>
          <w:i/>
        </w:rPr>
        <w:t xml:space="preserve">Diabetes Obes Metab</w:t>
      </w:r>
      <w:r>
        <w:t xml:space="preserve"> </w:t>
      </w:r>
      <w:r>
        <w:t xml:space="preserve">· Dulaglutide treatment results in effective glycaemic control in latent autoimmune diabetes in adults (LADA): A post-hoc analysis of the AWARD-2, -4 and -5 Trials. PMID 29377522</w:t>
      </w:r>
    </w:p>
    <w:p>
      <w:pPr>
        <w:numPr>
          <w:ilvl w:val="0"/>
          <w:numId w:val="1378"/>
        </w:numPr>
        <w:pStyle w:val="Compact"/>
      </w:pPr>
      <w:r>
        <w:t xml:space="preserve">2018 · Gallwitz B ·</w:t>
      </w:r>
      <w:r>
        <w:t xml:space="preserve"> </w:t>
      </w:r>
      <w:r>
        <w:rPr>
          <w:iCs/>
          <w:i/>
        </w:rPr>
        <w:t xml:space="preserve">Diabetes Obes Metab</w:t>
      </w:r>
      <w:r>
        <w:t xml:space="preserve"> </w:t>
      </w:r>
      <w:r>
        <w:t xml:space="preserve">· Effect of once-weekly dulaglutide on glycated haemoglobin (HbA1c) and fasting blood glucose in patient subpopulations by gender, duration of diabetes and baseline HbA1c. PMID 28817231</w:t>
      </w:r>
    </w:p>
    <w:p>
      <w:pPr>
        <w:numPr>
          <w:ilvl w:val="0"/>
          <w:numId w:val="1378"/>
        </w:numPr>
        <w:pStyle w:val="Compact"/>
      </w:pPr>
      <w:r>
        <w:t xml:space="preserve">2017 · Yu M ·</w:t>
      </w:r>
      <w:r>
        <w:t xml:space="preserve"> </w:t>
      </w:r>
      <w:r>
        <w:rPr>
          <w:iCs/>
          <w:i/>
        </w:rPr>
        <w:t xml:space="preserve">Clin Ther</w:t>
      </w:r>
      <w:r>
        <w:t xml:space="preserve"> </w:t>
      </w:r>
      <w:r>
        <w:t xml:space="preserve">· Patient-reported Outcomes in Patients with Type 2 Diabetes Treated with Dulaglutide Added to Titrated Insulin Glargine (AWARD-9). PMID 29110972</w:t>
      </w:r>
    </w:p>
    <w:p>
      <w:pPr>
        <w:numPr>
          <w:ilvl w:val="0"/>
          <w:numId w:val="1378"/>
        </w:numPr>
        <w:pStyle w:val="Compact"/>
      </w:pPr>
      <w:r>
        <w:t xml:space="preserve">2017 · Kaneko S ·</w:t>
      </w:r>
      <w:r>
        <w:t xml:space="preserve"> </w:t>
      </w:r>
      <w:r>
        <w:rPr>
          <w:iCs/>
          <w:i/>
        </w:rPr>
        <w:t xml:space="preserve">Endocr J</w:t>
      </w:r>
      <w:r>
        <w:t xml:space="preserve"> </w:t>
      </w:r>
      <w:r>
        <w:t xml:space="preserve">· Efficacy and safety of subgroup analysis stratified by baseline HbA1c in a Japanese phase 3 study of dulaglutide 0.75 mg compared with insulin glargine in patients with type 2 diabetes. PMID 28904247</w:t>
      </w:r>
    </w:p>
    <w:p>
      <w:pPr>
        <w:numPr>
          <w:ilvl w:val="0"/>
          <w:numId w:val="1378"/>
        </w:numPr>
        <w:pStyle w:val="Compact"/>
      </w:pPr>
      <w:r>
        <w:t xml:space="preserve">2017 · Suzuki S ·</w:t>
      </w:r>
      <w:r>
        <w:t xml:space="preserve"> </w:t>
      </w:r>
      <w:r>
        <w:rPr>
          <w:iCs/>
          <w:i/>
        </w:rPr>
        <w:t xml:space="preserve">Health Qual Life Outcomes</w:t>
      </w:r>
      <w:r>
        <w:t xml:space="preserve"> </w:t>
      </w:r>
      <w:r>
        <w:t xml:space="preserve">· Evaluation of the impact of once weekly dulaglutide on patient-reported outcomes in Japanese patients with type 2 diabetes: comparisons with liraglutide, insulin glargine, and placebo in two randomized studies. PMID 28606095</w:t>
      </w:r>
    </w:p>
    <w:p>
      <w:pPr>
        <w:numPr>
          <w:ilvl w:val="0"/>
          <w:numId w:val="1378"/>
        </w:numPr>
        <w:pStyle w:val="Compact"/>
      </w:pPr>
      <w:r>
        <w:t xml:space="preserve">2017 · Onishi Y ·</w:t>
      </w:r>
      <w:r>
        <w:t xml:space="preserve"> </w:t>
      </w:r>
      <w:r>
        <w:rPr>
          <w:iCs/>
          <w:i/>
        </w:rPr>
        <w:t xml:space="preserve">Endocr J</w:t>
      </w:r>
      <w:r>
        <w:t xml:space="preserve"> </w:t>
      </w:r>
      <w:r>
        <w:t xml:space="preserve">· Analysis of efficacy and safety of dulaglutide 0.75 mg stratified by sex in patients with type 2 diabetes in 2 randomized, controlled phase 3 studies in Japan. PMID 28367916</w:t>
      </w:r>
    </w:p>
    <w:p>
      <w:pPr>
        <w:numPr>
          <w:ilvl w:val="0"/>
          <w:numId w:val="1378"/>
        </w:numPr>
        <w:pStyle w:val="Compact"/>
      </w:pPr>
      <w:r>
        <w:t xml:space="preserve">2017 · de la Peña A ·</w:t>
      </w:r>
      <w:r>
        <w:t xml:space="preserve"> </w:t>
      </w:r>
      <w:r>
        <w:rPr>
          <w:iCs/>
          <w:i/>
        </w:rPr>
        <w:t xml:space="preserve">Clin Pharmacokinet</w:t>
      </w:r>
      <w:r>
        <w:t xml:space="preserve"> </w:t>
      </w:r>
      <w:r>
        <w:t xml:space="preserve">· No Dose Adjustment is Recommended for Digoxin, Warfarin, Atorvastatin or a Combination Oral Contraceptive When Coadministered with Dulaglutide. PMID 28357715</w:t>
      </w:r>
    </w:p>
    <w:p>
      <w:pPr>
        <w:numPr>
          <w:ilvl w:val="0"/>
          <w:numId w:val="1378"/>
        </w:numPr>
        <w:pStyle w:val="Compact"/>
      </w:pPr>
      <w:r>
        <w:t xml:space="preserve">2017 · Hamano K ·</w:t>
      </w:r>
      <w:r>
        <w:t xml:space="preserve"> </w:t>
      </w:r>
      <w:r>
        <w:rPr>
          <w:iCs/>
          <w:i/>
        </w:rPr>
        <w:t xml:space="preserve">Endocr J</w:t>
      </w:r>
      <w:r>
        <w:t xml:space="preserve"> </w:t>
      </w:r>
      <w:r>
        <w:t xml:space="preserve">· Efficacy and safety analyses across 4 subgroups combining low and high age and body mass index groups in Japanese phase 3 studies of dulaglutide 0.75 mg after 26 weeks of treatment. PMID 28302958</w:t>
      </w:r>
    </w:p>
    <w:p>
      <w:pPr>
        <w:numPr>
          <w:ilvl w:val="0"/>
          <w:numId w:val="1378"/>
        </w:numPr>
        <w:pStyle w:val="Compact"/>
      </w:pPr>
      <w:r>
        <w:t xml:space="preserve">2017 · Pozzilli P ·</w:t>
      </w:r>
      <w:r>
        <w:t xml:space="preserve"> </w:t>
      </w:r>
      <w:r>
        <w:rPr>
          <w:iCs/>
          <w:i/>
        </w:rPr>
        <w:t xml:space="preserve">Diabetes Obes Metab</w:t>
      </w:r>
      <w:r>
        <w:t xml:space="preserve"> </w:t>
      </w:r>
      <w:r>
        <w:t xml:space="preserve">· Placebo-controlled, randomized trial of the addition of once-weekly glucagon-like peptide-1 receptor agonist dulaglutide to titrated daily insulin glargine in patients with type 2 diabetes (AWARD-9). PMID 28294499</w:t>
      </w:r>
    </w:p>
    <w:p>
      <w:pPr>
        <w:numPr>
          <w:ilvl w:val="0"/>
          <w:numId w:val="1378"/>
        </w:numPr>
        <w:pStyle w:val="Compact"/>
      </w:pPr>
      <w:r>
        <w:t xml:space="preserve">2017 · de la Peña A ·</w:t>
      </w:r>
      <w:r>
        <w:t xml:space="preserve"> </w:t>
      </w:r>
      <w:r>
        <w:rPr>
          <w:iCs/>
          <w:i/>
        </w:rPr>
        <w:t xml:space="preserve">Diabetes Obes Metab</w:t>
      </w:r>
      <w:r>
        <w:t xml:space="preserve"> </w:t>
      </w:r>
      <w:r>
        <w:t xml:space="preserve">· Once-weekly dulaglutide 1.5 mg restores insulin secretion in response to intravenous glucose infusion. PMID 27976833</w:t>
      </w:r>
    </w:p>
    <w:p>
      <w:pPr>
        <w:numPr>
          <w:ilvl w:val="0"/>
          <w:numId w:val="1378"/>
        </w:numPr>
        <w:pStyle w:val="Compact"/>
      </w:pPr>
      <w:r>
        <w:t xml:space="preserve">2017 · Emoto M ·</w:t>
      </w:r>
      <w:r>
        <w:t xml:space="preserve"> </w:t>
      </w:r>
      <w:r>
        <w:rPr>
          <w:iCs/>
          <w:i/>
        </w:rPr>
        <w:t xml:space="preserve">Endocr J</w:t>
      </w:r>
      <w:r>
        <w:t xml:space="preserve"> </w:t>
      </w:r>
      <w:r>
        <w:t xml:space="preserve">· Pancreatic safety in Japanese patients with type 2 diabetes treated with once weekly dulaglutide 0.75 mg up to 52 weeks in phase 3 clinical trials. PMID 27853058</w:t>
      </w:r>
    </w:p>
    <w:p>
      <w:pPr>
        <w:numPr>
          <w:ilvl w:val="0"/>
          <w:numId w:val="1378"/>
        </w:numPr>
        <w:pStyle w:val="Compact"/>
      </w:pPr>
      <w:r>
        <w:t xml:space="preserve">2016 · Davidson JA ·</w:t>
      </w:r>
      <w:r>
        <w:t xml:space="preserve"> </w:t>
      </w:r>
      <w:r>
        <w:rPr>
          <w:iCs/>
          <w:i/>
        </w:rPr>
        <w:t xml:space="preserve">Endocr Pract</w:t>
      </w:r>
      <w:r>
        <w:t xml:space="preserve"> </w:t>
      </w:r>
      <w:r>
        <w:t xml:space="preserve">· EFFICACY AND SAFETY OF DULAGLUTIDE IN HISPANIC/LATINO PATIENTS WITH TYPE 2 DIABETES IN THE AWARD CLINICAL PROGRAM. PMID 27540883</w:t>
      </w:r>
    </w:p>
    <w:p>
      <w:pPr>
        <w:numPr>
          <w:ilvl w:val="0"/>
          <w:numId w:val="1378"/>
        </w:numPr>
        <w:pStyle w:val="Compact"/>
      </w:pPr>
      <w:r>
        <w:t xml:space="preserve">2016 · Inagaki N ·</w:t>
      </w:r>
      <w:r>
        <w:t xml:space="preserve"> </w:t>
      </w:r>
      <w:r>
        <w:rPr>
          <w:iCs/>
          <w:i/>
        </w:rPr>
        <w:t xml:space="preserve">Diabetes Obes Metab</w:t>
      </w:r>
      <w:r>
        <w:t xml:space="preserve"> </w:t>
      </w:r>
      <w:r>
        <w:t xml:space="preserve">· The combination of dulaglutide and biguanide reduced bodyweight in Japanese patients with type 2 diabetes. PMID 27488246</w:t>
      </w:r>
    </w:p>
    <w:p>
      <w:pPr>
        <w:numPr>
          <w:ilvl w:val="0"/>
          <w:numId w:val="1378"/>
        </w:numPr>
        <w:pStyle w:val="Compact"/>
      </w:pPr>
      <w:r>
        <w:t xml:space="preserve">2016 · Jendle J ·</w:t>
      </w:r>
      <w:r>
        <w:t xml:space="preserve"> </w:t>
      </w:r>
      <w:r>
        <w:rPr>
          <w:iCs/>
          <w:i/>
        </w:rPr>
        <w:t xml:space="preserve">Diabetes Obes Metab</w:t>
      </w:r>
      <w:r>
        <w:t xml:space="preserve"> </w:t>
      </w:r>
      <w:r>
        <w:t xml:space="preserve">· Continuous glucose monitoring in patients with type 2 diabetes treated with glucagon-like peptide-1 receptor agonist dulaglutide in combination with prandial insulin lispro: an AWARD-4 substudy. PMID 27279266</w:t>
      </w:r>
    </w:p>
    <w:p>
      <w:pPr>
        <w:numPr>
          <w:ilvl w:val="0"/>
          <w:numId w:val="1378"/>
        </w:numPr>
        <w:pStyle w:val="Compact"/>
      </w:pPr>
      <w:r>
        <w:t xml:space="preserve">2016 · Wysham C ·</w:t>
      </w:r>
      <w:r>
        <w:t xml:space="preserve"> </w:t>
      </w:r>
      <w:r>
        <w:rPr>
          <w:iCs/>
          <w:i/>
        </w:rPr>
        <w:t xml:space="preserve">Diabetes Obes Metab</w:t>
      </w:r>
      <w:r>
        <w:t xml:space="preserve"> </w:t>
      </w:r>
      <w:r>
        <w:t xml:space="preserve">· Baseline factors associated with glycaemic response to treatment with once-weekly dulaglutide in patients with type 2 diabetes. PMID 27265893</w:t>
      </w:r>
    </w:p>
    <w:p>
      <w:pPr>
        <w:numPr>
          <w:ilvl w:val="0"/>
          <w:numId w:val="1378"/>
        </w:numPr>
        <w:pStyle w:val="Compact"/>
      </w:pPr>
      <w:r>
        <w:t xml:space="preserve">2016 · Umpierrez GE ·</w:t>
      </w:r>
      <w:r>
        <w:t xml:space="preserve"> </w:t>
      </w:r>
      <w:r>
        <w:rPr>
          <w:iCs/>
          <w:i/>
        </w:rPr>
        <w:t xml:space="preserve">Diabetes Obes Metab</w:t>
      </w:r>
      <w:r>
        <w:t xml:space="preserve"> </w:t>
      </w:r>
      <w:r>
        <w:t xml:space="preserve">· Relationship between weight change and glycaemic control in patients with type 2 diabetes receiving once-weekly dulaglutide treatment. PMID 26969812</w:t>
      </w:r>
    </w:p>
    <w:p>
      <w:pPr>
        <w:numPr>
          <w:ilvl w:val="0"/>
          <w:numId w:val="1378"/>
        </w:numPr>
        <w:pStyle w:val="Compact"/>
      </w:pPr>
      <w:r>
        <w:t xml:space="preserve">2016 · Milicevic Z ·</w:t>
      </w:r>
      <w:r>
        <w:t xml:space="preserve"> </w:t>
      </w:r>
      <w:r>
        <w:rPr>
          <w:iCs/>
          <w:i/>
        </w:rPr>
        <w:t xml:space="preserve">Diabetes Obes Metab</w:t>
      </w:r>
      <w:r>
        <w:t xml:space="preserve"> </w:t>
      </w:r>
      <w:r>
        <w:t xml:space="preserve">· Low incidence of anti-drug antibodies in patients with type 2 diabetes treated with once-weekly glucagon-like peptide-1 receptor agonist dulaglutide. PMID 26847401</w:t>
      </w:r>
    </w:p>
    <w:p>
      <w:pPr>
        <w:numPr>
          <w:ilvl w:val="0"/>
          <w:numId w:val="1378"/>
        </w:numPr>
        <w:pStyle w:val="Compact"/>
      </w:pPr>
      <w:r>
        <w:t xml:space="preserve">2016 · Dungan KM ·</w:t>
      </w:r>
      <w:r>
        <w:t xml:space="preserve"> </w:t>
      </w:r>
      <w:r>
        <w:rPr>
          <w:iCs/>
          <w:i/>
        </w:rPr>
        <w:t xml:space="preserve">Diabetes Obes Metab</w:t>
      </w:r>
      <w:r>
        <w:t xml:space="preserve"> </w:t>
      </w:r>
      <w:r>
        <w:t xml:space="preserve">· A 24-week study to evaluate the efficacy and safety of once-weekly dulaglutide added on to glimepiride in type 2 diabetes (AWARD-8). PMID 26799540</w:t>
      </w:r>
    </w:p>
    <w:p>
      <w:pPr>
        <w:numPr>
          <w:ilvl w:val="0"/>
          <w:numId w:val="1378"/>
        </w:numPr>
        <w:pStyle w:val="Compact"/>
      </w:pPr>
      <w:r>
        <w:t xml:space="preserve">2016 · Onishi Y ·</w:t>
      </w:r>
      <w:r>
        <w:t xml:space="preserve"> </w:t>
      </w:r>
      <w:r>
        <w:rPr>
          <w:iCs/>
          <w:i/>
        </w:rPr>
        <w:t xml:space="preserve">Endocr J</w:t>
      </w:r>
      <w:r>
        <w:t xml:space="preserve"> </w:t>
      </w:r>
      <w:r>
        <w:t xml:space="preserve">· Subgroup analysis of phase 3 studies of dulaglutide in Japanese patients with type 2 diabetes. PMID 26698689</w:t>
      </w:r>
    </w:p>
    <w:p>
      <w:pPr>
        <w:numPr>
          <w:ilvl w:val="0"/>
          <w:numId w:val="1378"/>
        </w:numPr>
        <w:pStyle w:val="Compact"/>
      </w:pPr>
      <w:r>
        <w:t xml:space="preserve">2016 · Yu M ·</w:t>
      </w:r>
      <w:r>
        <w:t xml:space="preserve"> </w:t>
      </w:r>
      <w:r>
        <w:rPr>
          <w:iCs/>
          <w:i/>
        </w:rPr>
        <w:t xml:space="preserve">Diabetes Obes Metab</w:t>
      </w:r>
      <w:r>
        <w:t xml:space="preserve"> </w:t>
      </w:r>
      <w:r>
        <w:t xml:space="preserve">· Patient-reported outcome results in patients with type 2 diabetes treated with once-weekly dulaglutide: data from the AWARD phase III clinical trial programme. PMID 26691396</w:t>
      </w:r>
    </w:p>
    <w:p>
      <w:pPr>
        <w:numPr>
          <w:ilvl w:val="0"/>
          <w:numId w:val="1378"/>
        </w:numPr>
        <w:pStyle w:val="Compact"/>
      </w:pPr>
      <w:r>
        <w:t xml:space="preserve">2016 · Odawara M ·</w:t>
      </w:r>
      <w:r>
        <w:t xml:space="preserve"> </w:t>
      </w:r>
      <w:r>
        <w:rPr>
          <w:iCs/>
          <w:i/>
        </w:rPr>
        <w:t xml:space="preserve">Diabetes Obes Metab</w:t>
      </w:r>
      <w:r>
        <w:t xml:space="preserve"> </w:t>
      </w:r>
      <w:r>
        <w:t xml:space="preserve">· Once-weekly glucagon-like peptide-1 receptor agonist dulaglutide significantly decreases glycated haemoglobin compared with once-daily liraglutide in Japanese patients with type 2 diabetes: 52 weeks of treatment in a randomized phase III study. PMID 26661514</w:t>
      </w:r>
    </w:p>
    <w:p>
      <w:pPr>
        <w:numPr>
          <w:ilvl w:val="0"/>
          <w:numId w:val="1378"/>
        </w:numPr>
        <w:pStyle w:val="Compact"/>
      </w:pPr>
      <w:r>
        <w:t xml:space="preserve">2016 · Geiser JS ·</w:t>
      </w:r>
      <w:r>
        <w:t xml:space="preserve"> </w:t>
      </w:r>
      <w:r>
        <w:rPr>
          <w:iCs/>
          <w:i/>
        </w:rPr>
        <w:t xml:space="preserve">Clin Pharmacokinet</w:t>
      </w:r>
      <w:r>
        <w:t xml:space="preserve"> </w:t>
      </w:r>
      <w:r>
        <w:t xml:space="preserve">· Clinical Pharmacokinetics of Dulaglutide in Patients with Type 2 Diabetes: Analyses of Data from Clinical Trials. PMID 26507721</w:t>
      </w:r>
    </w:p>
    <w:p>
      <w:pPr>
        <w:numPr>
          <w:ilvl w:val="0"/>
          <w:numId w:val="1378"/>
        </w:numPr>
        <w:pStyle w:val="Compact"/>
      </w:pPr>
      <w:r>
        <w:t xml:space="preserve">2016 · Grunberger G ·</w:t>
      </w:r>
      <w:r>
        <w:t xml:space="preserve"> </w:t>
      </w:r>
      <w:r>
        <w:rPr>
          <w:iCs/>
          <w:i/>
        </w:rPr>
        <w:t xml:space="preserve">Diabet Med</w:t>
      </w:r>
      <w:r>
        <w:t xml:space="preserve"> </w:t>
      </w:r>
      <w:r>
        <w:t xml:space="preserve">· Early fasting glucose measurements can predict later glycaemic response to once weekly dulaglutide. PMID 26179454</w:t>
      </w:r>
    </w:p>
    <w:p>
      <w:pPr>
        <w:numPr>
          <w:ilvl w:val="0"/>
          <w:numId w:val="1378"/>
        </w:numPr>
        <w:pStyle w:val="Compact"/>
      </w:pPr>
      <w:r>
        <w:t xml:space="preserve">2015 · Emoto M ·</w:t>
      </w:r>
      <w:r>
        <w:t xml:space="preserve"> </w:t>
      </w:r>
      <w:r>
        <w:rPr>
          <w:iCs/>
          <w:i/>
        </w:rPr>
        <w:t xml:space="preserve">Endocr J</w:t>
      </w:r>
      <w:r>
        <w:t xml:space="preserve"> </w:t>
      </w:r>
      <w:r>
        <w:t xml:space="preserve">· A 1-year safety study of dulaglutide in Japanese patients with type 2 diabetes on a single oral hypoglycemic agent: an open-label, nonrandomized, phase 3 trial. PMID 26477324</w:t>
      </w:r>
    </w:p>
    <w:p>
      <w:pPr>
        <w:numPr>
          <w:ilvl w:val="0"/>
          <w:numId w:val="1378"/>
        </w:numPr>
        <w:pStyle w:val="Compact"/>
      </w:pPr>
      <w:r>
        <w:t xml:space="preserve">2015 · Usborne A ·</w:t>
      </w:r>
      <w:r>
        <w:t xml:space="preserve"> </w:t>
      </w:r>
      <w:r>
        <w:rPr>
          <w:iCs/>
          <w:i/>
        </w:rPr>
        <w:t xml:space="preserve">Toxicol Pathol</w:t>
      </w:r>
      <w:r>
        <w:t xml:space="preserve"> </w:t>
      </w:r>
      <w:r>
        <w:t xml:space="preserve">· An Investigative Study of Pancreatic Exocrine Biomarkers, Histology, and Histomorphometry in Male Zucker Diabetic Fatty (ZDF) Rats Given Dulaglutide by Subcutaneous Injection Twice Weekly for 13 Weeks. PMID 26269615</w:t>
      </w:r>
    </w:p>
    <w:p>
      <w:pPr>
        <w:numPr>
          <w:ilvl w:val="0"/>
          <w:numId w:val="1378"/>
        </w:numPr>
        <w:pStyle w:val="Compact"/>
      </w:pPr>
      <w:r>
        <w:t xml:space="preserve">2015 · Araki E ·</w:t>
      </w:r>
      <w:r>
        <w:t xml:space="preserve"> </w:t>
      </w:r>
      <w:r>
        <w:rPr>
          <w:iCs/>
          <w:i/>
        </w:rPr>
        <w:t xml:space="preserve">Diabetes Obes Metab</w:t>
      </w:r>
      <w:r>
        <w:t xml:space="preserve"> </w:t>
      </w:r>
      <w:r>
        <w:t xml:space="preserve">· Efficacy and safety of once-weekly dulaglutide in combination with sulphonylurea and/or biguanide compared with once-daily insulin glargine in Japanese patients with type 2 diabetes: a randomized, open-label, phase III, non-inferiority study. PMID 26179754</w:t>
      </w:r>
    </w:p>
    <w:p>
      <w:pPr>
        <w:numPr>
          <w:ilvl w:val="0"/>
          <w:numId w:val="1378"/>
        </w:numPr>
        <w:pStyle w:val="Compact"/>
      </w:pPr>
      <w:r>
        <w:t xml:space="preserve">2015 · Miyagawa J ·</w:t>
      </w:r>
      <w:r>
        <w:t xml:space="preserve"> </w:t>
      </w:r>
      <w:r>
        <w:rPr>
          <w:iCs/>
          <w:i/>
        </w:rPr>
        <w:t xml:space="preserve">Diabetes Obes Metab</w:t>
      </w:r>
      <w:r>
        <w:t xml:space="preserve"> </w:t>
      </w:r>
      <w:r>
        <w:t xml:space="preserve">· Once-weekly glucagon-like peptide-1 receptor agonist dulaglutide is non-inferior to once-daily liraglutide and superior to placebo in Japanese patients with type 2 diabetes: a 26-week randomized phase III study. PMID 26179187</w:t>
      </w:r>
    </w:p>
    <w:p>
      <w:pPr>
        <w:numPr>
          <w:ilvl w:val="0"/>
          <w:numId w:val="1378"/>
        </w:numPr>
        <w:pStyle w:val="Compact"/>
      </w:pPr>
      <w:r>
        <w:t xml:space="preserve">2015 · Reaney M ·</w:t>
      </w:r>
      <w:r>
        <w:t xml:space="preserve"> </w:t>
      </w:r>
      <w:r>
        <w:rPr>
          <w:iCs/>
          <w:i/>
        </w:rPr>
        <w:t xml:space="preserve">Diabetes Obes Metab</w:t>
      </w:r>
      <w:r>
        <w:t xml:space="preserve"> </w:t>
      </w:r>
      <w:r>
        <w:t xml:space="preserve">· Treatment satisfaction in people with type 2 diabetes mellitus treated with once-weekly dulaglutide: data from the AWARD-1 and AWARD-3 clinical trials. PMID 26095190</w:t>
      </w:r>
    </w:p>
    <w:p>
      <w:pPr>
        <w:numPr>
          <w:ilvl w:val="0"/>
          <w:numId w:val="1378"/>
        </w:numPr>
        <w:pStyle w:val="Compact"/>
      </w:pPr>
      <w:r>
        <w:t xml:space="preserve">2015 · Giorgino F ·</w:t>
      </w:r>
      <w:r>
        <w:t xml:space="preserve"> </w:t>
      </w:r>
      <w:r>
        <w:rPr>
          <w:iCs/>
          <w:i/>
        </w:rPr>
        <w:t xml:space="preserve">Diabetes Care</w:t>
      </w:r>
      <w:r>
        <w:t xml:space="preserve"> </w:t>
      </w:r>
      <w:r>
        <w:t xml:space="preserve">· Efficacy and Safety of Once-Weekly Dulaglutide Versus Insulin Glargine in Patients With Type 2 Diabetes on Metformin and Glimepiride (AWARD-2). PMID 26089386</w:t>
      </w:r>
    </w:p>
    <w:p>
      <w:pPr>
        <w:numPr>
          <w:ilvl w:val="0"/>
          <w:numId w:val="1378"/>
        </w:numPr>
        <w:pStyle w:val="Compact"/>
      </w:pPr>
      <w:r>
        <w:t xml:space="preserve">2015 · Blonde L ·</w:t>
      </w:r>
      <w:r>
        <w:t xml:space="preserve"> </w:t>
      </w:r>
      <w:r>
        <w:rPr>
          <w:iCs/>
          <w:i/>
        </w:rPr>
        <w:t xml:space="preserve">Lancet</w:t>
      </w:r>
      <w:r>
        <w:t xml:space="preserve"> </w:t>
      </w:r>
      <w:r>
        <w:t xml:space="preserve">· Once-weekly dulaglutide versus bedtime insulin glargine, both in combination with prandial insulin lispro, in patients with type 2 diabetes (AWARD-4): a randomised, open-label, phase 3, non-inferiority study. PMID 26009229</w:t>
      </w:r>
    </w:p>
    <w:p>
      <w:pPr>
        <w:numPr>
          <w:ilvl w:val="0"/>
          <w:numId w:val="1378"/>
        </w:numPr>
        <w:pStyle w:val="Compact"/>
      </w:pPr>
      <w:r>
        <w:t xml:space="preserve">2015 · Weinstock RS ·</w:t>
      </w:r>
      <w:r>
        <w:t xml:space="preserve"> </w:t>
      </w:r>
      <w:r>
        <w:rPr>
          <w:iCs/>
          <w:i/>
        </w:rPr>
        <w:t xml:space="preserve">Diabetes Obes Metab</w:t>
      </w:r>
      <w:r>
        <w:t xml:space="preserve"> </w:t>
      </w:r>
      <w:r>
        <w:t xml:space="preserve">· Safety and efficacy of once-weekly dulaglutide versus sitagliptin after 2 years in metformin-treated patients with type 2 diabetes (AWARD-5): a randomized, phase III study. PMID 25912221</w:t>
      </w:r>
    </w:p>
    <w:p>
      <w:pPr>
        <w:numPr>
          <w:ilvl w:val="0"/>
          <w:numId w:val="1378"/>
        </w:numPr>
        <w:pStyle w:val="Compact"/>
      </w:pPr>
      <w:r>
        <w:t xml:space="preserve">2015 · Matfin G ·</w:t>
      </w:r>
      <w:r>
        <w:t xml:space="preserve"> </w:t>
      </w:r>
      <w:r>
        <w:rPr>
          <w:iCs/>
          <w:i/>
        </w:rPr>
        <w:t xml:space="preserve">J Diabetes Sci Technol</w:t>
      </w:r>
      <w:r>
        <w:t xml:space="preserve"> </w:t>
      </w:r>
      <w:r>
        <w:t xml:space="preserve">· Safe and Effective Use of the Once Weekly Dulaglutide Single-Dose Pen in Injection-Naïve Patients With Type 2 Diabetes. PMID 25901022</w:t>
      </w:r>
    </w:p>
    <w:p>
      <w:pPr>
        <w:numPr>
          <w:ilvl w:val="0"/>
          <w:numId w:val="1378"/>
        </w:numPr>
        <w:pStyle w:val="Compact"/>
      </w:pPr>
      <w:r>
        <w:t xml:space="preserve">2014 · Terauchi Y ·</w:t>
      </w:r>
      <w:r>
        <w:t xml:space="preserve"> </w:t>
      </w:r>
      <w:r>
        <w:rPr>
          <w:iCs/>
          <w:i/>
        </w:rPr>
        <w:t xml:space="preserve">Endocr J</w:t>
      </w:r>
      <w:r>
        <w:t xml:space="preserve"> </w:t>
      </w:r>
      <w:r>
        <w:t xml:space="preserve">· Monotherapy with the once weekly GLP-1 receptor agonist dulaglutide for 12 weeks in Japanese patients with type 2 diabetes: dose-dependent effects on glycaemic control in a randomised, double-blind, placebo-controlled study. PMID 25029955</w:t>
      </w:r>
    </w:p>
    <w:p>
      <w:pPr>
        <w:numPr>
          <w:ilvl w:val="0"/>
          <w:numId w:val="1378"/>
        </w:numPr>
        <w:pStyle w:val="Compact"/>
      </w:pPr>
      <w:r>
        <w:t xml:space="preserve">2014 · Dungan KM ·</w:t>
      </w:r>
      <w:r>
        <w:t xml:space="preserve"> </w:t>
      </w:r>
      <w:r>
        <w:rPr>
          <w:iCs/>
          <w:i/>
        </w:rPr>
        <w:t xml:space="preserve">Lancet</w:t>
      </w:r>
      <w:r>
        <w:t xml:space="preserve"> </w:t>
      </w:r>
      <w:r>
        <w:t xml:space="preserve">· Once-weekly dulaglutide versus once-daily liraglutide in metformin-treated patients with type 2 diabetes (AWARD-6): a randomised, open-label, phase 3, non-inferiority trial. PMID 25018121</w:t>
      </w:r>
    </w:p>
    <w:p>
      <w:pPr>
        <w:numPr>
          <w:ilvl w:val="0"/>
          <w:numId w:val="1378"/>
        </w:numPr>
        <w:pStyle w:val="Compact"/>
      </w:pPr>
      <w:r>
        <w:t xml:space="preserve">2014 · Ferdinand KC ·</w:t>
      </w:r>
      <w:r>
        <w:t xml:space="preserve"> </w:t>
      </w:r>
      <w:r>
        <w:rPr>
          <w:iCs/>
          <w:i/>
        </w:rPr>
        <w:t xml:space="preserve">Hypertension</w:t>
      </w:r>
      <w:r>
        <w:t xml:space="preserve"> </w:t>
      </w:r>
      <w:r>
        <w:t xml:space="preserve">· Effects of the once-weekly glucagon-like peptide-1 receptor agonist dulaglutide on ambulatory blood pressure and heart rate in patients with type 2 diabetes mellitus. PMID 24980665</w:t>
      </w:r>
    </w:p>
    <w:p>
      <w:pPr>
        <w:numPr>
          <w:ilvl w:val="0"/>
          <w:numId w:val="1378"/>
        </w:numPr>
        <w:pStyle w:val="Compact"/>
      </w:pPr>
      <w:r>
        <w:t xml:space="preserve">2014 · Wysham C ·</w:t>
      </w:r>
      <w:r>
        <w:t xml:space="preserve"> </w:t>
      </w:r>
      <w:r>
        <w:rPr>
          <w:iCs/>
          <w:i/>
        </w:rPr>
        <w:t xml:space="preserve">Diabetes Care</w:t>
      </w:r>
      <w:r>
        <w:t xml:space="preserve"> </w:t>
      </w:r>
      <w:r>
        <w:t xml:space="preserve">· Efficacy and safety of dulaglutide added onto pioglitazone and metformin versus exenatide in type 2 diabetes in a randomized controlled trial (AWARD-1). PMID 24879836</w:t>
      </w:r>
    </w:p>
    <w:p>
      <w:pPr>
        <w:numPr>
          <w:ilvl w:val="0"/>
          <w:numId w:val="1378"/>
        </w:numPr>
        <w:pStyle w:val="Compact"/>
      </w:pPr>
      <w:r>
        <w:t xml:space="preserve">2014 · Umpierrez G ·</w:t>
      </w:r>
      <w:r>
        <w:t xml:space="preserve"> </w:t>
      </w:r>
      <w:r>
        <w:rPr>
          <w:iCs/>
          <w:i/>
        </w:rPr>
        <w:t xml:space="preserve">Diabetes Care</w:t>
      </w:r>
      <w:r>
        <w:t xml:space="preserve"> </w:t>
      </w:r>
      <w:r>
        <w:t xml:space="preserve">· Efficacy and safety of dulaglutide monotherapy versus metformin in type 2 diabetes in a randomized controlled trial (AWARD-3). PMID 24842985</w:t>
      </w:r>
    </w:p>
    <w:p>
      <w:pPr>
        <w:numPr>
          <w:ilvl w:val="0"/>
          <w:numId w:val="1378"/>
        </w:numPr>
        <w:pStyle w:val="Compact"/>
      </w:pPr>
      <w:r>
        <w:t xml:space="preserve">2014 · Skrivanek Z ·</w:t>
      </w:r>
      <w:r>
        <w:t xml:space="preserve"> </w:t>
      </w:r>
      <w:r>
        <w:rPr>
          <w:iCs/>
          <w:i/>
        </w:rPr>
        <w:t xml:space="preserve">Diabetes Obes Metab</w:t>
      </w:r>
      <w:r>
        <w:t xml:space="preserve"> </w:t>
      </w:r>
      <w:r>
        <w:t xml:space="preserve">· Dose-finding results in an adaptive, seamless, randomized trial of once-weekly dulaglutide combined with metformin in type 2 diabetes patients (AWARD-5). PMID 24762094</w:t>
      </w:r>
    </w:p>
    <w:p>
      <w:pPr>
        <w:numPr>
          <w:ilvl w:val="0"/>
          <w:numId w:val="1378"/>
        </w:numPr>
        <w:pStyle w:val="Compact"/>
      </w:pPr>
      <w:r>
        <w:t xml:space="preserve">2014 · Nauck M ·</w:t>
      </w:r>
      <w:r>
        <w:t xml:space="preserve"> </w:t>
      </w:r>
      <w:r>
        <w:rPr>
          <w:iCs/>
          <w:i/>
        </w:rPr>
        <w:t xml:space="preserve">Diabetes Care</w:t>
      </w:r>
      <w:r>
        <w:t xml:space="preserve"> </w:t>
      </w:r>
      <w:r>
        <w:t xml:space="preserve">· Efficacy and safety of dulaglutide versus sitagliptin after 52 weeks in type 2 diabetes in a randomized controlled trial (AWARD-5). PMID 24742660</w:t>
      </w:r>
    </w:p>
    <w:p>
      <w:pPr>
        <w:numPr>
          <w:ilvl w:val="0"/>
          <w:numId w:val="1378"/>
        </w:numPr>
        <w:pStyle w:val="Compact"/>
      </w:pPr>
      <w:r>
        <w:t xml:space="preserve">2012 · Geiger MJ ·</w:t>
      </w:r>
      <w:r>
        <w:t xml:space="preserve"> </w:t>
      </w:r>
      <w:r>
        <w:rPr>
          <w:iCs/>
          <w:i/>
        </w:rPr>
        <w:t xml:space="preserve">J Diabetes Sci Technol</w:t>
      </w:r>
      <w:r>
        <w:t xml:space="preserve"> </w:t>
      </w:r>
      <w:r>
        <w:t xml:space="preserve">· An adaptive, dose-finding, seamless phase 2/3 study of a long-acting glucagon-like peptide-1 analog (dulaglutide): trial design and baseline characteristics. PMID 23294776</w:t>
      </w:r>
    </w:p>
    <w:p>
      <w:pPr>
        <w:numPr>
          <w:ilvl w:val="0"/>
          <w:numId w:val="1378"/>
        </w:numPr>
        <w:pStyle w:val="Compact"/>
      </w:pPr>
      <w:r>
        <w:t xml:space="preserve">2012 · Skrivanek Z ·</w:t>
      </w:r>
      <w:r>
        <w:t xml:space="preserve"> </w:t>
      </w:r>
      <w:r>
        <w:rPr>
          <w:iCs/>
          <w:i/>
        </w:rPr>
        <w:t xml:space="preserve">J Diabetes Sci Technol</w:t>
      </w:r>
      <w:r>
        <w:t xml:space="preserve"> </w:t>
      </w:r>
      <w:r>
        <w:t xml:space="preserve">· Application of adaptive design methodology in development of a long-acting glucagon-like peptide-1 analog (dulaglutide): statistical design and simulations. PMID 23294775</w:t>
      </w:r>
    </w:p>
    <w:p>
      <w:pPr>
        <w:numPr>
          <w:ilvl w:val="0"/>
          <w:numId w:val="1378"/>
        </w:numPr>
        <w:pStyle w:val="Compact"/>
      </w:pPr>
      <w:r>
        <w:t xml:space="preserve">2012 · Grunberger G ·</w:t>
      </w:r>
      <w:r>
        <w:t xml:space="preserve"> </w:t>
      </w:r>
      <w:r>
        <w:rPr>
          <w:iCs/>
          <w:i/>
        </w:rPr>
        <w:t xml:space="preserve">Diabet Med</w:t>
      </w:r>
      <w:r>
        <w:t xml:space="preserve"> </w:t>
      </w:r>
      <w:r>
        <w:t xml:space="preserve">· Monotherapy with the once-weekly GLP-1 analogue dulaglutide for 12 weeks in patients with Type 2 diabetes: dose-dependent effects on glycaemic control in a randomized, double-blind, placebo-controlled study. PMID 22804250</w:t>
      </w:r>
    </w:p>
    <w:bookmarkEnd w:id="1118"/>
    <w:bookmarkStart w:id="1119" w:name="semaglutide-342"/>
    <w:p>
      <w:pPr>
        <w:pStyle w:val="Heading2"/>
      </w:pPr>
      <w:r>
        <w:t xml:space="preserve">Semaglutide (342)</w:t>
      </w:r>
    </w:p>
    <w:p>
      <w:pPr>
        <w:numPr>
          <w:ilvl w:val="0"/>
          <w:numId w:val="1379"/>
        </w:numPr>
        <w:pStyle w:val="Compact"/>
      </w:pPr>
      <w:r>
        <w:t xml:space="preserve">2026 · Zhang Z ·</w:t>
      </w:r>
      <w:r>
        <w:t xml:space="preserve"> </w:t>
      </w:r>
      <w:r>
        <w:rPr>
          <w:iCs/>
          <w:i/>
        </w:rPr>
        <w:t xml:space="preserve">Psychol Med</w:t>
      </w:r>
      <w:r>
        <w:t xml:space="preserve"> </w:t>
      </w:r>
      <w:r>
        <w:t xml:space="preserve">· Semaglutide modulates explore/exploit decision-making in major depressive disorder: A randomized clinical trial. PMID 42904347</w:t>
      </w:r>
    </w:p>
    <w:p>
      <w:pPr>
        <w:numPr>
          <w:ilvl w:val="0"/>
          <w:numId w:val="1379"/>
        </w:numPr>
        <w:pStyle w:val="Compact"/>
      </w:pPr>
      <w:r>
        <w:t xml:space="preserve">2026 · Estica M ·</w:t>
      </w:r>
      <w:r>
        <w:t xml:space="preserve"> </w:t>
      </w:r>
      <w:r>
        <w:rPr>
          <w:iCs/>
          <w:i/>
        </w:rPr>
        <w:t xml:space="preserve">Rev Med Chil</w:t>
      </w:r>
      <w:r>
        <w:t xml:space="preserve"> </w:t>
      </w:r>
      <w:r>
        <w:t xml:space="preserve">· Effectiveness of Weekly Semaglutide Treatment (0.5 or 1 mg) in Chilean Patients with Type 2 Diabetes Mellitus. PMID 42899606</w:t>
      </w:r>
    </w:p>
    <w:p>
      <w:pPr>
        <w:numPr>
          <w:ilvl w:val="0"/>
          <w:numId w:val="1379"/>
        </w:numPr>
        <w:pStyle w:val="Compact"/>
      </w:pPr>
      <w:r>
        <w:t xml:space="preserve">2026 · Gullaksen S ·</w:t>
      </w:r>
      <w:r>
        <w:t xml:space="preserve"> </w:t>
      </w:r>
      <w:r>
        <w:rPr>
          <w:iCs/>
          <w:i/>
        </w:rPr>
        <w:t xml:space="preserve">J Diabetes Complications</w:t>
      </w:r>
      <w:r>
        <w:t xml:space="preserve"> </w:t>
      </w:r>
      <w:r>
        <w:t xml:space="preserve">· Effects of semaglutide and empagliflozin on markers of endothelial function in persons with type 2 diabetes: A post hoc analysis of a randomized clinical trial. PMID 42679726</w:t>
      </w:r>
    </w:p>
    <w:p>
      <w:pPr>
        <w:numPr>
          <w:ilvl w:val="0"/>
          <w:numId w:val="1379"/>
        </w:numPr>
        <w:pStyle w:val="Compact"/>
      </w:pPr>
      <w:r>
        <w:t xml:space="preserve">2026 · Montaser E ·</w:t>
      </w:r>
      <w:r>
        <w:t xml:space="preserve"> </w:t>
      </w:r>
      <w:r>
        <w:rPr>
          <w:iCs/>
          <w:i/>
        </w:rPr>
        <w:t xml:space="preserve">Diabetes Obes Metab</w:t>
      </w:r>
      <w:r>
        <w:t xml:space="preserve"> </w:t>
      </w:r>
      <w:r>
        <w:t xml:space="preserve">· Glycaemic Changes After Semaglutide Discontinuation in Adults With Type 1 Diabetes Using Automated Insulin Delivery: Analysis of the ADJUST-T1D Extension Study. PMID 42675550</w:t>
      </w:r>
    </w:p>
    <w:p>
      <w:pPr>
        <w:numPr>
          <w:ilvl w:val="0"/>
          <w:numId w:val="1379"/>
        </w:numPr>
        <w:pStyle w:val="Compact"/>
      </w:pPr>
      <w:r>
        <w:t xml:space="preserve">2026 · Plutzky J ·</w:t>
      </w:r>
      <w:r>
        <w:t xml:space="preserve"> </w:t>
      </w:r>
      <w:r>
        <w:rPr>
          <w:iCs/>
          <w:i/>
        </w:rPr>
        <w:t xml:space="preserve">Circulation</w:t>
      </w:r>
      <w:r>
        <w:t xml:space="preserve"> </w:t>
      </w:r>
      <w:r>
        <w:t xml:space="preserve">· Effect of Semaglutide on the Inflammatory Biomarker High-Sensitivity CRP in Patients With Established Cardiovascular Disease and Overweight or Obesity in SELECT: A Prespecified Secondary Analysis. PMID 42610271</w:t>
      </w:r>
    </w:p>
    <w:p>
      <w:pPr>
        <w:numPr>
          <w:ilvl w:val="0"/>
          <w:numId w:val="1379"/>
        </w:numPr>
        <w:pStyle w:val="Compact"/>
      </w:pPr>
      <w:r>
        <w:t xml:space="preserve">2026 · Miyake T ·</w:t>
      </w:r>
      <w:r>
        <w:t xml:space="preserve"> </w:t>
      </w:r>
      <w:r>
        <w:rPr>
          <w:iCs/>
          <w:i/>
        </w:rPr>
        <w:t xml:space="preserve">Diabetes Obes Metab</w:t>
      </w:r>
      <w:r>
        <w:t xml:space="preserve"> </w:t>
      </w:r>
      <w:r>
        <w:t xml:space="preserve">· Efficacy of Luseogliflozin Added to Semaglutide in Patients With Metabolic Dysfunction-Associated Steatohepatitis and Type 2 Diabetes Mellitus: A Randomised, Open-Label Trial. PMID 42605535</w:t>
      </w:r>
    </w:p>
    <w:p>
      <w:pPr>
        <w:numPr>
          <w:ilvl w:val="0"/>
          <w:numId w:val="1379"/>
        </w:numPr>
        <w:pStyle w:val="Compact"/>
      </w:pPr>
      <w:r>
        <w:t xml:space="preserve">2026 · Ji L ·</w:t>
      </w:r>
      <w:r>
        <w:t xml:space="preserve"> </w:t>
      </w:r>
      <w:r>
        <w:rPr>
          <w:iCs/>
          <w:i/>
        </w:rPr>
        <w:t xml:space="preserve">Lancet Diabetes Endocrinol</w:t>
      </w:r>
      <w:r>
        <w:t xml:space="preserve"> </w:t>
      </w:r>
      <w:r>
        <w:t xml:space="preserve">· Once-weekly IcoSema versus once-daily insulin glargine U100 in type 2 diabetes management (COMBINE 4): an open-label, multicentre, treat-to-target, randomised, phase 3b trial. PMID 42594928</w:t>
      </w:r>
    </w:p>
    <w:p>
      <w:pPr>
        <w:numPr>
          <w:ilvl w:val="0"/>
          <w:numId w:val="1379"/>
        </w:numPr>
        <w:pStyle w:val="Compact"/>
      </w:pPr>
      <w:r>
        <w:t xml:space="preserve">2026 · Guo L ·</w:t>
      </w:r>
      <w:r>
        <w:t xml:space="preserve"> </w:t>
      </w:r>
      <w:r>
        <w:rPr>
          <w:iCs/>
          <w:i/>
        </w:rPr>
        <w:t xml:space="preserve">Lancet Diabetes Endocrinol</w:t>
      </w:r>
      <w:r>
        <w:t xml:space="preserve"> </w:t>
      </w:r>
      <w:r>
        <w:t xml:space="preserve">· Efficacy and safety of once-weekly semaglutide 2·4 mg in Chinese adults with overweight or obesity (STEP 12): a randomised, double-blind, placebo-controlled, multicentre, phase 3b trial. PMID 42575111</w:t>
      </w:r>
    </w:p>
    <w:p>
      <w:pPr>
        <w:numPr>
          <w:ilvl w:val="0"/>
          <w:numId w:val="1379"/>
        </w:numPr>
        <w:pStyle w:val="Compact"/>
      </w:pPr>
      <w:r>
        <w:t xml:space="preserve">2026 · Mann JFE ·</w:t>
      </w:r>
      <w:r>
        <w:t xml:space="preserve"> </w:t>
      </w:r>
      <w:r>
        <w:rPr>
          <w:iCs/>
          <w:i/>
        </w:rPr>
        <w:t xml:space="preserve">Lancet Diabetes Endocrinol</w:t>
      </w:r>
      <w:r>
        <w:t xml:space="preserve"> </w:t>
      </w:r>
      <w:r>
        <w:t xml:space="preserve">· Effect of semaglutide on kidney outcomes in the SELECT, FLOW, and SOUL trials: a prespecified pooled analysis. PMID 42567173</w:t>
      </w:r>
    </w:p>
    <w:p>
      <w:pPr>
        <w:numPr>
          <w:ilvl w:val="0"/>
          <w:numId w:val="1379"/>
        </w:numPr>
        <w:pStyle w:val="Compact"/>
      </w:pPr>
      <w:r>
        <w:t xml:space="preserve">2026 · Ji L ·</w:t>
      </w:r>
      <w:r>
        <w:t xml:space="preserve"> </w:t>
      </w:r>
      <w:r>
        <w:rPr>
          <w:iCs/>
          <w:i/>
        </w:rPr>
        <w:t xml:space="preserve">Diabetes Obes Metab</w:t>
      </w:r>
      <w:r>
        <w:t xml:space="preserve"> </w:t>
      </w:r>
      <w:r>
        <w:t xml:space="preserve">· Efficacy and Hypoglycaemia Outcomes With Once-Weekly IcoSema Versus Comparators in Individuals With Type 2 Diabetes by Kidney and Liver Function: A Post Hoc Analysis of the COMBINE 1-3 Trials. PMID 42557064</w:t>
      </w:r>
    </w:p>
    <w:p>
      <w:pPr>
        <w:numPr>
          <w:ilvl w:val="0"/>
          <w:numId w:val="1379"/>
        </w:numPr>
        <w:pStyle w:val="Compact"/>
      </w:pPr>
      <w:r>
        <w:t xml:space="preserve">2026 · Schacht JP ·</w:t>
      </w:r>
      <w:r>
        <w:t xml:space="preserve"> </w:t>
      </w:r>
      <w:r>
        <w:rPr>
          <w:iCs/>
          <w:i/>
        </w:rPr>
        <w:t xml:space="preserve">Am J Psychiatry</w:t>
      </w:r>
      <w:r>
        <w:t xml:space="preserve"> </w:t>
      </w:r>
      <w:r>
        <w:t xml:space="preserve">· Oral Semaglutide for Alcohol Use Disorder: A Randomized Clinical Trial. PMID 42522065</w:t>
      </w:r>
    </w:p>
    <w:p>
      <w:pPr>
        <w:numPr>
          <w:ilvl w:val="0"/>
          <w:numId w:val="1379"/>
        </w:numPr>
        <w:pStyle w:val="Compact"/>
      </w:pPr>
      <w:r>
        <w:t xml:space="preserve">2026 · Lake JE ·</w:t>
      </w:r>
      <w:r>
        <w:t xml:space="preserve"> </w:t>
      </w:r>
      <w:r>
        <w:rPr>
          <w:iCs/>
          <w:i/>
        </w:rPr>
        <w:t xml:space="preserve">HIV Med</w:t>
      </w:r>
      <w:r>
        <w:t xml:space="preserve"> </w:t>
      </w:r>
      <w:r>
        <w:t xml:space="preserve">· Semaglutide improves MASLD and MASH in people with HIV: The SLIM LIVER study. PMID 42517548</w:t>
      </w:r>
    </w:p>
    <w:p>
      <w:pPr>
        <w:numPr>
          <w:ilvl w:val="0"/>
          <w:numId w:val="1379"/>
        </w:numPr>
        <w:pStyle w:val="Compact"/>
      </w:pPr>
      <w:r>
        <w:t xml:space="preserve">2026 · Rodbard HW ·</w:t>
      </w:r>
      <w:r>
        <w:t xml:space="preserve"> </w:t>
      </w:r>
      <w:r>
        <w:rPr>
          <w:iCs/>
          <w:i/>
        </w:rPr>
        <w:t xml:space="preserve">Diabetes Obes Metab</w:t>
      </w:r>
      <w:r>
        <w:t xml:space="preserve"> </w:t>
      </w:r>
      <w:r>
        <w:t xml:space="preserve">· Efficacy and Safety of Once-Weekly Semaglutide 2.0 mg as an Add-On to Dose-Reduced Insulin Glargine versus Dose-Titrated Insulin Glargine in People With Type 2 Diabetes and Overweight (SUSTAIN OPTIMIZE). PMID 42504064</w:t>
      </w:r>
    </w:p>
    <w:p>
      <w:pPr>
        <w:numPr>
          <w:ilvl w:val="0"/>
          <w:numId w:val="1379"/>
        </w:numPr>
        <w:pStyle w:val="Compact"/>
      </w:pPr>
      <w:r>
        <w:t xml:space="preserve">2026 · Busetto L ·</w:t>
      </w:r>
      <w:r>
        <w:t xml:space="preserve"> </w:t>
      </w:r>
      <w:r>
        <w:rPr>
          <w:iCs/>
          <w:i/>
        </w:rPr>
        <w:t xml:space="preserve">Diabetes Obes Metab</w:t>
      </w:r>
      <w:r>
        <w:t xml:space="preserve"> </w:t>
      </w:r>
      <w:r>
        <w:t xml:space="preserve">· Efficacy of CagriSema for Reaching Anthropometric Treatment Targets and Cardiometabolic Outcomes: A Secondary, Post hoc Analysis of REDEFINE 1. PMID 42503495</w:t>
      </w:r>
    </w:p>
    <w:p>
      <w:pPr>
        <w:numPr>
          <w:ilvl w:val="0"/>
          <w:numId w:val="1379"/>
        </w:numPr>
        <w:pStyle w:val="Compact"/>
      </w:pPr>
      <w:r>
        <w:t xml:space="preserve">2026 · Timmons JG ·</w:t>
      </w:r>
      <w:r>
        <w:t xml:space="preserve"> </w:t>
      </w:r>
      <w:r>
        <w:rPr>
          <w:iCs/>
          <w:i/>
        </w:rPr>
        <w:t xml:space="preserve">Diabetes Obes Metab</w:t>
      </w:r>
      <w:r>
        <w:t xml:space="preserve"> </w:t>
      </w:r>
      <w:r>
        <w:t xml:space="preserve">· Insulin, Semaglutide and Dapagliflozin in Adults With Type 1 Diabetes: Design and Methods of Triple Therapy for Type 1 Diabetes (TTT1)-An International Phase 3 Clinical Trial. PMID 42473259</w:t>
      </w:r>
    </w:p>
    <w:p>
      <w:pPr>
        <w:numPr>
          <w:ilvl w:val="0"/>
          <w:numId w:val="1379"/>
        </w:numPr>
        <w:pStyle w:val="Compact"/>
      </w:pPr>
      <w:r>
        <w:t xml:space="preserve">2026 · Loomba R ·</w:t>
      </w:r>
      <w:r>
        <w:t xml:space="preserve"> </w:t>
      </w:r>
      <w:r>
        <w:rPr>
          <w:iCs/>
          <w:i/>
        </w:rPr>
        <w:t xml:space="preserve">Lancet Gastroenterol Hepatol</w:t>
      </w:r>
      <w:r>
        <w:t xml:space="preserve"> </w:t>
      </w:r>
      <w:r>
        <w:t xml:space="preserve">· Efficacy and safety of zalfermin co-administered with semaglutide in participants with fibrosis and cirrhosis due to metabolic dysfunction-associated steatohepatitis: a phase 2, dose-ranging, double-blind, randomised controlled trial. PMID 42456707</w:t>
      </w:r>
    </w:p>
    <w:p>
      <w:pPr>
        <w:numPr>
          <w:ilvl w:val="0"/>
          <w:numId w:val="1379"/>
        </w:numPr>
        <w:pStyle w:val="Compact"/>
      </w:pPr>
      <w:r>
        <w:t xml:space="preserve">2026 · Kitamoto T ·</w:t>
      </w:r>
      <w:r>
        <w:t xml:space="preserve"> </w:t>
      </w:r>
      <w:r>
        <w:rPr>
          <w:iCs/>
          <w:i/>
        </w:rPr>
        <w:t xml:space="preserve">Curr Med Res Opin</w:t>
      </w:r>
      <w:r>
        <w:t xml:space="preserve"> </w:t>
      </w:r>
      <w:r>
        <w:t xml:space="preserve">· Tirzepatide compared with semaglutide in obesity disease: a subpopulation analysis applying Japan Society for the Study of Obesity criteria in the global SURMOUNT-5 trial. PMID 42434924</w:t>
      </w:r>
    </w:p>
    <w:p>
      <w:pPr>
        <w:numPr>
          <w:ilvl w:val="0"/>
          <w:numId w:val="1379"/>
        </w:numPr>
        <w:pStyle w:val="Compact"/>
      </w:pPr>
      <w:r>
        <w:t xml:space="preserve">2026 · Rahman E ·</w:t>
      </w:r>
      <w:r>
        <w:t xml:space="preserve"> </w:t>
      </w:r>
      <w:r>
        <w:rPr>
          <w:iCs/>
          <w:i/>
        </w:rPr>
        <w:t xml:space="preserve">Aesthetic Plast Surg</w:t>
      </w:r>
      <w:r>
        <w:t xml:space="preserve"> </w:t>
      </w:r>
      <w:r>
        <w:t xml:space="preserve">· Computational Trial of Prophylactic Biostimulator Interventions to Mitigate Facial Sagging Associated With GLP-1 Receptor Agonist Induced Weight Loss. PMID 42414642</w:t>
      </w:r>
    </w:p>
    <w:p>
      <w:pPr>
        <w:numPr>
          <w:ilvl w:val="0"/>
          <w:numId w:val="1379"/>
        </w:numPr>
        <w:pStyle w:val="Compact"/>
      </w:pPr>
      <w:r>
        <w:t xml:space="preserve">2026 · Ambika Gopalakrishnan U ·</w:t>
      </w:r>
      <w:r>
        <w:t xml:space="preserve"> </w:t>
      </w:r>
      <w:r>
        <w:rPr>
          <w:iCs/>
          <w:i/>
        </w:rPr>
        <w:t xml:space="preserve">Diabetes Obes Metab</w:t>
      </w:r>
      <w:r>
        <w:t xml:space="preserve"> </w:t>
      </w:r>
      <w:r>
        <w:t xml:space="preserve">· Semaglutide Injection Once-Weekly for Weight Management in Adults: Results From A Randomized Phase III, Active-Controlled Study. PMID 42403263</w:t>
      </w:r>
    </w:p>
    <w:p>
      <w:pPr>
        <w:numPr>
          <w:ilvl w:val="0"/>
          <w:numId w:val="1379"/>
        </w:numPr>
        <w:pStyle w:val="Compact"/>
      </w:pPr>
      <w:r>
        <w:t xml:space="preserve">2026 · Strojek K ·</w:t>
      </w:r>
      <w:r>
        <w:t xml:space="preserve"> </w:t>
      </w:r>
      <w:r>
        <w:rPr>
          <w:iCs/>
          <w:i/>
        </w:rPr>
        <w:t xml:space="preserve">Diabetes Obes Metab</w:t>
      </w:r>
      <w:r>
        <w:t xml:space="preserve"> </w:t>
      </w:r>
      <w:r>
        <w:t xml:space="preserve">· Efficacy and Safety of Intensifying Once-Weekly Insulin Icodec Treatment With Once-Weekly Semaglutide in Adults With Type 2 Diabetes: A Single-Arm, Open-Label, Treat-to-Target, Phase 3b Trial (ONWARDS 8). PMID 42387310</w:t>
      </w:r>
    </w:p>
    <w:p>
      <w:pPr>
        <w:numPr>
          <w:ilvl w:val="0"/>
          <w:numId w:val="1379"/>
        </w:numPr>
        <w:pStyle w:val="Compact"/>
      </w:pPr>
      <w:r>
        <w:t xml:space="preserve">2026 · Liu M ·</w:t>
      </w:r>
      <w:r>
        <w:t xml:space="preserve"> </w:t>
      </w:r>
      <w:r>
        <w:rPr>
          <w:iCs/>
          <w:i/>
        </w:rPr>
        <w:t xml:space="preserve">Ann Intern Med</w:t>
      </w:r>
      <w:r>
        <w:t xml:space="preserve"> </w:t>
      </w:r>
      <w:r>
        <w:t xml:space="preserve">· Weekly and Biweekly Treatment With Bofanglutide Versus Semaglutide in Chinese Patients With Type 2 Diabetes : A Phase 2b Randomized Clinical Trial. PMID 42372276</w:t>
      </w:r>
    </w:p>
    <w:p>
      <w:pPr>
        <w:numPr>
          <w:ilvl w:val="0"/>
          <w:numId w:val="1379"/>
        </w:numPr>
        <w:pStyle w:val="Compact"/>
      </w:pPr>
      <w:r>
        <w:t xml:space="preserve">2026 · Wharton S ·</w:t>
      </w:r>
      <w:r>
        <w:t xml:space="preserve"> </w:t>
      </w:r>
      <w:r>
        <w:rPr>
          <w:iCs/>
          <w:i/>
        </w:rPr>
        <w:t xml:space="preserve">Diabetes Obes Metab</w:t>
      </w:r>
      <w:r>
        <w:t xml:space="preserve"> </w:t>
      </w:r>
      <w:r>
        <w:t xml:space="preserve">· Hepatic Safety of Orforglipron in Adults With Obesity or Overweight and/or Type 2 Diabetes: A Pooled Analysis of the Orforglipron Phase 3 Clinical Trials. PMID 42338042</w:t>
      </w:r>
    </w:p>
    <w:p>
      <w:pPr>
        <w:numPr>
          <w:ilvl w:val="0"/>
          <w:numId w:val="1379"/>
        </w:numPr>
        <w:pStyle w:val="Compact"/>
      </w:pPr>
      <w:r>
        <w:t xml:space="preserve">2026 · Ekinci EI ·</w:t>
      </w:r>
      <w:r>
        <w:t xml:space="preserve"> </w:t>
      </w:r>
      <w:r>
        <w:rPr>
          <w:iCs/>
          <w:i/>
        </w:rPr>
        <w:t xml:space="preserve">Diabetes Obes Metab</w:t>
      </w:r>
      <w:r>
        <w:t xml:space="preserve"> </w:t>
      </w:r>
      <w:r>
        <w:t xml:space="preserve">· Dual Glucagon and GLP-1 Receptor Agonist Survodutide Improves Biomarkers of Beta-Cell Function and Insulin Sensitivity in People With Type 2 Diabetes or Living With Overweight/Obesity. PMID 42331726</w:t>
      </w:r>
    </w:p>
    <w:p>
      <w:pPr>
        <w:numPr>
          <w:ilvl w:val="0"/>
          <w:numId w:val="1379"/>
        </w:numPr>
        <w:pStyle w:val="Compact"/>
      </w:pPr>
      <w:r>
        <w:t xml:space="preserve">2026 · Tronieri JS ·</w:t>
      </w:r>
      <w:r>
        <w:t xml:space="preserve"> </w:t>
      </w:r>
      <w:r>
        <w:rPr>
          <w:iCs/>
          <w:i/>
        </w:rPr>
        <w:t xml:space="preserve">Am J Clin Nutr</w:t>
      </w:r>
      <w:r>
        <w:t xml:space="preserve"> </w:t>
      </w:r>
      <w:r>
        <w:t xml:space="preserve">· Short- and long-term effects of semaglutide 2.4 mg on energy intake, appetite, and food reward: a 60-week, double-blind randomized controlled trial. PMID 42323166</w:t>
      </w:r>
    </w:p>
    <w:p>
      <w:pPr>
        <w:numPr>
          <w:ilvl w:val="0"/>
          <w:numId w:val="1379"/>
        </w:numPr>
        <w:pStyle w:val="Compact"/>
      </w:pPr>
      <w:r>
        <w:t xml:space="preserve">2026 · Rahman E ·</w:t>
      </w:r>
      <w:r>
        <w:t xml:space="preserve"> </w:t>
      </w:r>
      <w:r>
        <w:rPr>
          <w:iCs/>
          <w:i/>
        </w:rPr>
        <w:t xml:space="preserve">Aesthetic Plast Surg</w:t>
      </w:r>
      <w:r>
        <w:t xml:space="preserve"> </w:t>
      </w:r>
      <w:r>
        <w:t xml:space="preserve">· A Computational Trial of Dermal Mechanotransduction in GLP-1 Receptor Agonist-Associated Premature Facial Ageing. PMID 42310090</w:t>
      </w:r>
    </w:p>
    <w:p>
      <w:pPr>
        <w:numPr>
          <w:ilvl w:val="0"/>
          <w:numId w:val="1379"/>
        </w:numPr>
        <w:pStyle w:val="Compact"/>
      </w:pPr>
      <w:r>
        <w:t xml:space="preserve">2026 · Heerspink HJL ·</w:t>
      </w:r>
      <w:r>
        <w:t xml:space="preserve"> </w:t>
      </w:r>
      <w:r>
        <w:rPr>
          <w:iCs/>
          <w:i/>
        </w:rPr>
        <w:t xml:space="preserve">Clin J Am Soc Nephrol</w:t>
      </w:r>
      <w:r>
        <w:t xml:space="preserve"> </w:t>
      </w:r>
      <w:r>
        <w:t xml:space="preserve">· Effects of Semaglutide on Body Composition and GFR: A Prespecified Analysis of the SMART Trial. PMID 42308057</w:t>
      </w:r>
    </w:p>
    <w:p>
      <w:pPr>
        <w:numPr>
          <w:ilvl w:val="0"/>
          <w:numId w:val="1379"/>
        </w:numPr>
        <w:pStyle w:val="Compact"/>
      </w:pPr>
      <w:r>
        <w:t xml:space="preserve">2026 · Aroda VR ·</w:t>
      </w:r>
      <w:r>
        <w:t xml:space="preserve"> </w:t>
      </w:r>
      <w:r>
        <w:rPr>
          <w:iCs/>
          <w:i/>
        </w:rPr>
        <w:t xml:space="preserve">Lancet</w:t>
      </w:r>
      <w:r>
        <w:t xml:space="preserve"> </w:t>
      </w:r>
      <w:r>
        <w:t xml:space="preserve">· Elecoglipron, an oral small molecule GLP-1 receptor agonist in adults with type 2 diabetes (SOLSTICE): a multicentre, phase 2b, randomised, placebo-controlled trial. PMID 42259343</w:t>
      </w:r>
    </w:p>
    <w:p>
      <w:pPr>
        <w:numPr>
          <w:ilvl w:val="0"/>
          <w:numId w:val="1379"/>
        </w:numPr>
        <w:pStyle w:val="Compact"/>
      </w:pPr>
      <w:r>
        <w:t xml:space="preserve">2026 · Aroda VR ·</w:t>
      </w:r>
      <w:r>
        <w:t xml:space="preserve"> </w:t>
      </w:r>
      <w:r>
        <w:rPr>
          <w:iCs/>
          <w:i/>
        </w:rPr>
        <w:t xml:space="preserve">Lancet Diabetes Endocrinol</w:t>
      </w:r>
      <w:r>
        <w:t xml:space="preserve"> </w:t>
      </w:r>
      <w:r>
        <w:t xml:space="preserve">· Efficacy and safety of once-weekly cagrilintide-semaglutide (CagriSema) in adults with type 2 diabetes inadequately controlled on diet and exercise (REIMAGINE 1): a randomised, double-blind, placebo-controlled, phase 3a study. PMID 42251860</w:t>
      </w:r>
    </w:p>
    <w:p>
      <w:pPr>
        <w:numPr>
          <w:ilvl w:val="0"/>
          <w:numId w:val="1379"/>
        </w:numPr>
        <w:pStyle w:val="Compact"/>
      </w:pPr>
      <w:r>
        <w:t xml:space="preserve">2026 · Buse JB ·</w:t>
      </w:r>
      <w:r>
        <w:t xml:space="preserve"> </w:t>
      </w:r>
      <w:r>
        <w:rPr>
          <w:iCs/>
          <w:i/>
        </w:rPr>
        <w:t xml:space="preserve">Lancet Diabetes Endocrinol</w:t>
      </w:r>
      <w:r>
        <w:t xml:space="preserve"> </w:t>
      </w:r>
      <w:r>
        <w:t xml:space="preserve">· Cagrilintide-semaglutide (CagriSema) versus semaglutide or cagrilintide in people with type 2 diabetes (REIMAGINE 2): a double-blind, randomised, controlled, phase 3 study. PMID 42251859</w:t>
      </w:r>
    </w:p>
    <w:p>
      <w:pPr>
        <w:numPr>
          <w:ilvl w:val="0"/>
          <w:numId w:val="1379"/>
        </w:numPr>
        <w:pStyle w:val="Compact"/>
      </w:pPr>
      <w:r>
        <w:t xml:space="preserve">2026 · Rosenstock J ·</w:t>
      </w:r>
      <w:r>
        <w:t xml:space="preserve"> </w:t>
      </w:r>
      <w:r>
        <w:rPr>
          <w:iCs/>
          <w:i/>
        </w:rPr>
        <w:t xml:space="preserve">Lancet</w:t>
      </w:r>
      <w:r>
        <w:t xml:space="preserve"> </w:t>
      </w:r>
      <w:r>
        <w:t xml:space="preserve">· Cagrilintide-semaglutide (CagriSema) as an add-on to basal insulin in adults with type 2 diabetes (REIMAGINE 3): a randomised, double-blind, placebo-controlled, multicentre, phase 3 study. PMID 42251856</w:t>
      </w:r>
    </w:p>
    <w:p>
      <w:pPr>
        <w:numPr>
          <w:ilvl w:val="0"/>
          <w:numId w:val="1379"/>
        </w:numPr>
        <w:pStyle w:val="Compact"/>
      </w:pPr>
      <w:r>
        <w:t xml:space="preserve">2026 · Tuttle KR ·</w:t>
      </w:r>
      <w:r>
        <w:t xml:space="preserve"> </w:t>
      </w:r>
      <w:r>
        <w:rPr>
          <w:iCs/>
          <w:i/>
        </w:rPr>
        <w:t xml:space="preserve">J Am Coll Cardiol</w:t>
      </w:r>
      <w:r>
        <w:t xml:space="preserve"> </w:t>
      </w:r>
      <w:r>
        <w:t xml:space="preserve">· Kidney and Survival Benefits of Semaglutide in Diabetes With Chronic Kidney Disease: FLOW Trial Cardiovascular Subgroup Analyses. PMID 42233552</w:t>
      </w:r>
    </w:p>
    <w:p>
      <w:pPr>
        <w:numPr>
          <w:ilvl w:val="0"/>
          <w:numId w:val="1379"/>
        </w:numPr>
        <w:pStyle w:val="Compact"/>
      </w:pPr>
      <w:r>
        <w:t xml:space="preserve">2026 · Nielsen MJF ·</w:t>
      </w:r>
      <w:r>
        <w:t xml:space="preserve"> </w:t>
      </w:r>
      <w:r>
        <w:rPr>
          <w:iCs/>
          <w:i/>
        </w:rPr>
        <w:t xml:space="preserve">Clin Pharmacokinet</w:t>
      </w:r>
      <w:r>
        <w:t xml:space="preserve"> </w:t>
      </w:r>
      <w:r>
        <w:t xml:space="preserve">· Renal or Hepatic Impairment Does Not Affect Pharmacokinetics, Safety, or Tolerability of Subcutaneous Cagrilintide. PMID 42228334</w:t>
      </w:r>
    </w:p>
    <w:p>
      <w:pPr>
        <w:numPr>
          <w:ilvl w:val="0"/>
          <w:numId w:val="1379"/>
        </w:numPr>
        <w:pStyle w:val="Compact"/>
      </w:pPr>
      <w:r>
        <w:t xml:space="preserve">2026 · Plotkin M ·</w:t>
      </w:r>
      <w:r>
        <w:t xml:space="preserve"> </w:t>
      </w:r>
      <w:r>
        <w:rPr>
          <w:iCs/>
          <w:i/>
        </w:rPr>
        <w:t xml:space="preserve">Diabetes Obes Metab</w:t>
      </w:r>
      <w:r>
        <w:t xml:space="preserve"> </w:t>
      </w:r>
      <w:r>
        <w:t xml:space="preserve">· Semaglutide 25 mg Oral Versus Semaglutide 2.4 mg Injectable: An Indirect Treatment Comparison of Weight Loss Outcomes. PMID 42225300</w:t>
      </w:r>
    </w:p>
    <w:p>
      <w:pPr>
        <w:numPr>
          <w:ilvl w:val="0"/>
          <w:numId w:val="1379"/>
        </w:numPr>
        <w:pStyle w:val="Compact"/>
      </w:pPr>
      <w:r>
        <w:t xml:space="preserve">2026 · Ambika Gopalakrishnan U ·</w:t>
      </w:r>
      <w:r>
        <w:t xml:space="preserve"> </w:t>
      </w:r>
      <w:r>
        <w:rPr>
          <w:iCs/>
          <w:i/>
        </w:rPr>
        <w:t xml:space="preserve">Diabetes Obes Metab</w:t>
      </w:r>
      <w:r>
        <w:t xml:space="preserve"> </w:t>
      </w:r>
      <w:r>
        <w:t xml:space="preserve">· Semaglutide Injection in Indian Patients With Type 2 Diabetes Mellitus: A Randomised, Phase III, Active-Controlled Study. PMID 42219226</w:t>
      </w:r>
    </w:p>
    <w:p>
      <w:pPr>
        <w:numPr>
          <w:ilvl w:val="0"/>
          <w:numId w:val="1379"/>
        </w:numPr>
        <w:pStyle w:val="Compact"/>
      </w:pPr>
      <w:r>
        <w:t xml:space="preserve">2026 · Jin P ·</w:t>
      </w:r>
      <w:r>
        <w:t xml:space="preserve"> </w:t>
      </w:r>
      <w:r>
        <w:rPr>
          <w:iCs/>
          <w:i/>
        </w:rPr>
        <w:t xml:space="preserve">Diabetes Obes Metab</w:t>
      </w:r>
      <w:r>
        <w:t xml:space="preserve"> </w:t>
      </w:r>
      <w:r>
        <w:t xml:space="preserve">· Evaluation of the Safety, Efficacy and Pharmacokinetics of BGM0504 in Chinese Adults With Type 2 Diabetes: A Multicentre, Randomised, Controlled and Double-Blind Phase II Trial. PMID 42219225</w:t>
      </w:r>
    </w:p>
    <w:p>
      <w:pPr>
        <w:numPr>
          <w:ilvl w:val="0"/>
          <w:numId w:val="1379"/>
        </w:numPr>
        <w:pStyle w:val="Compact"/>
      </w:pPr>
      <w:r>
        <w:t xml:space="preserve">2026 · Hendershot CS ·</w:t>
      </w:r>
      <w:r>
        <w:t xml:space="preserve"> </w:t>
      </w:r>
      <w:r>
        <w:rPr>
          <w:iCs/>
          <w:i/>
        </w:rPr>
        <w:t xml:space="preserve">JAMA Netw Open</w:t>
      </w:r>
      <w:r>
        <w:t xml:space="preserve"> </w:t>
      </w:r>
      <w:r>
        <w:t xml:space="preserve">· Once-Weekly Semaglutide in Adults With Daily Cigarette Use: A Randomized Clinical Trial. PMID 42189538</w:t>
      </w:r>
    </w:p>
    <w:p>
      <w:pPr>
        <w:numPr>
          <w:ilvl w:val="0"/>
          <w:numId w:val="1379"/>
        </w:numPr>
        <w:pStyle w:val="Compact"/>
      </w:pPr>
      <w:r>
        <w:t xml:space="preserve">2026 · Stanley C ·</w:t>
      </w:r>
      <w:r>
        <w:t xml:space="preserve"> </w:t>
      </w:r>
      <w:r>
        <w:rPr>
          <w:iCs/>
          <w:i/>
        </w:rPr>
        <w:t xml:space="preserve">Nat Med</w:t>
      </w:r>
      <w:r>
        <w:t xml:space="preserve"> </w:t>
      </w:r>
      <w:r>
        <w:t xml:space="preserve">· Semaglutide versus placebo in individuals with poor weight loss after bariatric surgery: a double-blinded, randomized, placebo-controlled trial. PMID 42174253</w:t>
      </w:r>
    </w:p>
    <w:p>
      <w:pPr>
        <w:numPr>
          <w:ilvl w:val="0"/>
          <w:numId w:val="1379"/>
        </w:numPr>
        <w:pStyle w:val="Compact"/>
      </w:pPr>
      <w:r>
        <w:t xml:space="preserve">2026 · Huang YS ·</w:t>
      </w:r>
      <w:r>
        <w:t xml:space="preserve"> </w:t>
      </w:r>
      <w:r>
        <w:rPr>
          <w:iCs/>
          <w:i/>
        </w:rPr>
        <w:t xml:space="preserve">Obes Surg</w:t>
      </w:r>
      <w:r>
        <w:t xml:space="preserve"> </w:t>
      </w:r>
      <w:r>
        <w:t xml:space="preserve">· Early Adjuvant Treatment with Semaglutide After Sleeve Gastrectomy in Patients with Class II-III Obesity: A Prospective Non-Randomized Controlled Study. PMID 42174244</w:t>
      </w:r>
    </w:p>
    <w:p>
      <w:pPr>
        <w:numPr>
          <w:ilvl w:val="0"/>
          <w:numId w:val="1379"/>
        </w:numPr>
        <w:pStyle w:val="Compact"/>
      </w:pPr>
      <w:r>
        <w:t xml:space="preserve">2026 · Helsted MM ·</w:t>
      </w:r>
      <w:r>
        <w:t xml:space="preserve"> </w:t>
      </w:r>
      <w:r>
        <w:rPr>
          <w:iCs/>
          <w:i/>
        </w:rPr>
        <w:t xml:space="preserve">Lancet Diabetes Endocrinol</w:t>
      </w:r>
      <w:r>
        <w:t xml:space="preserve"> </w:t>
      </w:r>
      <w:r>
        <w:t xml:space="preserve">· Effects of a 6-week subcutaneous infusion of native GIP alone or as add-on to semaglutide in people with type 2 diabetes: a single-centre, double-blind, parallel-group, randomised, placebo-controlled trial. PMID 42173109</w:t>
      </w:r>
    </w:p>
    <w:p>
      <w:pPr>
        <w:numPr>
          <w:ilvl w:val="0"/>
          <w:numId w:val="1379"/>
        </w:numPr>
        <w:pStyle w:val="Compact"/>
      </w:pPr>
      <w:r>
        <w:t xml:space="preserve">2026 · Long W ·</w:t>
      </w:r>
      <w:r>
        <w:t xml:space="preserve"> </w:t>
      </w:r>
      <w:r>
        <w:rPr>
          <w:iCs/>
          <w:i/>
        </w:rPr>
        <w:t xml:space="preserve">Pak J Pharm Sci</w:t>
      </w:r>
      <w:r>
        <w:t xml:space="preserve"> </w:t>
      </w:r>
      <w:r>
        <w:t xml:space="preserve">· Short-term comparative effects of semaglutide, either alone or in conjunction with canagliflozin, on early diabetic kidney disease. PMID 42170981</w:t>
      </w:r>
    </w:p>
    <w:p>
      <w:pPr>
        <w:numPr>
          <w:ilvl w:val="0"/>
          <w:numId w:val="1379"/>
        </w:numPr>
        <w:pStyle w:val="Compact"/>
      </w:pPr>
      <w:r>
        <w:t xml:space="preserve">2026 · Corley MJ ·</w:t>
      </w:r>
      <w:r>
        <w:t xml:space="preserve"> </w:t>
      </w:r>
      <w:r>
        <w:rPr>
          <w:iCs/>
          <w:i/>
        </w:rPr>
        <w:t xml:space="preserve">Nat Commun</w:t>
      </w:r>
      <w:r>
        <w:t xml:space="preserve"> </w:t>
      </w:r>
      <w:r>
        <w:t xml:space="preserve">· Semaglutide slows epigenetic aging in a randomized trial of HIV-associated lipohypertrophy. PMID 42156721</w:t>
      </w:r>
    </w:p>
    <w:p>
      <w:pPr>
        <w:numPr>
          <w:ilvl w:val="0"/>
          <w:numId w:val="1379"/>
        </w:numPr>
        <w:pStyle w:val="Compact"/>
      </w:pPr>
      <w:r>
        <w:t xml:space="preserve">2026 · Aronne LJ ·</w:t>
      </w:r>
      <w:r>
        <w:t xml:space="preserve"> </w:t>
      </w:r>
      <w:r>
        <w:rPr>
          <w:iCs/>
          <w:i/>
        </w:rPr>
        <w:t xml:space="preserve">Nat Med</w:t>
      </w:r>
      <w:r>
        <w:t xml:space="preserve"> </w:t>
      </w:r>
      <w:r>
        <w:t xml:space="preserve">· Orforglipron for maintenance of body weight reduction: the double-blind, randomized phase 3b ATTAIN-MAINTAIN trial. PMID 42120723</w:t>
      </w:r>
    </w:p>
    <w:p>
      <w:pPr>
        <w:numPr>
          <w:ilvl w:val="0"/>
          <w:numId w:val="1379"/>
        </w:numPr>
        <w:pStyle w:val="Compact"/>
      </w:pPr>
      <w:r>
        <w:t xml:space="preserve">2026 · Lake JE ·</w:t>
      </w:r>
      <w:r>
        <w:t xml:space="preserve"> </w:t>
      </w:r>
      <w:r>
        <w:rPr>
          <w:iCs/>
          <w:i/>
        </w:rPr>
        <w:t xml:space="preserve">AIDS</w:t>
      </w:r>
      <w:r>
        <w:t xml:space="preserve"> </w:t>
      </w:r>
      <w:r>
        <w:t xml:space="preserve">· Semaglutide improves markers of cardiovascular risk in people with HIV. PMID 42084141</w:t>
      </w:r>
    </w:p>
    <w:p>
      <w:pPr>
        <w:numPr>
          <w:ilvl w:val="0"/>
          <w:numId w:val="1379"/>
        </w:numPr>
        <w:pStyle w:val="Compact"/>
      </w:pPr>
      <w:r>
        <w:t xml:space="preserve">2026 · Klausen MK ·</w:t>
      </w:r>
      <w:r>
        <w:t xml:space="preserve"> </w:t>
      </w:r>
      <w:r>
        <w:rPr>
          <w:iCs/>
          <w:i/>
        </w:rPr>
        <w:t xml:space="preserve">Lancet</w:t>
      </w:r>
      <w:r>
        <w:t xml:space="preserve"> </w:t>
      </w:r>
      <w:r>
        <w:t xml:space="preserve">· Once-weekly semaglutide versus placebo in patients with alcohol use disorder and comorbid obesity: a randomised, double-blind, placebo-controlled trial. PMID 42070571</w:t>
      </w:r>
    </w:p>
    <w:p>
      <w:pPr>
        <w:numPr>
          <w:ilvl w:val="0"/>
          <w:numId w:val="1379"/>
        </w:numPr>
        <w:pStyle w:val="Compact"/>
      </w:pPr>
      <w:r>
        <w:t xml:space="preserve">2026 · Gill H ·</w:t>
      </w:r>
      <w:r>
        <w:t xml:space="preserve"> </w:t>
      </w:r>
      <w:r>
        <w:rPr>
          <w:iCs/>
          <w:i/>
        </w:rPr>
        <w:t xml:space="preserve">JAMA Psychiatry</w:t>
      </w:r>
      <w:r>
        <w:t xml:space="preserve"> </w:t>
      </w:r>
      <w:r>
        <w:t xml:space="preserve">· Semaglutide and Effort-Based Decision-Making in Major Depressive Disorder: A Randomized Clinical Trial. PMID 42054055</w:t>
      </w:r>
    </w:p>
    <w:p>
      <w:pPr>
        <w:numPr>
          <w:ilvl w:val="0"/>
          <w:numId w:val="1379"/>
        </w:numPr>
        <w:pStyle w:val="Compact"/>
      </w:pPr>
      <w:r>
        <w:t xml:space="preserve">2026 · Cronenberger C ·</w:t>
      </w:r>
      <w:r>
        <w:t xml:space="preserve"> </w:t>
      </w:r>
      <w:r>
        <w:rPr>
          <w:iCs/>
          <w:i/>
        </w:rPr>
        <w:t xml:space="preserve">J Clin Pharmacol</w:t>
      </w:r>
      <w:r>
        <w:t xml:space="preserve"> </w:t>
      </w:r>
      <w:r>
        <w:t xml:space="preserve">· Assessment of the Drug-Drug Interaction Potential of Lotiglipron (PF-07081532) with Midazolam, Omeprazole, Dabigatran, Rosuvastatin, and the Oral Contraceptives Levonorgestrel and Ethinyl Estradiol. PMID 42053447</w:t>
      </w:r>
    </w:p>
    <w:p>
      <w:pPr>
        <w:numPr>
          <w:ilvl w:val="0"/>
          <w:numId w:val="1379"/>
        </w:numPr>
        <w:pStyle w:val="Compact"/>
      </w:pPr>
      <w:r>
        <w:t xml:space="preserve">2026 · Johansson E ·</w:t>
      </w:r>
      <w:r>
        <w:t xml:space="preserve"> </w:t>
      </w:r>
      <w:r>
        <w:rPr>
          <w:iCs/>
          <w:i/>
        </w:rPr>
        <w:t xml:space="preserve">J Med Econ</w:t>
      </w:r>
      <w:r>
        <w:t xml:space="preserve"> </w:t>
      </w:r>
      <w:r>
        <w:t xml:space="preserve">· Cost-effectiveness of tirzepatide versus semaglutide for patients with obesity or overweight in the US: evidence from the SURMOUNT-5 head-to-head phase-3 trial. PMID 42012820</w:t>
      </w:r>
    </w:p>
    <w:p>
      <w:pPr>
        <w:numPr>
          <w:ilvl w:val="0"/>
          <w:numId w:val="1379"/>
        </w:numPr>
        <w:pStyle w:val="Compact"/>
      </w:pPr>
      <w:r>
        <w:t xml:space="preserve">2026 · Yamauchi T ·</w:t>
      </w:r>
      <w:r>
        <w:t xml:space="preserve"> </w:t>
      </w:r>
      <w:r>
        <w:rPr>
          <w:iCs/>
          <w:i/>
        </w:rPr>
        <w:t xml:space="preserve">Lancet Diabetes Endocrinol</w:t>
      </w:r>
      <w:r>
        <w:t xml:space="preserve"> </w:t>
      </w:r>
      <w:r>
        <w:t xml:space="preserve">· Efficacy and safety of co-administered cagrilintide and semaglutide versus semaglutide alone in adults with overweight or obesity with or without type 2 diabetes in Japan and Taiwan (REDEFINE 5): a multicentre, randomised, active-controlled, phase 3a trial. PMID 42009015</w:t>
      </w:r>
    </w:p>
    <w:p>
      <w:pPr>
        <w:numPr>
          <w:ilvl w:val="0"/>
          <w:numId w:val="1379"/>
        </w:numPr>
        <w:pStyle w:val="Compact"/>
      </w:pPr>
      <w:r>
        <w:t xml:space="preserve">2026 · Zaccardi F ·</w:t>
      </w:r>
      <w:r>
        <w:t xml:space="preserve"> </w:t>
      </w:r>
      <w:r>
        <w:rPr>
          <w:iCs/>
          <w:i/>
        </w:rPr>
        <w:t xml:space="preserve">Diabetes Obes Metab</w:t>
      </w:r>
      <w:r>
        <w:t xml:space="preserve"> </w:t>
      </w:r>
      <w:r>
        <w:t xml:space="preserve">· Semaglutide Treatment in Young Adults Living With Type 2 Diabetes: A Post Hoc Analysis From the SUSTAIN and PIONEER Clinical Trials. PMID 41994903</w:t>
      </w:r>
    </w:p>
    <w:p>
      <w:pPr>
        <w:numPr>
          <w:ilvl w:val="0"/>
          <w:numId w:val="1379"/>
        </w:numPr>
        <w:pStyle w:val="Compact"/>
      </w:pPr>
      <w:r>
        <w:t xml:space="preserve">2026 · Meyhöfer SM ·</w:t>
      </w:r>
      <w:r>
        <w:t xml:space="preserve"> </w:t>
      </w:r>
      <w:r>
        <w:rPr>
          <w:iCs/>
          <w:i/>
        </w:rPr>
        <w:t xml:space="preserve">Nat Med</w:t>
      </w:r>
      <w:r>
        <w:t xml:space="preserve"> </w:t>
      </w:r>
      <w:r>
        <w:t xml:space="preserve">· Semaglutide on liver fibrosis and heart outcomes in patients at high risk of liver fibrosis: a prespecified analysis of the SELECT randomized trial. PMID 41928037</w:t>
      </w:r>
    </w:p>
    <w:p>
      <w:pPr>
        <w:numPr>
          <w:ilvl w:val="0"/>
          <w:numId w:val="1379"/>
        </w:numPr>
        <w:pStyle w:val="Compact"/>
      </w:pPr>
      <w:r>
        <w:t xml:space="preserve">2026 · Moreno-Pérez Ó ·</w:t>
      </w:r>
      <w:r>
        <w:t xml:space="preserve"> </w:t>
      </w:r>
      <w:r>
        <w:rPr>
          <w:iCs/>
          <w:i/>
        </w:rPr>
        <w:t xml:space="preserve">Cardiovasc Diabetol</w:t>
      </w:r>
      <w:r>
        <w:t xml:space="preserve"> </w:t>
      </w:r>
      <w:r>
        <w:t xml:space="preserve">· Inpatient safety, effectiveness of SGLT2 inhibitors and GLP-1 RAs in type 2 diabetes: ENDOCARE, a pragmatic prospective cohort study. PMID 41913157</w:t>
      </w:r>
    </w:p>
    <w:p>
      <w:pPr>
        <w:numPr>
          <w:ilvl w:val="0"/>
          <w:numId w:val="1379"/>
        </w:numPr>
        <w:pStyle w:val="Compact"/>
      </w:pPr>
      <w:r>
        <w:t xml:space="preserve">2026 · Mulvagh SL ·</w:t>
      </w:r>
      <w:r>
        <w:t xml:space="preserve"> </w:t>
      </w:r>
      <w:r>
        <w:rPr>
          <w:iCs/>
          <w:i/>
        </w:rPr>
        <w:t xml:space="preserve">JAMA Cardiol</w:t>
      </w:r>
      <w:r>
        <w:t xml:space="preserve"> </w:t>
      </w:r>
      <w:r>
        <w:t xml:space="preserve">· Oral Semaglutide and Change in Cardiovascular Risk Factors in High-Risk Type 2 Diabetes: A Post Hoc Secondary Analysis of the SOUL Randomized Clinical Trial. PMID 41879791</w:t>
      </w:r>
    </w:p>
    <w:p>
      <w:pPr>
        <w:numPr>
          <w:ilvl w:val="0"/>
          <w:numId w:val="1379"/>
        </w:numPr>
        <w:pStyle w:val="Compact"/>
      </w:pPr>
      <w:r>
        <w:t xml:space="preserve">2026 · Yang SI ·</w:t>
      </w:r>
      <w:r>
        <w:t xml:space="preserve"> </w:t>
      </w:r>
      <w:r>
        <w:rPr>
          <w:iCs/>
          <w:i/>
        </w:rPr>
        <w:t xml:space="preserve">Nat Commun</w:t>
      </w:r>
      <w:r>
        <w:t xml:space="preserve"> </w:t>
      </w:r>
      <w:r>
        <w:t xml:space="preserve">· Bispecific GLP-1/GLP-2 agonism in advanced type 2 diabetes: preclinical characterization and a randomized, double-blind, placebo-controlled phase I trial. PMID 41876542</w:t>
      </w:r>
    </w:p>
    <w:p>
      <w:pPr>
        <w:numPr>
          <w:ilvl w:val="0"/>
          <w:numId w:val="1379"/>
        </w:numPr>
        <w:pStyle w:val="Compact"/>
      </w:pPr>
      <w:r>
        <w:t xml:space="preserve">2026 · Aronne LJ ·</w:t>
      </w:r>
      <w:r>
        <w:t xml:space="preserve"> </w:t>
      </w:r>
      <w:r>
        <w:rPr>
          <w:iCs/>
          <w:i/>
        </w:rPr>
        <w:t xml:space="preserve">Am J Med</w:t>
      </w:r>
      <w:r>
        <w:t xml:space="preserve"> </w:t>
      </w:r>
      <w:r>
        <w:t xml:space="preserve">· Relationship of early rapid weight loss to efficacy and safety of tirzepatide and semaglutide for obesity: SURMOUNT-5 post hoc analysis. PMID 41865857</w:t>
      </w:r>
    </w:p>
    <w:p>
      <w:pPr>
        <w:numPr>
          <w:ilvl w:val="0"/>
          <w:numId w:val="1379"/>
        </w:numPr>
        <w:pStyle w:val="Compact"/>
      </w:pPr>
      <w:r>
        <w:t xml:space="preserve">2026 · Cummings JL ·</w:t>
      </w:r>
      <w:r>
        <w:t xml:space="preserve"> </w:t>
      </w:r>
      <w:r>
        <w:rPr>
          <w:iCs/>
          <w:i/>
        </w:rPr>
        <w:t xml:space="preserve">Lancet</w:t>
      </w:r>
      <w:r>
        <w:t xml:space="preserve"> </w:t>
      </w:r>
      <w:r>
        <w:t xml:space="preserve">· Efficacy and safety of oral semaglutide 14 mg (flexible dose) in early-stage symptomatic Alzheimer’s disease (evoke and evoke+): two phase 3, randomised, placebo-controlled trials. PMID 41865758</w:t>
      </w:r>
    </w:p>
    <w:p>
      <w:pPr>
        <w:numPr>
          <w:ilvl w:val="0"/>
          <w:numId w:val="1379"/>
        </w:numPr>
        <w:pStyle w:val="Compact"/>
      </w:pPr>
      <w:r>
        <w:t xml:space="preserve">2026 · Scheen A ·</w:t>
      </w:r>
      <w:r>
        <w:t xml:space="preserve"> </w:t>
      </w:r>
      <w:r>
        <w:rPr>
          <w:iCs/>
          <w:i/>
        </w:rPr>
        <w:t xml:space="preserve">Rev Med Liege</w:t>
      </w:r>
      <w:r>
        <w:t xml:space="preserve"> </w:t>
      </w:r>
      <w:r>
        <w:t xml:space="preserve">· [SURPASS CVOT : cardiovascular benefits with tirzepatide versus dulaglutide in type 2 diabetes]. PMID 41815032</w:t>
      </w:r>
    </w:p>
    <w:p>
      <w:pPr>
        <w:numPr>
          <w:ilvl w:val="0"/>
          <w:numId w:val="1379"/>
        </w:numPr>
        <w:pStyle w:val="Compact"/>
      </w:pPr>
      <w:r>
        <w:t xml:space="preserve">2026 · Schrage B ·</w:t>
      </w:r>
      <w:r>
        <w:t xml:space="preserve"> </w:t>
      </w:r>
      <w:r>
        <w:rPr>
          <w:iCs/>
          <w:i/>
        </w:rPr>
        <w:t xml:space="preserve">J Am Coll Cardiol</w:t>
      </w:r>
      <w:r>
        <w:t xml:space="preserve"> </w:t>
      </w:r>
      <w:r>
        <w:t xml:space="preserve">· Emulated Effects of Glucagon-Like Peptide 1 Receptor Agonist Therapy in the General Population. PMID 41811277</w:t>
      </w:r>
    </w:p>
    <w:p>
      <w:pPr>
        <w:numPr>
          <w:ilvl w:val="0"/>
          <w:numId w:val="1379"/>
        </w:numPr>
        <w:pStyle w:val="Compact"/>
      </w:pPr>
      <w:r>
        <w:t xml:space="preserve">2026 · Ganeshalingam AA ·</w:t>
      </w:r>
      <w:r>
        <w:t xml:space="preserve"> </w:t>
      </w:r>
      <w:r>
        <w:rPr>
          <w:iCs/>
          <w:i/>
        </w:rPr>
        <w:t xml:space="preserve">Diabetes Care</w:t>
      </w:r>
      <w:r>
        <w:t xml:space="preserve"> </w:t>
      </w:r>
      <w:r>
        <w:t xml:space="preserve">· Semaglutide Effects on Insulin Sensitivity and β-Cell Function in Patients With Schizophrenia, Prediabetes, and Obesity Treated With Second-Generation Antipsychotics: Findings From the HISTORI Trial, a 30-Week Randomized, Placebo-Controlled Trial With Semaglutide 1.0 mg Weekly. PMID 41778920</w:t>
      </w:r>
    </w:p>
    <w:p>
      <w:pPr>
        <w:numPr>
          <w:ilvl w:val="0"/>
          <w:numId w:val="1379"/>
        </w:numPr>
        <w:pStyle w:val="Compact"/>
      </w:pPr>
      <w:r>
        <w:t xml:space="preserve">2026 · Heymsfield SB ·</w:t>
      </w:r>
      <w:r>
        <w:t xml:space="preserve"> </w:t>
      </w:r>
      <w:r>
        <w:rPr>
          <w:iCs/>
          <w:i/>
        </w:rPr>
        <w:t xml:space="preserve">Nat Med</w:t>
      </w:r>
      <w:r>
        <w:t xml:space="preserve"> </w:t>
      </w:r>
      <w:r>
        <w:t xml:space="preserve">· Bimagrumab plus semaglutide alone or in combination for the treatment of obesity: a randomized phase 2 trial. PMID 41772149</w:t>
      </w:r>
    </w:p>
    <w:p>
      <w:pPr>
        <w:numPr>
          <w:ilvl w:val="0"/>
          <w:numId w:val="1379"/>
        </w:numPr>
        <w:pStyle w:val="Compact"/>
      </w:pPr>
      <w:r>
        <w:t xml:space="preserve">2026 · Rosenstock J ·</w:t>
      </w:r>
      <w:r>
        <w:t xml:space="preserve"> </w:t>
      </w:r>
      <w:r>
        <w:rPr>
          <w:iCs/>
          <w:i/>
        </w:rPr>
        <w:t xml:space="preserve">Lancet</w:t>
      </w:r>
      <w:r>
        <w:t xml:space="preserve"> </w:t>
      </w:r>
      <w:r>
        <w:t xml:space="preserve">· Efficacy and safety of once-daily oral orforglipron compared with oral semaglutide in adults with type 2 diabetes (ACHIEVE-3): a multinational, multicentre, non-inferiority, open-label, randomised, phase 3 trial. PMID 41765029</w:t>
      </w:r>
    </w:p>
    <w:p>
      <w:pPr>
        <w:numPr>
          <w:ilvl w:val="0"/>
          <w:numId w:val="1379"/>
        </w:numPr>
        <w:pStyle w:val="Compact"/>
      </w:pPr>
      <w:r>
        <w:t xml:space="preserve">2026 · Rayner B ·</w:t>
      </w:r>
      <w:r>
        <w:t xml:space="preserve"> </w:t>
      </w:r>
      <w:r>
        <w:rPr>
          <w:iCs/>
          <w:i/>
        </w:rPr>
        <w:t xml:space="preserve">Nephrol Dial Transplant</w:t>
      </w:r>
      <w:r>
        <w:t xml:space="preserve"> </w:t>
      </w:r>
      <w:r>
        <w:t xml:space="preserve">· Effect of semaglutide on COVID-19 and other infections: an analysis from the FLOW randomized clinical trial. PMID 41728915</w:t>
      </w:r>
    </w:p>
    <w:p>
      <w:pPr>
        <w:numPr>
          <w:ilvl w:val="0"/>
          <w:numId w:val="1379"/>
        </w:numPr>
        <w:pStyle w:val="Compact"/>
      </w:pPr>
      <w:r>
        <w:t xml:space="preserve">2026 · Uhrenholt N ·</w:t>
      </w:r>
      <w:r>
        <w:t xml:space="preserve"> </w:t>
      </w:r>
      <w:r>
        <w:rPr>
          <w:iCs/>
          <w:i/>
        </w:rPr>
        <w:t xml:space="preserve">Schizophr Res</w:t>
      </w:r>
      <w:r>
        <w:t xml:space="preserve"> </w:t>
      </w:r>
      <w:r>
        <w:t xml:space="preserve">· Improved quality of life with semaglutide in schizophrenia: Secondary analyses from a randomized controlled trial. PMID 41702353</w:t>
      </w:r>
    </w:p>
    <w:p>
      <w:pPr>
        <w:numPr>
          <w:ilvl w:val="0"/>
          <w:numId w:val="1379"/>
        </w:numPr>
        <w:pStyle w:val="Compact"/>
      </w:pPr>
      <w:r>
        <w:t xml:space="preserve">2026 · Pop-Busui R ·</w:t>
      </w:r>
      <w:r>
        <w:t xml:space="preserve"> </w:t>
      </w:r>
      <w:r>
        <w:rPr>
          <w:iCs/>
          <w:i/>
        </w:rPr>
        <w:t xml:space="preserve">JAMA Intern Med</w:t>
      </w:r>
      <w:r>
        <w:t xml:space="preserve"> </w:t>
      </w:r>
      <w:r>
        <w:t xml:space="preserve">· Oral Semaglutide and Heart Failure Outcomes in Persons With Type 2 Diabetes: A Secondary Analysis of the SOUL Randomized Clinical Trial. PMID 41627802</w:t>
      </w:r>
    </w:p>
    <w:p>
      <w:pPr>
        <w:numPr>
          <w:ilvl w:val="0"/>
          <w:numId w:val="1379"/>
        </w:numPr>
        <w:pStyle w:val="Compact"/>
      </w:pPr>
      <w:r>
        <w:t xml:space="preserve">2026 · Yen Y ·</w:t>
      </w:r>
      <w:r>
        <w:t xml:space="preserve"> </w:t>
      </w:r>
      <w:r>
        <w:rPr>
          <w:iCs/>
          <w:i/>
        </w:rPr>
        <w:t xml:space="preserve">BMC Med</w:t>
      </w:r>
      <w:r>
        <w:t xml:space="preserve"> </w:t>
      </w:r>
      <w:r>
        <w:t xml:space="preserve">· Comparative effectiveness of sleeve gastrectomy and semaglutide for weight loss and metabolic outcomes: a prospective non-randomized study. PMID 41572274</w:t>
      </w:r>
    </w:p>
    <w:p>
      <w:pPr>
        <w:numPr>
          <w:ilvl w:val="0"/>
          <w:numId w:val="1379"/>
        </w:numPr>
        <w:pStyle w:val="Compact"/>
      </w:pPr>
      <w:r>
        <w:t xml:space="preserve">2026 · Bøg M ·</w:t>
      </w:r>
      <w:r>
        <w:t xml:space="preserve"> </w:t>
      </w:r>
      <w:r>
        <w:rPr>
          <w:iCs/>
          <w:i/>
        </w:rPr>
        <w:t xml:space="preserve">Pharmacoeconomics</w:t>
      </w:r>
      <w:r>
        <w:t xml:space="preserve"> </w:t>
      </w:r>
      <w:r>
        <w:t xml:space="preserve">· Development of Cardiovascular Risk Equations in People with Overweight or Obesity and Established Cardiovascular Disease Without Diabetes Based on the SELECT Trial. PMID 41553702</w:t>
      </w:r>
    </w:p>
    <w:p>
      <w:pPr>
        <w:numPr>
          <w:ilvl w:val="0"/>
          <w:numId w:val="1379"/>
        </w:numPr>
        <w:pStyle w:val="Compact"/>
      </w:pPr>
      <w:r>
        <w:t xml:space="preserve">2026 · Ajmera V ·</w:t>
      </w:r>
      <w:r>
        <w:t xml:space="preserve"> </w:t>
      </w:r>
      <w:r>
        <w:rPr>
          <w:iCs/>
          <w:i/>
        </w:rPr>
        <w:t xml:space="preserve">Aliment Pharmacol Ther</w:t>
      </w:r>
      <w:r>
        <w:t xml:space="preserve"> </w:t>
      </w:r>
      <w:r>
        <w:t xml:space="preserve">· Clinical Trial: Semaglutide Versus Placebo in NIT-Assessed MASH-A Multicenter Randomised Placebo-Controlled Trial (SAMARA). PMID 41527269</w:t>
      </w:r>
    </w:p>
    <w:p>
      <w:pPr>
        <w:numPr>
          <w:ilvl w:val="0"/>
          <w:numId w:val="1379"/>
        </w:numPr>
        <w:pStyle w:val="Compact"/>
      </w:pPr>
      <w:r>
        <w:t xml:space="preserve">2026 · Stefanakis K ·</w:t>
      </w:r>
      <w:r>
        <w:t xml:space="preserve"> </w:t>
      </w:r>
      <w:r>
        <w:rPr>
          <w:iCs/>
          <w:i/>
        </w:rPr>
        <w:t xml:space="preserve">Metabolism</w:t>
      </w:r>
      <w:r>
        <w:t xml:space="preserve"> </w:t>
      </w:r>
      <w:r>
        <w:t xml:space="preserve">· Proteomic effects of short-term liraglutide vs. placebo in a blinded crossover RCT: Implications for efficacy, safety, and comparison with semaglutide. PMID 41513169</w:t>
      </w:r>
    </w:p>
    <w:p>
      <w:pPr>
        <w:numPr>
          <w:ilvl w:val="0"/>
          <w:numId w:val="1379"/>
        </w:numPr>
        <w:pStyle w:val="Compact"/>
      </w:pPr>
      <w:r>
        <w:t xml:space="preserve">2026 · Ferrulli A ·</w:t>
      </w:r>
      <w:r>
        <w:t xml:space="preserve"> </w:t>
      </w:r>
      <w:r>
        <w:rPr>
          <w:iCs/>
          <w:i/>
        </w:rPr>
        <w:t xml:space="preserve">Obesity (Silver Spring)</w:t>
      </w:r>
      <w:r>
        <w:t xml:space="preserve"> </w:t>
      </w:r>
      <w:r>
        <w:t xml:space="preserve">· Weight Loss With SGLT2 Inhibitors, Semaglutide, and Transcranial Magnetic Stimulation in Type 2 Diabetes and Obesity. PMID 41451880</w:t>
      </w:r>
    </w:p>
    <w:p>
      <w:pPr>
        <w:numPr>
          <w:ilvl w:val="0"/>
          <w:numId w:val="1379"/>
        </w:numPr>
        <w:pStyle w:val="Compact"/>
      </w:pPr>
      <w:r>
        <w:t xml:space="preserve">2026 · Nicholls SJ ·</w:t>
      </w:r>
      <w:r>
        <w:t xml:space="preserve"> </w:t>
      </w:r>
      <w:r>
        <w:rPr>
          <w:iCs/>
          <w:i/>
        </w:rPr>
        <w:t xml:space="preserve">JAMA Cardiol</w:t>
      </w:r>
      <w:r>
        <w:t xml:space="preserve"> </w:t>
      </w:r>
      <w:r>
        <w:t xml:space="preserve">· Semaglutide and Hospitalizations in Patients With Obesity and Established Cardiovascular Disease: An Exploratory Analysis of the SELECT Randomized Clinical Trial. PMID 41433034</w:t>
      </w:r>
    </w:p>
    <w:p>
      <w:pPr>
        <w:numPr>
          <w:ilvl w:val="0"/>
          <w:numId w:val="1379"/>
        </w:numPr>
        <w:pStyle w:val="Compact"/>
      </w:pPr>
      <w:r>
        <w:t xml:space="preserve">2026 · Karakus KE ·</w:t>
      </w:r>
      <w:r>
        <w:t xml:space="preserve"> </w:t>
      </w:r>
      <w:r>
        <w:rPr>
          <w:iCs/>
          <w:i/>
        </w:rPr>
        <w:t xml:space="preserve">Diabetes Care</w:t>
      </w:r>
      <w:r>
        <w:t xml:space="preserve"> </w:t>
      </w:r>
      <w:r>
        <w:t xml:space="preserve">· Effect of Semaglutide on Insulin Dose Reduction in Adults With Type 1 Diabetes and Obesity Using Automated Insulin Delivery Systems: ADJUST-T1D Post Hoc Analysis. PMID 41429002</w:t>
      </w:r>
    </w:p>
    <w:p>
      <w:pPr>
        <w:numPr>
          <w:ilvl w:val="0"/>
          <w:numId w:val="1379"/>
        </w:numPr>
        <w:pStyle w:val="Compact"/>
      </w:pPr>
      <w:r>
        <w:t xml:space="preserve">2026 · Neves JS ·</w:t>
      </w:r>
      <w:r>
        <w:t xml:space="preserve"> </w:t>
      </w:r>
      <w:r>
        <w:rPr>
          <w:iCs/>
          <w:i/>
        </w:rPr>
        <w:t xml:space="preserve">Diabetologia</w:t>
      </w:r>
      <w:r>
        <w:t xml:space="preserve"> </w:t>
      </w:r>
      <w:r>
        <w:t xml:space="preserve">· Efficacy of tirzepatide versus semaglutide in achieving therapeutic targets in type 2 diabetes: a post hoc analysis of the SURPASS-2 Trial. PMID 41419618</w:t>
      </w:r>
    </w:p>
    <w:p>
      <w:pPr>
        <w:numPr>
          <w:ilvl w:val="0"/>
          <w:numId w:val="1379"/>
        </w:numPr>
        <w:pStyle w:val="Compact"/>
      </w:pPr>
      <w:r>
        <w:t xml:space="preserve">2026 · Mann JFE ·</w:t>
      </w:r>
      <w:r>
        <w:t xml:space="preserve"> </w:t>
      </w:r>
      <w:r>
        <w:rPr>
          <w:iCs/>
          <w:i/>
        </w:rPr>
        <w:t xml:space="preserve">Diabetes Care</w:t>
      </w:r>
      <w:r>
        <w:t xml:space="preserve"> </w:t>
      </w:r>
      <w:r>
        <w:t xml:space="preserve">· Impact of Oral Semaglutide on Kidney Outcomes in People With Type 2 Diabetes: Results From the SOUL Randomized Trial. PMID 41380027</w:t>
      </w:r>
    </w:p>
    <w:p>
      <w:pPr>
        <w:numPr>
          <w:ilvl w:val="0"/>
          <w:numId w:val="1379"/>
        </w:numPr>
        <w:pStyle w:val="Compact"/>
      </w:pPr>
      <w:r>
        <w:t xml:space="preserve">2026 · Sass MR ·</w:t>
      </w:r>
      <w:r>
        <w:t xml:space="preserve"> </w:t>
      </w:r>
      <w:r>
        <w:rPr>
          <w:iCs/>
          <w:i/>
        </w:rPr>
        <w:t xml:space="preserve">JAMA Psychiatry</w:t>
      </w:r>
      <w:r>
        <w:t xml:space="preserve"> </w:t>
      </w:r>
      <w:r>
        <w:t xml:space="preserve">· Semaglutide and Early-Stage Metabolic Abnormalities in Individuals With Schizophrenia Spectrum Disorders: A Randomized Clinical Trial. PMID 41335431</w:t>
      </w:r>
    </w:p>
    <w:p>
      <w:pPr>
        <w:numPr>
          <w:ilvl w:val="0"/>
          <w:numId w:val="1379"/>
        </w:numPr>
        <w:pStyle w:val="Compact"/>
      </w:pPr>
      <w:r>
        <w:t xml:space="preserve">2026 · Verma S ·</w:t>
      </w:r>
      <w:r>
        <w:t xml:space="preserve"> </w:t>
      </w:r>
      <w:r>
        <w:rPr>
          <w:iCs/>
          <w:i/>
        </w:rPr>
        <w:t xml:space="preserve">Hypertension</w:t>
      </w:r>
      <w:r>
        <w:t xml:space="preserve"> </w:t>
      </w:r>
      <w:r>
        <w:t xml:space="preserve">· CagriSema Reduces Blood Pressure in Adults With Overweight or Obesity: REDEFINE 1. PMID 41328546</w:t>
      </w:r>
    </w:p>
    <w:p>
      <w:pPr>
        <w:numPr>
          <w:ilvl w:val="0"/>
          <w:numId w:val="1379"/>
        </w:numPr>
        <w:pStyle w:val="Compact"/>
      </w:pPr>
      <w:r>
        <w:t xml:space="preserve">2026 · Arslanian S ·</w:t>
      </w:r>
      <w:r>
        <w:t xml:space="preserve"> </w:t>
      </w:r>
      <w:r>
        <w:rPr>
          <w:iCs/>
          <w:i/>
        </w:rPr>
        <w:t xml:space="preserve">Diabetes Care</w:t>
      </w:r>
      <w:r>
        <w:t xml:space="preserve"> </w:t>
      </w:r>
      <w:r>
        <w:t xml:space="preserve">· Effect of Semaglutide on Insulin Sensitivity and Cardiometabolic Risk Factors in Adolescents With Obesity: The STEP TEENS Study. PMID 41296499</w:t>
      </w:r>
    </w:p>
    <w:p>
      <w:pPr>
        <w:numPr>
          <w:ilvl w:val="0"/>
          <w:numId w:val="1379"/>
        </w:numPr>
        <w:pStyle w:val="Compact"/>
      </w:pPr>
      <w:r>
        <w:t xml:space="preserve">2026 · Badulescu S ·</w:t>
      </w:r>
      <w:r>
        <w:t xml:space="preserve"> </w:t>
      </w:r>
      <w:r>
        <w:rPr>
          <w:iCs/>
          <w:i/>
        </w:rPr>
        <w:t xml:space="preserve">Med</w:t>
      </w:r>
      <w:r>
        <w:t xml:space="preserve"> </w:t>
      </w:r>
      <w:r>
        <w:t xml:space="preserve">· Semaglutide for the treatment of cognitive dysfunction in major depressive disorder: A randomized clinical trial. PMID 41218611</w:t>
      </w:r>
    </w:p>
    <w:p>
      <w:pPr>
        <w:numPr>
          <w:ilvl w:val="0"/>
          <w:numId w:val="1379"/>
        </w:numPr>
        <w:pStyle w:val="Compact"/>
      </w:pPr>
      <w:r>
        <w:t xml:space="preserve">2026 · Shukla AP ·</w:t>
      </w:r>
      <w:r>
        <w:t xml:space="preserve"> </w:t>
      </w:r>
      <w:r>
        <w:rPr>
          <w:iCs/>
          <w:i/>
        </w:rPr>
        <w:t xml:space="preserve">Diabetes Obes Metab</w:t>
      </w:r>
      <w:r>
        <w:t xml:space="preserve"> </w:t>
      </w:r>
      <w:r>
        <w:t xml:space="preserve">· Improved health-related quality of life with tirzepatide versus semaglutide in adults with obesity or overweight from the SURMOUNT-5 trial. PMID 41187971</w:t>
      </w:r>
    </w:p>
    <w:p>
      <w:pPr>
        <w:numPr>
          <w:ilvl w:val="0"/>
          <w:numId w:val="1379"/>
        </w:numPr>
        <w:pStyle w:val="Compact"/>
      </w:pPr>
      <w:r>
        <w:t xml:space="preserve">2026 · Pasqua MR ·</w:t>
      </w:r>
      <w:r>
        <w:t xml:space="preserve"> </w:t>
      </w:r>
      <w:r>
        <w:rPr>
          <w:iCs/>
          <w:i/>
        </w:rPr>
        <w:t xml:space="preserve">Can J Diabetes</w:t>
      </w:r>
      <w:r>
        <w:t xml:space="preserve"> </w:t>
      </w:r>
      <w:r>
        <w:t xml:space="preserve">· Semaglutide Use With Automated Insulin Delivery in Adults With Type 1 Diabetes: Qualitative Analyses and Patient-reported Outcomes From a Randomized Controlled Trial. PMID 41175929</w:t>
      </w:r>
    </w:p>
    <w:p>
      <w:pPr>
        <w:numPr>
          <w:ilvl w:val="0"/>
          <w:numId w:val="1379"/>
        </w:numPr>
        <w:pStyle w:val="Compact"/>
      </w:pPr>
      <w:r>
        <w:t xml:space="preserve">2026 · Pasqua MR ·</w:t>
      </w:r>
      <w:r>
        <w:t xml:space="preserve"> </w:t>
      </w:r>
      <w:r>
        <w:rPr>
          <w:iCs/>
          <w:i/>
        </w:rPr>
        <w:t xml:space="preserve">Diabetes Obes Metab</w:t>
      </w:r>
      <w:r>
        <w:t xml:space="preserve"> </w:t>
      </w:r>
      <w:r>
        <w:t xml:space="preserve">· Changes to insulin requirements over time with semaglutide in adults with type 1 diabetes on insulin pump therapy: A post-hoc analysis of a double-blinded, randomised, crossover trial. PMID 41144928</w:t>
      </w:r>
    </w:p>
    <w:p>
      <w:pPr>
        <w:numPr>
          <w:ilvl w:val="0"/>
          <w:numId w:val="1379"/>
        </w:numPr>
        <w:pStyle w:val="Compact"/>
      </w:pPr>
      <w:r>
        <w:t xml:space="preserve">2026 · Atieh O ·</w:t>
      </w:r>
      <w:r>
        <w:t xml:space="preserve"> </w:t>
      </w:r>
      <w:r>
        <w:rPr>
          <w:iCs/>
          <w:i/>
        </w:rPr>
        <w:t xml:space="preserve">Clin Infect Dis</w:t>
      </w:r>
      <w:r>
        <w:t xml:space="preserve"> </w:t>
      </w:r>
      <w:r>
        <w:t xml:space="preserve">· Effects of Semaglutide on Cognitive Function in People With HIV: A Randomized, Controlled Trial. PMID 41098140</w:t>
      </w:r>
    </w:p>
    <w:p>
      <w:pPr>
        <w:numPr>
          <w:ilvl w:val="0"/>
          <w:numId w:val="1379"/>
        </w:numPr>
        <w:pStyle w:val="Compact"/>
      </w:pPr>
      <w:r>
        <w:t xml:space="preserve">2026 · Katrevula A ·</w:t>
      </w:r>
      <w:r>
        <w:t xml:space="preserve"> </w:t>
      </w:r>
      <w:r>
        <w:rPr>
          <w:iCs/>
          <w:i/>
        </w:rPr>
        <w:t xml:space="preserve">Indian J Gastroenterol</w:t>
      </w:r>
      <w:r>
        <w:t xml:space="preserve"> </w:t>
      </w:r>
      <w:r>
        <w:t xml:space="preserve">· Oral semaglutide for weight loss and liver fibrosis in overweight and obesity: A randomized controlled trial. PMID 41066034</w:t>
      </w:r>
    </w:p>
    <w:p>
      <w:pPr>
        <w:numPr>
          <w:ilvl w:val="0"/>
          <w:numId w:val="1379"/>
        </w:numPr>
        <w:pStyle w:val="Compact"/>
      </w:pPr>
      <w:r>
        <w:t xml:space="preserve">2026 · Nitze LM ·</w:t>
      </w:r>
      <w:r>
        <w:t xml:space="preserve"> </w:t>
      </w:r>
      <w:r>
        <w:rPr>
          <w:iCs/>
          <w:i/>
        </w:rPr>
        <w:t xml:space="preserve">Aliment Pharmacol Ther</w:t>
      </w:r>
      <w:r>
        <w:t xml:space="preserve"> </w:t>
      </w:r>
      <w:r>
        <w:t xml:space="preserve">· Exploration of Multiple Non-Invasive Tests for Assessing Response to Treatment in a Semaglutide Phase 2b Trial in Patients with MASH. PMID 40985232</w:t>
      </w:r>
    </w:p>
    <w:p>
      <w:pPr>
        <w:numPr>
          <w:ilvl w:val="0"/>
          <w:numId w:val="1379"/>
        </w:numPr>
        <w:pStyle w:val="Compact"/>
      </w:pPr>
      <w:r>
        <w:t xml:space="preserve">2026 · Park B ·</w:t>
      </w:r>
      <w:r>
        <w:t xml:space="preserve"> </w:t>
      </w:r>
      <w:r>
        <w:rPr>
          <w:iCs/>
          <w:i/>
        </w:rPr>
        <w:t xml:space="preserve">Eur Heart J</w:t>
      </w:r>
      <w:r>
        <w:t xml:space="preserve"> </w:t>
      </w:r>
      <w:r>
        <w:t xml:space="preserve">· Semaglutide promotes bone marrow-derived progenitor cell flux towards an anti-inflammatory and pro-regenerative profile in high-risk patients: the SEMA-VR CardioLink-15 trial. PMID 40886061</w:t>
      </w:r>
    </w:p>
    <w:p>
      <w:pPr>
        <w:numPr>
          <w:ilvl w:val="0"/>
          <w:numId w:val="1379"/>
        </w:numPr>
        <w:pStyle w:val="Compact"/>
      </w:pPr>
      <w:r>
        <w:t xml:space="preserve">2025 · Youovop J ·</w:t>
      </w:r>
      <w:r>
        <w:t xml:space="preserve"> </w:t>
      </w:r>
      <w:r>
        <w:rPr>
          <w:iCs/>
          <w:i/>
        </w:rPr>
        <w:t xml:space="preserve">Medicina (Kaunas)</w:t>
      </w:r>
      <w:r>
        <w:t xml:space="preserve"> </w:t>
      </w:r>
      <w:r>
        <w:t xml:space="preserve">· Effects of Dichrostachys glomerata and Cissus quadrangularis Extracts on GLP-1 Secretion and DPP-4 Activity in Overweight and Obese Individuals: A Randomized Controlled Trial. PMID 41597327</w:t>
      </w:r>
    </w:p>
    <w:p>
      <w:pPr>
        <w:numPr>
          <w:ilvl w:val="0"/>
          <w:numId w:val="1379"/>
        </w:numPr>
        <w:pStyle w:val="Compact"/>
      </w:pPr>
      <w:r>
        <w:t xml:space="preserve">2025 · Rossing P ·</w:t>
      </w:r>
      <w:r>
        <w:t xml:space="preserve"> </w:t>
      </w:r>
      <w:r>
        <w:rPr>
          <w:iCs/>
          <w:i/>
        </w:rPr>
        <w:t xml:space="preserve">Cardiovasc Diabetol</w:t>
      </w:r>
      <w:r>
        <w:t xml:space="preserve"> </w:t>
      </w:r>
      <w:r>
        <w:t xml:space="preserve">· Once-weekly semaglutide versus placebo for the treatment of type 2 diabetes and chronic kidney disease in Denmark: A long-term cost-effectiveness analysis based on FLOW. PMID 41422027</w:t>
      </w:r>
    </w:p>
    <w:p>
      <w:pPr>
        <w:numPr>
          <w:ilvl w:val="0"/>
          <w:numId w:val="1379"/>
        </w:numPr>
        <w:pStyle w:val="Compact"/>
      </w:pPr>
      <w:r>
        <w:t xml:space="preserve">2025 · Wang H ·</w:t>
      </w:r>
      <w:r>
        <w:t xml:space="preserve"> </w:t>
      </w:r>
      <w:r>
        <w:rPr>
          <w:iCs/>
          <w:i/>
        </w:rPr>
        <w:t xml:space="preserve">Nat Commun</w:t>
      </w:r>
      <w:r>
        <w:t xml:space="preserve"> </w:t>
      </w:r>
      <w:r>
        <w:t xml:space="preserve">· Glucagon-like peptide-1 receptor agonist in large vessel occlusion treated by reperfusion therapy-a phase 2 randomized trial. PMID 41392086</w:t>
      </w:r>
    </w:p>
    <w:p>
      <w:pPr>
        <w:numPr>
          <w:ilvl w:val="0"/>
          <w:numId w:val="1379"/>
        </w:numPr>
        <w:pStyle w:val="Compact"/>
      </w:pPr>
      <w:r>
        <w:t xml:space="preserve">2025 · Pandey A ·</w:t>
      </w:r>
      <w:r>
        <w:t xml:space="preserve"> </w:t>
      </w:r>
      <w:r>
        <w:rPr>
          <w:iCs/>
          <w:i/>
        </w:rPr>
        <w:t xml:space="preserve">Eur J Heart Fail</w:t>
      </w:r>
      <w:r>
        <w:t xml:space="preserve"> </w:t>
      </w:r>
      <w:r>
        <w:t xml:space="preserve">· Effects of semaglutide in obesity-related heart failure with preserved ejection fraction across the age spectrum: Findings from the STEP-HFpEF programme. PMID 41290376</w:t>
      </w:r>
    </w:p>
    <w:p>
      <w:pPr>
        <w:numPr>
          <w:ilvl w:val="0"/>
          <w:numId w:val="1379"/>
        </w:numPr>
        <w:pStyle w:val="Compact"/>
      </w:pPr>
      <w:r>
        <w:t xml:space="preserve">2025 · Barakat KE ·</w:t>
      </w:r>
      <w:r>
        <w:t xml:space="preserve"> </w:t>
      </w:r>
      <w:r>
        <w:rPr>
          <w:iCs/>
          <w:i/>
        </w:rPr>
        <w:t xml:space="preserve">Obes Surg</w:t>
      </w:r>
      <w:r>
        <w:t xml:space="preserve"> </w:t>
      </w:r>
      <w:r>
        <w:t xml:space="preserve">· Adjunctive Semaglutide in Patients Undergoing Intragastric Balloon for Weight Loss: 12-Month Prospective Comparative Study. PMID 41212463</w:t>
      </w:r>
    </w:p>
    <w:p>
      <w:pPr>
        <w:numPr>
          <w:ilvl w:val="0"/>
          <w:numId w:val="1379"/>
        </w:numPr>
        <w:pStyle w:val="Compact"/>
      </w:pPr>
      <w:r>
        <w:t xml:space="preserve">2025 · Kattinakere Sreedhara S ·</w:t>
      </w:r>
      <w:r>
        <w:t xml:space="preserve"> </w:t>
      </w:r>
      <w:r>
        <w:rPr>
          <w:iCs/>
          <w:i/>
        </w:rPr>
        <w:t xml:space="preserve">BMJ Open Diabetes Res Care</w:t>
      </w:r>
      <w:r>
        <w:t xml:space="preserve"> </w:t>
      </w:r>
      <w:r>
        <w:t xml:space="preserve">· Using real-world data to predict findings of an ongoing phase IV trial: glycemic control of semaglutide versus standard of care. PMID 41161770</w:t>
      </w:r>
    </w:p>
    <w:p>
      <w:pPr>
        <w:numPr>
          <w:ilvl w:val="0"/>
          <w:numId w:val="1379"/>
        </w:numPr>
        <w:pStyle w:val="Compact"/>
      </w:pPr>
      <w:r>
        <w:t xml:space="preserve">2025 · Deanfield J ·</w:t>
      </w:r>
      <w:r>
        <w:t xml:space="preserve"> </w:t>
      </w:r>
      <w:r>
        <w:rPr>
          <w:iCs/>
          <w:i/>
        </w:rPr>
        <w:t xml:space="preserve">Lancet</w:t>
      </w:r>
      <w:r>
        <w:t xml:space="preserve"> </w:t>
      </w:r>
      <w:r>
        <w:t xml:space="preserve">· Semaglutide and cardiovascular outcomes by baseline and changes in adiposity measurements: a prespecified analysis of the SELECT trial. PMID 41138739</w:t>
      </w:r>
    </w:p>
    <w:p>
      <w:pPr>
        <w:numPr>
          <w:ilvl w:val="0"/>
          <w:numId w:val="1379"/>
        </w:numPr>
        <w:pStyle w:val="Compact"/>
      </w:pPr>
      <w:r>
        <w:t xml:space="preserve">2025 · Buse JB ·</w:t>
      </w:r>
      <w:r>
        <w:t xml:space="preserve"> </w:t>
      </w:r>
      <w:r>
        <w:rPr>
          <w:iCs/>
          <w:i/>
        </w:rPr>
        <w:t xml:space="preserve">BMJ Open Diabetes Res Care</w:t>
      </w:r>
      <w:r>
        <w:t xml:space="preserve"> </w:t>
      </w:r>
      <w:r>
        <w:t xml:space="preserve">· Long-term comparative effectiveness of once-weekly semaglutide versus alternative treatments in a real-world US adult population with type 2 diabetes: a randomized pragmatic clinical trial. PMID 41093600</w:t>
      </w:r>
    </w:p>
    <w:p>
      <w:pPr>
        <w:numPr>
          <w:ilvl w:val="0"/>
          <w:numId w:val="1379"/>
        </w:numPr>
        <w:pStyle w:val="Compact"/>
      </w:pPr>
      <w:r>
        <w:t xml:space="preserve">2025 · Borlaug BA ·</w:t>
      </w:r>
      <w:r>
        <w:t xml:space="preserve"> </w:t>
      </w:r>
      <w:r>
        <w:rPr>
          <w:iCs/>
          <w:i/>
        </w:rPr>
        <w:t xml:space="preserve">JACC Heart Fail</w:t>
      </w:r>
      <w:r>
        <w:t xml:space="preserve"> </w:t>
      </w:r>
      <w:r>
        <w:t xml:space="preserve">· Semaglutide and Exercise Function in Obesity-Related HFpEF: Insights From the STEP-HFpEF Program. PMID 41045908</w:t>
      </w:r>
    </w:p>
    <w:p>
      <w:pPr>
        <w:numPr>
          <w:ilvl w:val="0"/>
          <w:numId w:val="1379"/>
        </w:numPr>
        <w:pStyle w:val="Compact"/>
      </w:pPr>
      <w:r>
        <w:t xml:space="preserve">2025 · Lingvay I ·</w:t>
      </w:r>
      <w:r>
        <w:t xml:space="preserve"> </w:t>
      </w:r>
      <w:r>
        <w:rPr>
          <w:iCs/>
          <w:i/>
        </w:rPr>
        <w:t xml:space="preserve">Lancet Diabetes Endocrinol</w:t>
      </w:r>
      <w:r>
        <w:t xml:space="preserve"> </w:t>
      </w:r>
      <w:r>
        <w:t xml:space="preserve">· Once-weekly semaglutide 7·2 mg in adults with obesity and type 2 diabetes (STEP UP T2D): a randomised, controlled, phase 3b trial. PMID 40961953</w:t>
      </w:r>
    </w:p>
    <w:p>
      <w:pPr>
        <w:numPr>
          <w:ilvl w:val="0"/>
          <w:numId w:val="1379"/>
        </w:numPr>
        <w:pStyle w:val="Compact"/>
      </w:pPr>
      <w:r>
        <w:t xml:space="preserve">2025 · Wharton S ·</w:t>
      </w:r>
      <w:r>
        <w:t xml:space="preserve"> </w:t>
      </w:r>
      <w:r>
        <w:rPr>
          <w:iCs/>
          <w:i/>
        </w:rPr>
        <w:t xml:space="preserve">Lancet Diabetes Endocrinol</w:t>
      </w:r>
      <w:r>
        <w:t xml:space="preserve"> </w:t>
      </w:r>
      <w:r>
        <w:t xml:space="preserve">· Once-weekly semaglutide 7·2 mg in adults with obesity (STEP UP): a randomised, controlled, phase 3b trial. PMID 40961952</w:t>
      </w:r>
    </w:p>
    <w:p>
      <w:pPr>
        <w:numPr>
          <w:ilvl w:val="0"/>
          <w:numId w:val="1379"/>
        </w:numPr>
        <w:pStyle w:val="Compact"/>
      </w:pPr>
      <w:r>
        <w:t xml:space="preserve">2025 · Pandey A ·</w:t>
      </w:r>
      <w:r>
        <w:t xml:space="preserve"> </w:t>
      </w:r>
      <w:r>
        <w:rPr>
          <w:iCs/>
          <w:i/>
        </w:rPr>
        <w:t xml:space="preserve">JACC Heart Fail</w:t>
      </w:r>
      <w:r>
        <w:t xml:space="preserve"> </w:t>
      </w:r>
      <w:r>
        <w:t xml:space="preserve">· Frailty and Effects of Semaglutide in Obesity-Related HFpEF: Findings From the STEP-HFpEF Program. PMID 40956259</w:t>
      </w:r>
    </w:p>
    <w:p>
      <w:pPr>
        <w:numPr>
          <w:ilvl w:val="0"/>
          <w:numId w:val="1379"/>
        </w:numPr>
        <w:pStyle w:val="Compact"/>
      </w:pPr>
      <w:r>
        <w:t xml:space="preserve">2025 · Wharton S ·</w:t>
      </w:r>
      <w:r>
        <w:t xml:space="preserve"> </w:t>
      </w:r>
      <w:r>
        <w:rPr>
          <w:iCs/>
          <w:i/>
        </w:rPr>
        <w:t xml:space="preserve">N Engl J Med</w:t>
      </w:r>
      <w:r>
        <w:t xml:space="preserve"> </w:t>
      </w:r>
      <w:r>
        <w:t xml:space="preserve">· Oral Semaglutide at a Dose of 25 mg in Adults with Overweight or Obesity. PMID 40934115</w:t>
      </w:r>
    </w:p>
    <w:p>
      <w:pPr>
        <w:numPr>
          <w:ilvl w:val="0"/>
          <w:numId w:val="1379"/>
        </w:numPr>
        <w:pStyle w:val="Compact"/>
      </w:pPr>
      <w:r>
        <w:t xml:space="preserve">2025 · Ganeshalingam AA ·</w:t>
      </w:r>
      <w:r>
        <w:t xml:space="preserve"> </w:t>
      </w:r>
      <w:r>
        <w:rPr>
          <w:iCs/>
          <w:i/>
        </w:rPr>
        <w:t xml:space="preserve">JAMA Psychiatry</w:t>
      </w:r>
      <w:r>
        <w:t xml:space="preserve"> </w:t>
      </w:r>
      <w:r>
        <w:t xml:space="preserve">· Semaglutide Treatment of Antipsychotic-Treated Patients With Schizophrenia, Prediabetes, and Obesity: The HISTORI Randomized Clinical Trial. PMID 40900607</w:t>
      </w:r>
    </w:p>
    <w:p>
      <w:pPr>
        <w:numPr>
          <w:ilvl w:val="0"/>
          <w:numId w:val="1379"/>
        </w:numPr>
        <w:pStyle w:val="Compact"/>
      </w:pPr>
      <w:r>
        <w:t xml:space="preserve">2025 · Verma S ·</w:t>
      </w:r>
      <w:r>
        <w:t xml:space="preserve"> </w:t>
      </w:r>
      <w:r>
        <w:rPr>
          <w:iCs/>
          <w:i/>
        </w:rPr>
        <w:t xml:space="preserve">J Am Coll Cardiol</w:t>
      </w:r>
      <w:r>
        <w:t xml:space="preserve"> </w:t>
      </w:r>
      <w:r>
        <w:t xml:space="preserve">· Sex Differences in Effectiveness of Semaglutide in Patients With Peripheral Artery Disease: The STRIDE Trial. PMID 40892617</w:t>
      </w:r>
    </w:p>
    <w:p>
      <w:pPr>
        <w:numPr>
          <w:ilvl w:val="0"/>
          <w:numId w:val="1379"/>
        </w:numPr>
        <w:pStyle w:val="Compact"/>
      </w:pPr>
      <w:r>
        <w:t xml:space="preserve">2025 · Ji L ·</w:t>
      </w:r>
      <w:r>
        <w:t xml:space="preserve"> </w:t>
      </w:r>
      <w:r>
        <w:rPr>
          <w:iCs/>
          <w:i/>
        </w:rPr>
        <w:t xml:space="preserve">Diabetes Obes Metab</w:t>
      </w:r>
      <w:r>
        <w:t xml:space="preserve"> </w:t>
      </w:r>
      <w:r>
        <w:t xml:space="preserve">· Efficacy and safety of oral semaglutide in Chinese participants with type 2 diabetes: Subgroup analyses by baseline characteristics in the PIONEER 11 and 12 randomised controlled trials. PMID 40843773</w:t>
      </w:r>
    </w:p>
    <w:p>
      <w:pPr>
        <w:numPr>
          <w:ilvl w:val="0"/>
          <w:numId w:val="1379"/>
        </w:numPr>
        <w:pStyle w:val="Compact"/>
      </w:pPr>
      <w:r>
        <w:t xml:space="preserve">2025 · Lim S ·</w:t>
      </w:r>
      <w:r>
        <w:t xml:space="preserve"> </w:t>
      </w:r>
      <w:r>
        <w:rPr>
          <w:iCs/>
          <w:i/>
        </w:rPr>
        <w:t xml:space="preserve">Lancet Diabetes Endocrinol</w:t>
      </w:r>
      <w:r>
        <w:t xml:space="preserve"> </w:t>
      </w:r>
      <w:r>
        <w:t xml:space="preserve">· Once-weekly semaglutide 2·4 mg in an Asian population with obesity, defined as BMI ≥25 kg/m(2), in South Korea and Thailand (STEP 11): a randomised, double-blind, placebo-controlled, phase 3 trial. PMID 40825340</w:t>
      </w:r>
    </w:p>
    <w:p>
      <w:pPr>
        <w:numPr>
          <w:ilvl w:val="0"/>
          <w:numId w:val="1379"/>
        </w:numPr>
        <w:pStyle w:val="Compact"/>
      </w:pPr>
      <w:r>
        <w:t xml:space="preserve">2025 · Kadowaki T ·</w:t>
      </w:r>
      <w:r>
        <w:t xml:space="preserve"> </w:t>
      </w:r>
      <w:r>
        <w:rPr>
          <w:iCs/>
          <w:i/>
        </w:rPr>
        <w:t xml:space="preserve">JAMA Intern Med</w:t>
      </w:r>
      <w:r>
        <w:t xml:space="preserve"> </w:t>
      </w:r>
      <w:r>
        <w:t xml:space="preserve">· Oral Semaglutide in an East Asian Population With Overweight or Obesity, With or Without Type 2 Diabetes: The OASIS 2 Randomized Clinical Trial. PMID 40758358</w:t>
      </w:r>
    </w:p>
    <w:p>
      <w:pPr>
        <w:numPr>
          <w:ilvl w:val="0"/>
          <w:numId w:val="1379"/>
        </w:numPr>
        <w:pStyle w:val="Compact"/>
      </w:pPr>
      <w:r>
        <w:t xml:space="preserve">2025 · Rossing P ·</w:t>
      </w:r>
      <w:r>
        <w:t xml:space="preserve"> </w:t>
      </w:r>
      <w:r>
        <w:rPr>
          <w:iCs/>
          <w:i/>
        </w:rPr>
        <w:t xml:space="preserve">Diabetes Care</w:t>
      </w:r>
      <w:r>
        <w:t xml:space="preserve"> </w:t>
      </w:r>
      <w:r>
        <w:t xml:space="preserve">· Effects of Semaglutide With or Without Concomitant Mineralocorticoid Receptor Antagonist Use in Participants With Type 2 Diabetes and Chronic Kidney Disease: A FLOW Trial Prespecified Secondary Analysis. PMID 40730031</w:t>
      </w:r>
    </w:p>
    <w:p>
      <w:pPr>
        <w:numPr>
          <w:ilvl w:val="0"/>
          <w:numId w:val="1379"/>
        </w:numPr>
        <w:pStyle w:val="Compact"/>
      </w:pPr>
      <w:r>
        <w:t xml:space="preserve">2025 · Chen H ·</w:t>
      </w:r>
      <w:r>
        <w:t xml:space="preserve"> </w:t>
      </w:r>
      <w:r>
        <w:rPr>
          <w:iCs/>
          <w:i/>
        </w:rPr>
        <w:t xml:space="preserve">Reprod Biol Endocrinol</w:t>
      </w:r>
      <w:r>
        <w:t xml:space="preserve"> </w:t>
      </w:r>
      <w:r>
        <w:t xml:space="preserve">· Effects of combined metformin and semaglutide therapy on body weight, metabolic parameters, and reproductive outcomes in overweight/obese women with polycystic ovary syndrome: a prospective, randomized, controlled, open-label clinical trial. PMID 40713699</w:t>
      </w:r>
    </w:p>
    <w:p>
      <w:pPr>
        <w:numPr>
          <w:ilvl w:val="0"/>
          <w:numId w:val="1379"/>
        </w:numPr>
        <w:pStyle w:val="Compact"/>
      </w:pPr>
      <w:r>
        <w:t xml:space="preserve">2025 · Zhou J ·</w:t>
      </w:r>
      <w:r>
        <w:t xml:space="preserve"> </w:t>
      </w:r>
      <w:r>
        <w:rPr>
          <w:iCs/>
          <w:i/>
        </w:rPr>
        <w:t xml:space="preserve">Diabetes Obes Metab</w:t>
      </w:r>
      <w:r>
        <w:t xml:space="preserve"> </w:t>
      </w:r>
      <w:r>
        <w:t xml:space="preserve">· Effect of semaglutide versus placebo on cardiorenal outcomes by prior cardiovascular disease and baseline body mass index: Pooled post hoc analysis of SUSTAIN 6 and PIONEER 6. PMID 40704485</w:t>
      </w:r>
    </w:p>
    <w:p>
      <w:pPr>
        <w:numPr>
          <w:ilvl w:val="0"/>
          <w:numId w:val="1379"/>
        </w:numPr>
        <w:pStyle w:val="Compact"/>
      </w:pPr>
      <w:r>
        <w:t xml:space="preserve">2025 · Eldor R ·</w:t>
      </w:r>
      <w:r>
        <w:t xml:space="preserve"> </w:t>
      </w:r>
      <w:r>
        <w:rPr>
          <w:iCs/>
          <w:i/>
        </w:rPr>
        <w:t xml:space="preserve">Diabetes Care</w:t>
      </w:r>
      <w:r>
        <w:t xml:space="preserve"> </w:t>
      </w:r>
      <w:r>
        <w:t xml:space="preserve">· Gradual Titration of Semaglutide Results in Better Treatment Adherence and Fewer Adverse Events: A Randomized Controlled Open-Label Pilot Study Examining a 16-Week Flexible Titration Regimen Versus Label-Recommended 8-Week Semaglutide Titration Regimen. PMID 40673973</w:t>
      </w:r>
    </w:p>
    <w:p>
      <w:pPr>
        <w:numPr>
          <w:ilvl w:val="0"/>
          <w:numId w:val="1379"/>
        </w:numPr>
        <w:pStyle w:val="Compact"/>
      </w:pPr>
      <w:r>
        <w:t xml:space="preserve">2025 · Tóth LI ·</w:t>
      </w:r>
      <w:r>
        <w:t xml:space="preserve"> </w:t>
      </w:r>
      <w:r>
        <w:rPr>
          <w:iCs/>
          <w:i/>
        </w:rPr>
        <w:t xml:space="preserve">Int J Mol Sci</w:t>
      </w:r>
      <w:r>
        <w:t xml:space="preserve"> </w:t>
      </w:r>
      <w:r>
        <w:t xml:space="preserve">· Semaglutide Improves Lipid Subfraction Profiles in Type 2 Diabetes: Insights from a One-Year Follow-Up Study. PMID 40649729</w:t>
      </w:r>
    </w:p>
    <w:p>
      <w:pPr>
        <w:numPr>
          <w:ilvl w:val="0"/>
          <w:numId w:val="1379"/>
        </w:numPr>
        <w:pStyle w:val="Compact"/>
      </w:pPr>
      <w:r>
        <w:t xml:space="preserve">2025 · Wulff BS ·</w:t>
      </w:r>
      <w:r>
        <w:t xml:space="preserve"> </w:t>
      </w:r>
      <w:r>
        <w:rPr>
          <w:iCs/>
          <w:i/>
        </w:rPr>
        <w:t xml:space="preserve">Obesity (Silver Spring)</w:t>
      </w:r>
      <w:r>
        <w:t xml:space="preserve"> </w:t>
      </w:r>
      <w:r>
        <w:t xml:space="preserve">· Long-acting PYY(3) (-36) analogue with semaglutide for obesity: from preclinical assessment through randomized clinical studies. PMID 40629530</w:t>
      </w:r>
    </w:p>
    <w:p>
      <w:pPr>
        <w:numPr>
          <w:ilvl w:val="0"/>
          <w:numId w:val="1379"/>
        </w:numPr>
        <w:pStyle w:val="Compact"/>
      </w:pPr>
      <w:r>
        <w:t xml:space="preserve">2025 · Shah VN ·</w:t>
      </w:r>
      <w:r>
        <w:t xml:space="preserve"> </w:t>
      </w:r>
      <w:r>
        <w:rPr>
          <w:iCs/>
          <w:i/>
        </w:rPr>
        <w:t xml:space="preserve">NEJM Evid</w:t>
      </w:r>
      <w:r>
        <w:t xml:space="preserve"> </w:t>
      </w:r>
      <w:r>
        <w:t xml:space="preserve">· Semaglutide in Adults with Type 1 Diabetes and Obesity. PMID 40550013</w:t>
      </w:r>
    </w:p>
    <w:p>
      <w:pPr>
        <w:numPr>
          <w:ilvl w:val="0"/>
          <w:numId w:val="1379"/>
        </w:numPr>
        <w:pStyle w:val="Compact"/>
      </w:pPr>
      <w:r>
        <w:t xml:space="preserve">2025 · Garvey WT ·</w:t>
      </w:r>
      <w:r>
        <w:t xml:space="preserve"> </w:t>
      </w:r>
      <w:r>
        <w:rPr>
          <w:iCs/>
          <w:i/>
        </w:rPr>
        <w:t xml:space="preserve">N Engl J Med</w:t>
      </w:r>
      <w:r>
        <w:t xml:space="preserve"> </w:t>
      </w:r>
      <w:r>
        <w:t xml:space="preserve">· Coadministered Cagrilintide and Semaglutide in Adults with Overweight or Obesity. PMID 40544433</w:t>
      </w:r>
    </w:p>
    <w:p>
      <w:pPr>
        <w:numPr>
          <w:ilvl w:val="0"/>
          <w:numId w:val="1379"/>
        </w:numPr>
        <w:pStyle w:val="Compact"/>
      </w:pPr>
      <w:r>
        <w:t xml:space="preserve">2025 · Davies MJ ·</w:t>
      </w:r>
      <w:r>
        <w:t xml:space="preserve"> </w:t>
      </w:r>
      <w:r>
        <w:rPr>
          <w:iCs/>
          <w:i/>
        </w:rPr>
        <w:t xml:space="preserve">N Engl J Med</w:t>
      </w:r>
      <w:r>
        <w:t xml:space="preserve"> </w:t>
      </w:r>
      <w:r>
        <w:t xml:space="preserve">· Cagrilintide-Semaglutide in Adults with Overweight or Obesity and Type 2 Diabetes. PMID 40544432</w:t>
      </w:r>
    </w:p>
    <w:p>
      <w:pPr>
        <w:numPr>
          <w:ilvl w:val="0"/>
          <w:numId w:val="1379"/>
        </w:numPr>
        <w:pStyle w:val="Compact"/>
      </w:pPr>
      <w:r>
        <w:t xml:space="preserve">2025 · Rasouli N ·</w:t>
      </w:r>
      <w:r>
        <w:t xml:space="preserve"> </w:t>
      </w:r>
      <w:r>
        <w:rPr>
          <w:iCs/>
          <w:i/>
        </w:rPr>
        <w:t xml:space="preserve">Diabetes Care</w:t>
      </w:r>
      <w:r>
        <w:t xml:space="preserve"> </w:t>
      </w:r>
      <w:r>
        <w:t xml:space="preserve">· Benefit of Semaglutide in Symptomatic Peripheral Artery Disease by Baseline Type 2 Diabetes Characteristics: Insights From STRIDE, a Randomized, Placebo-Controlled, Double-Blind Trial. PMID 40543068</w:t>
      </w:r>
    </w:p>
    <w:p>
      <w:pPr>
        <w:numPr>
          <w:ilvl w:val="0"/>
          <w:numId w:val="1379"/>
        </w:numPr>
        <w:pStyle w:val="Compact"/>
      </w:pPr>
      <w:r>
        <w:t xml:space="preserve">2025 · Ciudin A ·</w:t>
      </w:r>
      <w:r>
        <w:t xml:space="preserve"> </w:t>
      </w:r>
      <w:r>
        <w:rPr>
          <w:iCs/>
          <w:i/>
        </w:rPr>
        <w:t xml:space="preserve">Diabetes Obes Metab</w:t>
      </w:r>
      <w:r>
        <w:t xml:space="preserve"> </w:t>
      </w:r>
      <w:r>
        <w:t xml:space="preserve">· Indirect comparative efficacy and safety of tirzepatide 10 and 15 mg versus semaglutide 2.4 mg for the management of obesity and overweight in patients with type 2 diabetes. PMID 40537987</w:t>
      </w:r>
    </w:p>
    <w:p>
      <w:pPr>
        <w:numPr>
          <w:ilvl w:val="0"/>
          <w:numId w:val="1379"/>
        </w:numPr>
        <w:pStyle w:val="Compact"/>
      </w:pPr>
      <w:r>
        <w:t xml:space="preserve">2025 · Siskind D ·</w:t>
      </w:r>
      <w:r>
        <w:t xml:space="preserve"> </w:t>
      </w:r>
      <w:r>
        <w:rPr>
          <w:iCs/>
          <w:i/>
        </w:rPr>
        <w:t xml:space="preserve">Lancet Psychiatry</w:t>
      </w:r>
      <w:r>
        <w:t xml:space="preserve"> </w:t>
      </w:r>
      <w:r>
        <w:t xml:space="preserve">· Efficacy and safety of semaglutide versus placebo for people with schizophrenia on clozapine with obesity (COaST): a phase 2, multi-centre, participant and investigator- blinded, randomised controlled trial in Australia. PMID 40506208</w:t>
      </w:r>
    </w:p>
    <w:p>
      <w:pPr>
        <w:numPr>
          <w:ilvl w:val="0"/>
          <w:numId w:val="1379"/>
        </w:numPr>
        <w:pStyle w:val="Compact"/>
      </w:pPr>
      <w:r>
        <w:t xml:space="preserve">2025 · Mathieu C ·</w:t>
      </w:r>
      <w:r>
        <w:t xml:space="preserve"> </w:t>
      </w:r>
      <w:r>
        <w:rPr>
          <w:iCs/>
          <w:i/>
        </w:rPr>
        <w:t xml:space="preserve">Lancet Diabetes Endocrinol</w:t>
      </w:r>
      <w:r>
        <w:t xml:space="preserve"> </w:t>
      </w:r>
      <w:r>
        <w:t xml:space="preserve">· Once‑weekly IcoSema versus once‑weekly insulin icodec in type 2 diabetes management (COMBINE 1): an open‑label, multicentre, treat‑to‑target, randomised, phase 3a trial. PMID 40482671</w:t>
      </w:r>
    </w:p>
    <w:p>
      <w:pPr>
        <w:numPr>
          <w:ilvl w:val="0"/>
          <w:numId w:val="1379"/>
        </w:numPr>
        <w:pStyle w:val="Compact"/>
      </w:pPr>
      <w:r>
        <w:t xml:space="preserve">2025 · Billings LK ·</w:t>
      </w:r>
      <w:r>
        <w:t xml:space="preserve"> </w:t>
      </w:r>
      <w:r>
        <w:rPr>
          <w:iCs/>
          <w:i/>
        </w:rPr>
        <w:t xml:space="preserve">Lancet Diabetes Endocrinol</w:t>
      </w:r>
      <w:r>
        <w:t xml:space="preserve"> </w:t>
      </w:r>
      <w:r>
        <w:t xml:space="preserve">· Once-weekly IcoSema versus multiple daily insulin injections in type 2 diabetes management (COMBINE 3): an open-label, multicentre, treat-to-target, non-inferiority, randomised, phase 3a trial. PMID 40482670</w:t>
      </w:r>
    </w:p>
    <w:p>
      <w:pPr>
        <w:numPr>
          <w:ilvl w:val="0"/>
          <w:numId w:val="1379"/>
        </w:numPr>
        <w:pStyle w:val="Compact"/>
      </w:pPr>
      <w:r>
        <w:t xml:space="preserve">2025 · von Huth Smith L ·</w:t>
      </w:r>
      <w:r>
        <w:t xml:space="preserve"> </w:t>
      </w:r>
      <w:r>
        <w:rPr>
          <w:iCs/>
          <w:i/>
        </w:rPr>
        <w:t xml:space="preserve">Clin Obes</w:t>
      </w:r>
      <w:r>
        <w:t xml:space="preserve"> </w:t>
      </w:r>
      <w:r>
        <w:t xml:space="preserve">· Impact of weight on daily activities questionnaire in patients with overweight or obesity: Psychometric evaluation using data from the OASIS 1 trial. PMID 40452267</w:t>
      </w:r>
    </w:p>
    <w:p>
      <w:pPr>
        <w:numPr>
          <w:ilvl w:val="0"/>
          <w:numId w:val="1379"/>
        </w:numPr>
        <w:pStyle w:val="Compact"/>
      </w:pPr>
      <w:r>
        <w:t xml:space="preserve">2025 · Bouhajib M ·</w:t>
      </w:r>
      <w:r>
        <w:t xml:space="preserve"> </w:t>
      </w:r>
      <w:r>
        <w:rPr>
          <w:iCs/>
          <w:i/>
        </w:rPr>
        <w:t xml:space="preserve">J Basic Clin Physiol Pharmacol</w:t>
      </w:r>
      <w:r>
        <w:t xml:space="preserve"> </w:t>
      </w:r>
      <w:r>
        <w:t xml:space="preserve">· The pharmacokinetics and comparative bioavailabilty of oral and subcutaneous semaglutide in healthy volunteers. PMID 40425315</w:t>
      </w:r>
    </w:p>
    <w:p>
      <w:pPr>
        <w:numPr>
          <w:ilvl w:val="0"/>
          <w:numId w:val="1379"/>
        </w:numPr>
        <w:pStyle w:val="Compact"/>
      </w:pPr>
      <w:r>
        <w:t xml:space="preserve">2025 · Aronne LJ ·</w:t>
      </w:r>
      <w:r>
        <w:t xml:space="preserve"> </w:t>
      </w:r>
      <w:r>
        <w:rPr>
          <w:iCs/>
          <w:i/>
        </w:rPr>
        <w:t xml:space="preserve">N Engl J Med</w:t>
      </w:r>
      <w:r>
        <w:t xml:space="preserve"> </w:t>
      </w:r>
      <w:r>
        <w:t xml:space="preserve">· Tirzepatide as Compared with Semaglutide for the Treatment of Obesity. PMID 40353578</w:t>
      </w:r>
    </w:p>
    <w:p>
      <w:pPr>
        <w:numPr>
          <w:ilvl w:val="0"/>
          <w:numId w:val="1379"/>
        </w:numPr>
        <w:pStyle w:val="Compact"/>
      </w:pPr>
      <w:r>
        <w:t xml:space="preserve">2025 · James S ·</w:t>
      </w:r>
      <w:r>
        <w:t xml:space="preserve"> </w:t>
      </w:r>
      <w:r>
        <w:rPr>
          <w:iCs/>
          <w:i/>
        </w:rPr>
        <w:t xml:space="preserve">Am Heart J</w:t>
      </w:r>
      <w:r>
        <w:t xml:space="preserve"> </w:t>
      </w:r>
      <w:r>
        <w:t xml:space="preserve">· Effect of once-weekly subcutaneous semaglutide on arterial inflammation in people with type 2 diabetes and cardiovascular disease using PET-MRI: Primary results of a randomized, double-blind, placebo-controlled trial. PMID 40345413</w:t>
      </w:r>
    </w:p>
    <w:p>
      <w:pPr>
        <w:numPr>
          <w:ilvl w:val="0"/>
          <w:numId w:val="1379"/>
        </w:numPr>
        <w:pStyle w:val="Compact"/>
      </w:pPr>
      <w:r>
        <w:t xml:space="preserve">2025 · Yu H ·</w:t>
      </w:r>
      <w:r>
        <w:t xml:space="preserve"> </w:t>
      </w:r>
      <w:r>
        <w:rPr>
          <w:iCs/>
          <w:i/>
        </w:rPr>
        <w:t xml:space="preserve">Br J Clin Pharmacol</w:t>
      </w:r>
      <w:r>
        <w:t xml:space="preserve"> </w:t>
      </w:r>
      <w:r>
        <w:t xml:space="preserve">· Pharmacokinetic-pharmacodynamic (PK/PD) modelling of cotadutide effect in patients with chronic kidney disease and type 2 diabetes mellitus. PMID 40344607</w:t>
      </w:r>
    </w:p>
    <w:p>
      <w:pPr>
        <w:numPr>
          <w:ilvl w:val="0"/>
          <w:numId w:val="1379"/>
        </w:numPr>
        <w:pStyle w:val="Compact"/>
      </w:pPr>
      <w:r>
        <w:t xml:space="preserve">2025 · Jensterle M ·</w:t>
      </w:r>
      <w:r>
        <w:t xml:space="preserve"> </w:t>
      </w:r>
      <w:r>
        <w:rPr>
          <w:iCs/>
          <w:i/>
        </w:rPr>
        <w:t xml:space="preserve">J Clin Endocrinol Metab</w:t>
      </w:r>
      <w:r>
        <w:t xml:space="preserve"> </w:t>
      </w:r>
      <w:r>
        <w:t xml:space="preserve">· Semaglutide and Taste in Women With Obesity and Polycystic Ovary Syndrome: A Randomized Placebo-Controlled Study. PMID 40341357</w:t>
      </w:r>
    </w:p>
    <w:p>
      <w:pPr>
        <w:numPr>
          <w:ilvl w:val="0"/>
          <w:numId w:val="1379"/>
        </w:numPr>
        <w:pStyle w:val="Compact"/>
      </w:pPr>
      <w:r>
        <w:t xml:space="preserve">2025 · Hankosky ER ·</w:t>
      </w:r>
      <w:r>
        <w:t xml:space="preserve"> </w:t>
      </w:r>
      <w:r>
        <w:rPr>
          <w:iCs/>
          <w:i/>
        </w:rPr>
        <w:t xml:space="preserve">Diabetes Obes Metab</w:t>
      </w:r>
      <w:r>
        <w:t xml:space="preserve"> </w:t>
      </w:r>
      <w:r>
        <w:t xml:space="preserve">· Tirzepatide 10 and 15 mg versus semaglutide 2.4 mg in people with obesity or overweight with type 2 diabetes: An indirect treatment comparison. PMID 40321113</w:t>
      </w:r>
    </w:p>
    <w:p>
      <w:pPr>
        <w:numPr>
          <w:ilvl w:val="0"/>
          <w:numId w:val="1379"/>
        </w:numPr>
        <w:pStyle w:val="Compact"/>
      </w:pPr>
      <w:r>
        <w:t xml:space="preserve">2025 · Sanyal AJ ·</w:t>
      </w:r>
      <w:r>
        <w:t xml:space="preserve"> </w:t>
      </w:r>
      <w:r>
        <w:rPr>
          <w:iCs/>
          <w:i/>
        </w:rPr>
        <w:t xml:space="preserve">N Engl J Med</w:t>
      </w:r>
      <w:r>
        <w:t xml:space="preserve"> </w:t>
      </w:r>
      <w:r>
        <w:t xml:space="preserve">· Phase 3 Trial of Semaglutide in Metabolic Dysfunction-Associated Steatohepatitis. PMID 40305708</w:t>
      </w:r>
    </w:p>
    <w:p>
      <w:pPr>
        <w:numPr>
          <w:ilvl w:val="0"/>
          <w:numId w:val="1379"/>
        </w:numPr>
        <w:pStyle w:val="Compact"/>
      </w:pPr>
      <w:r>
        <w:t xml:space="preserve">2025 · Golub IS ·</w:t>
      </w:r>
      <w:r>
        <w:t xml:space="preserve"> </w:t>
      </w:r>
      <w:r>
        <w:rPr>
          <w:iCs/>
          <w:i/>
        </w:rPr>
        <w:t xml:space="preserve">Nutr Metab Cardiovasc Dis</w:t>
      </w:r>
      <w:r>
        <w:t xml:space="preserve"> </w:t>
      </w:r>
      <w:r>
        <w:t xml:space="preserve">· The impact of semaglutide on liver fat assessed by serial cardiac CT scans in patients with type 2 diabetes: Results from STOP trial. PMID 40287313</w:t>
      </w:r>
    </w:p>
    <w:p>
      <w:pPr>
        <w:numPr>
          <w:ilvl w:val="0"/>
          <w:numId w:val="1379"/>
        </w:numPr>
        <w:pStyle w:val="Compact"/>
      </w:pPr>
      <w:r>
        <w:t xml:space="preserve">2025 · Aroda VR ·</w:t>
      </w:r>
      <w:r>
        <w:t xml:space="preserve"> </w:t>
      </w:r>
      <w:r>
        <w:rPr>
          <w:iCs/>
          <w:i/>
        </w:rPr>
        <w:t xml:space="preserve">Diabetes Care</w:t>
      </w:r>
      <w:r>
        <w:t xml:space="preserve"> </w:t>
      </w:r>
      <w:r>
        <w:t xml:space="preserve">· High-Dose Semaglutide (Up to 16 mg) in People With Type 2 Diabetes and Overweight or Obesity: A Randomized, Placebo-Controlled, Phase 2 Trial. PMID 40279144</w:t>
      </w:r>
    </w:p>
    <w:p>
      <w:pPr>
        <w:numPr>
          <w:ilvl w:val="0"/>
          <w:numId w:val="1379"/>
        </w:numPr>
        <w:pStyle w:val="Compact"/>
      </w:pPr>
      <w:r>
        <w:t xml:space="preserve">2025 · Gullaksen S ·</w:t>
      </w:r>
      <w:r>
        <w:t xml:space="preserve"> </w:t>
      </w:r>
      <w:r>
        <w:rPr>
          <w:iCs/>
          <w:i/>
        </w:rPr>
        <w:t xml:space="preserve">J Diabetes Complications</w:t>
      </w:r>
      <w:r>
        <w:t xml:space="preserve"> </w:t>
      </w:r>
      <w:r>
        <w:t xml:space="preserve">· Semaglutide, central retinal thickness and continuous glucose monitoring in persons with type 2 diabetes: A post-hoc analysis from a randomised trial. PMID 40239470</w:t>
      </w:r>
    </w:p>
    <w:p>
      <w:pPr>
        <w:numPr>
          <w:ilvl w:val="0"/>
          <w:numId w:val="1379"/>
        </w:numPr>
        <w:pStyle w:val="Compact"/>
      </w:pPr>
      <w:r>
        <w:t xml:space="preserve">2025 · Kadowaki T ·</w:t>
      </w:r>
      <w:r>
        <w:t xml:space="preserve"> </w:t>
      </w:r>
      <w:r>
        <w:rPr>
          <w:iCs/>
          <w:i/>
        </w:rPr>
        <w:t xml:space="preserve">Obes Res Clin Pract</w:t>
      </w:r>
      <w:r>
        <w:t xml:space="preserve"> </w:t>
      </w:r>
      <w:r>
        <w:t xml:space="preserve">· Effect of once-weekly subcutaneous semaglutide on abdominal visceral fat area in Japanese adults with overweight and obesity: A post hoc analysis of the STEP 6 trial. PMID 40189961</w:t>
      </w:r>
    </w:p>
    <w:p>
      <w:pPr>
        <w:numPr>
          <w:ilvl w:val="0"/>
          <w:numId w:val="1379"/>
        </w:numPr>
        <w:pStyle w:val="Compact"/>
      </w:pPr>
      <w:r>
        <w:t xml:space="preserve">2025 · Bonaca MP ·</w:t>
      </w:r>
      <w:r>
        <w:t xml:space="preserve"> </w:t>
      </w:r>
      <w:r>
        <w:rPr>
          <w:iCs/>
          <w:i/>
        </w:rPr>
        <w:t xml:space="preserve">Lancet</w:t>
      </w:r>
      <w:r>
        <w:t xml:space="preserve"> </w:t>
      </w:r>
      <w:r>
        <w:t xml:space="preserve">· Semaglutide and walking capacity in people with symptomatic peripheral artery disease and type 2 diabetes (STRIDE): a phase 3b, double-blind, randomised, placebo-controlled trial. PMID 40169145</w:t>
      </w:r>
    </w:p>
    <w:p>
      <w:pPr>
        <w:numPr>
          <w:ilvl w:val="0"/>
          <w:numId w:val="1379"/>
        </w:numPr>
        <w:pStyle w:val="Compact"/>
      </w:pPr>
      <w:r>
        <w:t xml:space="preserve">2025 · McGuire DK ·</w:t>
      </w:r>
      <w:r>
        <w:t xml:space="preserve"> </w:t>
      </w:r>
      <w:r>
        <w:rPr>
          <w:iCs/>
          <w:i/>
        </w:rPr>
        <w:t xml:space="preserve">N Engl J Med</w:t>
      </w:r>
      <w:r>
        <w:t xml:space="preserve"> </w:t>
      </w:r>
      <w:r>
        <w:t xml:space="preserve">· Oral Semaglutide and Cardiovascular Outcomes in High-Risk Type 2 Diabetes. PMID 40162642</w:t>
      </w:r>
    </w:p>
    <w:p>
      <w:pPr>
        <w:numPr>
          <w:ilvl w:val="0"/>
          <w:numId w:val="1379"/>
        </w:numPr>
        <w:pStyle w:val="Compact"/>
      </w:pPr>
      <w:r>
        <w:t xml:space="preserve">2025 · Marx N ·</w:t>
      </w:r>
      <w:r>
        <w:t xml:space="preserve"> </w:t>
      </w:r>
      <w:r>
        <w:rPr>
          <w:iCs/>
          <w:i/>
        </w:rPr>
        <w:t xml:space="preserve">Circulation</w:t>
      </w:r>
      <w:r>
        <w:t xml:space="preserve"> </w:t>
      </w:r>
      <w:r>
        <w:t xml:space="preserve">· Oral Semaglutide and Cardiovascular Outcomes in People With Type 2 Diabetes, According to SGLT2i Use: Prespecified Analyses of the SOUL Randomized Trial. PMID 40156843</w:t>
      </w:r>
    </w:p>
    <w:p>
      <w:pPr>
        <w:numPr>
          <w:ilvl w:val="0"/>
          <w:numId w:val="1379"/>
        </w:numPr>
        <w:pStyle w:val="Compact"/>
      </w:pPr>
      <w:r>
        <w:t xml:space="preserve">2025 · Bergman BK ·</w:t>
      </w:r>
      <w:r>
        <w:t xml:space="preserve"> </w:t>
      </w:r>
      <w:r>
        <w:rPr>
          <w:iCs/>
          <w:i/>
        </w:rPr>
        <w:t xml:space="preserve">Diabetes Obes Metab</w:t>
      </w:r>
      <w:r>
        <w:t xml:space="preserve"> </w:t>
      </w:r>
      <w:r>
        <w:t xml:space="preserve">· Time spent in glycaemic control with sustained body weight reduction with tirzepatide: A post hoc analysis of the SURPASS clinical trial programme. PMID 40083081</w:t>
      </w:r>
    </w:p>
    <w:p>
      <w:pPr>
        <w:numPr>
          <w:ilvl w:val="0"/>
          <w:numId w:val="1379"/>
        </w:numPr>
        <w:pStyle w:val="Compact"/>
      </w:pPr>
      <w:r>
        <w:t xml:space="preserve">2025 · Gu W ·</w:t>
      </w:r>
      <w:r>
        <w:t xml:space="preserve"> </w:t>
      </w:r>
      <w:r>
        <w:rPr>
          <w:iCs/>
          <w:i/>
        </w:rPr>
        <w:t xml:space="preserve">Diabetes Obes Metab</w:t>
      </w:r>
      <w:r>
        <w:t xml:space="preserve"> </w:t>
      </w:r>
      <w:r>
        <w:t xml:space="preserve">· Efficacy and safety of once-weekly semaglutide 2.4 mg for weight management in participants from China: A prespecified analysis of the STEP 7 randomized clinical trial. PMID 40069849</w:t>
      </w:r>
    </w:p>
    <w:p>
      <w:pPr>
        <w:numPr>
          <w:ilvl w:val="0"/>
          <w:numId w:val="1379"/>
        </w:numPr>
        <w:pStyle w:val="Compact"/>
      </w:pPr>
      <w:r>
        <w:t xml:space="preserve">2025 · Kushner RF ·</w:t>
      </w:r>
      <w:r>
        <w:t xml:space="preserve"> </w:t>
      </w:r>
      <w:r>
        <w:rPr>
          <w:iCs/>
          <w:i/>
        </w:rPr>
        <w:t xml:space="preserve">Obesity (Silver Spring)</w:t>
      </w:r>
      <w:r>
        <w:t xml:space="preserve"> </w:t>
      </w:r>
      <w:r>
        <w:t xml:space="preserve">· Safety profile of semaglutide versus placebo in the SELECT study: a randomized controlled trial. PMID 39948761</w:t>
      </w:r>
    </w:p>
    <w:p>
      <w:pPr>
        <w:numPr>
          <w:ilvl w:val="0"/>
          <w:numId w:val="1379"/>
        </w:numPr>
        <w:pStyle w:val="Compact"/>
      </w:pPr>
      <w:r>
        <w:t xml:space="preserve">2025 · Hendershot CS ·</w:t>
      </w:r>
      <w:r>
        <w:t xml:space="preserve"> </w:t>
      </w:r>
      <w:r>
        <w:rPr>
          <w:iCs/>
          <w:i/>
        </w:rPr>
        <w:t xml:space="preserve">JAMA Psychiatry</w:t>
      </w:r>
      <w:r>
        <w:t xml:space="preserve"> </w:t>
      </w:r>
      <w:r>
        <w:t xml:space="preserve">· Once-Weekly Semaglutide in Adults With Alcohol Use Disorder: A Randomized Clinical Trial. PMID 39937469</w:t>
      </w:r>
    </w:p>
    <w:p>
      <w:pPr>
        <w:numPr>
          <w:ilvl w:val="0"/>
          <w:numId w:val="1379"/>
        </w:numPr>
        <w:pStyle w:val="Compact"/>
      </w:pPr>
      <w:r>
        <w:t xml:space="preserve">2025 · McEwan P ·</w:t>
      </w:r>
      <w:r>
        <w:t xml:space="preserve"> </w:t>
      </w:r>
      <w:r>
        <w:rPr>
          <w:iCs/>
          <w:i/>
        </w:rPr>
        <w:t xml:space="preserve">J Med Econ</w:t>
      </w:r>
      <w:r>
        <w:t xml:space="preserve"> </w:t>
      </w:r>
      <w:r>
        <w:t xml:space="preserve">· Cost-effectiveness of semaglutide in people with obesity and cardiovascular disease without diabetes. PMID 39882599</w:t>
      </w:r>
    </w:p>
    <w:p>
      <w:pPr>
        <w:numPr>
          <w:ilvl w:val="0"/>
          <w:numId w:val="1379"/>
        </w:numPr>
        <w:pStyle w:val="Compact"/>
      </w:pPr>
      <w:r>
        <w:t xml:space="preserve">2025 · Petković-Dabić J ·</w:t>
      </w:r>
      <w:r>
        <w:t xml:space="preserve"> </w:t>
      </w:r>
      <w:r>
        <w:rPr>
          <w:iCs/>
          <w:i/>
        </w:rPr>
        <w:t xml:space="preserve">Biomolecules</w:t>
      </w:r>
      <w:r>
        <w:t xml:space="preserve"> </w:t>
      </w:r>
      <w:r>
        <w:t xml:space="preserve">· Effects of Semaglutide Treatment on Psoriatic Lesions in Obese Patients with Type 2 Diabetes Mellitus: An Open-Label, Randomized Clinical Trial. PMID 39858442</w:t>
      </w:r>
    </w:p>
    <w:p>
      <w:pPr>
        <w:numPr>
          <w:ilvl w:val="0"/>
          <w:numId w:val="1379"/>
        </w:numPr>
        <w:pStyle w:val="Compact"/>
      </w:pPr>
      <w:r>
        <w:t xml:space="preserve">2025 · Davies MJ ·</w:t>
      </w:r>
      <w:r>
        <w:t xml:space="preserve"> </w:t>
      </w:r>
      <w:r>
        <w:rPr>
          <w:iCs/>
          <w:i/>
        </w:rPr>
        <w:t xml:space="preserve">Lancet Diabetes Endocrinol</w:t>
      </w:r>
      <w:r>
        <w:t xml:space="preserve"> </w:t>
      </w:r>
      <w:r>
        <w:t xml:space="preserve">· Semaglutide in obesity-related heart failure with preserved ejection fraction and type 2 diabetes across baseline HbA(1c) levels (STEP-HFpEF DM): a prespecified analysis of heart failure and metabolic outcomes from a randomised, placebo-controlled trial. PMID 39848268</w:t>
      </w:r>
    </w:p>
    <w:p>
      <w:pPr>
        <w:numPr>
          <w:ilvl w:val="0"/>
          <w:numId w:val="1379"/>
        </w:numPr>
        <w:pStyle w:val="Compact"/>
      </w:pPr>
      <w:r>
        <w:t xml:space="preserve">2025 · Lingvay I ·</w:t>
      </w:r>
      <w:r>
        <w:t xml:space="preserve"> </w:t>
      </w:r>
      <w:r>
        <w:rPr>
          <w:iCs/>
          <w:i/>
        </w:rPr>
        <w:t xml:space="preserve">Diabetologia</w:t>
      </w:r>
      <w:r>
        <w:t xml:space="preserve"> </w:t>
      </w:r>
      <w:r>
        <w:t xml:space="preserve">· Once-weekly IcoSema versus once-weekly semaglutide in adults with type 2 diabetes: the COMBINE 2 randomised clinical trial. PMID 39820580</w:t>
      </w:r>
    </w:p>
    <w:p>
      <w:pPr>
        <w:numPr>
          <w:ilvl w:val="0"/>
          <w:numId w:val="1379"/>
        </w:numPr>
        <w:pStyle w:val="Compact"/>
      </w:pPr>
      <w:r>
        <w:t xml:space="preserve">2025 · Razavi AC ·</w:t>
      </w:r>
      <w:r>
        <w:t xml:space="preserve"> </w:t>
      </w:r>
      <w:r>
        <w:rPr>
          <w:iCs/>
          <w:i/>
        </w:rPr>
        <w:t xml:space="preserve">JACC Cardiovasc Imaging</w:t>
      </w:r>
      <w:r>
        <w:t xml:space="preserve"> </w:t>
      </w:r>
      <w:r>
        <w:t xml:space="preserve">· Allocation of Semaglutide According to Coronary Artery Calcium and BMI: Applying the SELECT Trial to MESA. PMID 39797878</w:t>
      </w:r>
    </w:p>
    <w:p>
      <w:pPr>
        <w:numPr>
          <w:ilvl w:val="0"/>
          <w:numId w:val="1379"/>
        </w:numPr>
        <w:pStyle w:val="Compact"/>
      </w:pPr>
      <w:r>
        <w:t xml:space="preserve">2025 · Pasqua MR ·</w:t>
      </w:r>
      <w:r>
        <w:t xml:space="preserve"> </w:t>
      </w:r>
      <w:r>
        <w:rPr>
          <w:iCs/>
          <w:i/>
        </w:rPr>
        <w:t xml:space="preserve">Nat Med</w:t>
      </w:r>
      <w:r>
        <w:t xml:space="preserve"> </w:t>
      </w:r>
      <w:r>
        <w:t xml:space="preserve">· Subcutaneous weekly semaglutide with automated insulin delivery in type 1 diabetes: a double-blind, randomized, crossover trial. PMID 39794615</w:t>
      </w:r>
    </w:p>
    <w:p>
      <w:pPr>
        <w:numPr>
          <w:ilvl w:val="0"/>
          <w:numId w:val="1379"/>
        </w:numPr>
        <w:pStyle w:val="Compact"/>
      </w:pPr>
      <w:r>
        <w:t xml:space="preserve">2025 · Cummings JL ·</w:t>
      </w:r>
      <w:r>
        <w:t xml:space="preserve"> </w:t>
      </w:r>
      <w:r>
        <w:rPr>
          <w:iCs/>
          <w:i/>
        </w:rPr>
        <w:t xml:space="preserve">Alzheimers Res Ther</w:t>
      </w:r>
      <w:r>
        <w:t xml:space="preserve"> </w:t>
      </w:r>
      <w:r>
        <w:t xml:space="preserve">· evoke and evoke+: design of two large-scale, double-blind, placebo-controlled, phase 3 studies evaluating efficacy, safety, and tolerability of semaglutide in early-stage symptomatic Alzheimer’s disease. PMID 39780249</w:t>
      </w:r>
    </w:p>
    <w:p>
      <w:pPr>
        <w:numPr>
          <w:ilvl w:val="0"/>
          <w:numId w:val="1379"/>
        </w:numPr>
        <w:pStyle w:val="Compact"/>
      </w:pPr>
      <w:r>
        <w:t xml:space="preserve">2025 · Mather KJ ·</w:t>
      </w:r>
      <w:r>
        <w:t xml:space="preserve"> </w:t>
      </w:r>
      <w:r>
        <w:rPr>
          <w:iCs/>
          <w:i/>
        </w:rPr>
        <w:t xml:space="preserve">Diabetes Obes Metab</w:t>
      </w:r>
      <w:r>
        <w:t xml:space="preserve"> </w:t>
      </w:r>
      <w:r>
        <w:t xml:space="preserve">· Greater improvement in insulin sensitivity per unit weight loss associated with tirzepatide versus semaglutide: An exploratory analysis. PMID 39762971</w:t>
      </w:r>
    </w:p>
    <w:p>
      <w:pPr>
        <w:numPr>
          <w:ilvl w:val="0"/>
          <w:numId w:val="1379"/>
        </w:numPr>
        <w:pStyle w:val="Compact"/>
      </w:pPr>
      <w:r>
        <w:t xml:space="preserve">2025 · Tchang BG ·</w:t>
      </w:r>
      <w:r>
        <w:t xml:space="preserve"> </w:t>
      </w:r>
      <w:r>
        <w:rPr>
          <w:iCs/>
          <w:i/>
        </w:rPr>
        <w:t xml:space="preserve">Obesity (Silver Spring)</w:t>
      </w:r>
      <w:r>
        <w:t xml:space="preserve"> </w:t>
      </w:r>
      <w:r>
        <w:t xml:space="preserve">· Effect of semaglutide 2.4 mg on use of antihypertensive and lipid-lowering treatment in five randomized controlled STEP trials. PMID 39756397</w:t>
      </w:r>
    </w:p>
    <w:p>
      <w:pPr>
        <w:numPr>
          <w:ilvl w:val="0"/>
          <w:numId w:val="1379"/>
        </w:numPr>
        <w:pStyle w:val="Compact"/>
      </w:pPr>
      <w:r>
        <w:t xml:space="preserve">2025 · Armstrong MJ ·</w:t>
      </w:r>
      <w:r>
        <w:t xml:space="preserve"> </w:t>
      </w:r>
      <w:r>
        <w:rPr>
          <w:iCs/>
          <w:i/>
        </w:rPr>
        <w:t xml:space="preserve">Diabetes Obes Metab</w:t>
      </w:r>
      <w:r>
        <w:t xml:space="preserve"> </w:t>
      </w:r>
      <w:r>
        <w:t xml:space="preserve">· Similar weight loss with semaglutide regardless of diabetes and cardiometabolic risk parameters in individuals with metabolic dysfunction-associated steatotic liver disease: Post hoc analysis of three randomised controlled trials. PMID 39609879</w:t>
      </w:r>
    </w:p>
    <w:p>
      <w:pPr>
        <w:numPr>
          <w:ilvl w:val="0"/>
          <w:numId w:val="1379"/>
        </w:numPr>
        <w:pStyle w:val="Compact"/>
      </w:pPr>
      <w:r>
        <w:t xml:space="preserve">2025 · Rodriguez P ·</w:t>
      </w:r>
      <w:r>
        <w:t xml:space="preserve"> </w:t>
      </w:r>
      <w:r>
        <w:rPr>
          <w:iCs/>
          <w:i/>
        </w:rPr>
        <w:t xml:space="preserve">Diabetes Obes Metab</w:t>
      </w:r>
      <w:r>
        <w:t xml:space="preserve"> </w:t>
      </w:r>
      <w:r>
        <w:t xml:space="preserve">· De-intensification of basal-bolus therapy by replacing prandial insulin with once-weekly subcutaneous semaglutide in individuals with well-controlled type 2 diabetes: A single-centre, open-label randomised trial (TRANSITION-T2D). PMID 39532398</w:t>
      </w:r>
    </w:p>
    <w:p>
      <w:pPr>
        <w:numPr>
          <w:ilvl w:val="0"/>
          <w:numId w:val="1379"/>
        </w:numPr>
        <w:pStyle w:val="Compact"/>
      </w:pPr>
      <w:r>
        <w:t xml:space="preserve">2025 · Gregorič N ·</w:t>
      </w:r>
      <w:r>
        <w:t xml:space="preserve"> </w:t>
      </w:r>
      <w:r>
        <w:rPr>
          <w:iCs/>
          <w:i/>
        </w:rPr>
        <w:t xml:space="preserve">Diabetes Obes Metab</w:t>
      </w:r>
      <w:r>
        <w:t xml:space="preserve"> </w:t>
      </w:r>
      <w:r>
        <w:t xml:space="preserve">· Semaglutide improved sperm morphology in obese men with type 2 diabetes mellitus and functional hypogonadism. PMID 39511836</w:t>
      </w:r>
    </w:p>
    <w:p>
      <w:pPr>
        <w:numPr>
          <w:ilvl w:val="0"/>
          <w:numId w:val="1379"/>
        </w:numPr>
        <w:pStyle w:val="Compact"/>
      </w:pPr>
      <w:r>
        <w:t xml:space="preserve">2025 · Apperloo EM ·</w:t>
      </w:r>
      <w:r>
        <w:t xml:space="preserve"> </w:t>
      </w:r>
      <w:r>
        <w:rPr>
          <w:iCs/>
          <w:i/>
        </w:rPr>
        <w:t xml:space="preserve">Nat Med</w:t>
      </w:r>
      <w:r>
        <w:t xml:space="preserve"> </w:t>
      </w:r>
      <w:r>
        <w:t xml:space="preserve">· Semaglutide in patients with overweight or obesity and chronic kidney disease without diabetes: a randomized double-blind placebo-controlled clinical trial. PMID 39455729</w:t>
      </w:r>
    </w:p>
    <w:p>
      <w:pPr>
        <w:numPr>
          <w:ilvl w:val="0"/>
          <w:numId w:val="1379"/>
        </w:numPr>
        <w:pStyle w:val="Compact"/>
      </w:pPr>
      <w:r>
        <w:t xml:space="preserve">2025 · Mahaffey KW ·</w:t>
      </w:r>
      <w:r>
        <w:t xml:space="preserve"> </w:t>
      </w:r>
      <w:r>
        <w:rPr>
          <w:iCs/>
          <w:i/>
        </w:rPr>
        <w:t xml:space="preserve">Eur Heart J</w:t>
      </w:r>
      <w:r>
        <w:t xml:space="preserve"> </w:t>
      </w:r>
      <w:r>
        <w:t xml:space="preserve">· Cardiovascular outcomes with semaglutide by severity of chronic kidney disease in type 2 diabetes: the FLOW trial. PMID 39211948</w:t>
      </w:r>
    </w:p>
    <w:p>
      <w:pPr>
        <w:numPr>
          <w:ilvl w:val="0"/>
          <w:numId w:val="1379"/>
        </w:numPr>
        <w:pStyle w:val="Compact"/>
      </w:pPr>
      <w:r>
        <w:t xml:space="preserve">2025 · Ditzenberger GL ·</w:t>
      </w:r>
      <w:r>
        <w:t xml:space="preserve"> </w:t>
      </w:r>
      <w:r>
        <w:rPr>
          <w:iCs/>
          <w:i/>
        </w:rPr>
        <w:t xml:space="preserve">Clin Infect Dis</w:t>
      </w:r>
      <w:r>
        <w:t xml:space="preserve"> </w:t>
      </w:r>
      <w:r>
        <w:t xml:space="preserve">· Effects of Semaglutide on Muscle Structure and Function in the SLIM LIVER Study. PMID 39046173</w:t>
      </w:r>
    </w:p>
    <w:p>
      <w:pPr>
        <w:numPr>
          <w:ilvl w:val="0"/>
          <w:numId w:val="1379"/>
        </w:numPr>
        <w:pStyle w:val="Compact"/>
      </w:pPr>
      <w:r>
        <w:t xml:space="preserve">2025 · Apperloo EM ·</w:t>
      </w:r>
      <w:r>
        <w:t xml:space="preserve"> </w:t>
      </w:r>
      <w:r>
        <w:rPr>
          <w:iCs/>
          <w:i/>
        </w:rPr>
        <w:t xml:space="preserve">Nephrol Dial Transplant</w:t>
      </w:r>
      <w:r>
        <w:t xml:space="preserve"> </w:t>
      </w:r>
      <w:r>
        <w:t xml:space="preserve">· Effect of semaglutide on kidney function across different levels of baseline HbA1c, blood pressure, body weight and albuminuria in SUSTAIN 6 and PIONEER 6. PMID 38955363</w:t>
      </w:r>
    </w:p>
    <w:p>
      <w:pPr>
        <w:numPr>
          <w:ilvl w:val="0"/>
          <w:numId w:val="1379"/>
        </w:numPr>
        <w:pStyle w:val="Compact"/>
      </w:pPr>
      <w:r>
        <w:t xml:space="preserve">2025 · Nomoto H ·</w:t>
      </w:r>
      <w:r>
        <w:t xml:space="preserve"> </w:t>
      </w:r>
      <w:r>
        <w:rPr>
          <w:iCs/>
          <w:i/>
        </w:rPr>
        <w:t xml:space="preserve">J Clin Endocrinol Metab</w:t>
      </w:r>
      <w:r>
        <w:t xml:space="preserve"> </w:t>
      </w:r>
      <w:r>
        <w:t xml:space="preserve">· Improvement of β-Cell Function After Switching From DPP-4 Inhibitors to Oral Semaglutide: SWITCH-SEMA2 Post Hoc Analysis. PMID 38695547</w:t>
      </w:r>
    </w:p>
    <w:p>
      <w:pPr>
        <w:numPr>
          <w:ilvl w:val="0"/>
          <w:numId w:val="1379"/>
        </w:numPr>
        <w:pStyle w:val="Compact"/>
      </w:pPr>
      <w:r>
        <w:t xml:space="preserve">2025 · Harrison SA ·</w:t>
      </w:r>
      <w:r>
        <w:t xml:space="preserve"> </w:t>
      </w:r>
      <w:r>
        <w:rPr>
          <w:iCs/>
          <w:i/>
        </w:rPr>
        <w:t xml:space="preserve">Clin Gastroenterol Hepatol</w:t>
      </w:r>
      <w:r>
        <w:t xml:space="preserve"> </w:t>
      </w:r>
      <w:r>
        <w:t xml:space="preserve">· Safety and Efficacy of Efruxifermin in Combination With a GLP-1 Receptor Agonist in Patients With NASH/MASH and Type 2 Diabetes in a Randomized Phase 2 Study. PMID 38447814</w:t>
      </w:r>
    </w:p>
    <w:p>
      <w:pPr>
        <w:numPr>
          <w:ilvl w:val="0"/>
          <w:numId w:val="1379"/>
        </w:numPr>
        <w:pStyle w:val="Compact"/>
      </w:pPr>
      <w:r>
        <w:t xml:space="preserve">2024 · Kadowaki T ·</w:t>
      </w:r>
      <w:r>
        <w:t xml:space="preserve"> </w:t>
      </w:r>
      <w:r>
        <w:rPr>
          <w:iCs/>
          <w:i/>
        </w:rPr>
        <w:t xml:space="preserve">Obes Res Clin Pract</w:t>
      </w:r>
      <w:r>
        <w:t xml:space="preserve"> </w:t>
      </w:r>
      <w:r>
        <w:t xml:space="preserve">· Clinical characteristics affecting weight loss in an East Asian population receiving semaglutide: A STEP 6 subgroup analysis. PMID 39824696</w:t>
      </w:r>
    </w:p>
    <w:p>
      <w:pPr>
        <w:numPr>
          <w:ilvl w:val="0"/>
          <w:numId w:val="1379"/>
        </w:numPr>
        <w:pStyle w:val="Compact"/>
      </w:pPr>
      <w:r>
        <w:t xml:space="preserve">2024 · Westergaard L ·</w:t>
      </w:r>
      <w:r>
        <w:t xml:space="preserve"> </w:t>
      </w:r>
      <w:r>
        <w:rPr>
          <w:iCs/>
          <w:i/>
        </w:rPr>
        <w:t xml:space="preserve">Clin Drug Investig</w:t>
      </w:r>
      <w:r>
        <w:t xml:space="preserve"> </w:t>
      </w:r>
      <w:r>
        <w:t xml:space="preserve">· Pharmacokinetic Properties of a Once-Weekly Fixed-Ratio Combination of Insulin Icodec and Semaglutide Compared with Separate Administration of Each Component in Individuals with Type 2 Diabetes Mellitus. PMID 39488821</w:t>
      </w:r>
    </w:p>
    <w:p>
      <w:pPr>
        <w:numPr>
          <w:ilvl w:val="0"/>
          <w:numId w:val="1379"/>
        </w:numPr>
        <w:pStyle w:val="Compact"/>
      </w:pPr>
      <w:r>
        <w:t xml:space="preserve">2024 · Bliddal H ·</w:t>
      </w:r>
      <w:r>
        <w:t xml:space="preserve"> </w:t>
      </w:r>
      <w:r>
        <w:rPr>
          <w:iCs/>
          <w:i/>
        </w:rPr>
        <w:t xml:space="preserve">N Engl J Med</w:t>
      </w:r>
      <w:r>
        <w:t xml:space="preserve"> </w:t>
      </w:r>
      <w:r>
        <w:t xml:space="preserve">· Once-Weekly Semaglutide in Persons with Obesity and Knee Osteoarthritis. PMID 39476339</w:t>
      </w:r>
    </w:p>
    <w:p>
      <w:pPr>
        <w:numPr>
          <w:ilvl w:val="0"/>
          <w:numId w:val="1379"/>
        </w:numPr>
        <w:pStyle w:val="Compact"/>
      </w:pPr>
      <w:r>
        <w:t xml:space="preserve">2024 · Saravanan P ·</w:t>
      </w:r>
      <w:r>
        <w:t xml:space="preserve"> </w:t>
      </w:r>
      <w:r>
        <w:rPr>
          <w:iCs/>
          <w:i/>
        </w:rPr>
        <w:t xml:space="preserve">Adv Ther</w:t>
      </w:r>
      <w:r>
        <w:t xml:space="preserve"> </w:t>
      </w:r>
      <w:r>
        <w:t xml:space="preserve">· PIONEER REAL UK: A Multi-Centre, Prospective, Real-World Study of Once-Daily Oral Semaglutide Use in Adults with Type 2 Diabetes. PMID 39316289</w:t>
      </w:r>
    </w:p>
    <w:p>
      <w:pPr>
        <w:numPr>
          <w:ilvl w:val="0"/>
          <w:numId w:val="1379"/>
        </w:numPr>
        <w:pStyle w:val="Compact"/>
      </w:pPr>
      <w:r>
        <w:t xml:space="preserve">2024 · Ji L ·</w:t>
      </w:r>
      <w:r>
        <w:t xml:space="preserve"> </w:t>
      </w:r>
      <w:r>
        <w:rPr>
          <w:iCs/>
          <w:i/>
        </w:rPr>
        <w:t xml:space="preserve">Diabetes Obes Metab</w:t>
      </w:r>
      <w:r>
        <w:t xml:space="preserve"> </w:t>
      </w:r>
      <w:r>
        <w:t xml:space="preserve">· Impact of baseline characteristics on the efficacy of once-weekly subcutaneous semaglutide among participants with type 2 diabetes: A post hoc analysis of SUSTAIN China. PMID 39279647</w:t>
      </w:r>
    </w:p>
    <w:p>
      <w:pPr>
        <w:numPr>
          <w:ilvl w:val="0"/>
          <w:numId w:val="1379"/>
        </w:numPr>
        <w:pStyle w:val="Compact"/>
      </w:pPr>
      <w:r>
        <w:t xml:space="preserve">2024 · Gabe MBN ·</w:t>
      </w:r>
      <w:r>
        <w:t xml:space="preserve"> </w:t>
      </w:r>
      <w:r>
        <w:rPr>
          <w:iCs/>
          <w:i/>
        </w:rPr>
        <w:t xml:space="preserve">Diabetes Obes Metab</w:t>
      </w:r>
      <w:r>
        <w:t xml:space="preserve"> </w:t>
      </w:r>
      <w:r>
        <w:t xml:space="preserve">· Cagrilintide is not associated with clinically relevant QTc prolongation: A thorough QT study in healthy participants. PMID 39279639</w:t>
      </w:r>
    </w:p>
    <w:p>
      <w:pPr>
        <w:numPr>
          <w:ilvl w:val="0"/>
          <w:numId w:val="1379"/>
        </w:numPr>
        <w:pStyle w:val="Compact"/>
      </w:pPr>
      <w:r>
        <w:t xml:space="preserve">2024 · Wadden TA ·</w:t>
      </w:r>
      <w:r>
        <w:t xml:space="preserve"> </w:t>
      </w:r>
      <w:r>
        <w:rPr>
          <w:iCs/>
          <w:i/>
        </w:rPr>
        <w:t xml:space="preserve">JAMA Intern Med</w:t>
      </w:r>
      <w:r>
        <w:t xml:space="preserve"> </w:t>
      </w:r>
      <w:r>
        <w:t xml:space="preserve">· Psychiatric Safety of Semaglutide for Weight Management in People Without Known Major Psychopathology: Post Hoc Analysis of the STEP 1, 2, 3, and 5 Trials. PMID 39226070</w:t>
      </w:r>
    </w:p>
    <w:p>
      <w:pPr>
        <w:numPr>
          <w:ilvl w:val="0"/>
          <w:numId w:val="1379"/>
        </w:numPr>
        <w:pStyle w:val="Compact"/>
      </w:pPr>
      <w:r>
        <w:t xml:space="preserve">2024 · Kosiborod MN ·</w:t>
      </w:r>
      <w:r>
        <w:t xml:space="preserve"> </w:t>
      </w:r>
      <w:r>
        <w:rPr>
          <w:iCs/>
          <w:i/>
        </w:rPr>
        <w:t xml:space="preserve">Lancet</w:t>
      </w:r>
      <w:r>
        <w:t xml:space="preserve"> </w:t>
      </w:r>
      <w:r>
        <w:t xml:space="preserve">· Semaglutide versus placebo in patients with heart failure and mildly reduced or preserved ejection fraction: a pooled analysis of the SELECT, FLOW, STEP-HFpEF, and STEP-HFpEF DM randomised trials. PMID 39222642</w:t>
      </w:r>
    </w:p>
    <w:p>
      <w:pPr>
        <w:numPr>
          <w:ilvl w:val="0"/>
          <w:numId w:val="1379"/>
        </w:numPr>
        <w:pStyle w:val="Compact"/>
      </w:pPr>
      <w:r>
        <w:t xml:space="preserve">2024 · Selvarajah V ·</w:t>
      </w:r>
      <w:r>
        <w:t xml:space="preserve"> </w:t>
      </w:r>
      <w:r>
        <w:rPr>
          <w:iCs/>
          <w:i/>
        </w:rPr>
        <w:t xml:space="preserve">Kidney Int</w:t>
      </w:r>
      <w:r>
        <w:t xml:space="preserve"> </w:t>
      </w:r>
      <w:r>
        <w:t xml:space="preserve">· A randomized phase 2b trial examined the effects of the glucagon-like peptide-1 and glucagon receptor agonist cotadutide on kidney outcomes in patients with diabetic kidney disease. PMID 39218393</w:t>
      </w:r>
    </w:p>
    <w:p>
      <w:pPr>
        <w:numPr>
          <w:ilvl w:val="0"/>
          <w:numId w:val="1379"/>
        </w:numPr>
        <w:pStyle w:val="Compact"/>
      </w:pPr>
      <w:r>
        <w:t xml:space="preserve">2024 · Solomon SD ·</w:t>
      </w:r>
      <w:r>
        <w:t xml:space="preserve"> </w:t>
      </w:r>
      <w:r>
        <w:rPr>
          <w:iCs/>
          <w:i/>
        </w:rPr>
        <w:t xml:space="preserve">J Am Coll Cardiol</w:t>
      </w:r>
      <w:r>
        <w:t xml:space="preserve"> </w:t>
      </w:r>
      <w:r>
        <w:t xml:space="preserve">· Effect of Semaglutide on Cardiac Structure and Function in Patients With Obesity-Related Heart Failure. PMID 39217567</w:t>
      </w:r>
    </w:p>
    <w:p>
      <w:pPr>
        <w:numPr>
          <w:ilvl w:val="0"/>
          <w:numId w:val="1379"/>
        </w:numPr>
        <w:pStyle w:val="Compact"/>
      </w:pPr>
      <w:r>
        <w:t xml:space="preserve">2024 · Verma S ·</w:t>
      </w:r>
      <w:r>
        <w:t xml:space="preserve"> </w:t>
      </w:r>
      <w:r>
        <w:rPr>
          <w:iCs/>
          <w:i/>
        </w:rPr>
        <w:t xml:space="preserve">J Am Coll Cardiol</w:t>
      </w:r>
      <w:r>
        <w:t xml:space="preserve"> </w:t>
      </w:r>
      <w:r>
        <w:t xml:space="preserve">· Atrial Fibrillation and Semaglutide Effects in Obesity-Related Heart Failure With Preserved Ejection Fraction: STEP-HFpEF Program. PMID 39217565</w:t>
      </w:r>
    </w:p>
    <w:p>
      <w:pPr>
        <w:numPr>
          <w:ilvl w:val="0"/>
          <w:numId w:val="1379"/>
        </w:numPr>
        <w:pStyle w:val="Compact"/>
      </w:pPr>
      <w:r>
        <w:t xml:space="preserve">2024 · Verma S ·</w:t>
      </w:r>
      <w:r>
        <w:t xml:space="preserve"> </w:t>
      </w:r>
      <w:r>
        <w:rPr>
          <w:iCs/>
          <w:i/>
        </w:rPr>
        <w:t xml:space="preserve">J Am Coll Cardiol</w:t>
      </w:r>
      <w:r>
        <w:t xml:space="preserve"> </w:t>
      </w:r>
      <w:r>
        <w:t xml:space="preserve">· Inflammation in Obesity-Related HFpEF: The STEP-HFpEF Program. PMID 39217564</w:t>
      </w:r>
    </w:p>
    <w:p>
      <w:pPr>
        <w:numPr>
          <w:ilvl w:val="0"/>
          <w:numId w:val="1379"/>
        </w:numPr>
        <w:pStyle w:val="Compact"/>
      </w:pPr>
      <w:r>
        <w:t xml:space="preserve">2024 · Scirica BM ·</w:t>
      </w:r>
      <w:r>
        <w:t xml:space="preserve"> </w:t>
      </w:r>
      <w:r>
        <w:rPr>
          <w:iCs/>
          <w:i/>
        </w:rPr>
        <w:t xml:space="preserve">J Am Coll Cardiol</w:t>
      </w:r>
      <w:r>
        <w:t xml:space="preserve"> </w:t>
      </w:r>
      <w:r>
        <w:t xml:space="preserve">· The Effect of Semaglutide on Mortality and COVID-19-Related Deaths: An Analysis From the SELECT Trial. PMID 39217559</w:t>
      </w:r>
    </w:p>
    <w:p>
      <w:pPr>
        <w:numPr>
          <w:ilvl w:val="0"/>
          <w:numId w:val="1379"/>
        </w:numPr>
        <w:pStyle w:val="Compact"/>
      </w:pPr>
      <w:r>
        <w:t xml:space="preserve">2024 · Pratley RE ·</w:t>
      </w:r>
      <w:r>
        <w:t xml:space="preserve"> </w:t>
      </w:r>
      <w:r>
        <w:rPr>
          <w:iCs/>
          <w:i/>
        </w:rPr>
        <w:t xml:space="preserve">J Am Coll Cardiol</w:t>
      </w:r>
      <w:r>
        <w:t xml:space="preserve"> </w:t>
      </w:r>
      <w:r>
        <w:t xml:space="preserve">· Effects of Semaglutide on Heart Failure Outcomes in Diabetes and Chronic Kidney Disease in the FLOW Trial. PMID 39217553</w:t>
      </w:r>
    </w:p>
    <w:p>
      <w:pPr>
        <w:numPr>
          <w:ilvl w:val="0"/>
          <w:numId w:val="1379"/>
        </w:numPr>
        <w:pStyle w:val="Compact"/>
      </w:pPr>
      <w:r>
        <w:t xml:space="preserve">2024 · Younis IR ·</w:t>
      </w:r>
      <w:r>
        <w:t xml:space="preserve"> </w:t>
      </w:r>
      <w:r>
        <w:rPr>
          <w:iCs/>
          <w:i/>
        </w:rPr>
        <w:t xml:space="preserve">J Clin Pharmacol</w:t>
      </w:r>
      <w:r>
        <w:t xml:space="preserve"> </w:t>
      </w:r>
      <w:r>
        <w:t xml:space="preserve">· Pharmacokinetics and Safety of Cilofexor and Firsocostat in Healthy Japanese and Non-Japanese Participants. PMID 39213138</w:t>
      </w:r>
    </w:p>
    <w:p>
      <w:pPr>
        <w:numPr>
          <w:ilvl w:val="0"/>
          <w:numId w:val="1379"/>
        </w:numPr>
        <w:pStyle w:val="Compact"/>
      </w:pPr>
      <w:r>
        <w:t xml:space="preserve">2024 · Wang J ·</w:t>
      </w:r>
      <w:r>
        <w:t xml:space="preserve"> </w:t>
      </w:r>
      <w:r>
        <w:rPr>
          <w:iCs/>
          <w:i/>
        </w:rPr>
        <w:t xml:space="preserve">Diabetes Obes Metab</w:t>
      </w:r>
      <w:r>
        <w:t xml:space="preserve"> </w:t>
      </w:r>
      <w:r>
        <w:t xml:space="preserve">· Effect of semaglutide on primary prevention of diabetic kidney disease in people with type 2 diabetes: A post hoc analysis of the SUSTAIN 6 randomized controlled trial. PMID 39188242</w:t>
      </w:r>
    </w:p>
    <w:p>
      <w:pPr>
        <w:numPr>
          <w:ilvl w:val="0"/>
          <w:numId w:val="1379"/>
        </w:numPr>
        <w:pStyle w:val="Compact"/>
      </w:pPr>
      <w:r>
        <w:t xml:space="preserve">2024 · Deanfield J ·</w:t>
      </w:r>
      <w:r>
        <w:t xml:space="preserve"> </w:t>
      </w:r>
      <w:r>
        <w:rPr>
          <w:iCs/>
          <w:i/>
        </w:rPr>
        <w:t xml:space="preserve">Lancet</w:t>
      </w:r>
      <w:r>
        <w:t xml:space="preserve"> </w:t>
      </w:r>
      <w:r>
        <w:t xml:space="preserve">· Semaglutide and cardiovascular outcomes in patients with obesity and prevalent heart failure: a prespecified analysis of the SELECT trial. PMID 39181597</w:t>
      </w:r>
    </w:p>
    <w:p>
      <w:pPr>
        <w:numPr>
          <w:ilvl w:val="0"/>
          <w:numId w:val="1379"/>
        </w:numPr>
        <w:pStyle w:val="Compact"/>
      </w:pPr>
      <w:r>
        <w:t xml:space="preserve">2024 · El-Nayir M ·</w:t>
      </w:r>
      <w:r>
        <w:t xml:space="preserve"> </w:t>
      </w:r>
      <w:r>
        <w:rPr>
          <w:iCs/>
          <w:i/>
        </w:rPr>
        <w:t xml:space="preserve">Trials</w:t>
      </w:r>
      <w:r>
        <w:t xml:space="preserve"> </w:t>
      </w:r>
      <w:r>
        <w:t xml:space="preserve">· Patient and public involvement and engagement in the ASCEND PLUS trial: reflections from the design of a streamlined and decentralised clinical trial. PMID 39175005</w:t>
      </w:r>
    </w:p>
    <w:p>
      <w:pPr>
        <w:numPr>
          <w:ilvl w:val="0"/>
          <w:numId w:val="1379"/>
        </w:numPr>
        <w:pStyle w:val="Compact"/>
      </w:pPr>
      <w:r>
        <w:t xml:space="preserve">2024 · Liu X ·</w:t>
      </w:r>
      <w:r>
        <w:t xml:space="preserve"> </w:t>
      </w:r>
      <w:r>
        <w:rPr>
          <w:iCs/>
          <w:i/>
        </w:rPr>
        <w:t xml:space="preserve">J Diabetes Investig</w:t>
      </w:r>
      <w:r>
        <w:t xml:space="preserve"> </w:t>
      </w:r>
      <w:r>
        <w:t xml:space="preserve">· Application of the integrated data platform combined with dietary management for adults with diabetes: A prospective randomized controlled trial. PMID 39171608</w:t>
      </w:r>
    </w:p>
    <w:p>
      <w:pPr>
        <w:numPr>
          <w:ilvl w:val="0"/>
          <w:numId w:val="1379"/>
        </w:numPr>
        <w:pStyle w:val="Compact"/>
      </w:pPr>
      <w:r>
        <w:t xml:space="preserve">2024 · Manubolu VS ·</w:t>
      </w:r>
      <w:r>
        <w:t xml:space="preserve"> </w:t>
      </w:r>
      <w:r>
        <w:rPr>
          <w:iCs/>
          <w:i/>
        </w:rPr>
        <w:t xml:space="preserve">J Am Coll Cardiol</w:t>
      </w:r>
      <w:r>
        <w:t xml:space="preserve"> </w:t>
      </w:r>
      <w:r>
        <w:t xml:space="preserve">· Effect of Semaglutide on Epicardial Adipose Tissue in Type 2 Diabetes: Insights From the STOP (Semaglutide Treatment effect On coronary atherosclerosis Progression) Randomized Trial. PMID 39168573</w:t>
      </w:r>
    </w:p>
    <w:p>
      <w:pPr>
        <w:numPr>
          <w:ilvl w:val="0"/>
          <w:numId w:val="1379"/>
        </w:numPr>
        <w:pStyle w:val="Compact"/>
      </w:pPr>
      <w:r>
        <w:t xml:space="preserve">2024 · Yang W ·</w:t>
      </w:r>
      <w:r>
        <w:t xml:space="preserve"> </w:t>
      </w:r>
      <w:r>
        <w:rPr>
          <w:iCs/>
          <w:i/>
        </w:rPr>
        <w:t xml:space="preserve">Medicine (Baltimore)</w:t>
      </w:r>
      <w:r>
        <w:t xml:space="preserve"> </w:t>
      </w:r>
      <w:r>
        <w:t xml:space="preserve">· Real world study of GLP-1 receptor agonists in overweight or obese type 2 diabetes by using repeated measurement analysis of variance. PMID 39121301</w:t>
      </w:r>
    </w:p>
    <w:p>
      <w:pPr>
        <w:numPr>
          <w:ilvl w:val="0"/>
          <w:numId w:val="1379"/>
        </w:numPr>
        <w:pStyle w:val="Compact"/>
      </w:pPr>
      <w:r>
        <w:t xml:space="preserve">2024 · McGowan BM ·</w:t>
      </w:r>
      <w:r>
        <w:t xml:space="preserve"> </w:t>
      </w:r>
      <w:r>
        <w:rPr>
          <w:iCs/>
          <w:i/>
        </w:rPr>
        <w:t xml:space="preserve">Lancet Diabetes Endocrinol</w:t>
      </w:r>
      <w:r>
        <w:t xml:space="preserve"> </w:t>
      </w:r>
      <w:r>
        <w:t xml:space="preserve">· Efficacy and safety of once-weekly semaglutide 2·4 mg versus placebo in people with obesity and prediabetes (STEP 10): a randomised, double-blind, placebo-controlled, multicentre phase 3 trial. PMID 39089293</w:t>
      </w:r>
    </w:p>
    <w:p>
      <w:pPr>
        <w:numPr>
          <w:ilvl w:val="0"/>
          <w:numId w:val="1379"/>
        </w:numPr>
        <w:pStyle w:val="Compact"/>
      </w:pPr>
      <w:r>
        <w:t xml:space="preserve">2024 · Gabe MBN ·</w:t>
      </w:r>
      <w:r>
        <w:t xml:space="preserve"> </w:t>
      </w:r>
      <w:r>
        <w:rPr>
          <w:iCs/>
          <w:i/>
        </w:rPr>
        <w:t xml:space="preserve">Diabetes Obes Metab</w:t>
      </w:r>
      <w:r>
        <w:t xml:space="preserve"> </w:t>
      </w:r>
      <w:r>
        <w:t xml:space="preserve">· Effect of oral semaglutide on energy intake, appetite, control of eating and gastric emptying in adults living with obesity: A randomized controlled trial. PMID 39082206</w:t>
      </w:r>
    </w:p>
    <w:p>
      <w:pPr>
        <w:numPr>
          <w:ilvl w:val="0"/>
          <w:numId w:val="1379"/>
        </w:numPr>
        <w:pStyle w:val="Compact"/>
      </w:pPr>
      <w:r>
        <w:t xml:space="preserve">2024 · Vernstrøm L ·</w:t>
      </w:r>
      <w:r>
        <w:t xml:space="preserve"> </w:t>
      </w:r>
      <w:r>
        <w:rPr>
          <w:iCs/>
          <w:i/>
        </w:rPr>
        <w:t xml:space="preserve">Diabetologia</w:t>
      </w:r>
      <w:r>
        <w:t xml:space="preserve"> </w:t>
      </w:r>
      <w:r>
        <w:t xml:space="preserve">· Effects of semaglutide, empagliflozin and their combination on renal diffusion-weighted MRI and total kidney volume in patients with type 2 diabetes: a post hoc analysis from a 32 week randomised trial. PMID 39078489</w:t>
      </w:r>
    </w:p>
    <w:p>
      <w:pPr>
        <w:numPr>
          <w:ilvl w:val="0"/>
          <w:numId w:val="1379"/>
        </w:numPr>
        <w:pStyle w:val="Compact"/>
      </w:pPr>
      <w:r>
        <w:t xml:space="preserve">2024 · Anyiam O ·</w:t>
      </w:r>
      <w:r>
        <w:t xml:space="preserve"> </w:t>
      </w:r>
      <w:r>
        <w:rPr>
          <w:iCs/>
          <w:i/>
        </w:rPr>
        <w:t xml:space="preserve">Clin Nutr</w:t>
      </w:r>
      <w:r>
        <w:t xml:space="preserve"> </w:t>
      </w:r>
      <w:r>
        <w:t xml:space="preserve">· Metabolic effects of very-low calorie diet, Semaglutide, or combination of the two, in individuals with type 2 diabetes mellitus. PMID 38996661</w:t>
      </w:r>
    </w:p>
    <w:p>
      <w:pPr>
        <w:numPr>
          <w:ilvl w:val="0"/>
          <w:numId w:val="1379"/>
        </w:numPr>
        <w:pStyle w:val="Compact"/>
      </w:pPr>
      <w:r>
        <w:t xml:space="preserve">2024 · Wang W ·</w:t>
      </w:r>
      <w:r>
        <w:t xml:space="preserve"> </w:t>
      </w:r>
      <w:r>
        <w:rPr>
          <w:iCs/>
          <w:i/>
        </w:rPr>
        <w:t xml:space="preserve">Diabetologia</w:t>
      </w:r>
      <w:r>
        <w:t xml:space="preserve"> </w:t>
      </w:r>
      <w:r>
        <w:t xml:space="preserve">· Efficacy and safety of oral semaglutide monotherapy vs placebo in a predominantly Chinese population with type 2 diabetes (PIONEER 11): a double-blind, Phase IIIa, randomised trial. PMID 38985162</w:t>
      </w:r>
    </w:p>
    <w:p>
      <w:pPr>
        <w:numPr>
          <w:ilvl w:val="0"/>
          <w:numId w:val="1379"/>
        </w:numPr>
        <w:pStyle w:val="Compact"/>
      </w:pPr>
      <w:r>
        <w:t xml:space="preserve">2024 · Ji L ·</w:t>
      </w:r>
      <w:r>
        <w:t xml:space="preserve"> </w:t>
      </w:r>
      <w:r>
        <w:rPr>
          <w:iCs/>
          <w:i/>
        </w:rPr>
        <w:t xml:space="preserve">Diabetologia</w:t>
      </w:r>
      <w:r>
        <w:t xml:space="preserve"> </w:t>
      </w:r>
      <w:r>
        <w:t xml:space="preserve">· Efficacy and safety of oral semaglutide vs sitagliptin in a predominantly Chinese population with type 2 diabetes uncontrolled with metformin: PIONEER 12, a double-blind, Phase IIIa, randomised trial. PMID 38985161</w:t>
      </w:r>
    </w:p>
    <w:p>
      <w:pPr>
        <w:numPr>
          <w:ilvl w:val="0"/>
          <w:numId w:val="1379"/>
        </w:numPr>
        <w:pStyle w:val="Compact"/>
      </w:pPr>
      <w:r>
        <w:t xml:space="preserve">2024 · Eckard AR ·</w:t>
      </w:r>
      <w:r>
        <w:t xml:space="preserve"> </w:t>
      </w:r>
      <w:r>
        <w:rPr>
          <w:iCs/>
          <w:i/>
        </w:rPr>
        <w:t xml:space="preserve">Lancet Diabetes Endocrinol</w:t>
      </w:r>
      <w:r>
        <w:t xml:space="preserve"> </w:t>
      </w:r>
      <w:r>
        <w:t xml:space="preserve">· Once-weekly semaglutide in people with HIV-associated lipohypertrophy: a randomised, double-blind, placebo-controlled phase 2b single-centre clinical trial. PMID 38964353</w:t>
      </w:r>
    </w:p>
    <w:p>
      <w:pPr>
        <w:numPr>
          <w:ilvl w:val="0"/>
          <w:numId w:val="1379"/>
        </w:numPr>
        <w:pStyle w:val="Compact"/>
      </w:pPr>
      <w:r>
        <w:t xml:space="preserve">2024 · Mann JFE ·</w:t>
      </w:r>
      <w:r>
        <w:t xml:space="preserve"> </w:t>
      </w:r>
      <w:r>
        <w:rPr>
          <w:iCs/>
          <w:i/>
        </w:rPr>
        <w:t xml:space="preserve">Nat Med</w:t>
      </w:r>
      <w:r>
        <w:t xml:space="preserve"> </w:t>
      </w:r>
      <w:r>
        <w:t xml:space="preserve">· Effects of semaglutide with and without concomitant SGLT2 inhibitor use in participants with type 2 diabetes and chronic kidney disease in the FLOW trial. PMID 38914124</w:t>
      </w:r>
    </w:p>
    <w:p>
      <w:pPr>
        <w:numPr>
          <w:ilvl w:val="0"/>
          <w:numId w:val="1379"/>
        </w:numPr>
        <w:pStyle w:val="Compact"/>
      </w:pPr>
      <w:r>
        <w:t xml:space="preserve">2024 · Schou M ·</w:t>
      </w:r>
      <w:r>
        <w:t xml:space="preserve"> </w:t>
      </w:r>
      <w:r>
        <w:rPr>
          <w:iCs/>
          <w:i/>
        </w:rPr>
        <w:t xml:space="preserve">J Am Coll Cardiol</w:t>
      </w:r>
      <w:r>
        <w:t xml:space="preserve"> </w:t>
      </w:r>
      <w:r>
        <w:t xml:space="preserve">· Semaglutide and NYHA Functional Class in Obesity-Related Heart Failure With Preserved Ejection Fraction: The STEP-HFpEF Program. PMID 38913004</w:t>
      </w:r>
    </w:p>
    <w:p>
      <w:pPr>
        <w:numPr>
          <w:ilvl w:val="0"/>
          <w:numId w:val="1379"/>
        </w:numPr>
        <w:pStyle w:val="Compact"/>
      </w:pPr>
      <w:r>
        <w:t xml:space="preserve">2024 · Verma S ·</w:t>
      </w:r>
      <w:r>
        <w:t xml:space="preserve"> </w:t>
      </w:r>
      <w:r>
        <w:rPr>
          <w:iCs/>
          <w:i/>
        </w:rPr>
        <w:t xml:space="preserve">J Am Coll Cardiol</w:t>
      </w:r>
      <w:r>
        <w:t xml:space="preserve"> </w:t>
      </w:r>
      <w:r>
        <w:t xml:space="preserve">· Efficacy of Semaglutide by Sex in Obesity-Related Heart Failure With Preserved Ejection Fraction: STEP-HFpEF Trials. PMID 38913003</w:t>
      </w:r>
    </w:p>
    <w:p>
      <w:pPr>
        <w:numPr>
          <w:ilvl w:val="0"/>
          <w:numId w:val="1379"/>
        </w:numPr>
        <w:pStyle w:val="Compact"/>
      </w:pPr>
      <w:r>
        <w:t xml:space="preserve">2024 · Lingvay I ·</w:t>
      </w:r>
      <w:r>
        <w:t xml:space="preserve"> </w:t>
      </w:r>
      <w:r>
        <w:rPr>
          <w:iCs/>
          <w:i/>
        </w:rPr>
        <w:t xml:space="preserve">Diabetes Care</w:t>
      </w:r>
      <w:r>
        <w:t xml:space="preserve"> </w:t>
      </w:r>
      <w:r>
        <w:t xml:space="preserve">· Semaglutide and Cardiovascular Outcomes by Baseline HbA1c and Change in HbA1c in People With Overweight or Obesity but Without Diabetes in SELECT. PMID 38907684</w:t>
      </w:r>
    </w:p>
    <w:p>
      <w:pPr>
        <w:numPr>
          <w:ilvl w:val="0"/>
          <w:numId w:val="1379"/>
        </w:numPr>
        <w:pStyle w:val="Compact"/>
      </w:pPr>
      <w:r>
        <w:t xml:space="preserve">2024 · Kahn SE ·</w:t>
      </w:r>
      <w:r>
        <w:t xml:space="preserve"> </w:t>
      </w:r>
      <w:r>
        <w:rPr>
          <w:iCs/>
          <w:i/>
        </w:rPr>
        <w:t xml:space="preserve">Diabetes Care</w:t>
      </w:r>
      <w:r>
        <w:t xml:space="preserve"> </w:t>
      </w:r>
      <w:r>
        <w:t xml:space="preserve">· Effect of Semaglutide on Regression and Progression of Glycemia in People With Overweight or Obesity but Without Diabetes in the SELECT Trial. PMID 38907683</w:t>
      </w:r>
    </w:p>
    <w:p>
      <w:pPr>
        <w:numPr>
          <w:ilvl w:val="0"/>
          <w:numId w:val="1379"/>
        </w:numPr>
        <w:pStyle w:val="Compact"/>
      </w:pPr>
      <w:r>
        <w:t xml:space="preserve">2024 · Petrie MC ·</w:t>
      </w:r>
      <w:r>
        <w:t xml:space="preserve"> </w:t>
      </w:r>
      <w:r>
        <w:rPr>
          <w:iCs/>
          <w:i/>
        </w:rPr>
        <w:t xml:space="preserve">J Am Coll Cardiol</w:t>
      </w:r>
      <w:r>
        <w:t xml:space="preserve"> </w:t>
      </w:r>
      <w:r>
        <w:t xml:space="preserve">· Semaglutide and NT-proBNP in Obesity-Related HFpEF: Insights From the STEP-HFpEF Program. PMID 38819334</w:t>
      </w:r>
    </w:p>
    <w:p>
      <w:pPr>
        <w:numPr>
          <w:ilvl w:val="0"/>
          <w:numId w:val="1379"/>
        </w:numPr>
        <w:pStyle w:val="Compact"/>
      </w:pPr>
      <w:r>
        <w:t xml:space="preserve">2024 · Xie P ·</w:t>
      </w:r>
      <w:r>
        <w:t xml:space="preserve"> </w:t>
      </w:r>
      <w:r>
        <w:rPr>
          <w:iCs/>
          <w:i/>
        </w:rPr>
        <w:t xml:space="preserve">Diabetes Obes Metab</w:t>
      </w:r>
      <w:r>
        <w:t xml:space="preserve"> </w:t>
      </w:r>
      <w:r>
        <w:t xml:space="preserve">· A phase 1, randomized, double-blind, placebo-controlled trial investigating the pharmacokinetics, pharmacodynamics, safety and tolerability of oral semaglutide in healthy Chinese subjects. PMID 38808476</w:t>
      </w:r>
    </w:p>
    <w:p>
      <w:pPr>
        <w:numPr>
          <w:ilvl w:val="0"/>
          <w:numId w:val="1379"/>
        </w:numPr>
        <w:pStyle w:val="Compact"/>
      </w:pPr>
      <w:r>
        <w:t xml:space="preserve">2024 · Colhoun HM ·</w:t>
      </w:r>
      <w:r>
        <w:t xml:space="preserve"> </w:t>
      </w:r>
      <w:r>
        <w:rPr>
          <w:iCs/>
          <w:i/>
        </w:rPr>
        <w:t xml:space="preserve">Nat Med</w:t>
      </w:r>
      <w:r>
        <w:t xml:space="preserve"> </w:t>
      </w:r>
      <w:r>
        <w:t xml:space="preserve">· Long-term kidney outcomes of semaglutide in obesity and cardiovascular disease in the SELECT trial. PMID 38796653</w:t>
      </w:r>
    </w:p>
    <w:p>
      <w:pPr>
        <w:numPr>
          <w:ilvl w:val="0"/>
          <w:numId w:val="1379"/>
        </w:numPr>
        <w:pStyle w:val="Compact"/>
      </w:pPr>
      <w:r>
        <w:t xml:space="preserve">2024 · Mather KJ ·</w:t>
      </w:r>
      <w:r>
        <w:t xml:space="preserve"> </w:t>
      </w:r>
      <w:r>
        <w:rPr>
          <w:iCs/>
          <w:i/>
        </w:rPr>
        <w:t xml:space="preserve">J Clin Endocrinol Metab</w:t>
      </w:r>
      <w:r>
        <w:t xml:space="preserve"> </w:t>
      </w:r>
      <w:r>
        <w:t xml:space="preserve">· Effects of Tirzepatide vs Semaglutide on β-Cell Function, Insulin Sensitivity, and Glucose Control During a Meal Test. PMID 38795393</w:t>
      </w:r>
    </w:p>
    <w:p>
      <w:pPr>
        <w:numPr>
          <w:ilvl w:val="0"/>
          <w:numId w:val="1379"/>
        </w:numPr>
        <w:pStyle w:val="Compact"/>
      </w:pPr>
      <w:r>
        <w:t xml:space="preserve">2024 · Perkovic V ·</w:t>
      </w:r>
      <w:r>
        <w:t xml:space="preserve"> </w:t>
      </w:r>
      <w:r>
        <w:rPr>
          <w:iCs/>
          <w:i/>
        </w:rPr>
        <w:t xml:space="preserve">N Engl J Med</w:t>
      </w:r>
      <w:r>
        <w:t xml:space="preserve"> </w:t>
      </w:r>
      <w:r>
        <w:t xml:space="preserve">· Effects of Semaglutide on Chronic Kidney Disease in Patients with Type 2 Diabetes. PMID 38785209</w:t>
      </w:r>
    </w:p>
    <w:p>
      <w:pPr>
        <w:numPr>
          <w:ilvl w:val="0"/>
          <w:numId w:val="1379"/>
        </w:numPr>
        <w:pStyle w:val="Compact"/>
      </w:pPr>
      <w:r>
        <w:t xml:space="preserve">2024 · Osumili B ·</w:t>
      </w:r>
      <w:r>
        <w:t xml:space="preserve"> </w:t>
      </w:r>
      <w:r>
        <w:rPr>
          <w:iCs/>
          <w:i/>
        </w:rPr>
        <w:t xml:space="preserve">Diabetes Res Clin Pract</w:t>
      </w:r>
      <w:r>
        <w:t xml:space="preserve"> </w:t>
      </w:r>
      <w:r>
        <w:t xml:space="preserve">· Tirzepatide 5, 10 and 15 mg versus injectable semaglutide 0.5 mg for the treatment of type 2 diabetes: An adjusted indirect treatment comparison. PMID 38777128</w:t>
      </w:r>
    </w:p>
    <w:p>
      <w:pPr>
        <w:numPr>
          <w:ilvl w:val="0"/>
          <w:numId w:val="1379"/>
        </w:numPr>
        <w:pStyle w:val="Compact"/>
      </w:pPr>
      <w:r>
        <w:t xml:space="preserve">2024 · Ryan DH ·</w:t>
      </w:r>
      <w:r>
        <w:t xml:space="preserve"> </w:t>
      </w:r>
      <w:r>
        <w:rPr>
          <w:iCs/>
          <w:i/>
        </w:rPr>
        <w:t xml:space="preserve">Nat Med</w:t>
      </w:r>
      <w:r>
        <w:t xml:space="preserve"> </w:t>
      </w:r>
      <w:r>
        <w:t xml:space="preserve">· Long-term weight loss effects of semaglutide in obesity without diabetes in the SELECT trial. PMID 38740993</w:t>
      </w:r>
    </w:p>
    <w:p>
      <w:pPr>
        <w:numPr>
          <w:ilvl w:val="0"/>
          <w:numId w:val="1379"/>
        </w:numPr>
        <w:pStyle w:val="Compact"/>
      </w:pPr>
      <w:r>
        <w:t xml:space="preserve">2024 · Shah SJ ·</w:t>
      </w:r>
      <w:r>
        <w:t xml:space="preserve"> </w:t>
      </w:r>
      <w:r>
        <w:rPr>
          <w:iCs/>
          <w:i/>
        </w:rPr>
        <w:t xml:space="preserve">Eur Heart J</w:t>
      </w:r>
      <w:r>
        <w:t xml:space="preserve"> </w:t>
      </w:r>
      <w:r>
        <w:t xml:space="preserve">· Semaglutide and diuretic use in obesity-related heart failure with preserved ejection fraction: a pooled analysis of the STEP-HFpEF and STEP-HFpEF-DM trials. PMID 38739118</w:t>
      </w:r>
    </w:p>
    <w:p>
      <w:pPr>
        <w:numPr>
          <w:ilvl w:val="0"/>
          <w:numId w:val="1379"/>
        </w:numPr>
        <w:pStyle w:val="Compact"/>
      </w:pPr>
      <w:r>
        <w:t xml:space="preserve">2024 · Rubino D ·</w:t>
      </w:r>
      <w:r>
        <w:t xml:space="preserve"> </w:t>
      </w:r>
      <w:r>
        <w:rPr>
          <w:iCs/>
          <w:i/>
        </w:rPr>
        <w:t xml:space="preserve">Diabetes Obes Metab</w:t>
      </w:r>
      <w:r>
        <w:t xml:space="preserve"> </w:t>
      </w:r>
      <w:r>
        <w:t xml:space="preserve">· Effect of semaglutide 2.4 mg on physical functioning and weight- and health-related quality of life in adults with overweight or obesity: Patient-reported outcomes from the STEP 1-4 trials. PMID 38698650</w:t>
      </w:r>
    </w:p>
    <w:p>
      <w:pPr>
        <w:numPr>
          <w:ilvl w:val="0"/>
          <w:numId w:val="1379"/>
        </w:numPr>
        <w:pStyle w:val="Compact"/>
      </w:pPr>
      <w:r>
        <w:t xml:space="preserve">2024 · Zeitler P ·</w:t>
      </w:r>
      <w:r>
        <w:t xml:space="preserve"> </w:t>
      </w:r>
      <w:r>
        <w:rPr>
          <w:iCs/>
          <w:i/>
        </w:rPr>
        <w:t xml:space="preserve">Diabetes Care</w:t>
      </w:r>
      <w:r>
        <w:t xml:space="preserve"> </w:t>
      </w:r>
      <w:r>
        <w:t xml:space="preserve">· Early-Onset Type 2 Diabetes and Tirzepatide Treatment: A Post Hoc Analysis From the SURPASS Clinical Trial Program. PMID 38639997</w:t>
      </w:r>
    </w:p>
    <w:p>
      <w:pPr>
        <w:numPr>
          <w:ilvl w:val="0"/>
          <w:numId w:val="1379"/>
        </w:numPr>
        <w:pStyle w:val="Compact"/>
      </w:pPr>
      <w:r>
        <w:t xml:space="preserve">2024 · Butler J ·</w:t>
      </w:r>
      <w:r>
        <w:t xml:space="preserve"> </w:t>
      </w:r>
      <w:r>
        <w:rPr>
          <w:iCs/>
          <w:i/>
        </w:rPr>
        <w:t xml:space="preserve">Lancet</w:t>
      </w:r>
      <w:r>
        <w:t xml:space="preserve"> </w:t>
      </w:r>
      <w:r>
        <w:t xml:space="preserve">· Semaglutide versus placebo in people with obesity-related heart failure with preserved ejection fraction: a pooled analysis of the STEP-HFpEF and STEP-HFpEF DM randomised trials. PMID 38599221</w:t>
      </w:r>
    </w:p>
    <w:p>
      <w:pPr>
        <w:numPr>
          <w:ilvl w:val="0"/>
          <w:numId w:val="1379"/>
        </w:numPr>
        <w:pStyle w:val="Compact"/>
      </w:pPr>
      <w:r>
        <w:t xml:space="preserve">2024 · Kosiborod MN ·</w:t>
      </w:r>
      <w:r>
        <w:t xml:space="preserve"> </w:t>
      </w:r>
      <w:r>
        <w:rPr>
          <w:iCs/>
          <w:i/>
        </w:rPr>
        <w:t xml:space="preserve">N Engl J Med</w:t>
      </w:r>
      <w:r>
        <w:t xml:space="preserve"> </w:t>
      </w:r>
      <w:r>
        <w:t xml:space="preserve">· Semaglutide in Patients with Obesity-Related Heart Failure and Type 2 Diabetes. PMID 38587233</w:t>
      </w:r>
    </w:p>
    <w:p>
      <w:pPr>
        <w:numPr>
          <w:ilvl w:val="0"/>
          <w:numId w:val="1379"/>
        </w:numPr>
        <w:pStyle w:val="Compact"/>
      </w:pPr>
      <w:r>
        <w:t xml:space="preserve">2024 · Weber EJ ·</w:t>
      </w:r>
      <w:r>
        <w:t xml:space="preserve"> </w:t>
      </w:r>
      <w:r>
        <w:rPr>
          <w:iCs/>
          <w:i/>
        </w:rPr>
        <w:t xml:space="preserve">Clin Pharmacol Drug Dev</w:t>
      </w:r>
      <w:r>
        <w:t xml:space="preserve"> </w:t>
      </w:r>
      <w:r>
        <w:t xml:space="preserve">· Evaluation of the Effects of Meal Type and Acid-Reducing Agents on the Pharmacokinetics of Cilofexor, a Selective Nonsteroidal Farnesoid X Receptor Agonist. PMID 38346861</w:t>
      </w:r>
    </w:p>
    <w:p>
      <w:pPr>
        <w:numPr>
          <w:ilvl w:val="0"/>
          <w:numId w:val="1379"/>
        </w:numPr>
        <w:pStyle w:val="Compact"/>
      </w:pPr>
      <w:r>
        <w:t xml:space="preserve">2024 · Mu Y ·</w:t>
      </w:r>
      <w:r>
        <w:t xml:space="preserve"> </w:t>
      </w:r>
      <w:r>
        <w:rPr>
          <w:iCs/>
          <w:i/>
        </w:rPr>
        <w:t xml:space="preserve">Lancet Diabetes Endocrinol</w:t>
      </w:r>
      <w:r>
        <w:t xml:space="preserve"> </w:t>
      </w:r>
      <w:r>
        <w:t xml:space="preserve">· Efficacy and safety of once weekly semaglutide 2·4 mg for weight management in a predominantly east Asian population with overweight or obesity (STEP 7): a double-blind, multicentre, randomised controlled trial. PMID 38330988</w:t>
      </w:r>
    </w:p>
    <w:p>
      <w:pPr>
        <w:numPr>
          <w:ilvl w:val="0"/>
          <w:numId w:val="1379"/>
        </w:numPr>
        <w:pStyle w:val="Compact"/>
      </w:pPr>
      <w:r>
        <w:t xml:space="preserve">2024 · Frias JP ·</w:t>
      </w:r>
      <w:r>
        <w:t xml:space="preserve"> </w:t>
      </w:r>
      <w:r>
        <w:rPr>
          <w:iCs/>
          <w:i/>
        </w:rPr>
        <w:t xml:space="preserve">J Clin Endocrinol Metab</w:t>
      </w:r>
      <w:r>
        <w:t xml:space="preserve"> </w:t>
      </w:r>
      <w:r>
        <w:t xml:space="preserve">· Tirzepatide Improved Markers of Islet Cell Function and Insulin Sensitivity in People With T2D (SURPASS-2). PMID 38252888</w:t>
      </w:r>
    </w:p>
    <w:p>
      <w:pPr>
        <w:numPr>
          <w:ilvl w:val="0"/>
          <w:numId w:val="1379"/>
        </w:numPr>
        <w:pStyle w:val="Compact"/>
      </w:pPr>
      <w:r>
        <w:t xml:space="preserve">2024 · Vernstrøm L ·</w:t>
      </w:r>
      <w:r>
        <w:t xml:space="preserve"> </w:t>
      </w:r>
      <w:r>
        <w:rPr>
          <w:iCs/>
          <w:i/>
        </w:rPr>
        <w:t xml:space="preserve">Diabetes Obes Metab</w:t>
      </w:r>
      <w:r>
        <w:t xml:space="preserve"> </w:t>
      </w:r>
      <w:r>
        <w:t xml:space="preserve">· Separate and combined effects of empagliflozin and semaglutide on vascular function: A 32-week randomized trial. PMID 38240066</w:t>
      </w:r>
    </w:p>
    <w:p>
      <w:pPr>
        <w:numPr>
          <w:ilvl w:val="0"/>
          <w:numId w:val="1379"/>
        </w:numPr>
        <w:pStyle w:val="Compact"/>
      </w:pPr>
      <w:r>
        <w:t xml:space="preserve">2024 · Gullaksen S ·</w:t>
      </w:r>
      <w:r>
        <w:t xml:space="preserve"> </w:t>
      </w:r>
      <w:r>
        <w:rPr>
          <w:iCs/>
          <w:i/>
        </w:rPr>
        <w:t xml:space="preserve">J Diabetes Complications</w:t>
      </w:r>
      <w:r>
        <w:t xml:space="preserve"> </w:t>
      </w:r>
      <w:r>
        <w:t xml:space="preserve">· The effects of semaglutide, empagliflozin and their combination on the kidney sodium signal from magnetic resonance imaging: A prespecified, secondary analysis from a randomized, clinical trial. PMID 38219335</w:t>
      </w:r>
    </w:p>
    <w:p>
      <w:pPr>
        <w:numPr>
          <w:ilvl w:val="0"/>
          <w:numId w:val="1379"/>
        </w:numPr>
        <w:pStyle w:val="Compact"/>
      </w:pPr>
      <w:r>
        <w:t xml:space="preserve">2024 · Dwibedi C ·</w:t>
      </w:r>
      <w:r>
        <w:t xml:space="preserve"> </w:t>
      </w:r>
      <w:r>
        <w:rPr>
          <w:iCs/>
          <w:i/>
        </w:rPr>
        <w:t xml:space="preserve">Nat Metab</w:t>
      </w:r>
      <w:r>
        <w:t xml:space="preserve"> </w:t>
      </w:r>
      <w:r>
        <w:t xml:space="preserve">· Randomized open-label trial of semaglutide and dapagliflozin in patients with type 2 diabetes of different pathophysiology. PMID 38177805</w:t>
      </w:r>
    </w:p>
    <w:p>
      <w:pPr>
        <w:numPr>
          <w:ilvl w:val="0"/>
          <w:numId w:val="1379"/>
        </w:numPr>
        <w:pStyle w:val="Compact"/>
      </w:pPr>
      <w:r>
        <w:t xml:space="preserve">2024 · Ratziu V ·</w:t>
      </w:r>
      <w:r>
        <w:t xml:space="preserve"> </w:t>
      </w:r>
      <w:r>
        <w:rPr>
          <w:iCs/>
          <w:i/>
        </w:rPr>
        <w:t xml:space="preserve">Hepatology</w:t>
      </w:r>
      <w:r>
        <w:t xml:space="preserve"> </w:t>
      </w:r>
      <w:r>
        <w:t xml:space="preserve">· Artificial intelligence scoring of liver biopsies in a phase II trial of semaglutide in nonalcoholic steatohepatitis. PMID 38112484</w:t>
      </w:r>
    </w:p>
    <w:p>
      <w:pPr>
        <w:numPr>
          <w:ilvl w:val="0"/>
          <w:numId w:val="1379"/>
        </w:numPr>
        <w:pStyle w:val="Compact"/>
      </w:pPr>
      <w:r>
        <w:t xml:space="preserve">2024 · Blüher M ·</w:t>
      </w:r>
      <w:r>
        <w:t xml:space="preserve"> </w:t>
      </w:r>
      <w:r>
        <w:rPr>
          <w:iCs/>
          <w:i/>
        </w:rPr>
        <w:t xml:space="preserve">Diabetologia</w:t>
      </w:r>
      <w:r>
        <w:t xml:space="preserve"> </w:t>
      </w:r>
      <w:r>
        <w:t xml:space="preserve">· Dose-response effects on HbA(1c) and bodyweight reduction of survodutide, a dual glucagon/GLP-1 receptor agonist, compared with placebo and open-label semaglutide in people with type 2 diabetes: a randomised clinical trial. PMID 38095657</w:t>
      </w:r>
    </w:p>
    <w:p>
      <w:pPr>
        <w:numPr>
          <w:ilvl w:val="0"/>
          <w:numId w:val="1379"/>
        </w:numPr>
        <w:pStyle w:val="Compact"/>
      </w:pPr>
      <w:r>
        <w:t xml:space="preserve">2024 · Mathur W ·</w:t>
      </w:r>
      <w:r>
        <w:t xml:space="preserve"> </w:t>
      </w:r>
      <w:r>
        <w:rPr>
          <w:iCs/>
          <w:i/>
        </w:rPr>
        <w:t xml:space="preserve">Obes Surg</w:t>
      </w:r>
      <w:r>
        <w:t xml:space="preserve"> </w:t>
      </w:r>
      <w:r>
        <w:t xml:space="preserve">· Effect of Swallow Balloon Therapy with the Combination of Semaglutide Oral Formulation: a Randomised Double-Blind Single-Centre Study. PMID 38091192</w:t>
      </w:r>
    </w:p>
    <w:p>
      <w:pPr>
        <w:numPr>
          <w:ilvl w:val="0"/>
          <w:numId w:val="1379"/>
        </w:numPr>
        <w:pStyle w:val="Compact"/>
      </w:pPr>
      <w:r>
        <w:t xml:space="preserve">2024 · Furusawa S ·</w:t>
      </w:r>
      <w:r>
        <w:t xml:space="preserve"> </w:t>
      </w:r>
      <w:r>
        <w:rPr>
          <w:iCs/>
          <w:i/>
        </w:rPr>
        <w:t xml:space="preserve">Diabetes Obes Metab</w:t>
      </w:r>
      <w:r>
        <w:t xml:space="preserve"> </w:t>
      </w:r>
      <w:r>
        <w:t xml:space="preserve">· Glycaemic control efficacy of switching from dipeptidyl peptidase-4 inhibitors to oral semaglutide in subjects with type 2 diabetes: A multicentre, prospective, randomized, open-label, parallel-group comparison study (SWITCH-SEMA 2 study). PMID 38073422</w:t>
      </w:r>
    </w:p>
    <w:p>
      <w:pPr>
        <w:numPr>
          <w:ilvl w:val="0"/>
          <w:numId w:val="1379"/>
        </w:numPr>
        <w:pStyle w:val="Compact"/>
      </w:pPr>
      <w:r>
        <w:t xml:space="preserve">2024 · Niu S ·</w:t>
      </w:r>
      <w:r>
        <w:t xml:space="preserve"> </w:t>
      </w:r>
      <w:r>
        <w:rPr>
          <w:iCs/>
          <w:i/>
        </w:rPr>
        <w:t xml:space="preserve">Diabetes Obes Metab</w:t>
      </w:r>
      <w:r>
        <w:t xml:space="preserve"> </w:t>
      </w:r>
      <w:r>
        <w:t xml:space="preserve">· 5-Year simulation of diabetes-related complications in people treated with tirzepatide or semaglutide versus insulin glargine. PMID 37867175</w:t>
      </w:r>
    </w:p>
    <w:p>
      <w:pPr>
        <w:numPr>
          <w:ilvl w:val="0"/>
          <w:numId w:val="1379"/>
        </w:numPr>
        <w:pStyle w:val="Compact"/>
      </w:pPr>
      <w:r>
        <w:t xml:space="preserve">2024 · Patel H ·</w:t>
      </w:r>
      <w:r>
        <w:t xml:space="preserve"> </w:t>
      </w:r>
      <w:r>
        <w:rPr>
          <w:iCs/>
          <w:i/>
        </w:rPr>
        <w:t xml:space="preserve">Diabetes Obes Metab</w:t>
      </w:r>
      <w:r>
        <w:t xml:space="preserve"> </w:t>
      </w:r>
      <w:r>
        <w:t xml:space="preserve">· Gastrointestinal adverse events and weight reduction in people with type 2 diabetes treated with tirzepatide in the SURPASS clinical trials. PMID 37853960</w:t>
      </w:r>
    </w:p>
    <w:p>
      <w:pPr>
        <w:numPr>
          <w:ilvl w:val="0"/>
          <w:numId w:val="1379"/>
        </w:numPr>
        <w:pStyle w:val="Compact"/>
      </w:pPr>
      <w:r>
        <w:t xml:space="preserve">2024 · Ji L ·</w:t>
      </w:r>
      <w:r>
        <w:t xml:space="preserve"> </w:t>
      </w:r>
      <w:r>
        <w:rPr>
          <w:iCs/>
          <w:i/>
        </w:rPr>
        <w:t xml:space="preserve">Diabetes Obes Metab</w:t>
      </w:r>
      <w:r>
        <w:t xml:space="preserve"> </w:t>
      </w:r>
      <w:r>
        <w:t xml:space="preserve">· Proportion of participants with type 2 diabetes achieving a metabolic composite endpoint with once-weekly semaglutide treatment versus comparators: Post hoc pooled analysis from SUSTAIN 1-5, 7-10 and SUSTAIN China. PMID 37822270</w:t>
      </w:r>
    </w:p>
    <w:p>
      <w:pPr>
        <w:numPr>
          <w:ilvl w:val="0"/>
          <w:numId w:val="1379"/>
        </w:numPr>
        <w:pStyle w:val="Compact"/>
      </w:pPr>
      <w:r>
        <w:t xml:space="preserve">2024 · Sivalingam S ·</w:t>
      </w:r>
      <w:r>
        <w:t xml:space="preserve"> </w:t>
      </w:r>
      <w:r>
        <w:rPr>
          <w:iCs/>
          <w:i/>
        </w:rPr>
        <w:t xml:space="preserve">Diabetes Obes Metab</w:t>
      </w:r>
      <w:r>
        <w:t xml:space="preserve"> </w:t>
      </w:r>
      <w:r>
        <w:t xml:space="preserve">· Albuminuria-lowering effect of adding semaglutide on top of empagliflozin in individuals with type 2 diabetes: A randomized and placebo-controlled study. PMID 37722966</w:t>
      </w:r>
    </w:p>
    <w:p>
      <w:pPr>
        <w:numPr>
          <w:ilvl w:val="0"/>
          <w:numId w:val="1379"/>
        </w:numPr>
        <w:pStyle w:val="Compact"/>
      </w:pPr>
      <w:r>
        <w:t xml:space="preserve">2024 · Rahbek MT ·</w:t>
      </w:r>
      <w:r>
        <w:t xml:space="preserve"> </w:t>
      </w:r>
      <w:r>
        <w:rPr>
          <w:iCs/>
          <w:i/>
        </w:rPr>
        <w:t xml:space="preserve">Pharmacoepidemiol Drug Saf</w:t>
      </w:r>
      <w:r>
        <w:t xml:space="preserve"> </w:t>
      </w:r>
      <w:r>
        <w:t xml:space="preserve">· A case for screening real-world data for collateral drug benefits: Glucagon-like peptide 1 receptor agonists and bile acid diarrhea. PMID 37559355</w:t>
      </w:r>
    </w:p>
    <w:p>
      <w:pPr>
        <w:numPr>
          <w:ilvl w:val="0"/>
          <w:numId w:val="1379"/>
        </w:numPr>
        <w:pStyle w:val="Compact"/>
      </w:pPr>
      <w:r>
        <w:t xml:space="preserve">2024 · Cirnigliaro CM ·</w:t>
      </w:r>
      <w:r>
        <w:t xml:space="preserve"> </w:t>
      </w:r>
      <w:r>
        <w:rPr>
          <w:iCs/>
          <w:i/>
        </w:rPr>
        <w:t xml:space="preserve">J Spinal Cord Med</w:t>
      </w:r>
      <w:r>
        <w:t xml:space="preserve"> </w:t>
      </w:r>
      <w:r>
        <w:t xml:space="preserve">· Preliminary observations on the administration of a glucagon-like peptide-1 receptor agonist on body weight and select carbohydrate endpoints in persons with spinal cord injury: A controlled case series. PMID 37158751</w:t>
      </w:r>
    </w:p>
    <w:p>
      <w:pPr>
        <w:numPr>
          <w:ilvl w:val="0"/>
          <w:numId w:val="1379"/>
        </w:numPr>
        <w:pStyle w:val="Compact"/>
      </w:pPr>
      <w:r>
        <w:t xml:space="preserve">2023 · Lincoff AM ·</w:t>
      </w:r>
      <w:r>
        <w:t xml:space="preserve"> </w:t>
      </w:r>
      <w:r>
        <w:rPr>
          <w:iCs/>
          <w:i/>
        </w:rPr>
        <w:t xml:space="preserve">N Engl J Med</w:t>
      </w:r>
      <w:r>
        <w:t xml:space="preserve"> </w:t>
      </w:r>
      <w:r>
        <w:t xml:space="preserve">· Semaglutide and Cardiovascular Outcomes in Obesity without Diabetes. PMID 37952131</w:t>
      </w:r>
    </w:p>
    <w:p>
      <w:pPr>
        <w:numPr>
          <w:ilvl w:val="0"/>
          <w:numId w:val="1379"/>
        </w:numPr>
        <w:pStyle w:val="Compact"/>
      </w:pPr>
      <w:r>
        <w:t xml:space="preserve">2023 · Coelho C ·</w:t>
      </w:r>
      <w:r>
        <w:t xml:space="preserve"> </w:t>
      </w:r>
      <w:r>
        <w:rPr>
          <w:iCs/>
          <w:i/>
        </w:rPr>
        <w:t xml:space="preserve">Int J Obes (Lond)</w:t>
      </w:r>
      <w:r>
        <w:t xml:space="preserve"> </w:t>
      </w:r>
      <w:r>
        <w:t xml:space="preserve">· Laparoscopic adjustable gastric banding with liraglutide in adults with obesity and type 2 diabetes (GLIDE): a pilot randomised placebo controlled trial. PMID 37696925</w:t>
      </w:r>
    </w:p>
    <w:p>
      <w:pPr>
        <w:numPr>
          <w:ilvl w:val="0"/>
          <w:numId w:val="1379"/>
        </w:numPr>
        <w:pStyle w:val="Compact"/>
      </w:pPr>
      <w:r>
        <w:t xml:space="preserve">2023 · Kimura T ·</w:t>
      </w:r>
      <w:r>
        <w:t xml:space="preserve"> </w:t>
      </w:r>
      <w:r>
        <w:rPr>
          <w:iCs/>
          <w:i/>
        </w:rPr>
        <w:t xml:space="preserve">Diabetes Obes Metab</w:t>
      </w:r>
      <w:r>
        <w:t xml:space="preserve"> </w:t>
      </w:r>
      <w:r>
        <w:t xml:space="preserve">· Comparison of clinical efficacy and safety of weekly glucagon-like peptide-1 receptor agonists dulaglutide and semaglutide in Japanese patients with type 2 diabetes: Randomized, parallel-group, multicentre, open-label trial (COMING study). PMID 37646192</w:t>
      </w:r>
    </w:p>
    <w:p>
      <w:pPr>
        <w:numPr>
          <w:ilvl w:val="0"/>
          <w:numId w:val="1379"/>
        </w:numPr>
        <w:pStyle w:val="Compact"/>
      </w:pPr>
      <w:r>
        <w:t xml:space="preserve">2023 · Kosiborod MN ·</w:t>
      </w:r>
      <w:r>
        <w:t xml:space="preserve"> </w:t>
      </w:r>
      <w:r>
        <w:rPr>
          <w:iCs/>
          <w:i/>
        </w:rPr>
        <w:t xml:space="preserve">N Engl J Med</w:t>
      </w:r>
      <w:r>
        <w:t xml:space="preserve"> </w:t>
      </w:r>
      <w:r>
        <w:t xml:space="preserve">· Semaglutide in Patients with Heart Failure with Preserved Ejection Fraction and Obesity. PMID 37622681</w:t>
      </w:r>
    </w:p>
    <w:p>
      <w:pPr>
        <w:numPr>
          <w:ilvl w:val="0"/>
          <w:numId w:val="1379"/>
        </w:numPr>
        <w:pStyle w:val="Compact"/>
      </w:pPr>
      <w:r>
        <w:t xml:space="preserve">2023 · Wilkinson L ·</w:t>
      </w:r>
      <w:r>
        <w:t xml:space="preserve"> </w:t>
      </w:r>
      <w:r>
        <w:rPr>
          <w:iCs/>
          <w:i/>
        </w:rPr>
        <w:t xml:space="preserve">Obesity (Silver Spring)</w:t>
      </w:r>
      <w:r>
        <w:t xml:space="preserve"> </w:t>
      </w:r>
      <w:r>
        <w:t xml:space="preserve">· Effect of semaglutide 2.4 mg once weekly on 10-year type 2 diabetes risk in adults with overweight or obesity. PMID 37605636</w:t>
      </w:r>
    </w:p>
    <w:p>
      <w:pPr>
        <w:numPr>
          <w:ilvl w:val="0"/>
          <w:numId w:val="1379"/>
        </w:numPr>
        <w:pStyle w:val="Compact"/>
      </w:pPr>
      <w:r>
        <w:t xml:space="preserve">2023 · Aroda VR ·</w:t>
      </w:r>
      <w:r>
        <w:t xml:space="preserve"> </w:t>
      </w:r>
      <w:r>
        <w:rPr>
          <w:iCs/>
          <w:i/>
        </w:rPr>
        <w:t xml:space="preserve">Lancet</w:t>
      </w:r>
      <w:r>
        <w:t xml:space="preserve"> </w:t>
      </w:r>
      <w:r>
        <w:t xml:space="preserve">· Efficacy and safety of once-daily oral semaglutide 25 mg and 50 mg compared with 14 mg in adults with type 2 diabetes (PIONEER PLUS): a multicentre, randomised, phase 3b trial. PMID 37385279</w:t>
      </w:r>
    </w:p>
    <w:p>
      <w:pPr>
        <w:numPr>
          <w:ilvl w:val="0"/>
          <w:numId w:val="1379"/>
        </w:numPr>
        <w:pStyle w:val="Compact"/>
      </w:pPr>
      <w:r>
        <w:t xml:space="preserve">2023 · Knop FK ·</w:t>
      </w:r>
      <w:r>
        <w:t xml:space="preserve"> </w:t>
      </w:r>
      <w:r>
        <w:rPr>
          <w:iCs/>
          <w:i/>
        </w:rPr>
        <w:t xml:space="preserve">Lancet</w:t>
      </w:r>
      <w:r>
        <w:t xml:space="preserve"> </w:t>
      </w:r>
      <w:r>
        <w:t xml:space="preserve">· Oral semaglutide 50 mg taken once per day in adults with overweight or obesity (OASIS 1): a randomised, double-blind, placebo-controlled, phase 3 trial. PMID 37385278</w:t>
      </w:r>
    </w:p>
    <w:p>
      <w:pPr>
        <w:numPr>
          <w:ilvl w:val="0"/>
          <w:numId w:val="1379"/>
        </w:numPr>
        <w:pStyle w:val="Compact"/>
      </w:pPr>
      <w:r>
        <w:t xml:space="preserve">2023 · Frias JP ·</w:t>
      </w:r>
      <w:r>
        <w:t xml:space="preserve"> </w:t>
      </w:r>
      <w:r>
        <w:rPr>
          <w:iCs/>
          <w:i/>
        </w:rPr>
        <w:t xml:space="preserve">Lancet</w:t>
      </w:r>
      <w:r>
        <w:t xml:space="preserve"> </w:t>
      </w:r>
      <w:r>
        <w:t xml:space="preserve">· Efficacy and safety of oral orforglipron in patients with type 2 diabetes: a multicentre, randomised, dose-response, phase 2 study. PMID 37369232</w:t>
      </w:r>
    </w:p>
    <w:p>
      <w:pPr>
        <w:numPr>
          <w:ilvl w:val="0"/>
          <w:numId w:val="1379"/>
        </w:numPr>
        <w:pStyle w:val="Compact"/>
      </w:pPr>
      <w:r>
        <w:t xml:space="preserve">2023 · Guo W ·</w:t>
      </w:r>
      <w:r>
        <w:t xml:space="preserve"> </w:t>
      </w:r>
      <w:r>
        <w:rPr>
          <w:iCs/>
          <w:i/>
        </w:rPr>
        <w:t xml:space="preserve">Mol Metab</w:t>
      </w:r>
      <w:r>
        <w:t xml:space="preserve"> </w:t>
      </w:r>
      <w:r>
        <w:t xml:space="preserve">· Discovery of ecnoglutide - A novel, long-acting, cAMP-biased glucagon-like peptide-1 (GLP-1) analog. PMID 37364710</w:t>
      </w:r>
    </w:p>
    <w:p>
      <w:pPr>
        <w:numPr>
          <w:ilvl w:val="0"/>
          <w:numId w:val="1379"/>
        </w:numPr>
        <w:pStyle w:val="Compact"/>
      </w:pPr>
      <w:r>
        <w:t xml:space="preserve">2023 · Frias JP ·</w:t>
      </w:r>
      <w:r>
        <w:t xml:space="preserve"> </w:t>
      </w:r>
      <w:r>
        <w:rPr>
          <w:iCs/>
          <w:i/>
        </w:rPr>
        <w:t xml:space="preserve">Lancet</w:t>
      </w:r>
      <w:r>
        <w:t xml:space="preserve"> </w:t>
      </w:r>
      <w:r>
        <w:t xml:space="preserve">· Efficacy and safety of co-administered once-weekly cagrilintide 2·4 mg with once-weekly semaglutide 2·4 mg in type 2 diabetes: a multicentre, randomised, double-blind, active-controlled, phase 2 trial. PMID 37364590</w:t>
      </w:r>
    </w:p>
    <w:p>
      <w:pPr>
        <w:numPr>
          <w:ilvl w:val="0"/>
          <w:numId w:val="1379"/>
        </w:numPr>
        <w:pStyle w:val="Compact"/>
      </w:pPr>
      <w:r>
        <w:t xml:space="preserve">2023 · Romero-Gómez M ·</w:t>
      </w:r>
      <w:r>
        <w:t xml:space="preserve"> </w:t>
      </w:r>
      <w:r>
        <w:rPr>
          <w:iCs/>
          <w:i/>
        </w:rPr>
        <w:t xml:space="preserve">J Hepatol</w:t>
      </w:r>
      <w:r>
        <w:t xml:space="preserve"> </w:t>
      </w:r>
      <w:r>
        <w:t xml:space="preserve">· A phase IIa active-comparator-controlled study to evaluate the efficacy and safety of efinopegdutide in patients with non-alcoholic fatty liver disease. PMID 37355043</w:t>
      </w:r>
    </w:p>
    <w:p>
      <w:pPr>
        <w:numPr>
          <w:ilvl w:val="0"/>
          <w:numId w:val="1379"/>
        </w:numPr>
        <w:pStyle w:val="Compact"/>
      </w:pPr>
      <w:r>
        <w:t xml:space="preserve">2023 · Romero-Gómez M ·</w:t>
      </w:r>
      <w:r>
        <w:t xml:space="preserve"> </w:t>
      </w:r>
      <w:r>
        <w:rPr>
          <w:iCs/>
          <w:i/>
        </w:rPr>
        <w:t xml:space="preserve">Aliment Pharmacol Ther</w:t>
      </w:r>
      <w:r>
        <w:t xml:space="preserve"> </w:t>
      </w:r>
      <w:r>
        <w:t xml:space="preserve">· Improved health-related quality of life with semaglutide in people with non-alcoholic steatohepatitis: A randomised trial. PMID 37328931</w:t>
      </w:r>
    </w:p>
    <w:p>
      <w:pPr>
        <w:numPr>
          <w:ilvl w:val="0"/>
          <w:numId w:val="1379"/>
        </w:numPr>
        <w:pStyle w:val="Compact"/>
      </w:pPr>
      <w:r>
        <w:t xml:space="preserve">2023 · Ingersen A ·</w:t>
      </w:r>
      <w:r>
        <w:t xml:space="preserve"> </w:t>
      </w:r>
      <w:r>
        <w:rPr>
          <w:iCs/>
          <w:i/>
        </w:rPr>
        <w:t xml:space="preserve">J Clin Endocrinol Metab</w:t>
      </w:r>
      <w:r>
        <w:t xml:space="preserve"> </w:t>
      </w:r>
      <w:r>
        <w:t xml:space="preserve">· Effects of Aerobic Training and Semaglutide Treatment on Pancreatic β-Cell Secretory Function in Patients With Type 2 Diabetes. PMID 37265222</w:t>
      </w:r>
    </w:p>
    <w:p>
      <w:pPr>
        <w:numPr>
          <w:ilvl w:val="0"/>
          <w:numId w:val="1379"/>
        </w:numPr>
        <w:pStyle w:val="Compact"/>
      </w:pPr>
      <w:r>
        <w:t xml:space="preserve">2023 · Kelly AS ·</w:t>
      </w:r>
      <w:r>
        <w:t xml:space="preserve"> </w:t>
      </w:r>
      <w:r>
        <w:rPr>
          <w:iCs/>
          <w:i/>
        </w:rPr>
        <w:t xml:space="preserve">Obesity (Silver Spring)</w:t>
      </w:r>
      <w:r>
        <w:t xml:space="preserve"> </w:t>
      </w:r>
      <w:r>
        <w:t xml:space="preserve">· Reducing BMI below the obesity threshold in adolescents treated with once-weekly subcutaneous semaglutide 2.4 mg. PMID 37196421</w:t>
      </w:r>
    </w:p>
    <w:p>
      <w:pPr>
        <w:numPr>
          <w:ilvl w:val="0"/>
          <w:numId w:val="1379"/>
        </w:numPr>
        <w:pStyle w:val="Compact"/>
      </w:pPr>
      <w:r>
        <w:t xml:space="preserve">2023 · Gullaksen S ·</w:t>
      </w:r>
      <w:r>
        <w:t xml:space="preserve"> </w:t>
      </w:r>
      <w:r>
        <w:rPr>
          <w:iCs/>
          <w:i/>
        </w:rPr>
        <w:t xml:space="preserve">J Diabetes Complications</w:t>
      </w:r>
      <w:r>
        <w:t xml:space="preserve"> </w:t>
      </w:r>
      <w:r>
        <w:t xml:space="preserve">· Effects of semaglutide and empagliflozin on oxygenation, vascular autoregulation, and central thickness of the retina in people with type 2 diabetes: A prespecified secondary analysis of a randomised clinical trial. PMID 37062189</w:t>
      </w:r>
    </w:p>
    <w:p>
      <w:pPr>
        <w:numPr>
          <w:ilvl w:val="0"/>
          <w:numId w:val="1379"/>
        </w:numPr>
        <w:pStyle w:val="Compact"/>
      </w:pPr>
      <w:r>
        <w:t xml:space="preserve">2023 · Bjorner JB ·</w:t>
      </w:r>
      <w:r>
        <w:t xml:space="preserve"> </w:t>
      </w:r>
      <w:r>
        <w:rPr>
          <w:iCs/>
          <w:i/>
        </w:rPr>
        <w:t xml:space="preserve">Diabetes Obes Metab</w:t>
      </w:r>
      <w:r>
        <w:t xml:space="preserve"> </w:t>
      </w:r>
      <w:r>
        <w:t xml:space="preserve">· The improved health utility of once-weekly subcutaneous semaglutide 2.4 mg compared with placebo in the STEP 1-4 obesity trials. PMID 37055712</w:t>
      </w:r>
    </w:p>
    <w:p>
      <w:pPr>
        <w:numPr>
          <w:ilvl w:val="0"/>
          <w:numId w:val="1379"/>
        </w:numPr>
        <w:pStyle w:val="Compact"/>
      </w:pPr>
      <w:r>
        <w:t xml:space="preserve">2023 · Loomba R ·</w:t>
      </w:r>
      <w:r>
        <w:t xml:space="preserve"> </w:t>
      </w:r>
      <w:r>
        <w:rPr>
          <w:iCs/>
          <w:i/>
        </w:rPr>
        <w:t xml:space="preserve">Lancet Gastroenterol Hepatol</w:t>
      </w:r>
      <w:r>
        <w:t xml:space="preserve"> </w:t>
      </w:r>
      <w:r>
        <w:t xml:space="preserve">· Semaglutide 2·4 mg once weekly in patients with non-alcoholic steatohepatitis-related cirrhosis: a randomised, placebo-controlled phase 2 trial. PMID 36934740</w:t>
      </w:r>
    </w:p>
    <w:p>
      <w:pPr>
        <w:numPr>
          <w:ilvl w:val="0"/>
          <w:numId w:val="1379"/>
        </w:numPr>
        <w:pStyle w:val="Compact"/>
      </w:pPr>
      <w:r>
        <w:t xml:space="preserve">2023 · van Hout M ·</w:t>
      </w:r>
      <w:r>
        <w:t xml:space="preserve"> </w:t>
      </w:r>
      <w:r>
        <w:rPr>
          <w:iCs/>
          <w:i/>
        </w:rPr>
        <w:t xml:space="preserve">Clin Pharmacokinet</w:t>
      </w:r>
      <w:r>
        <w:t xml:space="preserve"> </w:t>
      </w:r>
      <w:r>
        <w:t xml:space="preserve">· Effect of Various Dosing Schedules on the Pharmacokinetics of Oral Semaglutide: A Randomised Trial in Healthy Subjects. PMID 36932262</w:t>
      </w:r>
    </w:p>
    <w:p>
      <w:pPr>
        <w:numPr>
          <w:ilvl w:val="0"/>
          <w:numId w:val="1379"/>
        </w:numPr>
        <w:pStyle w:val="Compact"/>
      </w:pPr>
      <w:r>
        <w:t xml:space="preserve">2023 · Kolotkin RL ·</w:t>
      </w:r>
      <w:r>
        <w:t xml:space="preserve"> </w:t>
      </w:r>
      <w:r>
        <w:rPr>
          <w:iCs/>
          <w:i/>
        </w:rPr>
        <w:t xml:space="preserve">Clin Obes</w:t>
      </w:r>
      <w:r>
        <w:t xml:space="preserve"> </w:t>
      </w:r>
      <w:r>
        <w:t xml:space="preserve">· Effect of once-weekly subcutaneous semaglutide 2.4 mg on weight- and health-related quality of life in an East Asian population: Patient-reported outcomes from the STEP 6 trial. PMID 36905345</w:t>
      </w:r>
    </w:p>
    <w:p>
      <w:pPr>
        <w:numPr>
          <w:ilvl w:val="0"/>
          <w:numId w:val="1379"/>
        </w:numPr>
        <w:pStyle w:val="Compact"/>
      </w:pPr>
      <w:r>
        <w:t xml:space="preserve">2023 · McGowan BM ·</w:t>
      </w:r>
      <w:r>
        <w:t xml:space="preserve"> </w:t>
      </w:r>
      <w:r>
        <w:rPr>
          <w:iCs/>
          <w:i/>
        </w:rPr>
        <w:t xml:space="preserve">Obesity (Silver Spring)</w:t>
      </w:r>
      <w:r>
        <w:t xml:space="preserve"> </w:t>
      </w:r>
      <w:r>
        <w:t xml:space="preserve">· Impact of BMI and comorbidities on efficacy of once-weekly semaglutide: Post hoc analyses of the STEP 1 randomized trial. PMID 36876594</w:t>
      </w:r>
    </w:p>
    <w:p>
      <w:pPr>
        <w:numPr>
          <w:ilvl w:val="0"/>
          <w:numId w:val="1379"/>
        </w:numPr>
        <w:pStyle w:val="Compact"/>
      </w:pPr>
      <w:r>
        <w:t xml:space="preserve">2023 · Iijima T ·</w:t>
      </w:r>
      <w:r>
        <w:t xml:space="preserve"> </w:t>
      </w:r>
      <w:r>
        <w:rPr>
          <w:iCs/>
          <w:i/>
        </w:rPr>
        <w:t xml:space="preserve">J Diabetes Investig</w:t>
      </w:r>
      <w:r>
        <w:t xml:space="preserve"> </w:t>
      </w:r>
      <w:r>
        <w:t xml:space="preserve">· Effects of switching from liraglutide to semaglutide or dulaglutide in patients with type 2 diabetes: A randomized controlled trial. PMID 36871272</w:t>
      </w:r>
    </w:p>
    <w:p>
      <w:pPr>
        <w:numPr>
          <w:ilvl w:val="0"/>
          <w:numId w:val="1379"/>
        </w:numPr>
        <w:pStyle w:val="Compact"/>
      </w:pPr>
      <w:r>
        <w:t xml:space="preserve">2023 · Heise T ·</w:t>
      </w:r>
      <w:r>
        <w:t xml:space="preserve"> </w:t>
      </w:r>
      <w:r>
        <w:rPr>
          <w:iCs/>
          <w:i/>
        </w:rPr>
        <w:t xml:space="preserve">Diabetes Care</w:t>
      </w:r>
      <w:r>
        <w:t xml:space="preserve"> </w:t>
      </w:r>
      <w:r>
        <w:t xml:space="preserve">· Tirzepatide Reduces Appetite, Energy Intake, and Fat Mass in People With Type 2 Diabetes. PMID 36857477</w:t>
      </w:r>
    </w:p>
    <w:p>
      <w:pPr>
        <w:numPr>
          <w:ilvl w:val="0"/>
          <w:numId w:val="1379"/>
        </w:numPr>
        <w:pStyle w:val="Compact"/>
      </w:pPr>
      <w:r>
        <w:t xml:space="preserve">2023 · Gullaksen S ·</w:t>
      </w:r>
      <w:r>
        <w:t xml:space="preserve"> </w:t>
      </w:r>
      <w:r>
        <w:rPr>
          <w:iCs/>
          <w:i/>
        </w:rPr>
        <w:t xml:space="preserve">Diabetologia</w:t>
      </w:r>
      <w:r>
        <w:t xml:space="preserve"> </w:t>
      </w:r>
      <w:r>
        <w:t xml:space="preserve">· Separate and combined effects of semaglutide and empagliflozin on kidney oxygenation and perfusion in people with type 2 diabetes: a randomised trial. PMID 36746803</w:t>
      </w:r>
    </w:p>
    <w:p>
      <w:pPr>
        <w:numPr>
          <w:ilvl w:val="0"/>
          <w:numId w:val="1379"/>
        </w:numPr>
        <w:pStyle w:val="Compact"/>
      </w:pPr>
      <w:r>
        <w:t xml:space="preserve">2023 · Takahashi Y ·</w:t>
      </w:r>
      <w:r>
        <w:t xml:space="preserve"> </w:t>
      </w:r>
      <w:r>
        <w:rPr>
          <w:iCs/>
          <w:i/>
        </w:rPr>
        <w:t xml:space="preserve">Diabetes Obes Metab</w:t>
      </w:r>
      <w:r>
        <w:t xml:space="preserve"> </w:t>
      </w:r>
      <w:r>
        <w:t xml:space="preserve">· Improvement of glycaemic control and treatment satisfaction by switching from liraglutide or dulaglutide to subcutaneous semaglutide in patients with type 2 diabetes: A multicentre, prospective, randomized, open-label, parallel-group comparison study (SWITCH-SEMA 1 study). PMID 36722623</w:t>
      </w:r>
    </w:p>
    <w:p>
      <w:pPr>
        <w:numPr>
          <w:ilvl w:val="0"/>
          <w:numId w:val="1379"/>
        </w:numPr>
        <w:pStyle w:val="Compact"/>
      </w:pPr>
      <w:r>
        <w:t xml:space="preserve">2023 · Wharton S ·</w:t>
      </w:r>
      <w:r>
        <w:t xml:space="preserve"> </w:t>
      </w:r>
      <w:r>
        <w:rPr>
          <w:iCs/>
          <w:i/>
        </w:rPr>
        <w:t xml:space="preserve">Obesity (Silver Spring)</w:t>
      </w:r>
      <w:r>
        <w:t xml:space="preserve"> </w:t>
      </w:r>
      <w:r>
        <w:t xml:space="preserve">· Two-year effect of semaglutide 2.4 mg on control of eating in adults with overweight/obesity: STEP 5. PMID 36655300</w:t>
      </w:r>
    </w:p>
    <w:p>
      <w:pPr>
        <w:numPr>
          <w:ilvl w:val="0"/>
          <w:numId w:val="1379"/>
        </w:numPr>
        <w:pStyle w:val="Compact"/>
      </w:pPr>
      <w:r>
        <w:t xml:space="preserve">2023 · Lingvay I ·</w:t>
      </w:r>
      <w:r>
        <w:t xml:space="preserve"> </w:t>
      </w:r>
      <w:r>
        <w:rPr>
          <w:iCs/>
          <w:i/>
        </w:rPr>
        <w:t xml:space="preserve">Diabetes Obes Metab</w:t>
      </w:r>
      <w:r>
        <w:t xml:space="preserve"> </w:t>
      </w:r>
      <w:r>
        <w:t xml:space="preserve">· Achievement of glycaemic targets with weight loss and without hypoglycaemia in type 2 diabetes with the once-weekly glucose-dependent insulinotropic polypeptide and glucagon-like peptide-1 receptor agonist tirzepatide: A post hoc analysis of the SURPASS-1 to -5 studies. PMID 36514843</w:t>
      </w:r>
    </w:p>
    <w:p>
      <w:pPr>
        <w:numPr>
          <w:ilvl w:val="0"/>
          <w:numId w:val="1379"/>
        </w:numPr>
        <w:pStyle w:val="Compact"/>
      </w:pPr>
      <w:r>
        <w:t xml:space="preserve">2023 · Jensterle M ·</w:t>
      </w:r>
      <w:r>
        <w:t xml:space="preserve"> </w:t>
      </w:r>
      <w:r>
        <w:rPr>
          <w:iCs/>
          <w:i/>
        </w:rPr>
        <w:t xml:space="preserve">Diabetes Obes Metab</w:t>
      </w:r>
      <w:r>
        <w:t xml:space="preserve"> </w:t>
      </w:r>
      <w:r>
        <w:t xml:space="preserve">· Semaglutide delays 4-hour gastric emptying in women with polycystic ovary syndrome and obesity. PMID 36511825</w:t>
      </w:r>
    </w:p>
    <w:p>
      <w:pPr>
        <w:numPr>
          <w:ilvl w:val="0"/>
          <w:numId w:val="1379"/>
        </w:numPr>
        <w:pStyle w:val="Compact"/>
      </w:pPr>
      <w:r>
        <w:t xml:space="preserve">2023 · Lingvay I ·</w:t>
      </w:r>
      <w:r>
        <w:t xml:space="preserve"> </w:t>
      </w:r>
      <w:r>
        <w:rPr>
          <w:iCs/>
          <w:i/>
        </w:rPr>
        <w:t xml:space="preserve">Obesity (Silver Spring)</w:t>
      </w:r>
      <w:r>
        <w:t xml:space="preserve"> </w:t>
      </w:r>
      <w:r>
        <w:t xml:space="preserve">· Semaglutide for cardiovascular event reduction in people with overweight or obesity: SELECT study baseline characteristics. PMID 36502289</w:t>
      </w:r>
    </w:p>
    <w:p>
      <w:pPr>
        <w:numPr>
          <w:ilvl w:val="0"/>
          <w:numId w:val="1379"/>
        </w:numPr>
        <w:pStyle w:val="Compact"/>
      </w:pPr>
      <w:r>
        <w:t xml:space="preserve">2022 · Amaro A ·</w:t>
      </w:r>
      <w:r>
        <w:t xml:space="preserve"> </w:t>
      </w:r>
      <w:r>
        <w:rPr>
          <w:iCs/>
          <w:i/>
        </w:rPr>
        <w:t xml:space="preserve">Postgrad Med</w:t>
      </w:r>
      <w:r>
        <w:t xml:space="preserve"> </w:t>
      </w:r>
      <w:r>
        <w:t xml:space="preserve">· Cardiometabolic risk factors efficacy of semaglutide in the STEP program. PMID 36691308</w:t>
      </w:r>
    </w:p>
    <w:p>
      <w:pPr>
        <w:numPr>
          <w:ilvl w:val="0"/>
          <w:numId w:val="1379"/>
        </w:numPr>
        <w:pStyle w:val="Compact"/>
      </w:pPr>
      <w:r>
        <w:t xml:space="preserve">2022 · Weghuber D ·</w:t>
      </w:r>
      <w:r>
        <w:t xml:space="preserve"> </w:t>
      </w:r>
      <w:r>
        <w:rPr>
          <w:iCs/>
          <w:i/>
        </w:rPr>
        <w:t xml:space="preserve">N Engl J Med</w:t>
      </w:r>
      <w:r>
        <w:t xml:space="preserve"> </w:t>
      </w:r>
      <w:r>
        <w:t xml:space="preserve">· Once-Weekly Semaglutide in Adolescents with Obesity. PMID 36322838</w:t>
      </w:r>
    </w:p>
    <w:p>
      <w:pPr>
        <w:numPr>
          <w:ilvl w:val="0"/>
          <w:numId w:val="1379"/>
        </w:numPr>
        <w:pStyle w:val="Compact"/>
      </w:pPr>
      <w:r>
        <w:t xml:space="preserve">2022 · Garvey WT ·</w:t>
      </w:r>
      <w:r>
        <w:t xml:space="preserve"> </w:t>
      </w:r>
      <w:r>
        <w:rPr>
          <w:iCs/>
          <w:i/>
        </w:rPr>
        <w:t xml:space="preserve">Nat Med</w:t>
      </w:r>
      <w:r>
        <w:t xml:space="preserve"> </w:t>
      </w:r>
      <w:r>
        <w:t xml:space="preserve">· Two-year effects of semaglutide in adults with overweight or obesity: the STEP 5 trial. PMID 36216945</w:t>
      </w:r>
    </w:p>
    <w:p>
      <w:pPr>
        <w:numPr>
          <w:ilvl w:val="0"/>
          <w:numId w:val="1379"/>
        </w:numPr>
        <w:pStyle w:val="Compact"/>
      </w:pPr>
      <w:r>
        <w:t xml:space="preserve">2022 · Ghusn W ·</w:t>
      </w:r>
      <w:r>
        <w:t xml:space="preserve"> </w:t>
      </w:r>
      <w:r>
        <w:rPr>
          <w:iCs/>
          <w:i/>
        </w:rPr>
        <w:t xml:space="preserve">JAMA Netw Open</w:t>
      </w:r>
      <w:r>
        <w:t xml:space="preserve"> </w:t>
      </w:r>
      <w:r>
        <w:t xml:space="preserve">· Weight Loss Outcomes Associated With Semaglutide Treatment for Patients With Overweight or Obesity. PMID 36121652</w:t>
      </w:r>
    </w:p>
    <w:p>
      <w:pPr>
        <w:numPr>
          <w:ilvl w:val="0"/>
          <w:numId w:val="1379"/>
        </w:numPr>
        <w:pStyle w:val="Compact"/>
      </w:pPr>
      <w:r>
        <w:t xml:space="preserve">2022 · Scheen AJ ·</w:t>
      </w:r>
      <w:r>
        <w:t xml:space="preserve"> </w:t>
      </w:r>
      <w:r>
        <w:rPr>
          <w:iCs/>
          <w:i/>
        </w:rPr>
        <w:t xml:space="preserve">Rev Med Suisse</w:t>
      </w:r>
      <w:r>
        <w:t xml:space="preserve"> </w:t>
      </w:r>
      <w:r>
        <w:t xml:space="preserve">· [Focus on tirzepatide, a dual unimolecular GIP-GLP-1 receptor agonist in type 2 diabetes]. PMID 36004653</w:t>
      </w:r>
    </w:p>
    <w:p>
      <w:pPr>
        <w:numPr>
          <w:ilvl w:val="0"/>
          <w:numId w:val="1379"/>
        </w:numPr>
        <w:pStyle w:val="Compact"/>
      </w:pPr>
      <w:r>
        <w:t xml:space="preserve">2022 · Snitker S ·</w:t>
      </w:r>
      <w:r>
        <w:t xml:space="preserve"> </w:t>
      </w:r>
      <w:r>
        <w:rPr>
          <w:iCs/>
          <w:i/>
        </w:rPr>
        <w:t xml:space="preserve">Diabetes Obes Metab</w:t>
      </w:r>
      <w:r>
        <w:t xml:space="preserve"> </w:t>
      </w:r>
      <w:r>
        <w:t xml:space="preserve">· Ease-of-use and acceptability of the novel semaglutide 2.4 mg single-dose pen-injector in people with overweight or obesity in the STEP 8 phase III trial. PMID 35791625</w:t>
      </w:r>
    </w:p>
    <w:p>
      <w:pPr>
        <w:numPr>
          <w:ilvl w:val="0"/>
          <w:numId w:val="1379"/>
        </w:numPr>
        <w:pStyle w:val="Compact"/>
      </w:pPr>
      <w:r>
        <w:t xml:space="preserve">2022 · Strain WD ·</w:t>
      </w:r>
      <w:r>
        <w:t xml:space="preserve"> </w:t>
      </w:r>
      <w:r>
        <w:rPr>
          <w:iCs/>
          <w:i/>
        </w:rPr>
        <w:t xml:space="preserve">Stroke</w:t>
      </w:r>
      <w:r>
        <w:t xml:space="preserve"> </w:t>
      </w:r>
      <w:r>
        <w:t xml:space="preserve">· Effects of Semaglutide on Stroke Subtypes in Type 2 Diabetes: Post Hoc Analysis of the Randomized SUSTAIN 6 and PIONEER 6. PMID 35582947</w:t>
      </w:r>
    </w:p>
    <w:p>
      <w:pPr>
        <w:numPr>
          <w:ilvl w:val="0"/>
          <w:numId w:val="1379"/>
        </w:numPr>
        <w:pStyle w:val="Compact"/>
      </w:pPr>
      <w:r>
        <w:t xml:space="preserve">2022 · Kellerer M ·</w:t>
      </w:r>
      <w:r>
        <w:t xml:space="preserve"> </w:t>
      </w:r>
      <w:r>
        <w:rPr>
          <w:iCs/>
          <w:i/>
        </w:rPr>
        <w:t xml:space="preserve">Diabetes Obes Metab</w:t>
      </w:r>
      <w:r>
        <w:t xml:space="preserve"> </w:t>
      </w:r>
      <w:r>
        <w:t xml:space="preserve">· Effect of once-weekly semaglutide versus thrice-daily insulin aspart, both as add-on to metformin and optimized insulin glargine treatment in participants with type 2 diabetes (SUSTAIN 11): A randomized, open-label, multinational, phase 3b trial. PMID 35546450</w:t>
      </w:r>
    </w:p>
    <w:p>
      <w:pPr>
        <w:numPr>
          <w:ilvl w:val="0"/>
          <w:numId w:val="1379"/>
        </w:numPr>
        <w:pStyle w:val="Compact"/>
      </w:pPr>
      <w:r>
        <w:t xml:space="preserve">2022 · Heise T ·</w:t>
      </w:r>
      <w:r>
        <w:t xml:space="preserve"> </w:t>
      </w:r>
      <w:r>
        <w:rPr>
          <w:iCs/>
          <w:i/>
        </w:rPr>
        <w:t xml:space="preserve">Lancet Diabetes Endocrinol</w:t>
      </w:r>
      <w:r>
        <w:t xml:space="preserve"> </w:t>
      </w:r>
      <w:r>
        <w:t xml:space="preserve">· Effects of subcutaneous tirzepatide versus placebo or semaglutide on pancreatic islet function and insulin sensitivity in adults with type 2 diabetes: a multicentre, randomised, double-blind, parallel-arm, phase 1 clinical trial. PMID 35468322</w:t>
      </w:r>
    </w:p>
    <w:p>
      <w:pPr>
        <w:numPr>
          <w:ilvl w:val="0"/>
          <w:numId w:val="1379"/>
        </w:numPr>
        <w:pStyle w:val="Compact"/>
      </w:pPr>
      <w:r>
        <w:t xml:space="preserve">2022 · Wilding JPH ·</w:t>
      </w:r>
      <w:r>
        <w:t xml:space="preserve"> </w:t>
      </w:r>
      <w:r>
        <w:rPr>
          <w:iCs/>
          <w:i/>
        </w:rPr>
        <w:t xml:space="preserve">Diabetes Obes Metab</w:t>
      </w:r>
      <w:r>
        <w:t xml:space="preserve"> </w:t>
      </w:r>
      <w:r>
        <w:t xml:space="preserve">· Weight regain and cardiometabolic effects after withdrawal of semaglutide: The STEP 1 trial extension. PMID 35441470</w:t>
      </w:r>
    </w:p>
    <w:p>
      <w:pPr>
        <w:numPr>
          <w:ilvl w:val="0"/>
          <w:numId w:val="1379"/>
        </w:numPr>
        <w:pStyle w:val="Compact"/>
      </w:pPr>
      <w:r>
        <w:t xml:space="preserve">2022 · Alkhouri N ·</w:t>
      </w:r>
      <w:r>
        <w:t xml:space="preserve"> </w:t>
      </w:r>
      <w:r>
        <w:rPr>
          <w:iCs/>
          <w:i/>
        </w:rPr>
        <w:t xml:space="preserve">J Hepatol</w:t>
      </w:r>
      <w:r>
        <w:t xml:space="preserve"> </w:t>
      </w:r>
      <w:r>
        <w:t xml:space="preserve">· Safety and efficacy of combination therapy with semaglutide, cilofexor and firsocostat in patients with non-alcoholic steatohepatitis: A randomised, open-label phase II trial. PMID 35439567</w:t>
      </w:r>
    </w:p>
    <w:p>
      <w:pPr>
        <w:numPr>
          <w:ilvl w:val="0"/>
          <w:numId w:val="1379"/>
        </w:numPr>
        <w:pStyle w:val="Compact"/>
      </w:pPr>
      <w:r>
        <w:t xml:space="preserve">2022 · Stafford S ·</w:t>
      </w:r>
      <w:r>
        <w:t xml:space="preserve"> </w:t>
      </w:r>
      <w:r>
        <w:rPr>
          <w:iCs/>
          <w:i/>
        </w:rPr>
        <w:t xml:space="preserve">Appl Health Econ Health Policy</w:t>
      </w:r>
      <w:r>
        <w:t xml:space="preserve"> </w:t>
      </w:r>
      <w:r>
        <w:t xml:space="preserve">· Cost-Effectiveness of Once-Weekly Semaglutide 1 mg versus Canagliflozin 300 mg in Patients with Type 2 Diabetes Mellitus in a Canadian Setting. PMID 35344191</w:t>
      </w:r>
    </w:p>
    <w:p>
      <w:pPr>
        <w:numPr>
          <w:ilvl w:val="0"/>
          <w:numId w:val="1379"/>
        </w:numPr>
        <w:pStyle w:val="Compact"/>
      </w:pPr>
      <w:r>
        <w:t xml:space="preserve">2022 · Yabe D ·</w:t>
      </w:r>
      <w:r>
        <w:t xml:space="preserve"> </w:t>
      </w:r>
      <w:r>
        <w:rPr>
          <w:iCs/>
          <w:i/>
        </w:rPr>
        <w:t xml:space="preserve">J Diabetes Investig</w:t>
      </w:r>
      <w:r>
        <w:t xml:space="preserve"> </w:t>
      </w:r>
      <w:r>
        <w:t xml:space="preserve">· Efficacy and safety of once-weekly semaglutide in Japanese individuals with type 2 diabetes by baseline age and body mass index. PMID 35174649</w:t>
      </w:r>
    </w:p>
    <w:p>
      <w:pPr>
        <w:numPr>
          <w:ilvl w:val="0"/>
          <w:numId w:val="1379"/>
        </w:numPr>
        <w:pStyle w:val="Compact"/>
      </w:pPr>
      <w:r>
        <w:t xml:space="preserve">2022 · Kadowaki T ·</w:t>
      </w:r>
      <w:r>
        <w:t xml:space="preserve"> </w:t>
      </w:r>
      <w:r>
        <w:rPr>
          <w:iCs/>
          <w:i/>
        </w:rPr>
        <w:t xml:space="preserve">Lancet Diabetes Endocrinol</w:t>
      </w:r>
      <w:r>
        <w:t xml:space="preserve"> </w:t>
      </w:r>
      <w:r>
        <w:t xml:space="preserve">· Semaglutide once a week in adults with overweight or obesity, with or without type 2 diabetes in an east Asian population (STEP 6): a randomised, double-blind, double-dummy, placebo-controlled, phase 3a trial. PMID 35131037</w:t>
      </w:r>
    </w:p>
    <w:p>
      <w:pPr>
        <w:numPr>
          <w:ilvl w:val="0"/>
          <w:numId w:val="1379"/>
        </w:numPr>
        <w:pStyle w:val="Compact"/>
      </w:pPr>
      <w:r>
        <w:t xml:space="preserve">2022 · Yabe D ·</w:t>
      </w:r>
      <w:r>
        <w:t xml:space="preserve"> </w:t>
      </w:r>
      <w:r>
        <w:rPr>
          <w:iCs/>
          <w:i/>
        </w:rPr>
        <w:t xml:space="preserve">J Diabetes Investig</w:t>
      </w:r>
      <w:r>
        <w:t xml:space="preserve"> </w:t>
      </w:r>
      <w:r>
        <w:t xml:space="preserve">· Efficacy and safety of oral semaglutide in Japanese patients with type 2 diabetes: A subgroup analysis by baseline variables in the PIONEER 9 and PIONEER 10 trials. PMID 35112504</w:t>
      </w:r>
    </w:p>
    <w:p>
      <w:pPr>
        <w:numPr>
          <w:ilvl w:val="0"/>
          <w:numId w:val="1379"/>
        </w:numPr>
        <w:pStyle w:val="Compact"/>
      </w:pPr>
      <w:r>
        <w:t xml:space="preserve">2022 · Rubino DM ·</w:t>
      </w:r>
      <w:r>
        <w:t xml:space="preserve"> </w:t>
      </w:r>
      <w:r>
        <w:rPr>
          <w:iCs/>
          <w:i/>
        </w:rPr>
        <w:t xml:space="preserve">JAMA</w:t>
      </w:r>
      <w:r>
        <w:t xml:space="preserve"> </w:t>
      </w:r>
      <w:r>
        <w:t xml:space="preserve">· Effect of Weekly Subcutaneous Semaglutide vs Daily Liraglutide on Body Weight in Adults With Overweight or Obesity Without Diabetes: The STEP 8 Randomized Clinical Trial. PMID 35015037</w:t>
      </w:r>
    </w:p>
    <w:p>
      <w:pPr>
        <w:numPr>
          <w:ilvl w:val="0"/>
          <w:numId w:val="1379"/>
        </w:numPr>
        <w:pStyle w:val="Compact"/>
      </w:pPr>
      <w:r>
        <w:t xml:space="preserve">2022 · Meier JJ ·</w:t>
      </w:r>
      <w:r>
        <w:t xml:space="preserve"> </w:t>
      </w:r>
      <w:r>
        <w:rPr>
          <w:iCs/>
          <w:i/>
        </w:rPr>
        <w:t xml:space="preserve">Diabetes Obes Metab</w:t>
      </w:r>
      <w:r>
        <w:t xml:space="preserve"> </w:t>
      </w:r>
      <w:r>
        <w:t xml:space="preserve">· Effect of upper gastrointestinal disease on the pharmacokinetics of oral semaglutide in subjects with type 2 diabetes. PMID 34957654</w:t>
      </w:r>
    </w:p>
    <w:p>
      <w:pPr>
        <w:numPr>
          <w:ilvl w:val="0"/>
          <w:numId w:val="1379"/>
        </w:numPr>
        <w:pStyle w:val="Compact"/>
      </w:pPr>
      <w:r>
        <w:t xml:space="preserve">2022 · Shaman AM ·</w:t>
      </w:r>
      <w:r>
        <w:t xml:space="preserve"> </w:t>
      </w:r>
      <w:r>
        <w:rPr>
          <w:iCs/>
          <w:i/>
        </w:rPr>
        <w:t xml:space="preserve">Circulation</w:t>
      </w:r>
      <w:r>
        <w:t xml:space="preserve"> </w:t>
      </w:r>
      <w:r>
        <w:t xml:space="preserve">· Effect of the Glucagon-Like Peptide-1 Receptor Agonists Semaglutide and Liraglutide on Kidney Outcomes in Patients With Type 2 Diabetes: Pooled Analysis of SUSTAIN 6 and LEADER. PMID 34903039</w:t>
      </w:r>
    </w:p>
    <w:p>
      <w:pPr>
        <w:numPr>
          <w:ilvl w:val="0"/>
          <w:numId w:val="1379"/>
        </w:numPr>
        <w:pStyle w:val="Compact"/>
      </w:pPr>
      <w:r>
        <w:t xml:space="preserve">2022 · Yamada Y ·</w:t>
      </w:r>
      <w:r>
        <w:t xml:space="preserve"> </w:t>
      </w:r>
      <w:r>
        <w:rPr>
          <w:iCs/>
          <w:i/>
        </w:rPr>
        <w:t xml:space="preserve">Diabetes Obes Metab</w:t>
      </w:r>
      <w:r>
        <w:t xml:space="preserve"> </w:t>
      </w:r>
      <w:r>
        <w:t xml:space="preserve">· Efficacy and safety of oral semaglutide by baseline age in Japanese patients with type 2 diabetes: A subgroup analysis of the PIONEER 9 and 10 Japan trials. PMID 34622548</w:t>
      </w:r>
    </w:p>
    <w:p>
      <w:pPr>
        <w:numPr>
          <w:ilvl w:val="0"/>
          <w:numId w:val="1379"/>
        </w:numPr>
        <w:pStyle w:val="Compact"/>
      </w:pPr>
      <w:r>
        <w:t xml:space="preserve">2022 · Wharton S ·</w:t>
      </w:r>
      <w:r>
        <w:t xml:space="preserve"> </w:t>
      </w:r>
      <w:r>
        <w:rPr>
          <w:iCs/>
          <w:i/>
        </w:rPr>
        <w:t xml:space="preserve">Diabetes Obes Metab</w:t>
      </w:r>
      <w:r>
        <w:t xml:space="preserve"> </w:t>
      </w:r>
      <w:r>
        <w:t xml:space="preserve">· Gastrointestinal tolerability of once-weekly semaglutide 2.4 mg in adults with overweight or obesity, and the relationship between gastrointestinal adverse events and weight loss. PMID 34514682</w:t>
      </w:r>
    </w:p>
    <w:p>
      <w:pPr>
        <w:numPr>
          <w:ilvl w:val="0"/>
          <w:numId w:val="1379"/>
        </w:numPr>
        <w:pStyle w:val="Compact"/>
      </w:pPr>
      <w:r>
        <w:t xml:space="preserve">2021 · Paquot N ·</w:t>
      </w:r>
      <w:r>
        <w:t xml:space="preserve"> </w:t>
      </w:r>
      <w:r>
        <w:rPr>
          <w:iCs/>
          <w:i/>
        </w:rPr>
        <w:t xml:space="preserve">Rev Med Liege</w:t>
      </w:r>
      <w:r>
        <w:t xml:space="preserve"> </w:t>
      </w:r>
      <w:r>
        <w:t xml:space="preserve">· [Oral semaglutide, first oral GLP-1 receptor agonist (Rybelsus®)]. PMID 34881835</w:t>
      </w:r>
    </w:p>
    <w:p>
      <w:pPr>
        <w:numPr>
          <w:ilvl w:val="0"/>
          <w:numId w:val="1379"/>
        </w:numPr>
        <w:pStyle w:val="Compact"/>
      </w:pPr>
      <w:r>
        <w:t xml:space="preserve">2021 · Overgaard RV ·</w:t>
      </w:r>
      <w:r>
        <w:t xml:space="preserve"> </w:t>
      </w:r>
      <w:r>
        <w:rPr>
          <w:iCs/>
          <w:i/>
        </w:rPr>
        <w:t xml:space="preserve">Cell Rep Med</w:t>
      </w:r>
      <w:r>
        <w:t xml:space="preserve"> </w:t>
      </w:r>
      <w:r>
        <w:t xml:space="preserve">· Levels of circulating semaglutide determine reductions in HbA1c and body weight in people with type 2 diabetes. PMID 34622228</w:t>
      </w:r>
    </w:p>
    <w:p>
      <w:pPr>
        <w:numPr>
          <w:ilvl w:val="0"/>
          <w:numId w:val="1379"/>
        </w:numPr>
        <w:pStyle w:val="Compact"/>
      </w:pPr>
      <w:r>
        <w:t xml:space="preserve">2021 · Flint A ·</w:t>
      </w:r>
      <w:r>
        <w:t xml:space="preserve"> </w:t>
      </w:r>
      <w:r>
        <w:rPr>
          <w:iCs/>
          <w:i/>
        </w:rPr>
        <w:t xml:space="preserve">Aliment Pharmacol Ther</w:t>
      </w:r>
      <w:r>
        <w:t xml:space="preserve"> </w:t>
      </w:r>
      <w:r>
        <w:t xml:space="preserve">· Randomised clinical trial: semaglutide versus placebo reduced liver steatosis but not liver stiffness in subjects with non-alcoholic fatty liver disease assessed by magnetic resonance imaging. PMID 34570916</w:t>
      </w:r>
    </w:p>
    <w:p>
      <w:pPr>
        <w:numPr>
          <w:ilvl w:val="0"/>
          <w:numId w:val="1379"/>
        </w:numPr>
        <w:pStyle w:val="Compact"/>
      </w:pPr>
      <w:r>
        <w:t xml:space="preserve">2021 · Araki E ·</w:t>
      </w:r>
      <w:r>
        <w:t xml:space="preserve"> </w:t>
      </w:r>
      <w:r>
        <w:rPr>
          <w:iCs/>
          <w:i/>
        </w:rPr>
        <w:t xml:space="preserve">Diabetes Obes Metab</w:t>
      </w:r>
      <w:r>
        <w:t xml:space="preserve"> </w:t>
      </w:r>
      <w:r>
        <w:t xml:space="preserve">· Efficacy and safety of oral semaglutide in Japanese patients with type 2 diabetes: A post hoc subgroup analysis of the PIONEER 1, 3, 4 and 8 trials. PMID 34472698</w:t>
      </w:r>
    </w:p>
    <w:p>
      <w:pPr>
        <w:numPr>
          <w:ilvl w:val="0"/>
          <w:numId w:val="1379"/>
        </w:numPr>
        <w:pStyle w:val="Compact"/>
      </w:pPr>
      <w:r>
        <w:t xml:space="preserve">2021 · Frías JP ·</w:t>
      </w:r>
      <w:r>
        <w:t xml:space="preserve"> </w:t>
      </w:r>
      <w:r>
        <w:rPr>
          <w:iCs/>
          <w:i/>
        </w:rPr>
        <w:t xml:space="preserve">Lancet Diabetes Endocrinol</w:t>
      </w:r>
      <w:r>
        <w:t xml:space="preserve"> </w:t>
      </w:r>
      <w:r>
        <w:t xml:space="preserve">· Efficacy and safety of once-weekly semaglutide 2·0 mg versus 1·0 mg in patients with type 2 diabetes (SUSTAIN FORTE): a double-blind, randomised, phase 3B trial. PMID 34293304</w:t>
      </w:r>
    </w:p>
    <w:p>
      <w:pPr>
        <w:numPr>
          <w:ilvl w:val="0"/>
          <w:numId w:val="1379"/>
        </w:numPr>
        <w:pStyle w:val="Compact"/>
      </w:pPr>
      <w:r>
        <w:t xml:space="preserve">2021 · Hauge C ·</w:t>
      </w:r>
      <w:r>
        <w:t xml:space="preserve"> </w:t>
      </w:r>
      <w:r>
        <w:rPr>
          <w:iCs/>
          <w:i/>
        </w:rPr>
        <w:t xml:space="preserve">Expert Opin Drug Metab Toxicol</w:t>
      </w:r>
      <w:r>
        <w:t xml:space="preserve"> </w:t>
      </w:r>
      <w:r>
        <w:t xml:space="preserve">· Effect of oral semaglutide on the pharmacokinetics of thyroxine after dosing of levothyroxine and the influence of co-administered tablets on the pharmacokinetics of oral semaglutide in healthy subjects: an open-label, one-sequence crossover, single-center, multiple-dose, two-part trial. PMID 34289755</w:t>
      </w:r>
    </w:p>
    <w:p>
      <w:pPr>
        <w:numPr>
          <w:ilvl w:val="0"/>
          <w:numId w:val="1379"/>
        </w:numPr>
        <w:pStyle w:val="Compact"/>
      </w:pPr>
      <w:r>
        <w:t xml:space="preserve">2021 · Jensterle M ·</w:t>
      </w:r>
      <w:r>
        <w:t xml:space="preserve"> </w:t>
      </w:r>
      <w:r>
        <w:rPr>
          <w:iCs/>
          <w:i/>
        </w:rPr>
        <w:t xml:space="preserve">Diabetes Res Clin Pract</w:t>
      </w:r>
      <w:r>
        <w:t xml:space="preserve"> </w:t>
      </w:r>
      <w:r>
        <w:t xml:space="preserve">· Semaglutide reduces fat accumulation in the tongue: A randomized single-blind, pilot study. PMID 34217774</w:t>
      </w:r>
    </w:p>
    <w:p>
      <w:pPr>
        <w:numPr>
          <w:ilvl w:val="0"/>
          <w:numId w:val="1379"/>
        </w:numPr>
        <w:pStyle w:val="Compact"/>
      </w:pPr>
      <w:r>
        <w:t xml:space="preserve">2021 · Frías JP ·</w:t>
      </w:r>
      <w:r>
        <w:t xml:space="preserve"> </w:t>
      </w:r>
      <w:r>
        <w:rPr>
          <w:iCs/>
          <w:i/>
        </w:rPr>
        <w:t xml:space="preserve">N Engl J Med</w:t>
      </w:r>
      <w:r>
        <w:t xml:space="preserve"> </w:t>
      </w:r>
      <w:r>
        <w:t xml:space="preserve">· Tirzepatide versus Semaglutide Once Weekly in Patients with Type 2 Diabetes. PMID 34170647</w:t>
      </w:r>
    </w:p>
    <w:p>
      <w:pPr>
        <w:numPr>
          <w:ilvl w:val="0"/>
          <w:numId w:val="1379"/>
        </w:numPr>
        <w:pStyle w:val="Compact"/>
      </w:pPr>
      <w:r>
        <w:t xml:space="preserve">2021 · Dichtel LE ·</w:t>
      </w:r>
      <w:r>
        <w:t xml:space="preserve"> </w:t>
      </w:r>
      <w:r>
        <w:rPr>
          <w:iCs/>
          <w:i/>
        </w:rPr>
        <w:t xml:space="preserve">Hepatology</w:t>
      </w:r>
      <w:r>
        <w:t xml:space="preserve"> </w:t>
      </w:r>
      <w:r>
        <w:t xml:space="preserve">· The Glucagon-Like Peptide-1 Receptor Agonist, Semaglutide, for the Treatment of Nonalcoholic Steatohepatitis. PMID 33960005</w:t>
      </w:r>
    </w:p>
    <w:p>
      <w:pPr>
        <w:numPr>
          <w:ilvl w:val="0"/>
          <w:numId w:val="1379"/>
        </w:numPr>
        <w:pStyle w:val="Compact"/>
      </w:pPr>
      <w:r>
        <w:t xml:space="preserve">2021 · Enebo LB ·</w:t>
      </w:r>
      <w:r>
        <w:t xml:space="preserve"> </w:t>
      </w:r>
      <w:r>
        <w:rPr>
          <w:iCs/>
          <w:i/>
        </w:rPr>
        <w:t xml:space="preserve">Lancet</w:t>
      </w:r>
      <w:r>
        <w:t xml:space="preserve"> </w:t>
      </w:r>
      <w:r>
        <w:t xml:space="preserve">· Safety, tolerability, pharmacokinetics, and pharmacodynamics of concomitant administration of multiple doses of cagrilintide with semaglutide 2·4 mg for weight management: a randomised, controlled, phase 1b trial. PMID 33894838</w:t>
      </w:r>
    </w:p>
    <w:p>
      <w:pPr>
        <w:numPr>
          <w:ilvl w:val="0"/>
          <w:numId w:val="1379"/>
        </w:numPr>
        <w:pStyle w:val="Compact"/>
      </w:pPr>
      <w:r>
        <w:t xml:space="preserve">2021 · Jordy AB ·</w:t>
      </w:r>
      <w:r>
        <w:t xml:space="preserve"> </w:t>
      </w:r>
      <w:r>
        <w:rPr>
          <w:iCs/>
          <w:i/>
        </w:rPr>
        <w:t xml:space="preserve">Clin Pharmacokinet</w:t>
      </w:r>
      <w:r>
        <w:t xml:space="preserve"> </w:t>
      </w:r>
      <w:r>
        <w:t xml:space="preserve">· Effect of Oral Semaglutide on the Pharmacokinetics of Levonorgestrel and Ethinylestradiol in Healthy Postmenopausal Women and Furosemide and Rosuvastatin in Healthy Subjects. PMID 33782832</w:t>
      </w:r>
    </w:p>
    <w:p>
      <w:pPr>
        <w:numPr>
          <w:ilvl w:val="0"/>
          <w:numId w:val="1379"/>
        </w:numPr>
        <w:pStyle w:val="Compact"/>
      </w:pPr>
      <w:r>
        <w:t xml:space="preserve">2021 · Rubino D ·</w:t>
      </w:r>
      <w:r>
        <w:t xml:space="preserve"> </w:t>
      </w:r>
      <w:r>
        <w:rPr>
          <w:iCs/>
          <w:i/>
        </w:rPr>
        <w:t xml:space="preserve">JAMA</w:t>
      </w:r>
      <w:r>
        <w:t xml:space="preserve"> </w:t>
      </w:r>
      <w:r>
        <w:t xml:space="preserve">· Effect of Continued Weekly Subcutaneous Semaglutide vs Placebo on Weight Loss Maintenance in Adults With Overweight or Obesity: The STEP 4 Randomized Clinical Trial. PMID 33755728</w:t>
      </w:r>
    </w:p>
    <w:p>
      <w:pPr>
        <w:numPr>
          <w:ilvl w:val="0"/>
          <w:numId w:val="1379"/>
        </w:numPr>
        <w:pStyle w:val="Compact"/>
      </w:pPr>
      <w:r>
        <w:t xml:space="preserve">2021 · Baekdal TA ·</w:t>
      </w:r>
      <w:r>
        <w:t xml:space="preserve"> </w:t>
      </w:r>
      <w:r>
        <w:rPr>
          <w:iCs/>
          <w:i/>
        </w:rPr>
        <w:t xml:space="preserve">Clin Pharmacol Drug Dev</w:t>
      </w:r>
      <w:r>
        <w:t xml:space="preserve"> </w:t>
      </w:r>
      <w:r>
        <w:t xml:space="preserve">· Relationship Between Oral Semaglutide Tablet Erosion and Pharmacokinetics: A Pharmacoscintigraphic Study. PMID 33750044</w:t>
      </w:r>
    </w:p>
    <w:p>
      <w:pPr>
        <w:numPr>
          <w:ilvl w:val="0"/>
          <w:numId w:val="1379"/>
        </w:numPr>
        <w:pStyle w:val="Compact"/>
      </w:pPr>
      <w:r>
        <w:t xml:space="preserve">2021 · Dahl K ·</w:t>
      </w:r>
      <w:r>
        <w:t xml:space="preserve"> </w:t>
      </w:r>
      <w:r>
        <w:rPr>
          <w:iCs/>
          <w:i/>
        </w:rPr>
        <w:t xml:space="preserve">Diabetes Obes Metab</w:t>
      </w:r>
      <w:r>
        <w:t xml:space="preserve"> </w:t>
      </w:r>
      <w:r>
        <w:t xml:space="preserve">· Oral semaglutide improves postprandial glucose and lipid metabolism, and delays gastric emptying, in subjects with type 2 diabetes. PMID 33710717</w:t>
      </w:r>
    </w:p>
    <w:p>
      <w:pPr>
        <w:numPr>
          <w:ilvl w:val="0"/>
          <w:numId w:val="1379"/>
        </w:numPr>
        <w:pStyle w:val="Compact"/>
      </w:pPr>
      <w:r>
        <w:t xml:space="preserve">2021 · Davies M ·</w:t>
      </w:r>
      <w:r>
        <w:t xml:space="preserve"> </w:t>
      </w:r>
      <w:r>
        <w:rPr>
          <w:iCs/>
          <w:i/>
        </w:rPr>
        <w:t xml:space="preserve">Lancet</w:t>
      </w:r>
      <w:r>
        <w:t xml:space="preserve"> </w:t>
      </w:r>
      <w:r>
        <w:t xml:space="preserve">· Semaglutide 2·4 mg once a week in adults with overweight or obesity, and type 2 diabetes (STEP 2): a randomised, double-blind, double-dummy, placebo-controlled, phase 3 trial. PMID 33667417</w:t>
      </w:r>
    </w:p>
    <w:p>
      <w:pPr>
        <w:numPr>
          <w:ilvl w:val="0"/>
          <w:numId w:val="1379"/>
        </w:numPr>
        <w:pStyle w:val="Compact"/>
      </w:pPr>
      <w:r>
        <w:t xml:space="preserve">2021 · Wadden TA ·</w:t>
      </w:r>
      <w:r>
        <w:t xml:space="preserve"> </w:t>
      </w:r>
      <w:r>
        <w:rPr>
          <w:iCs/>
          <w:i/>
        </w:rPr>
        <w:t xml:space="preserve">JAMA</w:t>
      </w:r>
      <w:r>
        <w:t xml:space="preserve"> </w:t>
      </w:r>
      <w:r>
        <w:t xml:space="preserve">· Effect of Subcutaneous Semaglutide vs Placebo as an Adjunct to Intensive Behavioral Therapy on Body Weight in Adults With Overweight or Obesity: The STEP 3 Randomized Clinical Trial. PMID 33625476</w:t>
      </w:r>
    </w:p>
    <w:p>
      <w:pPr>
        <w:numPr>
          <w:ilvl w:val="0"/>
          <w:numId w:val="1379"/>
        </w:numPr>
        <w:pStyle w:val="Compact"/>
      </w:pPr>
      <w:r>
        <w:t xml:space="preserve">2021 · Snitker S ·</w:t>
      </w:r>
      <w:r>
        <w:t xml:space="preserve"> </w:t>
      </w:r>
      <w:r>
        <w:rPr>
          <w:iCs/>
          <w:i/>
        </w:rPr>
        <w:t xml:space="preserve">Diabetes Obes Metab</w:t>
      </w:r>
      <w:r>
        <w:t xml:space="preserve"> </w:t>
      </w:r>
      <w:r>
        <w:t xml:space="preserve">· Comparison of the injection-site experience of the starting doses with semaglutide and dulaglutide: A randomized, double-blind trial in healthy subjects. PMID 33591618</w:t>
      </w:r>
    </w:p>
    <w:p>
      <w:pPr>
        <w:numPr>
          <w:ilvl w:val="0"/>
          <w:numId w:val="1379"/>
        </w:numPr>
        <w:pStyle w:val="Compact"/>
      </w:pPr>
      <w:r>
        <w:t xml:space="preserve">2021 · Wilding JPH ·</w:t>
      </w:r>
      <w:r>
        <w:t xml:space="preserve"> </w:t>
      </w:r>
      <w:r>
        <w:rPr>
          <w:iCs/>
          <w:i/>
        </w:rPr>
        <w:t xml:space="preserve">N Engl J Med</w:t>
      </w:r>
      <w:r>
        <w:t xml:space="preserve"> </w:t>
      </w:r>
      <w:r>
        <w:t xml:space="preserve">· Once-Weekly Semaglutide in Adults with Overweight or Obesity. PMID 33567185</w:t>
      </w:r>
    </w:p>
    <w:p>
      <w:pPr>
        <w:numPr>
          <w:ilvl w:val="0"/>
          <w:numId w:val="1379"/>
        </w:numPr>
        <w:pStyle w:val="Compact"/>
      </w:pPr>
      <w:r>
        <w:t xml:space="preserve">2021 · Birudaraju D ·</w:t>
      </w:r>
      <w:r>
        <w:t xml:space="preserve"> </w:t>
      </w:r>
      <w:r>
        <w:rPr>
          <w:iCs/>
          <w:i/>
        </w:rPr>
        <w:t xml:space="preserve">J Diabetes Complications</w:t>
      </w:r>
      <w:r>
        <w:t xml:space="preserve"> </w:t>
      </w:r>
      <w:r>
        <w:t xml:space="preserve">· Prevalence of normal coronary arteries by coronary computed tomography angiography (CCTA) in patients with type 2 diabetes mellitus from Semaglutide Treatment on Coronary Plaque Progression (STOP) trial. PMID 33419635</w:t>
      </w:r>
    </w:p>
    <w:p>
      <w:pPr>
        <w:numPr>
          <w:ilvl w:val="0"/>
          <w:numId w:val="1379"/>
        </w:numPr>
        <w:pStyle w:val="Compact"/>
      </w:pPr>
      <w:r>
        <w:t xml:space="preserve">2021 · Friedrichsen M ·</w:t>
      </w:r>
      <w:r>
        <w:t xml:space="preserve"> </w:t>
      </w:r>
      <w:r>
        <w:rPr>
          <w:iCs/>
          <w:i/>
        </w:rPr>
        <w:t xml:space="preserve">Diabetes Obes Metab</w:t>
      </w:r>
      <w:r>
        <w:t xml:space="preserve"> </w:t>
      </w:r>
      <w:r>
        <w:t xml:space="preserve">· The effect of semaglutide 2.4 mg once weekly on energy intake, appetite, control of eating, and gastric emptying in adults with obesity. PMID 33269530</w:t>
      </w:r>
    </w:p>
    <w:p>
      <w:pPr>
        <w:numPr>
          <w:ilvl w:val="0"/>
          <w:numId w:val="1379"/>
        </w:numPr>
        <w:pStyle w:val="Compact"/>
      </w:pPr>
      <w:r>
        <w:t xml:space="preserve">2021 · Newsome PN ·</w:t>
      </w:r>
      <w:r>
        <w:t xml:space="preserve"> </w:t>
      </w:r>
      <w:r>
        <w:rPr>
          <w:iCs/>
          <w:i/>
        </w:rPr>
        <w:t xml:space="preserve">N Engl J Med</w:t>
      </w:r>
      <w:r>
        <w:t xml:space="preserve"> </w:t>
      </w:r>
      <w:r>
        <w:t xml:space="preserve">· A Placebo-Controlled Trial of Subcutaneous Semaglutide in Nonalcoholic Steatohepatitis. PMID 33185364</w:t>
      </w:r>
    </w:p>
    <w:p>
      <w:pPr>
        <w:numPr>
          <w:ilvl w:val="0"/>
          <w:numId w:val="1379"/>
        </w:numPr>
        <w:pStyle w:val="Compact"/>
      </w:pPr>
      <w:r>
        <w:t xml:space="preserve">2021 · Gibbons C ·</w:t>
      </w:r>
      <w:r>
        <w:t xml:space="preserve"> </w:t>
      </w:r>
      <w:r>
        <w:rPr>
          <w:iCs/>
          <w:i/>
        </w:rPr>
        <w:t xml:space="preserve">Diabetes Obes Metab</w:t>
      </w:r>
      <w:r>
        <w:t xml:space="preserve"> </w:t>
      </w:r>
      <w:r>
        <w:t xml:space="preserve">· Effects of oral semaglutide on energy intake, food preference, appetite, control of eating and body weight in subjects with type 2 diabetes. PMID 33184979</w:t>
      </w:r>
    </w:p>
    <w:p>
      <w:pPr>
        <w:numPr>
          <w:ilvl w:val="0"/>
          <w:numId w:val="1379"/>
        </w:numPr>
        <w:pStyle w:val="Compact"/>
      </w:pPr>
      <w:r>
        <w:t xml:space="preserve">2021 · Shi A ·</w:t>
      </w:r>
      <w:r>
        <w:t xml:space="preserve"> </w:t>
      </w:r>
      <w:r>
        <w:rPr>
          <w:iCs/>
          <w:i/>
        </w:rPr>
        <w:t xml:space="preserve">Adv Ther</w:t>
      </w:r>
      <w:r>
        <w:t xml:space="preserve"> </w:t>
      </w:r>
      <w:r>
        <w:t xml:space="preserve">· Pharmacokinetics, Safety and Tolerability of Once-Weekly Subcutaneous Semaglutide in Healthy Chinese Subjects: A Double-Blind, Phase 1, Randomized Controlled Trial. PMID 33159658</w:t>
      </w:r>
    </w:p>
    <w:p>
      <w:pPr>
        <w:numPr>
          <w:ilvl w:val="0"/>
          <w:numId w:val="1379"/>
        </w:numPr>
        <w:pStyle w:val="Compact"/>
      </w:pPr>
      <w:r>
        <w:t xml:space="preserve">2021 · Ji L ·</w:t>
      </w:r>
      <w:r>
        <w:t xml:space="preserve"> </w:t>
      </w:r>
      <w:r>
        <w:rPr>
          <w:iCs/>
          <w:i/>
        </w:rPr>
        <w:t xml:space="preserve">Diabetes Obes Metab</w:t>
      </w:r>
      <w:r>
        <w:t xml:space="preserve"> </w:t>
      </w:r>
      <w:r>
        <w:t xml:space="preserve">· Efficacy and safety of once-weekly semaglutide versus once-daily sitagliptin as add-on to metformin in patients with type 2 diabetes in SUSTAIN China: A 30-week, double-blind, phase 3a, randomized trial. PMID 33074557</w:t>
      </w:r>
    </w:p>
    <w:p>
      <w:pPr>
        <w:numPr>
          <w:ilvl w:val="0"/>
          <w:numId w:val="1379"/>
        </w:numPr>
        <w:pStyle w:val="Compact"/>
      </w:pPr>
      <w:r>
        <w:t xml:space="preserve">2020 · Rodbard HW ·</w:t>
      </w:r>
      <w:r>
        <w:t xml:space="preserve"> </w:t>
      </w:r>
      <w:r>
        <w:rPr>
          <w:iCs/>
          <w:i/>
        </w:rPr>
        <w:t xml:space="preserve">Am J Manag Care</w:t>
      </w:r>
      <w:r>
        <w:t xml:space="preserve"> </w:t>
      </w:r>
      <w:r>
        <w:t xml:space="preserve">· Efficacy of oral semaglutide: overview of the PIONEER clinical trial program and implications for managed care. PMID 33439582</w:t>
      </w:r>
    </w:p>
    <w:p>
      <w:pPr>
        <w:numPr>
          <w:ilvl w:val="0"/>
          <w:numId w:val="1379"/>
        </w:numPr>
        <w:pStyle w:val="Compact"/>
      </w:pPr>
      <w:r>
        <w:t xml:space="preserve">2020 · Buse JB ·</w:t>
      </w:r>
      <w:r>
        <w:t xml:space="preserve"> </w:t>
      </w:r>
      <w:r>
        <w:rPr>
          <w:iCs/>
          <w:i/>
        </w:rPr>
        <w:t xml:space="preserve">BMJ Open Diabetes Res Care</w:t>
      </w:r>
      <w:r>
        <w:t xml:space="preserve"> </w:t>
      </w:r>
      <w:r>
        <w:t xml:space="preserve">· Long-term efficacy and safety of oral semaglutide and the effect of switching from sitagliptin to oral semaglutide in patients with type 2 diabetes: a 52-week, randomized, open-label extension of the PIONEER 7 trial. PMID 33318068</w:t>
      </w:r>
    </w:p>
    <w:p>
      <w:pPr>
        <w:numPr>
          <w:ilvl w:val="0"/>
          <w:numId w:val="1379"/>
        </w:numPr>
        <w:pStyle w:val="Compact"/>
      </w:pPr>
      <w:r>
        <w:t xml:space="preserve">2020 · Mann JFE ·</w:t>
      </w:r>
      <w:r>
        <w:t xml:space="preserve"> </w:t>
      </w:r>
      <w:r>
        <w:rPr>
          <w:iCs/>
          <w:i/>
        </w:rPr>
        <w:t xml:space="preserve">Lancet Diabetes Endocrinol</w:t>
      </w:r>
      <w:r>
        <w:t xml:space="preserve"> </w:t>
      </w:r>
      <w:r>
        <w:t xml:space="preserve">· Effects of once-weekly subcutaneous semaglutide on kidney function and safety in patients with type 2 diabetes: a post-hoc analysis of the SUSTAIN 1-7 randomised controlled trials. PMID 32971040</w:t>
      </w:r>
    </w:p>
    <w:p>
      <w:pPr>
        <w:numPr>
          <w:ilvl w:val="0"/>
          <w:numId w:val="1379"/>
        </w:numPr>
        <w:pStyle w:val="Compact"/>
      </w:pPr>
      <w:r>
        <w:t xml:space="preserve">2020 · Verma S ·</w:t>
      </w:r>
      <w:r>
        <w:t xml:space="preserve"> </w:t>
      </w:r>
      <w:r>
        <w:rPr>
          <w:iCs/>
          <w:i/>
        </w:rPr>
        <w:t xml:space="preserve">Diabetes Obes Metab</w:t>
      </w:r>
      <w:r>
        <w:t xml:space="preserve"> </w:t>
      </w:r>
      <w:r>
        <w:t xml:space="preserve">· Impact of microvascular disease on cardiovascular outcomes in type 2 diabetes: Results from the LEADER and SUSTAIN 6 clinical trials. PMID 32643857</w:t>
      </w:r>
    </w:p>
    <w:p>
      <w:pPr>
        <w:numPr>
          <w:ilvl w:val="0"/>
          <w:numId w:val="1379"/>
        </w:numPr>
        <w:pStyle w:val="Compact"/>
      </w:pPr>
      <w:r>
        <w:t xml:space="preserve">2020 · Kushner RF ·</w:t>
      </w:r>
      <w:r>
        <w:t xml:space="preserve"> </w:t>
      </w:r>
      <w:r>
        <w:rPr>
          <w:iCs/>
          <w:i/>
        </w:rPr>
        <w:t xml:space="preserve">Obesity (Silver Spring)</w:t>
      </w:r>
      <w:r>
        <w:t xml:space="preserve"> </w:t>
      </w:r>
      <w:r>
        <w:t xml:space="preserve">· Semaglutide 2.4 mg for the Treatment of Obesity: Key Elements of the STEP Trials 1 to 5. PMID 32441473</w:t>
      </w:r>
    </w:p>
    <w:p>
      <w:pPr>
        <w:numPr>
          <w:ilvl w:val="0"/>
          <w:numId w:val="1379"/>
        </w:numPr>
        <w:pStyle w:val="Compact"/>
      </w:pPr>
      <w:r>
        <w:t xml:space="preserve">2020 · Leiter LA ·</w:t>
      </w:r>
      <w:r>
        <w:t xml:space="preserve"> </w:t>
      </w:r>
      <w:r>
        <w:rPr>
          <w:iCs/>
          <w:i/>
        </w:rPr>
        <w:t xml:space="preserve">Diabetes Obes Metab</w:t>
      </w:r>
      <w:r>
        <w:t xml:space="preserve"> </w:t>
      </w:r>
      <w:r>
        <w:t xml:space="preserve">· The effect of glucagon-like peptide-1 receptor agonists liraglutide and semaglutide on cardiovascular and renal outcomes across baseline blood pressure categories: Analysis of the LEADER and SUSTAIN 6 trials. PMID 32372454</w:t>
      </w:r>
    </w:p>
    <w:p>
      <w:pPr>
        <w:numPr>
          <w:ilvl w:val="0"/>
          <w:numId w:val="1379"/>
        </w:numPr>
        <w:pStyle w:val="Compact"/>
      </w:pPr>
      <w:r>
        <w:t xml:space="preserve">2020 · Yabe D ·</w:t>
      </w:r>
      <w:r>
        <w:t xml:space="preserve"> </w:t>
      </w:r>
      <w:r>
        <w:rPr>
          <w:iCs/>
          <w:i/>
        </w:rPr>
        <w:t xml:space="preserve">Lancet Diabetes Endocrinol</w:t>
      </w:r>
      <w:r>
        <w:t xml:space="preserve"> </w:t>
      </w:r>
      <w:r>
        <w:t xml:space="preserve">· Safety and efficacy of oral semaglutide versus dulaglutide in Japanese patients with type 2 diabetes (PIONEER 10): an open-label, randomised, active-controlled, phase 3a trial. PMID 32333876</w:t>
      </w:r>
    </w:p>
    <w:p>
      <w:pPr>
        <w:numPr>
          <w:ilvl w:val="0"/>
          <w:numId w:val="1379"/>
        </w:numPr>
        <w:pStyle w:val="Compact"/>
      </w:pPr>
      <w:r>
        <w:t xml:space="preserve">2020 · Yamada Y ·</w:t>
      </w:r>
      <w:r>
        <w:t xml:space="preserve"> </w:t>
      </w:r>
      <w:r>
        <w:rPr>
          <w:iCs/>
          <w:i/>
        </w:rPr>
        <w:t xml:space="preserve">Lancet Diabetes Endocrinol</w:t>
      </w:r>
      <w:r>
        <w:t xml:space="preserve"> </w:t>
      </w:r>
      <w:r>
        <w:t xml:space="preserve">· Dose-response, efficacy, and safety of oral semaglutide monotherapy in Japanese patients with type 2 diabetes (PIONEER 9): a 52-week, phase 2/3a, randomised, controlled trial. PMID 32333875</w:t>
      </w:r>
    </w:p>
    <w:p>
      <w:pPr>
        <w:numPr>
          <w:ilvl w:val="0"/>
          <w:numId w:val="1379"/>
        </w:numPr>
        <w:pStyle w:val="Compact"/>
      </w:pPr>
      <w:r>
        <w:t xml:space="preserve">2020 · Jódar E ·</w:t>
      </w:r>
      <w:r>
        <w:t xml:space="preserve"> </w:t>
      </w:r>
      <w:r>
        <w:rPr>
          <w:iCs/>
          <w:i/>
        </w:rPr>
        <w:t xml:space="preserve">Diabetes Obes Metab</w:t>
      </w:r>
      <w:r>
        <w:t xml:space="preserve"> </w:t>
      </w:r>
      <w:r>
        <w:t xml:space="preserve">· Semaglutide improves health-related quality of life versus placebo when added to standard of care in patients with type 2 diabetes at high cardiovascular risk (SUSTAIN 6). PMID 32227613</w:t>
      </w:r>
    </w:p>
    <w:p>
      <w:pPr>
        <w:numPr>
          <w:ilvl w:val="0"/>
          <w:numId w:val="1379"/>
        </w:numPr>
        <w:pStyle w:val="Compact"/>
      </w:pPr>
      <w:r>
        <w:t xml:space="preserve">2020 · Doggrell SA ·</w:t>
      </w:r>
      <w:r>
        <w:t xml:space="preserve"> </w:t>
      </w:r>
      <w:r>
        <w:rPr>
          <w:iCs/>
          <w:i/>
        </w:rPr>
        <w:t xml:space="preserve">Expert Opin Biol Ther</w:t>
      </w:r>
      <w:r>
        <w:t xml:space="preserve"> </w:t>
      </w:r>
      <w:r>
        <w:t xml:space="preserve">· Will oral semaglutide be used to reduce cardiovascular risk in subjects with type 2 diabetes instead of subcutaneous semaglutide?. PMID 32005073</w:t>
      </w:r>
    </w:p>
    <w:p>
      <w:pPr>
        <w:numPr>
          <w:ilvl w:val="0"/>
          <w:numId w:val="1379"/>
        </w:numPr>
        <w:pStyle w:val="Compact"/>
      </w:pPr>
      <w:r>
        <w:t xml:space="preserve">2020 · McCrimmon RJ ·</w:t>
      </w:r>
      <w:r>
        <w:t xml:space="preserve"> </w:t>
      </w:r>
      <w:r>
        <w:rPr>
          <w:iCs/>
          <w:i/>
        </w:rPr>
        <w:t xml:space="preserve">Diabetologia</w:t>
      </w:r>
      <w:r>
        <w:t xml:space="preserve"> </w:t>
      </w:r>
      <w:r>
        <w:t xml:space="preserve">· Effects of once-weekly semaglutide vs once-daily canagliflozin on body composition in type 2 diabetes: a substudy of the SUSTAIN 8 randomised controlled clinical trial. PMID 31897524</w:t>
      </w:r>
    </w:p>
    <w:p>
      <w:pPr>
        <w:numPr>
          <w:ilvl w:val="0"/>
          <w:numId w:val="1379"/>
        </w:numPr>
        <w:pStyle w:val="Compact"/>
      </w:pPr>
      <w:r>
        <w:t xml:space="preserve">2020 · DeSouza C ·</w:t>
      </w:r>
      <w:r>
        <w:t xml:space="preserve"> </w:t>
      </w:r>
      <w:r>
        <w:rPr>
          <w:iCs/>
          <w:i/>
        </w:rPr>
        <w:t xml:space="preserve">J Clin Endocrinol Metab</w:t>
      </w:r>
      <w:r>
        <w:t xml:space="preserve"> </w:t>
      </w:r>
      <w:r>
        <w:t xml:space="preserve">· Efficacy and Safety of Semaglutide for Type 2 Diabetes by Race and Ethnicity: A Post Hoc Analysis of the SUSTAIN Trials. PMID 31769496</w:t>
      </w:r>
    </w:p>
    <w:p>
      <w:pPr>
        <w:numPr>
          <w:ilvl w:val="0"/>
          <w:numId w:val="1379"/>
        </w:numPr>
        <w:pStyle w:val="Compact"/>
      </w:pPr>
      <w:r>
        <w:t xml:space="preserve">2020 · Matza LS ·</w:t>
      </w:r>
      <w:r>
        <w:t xml:space="preserve"> </w:t>
      </w:r>
      <w:r>
        <w:rPr>
          <w:iCs/>
          <w:i/>
        </w:rPr>
        <w:t xml:space="preserve">Diabetes Obes Metab</w:t>
      </w:r>
      <w:r>
        <w:t xml:space="preserve"> </w:t>
      </w:r>
      <w:r>
        <w:t xml:space="preserve">· Assessing patient PREFERence between the dulaglutide pen and the semaglutide pen: A crossover study (PREFER). PMID 31646727</w:t>
      </w:r>
    </w:p>
    <w:p>
      <w:pPr>
        <w:numPr>
          <w:ilvl w:val="0"/>
          <w:numId w:val="1379"/>
        </w:numPr>
        <w:pStyle w:val="Compact"/>
      </w:pPr>
      <w:r>
        <w:t xml:space="preserve">2020 · Capehorn MS ·</w:t>
      </w:r>
      <w:r>
        <w:t xml:space="preserve"> </w:t>
      </w:r>
      <w:r>
        <w:rPr>
          <w:iCs/>
          <w:i/>
        </w:rPr>
        <w:t xml:space="preserve">Diabetes Metab</w:t>
      </w:r>
      <w:r>
        <w:t xml:space="preserve"> </w:t>
      </w:r>
      <w:r>
        <w:t xml:space="preserve">· Efficacy and safety of once-weekly semaglutide 1.0mg vs once-daily liraglutide 1.2mg as add-on to 1-3 oral antidiabetic drugs in subjects with type 2 diabetes (SUSTAIN 10). PMID 31539622</w:t>
      </w:r>
    </w:p>
    <w:p>
      <w:pPr>
        <w:numPr>
          <w:ilvl w:val="0"/>
          <w:numId w:val="1379"/>
        </w:numPr>
        <w:pStyle w:val="Compact"/>
      </w:pPr>
      <w:r>
        <w:t xml:space="preserve">2019 · Lingvay I ·</w:t>
      </w:r>
      <w:r>
        <w:t xml:space="preserve"> </w:t>
      </w:r>
      <w:r>
        <w:rPr>
          <w:iCs/>
          <w:i/>
        </w:rPr>
        <w:t xml:space="preserve">Lancet Diabetes Endocrinol</w:t>
      </w:r>
      <w:r>
        <w:t xml:space="preserve"> </w:t>
      </w:r>
      <w:r>
        <w:t xml:space="preserve">· Efficacy and safety of once-weekly semaglutide versus daily canagliflozin as add-on to metformin in patients with type 2 diabetes (SUSTAIN 8): a double-blind, phase 3b, randomised controlled trial. PMID 31540867</w:t>
      </w:r>
    </w:p>
    <w:p>
      <w:pPr>
        <w:numPr>
          <w:ilvl w:val="0"/>
          <w:numId w:val="1379"/>
        </w:numPr>
        <w:pStyle w:val="Compact"/>
      </w:pPr>
      <w:r>
        <w:t xml:space="preserve">2019 · Zinman B ·</w:t>
      </w:r>
      <w:r>
        <w:t xml:space="preserve"> </w:t>
      </w:r>
      <w:r>
        <w:rPr>
          <w:iCs/>
          <w:i/>
        </w:rPr>
        <w:t xml:space="preserve">Diabetes Care</w:t>
      </w:r>
      <w:r>
        <w:t xml:space="preserve"> </w:t>
      </w:r>
      <w:r>
        <w:t xml:space="preserve">· Efficacy, Safety, and Tolerability of Oral Semaglutide Versus Placebo Added to Insulin With or Without Metformin in Patients With Type 2 Diabetes: The PIONEER 8 Trial. PMID 31530667</w:t>
      </w:r>
    </w:p>
    <w:p>
      <w:pPr>
        <w:numPr>
          <w:ilvl w:val="0"/>
          <w:numId w:val="1379"/>
        </w:numPr>
        <w:pStyle w:val="Compact"/>
      </w:pPr>
      <w:r>
        <w:t xml:space="preserve">2019 · Rodbard HW ·</w:t>
      </w:r>
      <w:r>
        <w:t xml:space="preserve"> </w:t>
      </w:r>
      <w:r>
        <w:rPr>
          <w:iCs/>
          <w:i/>
        </w:rPr>
        <w:t xml:space="preserve">Diabetes Care</w:t>
      </w:r>
      <w:r>
        <w:t xml:space="preserve"> </w:t>
      </w:r>
      <w:r>
        <w:t xml:space="preserve">· Oral Semaglutide Versus Empagliflozin in Patients With Type 2 Diabetes Uncontrolled on Metformin: The PIONEER 2 Trial. PMID 31530666</w:t>
      </w:r>
    </w:p>
    <w:p>
      <w:pPr>
        <w:numPr>
          <w:ilvl w:val="0"/>
          <w:numId w:val="1379"/>
        </w:numPr>
        <w:pStyle w:val="Compact"/>
      </w:pPr>
      <w:r>
        <w:t xml:space="preserve">2019 · Jendle J ·</w:t>
      </w:r>
      <w:r>
        <w:t xml:space="preserve"> </w:t>
      </w:r>
      <w:r>
        <w:rPr>
          <w:iCs/>
          <w:i/>
        </w:rPr>
        <w:t xml:space="preserve">Diabetes Obes Metab</w:t>
      </w:r>
      <w:r>
        <w:t xml:space="preserve"> </w:t>
      </w:r>
      <w:r>
        <w:t xml:space="preserve">· Improved treatment satisfaction in patients with type 2 diabetes treated with once-weekly semaglutide in the SUSTAIN trials. PMID 31215727</w:t>
      </w:r>
    </w:p>
    <w:p>
      <w:pPr>
        <w:numPr>
          <w:ilvl w:val="0"/>
          <w:numId w:val="1379"/>
        </w:numPr>
        <w:pStyle w:val="Compact"/>
      </w:pPr>
      <w:r>
        <w:t xml:space="preserve">2019 · Pieber TR ·</w:t>
      </w:r>
      <w:r>
        <w:t xml:space="preserve"> </w:t>
      </w:r>
      <w:r>
        <w:rPr>
          <w:iCs/>
          <w:i/>
        </w:rPr>
        <w:t xml:space="preserve">Lancet Diabetes Endocrinol</w:t>
      </w:r>
      <w:r>
        <w:t xml:space="preserve"> </w:t>
      </w:r>
      <w:r>
        <w:t xml:space="preserve">· Efficacy and safety of oral semaglutide with flexible dose adjustment versus sitagliptin in type 2 diabetes (PIONEER 7): a multicentre, open-label, randomised, phase 3a trial. PMID 31189520</w:t>
      </w:r>
    </w:p>
    <w:p>
      <w:pPr>
        <w:numPr>
          <w:ilvl w:val="0"/>
          <w:numId w:val="1379"/>
        </w:numPr>
        <w:pStyle w:val="Compact"/>
      </w:pPr>
      <w:r>
        <w:t xml:space="preserve">2019 · Mosenzon O ·</w:t>
      </w:r>
      <w:r>
        <w:t xml:space="preserve"> </w:t>
      </w:r>
      <w:r>
        <w:rPr>
          <w:iCs/>
          <w:i/>
        </w:rPr>
        <w:t xml:space="preserve">Lancet Diabetes Endocrinol</w:t>
      </w:r>
      <w:r>
        <w:t xml:space="preserve"> </w:t>
      </w:r>
      <w:r>
        <w:t xml:space="preserve">· Efficacy and safety of oral semaglutide in patients with type 2 diabetes and moderate renal impairment (PIONEER 5): a placebo-controlled, randomised, phase 3a trial. PMID 31189517</w:t>
      </w:r>
    </w:p>
    <w:p>
      <w:pPr>
        <w:numPr>
          <w:ilvl w:val="0"/>
          <w:numId w:val="1379"/>
        </w:numPr>
        <w:pStyle w:val="Compact"/>
      </w:pPr>
      <w:r>
        <w:t xml:space="preserve">2019 · Pratley R ·</w:t>
      </w:r>
      <w:r>
        <w:t xml:space="preserve"> </w:t>
      </w:r>
      <w:r>
        <w:rPr>
          <w:iCs/>
          <w:i/>
        </w:rPr>
        <w:t xml:space="preserve">Lancet</w:t>
      </w:r>
      <w:r>
        <w:t xml:space="preserve"> </w:t>
      </w:r>
      <w:r>
        <w:t xml:space="preserve">· Oral semaglutide versus subcutaneous liraglutide and placebo in type 2 diabetes (PIONEER 4): a randomised, double-blind, phase 3a trial. PMID 31186120</w:t>
      </w:r>
    </w:p>
    <w:p>
      <w:pPr>
        <w:numPr>
          <w:ilvl w:val="0"/>
          <w:numId w:val="1379"/>
        </w:numPr>
        <w:pStyle w:val="Compact"/>
      </w:pPr>
      <w:r>
        <w:t xml:space="preserve">2019 · Husain M ·</w:t>
      </w:r>
      <w:r>
        <w:t xml:space="preserve"> </w:t>
      </w:r>
      <w:r>
        <w:rPr>
          <w:iCs/>
          <w:i/>
        </w:rPr>
        <w:t xml:space="preserve">N Engl J Med</w:t>
      </w:r>
      <w:r>
        <w:t xml:space="preserve"> </w:t>
      </w:r>
      <w:r>
        <w:t xml:space="preserve">· Oral Semaglutide and Cardiovascular Outcomes in Patients with Type 2 Diabetes. PMID 31185157</w:t>
      </w:r>
    </w:p>
    <w:p>
      <w:pPr>
        <w:numPr>
          <w:ilvl w:val="0"/>
          <w:numId w:val="1379"/>
        </w:numPr>
        <w:pStyle w:val="Compact"/>
      </w:pPr>
      <w:r>
        <w:t xml:space="preserve">2019 · Bækdal TA ·</w:t>
      </w:r>
      <w:r>
        <w:t xml:space="preserve"> </w:t>
      </w:r>
      <w:r>
        <w:rPr>
          <w:iCs/>
          <w:i/>
        </w:rPr>
        <w:t xml:space="preserve">Clin Pharmacokinet</w:t>
      </w:r>
      <w:r>
        <w:t xml:space="preserve"> </w:t>
      </w:r>
      <w:r>
        <w:t xml:space="preserve">· Effect of Oral Semaglutide on the Pharmacokinetics of Lisinopril, Warfarin, Digoxin, and Metformin in Healthy Subjects. PMID 30945118</w:t>
      </w:r>
    </w:p>
    <w:p>
      <w:pPr>
        <w:numPr>
          <w:ilvl w:val="0"/>
          <w:numId w:val="1379"/>
        </w:numPr>
        <w:pStyle w:val="Compact"/>
      </w:pPr>
      <w:r>
        <w:t xml:space="preserve">2019 · Rosenstock J ·</w:t>
      </w:r>
      <w:r>
        <w:t xml:space="preserve"> </w:t>
      </w:r>
      <w:r>
        <w:rPr>
          <w:iCs/>
          <w:i/>
        </w:rPr>
        <w:t xml:space="preserve">JAMA</w:t>
      </w:r>
      <w:r>
        <w:t xml:space="preserve"> </w:t>
      </w:r>
      <w:r>
        <w:t xml:space="preserve">· Effect of Additional Oral Semaglutide vs Sitagliptin on Glycated Hemoglobin in Adults With Type 2 Diabetes Uncontrolled With Metformin Alone or With Sulfonylurea: The PIONEER 3 Randomized Clinical Trial. PMID 30903796</w:t>
      </w:r>
    </w:p>
    <w:p>
      <w:pPr>
        <w:numPr>
          <w:ilvl w:val="0"/>
          <w:numId w:val="1379"/>
        </w:numPr>
        <w:pStyle w:val="Compact"/>
      </w:pPr>
      <w:r>
        <w:t xml:space="preserve">2019 · Zinman B ·</w:t>
      </w:r>
      <w:r>
        <w:t xml:space="preserve"> </w:t>
      </w:r>
      <w:r>
        <w:rPr>
          <w:iCs/>
          <w:i/>
        </w:rPr>
        <w:t xml:space="preserve">Lancet Diabetes Endocrinol</w:t>
      </w:r>
      <w:r>
        <w:t xml:space="preserve"> </w:t>
      </w:r>
      <w:r>
        <w:t xml:space="preserve">· Semaglutide once weekly as add-on to SGLT-2 inhibitor therapy in type 2 diabetes (SUSTAIN 9): a randomised, placebo-controlled trial. PMID 30833170</w:t>
      </w:r>
    </w:p>
    <w:p>
      <w:pPr>
        <w:numPr>
          <w:ilvl w:val="0"/>
          <w:numId w:val="1379"/>
        </w:numPr>
        <w:pStyle w:val="Compact"/>
      </w:pPr>
      <w:r>
        <w:t xml:space="preserve">2019 · Granhall C ·</w:t>
      </w:r>
      <w:r>
        <w:t xml:space="preserve"> </w:t>
      </w:r>
      <w:r>
        <w:rPr>
          <w:iCs/>
          <w:i/>
        </w:rPr>
        <w:t xml:space="preserve">Clin Pharmacokinet</w:t>
      </w:r>
      <w:r>
        <w:t xml:space="preserve"> </w:t>
      </w:r>
      <w:r>
        <w:t xml:space="preserve">· Safety and Pharmacokinetics of Single and Multiple Ascending Doses of the Novel Oral Human GLP-1 Analogue, Oral Semaglutide, in Healthy Subjects and Subjects with Type 2 Diabetes. PMID 30565096</w:t>
      </w:r>
    </w:p>
    <w:p>
      <w:pPr>
        <w:numPr>
          <w:ilvl w:val="0"/>
          <w:numId w:val="1379"/>
        </w:numPr>
        <w:pStyle w:val="Compact"/>
      </w:pPr>
      <w:r>
        <w:t xml:space="preserve">2019 · Overgaard RV ·</w:t>
      </w:r>
      <w:r>
        <w:t xml:space="preserve"> </w:t>
      </w:r>
      <w:r>
        <w:rPr>
          <w:iCs/>
          <w:i/>
        </w:rPr>
        <w:t xml:space="preserve">Diabetes Obes Metab</w:t>
      </w:r>
      <w:r>
        <w:t xml:space="preserve"> </w:t>
      </w:r>
      <w:r>
        <w:t xml:space="preserve">· Impact on HbA1c and body weight of switching from other GLP-1 receptor agonists to semaglutide: A model-based approach. PMID 30047216</w:t>
      </w:r>
    </w:p>
    <w:p>
      <w:pPr>
        <w:numPr>
          <w:ilvl w:val="0"/>
          <w:numId w:val="1379"/>
        </w:numPr>
        <w:pStyle w:val="Compact"/>
      </w:pPr>
      <w:r>
        <w:t xml:space="preserve">2018 · Buckley ST ·</w:t>
      </w:r>
      <w:r>
        <w:t xml:space="preserve"> </w:t>
      </w:r>
      <w:r>
        <w:rPr>
          <w:iCs/>
          <w:i/>
        </w:rPr>
        <w:t xml:space="preserve">Sci Transl Med</w:t>
      </w:r>
      <w:r>
        <w:t xml:space="preserve"> </w:t>
      </w:r>
      <w:r>
        <w:t xml:space="preserve">· Transcellular stomach absorption of a derivatized glucagon-like peptide-1 receptor agonist. PMID 30429357</w:t>
      </w:r>
    </w:p>
    <w:p>
      <w:pPr>
        <w:numPr>
          <w:ilvl w:val="0"/>
          <w:numId w:val="1379"/>
        </w:numPr>
        <w:pStyle w:val="Compact"/>
      </w:pPr>
      <w:r>
        <w:t xml:space="preserve">2018 · O’Neil PM ·</w:t>
      </w:r>
      <w:r>
        <w:t xml:space="preserve"> </w:t>
      </w:r>
      <w:r>
        <w:rPr>
          <w:iCs/>
          <w:i/>
        </w:rPr>
        <w:t xml:space="preserve">Lancet</w:t>
      </w:r>
      <w:r>
        <w:t xml:space="preserve"> </w:t>
      </w:r>
      <w:r>
        <w:t xml:space="preserve">· Efficacy and safety of semaglutide compared with liraglutide and placebo for weight loss in patients with obesity: a randomised, double-blind, placebo and active controlled, dose-ranging, phase 2 trial. PMID 30122305</w:t>
      </w:r>
    </w:p>
    <w:p>
      <w:pPr>
        <w:numPr>
          <w:ilvl w:val="0"/>
          <w:numId w:val="1379"/>
        </w:numPr>
        <w:pStyle w:val="Compact"/>
      </w:pPr>
      <w:r>
        <w:t xml:space="preserve">2018 · Lingvay I ·</w:t>
      </w:r>
      <w:r>
        <w:t xml:space="preserve"> </w:t>
      </w:r>
      <w:r>
        <w:rPr>
          <w:iCs/>
          <w:i/>
        </w:rPr>
        <w:t xml:space="preserve">Diabetes Care</w:t>
      </w:r>
      <w:r>
        <w:t xml:space="preserve"> </w:t>
      </w:r>
      <w:r>
        <w:t xml:space="preserve">· A 26-Week Randomized Controlled Trial of Semaglutide Once Daily Versus Liraglutide and Placebo in Patients With Type 2 Diabetes Suboptimally Controlled on Diet and Exercise With or Without Metformin. PMID 30026333</w:t>
      </w:r>
    </w:p>
    <w:p>
      <w:pPr>
        <w:numPr>
          <w:ilvl w:val="0"/>
          <w:numId w:val="1379"/>
        </w:numPr>
        <w:pStyle w:val="Compact"/>
      </w:pPr>
      <w:r>
        <w:t xml:space="preserve">2018 · Bækdal TA ·</w:t>
      </w:r>
      <w:r>
        <w:t xml:space="preserve"> </w:t>
      </w:r>
      <w:r>
        <w:rPr>
          <w:iCs/>
          <w:i/>
        </w:rPr>
        <w:t xml:space="preserve">Expert Opin Drug Metab Toxicol</w:t>
      </w:r>
      <w:r>
        <w:t xml:space="preserve"> </w:t>
      </w:r>
      <w:r>
        <w:t xml:space="preserve">· A randomized study investigating the effect of omeprazole on the pharmacokinetics of oral semaglutide. PMID 29897249</w:t>
      </w:r>
    </w:p>
    <w:p>
      <w:pPr>
        <w:numPr>
          <w:ilvl w:val="0"/>
          <w:numId w:val="1379"/>
        </w:numPr>
        <w:pStyle w:val="Compact"/>
      </w:pPr>
      <w:r>
        <w:t xml:space="preserve">2018 · Korsatko S ·</w:t>
      </w:r>
      <w:r>
        <w:t xml:space="preserve"> </w:t>
      </w:r>
      <w:r>
        <w:rPr>
          <w:iCs/>
          <w:i/>
        </w:rPr>
        <w:t xml:space="preserve">Diabetes Obes Metab</w:t>
      </w:r>
      <w:r>
        <w:t xml:space="preserve"> </w:t>
      </w:r>
      <w:r>
        <w:t xml:space="preserve">· Effect of once-weekly semaglutide on the counterregulatory response to hypoglycaemia in people with type 2 diabetes: A randomized, placebo-controlled, double-blind, crossover trial. PMID 29893488</w:t>
      </w:r>
    </w:p>
    <w:p>
      <w:pPr>
        <w:numPr>
          <w:ilvl w:val="0"/>
          <w:numId w:val="1379"/>
        </w:numPr>
        <w:pStyle w:val="Compact"/>
      </w:pPr>
      <w:r>
        <w:t xml:space="preserve">2018 · Ahrén B ·</w:t>
      </w:r>
      <w:r>
        <w:t xml:space="preserve"> </w:t>
      </w:r>
      <w:r>
        <w:rPr>
          <w:iCs/>
          <w:i/>
        </w:rPr>
        <w:t xml:space="preserve">Diabetes Obes Metab</w:t>
      </w:r>
      <w:r>
        <w:t xml:space="preserve"> </w:t>
      </w:r>
      <w:r>
        <w:t xml:space="preserve">· Semaglutide induces weight loss in subjects with type 2 diabetes regardless of baseline BMI or gastrointestinal adverse events in the SUSTAIN 1 to 5 trials. PMID 29766634</w:t>
      </w:r>
    </w:p>
    <w:p>
      <w:pPr>
        <w:numPr>
          <w:ilvl w:val="0"/>
          <w:numId w:val="1379"/>
        </w:numPr>
        <w:pStyle w:val="Compact"/>
      </w:pPr>
      <w:r>
        <w:t xml:space="preserve">2018 · Baekdal TA ·</w:t>
      </w:r>
      <w:r>
        <w:t xml:space="preserve"> </w:t>
      </w:r>
      <w:r>
        <w:rPr>
          <w:iCs/>
          <w:i/>
        </w:rPr>
        <w:t xml:space="preserve">J Clin Pharmacol</w:t>
      </w:r>
      <w:r>
        <w:t xml:space="preserve"> </w:t>
      </w:r>
      <w:r>
        <w:t xml:space="preserve">· Pharmacokinetics, Safety, and Tolerability of Oral Semaglutide in Subjects With Hepatic Impairment. PMID 29693715</w:t>
      </w:r>
    </w:p>
    <w:p>
      <w:pPr>
        <w:numPr>
          <w:ilvl w:val="0"/>
          <w:numId w:val="1379"/>
        </w:numPr>
        <w:pStyle w:val="Compact"/>
      </w:pPr>
      <w:r>
        <w:t xml:space="preserve">2018 · Rodbard HW ·</w:t>
      </w:r>
      <w:r>
        <w:t xml:space="preserve"> </w:t>
      </w:r>
      <w:r>
        <w:rPr>
          <w:iCs/>
          <w:i/>
        </w:rPr>
        <w:t xml:space="preserve">J Clin Endocrinol Metab</w:t>
      </w:r>
      <w:r>
        <w:t xml:space="preserve"> </w:t>
      </w:r>
      <w:r>
        <w:t xml:space="preserve">· Semaglutide Added to Basal Insulin in Type 2 Diabetes (SUSTAIN 5): A Randomized, Controlled Trial. PMID 29688502</w:t>
      </w:r>
    </w:p>
    <w:p>
      <w:pPr>
        <w:numPr>
          <w:ilvl w:val="0"/>
          <w:numId w:val="1379"/>
        </w:numPr>
        <w:pStyle w:val="Compact"/>
      </w:pPr>
      <w:r>
        <w:t xml:space="preserve">2018 · Warren M ·</w:t>
      </w:r>
      <w:r>
        <w:t xml:space="preserve"> </w:t>
      </w:r>
      <w:r>
        <w:rPr>
          <w:iCs/>
          <w:i/>
        </w:rPr>
        <w:t xml:space="preserve">Diabetes Obes Metab</w:t>
      </w:r>
      <w:r>
        <w:t xml:space="preserve"> </w:t>
      </w:r>
      <w:r>
        <w:t xml:space="preserve">· Semaglutide as a therapeutic option for elderly patients with type 2 diabetes: Pooled analysis of the SUSTAIN 1-5 trials. PMID 29687620</w:t>
      </w:r>
    </w:p>
    <w:p>
      <w:pPr>
        <w:numPr>
          <w:ilvl w:val="0"/>
          <w:numId w:val="1379"/>
        </w:numPr>
        <w:pStyle w:val="Compact"/>
      </w:pPr>
      <w:r>
        <w:t xml:space="preserve">2018 · Granhall C ·</w:t>
      </w:r>
      <w:r>
        <w:t xml:space="preserve"> </w:t>
      </w:r>
      <w:r>
        <w:rPr>
          <w:iCs/>
          <w:i/>
        </w:rPr>
        <w:t xml:space="preserve">Clin Pharmacokinet</w:t>
      </w:r>
      <w:r>
        <w:t xml:space="preserve"> </w:t>
      </w:r>
      <w:r>
        <w:t xml:space="preserve">· Pharmacokinetics, Safety and Tolerability of Oral Semaglutide in Subjects with Renal Impairment. PMID 29623579</w:t>
      </w:r>
    </w:p>
    <w:p>
      <w:pPr>
        <w:numPr>
          <w:ilvl w:val="0"/>
          <w:numId w:val="1379"/>
        </w:numPr>
        <w:pStyle w:val="Compact"/>
      </w:pPr>
      <w:r>
        <w:t xml:space="preserve">2018 · Ikushima I ·</w:t>
      </w:r>
      <w:r>
        <w:t xml:space="preserve"> </w:t>
      </w:r>
      <w:r>
        <w:rPr>
          <w:iCs/>
          <w:i/>
        </w:rPr>
        <w:t xml:space="preserve">Adv Ther</w:t>
      </w:r>
      <w:r>
        <w:t xml:space="preserve"> </w:t>
      </w:r>
      <w:r>
        <w:t xml:space="preserve">· A Randomized Trial Investigating the Pharmacokinetics, Pharmacodynamics, and Safety of Subcutaneous Semaglutide Once-Weekly in Healthy Male Japanese and Caucasian Subjects. PMID 29536338</w:t>
      </w:r>
    </w:p>
    <w:p>
      <w:pPr>
        <w:numPr>
          <w:ilvl w:val="0"/>
          <w:numId w:val="1379"/>
        </w:numPr>
        <w:pStyle w:val="Compact"/>
      </w:pPr>
      <w:r>
        <w:t xml:space="preserve">2018 · Kaneko M ·</w:t>
      </w:r>
      <w:r>
        <w:t xml:space="preserve"> </w:t>
      </w:r>
      <w:r>
        <w:rPr>
          <w:iCs/>
          <w:i/>
        </w:rPr>
        <w:t xml:space="preserve">Ann Pharmacother</w:t>
      </w:r>
      <w:r>
        <w:t xml:space="preserve"> </w:t>
      </w:r>
      <w:r>
        <w:t xml:space="preserve">· Assessment of Cardiovascular Risk With Glucagon-Like Peptide 1 Receptor Agonists in Patients With Type 2 Diabetes Using an Alternative Measure to the Hazard Ratio. PMID 29424239</w:t>
      </w:r>
    </w:p>
    <w:p>
      <w:pPr>
        <w:numPr>
          <w:ilvl w:val="0"/>
          <w:numId w:val="1379"/>
        </w:numPr>
        <w:pStyle w:val="Compact"/>
      </w:pPr>
      <w:r>
        <w:t xml:space="preserve">2018 · Pratley RE ·</w:t>
      </w:r>
      <w:r>
        <w:t xml:space="preserve"> </w:t>
      </w:r>
      <w:r>
        <w:rPr>
          <w:iCs/>
          <w:i/>
        </w:rPr>
        <w:t xml:space="preserve">Lancet Diabetes Endocrinol</w:t>
      </w:r>
      <w:r>
        <w:t xml:space="preserve"> </w:t>
      </w:r>
      <w:r>
        <w:t xml:space="preserve">· Semaglutide versus dulaglutide once weekly in patients with type 2 diabetes (SUSTAIN 7): a randomised, open-label, phase 3b trial. PMID 29397376</w:t>
      </w:r>
    </w:p>
    <w:p>
      <w:pPr>
        <w:numPr>
          <w:ilvl w:val="0"/>
          <w:numId w:val="1379"/>
        </w:numPr>
        <w:pStyle w:val="Compact"/>
      </w:pPr>
      <w:r>
        <w:t xml:space="preserve">2018 · Kaku K ·</w:t>
      </w:r>
      <w:r>
        <w:t xml:space="preserve"> </w:t>
      </w:r>
      <w:r>
        <w:rPr>
          <w:iCs/>
          <w:i/>
        </w:rPr>
        <w:t xml:space="preserve">Diabetes Obes Metab</w:t>
      </w:r>
      <w:r>
        <w:t xml:space="preserve"> </w:t>
      </w:r>
      <w:r>
        <w:t xml:space="preserve">· Safety and efficacy of once-weekly semaglutide vs additional oral antidiabetic drugs in Japanese people with inadequately controlled type 2 diabetes: A randomized trial. PMID 29322610</w:t>
      </w:r>
    </w:p>
    <w:p>
      <w:pPr>
        <w:numPr>
          <w:ilvl w:val="0"/>
          <w:numId w:val="1379"/>
        </w:numPr>
        <w:pStyle w:val="Compact"/>
      </w:pPr>
      <w:r>
        <w:t xml:space="preserve">2018 · Ahmann AJ ·</w:t>
      </w:r>
      <w:r>
        <w:t xml:space="preserve"> </w:t>
      </w:r>
      <w:r>
        <w:rPr>
          <w:iCs/>
          <w:i/>
        </w:rPr>
        <w:t xml:space="preserve">Diabetes Care</w:t>
      </w:r>
      <w:r>
        <w:t xml:space="preserve"> </w:t>
      </w:r>
      <w:r>
        <w:t xml:space="preserve">· Efficacy and Safety of Once-Weekly Semaglutide Versus Exenatide ER in Subjects With Type 2 Diabetes (SUSTAIN 3): A 56-Week, Open-Label, Randomized Clinical Trial. PMID 29246950</w:t>
      </w:r>
    </w:p>
    <w:p>
      <w:pPr>
        <w:numPr>
          <w:ilvl w:val="0"/>
          <w:numId w:val="1379"/>
        </w:numPr>
        <w:pStyle w:val="Compact"/>
      </w:pPr>
      <w:r>
        <w:t xml:space="preserve">2018 · Jensen L ·</w:t>
      </w:r>
      <w:r>
        <w:t xml:space="preserve"> </w:t>
      </w:r>
      <w:r>
        <w:rPr>
          <w:iCs/>
          <w:i/>
        </w:rPr>
        <w:t xml:space="preserve">Diabetes Obes Metab</w:t>
      </w:r>
      <w:r>
        <w:t xml:space="preserve"> </w:t>
      </w:r>
      <w:r>
        <w:t xml:space="preserve">· Pharmacokinetics and tolerability of semaglutide in people with hepatic impairment. PMID 29205786</w:t>
      </w:r>
    </w:p>
    <w:p>
      <w:pPr>
        <w:numPr>
          <w:ilvl w:val="0"/>
          <w:numId w:val="1379"/>
        </w:numPr>
        <w:pStyle w:val="Compact"/>
      </w:pPr>
      <w:r>
        <w:t xml:space="preserve">2018 · Vilsbøll T ·</w:t>
      </w:r>
      <w:r>
        <w:t xml:space="preserve"> </w:t>
      </w:r>
      <w:r>
        <w:rPr>
          <w:iCs/>
          <w:i/>
        </w:rPr>
        <w:t xml:space="preserve">Diabetes Obes Metab</w:t>
      </w:r>
      <w:r>
        <w:t xml:space="preserve"> </w:t>
      </w:r>
      <w:r>
        <w:t xml:space="preserve">· Semaglutide, reduction in glycated haemoglobin and the risk of diabetic retinopathy. PMID 29178519</w:t>
      </w:r>
    </w:p>
    <w:p>
      <w:pPr>
        <w:numPr>
          <w:ilvl w:val="0"/>
          <w:numId w:val="1379"/>
        </w:numPr>
        <w:pStyle w:val="Compact"/>
      </w:pPr>
      <w:r>
        <w:t xml:space="preserve">2018 · Hjerpsted JB ·</w:t>
      </w:r>
      <w:r>
        <w:t xml:space="preserve"> </w:t>
      </w:r>
      <w:r>
        <w:rPr>
          <w:iCs/>
          <w:i/>
        </w:rPr>
        <w:t xml:space="preserve">Diabetes Obes Metab</w:t>
      </w:r>
      <w:r>
        <w:t xml:space="preserve"> </w:t>
      </w:r>
      <w:r>
        <w:t xml:space="preserve">· Semaglutide improves postprandial glucose and lipid metabolism, and delays first-hour gastric emptying in subjects with obesity. PMID 28941314</w:t>
      </w:r>
    </w:p>
    <w:p>
      <w:pPr>
        <w:numPr>
          <w:ilvl w:val="0"/>
          <w:numId w:val="1379"/>
        </w:numPr>
        <w:pStyle w:val="Compact"/>
      </w:pPr>
      <w:r>
        <w:t xml:space="preserve">2018 · Seino Y ·</w:t>
      </w:r>
      <w:r>
        <w:t xml:space="preserve"> </w:t>
      </w:r>
      <w:r>
        <w:rPr>
          <w:iCs/>
          <w:i/>
        </w:rPr>
        <w:t xml:space="preserve">Diabetes Obes Metab</w:t>
      </w:r>
      <w:r>
        <w:t xml:space="preserve"> </w:t>
      </w:r>
      <w:r>
        <w:t xml:space="preserve">· Safety and efficacy of semaglutide once weekly vs sitagliptin once daily, both as monotherapy in Japanese people with type 2 diabetes. PMID 28786547</w:t>
      </w:r>
    </w:p>
    <w:p>
      <w:pPr>
        <w:numPr>
          <w:ilvl w:val="0"/>
          <w:numId w:val="1379"/>
        </w:numPr>
        <w:pStyle w:val="Compact"/>
      </w:pPr>
      <w:r>
        <w:t xml:space="preserve">2017 · Davies M ·</w:t>
      </w:r>
      <w:r>
        <w:t xml:space="preserve"> </w:t>
      </w:r>
      <w:r>
        <w:rPr>
          <w:iCs/>
          <w:i/>
        </w:rPr>
        <w:t xml:space="preserve">JAMA</w:t>
      </w:r>
      <w:r>
        <w:t xml:space="preserve"> </w:t>
      </w:r>
      <w:r>
        <w:t xml:space="preserve">· Effect of Oral Semaglutide Compared With Placebo and Subcutaneous Semaglutide on Glycemic Control in Patients With Type 2 Diabetes: A Randomized Clinical Trial. PMID 29049653</w:t>
      </w:r>
    </w:p>
    <w:p>
      <w:pPr>
        <w:numPr>
          <w:ilvl w:val="0"/>
          <w:numId w:val="1379"/>
        </w:numPr>
        <w:pStyle w:val="Compact"/>
      </w:pPr>
      <w:r>
        <w:t xml:space="preserve">2017 · Kapitza C ·</w:t>
      </w:r>
      <w:r>
        <w:t xml:space="preserve"> </w:t>
      </w:r>
      <w:r>
        <w:rPr>
          <w:iCs/>
          <w:i/>
        </w:rPr>
        <w:t xml:space="preserve">Diabetologia</w:t>
      </w:r>
      <w:r>
        <w:t xml:space="preserve"> </w:t>
      </w:r>
      <w:r>
        <w:t xml:space="preserve">· Effects of semaglutide on beta cell function and glycaemic control in participants with type 2 diabetes: a randomised, double-blind, placebo-controlled trial. PMID 28526920</w:t>
      </w:r>
    </w:p>
    <w:p>
      <w:pPr>
        <w:numPr>
          <w:ilvl w:val="0"/>
          <w:numId w:val="1379"/>
        </w:numPr>
        <w:pStyle w:val="Compact"/>
      </w:pPr>
      <w:r>
        <w:t xml:space="preserve">2017 · Ahrén B ·</w:t>
      </w:r>
      <w:r>
        <w:t xml:space="preserve"> </w:t>
      </w:r>
      <w:r>
        <w:rPr>
          <w:iCs/>
          <w:i/>
        </w:rPr>
        <w:t xml:space="preserve">Lancet Diabetes Endocrinol</w:t>
      </w:r>
      <w:r>
        <w:t xml:space="preserve"> </w:t>
      </w:r>
      <w:r>
        <w:t xml:space="preserve">· Efficacy and safety of once-weekly semaglutide versus once-daily sitagliptin as an add-on to metformin, thiazolidinediones, or both, in patients with type 2 diabetes (SUSTAIN 2): a 56-week, double-blind, phase 3a, randomised trial. PMID 28385659</w:t>
      </w:r>
    </w:p>
    <w:p>
      <w:pPr>
        <w:numPr>
          <w:ilvl w:val="0"/>
          <w:numId w:val="1379"/>
        </w:numPr>
        <w:pStyle w:val="Compact"/>
      </w:pPr>
      <w:r>
        <w:t xml:space="preserve">2017 · Hausner H ·</w:t>
      </w:r>
      <w:r>
        <w:t xml:space="preserve"> </w:t>
      </w:r>
      <w:r>
        <w:rPr>
          <w:iCs/>
          <w:i/>
        </w:rPr>
        <w:t xml:space="preserve">Clin Pharmacokinet</w:t>
      </w:r>
      <w:r>
        <w:t xml:space="preserve"> </w:t>
      </w:r>
      <w:r>
        <w:t xml:space="preserve">· Effect of Semaglutide on the Pharmacokinetics of Metformin, Warfarin, Atorvastatin and Digoxin in Healthy Subjects. PMID 28349387</w:t>
      </w:r>
    </w:p>
    <w:p>
      <w:pPr>
        <w:numPr>
          <w:ilvl w:val="0"/>
          <w:numId w:val="1379"/>
        </w:numPr>
        <w:pStyle w:val="Compact"/>
      </w:pPr>
      <w:r>
        <w:t xml:space="preserve">2017 · Marbury TC ·</w:t>
      </w:r>
      <w:r>
        <w:t xml:space="preserve"> </w:t>
      </w:r>
      <w:r>
        <w:rPr>
          <w:iCs/>
          <w:i/>
        </w:rPr>
        <w:t xml:space="preserve">Clin Pharmacokinet</w:t>
      </w:r>
      <w:r>
        <w:t xml:space="preserve"> </w:t>
      </w:r>
      <w:r>
        <w:t xml:space="preserve">· Pharmacokinetics and Tolerability of a Single Dose of Semaglutide, a Human Glucagon-Like Peptide-1 Analog, in Subjects With and Without Renal Impairment. PMID 28349386</w:t>
      </w:r>
    </w:p>
    <w:p>
      <w:pPr>
        <w:numPr>
          <w:ilvl w:val="0"/>
          <w:numId w:val="1379"/>
        </w:numPr>
        <w:pStyle w:val="Compact"/>
      </w:pPr>
      <w:r>
        <w:t xml:space="preserve">2017 · Aroda VR ·</w:t>
      </w:r>
      <w:r>
        <w:t xml:space="preserve"> </w:t>
      </w:r>
      <w:r>
        <w:rPr>
          <w:iCs/>
          <w:i/>
        </w:rPr>
        <w:t xml:space="preserve">Lancet Diabetes Endocrinol</w:t>
      </w:r>
      <w:r>
        <w:t xml:space="preserve"> </w:t>
      </w:r>
      <w:r>
        <w:t xml:space="preserve">· Efficacy and safety of once-weekly semaglutide versus once-daily insulin glargine as add-on to metformin (with or without sulfonylureas) in insulin-naive patients with type 2 diabetes (SUSTAIN 4): a randomised, open-label, parallel-group, multicentre, multinational, phase 3a trial. PMID 28344112</w:t>
      </w:r>
    </w:p>
    <w:p>
      <w:pPr>
        <w:numPr>
          <w:ilvl w:val="0"/>
          <w:numId w:val="1379"/>
        </w:numPr>
        <w:pStyle w:val="Compact"/>
      </w:pPr>
      <w:r>
        <w:t xml:space="preserve">2017 · Ebell MH ·</w:t>
      </w:r>
      <w:r>
        <w:t xml:space="preserve"> </w:t>
      </w:r>
      <w:r>
        <w:rPr>
          <w:iCs/>
          <w:i/>
        </w:rPr>
        <w:t xml:space="preserve">Am Fam Physician</w:t>
      </w:r>
      <w:r>
        <w:t xml:space="preserve"> </w:t>
      </w:r>
      <w:r>
        <w:t xml:space="preserve">· Semaglutide Reduces CV Events in High-Risk Patients with Type 2 Diabetes Mellitus. PMID 28318215</w:t>
      </w:r>
    </w:p>
    <w:p>
      <w:pPr>
        <w:numPr>
          <w:ilvl w:val="0"/>
          <w:numId w:val="1379"/>
        </w:numPr>
        <w:pStyle w:val="Compact"/>
      </w:pPr>
      <w:r>
        <w:t xml:space="preserve">2017 · Blundell J ·</w:t>
      </w:r>
      <w:r>
        <w:t xml:space="preserve"> </w:t>
      </w:r>
      <w:r>
        <w:rPr>
          <w:iCs/>
          <w:i/>
        </w:rPr>
        <w:t xml:space="preserve">Diabetes Obes Metab</w:t>
      </w:r>
      <w:r>
        <w:t xml:space="preserve"> </w:t>
      </w:r>
      <w:r>
        <w:t xml:space="preserve">· Effects of once-weekly semaglutide on appetite, energy intake, control of eating, food preference and body weight in subjects with obesity. PMID 28266779</w:t>
      </w:r>
    </w:p>
    <w:p>
      <w:pPr>
        <w:numPr>
          <w:ilvl w:val="0"/>
          <w:numId w:val="1379"/>
        </w:numPr>
        <w:pStyle w:val="Compact"/>
      </w:pPr>
      <w:r>
        <w:t xml:space="preserve">2017 · Sorli C ·</w:t>
      </w:r>
      <w:r>
        <w:t xml:space="preserve"> </w:t>
      </w:r>
      <w:r>
        <w:rPr>
          <w:iCs/>
          <w:i/>
        </w:rPr>
        <w:t xml:space="preserve">Lancet Diabetes Endocrinol</w:t>
      </w:r>
      <w:r>
        <w:t xml:space="preserve"> </w:t>
      </w:r>
      <w:r>
        <w:t xml:space="preserve">· Efficacy and safety of once-weekly semaglutide monotherapy versus placebo in patients with type 2 diabetes (SUSTAIN 1): a double-blind, randomised, placebo-controlled, parallel-group, multinational, multicentre phase 3a trial. PMID 28110911</w:t>
      </w:r>
    </w:p>
    <w:p>
      <w:pPr>
        <w:numPr>
          <w:ilvl w:val="0"/>
          <w:numId w:val="1379"/>
        </w:numPr>
        <w:pStyle w:val="Compact"/>
      </w:pPr>
      <w:r>
        <w:t xml:space="preserve">2016 · Marso SP ·</w:t>
      </w:r>
      <w:r>
        <w:t xml:space="preserve"> </w:t>
      </w:r>
      <w:r>
        <w:rPr>
          <w:iCs/>
          <w:i/>
        </w:rPr>
        <w:t xml:space="preserve">N Engl J Med</w:t>
      </w:r>
      <w:r>
        <w:t xml:space="preserve"> </w:t>
      </w:r>
      <w:r>
        <w:t xml:space="preserve">· Semaglutide and Cardiovascular Outcomes in Patients with Type 2 Diabetes. PMID 27633186</w:t>
      </w:r>
    </w:p>
    <w:p>
      <w:pPr>
        <w:numPr>
          <w:ilvl w:val="0"/>
          <w:numId w:val="1379"/>
        </w:numPr>
        <w:pStyle w:val="Compact"/>
      </w:pPr>
      <w:r>
        <w:t xml:space="preserve">2016 · Nauck MA ·</w:t>
      </w:r>
      <w:r>
        <w:t xml:space="preserve"> </w:t>
      </w:r>
      <w:r>
        <w:rPr>
          <w:iCs/>
          <w:i/>
        </w:rPr>
        <w:t xml:space="preserve">Diabetes Care</w:t>
      </w:r>
      <w:r>
        <w:t xml:space="preserve"> </w:t>
      </w:r>
      <w:r>
        <w:t xml:space="preserve">· A Phase 2, Randomized, Dose-Finding Study of the Novel Once-Weekly Human GLP-1 Analog, Semaglutide, Compared With Placebo and Open-Label Liraglutide in Patients With Type 2 Diabetes. PMID 26358288</w:t>
      </w:r>
    </w:p>
    <w:bookmarkEnd w:id="1119"/>
    <w:bookmarkStart w:id="1120" w:name="tirzepatide-144"/>
    <w:p>
      <w:pPr>
        <w:pStyle w:val="Heading2"/>
      </w:pPr>
      <w:r>
        <w:t xml:space="preserve">Tirzepatide (144)</w:t>
      </w:r>
    </w:p>
    <w:p>
      <w:pPr>
        <w:numPr>
          <w:ilvl w:val="0"/>
          <w:numId w:val="1380"/>
        </w:numPr>
        <w:pStyle w:val="Compact"/>
      </w:pPr>
      <w:r>
        <w:t xml:space="preserve">2026 · Falcon B ·</w:t>
      </w:r>
      <w:r>
        <w:t xml:space="preserve"> </w:t>
      </w:r>
      <w:r>
        <w:rPr>
          <w:iCs/>
          <w:i/>
        </w:rPr>
        <w:t xml:space="preserve">J Clin Sleep Med</w:t>
      </w:r>
      <w:r>
        <w:t xml:space="preserve"> </w:t>
      </w:r>
      <w:r>
        <w:t xml:space="preserve">· Association of tirzepatide with changes in OSA-related measures based on baseline characteristics - post hoc analyses of SURMOUNT-OSA. PMID 42675225</w:t>
      </w:r>
    </w:p>
    <w:p>
      <w:pPr>
        <w:numPr>
          <w:ilvl w:val="0"/>
          <w:numId w:val="1380"/>
        </w:numPr>
        <w:pStyle w:val="Compact"/>
      </w:pPr>
      <w:r>
        <w:t xml:space="preserve">2026 · Sattar N ·</w:t>
      </w:r>
      <w:r>
        <w:t xml:space="preserve"> </w:t>
      </w:r>
      <w:r>
        <w:rPr>
          <w:iCs/>
          <w:i/>
        </w:rPr>
        <w:t xml:space="preserve">PLoS One</w:t>
      </w:r>
      <w:r>
        <w:t xml:space="preserve"> </w:t>
      </w:r>
      <w:r>
        <w:t xml:space="preserve">· Achieving the triple endpoint of body weight reduction thresholds, systolic blood pressure reduction ≥5 mmHg and non-HDL cholesterol &lt;130 mg/dL with tirzepatide in people with obesity: A post hoc analysis from the SURMOUNT trials. PMID 42594122</w:t>
      </w:r>
    </w:p>
    <w:p>
      <w:pPr>
        <w:numPr>
          <w:ilvl w:val="0"/>
          <w:numId w:val="1380"/>
        </w:numPr>
        <w:pStyle w:val="Compact"/>
      </w:pPr>
      <w:r>
        <w:t xml:space="preserve">2026 · Cusi K ·</w:t>
      </w:r>
      <w:r>
        <w:t xml:space="preserve"> </w:t>
      </w:r>
      <w:r>
        <w:rPr>
          <w:iCs/>
          <w:i/>
        </w:rPr>
        <w:t xml:space="preserve">Liver Int</w:t>
      </w:r>
      <w:r>
        <w:t xml:space="preserve"> </w:t>
      </w:r>
      <w:r>
        <w:t xml:space="preserve">· Liver Fat Changes in Patients With Type 2 Diabetes by Presence of Genetic Hepatic Steatosis: A Post Hoc Analysis of SURPASS-3 MRI. PMID 42576670</w:t>
      </w:r>
    </w:p>
    <w:p>
      <w:pPr>
        <w:numPr>
          <w:ilvl w:val="0"/>
          <w:numId w:val="1380"/>
        </w:numPr>
        <w:pStyle w:val="Compact"/>
      </w:pPr>
      <w:r>
        <w:t xml:space="preserve">2026 · Kitamoto T ·</w:t>
      </w:r>
      <w:r>
        <w:t xml:space="preserve"> </w:t>
      </w:r>
      <w:r>
        <w:rPr>
          <w:iCs/>
          <w:i/>
        </w:rPr>
        <w:t xml:space="preserve">Curr Med Res Opin</w:t>
      </w:r>
      <w:r>
        <w:t xml:space="preserve"> </w:t>
      </w:r>
      <w:r>
        <w:t xml:space="preserve">· Tirzepatide compared with semaglutide in obesity disease: a subpopulation analysis applying Japan Society for the Study of Obesity criteria in the global SURMOUNT-5 trial. PMID 42434924</w:t>
      </w:r>
    </w:p>
    <w:p>
      <w:pPr>
        <w:numPr>
          <w:ilvl w:val="0"/>
          <w:numId w:val="1380"/>
        </w:numPr>
        <w:pStyle w:val="Compact"/>
      </w:pPr>
      <w:r>
        <w:t xml:space="preserve">2026 · Kanu C ·</w:t>
      </w:r>
      <w:r>
        <w:t xml:space="preserve"> </w:t>
      </w:r>
      <w:r>
        <w:rPr>
          <w:iCs/>
          <w:i/>
        </w:rPr>
        <w:t xml:space="preserve">Sleep</w:t>
      </w:r>
      <w:r>
        <w:t xml:space="preserve"> </w:t>
      </w:r>
      <w:r>
        <w:t xml:space="preserve">· Changes in patient-reported outcomes and objective assessments based on baseline symptom severity in SURMOUNT-OSA: post-hoc analyses. PMID 42412744</w:t>
      </w:r>
    </w:p>
    <w:p>
      <w:pPr>
        <w:numPr>
          <w:ilvl w:val="0"/>
          <w:numId w:val="1380"/>
        </w:numPr>
        <w:pStyle w:val="Compact"/>
      </w:pPr>
      <w:r>
        <w:t xml:space="preserve">2026 · Kokkinos A ·</w:t>
      </w:r>
      <w:r>
        <w:t xml:space="preserve"> </w:t>
      </w:r>
      <w:r>
        <w:rPr>
          <w:iCs/>
          <w:i/>
        </w:rPr>
        <w:t xml:space="preserve">Diabetes Obes Metab</w:t>
      </w:r>
      <w:r>
        <w:t xml:space="preserve"> </w:t>
      </w:r>
      <w:r>
        <w:t xml:space="preserve">· Tirzepatide Efficacy and Tolerability According to Early Weight Response: A Post Hoc Analysis of the SURMOUNT-1 and SURMOUNT-2 Trials. PMID 42348366</w:t>
      </w:r>
    </w:p>
    <w:p>
      <w:pPr>
        <w:numPr>
          <w:ilvl w:val="0"/>
          <w:numId w:val="1380"/>
        </w:numPr>
        <w:pStyle w:val="Compact"/>
      </w:pPr>
      <w:r>
        <w:t xml:space="preserve">2026 · Yin Y ·</w:t>
      </w:r>
      <w:r>
        <w:t xml:space="preserve"> </w:t>
      </w:r>
      <w:r>
        <w:rPr>
          <w:iCs/>
          <w:i/>
        </w:rPr>
        <w:t xml:space="preserve">Med</w:t>
      </w:r>
      <w:r>
        <w:t xml:space="preserve"> </w:t>
      </w:r>
      <w:r>
        <w:t xml:space="preserve">· Tirzepatide monotherapy in Chinese patients with early type 2 diabetes: A randomized, double-blind, placebo-controlled phase 3 trial (SURPASS-CN-MONO). PMID 42296968</w:t>
      </w:r>
    </w:p>
    <w:p>
      <w:pPr>
        <w:numPr>
          <w:ilvl w:val="0"/>
          <w:numId w:val="1380"/>
        </w:numPr>
        <w:pStyle w:val="Compact"/>
      </w:pPr>
      <w:r>
        <w:t xml:space="preserve">2026 · Node K ·</w:t>
      </w:r>
      <w:r>
        <w:t xml:space="preserve"> </w:t>
      </w:r>
      <w:r>
        <w:rPr>
          <w:iCs/>
          <w:i/>
        </w:rPr>
        <w:t xml:space="preserve">Curr Med Res Opin</w:t>
      </w:r>
      <w:r>
        <w:t xml:space="preserve"> </w:t>
      </w:r>
      <w:r>
        <w:t xml:space="preserve">· Post hoc analysis of SURMOUNT-J: tirzepatide versus placebo and predicted 10-year cardiovascular disease risk in Japanese adults with obesity disease. PMID 42287159</w:t>
      </w:r>
    </w:p>
    <w:p>
      <w:pPr>
        <w:numPr>
          <w:ilvl w:val="0"/>
          <w:numId w:val="1380"/>
        </w:numPr>
        <w:pStyle w:val="Compact"/>
      </w:pPr>
      <w:r>
        <w:t xml:space="preserve">2026 · Pratley RE ·</w:t>
      </w:r>
      <w:r>
        <w:t xml:space="preserve"> </w:t>
      </w:r>
      <w:r>
        <w:rPr>
          <w:iCs/>
          <w:i/>
        </w:rPr>
        <w:t xml:space="preserve">Nat Med</w:t>
      </w:r>
      <w:r>
        <w:t xml:space="preserve"> </w:t>
      </w:r>
      <w:r>
        <w:t xml:space="preserve">· Apitegromab for lean mass preservation during tirzepatide-induced weight loss: a randomized, double-blind, placebo-controlled phase 2 trial. PMID 42260100</w:t>
      </w:r>
    </w:p>
    <w:p>
      <w:pPr>
        <w:numPr>
          <w:ilvl w:val="0"/>
          <w:numId w:val="1380"/>
        </w:numPr>
        <w:pStyle w:val="Compact"/>
      </w:pPr>
      <w:r>
        <w:t xml:space="preserve">2026 · Yang Z ·</w:t>
      </w:r>
      <w:r>
        <w:t xml:space="preserve"> </w:t>
      </w:r>
      <w:r>
        <w:rPr>
          <w:iCs/>
          <w:i/>
        </w:rPr>
        <w:t xml:space="preserve">Diabetes Obes Metab</w:t>
      </w:r>
      <w:r>
        <w:t xml:space="preserve"> </w:t>
      </w:r>
      <w:r>
        <w:t xml:space="preserve">· Short-Term Combined Treatment With Tirzepatide and Metformin for Overweight/Obese Chinese Women With Polycystic Ovary Syndrome: A Prospective, Open-Label, Randomised Controlled Trial. PMID 42236268</w:t>
      </w:r>
    </w:p>
    <w:p>
      <w:pPr>
        <w:numPr>
          <w:ilvl w:val="0"/>
          <w:numId w:val="1380"/>
        </w:numPr>
        <w:pStyle w:val="Compact"/>
      </w:pPr>
      <w:r>
        <w:t xml:space="preserve">2026 · Sattar N ·</w:t>
      </w:r>
      <w:r>
        <w:t xml:space="preserve"> </w:t>
      </w:r>
      <w:r>
        <w:rPr>
          <w:iCs/>
          <w:i/>
        </w:rPr>
        <w:t xml:space="preserve">J Am Coll Cardiol</w:t>
      </w:r>
      <w:r>
        <w:t xml:space="preserve"> </w:t>
      </w:r>
      <w:r>
        <w:t xml:space="preserve">· Comprehensive Long-Term Changes in Cardiovascular Risk Biomarkers With Tirzepatide: A SURMOUNT-1 Post Hoc Analysis. PMID 42233927</w:t>
      </w:r>
    </w:p>
    <w:p>
      <w:pPr>
        <w:numPr>
          <w:ilvl w:val="0"/>
          <w:numId w:val="1380"/>
        </w:numPr>
        <w:pStyle w:val="Compact"/>
      </w:pPr>
      <w:r>
        <w:t xml:space="preserve">2026 · Del Prato S ·</w:t>
      </w:r>
      <w:r>
        <w:t xml:space="preserve"> </w:t>
      </w:r>
      <w:r>
        <w:rPr>
          <w:iCs/>
          <w:i/>
        </w:rPr>
        <w:t xml:space="preserve">Ann Intern Med</w:t>
      </w:r>
      <w:r>
        <w:t xml:space="preserve"> </w:t>
      </w:r>
      <w:r>
        <w:t xml:space="preserve">· Tirzepatide Versus Intensified Conventional Care After 2 Years of Treatment in Early Type 2 Diabetes : A Randomized Clinical Trial. PMID 42184419</w:t>
      </w:r>
    </w:p>
    <w:p>
      <w:pPr>
        <w:numPr>
          <w:ilvl w:val="0"/>
          <w:numId w:val="1380"/>
        </w:numPr>
        <w:pStyle w:val="Compact"/>
      </w:pPr>
      <w:r>
        <w:t xml:space="preserve">2026 · Lebwohl M ·</w:t>
      </w:r>
      <w:r>
        <w:t xml:space="preserve"> </w:t>
      </w:r>
      <w:r>
        <w:rPr>
          <w:iCs/>
          <w:i/>
        </w:rPr>
        <w:t xml:space="preserve">JAMA Dermatol</w:t>
      </w:r>
      <w:r>
        <w:t xml:space="preserve"> </w:t>
      </w:r>
      <w:r>
        <w:t xml:space="preserve">· Ixekizumab With or Without Tirzepatide in Adults With Psoriasis and Overweight or Obesity: A Phase 3b Randomized Clinical Trial. PMID 42139049</w:t>
      </w:r>
    </w:p>
    <w:p>
      <w:pPr>
        <w:numPr>
          <w:ilvl w:val="0"/>
          <w:numId w:val="1380"/>
        </w:numPr>
        <w:pStyle w:val="Compact"/>
      </w:pPr>
      <w:r>
        <w:t xml:space="preserve">2026 · Aronne LJ ·</w:t>
      </w:r>
      <w:r>
        <w:t xml:space="preserve"> </w:t>
      </w:r>
      <w:r>
        <w:rPr>
          <w:iCs/>
          <w:i/>
        </w:rPr>
        <w:t xml:space="preserve">Nat Med</w:t>
      </w:r>
      <w:r>
        <w:t xml:space="preserve"> </w:t>
      </w:r>
      <w:r>
        <w:t xml:space="preserve">· Orforglipron for maintenance of body weight reduction: the double-blind, randomized phase 3b ATTAIN-MAINTAIN trial. PMID 42120723</w:t>
      </w:r>
    </w:p>
    <w:p>
      <w:pPr>
        <w:numPr>
          <w:ilvl w:val="0"/>
          <w:numId w:val="1380"/>
        </w:numPr>
        <w:pStyle w:val="Compact"/>
      </w:pPr>
      <w:r>
        <w:t xml:space="preserve">2026 · Horn DB ·</w:t>
      </w:r>
      <w:r>
        <w:t xml:space="preserve"> </w:t>
      </w:r>
      <w:r>
        <w:rPr>
          <w:iCs/>
          <w:i/>
        </w:rPr>
        <w:t xml:space="preserve">Lancet</w:t>
      </w:r>
      <w:r>
        <w:t xml:space="preserve"> </w:t>
      </w:r>
      <w:r>
        <w:t xml:space="preserve">· Tirzepatide for maintenance of bodyweight reduction in people with obesity in the USA (SURMOUNT-MAINTAIN): a multicentre, double-blind, randomised, placebo-controlled trial. PMID 42119587</w:t>
      </w:r>
    </w:p>
    <w:p>
      <w:pPr>
        <w:numPr>
          <w:ilvl w:val="0"/>
          <w:numId w:val="1380"/>
        </w:numPr>
        <w:pStyle w:val="Compact"/>
      </w:pPr>
      <w:r>
        <w:t xml:space="preserve">2026 · Zoungas S ·</w:t>
      </w:r>
      <w:r>
        <w:t xml:space="preserve"> </w:t>
      </w:r>
      <w:r>
        <w:rPr>
          <w:iCs/>
          <w:i/>
        </w:rPr>
        <w:t xml:space="preserve">Lancet Diabetes Endocrinol</w:t>
      </w:r>
      <w:r>
        <w:t xml:space="preserve"> </w:t>
      </w:r>
      <w:r>
        <w:t xml:space="preserve">· A comparison of the effects of tirzepatide and dulaglutide on major kidney events in people with type 2 diabetes: pre-specified exploratory analyses of the SURPASS-CVOT trial. PMID 42114520</w:t>
      </w:r>
    </w:p>
    <w:p>
      <w:pPr>
        <w:numPr>
          <w:ilvl w:val="0"/>
          <w:numId w:val="1380"/>
        </w:numPr>
        <w:pStyle w:val="Compact"/>
      </w:pPr>
      <w:r>
        <w:t xml:space="preserve">2026 · Masuzaki H ·</w:t>
      </w:r>
      <w:r>
        <w:t xml:space="preserve"> </w:t>
      </w:r>
      <w:r>
        <w:rPr>
          <w:iCs/>
          <w:i/>
        </w:rPr>
        <w:t xml:space="preserve">Diabetes Obes Metab</w:t>
      </w:r>
      <w:r>
        <w:t xml:space="preserve"> </w:t>
      </w:r>
      <w:r>
        <w:t xml:space="preserve">· Effect of Tirzepatide on Health-Related Quality of Life in Japanese Patients With Obesity Disease: Patient-Reported Outcomes From the SURMOUNT-J Study. PMID 42108080</w:t>
      </w:r>
    </w:p>
    <w:p>
      <w:pPr>
        <w:numPr>
          <w:ilvl w:val="0"/>
          <w:numId w:val="1380"/>
        </w:numPr>
        <w:pStyle w:val="Compact"/>
      </w:pPr>
      <w:r>
        <w:t xml:space="preserve">2026 · Sattar N ·</w:t>
      </w:r>
      <w:r>
        <w:t xml:space="preserve"> </w:t>
      </w:r>
      <w:r>
        <w:rPr>
          <w:iCs/>
          <w:i/>
        </w:rPr>
        <w:t xml:space="preserve">J Endocrinol Invest</w:t>
      </w:r>
      <w:r>
        <w:t xml:space="preserve"> </w:t>
      </w:r>
      <w:r>
        <w:t xml:space="preserve">· Shifts in waist-to-height ratio categories within tirzepatide groups: a post-hoc analysis of SURMOUNT-1. PMID 42082865</w:t>
      </w:r>
    </w:p>
    <w:p>
      <w:pPr>
        <w:numPr>
          <w:ilvl w:val="0"/>
          <w:numId w:val="1380"/>
        </w:numPr>
        <w:pStyle w:val="Compact"/>
      </w:pPr>
      <w:r>
        <w:t xml:space="preserve">2026 · Johansson E ·</w:t>
      </w:r>
      <w:r>
        <w:t xml:space="preserve"> </w:t>
      </w:r>
      <w:r>
        <w:rPr>
          <w:iCs/>
          <w:i/>
        </w:rPr>
        <w:t xml:space="preserve">J Med Econ</w:t>
      </w:r>
      <w:r>
        <w:t xml:space="preserve"> </w:t>
      </w:r>
      <w:r>
        <w:t xml:space="preserve">· Cost-effectiveness of tirzepatide versus semaglutide for patients with obesity or overweight in the US: evidence from the SURMOUNT-5 head-to-head phase-3 trial. PMID 42012820</w:t>
      </w:r>
    </w:p>
    <w:p>
      <w:pPr>
        <w:numPr>
          <w:ilvl w:val="0"/>
          <w:numId w:val="1380"/>
        </w:numPr>
        <w:pStyle w:val="Compact"/>
      </w:pPr>
      <w:r>
        <w:t xml:space="preserve">2026 · Thirugnanam AM ·</w:t>
      </w:r>
      <w:r>
        <w:t xml:space="preserve"> </w:t>
      </w:r>
      <w:r>
        <w:rPr>
          <w:iCs/>
          <w:i/>
        </w:rPr>
        <w:t xml:space="preserve">Cardiovasc Revasc Med</w:t>
      </w:r>
      <w:r>
        <w:t xml:space="preserve"> </w:t>
      </w:r>
      <w:r>
        <w:t xml:space="preserve">· Tirzepatide therapy reduces subclinical leaflet thrombosis and paravalvular leak after transcatheter aortic valve replacement in obese patients: The TAVR-MET trial. PMID 42000295</w:t>
      </w:r>
    </w:p>
    <w:p>
      <w:pPr>
        <w:numPr>
          <w:ilvl w:val="0"/>
          <w:numId w:val="1380"/>
        </w:numPr>
        <w:pStyle w:val="Compact"/>
      </w:pPr>
      <w:r>
        <w:t xml:space="preserve">2026 · Sattar N ·</w:t>
      </w:r>
      <w:r>
        <w:t xml:space="preserve"> </w:t>
      </w:r>
      <w:r>
        <w:rPr>
          <w:iCs/>
          <w:i/>
        </w:rPr>
        <w:t xml:space="preserve">Diabetes Care</w:t>
      </w:r>
      <w:r>
        <w:t xml:space="preserve"> </w:t>
      </w:r>
      <w:r>
        <w:t xml:space="preserve">· Estimating the True MACE Benefits From Tirzepatide in SURPASS-CVOT Using an Imputed Placebo Analysis of REWIND. PMID 41940793</w:t>
      </w:r>
    </w:p>
    <w:p>
      <w:pPr>
        <w:numPr>
          <w:ilvl w:val="0"/>
          <w:numId w:val="1380"/>
        </w:numPr>
        <w:pStyle w:val="Compact"/>
      </w:pPr>
      <w:r>
        <w:t xml:space="preserve">2026 · Violante-Ortiz R ·</w:t>
      </w:r>
      <w:r>
        <w:t xml:space="preserve"> </w:t>
      </w:r>
      <w:r>
        <w:rPr>
          <w:iCs/>
          <w:i/>
        </w:rPr>
        <w:t xml:space="preserve">BMJ Open Diabetes Res Care</w:t>
      </w:r>
      <w:r>
        <w:t xml:space="preserve"> </w:t>
      </w:r>
      <w:r>
        <w:t xml:space="preserve">· Safety and efficacy of switching from dulaglutide to tirzepatide across clinically relevant baseline characteristics in participants with T2D: subgroup analysis of SURPASS-SWITCH. PMID 41912265</w:t>
      </w:r>
    </w:p>
    <w:p>
      <w:pPr>
        <w:numPr>
          <w:ilvl w:val="0"/>
          <w:numId w:val="1380"/>
        </w:numPr>
        <w:pStyle w:val="Compact"/>
      </w:pPr>
      <w:r>
        <w:t xml:space="preserve">2026 · Nissen SE ·</w:t>
      </w:r>
      <w:r>
        <w:t xml:space="preserve"> </w:t>
      </w:r>
      <w:r>
        <w:rPr>
          <w:iCs/>
          <w:i/>
        </w:rPr>
        <w:t xml:space="preserve">JAMA Cardiol</w:t>
      </w:r>
      <w:r>
        <w:t xml:space="preserve"> </w:t>
      </w:r>
      <w:r>
        <w:t xml:space="preserve">· Cardiorenal Outcomes With Tirzepatide Compared With Dulaglutide in Patients With Diabetes and Cardiovascular Disease: A Post Hoc Analysis of the SURPASS-CVOT Randomized Clinical Trial. PMID 41903177</w:t>
      </w:r>
    </w:p>
    <w:p>
      <w:pPr>
        <w:numPr>
          <w:ilvl w:val="0"/>
          <w:numId w:val="1380"/>
        </w:numPr>
        <w:pStyle w:val="Compact"/>
      </w:pPr>
      <w:r>
        <w:t xml:space="preserve">2026 · Merola JF ·</w:t>
      </w:r>
      <w:r>
        <w:t xml:space="preserve"> </w:t>
      </w:r>
      <w:r>
        <w:rPr>
          <w:iCs/>
          <w:i/>
        </w:rPr>
        <w:t xml:space="preserve">Arthritis Rheumatol</w:t>
      </w:r>
      <w:r>
        <w:t xml:space="preserve"> </w:t>
      </w:r>
      <w:r>
        <w:t xml:space="preserve">· Ixekizumab With Tirzepatide Achieved Greater Disease Control Than Ixekizumab Alone in Adults With Psoriatic Arthritis and Overweight or Obesity: Results From a Randomized Clinical Trial. PMID 41903163</w:t>
      </w:r>
    </w:p>
    <w:p>
      <w:pPr>
        <w:numPr>
          <w:ilvl w:val="0"/>
          <w:numId w:val="1380"/>
        </w:numPr>
        <w:pStyle w:val="Compact"/>
      </w:pPr>
      <w:r>
        <w:t xml:space="preserve">2026 · Yang SI ·</w:t>
      </w:r>
      <w:r>
        <w:t xml:space="preserve"> </w:t>
      </w:r>
      <w:r>
        <w:rPr>
          <w:iCs/>
          <w:i/>
        </w:rPr>
        <w:t xml:space="preserve">Nat Commun</w:t>
      </w:r>
      <w:r>
        <w:t xml:space="preserve"> </w:t>
      </w:r>
      <w:r>
        <w:t xml:space="preserve">· Bispecific GLP-1/GLP-2 agonism in advanced type 2 diabetes: preclinical characterization and a randomized, double-blind, placebo-controlled phase I trial. PMID 41876542</w:t>
      </w:r>
    </w:p>
    <w:p>
      <w:pPr>
        <w:numPr>
          <w:ilvl w:val="0"/>
          <w:numId w:val="1380"/>
        </w:numPr>
        <w:pStyle w:val="Compact"/>
      </w:pPr>
      <w:r>
        <w:t xml:space="preserve">2026 · Aronne LJ ·</w:t>
      </w:r>
      <w:r>
        <w:t xml:space="preserve"> </w:t>
      </w:r>
      <w:r>
        <w:rPr>
          <w:iCs/>
          <w:i/>
        </w:rPr>
        <w:t xml:space="preserve">Am J Med</w:t>
      </w:r>
      <w:r>
        <w:t xml:space="preserve"> </w:t>
      </w:r>
      <w:r>
        <w:t xml:space="preserve">· Relationship of early rapid weight loss to efficacy and safety of tirzepatide and semaglutide for obesity: SURMOUNT-5 post hoc analysis. PMID 41865857</w:t>
      </w:r>
    </w:p>
    <w:p>
      <w:pPr>
        <w:numPr>
          <w:ilvl w:val="0"/>
          <w:numId w:val="1380"/>
        </w:numPr>
        <w:pStyle w:val="Compact"/>
      </w:pPr>
      <w:r>
        <w:t xml:space="preserve">2026 · Zheng Z ·</w:t>
      </w:r>
      <w:r>
        <w:t xml:space="preserve"> </w:t>
      </w:r>
      <w:r>
        <w:rPr>
          <w:iCs/>
          <w:i/>
        </w:rPr>
        <w:t xml:space="preserve">Mol Metab</w:t>
      </w:r>
      <w:r>
        <w:t xml:space="preserve"> </w:t>
      </w:r>
      <w:r>
        <w:t xml:space="preserve">· ARD-101, a gut-restricted TAS2R agonist, reduces hunger in adults and promotes weight loss in DIO mice with DPP-4 inhibition. PMID 41833222</w:t>
      </w:r>
    </w:p>
    <w:p>
      <w:pPr>
        <w:numPr>
          <w:ilvl w:val="0"/>
          <w:numId w:val="1380"/>
        </w:numPr>
        <w:pStyle w:val="Compact"/>
      </w:pPr>
      <w:r>
        <w:t xml:space="preserve">2026 · Scheen A ·</w:t>
      </w:r>
      <w:r>
        <w:t xml:space="preserve"> </w:t>
      </w:r>
      <w:r>
        <w:rPr>
          <w:iCs/>
          <w:i/>
        </w:rPr>
        <w:t xml:space="preserve">Rev Med Liege</w:t>
      </w:r>
      <w:r>
        <w:t xml:space="preserve"> </w:t>
      </w:r>
      <w:r>
        <w:t xml:space="preserve">· [SURPASS CVOT : cardiovascular benefits with tirzepatide versus dulaglutide in type 2 diabetes]. PMID 41815032</w:t>
      </w:r>
    </w:p>
    <w:p>
      <w:pPr>
        <w:numPr>
          <w:ilvl w:val="0"/>
          <w:numId w:val="1380"/>
        </w:numPr>
        <w:pStyle w:val="Compact"/>
      </w:pPr>
      <w:r>
        <w:t xml:space="preserve">2026 · Ishigaki Y ·</w:t>
      </w:r>
      <w:r>
        <w:t xml:space="preserve"> </w:t>
      </w:r>
      <w:r>
        <w:rPr>
          <w:iCs/>
          <w:i/>
        </w:rPr>
        <w:t xml:space="preserve">Obesity (Silver Spring)</w:t>
      </w:r>
      <w:r>
        <w:t xml:space="preserve"> </w:t>
      </w:r>
      <w:r>
        <w:t xml:space="preserve">· Efficacy and Safety of Tirzepatide in Japanese Participants With Obesity: A Subpopulation Analysis of the SURMOUNT-1 Trial. PMID 41612966</w:t>
      </w:r>
    </w:p>
    <w:p>
      <w:pPr>
        <w:numPr>
          <w:ilvl w:val="0"/>
          <w:numId w:val="1380"/>
        </w:numPr>
        <w:pStyle w:val="Compact"/>
      </w:pPr>
      <w:r>
        <w:t xml:space="preserve">2026 · Malhotra A ·</w:t>
      </w:r>
      <w:r>
        <w:t xml:space="preserve"> </w:t>
      </w:r>
      <w:r>
        <w:rPr>
          <w:iCs/>
          <w:i/>
        </w:rPr>
        <w:t xml:space="preserve">Nat Med</w:t>
      </w:r>
      <w:r>
        <w:t xml:space="preserve"> </w:t>
      </w:r>
      <w:r>
        <w:t xml:space="preserve">· Tirzepatide on obstructive sleep apnea-related cardiometabolic risk: secondary outcomes of the SURMOUNT-OSA randomized trial. PMID 41540105</w:t>
      </w:r>
    </w:p>
    <w:p>
      <w:pPr>
        <w:numPr>
          <w:ilvl w:val="0"/>
          <w:numId w:val="1380"/>
        </w:numPr>
        <w:pStyle w:val="Compact"/>
      </w:pPr>
      <w:r>
        <w:t xml:space="preserve">2026 · Wadden TA ·</w:t>
      </w:r>
      <w:r>
        <w:t xml:space="preserve"> </w:t>
      </w:r>
      <w:r>
        <w:rPr>
          <w:iCs/>
          <w:i/>
        </w:rPr>
        <w:t xml:space="preserve">Obesity (Silver Spring)</w:t>
      </w:r>
      <w:r>
        <w:t xml:space="preserve"> </w:t>
      </w:r>
      <w:r>
        <w:t xml:space="preserve">· Psychiatric Safety of Tirzepatide in People With Obesity and No Known Major Psychopathology: A Post Hoc Analysis of SURMOUNT. PMID 41537305</w:t>
      </w:r>
    </w:p>
    <w:p>
      <w:pPr>
        <w:numPr>
          <w:ilvl w:val="0"/>
          <w:numId w:val="1380"/>
        </w:numPr>
        <w:pStyle w:val="Compact"/>
      </w:pPr>
      <w:r>
        <w:t xml:space="preserve">2026 · Neves JS ·</w:t>
      </w:r>
      <w:r>
        <w:t xml:space="preserve"> </w:t>
      </w:r>
      <w:r>
        <w:rPr>
          <w:iCs/>
          <w:i/>
        </w:rPr>
        <w:t xml:space="preserve">Diabetologia</w:t>
      </w:r>
      <w:r>
        <w:t xml:space="preserve"> </w:t>
      </w:r>
      <w:r>
        <w:t xml:space="preserve">· Efficacy of tirzepatide versus semaglutide in achieving therapeutic targets in type 2 diabetes: a post hoc analysis of the SURPASS-2 Trial. PMID 41419618</w:t>
      </w:r>
    </w:p>
    <w:p>
      <w:pPr>
        <w:numPr>
          <w:ilvl w:val="0"/>
          <w:numId w:val="1380"/>
        </w:numPr>
        <w:pStyle w:val="Compact"/>
      </w:pPr>
      <w:r>
        <w:t xml:space="preserve">2026 · Roell W ·</w:t>
      </w:r>
      <w:r>
        <w:t xml:space="preserve"> </w:t>
      </w:r>
      <w:r>
        <w:rPr>
          <w:iCs/>
          <w:i/>
        </w:rPr>
        <w:t xml:space="preserve">Mol Metab</w:t>
      </w:r>
      <w:r>
        <w:t xml:space="preserve"> </w:t>
      </w:r>
      <w:r>
        <w:t xml:space="preserve">· Long-acting GIPR agonist LY3537021 reduces body weight and fasting blood glucose in patients with T2D: Preclinical development and phase 1 randomized ascending dose studies. PMID 41391569</w:t>
      </w:r>
    </w:p>
    <w:p>
      <w:pPr>
        <w:numPr>
          <w:ilvl w:val="0"/>
          <w:numId w:val="1380"/>
        </w:numPr>
        <w:pStyle w:val="Compact"/>
      </w:pPr>
      <w:r>
        <w:t xml:space="preserve">2026 · Yokote K ·</w:t>
      </w:r>
      <w:r>
        <w:t xml:space="preserve"> </w:t>
      </w:r>
      <w:r>
        <w:rPr>
          <w:iCs/>
          <w:i/>
        </w:rPr>
        <w:t xml:space="preserve">Diabetes Obes Metab</w:t>
      </w:r>
      <w:r>
        <w:t xml:space="preserve"> </w:t>
      </w:r>
      <w:r>
        <w:t xml:space="preserve">· Association of baseline characteristics with clinical outcomes of tirzepatide treatment in Japanese patients with obesity disease: A subgroup analysis of the SURMOUNT-J trial. PMID 41290555</w:t>
      </w:r>
    </w:p>
    <w:p>
      <w:pPr>
        <w:numPr>
          <w:ilvl w:val="0"/>
          <w:numId w:val="1380"/>
        </w:numPr>
        <w:pStyle w:val="Compact"/>
      </w:pPr>
      <w:r>
        <w:t xml:space="preserve">2026 · Horn DB ·</w:t>
      </w:r>
      <w:r>
        <w:t xml:space="preserve"> </w:t>
      </w:r>
      <w:r>
        <w:rPr>
          <w:iCs/>
          <w:i/>
        </w:rPr>
        <w:t xml:space="preserve">JAMA Intern Med</w:t>
      </w:r>
      <w:r>
        <w:t xml:space="preserve"> </w:t>
      </w:r>
      <w:r>
        <w:t xml:space="preserve">· Cardiometabolic Parameter Change by Weight Regain on Tirzepatide Withdrawal in Adults With Obesity: A Post Hoc Analysis of the SURMOUNT-4 Trial. PMID 41284285</w:t>
      </w:r>
    </w:p>
    <w:p>
      <w:pPr>
        <w:numPr>
          <w:ilvl w:val="0"/>
          <w:numId w:val="1380"/>
        </w:numPr>
        <w:pStyle w:val="Compact"/>
      </w:pPr>
      <w:r>
        <w:t xml:space="preserve">2026 · Snaith JR ·</w:t>
      </w:r>
      <w:r>
        <w:t xml:space="preserve"> </w:t>
      </w:r>
      <w:r>
        <w:rPr>
          <w:iCs/>
          <w:i/>
        </w:rPr>
        <w:t xml:space="preserve">Diabetes Care</w:t>
      </w:r>
      <w:r>
        <w:t xml:space="preserve"> </w:t>
      </w:r>
      <w:r>
        <w:t xml:space="preserve">· Tirzepatide in Adults With Type 1 Diabetes: A Phase 2 Randomized Placebo-Controlled Clinical Trial. PMID 41264593</w:t>
      </w:r>
    </w:p>
    <w:p>
      <w:pPr>
        <w:numPr>
          <w:ilvl w:val="0"/>
          <w:numId w:val="1380"/>
        </w:numPr>
        <w:pStyle w:val="Compact"/>
      </w:pPr>
      <w:r>
        <w:t xml:space="preserve">2026 · Sattar N ·</w:t>
      </w:r>
      <w:r>
        <w:t xml:space="preserve"> </w:t>
      </w:r>
      <w:r>
        <w:rPr>
          <w:iCs/>
          <w:i/>
        </w:rPr>
        <w:t xml:space="preserve">Ann Rheum Dis</w:t>
      </w:r>
      <w:r>
        <w:t xml:space="preserve"> </w:t>
      </w:r>
      <w:r>
        <w:t xml:space="preserve">· Tirzepatide and change in uric acid and its association with weight reduction: post hoc analyses of the SURMOUNT-1 randomised placebo-controlled trial. PMID 41198460</w:t>
      </w:r>
    </w:p>
    <w:p>
      <w:pPr>
        <w:numPr>
          <w:ilvl w:val="0"/>
          <w:numId w:val="1380"/>
        </w:numPr>
        <w:pStyle w:val="Compact"/>
      </w:pPr>
      <w:r>
        <w:t xml:space="preserve">2026 · Shukla AP ·</w:t>
      </w:r>
      <w:r>
        <w:t xml:space="preserve"> </w:t>
      </w:r>
      <w:r>
        <w:rPr>
          <w:iCs/>
          <w:i/>
        </w:rPr>
        <w:t xml:space="preserve">Diabetes Obes Metab</w:t>
      </w:r>
      <w:r>
        <w:t xml:space="preserve"> </w:t>
      </w:r>
      <w:r>
        <w:t xml:space="preserve">· Improved health-related quality of life with tirzepatide versus semaglutide in adults with obesity or overweight from the SURMOUNT-5 trial. PMID 41187971</w:t>
      </w:r>
    </w:p>
    <w:p>
      <w:pPr>
        <w:numPr>
          <w:ilvl w:val="0"/>
          <w:numId w:val="1380"/>
        </w:numPr>
        <w:pStyle w:val="Compact"/>
      </w:pPr>
      <w:r>
        <w:t xml:space="preserve">2026 · Li X ·</w:t>
      </w:r>
      <w:r>
        <w:t xml:space="preserve"> </w:t>
      </w:r>
      <w:r>
        <w:rPr>
          <w:iCs/>
          <w:i/>
        </w:rPr>
        <w:t xml:space="preserve">Obesity (Silver Spring)</w:t>
      </w:r>
      <w:r>
        <w:t xml:space="preserve"> </w:t>
      </w:r>
      <w:r>
        <w:t xml:space="preserve">· People With Lowest Physical Functioning Scores Showed Greatest Improvement After Tirzepatide Treatment. PMID 41187013</w:t>
      </w:r>
    </w:p>
    <w:p>
      <w:pPr>
        <w:numPr>
          <w:ilvl w:val="0"/>
          <w:numId w:val="1380"/>
        </w:numPr>
        <w:pStyle w:val="Compact"/>
      </w:pPr>
      <w:r>
        <w:t xml:space="preserve">2025 · Nicholls SJ ·</w:t>
      </w:r>
      <w:r>
        <w:t xml:space="preserve"> </w:t>
      </w:r>
      <w:r>
        <w:rPr>
          <w:iCs/>
          <w:i/>
        </w:rPr>
        <w:t xml:space="preserve">N Engl J Med</w:t>
      </w:r>
      <w:r>
        <w:t xml:space="preserve"> </w:t>
      </w:r>
      <w:r>
        <w:t xml:space="preserve">· Cardiovascular Outcomes with Tirzepatide versus Dulaglutide in Type 2 Diabetes. PMID 41406444</w:t>
      </w:r>
    </w:p>
    <w:p>
      <w:pPr>
        <w:numPr>
          <w:ilvl w:val="0"/>
          <w:numId w:val="1380"/>
        </w:numPr>
        <w:pStyle w:val="Compact"/>
      </w:pPr>
      <w:r>
        <w:t xml:space="preserve">2025 · Guo L ·</w:t>
      </w:r>
      <w:r>
        <w:t xml:space="preserve"> </w:t>
      </w:r>
      <w:r>
        <w:rPr>
          <w:iCs/>
          <w:i/>
        </w:rPr>
        <w:t xml:space="preserve">Lancet Diabetes Endocrinol</w:t>
      </w:r>
      <w:r>
        <w:t xml:space="preserve"> </w:t>
      </w:r>
      <w:r>
        <w:t xml:space="preserve">· Efficacy and safety of tirzepatide added to basal insulin in patients with type 2 diabetes in China (SURPASS-CN-INS): a double-blind, multicentre, randomised, placebo-controlled, phase 3 trial. PMID 41167231</w:t>
      </w:r>
    </w:p>
    <w:p>
      <w:pPr>
        <w:numPr>
          <w:ilvl w:val="0"/>
          <w:numId w:val="1380"/>
        </w:numPr>
        <w:pStyle w:val="Compact"/>
      </w:pPr>
      <w:r>
        <w:t xml:space="preserve">2025 · Malhotra A ·</w:t>
      </w:r>
      <w:r>
        <w:t xml:space="preserve"> </w:t>
      </w:r>
      <w:r>
        <w:rPr>
          <w:iCs/>
          <w:i/>
        </w:rPr>
        <w:t xml:space="preserve">Sleep Med</w:t>
      </w:r>
      <w:r>
        <w:t xml:space="preserve"> </w:t>
      </w:r>
      <w:r>
        <w:t xml:space="preserve">· Tirzepatide for sleep-disordered breathing in SURMOUNT-OSA: Time course and association with body weight. PMID 41135142</w:t>
      </w:r>
    </w:p>
    <w:p>
      <w:pPr>
        <w:numPr>
          <w:ilvl w:val="0"/>
          <w:numId w:val="1380"/>
        </w:numPr>
        <w:pStyle w:val="Compact"/>
      </w:pPr>
      <w:r>
        <w:t xml:space="preserve">2025 · Caussy C ·</w:t>
      </w:r>
      <w:r>
        <w:t xml:space="preserve"> </w:t>
      </w:r>
      <w:r>
        <w:rPr>
          <w:iCs/>
          <w:i/>
        </w:rPr>
        <w:t xml:space="preserve">Diabetes Care</w:t>
      </w:r>
      <w:r>
        <w:t xml:space="preserve"> </w:t>
      </w:r>
      <w:r>
        <w:t xml:space="preserve">· Relationship Between Metabolic and Histological Responses in People With Metabolic Dysfunction- Associated Steatohepatitis With and Without Type 2 Diabetes: Participant-Level Exploratory Analysis of the SYNERGY-NASH Trial With Tirzepatide. PMID 41066427</w:t>
      </w:r>
    </w:p>
    <w:p>
      <w:pPr>
        <w:numPr>
          <w:ilvl w:val="0"/>
          <w:numId w:val="1380"/>
        </w:numPr>
        <w:pStyle w:val="Compact"/>
      </w:pPr>
      <w:r>
        <w:t xml:space="preserve">2025 · Hankosky ER ·</w:t>
      </w:r>
      <w:r>
        <w:t xml:space="preserve"> </w:t>
      </w:r>
      <w:r>
        <w:rPr>
          <w:iCs/>
          <w:i/>
        </w:rPr>
        <w:t xml:space="preserve">Diabetes Obes Metab</w:t>
      </w:r>
      <w:r>
        <w:t xml:space="preserve"> </w:t>
      </w:r>
      <w:r>
        <w:t xml:space="preserve">· Tirzepatide and the 10-year predicted risk of cardiovascular disease and type 2 diabetes in adults with obesity and prediabetes: A post hoc analysis from the three-year SURMOUNT-1 trial. PMID 41017451</w:t>
      </w:r>
    </w:p>
    <w:p>
      <w:pPr>
        <w:numPr>
          <w:ilvl w:val="0"/>
          <w:numId w:val="1380"/>
        </w:numPr>
        <w:pStyle w:val="Compact"/>
      </w:pPr>
      <w:r>
        <w:t xml:space="preserve">2025 · Hannon TS ·</w:t>
      </w:r>
      <w:r>
        <w:t xml:space="preserve"> </w:t>
      </w:r>
      <w:r>
        <w:rPr>
          <w:iCs/>
          <w:i/>
        </w:rPr>
        <w:t xml:space="preserve">Lancet</w:t>
      </w:r>
      <w:r>
        <w:t xml:space="preserve"> </w:t>
      </w:r>
      <w:r>
        <w:t xml:space="preserve">· Efficacy and safety of tirzepatide in children and adolescents with type 2 diabetes (SURPASS-PEDS): a randomised, double-blind, placebo-controlled, phase 3 trial. PMID 40975112</w:t>
      </w:r>
    </w:p>
    <w:p>
      <w:pPr>
        <w:numPr>
          <w:ilvl w:val="0"/>
          <w:numId w:val="1380"/>
        </w:numPr>
        <w:pStyle w:val="Compact"/>
      </w:pPr>
      <w:r>
        <w:t xml:space="preserve">2025 · Pieber TR ·</w:t>
      </w:r>
      <w:r>
        <w:t xml:space="preserve"> </w:t>
      </w:r>
      <w:r>
        <w:rPr>
          <w:iCs/>
          <w:i/>
        </w:rPr>
        <w:t xml:space="preserve">Front Endocrinol (Lausanne)</w:t>
      </w:r>
      <w:r>
        <w:t xml:space="preserve"> </w:t>
      </w:r>
      <w:r>
        <w:t xml:space="preserve">· Counterregulatory response to hypoglycemia during a hypoglycemic clamp in people with type 2 diabetes treated with tirzepatide. PMID 40964167</w:t>
      </w:r>
    </w:p>
    <w:p>
      <w:pPr>
        <w:numPr>
          <w:ilvl w:val="0"/>
          <w:numId w:val="1380"/>
        </w:numPr>
        <w:pStyle w:val="Compact"/>
      </w:pPr>
      <w:r>
        <w:t xml:space="preserve">2025 · Lee BW ·</w:t>
      </w:r>
      <w:r>
        <w:t xml:space="preserve"> </w:t>
      </w:r>
      <w:r>
        <w:rPr>
          <w:iCs/>
          <w:i/>
        </w:rPr>
        <w:t xml:space="preserve">Diabetes Obes Metab</w:t>
      </w:r>
      <w:r>
        <w:t xml:space="preserve"> </w:t>
      </w:r>
      <w:r>
        <w:t xml:space="preserve">· Efficacy and safety in tirzepatide-treated Korean adults with type 2 diabetes-A post hoc analysis of SURPASS-AP-combo and SURPASS-3. PMID 40954943</w:t>
      </w:r>
    </w:p>
    <w:p>
      <w:pPr>
        <w:numPr>
          <w:ilvl w:val="0"/>
          <w:numId w:val="1380"/>
        </w:numPr>
        <w:pStyle w:val="Compact"/>
      </w:pPr>
      <w:r>
        <w:t xml:space="preserve">2025 · Guan H ·</w:t>
      </w:r>
      <w:r>
        <w:t xml:space="preserve"> </w:t>
      </w:r>
      <w:r>
        <w:rPr>
          <w:iCs/>
          <w:i/>
        </w:rPr>
        <w:t xml:space="preserve">Diabetes Obes Metab</w:t>
      </w:r>
      <w:r>
        <w:t xml:space="preserve"> </w:t>
      </w:r>
      <w:r>
        <w:t xml:space="preserve">· Long-term efficacy and safety of tirzepatide in participants with type 2 diabetes with inadequate glycaemic control on metformin and/or sulfonylurea: Post-hoc analysis of SURPASS-4. PMID 40926359</w:t>
      </w:r>
    </w:p>
    <w:p>
      <w:pPr>
        <w:numPr>
          <w:ilvl w:val="0"/>
          <w:numId w:val="1380"/>
        </w:numPr>
        <w:pStyle w:val="Compact"/>
      </w:pPr>
      <w:r>
        <w:t xml:space="preserve">2025 · Gibble TH ·</w:t>
      </w:r>
      <w:r>
        <w:t xml:space="preserve"> </w:t>
      </w:r>
      <w:r>
        <w:rPr>
          <w:iCs/>
          <w:i/>
        </w:rPr>
        <w:t xml:space="preserve">Obesity (Silver Spring)</w:t>
      </w:r>
      <w:r>
        <w:t xml:space="preserve"> </w:t>
      </w:r>
      <w:r>
        <w:t xml:space="preserve">· Tirzepatide Associated With Improved Health-Related Quality of Life in Adults With Obesity or Overweight in SURMOUNT-4. PMID 40903801</w:t>
      </w:r>
    </w:p>
    <w:p>
      <w:pPr>
        <w:numPr>
          <w:ilvl w:val="0"/>
          <w:numId w:val="1380"/>
        </w:numPr>
        <w:pStyle w:val="Compact"/>
      </w:pPr>
      <w:r>
        <w:t xml:space="preserve">2025 · Packer M ·</w:t>
      </w:r>
      <w:r>
        <w:t xml:space="preserve"> </w:t>
      </w:r>
      <w:r>
        <w:rPr>
          <w:iCs/>
          <w:i/>
        </w:rPr>
        <w:t xml:space="preserve">J Am Coll Cardiol</w:t>
      </w:r>
      <w:r>
        <w:t xml:space="preserve"> </w:t>
      </w:r>
      <w:r>
        <w:t xml:space="preserve">· Influence of Type 2 Diabetes on the Effects of Tirzepatide in Patients With Heart Failure and a Preserved Ejection Fraction With Obesity: A Prespecified Stratification-Based Analysis. PMID 40903131</w:t>
      </w:r>
    </w:p>
    <w:p>
      <w:pPr>
        <w:numPr>
          <w:ilvl w:val="0"/>
          <w:numId w:val="1380"/>
        </w:numPr>
        <w:pStyle w:val="Compact"/>
      </w:pPr>
      <w:r>
        <w:t xml:space="preserve">2025 · Bhatnagar P ·</w:t>
      </w:r>
      <w:r>
        <w:t xml:space="preserve"> </w:t>
      </w:r>
      <w:r>
        <w:rPr>
          <w:iCs/>
          <w:i/>
        </w:rPr>
        <w:t xml:space="preserve">Nat Med</w:t>
      </w:r>
      <w:r>
        <w:t xml:space="preserve"> </w:t>
      </w:r>
      <w:r>
        <w:t xml:space="preserve">· Tirzepatide leads to weight reduction in people with obesity due to MC4R deficiency. PMID 40858971</w:t>
      </w:r>
    </w:p>
    <w:p>
      <w:pPr>
        <w:numPr>
          <w:ilvl w:val="0"/>
          <w:numId w:val="1380"/>
        </w:numPr>
        <w:pStyle w:val="Compact"/>
      </w:pPr>
      <w:r>
        <w:t xml:space="preserve">2025 · Schiavo L ·</w:t>
      </w:r>
      <w:r>
        <w:t xml:space="preserve"> </w:t>
      </w:r>
      <w:r>
        <w:rPr>
          <w:iCs/>
          <w:i/>
        </w:rPr>
        <w:t xml:space="preserve">Nutrients</w:t>
      </w:r>
      <w:r>
        <w:t xml:space="preserve"> </w:t>
      </w:r>
      <w:r>
        <w:t xml:space="preserve">· Beyond Weight Loss: Comparative Effects of Tirzepatide Plus Low-Energy Ketogenic Versus Low-Calorie Diet on Hepatic Steatosis and Stiffness in MASLD. PMID 40805994</w:t>
      </w:r>
    </w:p>
    <w:p>
      <w:pPr>
        <w:numPr>
          <w:ilvl w:val="0"/>
          <w:numId w:val="1380"/>
        </w:numPr>
        <w:pStyle w:val="Compact"/>
      </w:pPr>
      <w:r>
        <w:t xml:space="preserve">2025 · Kanu C ·</w:t>
      </w:r>
      <w:r>
        <w:t xml:space="preserve"> </w:t>
      </w:r>
      <w:r>
        <w:rPr>
          <w:iCs/>
          <w:i/>
        </w:rPr>
        <w:t xml:space="preserve">Sleep Med</w:t>
      </w:r>
      <w:r>
        <w:t xml:space="preserve"> </w:t>
      </w:r>
      <w:r>
        <w:t xml:space="preserve">· Effect of tirzepatide treatment on patient-reported outcomes among SURMOUNT-OSA participants with obstructive sleep apnea and obesity. PMID 40774158</w:t>
      </w:r>
    </w:p>
    <w:p>
      <w:pPr>
        <w:numPr>
          <w:ilvl w:val="0"/>
          <w:numId w:val="1380"/>
        </w:numPr>
        <w:pStyle w:val="Compact"/>
      </w:pPr>
      <w:r>
        <w:t xml:space="preserve">2025 · Gourgari E ·</w:t>
      </w:r>
      <w:r>
        <w:t xml:space="preserve"> </w:t>
      </w:r>
      <w:r>
        <w:rPr>
          <w:iCs/>
          <w:i/>
        </w:rPr>
        <w:t xml:space="preserve">Obesity (Silver Spring)</w:t>
      </w:r>
      <w:r>
        <w:t xml:space="preserve"> </w:t>
      </w:r>
      <w:r>
        <w:t xml:space="preserve">· Early-Onset Obesity and Tirzepatide Treatment: A Post Hoc Analysis of the SURMOUNT Clinical Trials. PMID 40717199</w:t>
      </w:r>
    </w:p>
    <w:p>
      <w:pPr>
        <w:numPr>
          <w:ilvl w:val="0"/>
          <w:numId w:val="1380"/>
        </w:numPr>
        <w:pStyle w:val="Compact"/>
      </w:pPr>
      <w:r>
        <w:t xml:space="preserve">2025 · Borlaug BA ·</w:t>
      </w:r>
      <w:r>
        <w:t xml:space="preserve"> </w:t>
      </w:r>
      <w:r>
        <w:rPr>
          <w:iCs/>
          <w:i/>
        </w:rPr>
        <w:t xml:space="preserve">J Am Coll Cardiol</w:t>
      </w:r>
      <w:r>
        <w:t xml:space="preserve"> </w:t>
      </w:r>
      <w:r>
        <w:t xml:space="preserve">· Impact of Body Mass Index, Central Adiposity, and Weight Loss on the Benefits of Tirzepatide in HFpEF: The SUMMIT Trial. PMID 40701669</w:t>
      </w:r>
    </w:p>
    <w:p>
      <w:pPr>
        <w:numPr>
          <w:ilvl w:val="0"/>
          <w:numId w:val="1380"/>
        </w:numPr>
        <w:pStyle w:val="Compact"/>
      </w:pPr>
      <w:r>
        <w:t xml:space="preserve">2025 · Mari A ·</w:t>
      </w:r>
      <w:r>
        <w:t xml:space="preserve"> </w:t>
      </w:r>
      <w:r>
        <w:rPr>
          <w:iCs/>
          <w:i/>
        </w:rPr>
        <w:t xml:space="preserve">Diabetes Care</w:t>
      </w:r>
      <w:r>
        <w:t xml:space="preserve"> </w:t>
      </w:r>
      <w:r>
        <w:t xml:space="preserve">· Tirzepatide Treatment and Associated Changes in β-Cell Function and Insulin Sensitivity in People With Obesity or Overweight With Prediabetes or Normoglycemia: A Post Hoc Analysis From the SURMOUNT-1 Trial. PMID 40694530</w:t>
      </w:r>
    </w:p>
    <w:p>
      <w:pPr>
        <w:numPr>
          <w:ilvl w:val="0"/>
          <w:numId w:val="1380"/>
        </w:numPr>
        <w:pStyle w:val="Compact"/>
      </w:pPr>
      <w:r>
        <w:t xml:space="preserve">2025 · Yamaguchi Y ·</w:t>
      </w:r>
      <w:r>
        <w:t xml:space="preserve"> </w:t>
      </w:r>
      <w:r>
        <w:rPr>
          <w:iCs/>
          <w:i/>
        </w:rPr>
        <w:t xml:space="preserve">Diabetologia</w:t>
      </w:r>
      <w:r>
        <w:t xml:space="preserve"> </w:t>
      </w:r>
      <w:r>
        <w:t xml:space="preserve">· Early induction of insulin sensitisation treated by tirzepatide: a prospective, single-arm, open-label study in Japanese individuals with obesity and type 2 diabetes. PMID 40694059</w:t>
      </w:r>
    </w:p>
    <w:p>
      <w:pPr>
        <w:numPr>
          <w:ilvl w:val="0"/>
          <w:numId w:val="1380"/>
        </w:numPr>
        <w:pStyle w:val="Compact"/>
      </w:pPr>
      <w:r>
        <w:t xml:space="preserve">2025 · Ard J ·</w:t>
      </w:r>
      <w:r>
        <w:t xml:space="preserve"> </w:t>
      </w:r>
      <w:r>
        <w:rPr>
          <w:iCs/>
          <w:i/>
        </w:rPr>
        <w:t xml:space="preserve">Diabetes Obes Metab</w:t>
      </w:r>
      <w:r>
        <w:t xml:space="preserve"> </w:t>
      </w:r>
      <w:r>
        <w:t xml:space="preserve">· Weight reduction over time in tirzepatide-treated participants by early weight loss response: Post hoc analysis in SURMOUNT-1. PMID 40677091</w:t>
      </w:r>
    </w:p>
    <w:p>
      <w:pPr>
        <w:numPr>
          <w:ilvl w:val="0"/>
          <w:numId w:val="1380"/>
        </w:numPr>
        <w:pStyle w:val="Compact"/>
      </w:pPr>
      <w:r>
        <w:t xml:space="preserve">2025 · Pearson ER ·</w:t>
      </w:r>
      <w:r>
        <w:t xml:space="preserve"> </w:t>
      </w:r>
      <w:r>
        <w:rPr>
          <w:iCs/>
          <w:i/>
        </w:rPr>
        <w:t xml:space="preserve">Diabetes</w:t>
      </w:r>
      <w:r>
        <w:t xml:space="preserve"> </w:t>
      </w:r>
      <w:r>
        <w:t xml:space="preserve">· Predictors of Initial and Sustained Glycemic and Weight Response to Tirzepatide: A Post Hoc Analysis of SURPASS-4. PMID 40633089</w:t>
      </w:r>
    </w:p>
    <w:p>
      <w:pPr>
        <w:numPr>
          <w:ilvl w:val="0"/>
          <w:numId w:val="1380"/>
        </w:numPr>
        <w:pStyle w:val="Compact"/>
      </w:pPr>
      <w:r>
        <w:t xml:space="preserve">2025 · Chigutsa E ·</w:t>
      </w:r>
      <w:r>
        <w:t xml:space="preserve"> </w:t>
      </w:r>
      <w:r>
        <w:rPr>
          <w:iCs/>
          <w:i/>
        </w:rPr>
        <w:t xml:space="preserve">Clin Pharmacol Ther</w:t>
      </w:r>
      <w:r>
        <w:t xml:space="preserve"> </w:t>
      </w:r>
      <w:r>
        <w:t xml:space="preserve">· A Pharmacometric Method for Quantitative Determination of Improvement in Body Composition and Characterization of the Exposure-Response Relationship during Treatment of Obesity with Tirzepatide. PMID 40556483</w:t>
      </w:r>
    </w:p>
    <w:p>
      <w:pPr>
        <w:numPr>
          <w:ilvl w:val="0"/>
          <w:numId w:val="1380"/>
        </w:numPr>
        <w:pStyle w:val="Compact"/>
      </w:pPr>
      <w:r>
        <w:t xml:space="preserve">2025 · Martin CK ·</w:t>
      </w:r>
      <w:r>
        <w:t xml:space="preserve"> </w:t>
      </w:r>
      <w:r>
        <w:rPr>
          <w:iCs/>
          <w:i/>
        </w:rPr>
        <w:t xml:space="preserve">Nat Med</w:t>
      </w:r>
      <w:r>
        <w:t xml:space="preserve"> </w:t>
      </w:r>
      <w:r>
        <w:t xml:space="preserve">· Tirzepatide on ingestive behavior in adults with overweight or obesity: a randomized 6-week phase 1 trial. PMID 40555748</w:t>
      </w:r>
    </w:p>
    <w:p>
      <w:pPr>
        <w:numPr>
          <w:ilvl w:val="0"/>
          <w:numId w:val="1380"/>
        </w:numPr>
        <w:pStyle w:val="Compact"/>
      </w:pPr>
      <w:r>
        <w:t xml:space="preserve">2025 · Linetzky B ·</w:t>
      </w:r>
      <w:r>
        <w:t xml:space="preserve"> </w:t>
      </w:r>
      <w:r>
        <w:rPr>
          <w:iCs/>
          <w:i/>
        </w:rPr>
        <w:t xml:space="preserve">Ann Intern Med</w:t>
      </w:r>
      <w:r>
        <w:t xml:space="preserve"> </w:t>
      </w:r>
      <w:r>
        <w:t xml:space="preserve">· Improvements in Cardiometabolic Risk Factors by Weight Reduction: A Post Hoc Analysis of Adults With Obesity Randomly Assigned to Tirzepatide. PMID 40550133</w:t>
      </w:r>
    </w:p>
    <w:p>
      <w:pPr>
        <w:numPr>
          <w:ilvl w:val="0"/>
          <w:numId w:val="1380"/>
        </w:numPr>
        <w:pStyle w:val="Compact"/>
      </w:pPr>
      <w:r>
        <w:t xml:space="preserve">2025 · Ciudin A ·</w:t>
      </w:r>
      <w:r>
        <w:t xml:space="preserve"> </w:t>
      </w:r>
      <w:r>
        <w:rPr>
          <w:iCs/>
          <w:i/>
        </w:rPr>
        <w:t xml:space="preserve">Diabetes Obes Metab</w:t>
      </w:r>
      <w:r>
        <w:t xml:space="preserve"> </w:t>
      </w:r>
      <w:r>
        <w:t xml:space="preserve">· Indirect comparative efficacy and safety of tirzepatide 10 and 15 mg versus semaglutide 2.4 mg for the management of obesity and overweight in patients with type 2 diabetes. PMID 40537987</w:t>
      </w:r>
    </w:p>
    <w:p>
      <w:pPr>
        <w:numPr>
          <w:ilvl w:val="0"/>
          <w:numId w:val="1380"/>
        </w:numPr>
        <w:pStyle w:val="Compact"/>
      </w:pPr>
      <w:r>
        <w:t xml:space="preserve">2025 · Yamauchi T ·</w:t>
      </w:r>
      <w:r>
        <w:t xml:space="preserve"> </w:t>
      </w:r>
      <w:r>
        <w:rPr>
          <w:iCs/>
          <w:i/>
        </w:rPr>
        <w:t xml:space="preserve">Diabetes Obes Metab</w:t>
      </w:r>
      <w:r>
        <w:t xml:space="preserve"> </w:t>
      </w:r>
      <w:r>
        <w:t xml:space="preserve">· Efficacy and safety of once-weekly tirzepatide in Japanese participants with type 2 diabetes who have obesity or overweight: Subpopulation analysis of the SURMOUNT-2 trial. PMID 40490415</w:t>
      </w:r>
    </w:p>
    <w:p>
      <w:pPr>
        <w:numPr>
          <w:ilvl w:val="0"/>
          <w:numId w:val="1380"/>
        </w:numPr>
        <w:pStyle w:val="Compact"/>
      </w:pPr>
      <w:r>
        <w:t xml:space="preserve">2025 · Zhao L ·</w:t>
      </w:r>
      <w:r>
        <w:t xml:space="preserve"> </w:t>
      </w:r>
      <w:r>
        <w:rPr>
          <w:iCs/>
          <w:i/>
        </w:rPr>
        <w:t xml:space="preserve">Obesity (Silver Spring)</w:t>
      </w:r>
      <w:r>
        <w:t xml:space="preserve"> </w:t>
      </w:r>
      <w:r>
        <w:t xml:space="preserve">· Association of tirzepatide with cardiometabolic benefits in Chinese adults: post hoc subgroup analysis of SURMOUNT-CN study. PMID 40437798</w:t>
      </w:r>
    </w:p>
    <w:p>
      <w:pPr>
        <w:numPr>
          <w:ilvl w:val="0"/>
          <w:numId w:val="1380"/>
        </w:numPr>
        <w:pStyle w:val="Compact"/>
      </w:pPr>
      <w:r>
        <w:t xml:space="preserve">2025 · Gibble TH ·</w:t>
      </w:r>
      <w:r>
        <w:t xml:space="preserve"> </w:t>
      </w:r>
      <w:r>
        <w:rPr>
          <w:iCs/>
          <w:i/>
        </w:rPr>
        <w:t xml:space="preserve">Diabetes Obes Metab</w:t>
      </w:r>
      <w:r>
        <w:t xml:space="preserve"> </w:t>
      </w:r>
      <w:r>
        <w:t xml:space="preserve">· Tirzepatide and health-related quality of life in adults with obesity or overweight: Results from the SURMOUNT-3 phase 3 randomized trial. PMID 40365662</w:t>
      </w:r>
    </w:p>
    <w:p>
      <w:pPr>
        <w:numPr>
          <w:ilvl w:val="0"/>
          <w:numId w:val="1380"/>
        </w:numPr>
        <w:pStyle w:val="Compact"/>
      </w:pPr>
      <w:r>
        <w:t xml:space="preserve">2025 · Aronne LJ ·</w:t>
      </w:r>
      <w:r>
        <w:t xml:space="preserve"> </w:t>
      </w:r>
      <w:r>
        <w:rPr>
          <w:iCs/>
          <w:i/>
        </w:rPr>
        <w:t xml:space="preserve">N Engl J Med</w:t>
      </w:r>
      <w:r>
        <w:t xml:space="preserve"> </w:t>
      </w:r>
      <w:r>
        <w:t xml:space="preserve">· Tirzepatide as Compared with Semaglutide for the Treatment of Obesity. PMID 40353578</w:t>
      </w:r>
    </w:p>
    <w:p>
      <w:pPr>
        <w:numPr>
          <w:ilvl w:val="0"/>
          <w:numId w:val="1380"/>
        </w:numPr>
        <w:pStyle w:val="Compact"/>
      </w:pPr>
      <w:r>
        <w:t xml:space="preserve">2025 · Zhao L ·</w:t>
      </w:r>
      <w:r>
        <w:t xml:space="preserve"> </w:t>
      </w:r>
      <w:r>
        <w:rPr>
          <w:iCs/>
          <w:i/>
        </w:rPr>
        <w:t xml:space="preserve">Diabetes Obes Metab</w:t>
      </w:r>
      <w:r>
        <w:t xml:space="preserve"> </w:t>
      </w:r>
      <w:r>
        <w:t xml:space="preserve">· Predicting 10-year risk of type 2 diabetes in Chinese people with overweight or obesity treated with Tirzepatide: Post hoc analysis of SURMOUNT-CN trial. PMID 40329666</w:t>
      </w:r>
    </w:p>
    <w:p>
      <w:pPr>
        <w:numPr>
          <w:ilvl w:val="0"/>
          <w:numId w:val="1380"/>
        </w:numPr>
        <w:pStyle w:val="Compact"/>
      </w:pPr>
      <w:r>
        <w:t xml:space="preserve">2025 · Hankosky ER ·</w:t>
      </w:r>
      <w:r>
        <w:t xml:space="preserve"> </w:t>
      </w:r>
      <w:r>
        <w:rPr>
          <w:iCs/>
          <w:i/>
        </w:rPr>
        <w:t xml:space="preserve">Diabetes Obes Metab</w:t>
      </w:r>
      <w:r>
        <w:t xml:space="preserve"> </w:t>
      </w:r>
      <w:r>
        <w:t xml:space="preserve">· Tirzepatide 10 and 15 mg versus semaglutide 2.4 mg in people with obesity or overweight with type 2 diabetes: An indirect treatment comparison. PMID 40321113</w:t>
      </w:r>
    </w:p>
    <w:p>
      <w:pPr>
        <w:numPr>
          <w:ilvl w:val="0"/>
          <w:numId w:val="1380"/>
        </w:numPr>
        <w:pStyle w:val="Compact"/>
      </w:pPr>
      <w:r>
        <w:t xml:space="preserve">2025 · Sattar N ·</w:t>
      </w:r>
      <w:r>
        <w:t xml:space="preserve"> </w:t>
      </w:r>
      <w:r>
        <w:rPr>
          <w:iCs/>
          <w:i/>
        </w:rPr>
        <w:t xml:space="preserve">Lancet Diabetes Endocrinol</w:t>
      </w:r>
      <w:r>
        <w:t xml:space="preserve"> </w:t>
      </w:r>
      <w:r>
        <w:t xml:space="preserve">· Tirzepatide and muscle composition changes in people with type 2 diabetes (SURPASS-3 MRI): a post-hoc analysis of a randomised, open-label, parallel-group, phase 3 trial. PMID 40318682</w:t>
      </w:r>
    </w:p>
    <w:p>
      <w:pPr>
        <w:numPr>
          <w:ilvl w:val="0"/>
          <w:numId w:val="1380"/>
        </w:numPr>
        <w:pStyle w:val="Compact"/>
      </w:pPr>
      <w:r>
        <w:t xml:space="preserve">2025 · Evans M ·</w:t>
      </w:r>
      <w:r>
        <w:t xml:space="preserve"> </w:t>
      </w:r>
      <w:r>
        <w:rPr>
          <w:iCs/>
          <w:i/>
        </w:rPr>
        <w:t xml:space="preserve">Adv Ther</w:t>
      </w:r>
      <w:r>
        <w:t xml:space="preserve"> </w:t>
      </w:r>
      <w:r>
        <w:t xml:space="preserve">· Analysis of Tirzepatide Acquisition Costs and Weight Reduction Outcomes in the United Kingdom: Insights from the SURMOUNT-1 Study. PMID 40251452</w:t>
      </w:r>
    </w:p>
    <w:p>
      <w:pPr>
        <w:numPr>
          <w:ilvl w:val="0"/>
          <w:numId w:val="1380"/>
        </w:numPr>
        <w:pStyle w:val="Compact"/>
      </w:pPr>
      <w:r>
        <w:t xml:space="preserve">2025 · Ravussin E ·</w:t>
      </w:r>
      <w:r>
        <w:t xml:space="preserve"> </w:t>
      </w:r>
      <w:r>
        <w:rPr>
          <w:iCs/>
          <w:i/>
        </w:rPr>
        <w:t xml:space="preserve">Cell Metab</w:t>
      </w:r>
      <w:r>
        <w:t xml:space="preserve"> </w:t>
      </w:r>
      <w:r>
        <w:t xml:space="preserve">· Tirzepatide did not impact metabolic adaptation in people with obesity, but increased fat oxidation. PMID 40203836</w:t>
      </w:r>
    </w:p>
    <w:p>
      <w:pPr>
        <w:numPr>
          <w:ilvl w:val="0"/>
          <w:numId w:val="1380"/>
        </w:numPr>
        <w:pStyle w:val="Compact"/>
      </w:pPr>
      <w:r>
        <w:t xml:space="preserve">2025 · Billings LK ·</w:t>
      </w:r>
      <w:r>
        <w:t xml:space="preserve"> </w:t>
      </w:r>
      <w:r>
        <w:rPr>
          <w:iCs/>
          <w:i/>
        </w:rPr>
        <w:t xml:space="preserve">Ann Intern Med</w:t>
      </w:r>
      <w:r>
        <w:t xml:space="preserve"> </w:t>
      </w:r>
      <w:r>
        <w:t xml:space="preserve">· Comparison of Dose Escalation Versus Switching to Tirzepatide Among People With Type 2 Diabetes Inadequately Controlled on Lower Doses of Dulaglutide : A Randomized Clinical Trial. PMID 40183678</w:t>
      </w:r>
    </w:p>
    <w:p>
      <w:pPr>
        <w:numPr>
          <w:ilvl w:val="0"/>
          <w:numId w:val="1380"/>
        </w:numPr>
        <w:pStyle w:val="Compact"/>
      </w:pPr>
      <w:r>
        <w:t xml:space="preserve">2025 · Packer M ·</w:t>
      </w:r>
      <w:r>
        <w:t xml:space="preserve"> </w:t>
      </w:r>
      <w:r>
        <w:rPr>
          <w:iCs/>
          <w:i/>
        </w:rPr>
        <w:t xml:space="preserve">J Am Coll Cardiol</w:t>
      </w:r>
      <w:r>
        <w:t xml:space="preserve"> </w:t>
      </w:r>
      <w:r>
        <w:t xml:space="preserve">· Interplay of Chronic Kidney Disease and the Effects of Tirzepatide in Patients With Heart Failure, Preserved Ejection Fraction, and Obesity: The SUMMIT Trial. PMID 40162940</w:t>
      </w:r>
    </w:p>
    <w:p>
      <w:pPr>
        <w:numPr>
          <w:ilvl w:val="0"/>
          <w:numId w:val="1380"/>
        </w:numPr>
        <w:pStyle w:val="Compact"/>
      </w:pPr>
      <w:r>
        <w:t xml:space="preserve">2025 · Giorgino F ·</w:t>
      </w:r>
      <w:r>
        <w:t xml:space="preserve"> </w:t>
      </w:r>
      <w:r>
        <w:rPr>
          <w:iCs/>
          <w:i/>
        </w:rPr>
        <w:t xml:space="preserve">Diabetes Care</w:t>
      </w:r>
      <w:r>
        <w:t xml:space="preserve"> </w:t>
      </w:r>
      <w:r>
        <w:t xml:space="preserve">· Early Fasting Serum Glucose or Weight Reduction With Tirzepatide and Metabolic Outcomes in People With Type 2 Diabetes: A Post Hoc Analysis of the SURPASS Trials. PMID 40100982</w:t>
      </w:r>
    </w:p>
    <w:p>
      <w:pPr>
        <w:numPr>
          <w:ilvl w:val="0"/>
          <w:numId w:val="1380"/>
        </w:numPr>
        <w:pStyle w:val="Compact"/>
      </w:pPr>
      <w:r>
        <w:t xml:space="preserve">2025 · Bergman BK ·</w:t>
      </w:r>
      <w:r>
        <w:t xml:space="preserve"> </w:t>
      </w:r>
      <w:r>
        <w:rPr>
          <w:iCs/>
          <w:i/>
        </w:rPr>
        <w:t xml:space="preserve">Diabetes Obes Metab</w:t>
      </w:r>
      <w:r>
        <w:t xml:space="preserve"> </w:t>
      </w:r>
      <w:r>
        <w:t xml:space="preserve">· Time spent in glycaemic control with sustained body weight reduction with tirzepatide: A post hoc analysis of the SURPASS clinical trial programme. PMID 40083081</w:t>
      </w:r>
    </w:p>
    <w:p>
      <w:pPr>
        <w:numPr>
          <w:ilvl w:val="0"/>
          <w:numId w:val="1380"/>
        </w:numPr>
        <w:pStyle w:val="Compact"/>
      </w:pPr>
      <w:r>
        <w:t xml:space="preserve">2025 · Kadowaki T ·</w:t>
      </w:r>
      <w:r>
        <w:t xml:space="preserve"> </w:t>
      </w:r>
      <w:r>
        <w:rPr>
          <w:iCs/>
          <w:i/>
        </w:rPr>
        <w:t xml:space="preserve">Lancet Diabetes Endocrinol</w:t>
      </w:r>
      <w:r>
        <w:t xml:space="preserve"> </w:t>
      </w:r>
      <w:r>
        <w:t xml:space="preserve">· Efficacy and safety of once-weekly tirzepatide in Japanese patients with obesity disease (SURMOUNT-J): a multicentre, randomised, double-blind, placebo-controlled phase 3 trial. PMID 40031941</w:t>
      </w:r>
    </w:p>
    <w:p>
      <w:pPr>
        <w:numPr>
          <w:ilvl w:val="0"/>
          <w:numId w:val="1380"/>
        </w:numPr>
        <w:pStyle w:val="Compact"/>
      </w:pPr>
      <w:r>
        <w:t xml:space="preserve">2025 · Look M ·</w:t>
      </w:r>
      <w:r>
        <w:t xml:space="preserve"> </w:t>
      </w:r>
      <w:r>
        <w:rPr>
          <w:iCs/>
          <w:i/>
        </w:rPr>
        <w:t xml:space="preserve">Diabetes Obes Metab</w:t>
      </w:r>
      <w:r>
        <w:t xml:space="preserve"> </w:t>
      </w:r>
      <w:r>
        <w:t xml:space="preserve">· Body composition changes during weight reduction with tirzepatide in the SURMOUNT-1 study of adults with obesity or overweight. PMID 39996356</w:t>
      </w:r>
    </w:p>
    <w:p>
      <w:pPr>
        <w:numPr>
          <w:ilvl w:val="0"/>
          <w:numId w:val="1380"/>
        </w:numPr>
        <w:pStyle w:val="Compact"/>
      </w:pPr>
      <w:r>
        <w:t xml:space="preserve">2025 · Mimura H ·</w:t>
      </w:r>
      <w:r>
        <w:t xml:space="preserve"> </w:t>
      </w:r>
      <w:r>
        <w:rPr>
          <w:iCs/>
          <w:i/>
        </w:rPr>
        <w:t xml:space="preserve">J Diabetes Investig</w:t>
      </w:r>
      <w:r>
        <w:t xml:space="preserve"> </w:t>
      </w:r>
      <w:r>
        <w:t xml:space="preserve">· Association of bodyweight loss with changes in lipids, blood pressure, and fasting serum glucose following tirzepatide treatment in Japanese participants with type 2 diabetes: A post hoc analysis of the SURPASS J-mono trial. PMID 39891527</w:t>
      </w:r>
    </w:p>
    <w:p>
      <w:pPr>
        <w:numPr>
          <w:ilvl w:val="0"/>
          <w:numId w:val="1380"/>
        </w:numPr>
        <w:pStyle w:val="Compact"/>
      </w:pPr>
      <w:r>
        <w:t xml:space="preserve">2025 · Fan Y ·</w:t>
      </w:r>
      <w:r>
        <w:t xml:space="preserve"> </w:t>
      </w:r>
      <w:r>
        <w:rPr>
          <w:iCs/>
          <w:i/>
        </w:rPr>
        <w:t xml:space="preserve">Diabetes Obes Metab</w:t>
      </w:r>
      <w:r>
        <w:t xml:space="preserve"> </w:t>
      </w:r>
      <w:r>
        <w:t xml:space="preserve">· The safety, tolerability, pharmacokinetics and pharmacodynamics of an optimized dual GLP-1/GIP receptor agonist (BGM0504) in healthy volunteers: A dose-escalation Phase I study. PMID 39840511</w:t>
      </w:r>
    </w:p>
    <w:p>
      <w:pPr>
        <w:numPr>
          <w:ilvl w:val="0"/>
          <w:numId w:val="1380"/>
        </w:numPr>
        <w:pStyle w:val="Compact"/>
      </w:pPr>
      <w:r>
        <w:t xml:space="preserve">2025 · Horn DB ·</w:t>
      </w:r>
      <w:r>
        <w:t xml:space="preserve"> </w:t>
      </w:r>
      <w:r>
        <w:rPr>
          <w:iCs/>
          <w:i/>
        </w:rPr>
        <w:t xml:space="preserve">Clin Obes</w:t>
      </w:r>
      <w:r>
        <w:t xml:space="preserve"> </w:t>
      </w:r>
      <w:r>
        <w:t xml:space="preserve">· Time to weight plateau with tirzepatide treatment in the SURMOUNT-1 and SURMOUNT-4 clinical trials. PMID 39800653</w:t>
      </w:r>
    </w:p>
    <w:p>
      <w:pPr>
        <w:numPr>
          <w:ilvl w:val="0"/>
          <w:numId w:val="1380"/>
        </w:numPr>
        <w:pStyle w:val="Compact"/>
      </w:pPr>
      <w:r>
        <w:t xml:space="preserve">2025 · Rubino DM ·</w:t>
      </w:r>
      <w:r>
        <w:t xml:space="preserve"> </w:t>
      </w:r>
      <w:r>
        <w:rPr>
          <w:iCs/>
          <w:i/>
        </w:rPr>
        <w:t xml:space="preserve">Diabetes Obes Metab</w:t>
      </w:r>
      <w:r>
        <w:t xml:space="preserve"> </w:t>
      </w:r>
      <w:r>
        <w:t xml:space="preserve">· Gastrointestinal tolerability and weight reduction associated with tirzepatide in adults with obesity or overweight with and without type 2 diabetes in the SURMOUNT-1 to -4 trials. PMID 39789843</w:t>
      </w:r>
    </w:p>
    <w:p>
      <w:pPr>
        <w:numPr>
          <w:ilvl w:val="0"/>
          <w:numId w:val="1380"/>
        </w:numPr>
        <w:pStyle w:val="Compact"/>
      </w:pPr>
      <w:r>
        <w:t xml:space="preserve">2025 · Mather KJ ·</w:t>
      </w:r>
      <w:r>
        <w:t xml:space="preserve"> </w:t>
      </w:r>
      <w:r>
        <w:rPr>
          <w:iCs/>
          <w:i/>
        </w:rPr>
        <w:t xml:space="preserve">Diabetes Obes Metab</w:t>
      </w:r>
      <w:r>
        <w:t xml:space="preserve"> </w:t>
      </w:r>
      <w:r>
        <w:t xml:space="preserve">· Greater improvement in insulin sensitivity per unit weight loss associated with tirzepatide versus semaglutide: An exploratory analysis. PMID 39762971</w:t>
      </w:r>
    </w:p>
    <w:p>
      <w:pPr>
        <w:numPr>
          <w:ilvl w:val="0"/>
          <w:numId w:val="1380"/>
        </w:numPr>
        <w:pStyle w:val="Compact"/>
      </w:pPr>
      <w:r>
        <w:t xml:space="preserve">2025 · Apperloo EM ·</w:t>
      </w:r>
      <w:r>
        <w:t xml:space="preserve"> </w:t>
      </w:r>
      <w:r>
        <w:rPr>
          <w:iCs/>
          <w:i/>
        </w:rPr>
        <w:t xml:space="preserve">Diabetes Care</w:t>
      </w:r>
      <w:r>
        <w:t xml:space="preserve"> </w:t>
      </w:r>
      <w:r>
        <w:t xml:space="preserve">· Tirzepatide Associated With Reduced Albuminuria in Participants With Type 2 Diabetes: Pooled Post Hoc Analysis From the Randomized Active- and Placebo-Controlled SURPASS-1-5 Clinical Trials. PMID 39746157</w:t>
      </w:r>
    </w:p>
    <w:p>
      <w:pPr>
        <w:numPr>
          <w:ilvl w:val="0"/>
          <w:numId w:val="1380"/>
        </w:numPr>
        <w:pStyle w:val="Compact"/>
      </w:pPr>
      <w:r>
        <w:t xml:space="preserve">2025 · Kramer CM ·</w:t>
      </w:r>
      <w:r>
        <w:t xml:space="preserve"> </w:t>
      </w:r>
      <w:r>
        <w:rPr>
          <w:iCs/>
          <w:i/>
        </w:rPr>
        <w:t xml:space="preserve">J Am Coll Cardiol</w:t>
      </w:r>
      <w:r>
        <w:t xml:space="preserve"> </w:t>
      </w:r>
      <w:r>
        <w:t xml:space="preserve">· Tirzepatide Reduces LV Mass and Paracardiac Adipose Tissue in Obesity-Related Heart Failure: SUMMIT CMR Substudy. PMID 39566869</w:t>
      </w:r>
    </w:p>
    <w:p>
      <w:pPr>
        <w:numPr>
          <w:ilvl w:val="0"/>
          <w:numId w:val="1380"/>
        </w:numPr>
        <w:pStyle w:val="Compact"/>
      </w:pPr>
      <w:r>
        <w:t xml:space="preserve">2025 · Zile MR ·</w:t>
      </w:r>
      <w:r>
        <w:t xml:space="preserve"> </w:t>
      </w:r>
      <w:r>
        <w:rPr>
          <w:iCs/>
          <w:i/>
        </w:rPr>
        <w:t xml:space="preserve">Circulation</w:t>
      </w:r>
      <w:r>
        <w:t xml:space="preserve"> </w:t>
      </w:r>
      <w:r>
        <w:t xml:space="preserve">· Effects of Tirzepatide on the Clinical Trajectory of Patients With Heart Failure, Preserved Ejection Fraction, and Obesity. PMID 39556714</w:t>
      </w:r>
    </w:p>
    <w:p>
      <w:pPr>
        <w:numPr>
          <w:ilvl w:val="0"/>
          <w:numId w:val="1380"/>
        </w:numPr>
        <w:pStyle w:val="Compact"/>
      </w:pPr>
      <w:r>
        <w:t xml:space="preserve">2025 · Packer M ·</w:t>
      </w:r>
      <w:r>
        <w:t xml:space="preserve"> </w:t>
      </w:r>
      <w:r>
        <w:rPr>
          <w:iCs/>
          <w:i/>
        </w:rPr>
        <w:t xml:space="preserve">N Engl J Med</w:t>
      </w:r>
      <w:r>
        <w:t xml:space="preserve"> </w:t>
      </w:r>
      <w:r>
        <w:t xml:space="preserve">· Tirzepatide for Heart Failure with Preserved Ejection Fraction and Obesity. PMID 39555826</w:t>
      </w:r>
    </w:p>
    <w:p>
      <w:pPr>
        <w:numPr>
          <w:ilvl w:val="0"/>
          <w:numId w:val="1380"/>
        </w:numPr>
        <w:pStyle w:val="Compact"/>
      </w:pPr>
      <w:r>
        <w:t xml:space="preserve">2025 · Borlaug BA ·</w:t>
      </w:r>
      <w:r>
        <w:t xml:space="preserve"> </w:t>
      </w:r>
      <w:r>
        <w:rPr>
          <w:iCs/>
          <w:i/>
        </w:rPr>
        <w:t xml:space="preserve">Nat Med</w:t>
      </w:r>
      <w:r>
        <w:t xml:space="preserve"> </w:t>
      </w:r>
      <w:r>
        <w:t xml:space="preserve">· Effects of tirzepatide on circulatory overload and end-organ damage in heart failure with preserved ejection fraction and obesity: a secondary analysis of the SUMMIT trial. PMID 39551891</w:t>
      </w:r>
    </w:p>
    <w:p>
      <w:pPr>
        <w:numPr>
          <w:ilvl w:val="0"/>
          <w:numId w:val="1380"/>
        </w:numPr>
        <w:pStyle w:val="Compact"/>
      </w:pPr>
      <w:r>
        <w:t xml:space="preserve">2025 · Jastreboff AM ·</w:t>
      </w:r>
      <w:r>
        <w:t xml:space="preserve"> </w:t>
      </w:r>
      <w:r>
        <w:rPr>
          <w:iCs/>
          <w:i/>
        </w:rPr>
        <w:t xml:space="preserve">N Engl J Med</w:t>
      </w:r>
      <w:r>
        <w:t xml:space="preserve"> </w:t>
      </w:r>
      <w:r>
        <w:t xml:space="preserve">· Tirzepatide for Obesity Treatment and Diabetes Prevention. PMID 39536238</w:t>
      </w:r>
    </w:p>
    <w:p>
      <w:pPr>
        <w:numPr>
          <w:ilvl w:val="0"/>
          <w:numId w:val="1380"/>
        </w:numPr>
        <w:pStyle w:val="Compact"/>
      </w:pPr>
      <w:r>
        <w:t xml:space="preserve">2025 · Gudzune KA ·</w:t>
      </w:r>
      <w:r>
        <w:t xml:space="preserve"> </w:t>
      </w:r>
      <w:r>
        <w:rPr>
          <w:iCs/>
          <w:i/>
        </w:rPr>
        <w:t xml:space="preserve">Diabetes Obes Metab</w:t>
      </w:r>
      <w:r>
        <w:t xml:space="preserve"> </w:t>
      </w:r>
      <w:r>
        <w:t xml:space="preserve">· Association between weight reduction achieved with tirzepatide and quality of life in adults with obesity: Results from the SURMOUNT-1 study. PMID 39497468</w:t>
      </w:r>
    </w:p>
    <w:p>
      <w:pPr>
        <w:numPr>
          <w:ilvl w:val="0"/>
          <w:numId w:val="1380"/>
        </w:numPr>
        <w:pStyle w:val="Compact"/>
      </w:pPr>
      <w:r>
        <w:t xml:space="preserve">2025 · Peters AL ·</w:t>
      </w:r>
      <w:r>
        <w:t xml:space="preserve"> </w:t>
      </w:r>
      <w:r>
        <w:rPr>
          <w:iCs/>
          <w:i/>
        </w:rPr>
        <w:t xml:space="preserve">J Clin Endocrinol Metab</w:t>
      </w:r>
      <w:r>
        <w:t xml:space="preserve"> </w:t>
      </w:r>
      <w:r>
        <w:t xml:space="preserve">· Improved HbA1c and Body Weight in GADA-Positive Individuals Treated With Tirzepatide: A Post Hoc Analysis of SURPASS. PMID 38824910</w:t>
      </w:r>
    </w:p>
    <w:p>
      <w:pPr>
        <w:numPr>
          <w:ilvl w:val="0"/>
          <w:numId w:val="1380"/>
        </w:numPr>
        <w:pStyle w:val="Compact"/>
      </w:pPr>
      <w:r>
        <w:t xml:space="preserve">2024 · Martin JA ·</w:t>
      </w:r>
      <w:r>
        <w:t xml:space="preserve"> </w:t>
      </w:r>
      <w:r>
        <w:rPr>
          <w:iCs/>
          <w:i/>
        </w:rPr>
        <w:t xml:space="preserve">Eur J Pharm Sci</w:t>
      </w:r>
      <w:r>
        <w:t xml:space="preserve"> </w:t>
      </w:r>
      <w:r>
        <w:t xml:space="preserve">· Absorption, distribution, metabolism, and excretion of tirzepatide in humans, rats, and monkeys. PMID 39243911</w:t>
      </w:r>
    </w:p>
    <w:p>
      <w:pPr>
        <w:numPr>
          <w:ilvl w:val="0"/>
          <w:numId w:val="1380"/>
        </w:numPr>
        <w:pStyle w:val="Compact"/>
      </w:pPr>
      <w:r>
        <w:t xml:space="preserve">2024 · Fujihara K ·</w:t>
      </w:r>
      <w:r>
        <w:t xml:space="preserve"> </w:t>
      </w:r>
      <w:r>
        <w:rPr>
          <w:iCs/>
          <w:i/>
        </w:rPr>
        <w:t xml:space="preserve">Diabetes Obes Metab</w:t>
      </w:r>
      <w:r>
        <w:t xml:space="preserve"> </w:t>
      </w:r>
      <w:r>
        <w:t xml:space="preserve">· Achieving normoglycaemia with tirzepatide: Post hoc exploratory analysis of the SURPASS J-mono and J-combo studies. PMID 39192522</w:t>
      </w:r>
    </w:p>
    <w:p>
      <w:pPr>
        <w:numPr>
          <w:ilvl w:val="0"/>
          <w:numId w:val="1380"/>
        </w:numPr>
        <w:pStyle w:val="Compact"/>
      </w:pPr>
      <w:r>
        <w:t xml:space="preserve">2024 · Krumholz HM ·</w:t>
      </w:r>
      <w:r>
        <w:t xml:space="preserve"> </w:t>
      </w:r>
      <w:r>
        <w:rPr>
          <w:iCs/>
          <w:i/>
        </w:rPr>
        <w:t xml:space="preserve">Heart</w:t>
      </w:r>
      <w:r>
        <w:t xml:space="preserve"> </w:t>
      </w:r>
      <w:r>
        <w:t xml:space="preserve">· Tirzepatide and blood pressure reduction: stratified analyses of the SURMOUNT-1 randomised controlled trial. PMID 39084707</w:t>
      </w:r>
    </w:p>
    <w:p>
      <w:pPr>
        <w:numPr>
          <w:ilvl w:val="0"/>
          <w:numId w:val="1380"/>
        </w:numPr>
        <w:pStyle w:val="Compact"/>
      </w:pPr>
      <w:r>
        <w:t xml:space="preserve">2024 · Malhotra A ·</w:t>
      </w:r>
      <w:r>
        <w:t xml:space="preserve"> </w:t>
      </w:r>
      <w:r>
        <w:rPr>
          <w:iCs/>
          <w:i/>
        </w:rPr>
        <w:t xml:space="preserve">N Engl J Med</w:t>
      </w:r>
      <w:r>
        <w:t xml:space="preserve"> </w:t>
      </w:r>
      <w:r>
        <w:t xml:space="preserve">· Tirzepatide for the Treatment of Obstructive Sleep Apnea and Obesity. PMID 38912654</w:t>
      </w:r>
    </w:p>
    <w:p>
      <w:pPr>
        <w:numPr>
          <w:ilvl w:val="0"/>
          <w:numId w:val="1380"/>
        </w:numPr>
        <w:pStyle w:val="Compact"/>
      </w:pPr>
      <w:r>
        <w:t xml:space="preserve">2024 · Loomba R ·</w:t>
      </w:r>
      <w:r>
        <w:t xml:space="preserve"> </w:t>
      </w:r>
      <w:r>
        <w:rPr>
          <w:iCs/>
          <w:i/>
        </w:rPr>
        <w:t xml:space="preserve">N Engl J Med</w:t>
      </w:r>
      <w:r>
        <w:t xml:space="preserve"> </w:t>
      </w:r>
      <w:r>
        <w:t xml:space="preserve">· Tirzepatide for Metabolic Dysfunction-Associated Steatohepatitis with Liver Fibrosis. PMID 38856224</w:t>
      </w:r>
    </w:p>
    <w:p>
      <w:pPr>
        <w:numPr>
          <w:ilvl w:val="0"/>
          <w:numId w:val="1380"/>
        </w:numPr>
        <w:pStyle w:val="Compact"/>
      </w:pPr>
      <w:r>
        <w:t xml:space="preserve">2024 · Zhao L ·</w:t>
      </w:r>
      <w:r>
        <w:t xml:space="preserve"> </w:t>
      </w:r>
      <w:r>
        <w:rPr>
          <w:iCs/>
          <w:i/>
        </w:rPr>
        <w:t xml:space="preserve">JAMA</w:t>
      </w:r>
      <w:r>
        <w:t xml:space="preserve"> </w:t>
      </w:r>
      <w:r>
        <w:t xml:space="preserve">· Tirzepatide for Weight Reduction in Chinese Adults With Obesity: The SURMOUNT-CN Randomized Clinical Trial. PMID 38819983</w:t>
      </w:r>
    </w:p>
    <w:p>
      <w:pPr>
        <w:numPr>
          <w:ilvl w:val="0"/>
          <w:numId w:val="1380"/>
        </w:numPr>
        <w:pStyle w:val="Compact"/>
      </w:pPr>
      <w:r>
        <w:t xml:space="preserve">2024 · Bao Y ·</w:t>
      </w:r>
      <w:r>
        <w:t xml:space="preserve"> </w:t>
      </w:r>
      <w:r>
        <w:rPr>
          <w:iCs/>
          <w:i/>
        </w:rPr>
        <w:t xml:space="preserve">Obesity (Silver Spring)</w:t>
      </w:r>
      <w:r>
        <w:t xml:space="preserve"> </w:t>
      </w:r>
      <w:r>
        <w:t xml:space="preserve">· Characterization of tirzepatide-treated patients achieving different glycemic control levels in SURPASS-AP-Combo. PMID 38803303</w:t>
      </w:r>
    </w:p>
    <w:p>
      <w:pPr>
        <w:numPr>
          <w:ilvl w:val="0"/>
          <w:numId w:val="1380"/>
        </w:numPr>
        <w:pStyle w:val="Compact"/>
      </w:pPr>
      <w:r>
        <w:t xml:space="preserve">2024 · Mather KJ ·</w:t>
      </w:r>
      <w:r>
        <w:t xml:space="preserve"> </w:t>
      </w:r>
      <w:r>
        <w:rPr>
          <w:iCs/>
          <w:i/>
        </w:rPr>
        <w:t xml:space="preserve">J Clin Endocrinol Metab</w:t>
      </w:r>
      <w:r>
        <w:t xml:space="preserve"> </w:t>
      </w:r>
      <w:r>
        <w:t xml:space="preserve">· Effects of Tirzepatide vs Semaglutide on β-Cell Function, Insulin Sensitivity, and Glucose Control During a Meal Test. PMID 38795393</w:t>
      </w:r>
    </w:p>
    <w:p>
      <w:pPr>
        <w:numPr>
          <w:ilvl w:val="0"/>
          <w:numId w:val="1380"/>
        </w:numPr>
        <w:pStyle w:val="Compact"/>
      </w:pPr>
      <w:r>
        <w:t xml:space="preserve">2024 · Osumili B ·</w:t>
      </w:r>
      <w:r>
        <w:t xml:space="preserve"> </w:t>
      </w:r>
      <w:r>
        <w:rPr>
          <w:iCs/>
          <w:i/>
        </w:rPr>
        <w:t xml:space="preserve">Diabetes Res Clin Pract</w:t>
      </w:r>
      <w:r>
        <w:t xml:space="preserve"> </w:t>
      </w:r>
      <w:r>
        <w:t xml:space="preserve">· Tirzepatide 5, 10 and 15 mg versus injectable semaglutide 0.5 mg for the treatment of type 2 diabetes: An adjusted indirect treatment comparison. PMID 38777128</w:t>
      </w:r>
    </w:p>
    <w:p>
      <w:pPr>
        <w:numPr>
          <w:ilvl w:val="0"/>
          <w:numId w:val="1380"/>
        </w:numPr>
        <w:pStyle w:val="Compact"/>
      </w:pPr>
      <w:r>
        <w:t xml:space="preserve">2024 · Vuppalanchi R ·</w:t>
      </w:r>
      <w:r>
        <w:t xml:space="preserve"> </w:t>
      </w:r>
      <w:r>
        <w:rPr>
          <w:iCs/>
          <w:i/>
        </w:rPr>
        <w:t xml:space="preserve">Aliment Pharmacol Ther</w:t>
      </w:r>
      <w:r>
        <w:t xml:space="preserve"> </w:t>
      </w:r>
      <w:r>
        <w:t xml:space="preserve">· Randomised clinical trial: Design of the SYNERGY-NASH phase 2b trial to evaluate tirzepatide as a treatment for metabolic dysfunction-associated steatohepatitis and modification of screening strategy to reduce screen failures. PMID 38768298</w:t>
      </w:r>
    </w:p>
    <w:p>
      <w:pPr>
        <w:numPr>
          <w:ilvl w:val="0"/>
          <w:numId w:val="1380"/>
        </w:numPr>
        <w:pStyle w:val="Compact"/>
      </w:pPr>
      <w:r>
        <w:t xml:space="preserve">2024 · Bagherzadeh-Rahmani B ·</w:t>
      </w:r>
      <w:r>
        <w:t xml:space="preserve"> </w:t>
      </w:r>
      <w:r>
        <w:rPr>
          <w:iCs/>
          <w:i/>
        </w:rPr>
        <w:t xml:space="preserve">Clin Hemorheol Microcirc</w:t>
      </w:r>
      <w:r>
        <w:t xml:space="preserve"> </w:t>
      </w:r>
      <w:r>
        <w:t xml:space="preserve">· Tirzepatide and exercise training in obesity. PMID 38640145</w:t>
      </w:r>
    </w:p>
    <w:p>
      <w:pPr>
        <w:numPr>
          <w:ilvl w:val="0"/>
          <w:numId w:val="1380"/>
        </w:numPr>
        <w:pStyle w:val="Compact"/>
      </w:pPr>
      <w:r>
        <w:t xml:space="preserve">2024 · Zeitler P ·</w:t>
      </w:r>
      <w:r>
        <w:t xml:space="preserve"> </w:t>
      </w:r>
      <w:r>
        <w:rPr>
          <w:iCs/>
          <w:i/>
        </w:rPr>
        <w:t xml:space="preserve">Diabetes Care</w:t>
      </w:r>
      <w:r>
        <w:t xml:space="preserve"> </w:t>
      </w:r>
      <w:r>
        <w:t xml:space="preserve">· Early-Onset Type 2 Diabetes and Tirzepatide Treatment: A Post Hoc Analysis From the SURPASS Clinical Trial Program. PMID 38639997</w:t>
      </w:r>
    </w:p>
    <w:p>
      <w:pPr>
        <w:numPr>
          <w:ilvl w:val="0"/>
          <w:numId w:val="1380"/>
        </w:numPr>
        <w:pStyle w:val="Compact"/>
      </w:pPr>
      <w:r>
        <w:t xml:space="preserve">2024 · Giorgino F ·</w:t>
      </w:r>
      <w:r>
        <w:t xml:space="preserve"> </w:t>
      </w:r>
      <w:r>
        <w:rPr>
          <w:iCs/>
          <w:i/>
        </w:rPr>
        <w:t xml:space="preserve">Diabetes Care</w:t>
      </w:r>
      <w:r>
        <w:t xml:space="preserve"> </w:t>
      </w:r>
      <w:r>
        <w:t xml:space="preserve">· Effects of Tirzepatide Versus Basal Insulins in People With Type 2 Diabetes and Different Baseline Glycemic Patterns: Post Hoc Analyses of the SURPASS-3 and SURPASS-4 Trials. PMID 38530948</w:t>
      </w:r>
    </w:p>
    <w:p>
      <w:pPr>
        <w:numPr>
          <w:ilvl w:val="0"/>
          <w:numId w:val="1380"/>
        </w:numPr>
        <w:pStyle w:val="Compact"/>
      </w:pPr>
      <w:r>
        <w:t xml:space="preserve">2024 · Frias JP ·</w:t>
      </w:r>
      <w:r>
        <w:t xml:space="preserve"> </w:t>
      </w:r>
      <w:r>
        <w:rPr>
          <w:iCs/>
          <w:i/>
        </w:rPr>
        <w:t xml:space="preserve">J Clin Endocrinol Metab</w:t>
      </w:r>
      <w:r>
        <w:t xml:space="preserve"> </w:t>
      </w:r>
      <w:r>
        <w:t xml:space="preserve">· Tirzepatide Improved Markers of Islet Cell Function and Insulin Sensitivity in People With T2D (SURPASS-2). PMID 38252888</w:t>
      </w:r>
    </w:p>
    <w:p>
      <w:pPr>
        <w:numPr>
          <w:ilvl w:val="0"/>
          <w:numId w:val="1380"/>
        </w:numPr>
        <w:pStyle w:val="Compact"/>
      </w:pPr>
      <w:r>
        <w:t xml:space="preserve">2024 · Aronne LJ ·</w:t>
      </w:r>
      <w:r>
        <w:t xml:space="preserve"> </w:t>
      </w:r>
      <w:r>
        <w:rPr>
          <w:iCs/>
          <w:i/>
        </w:rPr>
        <w:t xml:space="preserve">JAMA</w:t>
      </w:r>
      <w:r>
        <w:t xml:space="preserve"> </w:t>
      </w:r>
      <w:r>
        <w:t xml:space="preserve">· Continued Treatment With Tirzepatide for Maintenance of Weight Reduction in Adults With Obesity: The SURMOUNT-4 Randomized Clinical Trial. PMID 38078870</w:t>
      </w:r>
    </w:p>
    <w:p>
      <w:pPr>
        <w:numPr>
          <w:ilvl w:val="0"/>
          <w:numId w:val="1380"/>
        </w:numPr>
        <w:pStyle w:val="Compact"/>
      </w:pPr>
      <w:r>
        <w:t xml:space="preserve">2024 · Hankosky ER ·</w:t>
      </w:r>
      <w:r>
        <w:t xml:space="preserve"> </w:t>
      </w:r>
      <w:r>
        <w:rPr>
          <w:iCs/>
          <w:i/>
        </w:rPr>
        <w:t xml:space="preserve">Diabetes Obes Metab</w:t>
      </w:r>
      <w:r>
        <w:t xml:space="preserve"> </w:t>
      </w:r>
      <w:r>
        <w:t xml:space="preserve">· Tirzepatide reduces the predicted risk of atherosclerotic cardiovascular disease and improves cardiometabolic risk factors in adults with obesity or overweight: SURMOUNT-1 post hoc analysis. PMID 37932236</w:t>
      </w:r>
    </w:p>
    <w:p>
      <w:pPr>
        <w:numPr>
          <w:ilvl w:val="0"/>
          <w:numId w:val="1380"/>
        </w:numPr>
        <w:pStyle w:val="Compact"/>
      </w:pPr>
      <w:r>
        <w:t xml:space="preserve">2024 · Niu S ·</w:t>
      </w:r>
      <w:r>
        <w:t xml:space="preserve"> </w:t>
      </w:r>
      <w:r>
        <w:rPr>
          <w:iCs/>
          <w:i/>
        </w:rPr>
        <w:t xml:space="preserve">Diabetes Obes Metab</w:t>
      </w:r>
      <w:r>
        <w:t xml:space="preserve"> </w:t>
      </w:r>
      <w:r>
        <w:t xml:space="preserve">· 5-Year simulation of diabetes-related complications in people treated with tirzepatide or semaglutide versus insulin glargine. PMID 37867175</w:t>
      </w:r>
    </w:p>
    <w:p>
      <w:pPr>
        <w:numPr>
          <w:ilvl w:val="0"/>
          <w:numId w:val="1380"/>
        </w:numPr>
        <w:pStyle w:val="Compact"/>
      </w:pPr>
      <w:r>
        <w:t xml:space="preserve">2024 · Patel H ·</w:t>
      </w:r>
      <w:r>
        <w:t xml:space="preserve"> </w:t>
      </w:r>
      <w:r>
        <w:rPr>
          <w:iCs/>
          <w:i/>
        </w:rPr>
        <w:t xml:space="preserve">Diabetes Obes Metab</w:t>
      </w:r>
      <w:r>
        <w:t xml:space="preserve"> </w:t>
      </w:r>
      <w:r>
        <w:t xml:space="preserve">· Gastrointestinal adverse events and weight reduction in people with type 2 diabetes treated with tirzepatide in the SURPASS clinical trials. PMID 37853960</w:t>
      </w:r>
    </w:p>
    <w:p>
      <w:pPr>
        <w:numPr>
          <w:ilvl w:val="0"/>
          <w:numId w:val="1380"/>
        </w:numPr>
        <w:pStyle w:val="Compact"/>
      </w:pPr>
      <w:r>
        <w:t xml:space="preserve">2024 · Osonoi T ·</w:t>
      </w:r>
      <w:r>
        <w:t xml:space="preserve"> </w:t>
      </w:r>
      <w:r>
        <w:rPr>
          <w:iCs/>
          <w:i/>
        </w:rPr>
        <w:t xml:space="preserve">Diabetes Obes Metab</w:t>
      </w:r>
      <w:r>
        <w:t xml:space="preserve"> </w:t>
      </w:r>
      <w:r>
        <w:t xml:space="preserve">· Glycaemic control, body weight, and safety of tirzepatide versus dulaglutide by baseline glycated haemoglobin level in Japanese patients with type 2 diabetes: A subgroup analysis of the SURPASS J-mono study. PMID 37794628</w:t>
      </w:r>
    </w:p>
    <w:p>
      <w:pPr>
        <w:numPr>
          <w:ilvl w:val="0"/>
          <w:numId w:val="1380"/>
        </w:numPr>
        <w:pStyle w:val="Compact"/>
      </w:pPr>
      <w:r>
        <w:t xml:space="preserve">2023 · Wadden TA ·</w:t>
      </w:r>
      <w:r>
        <w:t xml:space="preserve"> </w:t>
      </w:r>
      <w:r>
        <w:rPr>
          <w:iCs/>
          <w:i/>
        </w:rPr>
        <w:t xml:space="preserve">Nat Med</w:t>
      </w:r>
      <w:r>
        <w:t xml:space="preserve"> </w:t>
      </w:r>
      <w:r>
        <w:t xml:space="preserve">· Tirzepatide after intensive lifestyle intervention in adults with overweight or obesity: the SURMOUNT-3 phase 3 trial. PMID 37840095</w:t>
      </w:r>
    </w:p>
    <w:p>
      <w:pPr>
        <w:numPr>
          <w:ilvl w:val="0"/>
          <w:numId w:val="1380"/>
        </w:numPr>
        <w:pStyle w:val="Compact"/>
      </w:pPr>
      <w:r>
        <w:t xml:space="preserve">2023 · Małecki MT ·</w:t>
      </w:r>
      <w:r>
        <w:t xml:space="preserve"> </w:t>
      </w:r>
      <w:r>
        <w:rPr>
          <w:iCs/>
          <w:i/>
        </w:rPr>
        <w:t xml:space="preserve">Diabetes Care</w:t>
      </w:r>
      <w:r>
        <w:t xml:space="preserve"> </w:t>
      </w:r>
      <w:r>
        <w:t xml:space="preserve">· Predictors of ≥15% Weight Reduction and Associated Changes in Cardiometabolic Risk Factors With Tirzepatide in Adults With Type 2 Diabetes in SURPASS 1-4. PMID 37824793</w:t>
      </w:r>
    </w:p>
    <w:p>
      <w:pPr>
        <w:numPr>
          <w:ilvl w:val="0"/>
          <w:numId w:val="1380"/>
        </w:numPr>
        <w:pStyle w:val="Compact"/>
      </w:pPr>
      <w:r>
        <w:t xml:space="preserve">2023 · Rosenstock J ·</w:t>
      </w:r>
      <w:r>
        <w:t xml:space="preserve"> </w:t>
      </w:r>
      <w:r>
        <w:rPr>
          <w:iCs/>
          <w:i/>
        </w:rPr>
        <w:t xml:space="preserve">JAMA</w:t>
      </w:r>
      <w:r>
        <w:t xml:space="preserve"> </w:t>
      </w:r>
      <w:r>
        <w:t xml:space="preserve">· Tirzepatide vs Insulin Lispro Added to Basal Insulin in Type 2 Diabetes: The SURPASS-6 Randomized Clinical Trial. PMID 37786396</w:t>
      </w:r>
    </w:p>
    <w:p>
      <w:pPr>
        <w:numPr>
          <w:ilvl w:val="0"/>
          <w:numId w:val="1380"/>
        </w:numPr>
        <w:pStyle w:val="Compact"/>
      </w:pPr>
      <w:r>
        <w:t xml:space="preserve">2023 · Hankosky ER ·</w:t>
      </w:r>
      <w:r>
        <w:t xml:space="preserve"> </w:t>
      </w:r>
      <w:r>
        <w:rPr>
          <w:iCs/>
          <w:i/>
        </w:rPr>
        <w:t xml:space="preserve">Diabetes Obes Metab</w:t>
      </w:r>
      <w:r>
        <w:t xml:space="preserve"> </w:t>
      </w:r>
      <w:r>
        <w:t xml:space="preserve">· Tirzepatide reduces the predicted risk of developing type 2 diabetes in people with obesity or overweight: Post hoc analysis of the SURMOUNT-1 trial. PMID 37700443</w:t>
      </w:r>
    </w:p>
    <w:p>
      <w:pPr>
        <w:numPr>
          <w:ilvl w:val="0"/>
          <w:numId w:val="1380"/>
        </w:numPr>
        <w:pStyle w:val="Compact"/>
      </w:pPr>
      <w:r>
        <w:t xml:space="preserve">2023 · Coelho C ·</w:t>
      </w:r>
      <w:r>
        <w:t xml:space="preserve"> </w:t>
      </w:r>
      <w:r>
        <w:rPr>
          <w:iCs/>
          <w:i/>
        </w:rPr>
        <w:t xml:space="preserve">Int J Obes (Lond)</w:t>
      </w:r>
      <w:r>
        <w:t xml:space="preserve"> </w:t>
      </w:r>
      <w:r>
        <w:t xml:space="preserve">· Laparoscopic adjustable gastric banding with liraglutide in adults with obesity and type 2 diabetes (GLIDE): a pilot randomised placebo controlled trial. PMID 37696925</w:t>
      </w:r>
    </w:p>
    <w:p>
      <w:pPr>
        <w:numPr>
          <w:ilvl w:val="0"/>
          <w:numId w:val="1380"/>
        </w:numPr>
        <w:pStyle w:val="Compact"/>
      </w:pPr>
      <w:r>
        <w:t xml:space="preserve">2023 · Garvey WT ·</w:t>
      </w:r>
      <w:r>
        <w:t xml:space="preserve"> </w:t>
      </w:r>
      <w:r>
        <w:rPr>
          <w:iCs/>
          <w:i/>
        </w:rPr>
        <w:t xml:space="preserve">Lancet</w:t>
      </w:r>
      <w:r>
        <w:t xml:space="preserve"> </w:t>
      </w:r>
      <w:r>
        <w:t xml:space="preserve">· Tirzepatide once weekly for the treatment of obesity in people with type 2 diabetes (SURMOUNT-2): a double-blind, randomised, multicentre, placebo-controlled, phase 3 trial. PMID 37385275</w:t>
      </w:r>
    </w:p>
    <w:p>
      <w:pPr>
        <w:numPr>
          <w:ilvl w:val="0"/>
          <w:numId w:val="1380"/>
        </w:numPr>
        <w:pStyle w:val="Compact"/>
      </w:pPr>
      <w:r>
        <w:t xml:space="preserve">2023 · Feng P ·</w:t>
      </w:r>
      <w:r>
        <w:t xml:space="preserve"> </w:t>
      </w:r>
      <w:r>
        <w:rPr>
          <w:iCs/>
          <w:i/>
        </w:rPr>
        <w:t xml:space="preserve">Adv Ther</w:t>
      </w:r>
      <w:r>
        <w:t xml:space="preserve"> </w:t>
      </w:r>
      <w:r>
        <w:t xml:space="preserve">· A Phase 1 Multiple Dose Study of Tirzepatide in Chinese Patients with Type 2 Diabetes. PMID 37285081</w:t>
      </w:r>
    </w:p>
    <w:p>
      <w:pPr>
        <w:numPr>
          <w:ilvl w:val="0"/>
          <w:numId w:val="1380"/>
        </w:numPr>
        <w:pStyle w:val="Compact"/>
      </w:pPr>
      <w:r>
        <w:t xml:space="preserve">2023 · Gao L ·</w:t>
      </w:r>
      <w:r>
        <w:t xml:space="preserve"> </w:t>
      </w:r>
      <w:r>
        <w:rPr>
          <w:iCs/>
          <w:i/>
        </w:rPr>
        <w:t xml:space="preserve">Nat Med</w:t>
      </w:r>
      <w:r>
        <w:t xml:space="preserve"> </w:t>
      </w:r>
      <w:r>
        <w:t xml:space="preserve">· Tirzepatide versus insulin glargine as second-line or third-line therapy in type 2 diabetes in the Asia-Pacific region: the SURPASS-AP-Combo trial. PMID 37231074</w:t>
      </w:r>
    </w:p>
    <w:p>
      <w:pPr>
        <w:numPr>
          <w:ilvl w:val="0"/>
          <w:numId w:val="1380"/>
        </w:numPr>
        <w:pStyle w:val="Compact"/>
      </w:pPr>
      <w:r>
        <w:t xml:space="preserve">2023 · Heise T ·</w:t>
      </w:r>
      <w:r>
        <w:t xml:space="preserve"> </w:t>
      </w:r>
      <w:r>
        <w:rPr>
          <w:iCs/>
          <w:i/>
        </w:rPr>
        <w:t xml:space="preserve">Diabetes Care</w:t>
      </w:r>
      <w:r>
        <w:t xml:space="preserve"> </w:t>
      </w:r>
      <w:r>
        <w:t xml:space="preserve">· Tirzepatide Reduces Appetite, Energy Intake, and Fat Mass in People With Type 2 Diabetes. PMID 36857477</w:t>
      </w:r>
    </w:p>
    <w:p>
      <w:pPr>
        <w:numPr>
          <w:ilvl w:val="0"/>
          <w:numId w:val="1380"/>
        </w:numPr>
        <w:pStyle w:val="Compact"/>
      </w:pPr>
      <w:r>
        <w:t xml:space="preserve">2023 · Lingvay I ·</w:t>
      </w:r>
      <w:r>
        <w:t xml:space="preserve"> </w:t>
      </w:r>
      <w:r>
        <w:rPr>
          <w:iCs/>
          <w:i/>
        </w:rPr>
        <w:t xml:space="preserve">Diabetes Obes Metab</w:t>
      </w:r>
      <w:r>
        <w:t xml:space="preserve"> </w:t>
      </w:r>
      <w:r>
        <w:t xml:space="preserve">· Achievement of glycaemic targets with weight loss and without hypoglycaemia in type 2 diabetes with the once-weekly glucose-dependent insulinotropic polypeptide and glucagon-like peptide-1 receptor agonist tirzepatide: A post hoc analysis of the SURPASS-1 to -5 studies. PMID 36514843</w:t>
      </w:r>
    </w:p>
    <w:p>
      <w:pPr>
        <w:numPr>
          <w:ilvl w:val="0"/>
          <w:numId w:val="1380"/>
        </w:numPr>
        <w:pStyle w:val="Compact"/>
      </w:pPr>
      <w:r>
        <w:t xml:space="preserve">2023 · Yabe D ·</w:t>
      </w:r>
      <w:r>
        <w:t xml:space="preserve"> </w:t>
      </w:r>
      <w:r>
        <w:rPr>
          <w:iCs/>
          <w:i/>
        </w:rPr>
        <w:t xml:space="preserve">Diabetes Obes Metab</w:t>
      </w:r>
      <w:r>
        <w:t xml:space="preserve"> </w:t>
      </w:r>
      <w:r>
        <w:t xml:space="preserve">· Change in pharmacodynamic variables following once-weekly tirzepatide treatment versus dulaglutide in Japanese patients with type 2 diabetes (SURPASS J-mono substudy). PMID 36184780</w:t>
      </w:r>
    </w:p>
    <w:p>
      <w:pPr>
        <w:numPr>
          <w:ilvl w:val="0"/>
          <w:numId w:val="1380"/>
        </w:numPr>
        <w:pStyle w:val="Compact"/>
      </w:pPr>
      <w:r>
        <w:t xml:space="preserve">2022 · Heerspink HJL ·</w:t>
      </w:r>
      <w:r>
        <w:t xml:space="preserve"> </w:t>
      </w:r>
      <w:r>
        <w:rPr>
          <w:iCs/>
          <w:i/>
        </w:rPr>
        <w:t xml:space="preserve">Lancet Diabetes Endocrinol</w:t>
      </w:r>
      <w:r>
        <w:t xml:space="preserve"> </w:t>
      </w:r>
      <w:r>
        <w:t xml:space="preserve">· Effects of tirzepatide versus insulin glargine on kidney outcomes in type 2 diabetes in the SURPASS-4 trial: post-hoc analysis of an open-label, randomised, phase 3 trial. PMID 36152639</w:t>
      </w:r>
    </w:p>
    <w:p>
      <w:pPr>
        <w:numPr>
          <w:ilvl w:val="0"/>
          <w:numId w:val="1380"/>
        </w:numPr>
        <w:pStyle w:val="Compact"/>
      </w:pPr>
      <w:r>
        <w:t xml:space="preserve">2022 · Scheen AJ ·</w:t>
      </w:r>
      <w:r>
        <w:t xml:space="preserve"> </w:t>
      </w:r>
      <w:r>
        <w:rPr>
          <w:iCs/>
          <w:i/>
        </w:rPr>
        <w:t xml:space="preserve">Rev Med Suisse</w:t>
      </w:r>
      <w:r>
        <w:t xml:space="preserve"> </w:t>
      </w:r>
      <w:r>
        <w:t xml:space="preserve">· [Focus on tirzepatide, a dual unimolecular GIP-GLP-1 receptor agonist in type 2 diabetes]. PMID 36004653</w:t>
      </w:r>
    </w:p>
    <w:p>
      <w:pPr>
        <w:numPr>
          <w:ilvl w:val="0"/>
          <w:numId w:val="1380"/>
        </w:numPr>
        <w:pStyle w:val="Compact"/>
      </w:pPr>
      <w:r>
        <w:t xml:space="preserve">2022 · Inagaki N ·</w:t>
      </w:r>
      <w:r>
        <w:t xml:space="preserve"> </w:t>
      </w:r>
      <w:r>
        <w:rPr>
          <w:iCs/>
          <w:i/>
        </w:rPr>
        <w:t xml:space="preserve">Lancet Diabetes Endocrinol</w:t>
      </w:r>
      <w:r>
        <w:t xml:space="preserve"> </w:t>
      </w:r>
      <w:r>
        <w:t xml:space="preserve">· Efficacy and safety of tirzepatide monotherapy compared with dulaglutide in Japanese patients with type 2 diabetes (SURPASS J-mono): a double-blind, multicentre, randomised, phase 3 trial. PMID 35914543</w:t>
      </w:r>
    </w:p>
    <w:p>
      <w:pPr>
        <w:numPr>
          <w:ilvl w:val="0"/>
          <w:numId w:val="1380"/>
        </w:numPr>
        <w:pStyle w:val="Compact"/>
      </w:pPr>
      <w:r>
        <w:t xml:space="preserve">2022 · Kadowaki T ·</w:t>
      </w:r>
      <w:r>
        <w:t xml:space="preserve"> </w:t>
      </w:r>
      <w:r>
        <w:rPr>
          <w:iCs/>
          <w:i/>
        </w:rPr>
        <w:t xml:space="preserve">Lancet Diabetes Endocrinol</w:t>
      </w:r>
      <w:r>
        <w:t xml:space="preserve"> </w:t>
      </w:r>
      <w:r>
        <w:t xml:space="preserve">· Safety and efficacy of tirzepatide as an add-on to single oral antihyperglycaemic medication in patients with type 2 diabetes in Japan (SURPASS J-combo): a multicentre, randomised, open-label, parallel-group, phase 3 trial. PMID 35914542</w:t>
      </w:r>
    </w:p>
    <w:p>
      <w:pPr>
        <w:numPr>
          <w:ilvl w:val="0"/>
          <w:numId w:val="1380"/>
        </w:numPr>
        <w:pStyle w:val="Compact"/>
      </w:pPr>
      <w:r>
        <w:t xml:space="preserve">2022 · Slomski A ·</w:t>
      </w:r>
      <w:r>
        <w:t xml:space="preserve"> </w:t>
      </w:r>
      <w:r>
        <w:rPr>
          <w:iCs/>
          <w:i/>
        </w:rPr>
        <w:t xml:space="preserve">JAMA</w:t>
      </w:r>
      <w:r>
        <w:t xml:space="preserve"> </w:t>
      </w:r>
      <w:r>
        <w:t xml:space="preserve">· Tirzepatide Trial Demonstrates Substantial Weight Loss. PMID 35881126</w:t>
      </w:r>
    </w:p>
    <w:p>
      <w:pPr>
        <w:numPr>
          <w:ilvl w:val="0"/>
          <w:numId w:val="1380"/>
        </w:numPr>
        <w:pStyle w:val="Compact"/>
      </w:pPr>
      <w:r>
        <w:t xml:space="preserve">2022 · Hindson J ·</w:t>
      </w:r>
      <w:r>
        <w:t xml:space="preserve"> </w:t>
      </w:r>
      <w:r>
        <w:rPr>
          <w:iCs/>
          <w:i/>
        </w:rPr>
        <w:t xml:space="preserve">Nat Rev Gastroenterol Hepatol</w:t>
      </w:r>
      <w:r>
        <w:t xml:space="preserve"> </w:t>
      </w:r>
      <w:r>
        <w:t xml:space="preserve">· Tirzepatide to treat obesity: phase III results. PMID 35773392</w:t>
      </w:r>
    </w:p>
    <w:p>
      <w:pPr>
        <w:numPr>
          <w:ilvl w:val="0"/>
          <w:numId w:val="1380"/>
        </w:numPr>
        <w:pStyle w:val="Compact"/>
      </w:pPr>
      <w:r>
        <w:t xml:space="preserve">2022 · Jastreboff AM ·</w:t>
      </w:r>
      <w:r>
        <w:t xml:space="preserve"> </w:t>
      </w:r>
      <w:r>
        <w:rPr>
          <w:iCs/>
          <w:i/>
        </w:rPr>
        <w:t xml:space="preserve">N Engl J Med</w:t>
      </w:r>
      <w:r>
        <w:t xml:space="preserve"> </w:t>
      </w:r>
      <w:r>
        <w:t xml:space="preserve">· Tirzepatide Once Weekly for the Treatment of Obesity. PMID 35658024</w:t>
      </w:r>
    </w:p>
    <w:p>
      <w:pPr>
        <w:numPr>
          <w:ilvl w:val="0"/>
          <w:numId w:val="1380"/>
        </w:numPr>
        <w:pStyle w:val="Compact"/>
      </w:pPr>
      <w:r>
        <w:t xml:space="preserve">2022 · Gastaldelli A ·</w:t>
      </w:r>
      <w:r>
        <w:t xml:space="preserve"> </w:t>
      </w:r>
      <w:r>
        <w:rPr>
          <w:iCs/>
          <w:i/>
        </w:rPr>
        <w:t xml:space="preserve">Lancet Diabetes Endocrinol</w:t>
      </w:r>
      <w:r>
        <w:t xml:space="preserve"> </w:t>
      </w:r>
      <w:r>
        <w:t xml:space="preserve">· Effect of tirzepatide versus insulin degludec on liver fat content and abdominal adipose tissue in people with type 2 diabetes (SURPASS-3 MRI): a substudy of the randomised, open-label, parallel-group, phase 3 SURPASS-3 trial. PMID 35468325</w:t>
      </w:r>
    </w:p>
    <w:p>
      <w:pPr>
        <w:numPr>
          <w:ilvl w:val="0"/>
          <w:numId w:val="1380"/>
        </w:numPr>
        <w:pStyle w:val="Compact"/>
      </w:pPr>
      <w:r>
        <w:t xml:space="preserve">2022 · Heise T ·</w:t>
      </w:r>
      <w:r>
        <w:t xml:space="preserve"> </w:t>
      </w:r>
      <w:r>
        <w:rPr>
          <w:iCs/>
          <w:i/>
        </w:rPr>
        <w:t xml:space="preserve">Lancet Diabetes Endocrinol</w:t>
      </w:r>
      <w:r>
        <w:t xml:space="preserve"> </w:t>
      </w:r>
      <w:r>
        <w:t xml:space="preserve">· Effects of subcutaneous tirzepatide versus placebo or semaglutide on pancreatic islet function and insulin sensitivity in adults with type 2 diabetes: a multicentre, randomised, double-blind, parallel-arm, phase 1 clinical trial. PMID 35468322</w:t>
      </w:r>
    </w:p>
    <w:p>
      <w:pPr>
        <w:numPr>
          <w:ilvl w:val="0"/>
          <w:numId w:val="1380"/>
        </w:numPr>
        <w:pStyle w:val="Compact"/>
      </w:pPr>
      <w:r>
        <w:t xml:space="preserve">2022 · Battelino T ·</w:t>
      </w:r>
      <w:r>
        <w:t xml:space="preserve"> </w:t>
      </w:r>
      <w:r>
        <w:rPr>
          <w:iCs/>
          <w:i/>
        </w:rPr>
        <w:t xml:space="preserve">Lancet Diabetes Endocrinol</w:t>
      </w:r>
      <w:r>
        <w:t xml:space="preserve"> </w:t>
      </w:r>
      <w:r>
        <w:t xml:space="preserve">· Efficacy of once-weekly tirzepatide versus once-daily insulin degludec on glycaemic control measured by continuous glucose monitoring in adults with type 2 diabetes (SURPASS-3 CGM): a substudy of the randomised, open-label, parallel-group, phase 3 SURPASS-3 trial. PMID 35468321</w:t>
      </w:r>
    </w:p>
    <w:p>
      <w:pPr>
        <w:numPr>
          <w:ilvl w:val="0"/>
          <w:numId w:val="1380"/>
        </w:numPr>
        <w:pStyle w:val="Compact"/>
      </w:pPr>
      <w:r>
        <w:t xml:space="preserve">2022 · Dahl D ·</w:t>
      </w:r>
      <w:r>
        <w:t xml:space="preserve"> </w:t>
      </w:r>
      <w:r>
        <w:rPr>
          <w:iCs/>
          <w:i/>
        </w:rPr>
        <w:t xml:space="preserve">JAMA</w:t>
      </w:r>
      <w:r>
        <w:t xml:space="preserve"> </w:t>
      </w:r>
      <w:r>
        <w:t xml:space="preserve">· Effect of Subcutaneous Tirzepatide vs Placebo Added to Titrated Insulin Glargine on Glycemic Control in Patients With Type 2 Diabetes: The SURPASS-5 Randomized Clinical Trial. PMID 35133415</w:t>
      </w:r>
    </w:p>
    <w:p>
      <w:pPr>
        <w:numPr>
          <w:ilvl w:val="0"/>
          <w:numId w:val="1380"/>
        </w:numPr>
        <w:pStyle w:val="Compact"/>
      </w:pPr>
      <w:r>
        <w:t xml:space="preserve">2022 · Furihata K ·</w:t>
      </w:r>
      <w:r>
        <w:t xml:space="preserve"> </w:t>
      </w:r>
      <w:r>
        <w:rPr>
          <w:iCs/>
          <w:i/>
        </w:rPr>
        <w:t xml:space="preserve">Diabetes Obes Metab</w:t>
      </w:r>
      <w:r>
        <w:t xml:space="preserve"> </w:t>
      </w:r>
      <w:r>
        <w:t xml:space="preserve">· A phase 1 multiple-ascending dose study of tirzepatide in Japanese participants with type 2 diabetes. PMID 34647404</w:t>
      </w:r>
    </w:p>
    <w:p>
      <w:pPr>
        <w:numPr>
          <w:ilvl w:val="0"/>
          <w:numId w:val="1380"/>
        </w:numPr>
        <w:pStyle w:val="Compact"/>
      </w:pPr>
      <w:r>
        <w:t xml:space="preserve">2022 · Pirro V ·</w:t>
      </w:r>
      <w:r>
        <w:t xml:space="preserve"> </w:t>
      </w:r>
      <w:r>
        <w:rPr>
          <w:iCs/>
          <w:i/>
        </w:rPr>
        <w:t xml:space="preserve">J Clin Endocrinol Metab</w:t>
      </w:r>
      <w:r>
        <w:t xml:space="preserve"> </w:t>
      </w:r>
      <w:r>
        <w:t xml:space="preserve">· Effects of Tirzepatide, a Dual GIP and GLP-1 RA, on Lipid and Metabolite Profiles in Subjects With Type 2 Diabetes. PMID 34608929</w:t>
      </w:r>
    </w:p>
    <w:p>
      <w:pPr>
        <w:numPr>
          <w:ilvl w:val="0"/>
          <w:numId w:val="1380"/>
        </w:numPr>
        <w:pStyle w:val="Compact"/>
      </w:pPr>
      <w:r>
        <w:t xml:space="preserve">2022 · Wilson JM ·</w:t>
      </w:r>
      <w:r>
        <w:t xml:space="preserve"> </w:t>
      </w:r>
      <w:r>
        <w:rPr>
          <w:iCs/>
          <w:i/>
        </w:rPr>
        <w:t xml:space="preserve">Diabetes Obes Metab</w:t>
      </w:r>
      <w:r>
        <w:t xml:space="preserve"> </w:t>
      </w:r>
      <w:r>
        <w:t xml:space="preserve">· The dual glucose-dependent insulinotropic polypeptide and glucagon-like peptide-1 receptor agonist tirzepatide improves cardiovascular risk biomarkers in patients with type 2 diabetes: A post hoc analysis. PMID 34542221</w:t>
      </w:r>
    </w:p>
    <w:p>
      <w:pPr>
        <w:numPr>
          <w:ilvl w:val="0"/>
          <w:numId w:val="1380"/>
        </w:numPr>
        <w:pStyle w:val="Compact"/>
      </w:pPr>
      <w:r>
        <w:t xml:space="preserve">2021 · Del Prato S ·</w:t>
      </w:r>
      <w:r>
        <w:t xml:space="preserve"> </w:t>
      </w:r>
      <w:r>
        <w:rPr>
          <w:iCs/>
          <w:i/>
        </w:rPr>
        <w:t xml:space="preserve">Lancet</w:t>
      </w:r>
      <w:r>
        <w:t xml:space="preserve"> </w:t>
      </w:r>
      <w:r>
        <w:t xml:space="preserve">· Tirzepatide versus insulin glargine in type 2 diabetes and increased cardiovascular risk (SURPASS-4): a randomised, open-label, parallel-group, multicentre, phase 3 trial. PMID 34672967</w:t>
      </w:r>
    </w:p>
    <w:p>
      <w:pPr>
        <w:numPr>
          <w:ilvl w:val="0"/>
          <w:numId w:val="1380"/>
        </w:numPr>
        <w:pStyle w:val="Compact"/>
      </w:pPr>
      <w:r>
        <w:t xml:space="preserve">2021 · Ludvik B ·</w:t>
      </w:r>
      <w:r>
        <w:t xml:space="preserve"> </w:t>
      </w:r>
      <w:r>
        <w:rPr>
          <w:iCs/>
          <w:i/>
        </w:rPr>
        <w:t xml:space="preserve">Lancet</w:t>
      </w:r>
      <w:r>
        <w:t xml:space="preserve"> </w:t>
      </w:r>
      <w:r>
        <w:t xml:space="preserve">· Once-weekly tirzepatide versus once-daily insulin degludec as add-on to metformin with or without SGLT2 inhibitors in patients with type 2 diabetes (SURPASS-3): a randomised, open-label, parallel-group, phase 3 trial. PMID 34370970</w:t>
      </w:r>
    </w:p>
    <w:p>
      <w:pPr>
        <w:numPr>
          <w:ilvl w:val="0"/>
          <w:numId w:val="1380"/>
        </w:numPr>
        <w:pStyle w:val="Compact"/>
      </w:pPr>
      <w:r>
        <w:t xml:space="preserve">2021 · Rosenstock J ·</w:t>
      </w:r>
      <w:r>
        <w:t xml:space="preserve"> </w:t>
      </w:r>
      <w:r>
        <w:rPr>
          <w:iCs/>
          <w:i/>
        </w:rPr>
        <w:t xml:space="preserve">Lancet</w:t>
      </w:r>
      <w:r>
        <w:t xml:space="preserve"> </w:t>
      </w:r>
      <w:r>
        <w:t xml:space="preserve">· Efficacy and safety of a novel dual GIP and GLP-1 receptor agonist tirzepatide in patients with type 2 diabetes (SURPASS-1): a double-blind, randomised, phase 3 trial. PMID 34186022</w:t>
      </w:r>
    </w:p>
    <w:p>
      <w:pPr>
        <w:numPr>
          <w:ilvl w:val="0"/>
          <w:numId w:val="1380"/>
        </w:numPr>
        <w:pStyle w:val="Compact"/>
      </w:pPr>
      <w:r>
        <w:t xml:space="preserve">2021 · Frías JP ·</w:t>
      </w:r>
      <w:r>
        <w:t xml:space="preserve"> </w:t>
      </w:r>
      <w:r>
        <w:rPr>
          <w:iCs/>
          <w:i/>
        </w:rPr>
        <w:t xml:space="preserve">N Engl J Med</w:t>
      </w:r>
      <w:r>
        <w:t xml:space="preserve"> </w:t>
      </w:r>
      <w:r>
        <w:t xml:space="preserve">· Tirzepatide versus Semaglutide Once Weekly in Patients with Type 2 Diabetes. PMID 34170647</w:t>
      </w:r>
    </w:p>
    <w:p>
      <w:pPr>
        <w:numPr>
          <w:ilvl w:val="0"/>
          <w:numId w:val="1380"/>
        </w:numPr>
        <w:pStyle w:val="Compact"/>
      </w:pPr>
      <w:r>
        <w:t xml:space="preserve">2021 · Urva S ·</w:t>
      </w:r>
      <w:r>
        <w:t xml:space="preserve"> </w:t>
      </w:r>
      <w:r>
        <w:rPr>
          <w:iCs/>
          <w:i/>
        </w:rPr>
        <w:t xml:space="preserve">Clin Pharmacokinet</w:t>
      </w:r>
      <w:r>
        <w:t xml:space="preserve"> </w:t>
      </w:r>
      <w:r>
        <w:t xml:space="preserve">· Effects of Renal Impairment on the Pharmacokinetics of the Dual GIP and GLP-1 Receptor Agonist Tirzepatide. PMID 33778934</w:t>
      </w:r>
    </w:p>
    <w:p>
      <w:pPr>
        <w:numPr>
          <w:ilvl w:val="0"/>
          <w:numId w:val="1380"/>
        </w:numPr>
        <w:pStyle w:val="Compact"/>
      </w:pPr>
      <w:r>
        <w:t xml:space="preserve">2021 · Thomas MK ·</w:t>
      </w:r>
      <w:r>
        <w:t xml:space="preserve"> </w:t>
      </w:r>
      <w:r>
        <w:rPr>
          <w:iCs/>
          <w:i/>
        </w:rPr>
        <w:t xml:space="preserve">J Clin Endocrinol Metab</w:t>
      </w:r>
      <w:r>
        <w:t xml:space="preserve"> </w:t>
      </w:r>
      <w:r>
        <w:t xml:space="preserve">· Dual GIP and GLP-1 Receptor Agonist Tirzepatide Improves Beta-cell Function and Insulin Sensitivity in Type 2 Diabetes. PMID 33236115</w:t>
      </w:r>
    </w:p>
    <w:p>
      <w:pPr>
        <w:numPr>
          <w:ilvl w:val="0"/>
          <w:numId w:val="1380"/>
        </w:numPr>
        <w:pStyle w:val="Compact"/>
      </w:pPr>
      <w:r>
        <w:t xml:space="preserve">2020 · Wilson JM ·</w:t>
      </w:r>
      <w:r>
        <w:t xml:space="preserve"> </w:t>
      </w:r>
      <w:r>
        <w:rPr>
          <w:iCs/>
          <w:i/>
        </w:rPr>
        <w:t xml:space="preserve">Diabetes Obes Metab</w:t>
      </w:r>
      <w:r>
        <w:t xml:space="preserve"> </w:t>
      </w:r>
      <w:r>
        <w:t xml:space="preserve">· The dual glucose-dependent insulinotropic peptide and glucagon-like peptide-1 receptor agonist, tirzepatide, improves lipoprotein biomarkers associated with insulin resistance and cardiovascular risk in patients with type 2 diabetes. PMID 33462955</w:t>
      </w:r>
    </w:p>
    <w:p>
      <w:pPr>
        <w:numPr>
          <w:ilvl w:val="0"/>
          <w:numId w:val="1380"/>
        </w:numPr>
        <w:pStyle w:val="Compact"/>
      </w:pPr>
      <w:r>
        <w:t xml:space="preserve">2020 · Hartman ML ·</w:t>
      </w:r>
      <w:r>
        <w:t xml:space="preserve"> </w:t>
      </w:r>
      <w:r>
        <w:rPr>
          <w:iCs/>
          <w:i/>
        </w:rPr>
        <w:t xml:space="preserve">Diabetes Care</w:t>
      </w:r>
      <w:r>
        <w:t xml:space="preserve"> </w:t>
      </w:r>
      <w:r>
        <w:t xml:space="preserve">· Effects of Novel Dual GIP and GLP-1 Receptor Agonist Tirzepatide on Biomarkers of Nonalcoholic Steatohepatitis in Patients With Type 2 Diabetes. PMID 32291277</w:t>
      </w:r>
    </w:p>
    <w:p>
      <w:pPr>
        <w:numPr>
          <w:ilvl w:val="0"/>
          <w:numId w:val="1380"/>
        </w:numPr>
        <w:pStyle w:val="Compact"/>
      </w:pPr>
      <w:r>
        <w:t xml:space="preserve">2020 · Frias JP ·</w:t>
      </w:r>
      <w:r>
        <w:t xml:space="preserve"> </w:t>
      </w:r>
      <w:r>
        <w:rPr>
          <w:iCs/>
          <w:i/>
        </w:rPr>
        <w:t xml:space="preserve">Diabetes Obes Metab</w:t>
      </w:r>
      <w:r>
        <w:t xml:space="preserve"> </w:t>
      </w:r>
      <w:r>
        <w:t xml:space="preserve">· Efficacy and tolerability of tirzepatide, a dual glucose-dependent insulinotropic peptide and glucagon-like peptide-1 receptor agonist in patients with type 2 diabetes: A 12-week, randomized, double-blind, placebo-controlled study to evaluate different dose-escalation regimens. PMID 31984598</w:t>
      </w:r>
    </w:p>
    <w:bookmarkEnd w:id="1120"/>
    <w:bookmarkStart w:id="1121" w:name="retatrutide-10"/>
    <w:p>
      <w:pPr>
        <w:pStyle w:val="Heading2"/>
      </w:pPr>
      <w:r>
        <w:t xml:space="preserve">Retatrutide (10)</w:t>
      </w:r>
    </w:p>
    <w:p>
      <w:pPr>
        <w:numPr>
          <w:ilvl w:val="0"/>
          <w:numId w:val="1381"/>
        </w:numPr>
        <w:pStyle w:val="Compact"/>
      </w:pPr>
      <w:r>
        <w:t xml:space="preserve">2026 · Bellido V ·</w:t>
      </w:r>
      <w:r>
        <w:t xml:space="preserve"> </w:t>
      </w:r>
      <w:r>
        <w:rPr>
          <w:iCs/>
          <w:i/>
        </w:rPr>
        <w:t xml:space="preserve">Lancet</w:t>
      </w:r>
      <w:r>
        <w:t xml:space="preserve"> </w:t>
      </w:r>
      <w:r>
        <w:t xml:space="preserve">· Retatrutide in adults with obesity and type 2 diabetes (TRIUMPH-2): a double-blind, parallel-group, randomised, placebo-controlled, phase 3 trial. PMID 42810372</w:t>
      </w:r>
    </w:p>
    <w:p>
      <w:pPr>
        <w:numPr>
          <w:ilvl w:val="0"/>
          <w:numId w:val="1381"/>
        </w:numPr>
        <w:pStyle w:val="Compact"/>
      </w:pPr>
      <w:r>
        <w:t xml:space="preserve">2026 · Ruotolo G ·</w:t>
      </w:r>
      <w:r>
        <w:t xml:space="preserve"> </w:t>
      </w:r>
      <w:r>
        <w:rPr>
          <w:iCs/>
          <w:i/>
        </w:rPr>
        <w:t xml:space="preserve">Diabetes Obes Metab</w:t>
      </w:r>
      <w:r>
        <w:t xml:space="preserve"> </w:t>
      </w:r>
      <w:r>
        <w:t xml:space="preserve">· Retatrutide-Associated Improvements in Cardiovascular Risk Biomarkers in Adults With Obesity With or Without Type 2 Diabetes. PMID 42608321</w:t>
      </w:r>
    </w:p>
    <w:p>
      <w:pPr>
        <w:numPr>
          <w:ilvl w:val="0"/>
          <w:numId w:val="1381"/>
        </w:numPr>
        <w:pStyle w:val="Compact"/>
      </w:pPr>
      <w:r>
        <w:t xml:space="preserve">2026 · Bajaj HS ·</w:t>
      </w:r>
      <w:r>
        <w:t xml:space="preserve"> </w:t>
      </w:r>
      <w:r>
        <w:rPr>
          <w:iCs/>
          <w:i/>
        </w:rPr>
        <w:t xml:space="preserve">Lancet</w:t>
      </w:r>
      <w:r>
        <w:t xml:space="preserve"> </w:t>
      </w:r>
      <w:r>
        <w:t xml:space="preserve">· Efficacy and safety of retatrutide, a GIP, GLP-1, and glucagon receptor agonist, in people with type 2 diabetes and inadequate glycaemic control with diet and exercise (TRANSCEND-T2D-1): a double-blind, randomised, phase 3 trial. PMID 42250575</w:t>
      </w:r>
    </w:p>
    <w:p>
      <w:pPr>
        <w:numPr>
          <w:ilvl w:val="0"/>
          <w:numId w:val="1381"/>
        </w:numPr>
        <w:pStyle w:val="Compact"/>
      </w:pPr>
      <w:r>
        <w:t xml:space="preserve">2026 · Pearson MJ ·</w:t>
      </w:r>
      <w:r>
        <w:t xml:space="preserve"> </w:t>
      </w:r>
      <w:r>
        <w:rPr>
          <w:iCs/>
          <w:i/>
        </w:rPr>
        <w:t xml:space="preserve">J Clin Endocrinol Metab</w:t>
      </w:r>
      <w:r>
        <w:t xml:space="preserve"> </w:t>
      </w:r>
      <w:r>
        <w:t xml:space="preserve">· Retatrutide and lipid and metabolite profiles in participants with obesity with or without type 2 diabetes. PMID 42135195</w:t>
      </w:r>
    </w:p>
    <w:p>
      <w:pPr>
        <w:numPr>
          <w:ilvl w:val="0"/>
          <w:numId w:val="1381"/>
        </w:numPr>
        <w:pStyle w:val="Compact"/>
      </w:pPr>
      <w:r>
        <w:t xml:space="preserve">2025 · Kanu C ·</w:t>
      </w:r>
      <w:r>
        <w:t xml:space="preserve"> </w:t>
      </w:r>
      <w:r>
        <w:rPr>
          <w:iCs/>
          <w:i/>
        </w:rPr>
        <w:t xml:space="preserve">Diabetes Obes Metab</w:t>
      </w:r>
      <w:r>
        <w:t xml:space="preserve"> </w:t>
      </w:r>
      <w:r>
        <w:t xml:space="preserve">· Appetite, eating attitudes, and eating behaviours during treatment with retatrutide in adults with type 2 diabetes: Results of a phase 2 study. PMID 40916752</w:t>
      </w:r>
    </w:p>
    <w:p>
      <w:pPr>
        <w:numPr>
          <w:ilvl w:val="0"/>
          <w:numId w:val="1381"/>
        </w:numPr>
        <w:pStyle w:val="Compact"/>
      </w:pPr>
      <w:r>
        <w:t xml:space="preserve">2025 · Wen Y ·</w:t>
      </w:r>
      <w:r>
        <w:t xml:space="preserve"> </w:t>
      </w:r>
      <w:r>
        <w:rPr>
          <w:iCs/>
          <w:i/>
        </w:rPr>
        <w:t xml:space="preserve">Diabetes Obes Metab</w:t>
      </w:r>
      <w:r>
        <w:t xml:space="preserve"> </w:t>
      </w:r>
      <w:r>
        <w:t xml:space="preserve">· Decreases in circulating ANGPTL3/8 concentrations following retatrutide treatment parallel reductions in serum lipids. PMID 40726454</w:t>
      </w:r>
    </w:p>
    <w:p>
      <w:pPr>
        <w:numPr>
          <w:ilvl w:val="0"/>
          <w:numId w:val="1381"/>
        </w:numPr>
        <w:pStyle w:val="Compact"/>
      </w:pPr>
      <w:r>
        <w:t xml:space="preserve">2025 · Coskun T ·</w:t>
      </w:r>
      <w:r>
        <w:t xml:space="preserve"> </w:t>
      </w:r>
      <w:r>
        <w:rPr>
          <w:iCs/>
          <w:i/>
        </w:rPr>
        <w:t xml:space="preserve">Lancet Diabetes Endocrinol</w:t>
      </w:r>
      <w:r>
        <w:t xml:space="preserve"> </w:t>
      </w:r>
      <w:r>
        <w:t xml:space="preserve">· Effects of retatrutide on body composition in people with type 2 diabetes: a substudy of a phase 2, double-blind, parallel-group, placebo-controlled, randomised trial. PMID 40609566</w:t>
      </w:r>
    </w:p>
    <w:p>
      <w:pPr>
        <w:numPr>
          <w:ilvl w:val="0"/>
          <w:numId w:val="1381"/>
        </w:numPr>
        <w:pStyle w:val="Compact"/>
      </w:pPr>
      <w:r>
        <w:t xml:space="preserve">2024 · Sanyal AJ ·</w:t>
      </w:r>
      <w:r>
        <w:t xml:space="preserve"> </w:t>
      </w:r>
      <w:r>
        <w:rPr>
          <w:iCs/>
          <w:i/>
        </w:rPr>
        <w:t xml:space="preserve">Nat Med</w:t>
      </w:r>
      <w:r>
        <w:t xml:space="preserve"> </w:t>
      </w:r>
      <w:r>
        <w:t xml:space="preserve">· Triple hormone receptor agonist retatrutide for metabolic dysfunction-associated steatotic liver disease: a randomized phase 2a trial. PMID 38858523</w:t>
      </w:r>
    </w:p>
    <w:p>
      <w:pPr>
        <w:numPr>
          <w:ilvl w:val="0"/>
          <w:numId w:val="1381"/>
        </w:numPr>
        <w:pStyle w:val="Compact"/>
      </w:pPr>
      <w:r>
        <w:t xml:space="preserve">2023 · Rosenstock J ·</w:t>
      </w:r>
      <w:r>
        <w:t xml:space="preserve"> </w:t>
      </w:r>
      <w:r>
        <w:rPr>
          <w:iCs/>
          <w:i/>
        </w:rPr>
        <w:t xml:space="preserve">Lancet</w:t>
      </w:r>
      <w:r>
        <w:t xml:space="preserve"> </w:t>
      </w:r>
      <w:r>
        <w:t xml:space="preserve">· Retatrutide, a GIP, GLP-1 and glucagon receptor agonist, for people with type 2 diabetes: a randomised, double-blind, placebo and active-controlled, parallel-group, phase 2 trial conducted in the USA. PMID 37385280</w:t>
      </w:r>
    </w:p>
    <w:p>
      <w:pPr>
        <w:numPr>
          <w:ilvl w:val="0"/>
          <w:numId w:val="1381"/>
        </w:numPr>
        <w:pStyle w:val="Compact"/>
      </w:pPr>
      <w:r>
        <w:t xml:space="preserve">2023 · Jastreboff AM ·</w:t>
      </w:r>
      <w:r>
        <w:t xml:space="preserve"> </w:t>
      </w:r>
      <w:r>
        <w:rPr>
          <w:iCs/>
          <w:i/>
        </w:rPr>
        <w:t xml:space="preserve">N Engl J Med</w:t>
      </w:r>
      <w:r>
        <w:t xml:space="preserve"> </w:t>
      </w:r>
      <w:r>
        <w:t xml:space="preserve">· Triple-Hormone-Receptor Agonist Retatrutide for Obesity - A Phase 2 Trial. PMID 37366315</w:t>
      </w:r>
    </w:p>
    <w:bookmarkEnd w:id="1121"/>
    <w:bookmarkStart w:id="1122" w:name="survodutide-10"/>
    <w:p>
      <w:pPr>
        <w:pStyle w:val="Heading2"/>
      </w:pPr>
      <w:r>
        <w:t xml:space="preserve">Survodutide (10)</w:t>
      </w:r>
    </w:p>
    <w:p>
      <w:pPr>
        <w:numPr>
          <w:ilvl w:val="0"/>
          <w:numId w:val="1382"/>
        </w:numPr>
        <w:pStyle w:val="Compact"/>
      </w:pPr>
      <w:r>
        <w:t xml:space="preserve">2026 · Ekinci EI ·</w:t>
      </w:r>
      <w:r>
        <w:t xml:space="preserve"> </w:t>
      </w:r>
      <w:r>
        <w:rPr>
          <w:iCs/>
          <w:i/>
        </w:rPr>
        <w:t xml:space="preserve">Diabetes Obes Metab</w:t>
      </w:r>
      <w:r>
        <w:t xml:space="preserve"> </w:t>
      </w:r>
      <w:r>
        <w:t xml:space="preserve">· Dual Glucagon and GLP-1 Receptor Agonist Survodutide Improves Biomarkers of Beta-Cell Function and Insulin Sensitivity in People With Type 2 Diabetes or Living With Overweight/Obesity. PMID 42331726</w:t>
      </w:r>
    </w:p>
    <w:p>
      <w:pPr>
        <w:numPr>
          <w:ilvl w:val="0"/>
          <w:numId w:val="1382"/>
        </w:numPr>
        <w:pStyle w:val="Compact"/>
      </w:pPr>
      <w:r>
        <w:t xml:space="preserve">2026 · le Roux CW ·</w:t>
      </w:r>
      <w:r>
        <w:t xml:space="preserve"> </w:t>
      </w:r>
      <w:r>
        <w:rPr>
          <w:iCs/>
          <w:i/>
        </w:rPr>
        <w:t xml:space="preserve">N Engl J Med</w:t>
      </w:r>
      <w:r>
        <w:t xml:space="preserve"> </w:t>
      </w:r>
      <w:r>
        <w:t xml:space="preserve">· Survodutide Once Weekly for the Treatment of Adults with Obesity. PMID 42253238</w:t>
      </w:r>
    </w:p>
    <w:p>
      <w:pPr>
        <w:numPr>
          <w:ilvl w:val="0"/>
          <w:numId w:val="1382"/>
        </w:numPr>
        <w:pStyle w:val="Compact"/>
      </w:pPr>
      <w:r>
        <w:t xml:space="preserve">2026 · Kaplan LM ·</w:t>
      </w:r>
      <w:r>
        <w:t xml:space="preserve"> </w:t>
      </w:r>
      <w:r>
        <w:rPr>
          <w:iCs/>
          <w:i/>
        </w:rPr>
        <w:t xml:space="preserve">Nat Med</w:t>
      </w:r>
      <w:r>
        <w:t xml:space="preserve"> </w:t>
      </w:r>
      <w:r>
        <w:t xml:space="preserve">· Survodutide in adults with obesity and metabolic dysfunction-associated steatotic liver disease: SYNCHRONIZE-MASLD, a randomized, double-blind, placebo-controlled phase 3 trial. PMID 42252333</w:t>
      </w:r>
    </w:p>
    <w:p>
      <w:pPr>
        <w:numPr>
          <w:ilvl w:val="0"/>
          <w:numId w:val="1382"/>
        </w:numPr>
        <w:pStyle w:val="Compact"/>
      </w:pPr>
      <w:r>
        <w:t xml:space="preserve">2026 · Wharton S ·</w:t>
      </w:r>
      <w:r>
        <w:t xml:space="preserve"> </w:t>
      </w:r>
      <w:r>
        <w:rPr>
          <w:iCs/>
          <w:i/>
        </w:rPr>
        <w:t xml:space="preserve">Diabetes Obes Metab</w:t>
      </w:r>
      <w:r>
        <w:t xml:space="preserve"> </w:t>
      </w:r>
      <w:r>
        <w:t xml:space="preserve">· Baseline characteristics in the SYNCHRONIZE™-2 randomized phase 3 trial of survodutide, a glucagon receptor/GLP-1 receptor dual agonist, for obesity in people with type 2 diabetes. PMID 41216778</w:t>
      </w:r>
    </w:p>
    <w:p>
      <w:pPr>
        <w:numPr>
          <w:ilvl w:val="0"/>
          <w:numId w:val="1382"/>
        </w:numPr>
        <w:pStyle w:val="Compact"/>
      </w:pPr>
      <w:r>
        <w:t xml:space="preserve">2026 · le Roux CW ·</w:t>
      </w:r>
      <w:r>
        <w:t xml:space="preserve"> </w:t>
      </w:r>
      <w:r>
        <w:rPr>
          <w:iCs/>
          <w:i/>
        </w:rPr>
        <w:t xml:space="preserve">Diabetes Obes Metab</w:t>
      </w:r>
      <w:r>
        <w:t xml:space="preserve"> </w:t>
      </w:r>
      <w:r>
        <w:t xml:space="preserve">· Survodutide for treatment of obesity: Baseline characteristics of participants in a randomized, double-blind, placebo-controlled, phase 3 trial (SYNCHRONIZE™-1). PMID 41187967</w:t>
      </w:r>
    </w:p>
    <w:p>
      <w:pPr>
        <w:numPr>
          <w:ilvl w:val="0"/>
          <w:numId w:val="1382"/>
        </w:numPr>
        <w:pStyle w:val="Compact"/>
      </w:pPr>
      <w:r>
        <w:t xml:space="preserve">2025 · le Roux CW ·</w:t>
      </w:r>
      <w:r>
        <w:t xml:space="preserve"> </w:t>
      </w:r>
      <w:r>
        <w:rPr>
          <w:iCs/>
          <w:i/>
        </w:rPr>
        <w:t xml:space="preserve">Diabetes Obes Metab</w:t>
      </w:r>
      <w:r>
        <w:t xml:space="preserve"> </w:t>
      </w:r>
      <w:r>
        <w:t xml:space="preserve">· Subgroup analysis by sex and baseline BMI in people with a BMI ≥27 kg/m(2) in the phase 2 trial of survodutide, a glucagon/GLP-1 receptor dual agonist. PMID 39821928</w:t>
      </w:r>
    </w:p>
    <w:p>
      <w:pPr>
        <w:numPr>
          <w:ilvl w:val="0"/>
          <w:numId w:val="1382"/>
        </w:numPr>
        <w:pStyle w:val="Compact"/>
      </w:pPr>
      <w:r>
        <w:t xml:space="preserve">2024 · Lawitz EJ ·</w:t>
      </w:r>
      <w:r>
        <w:t xml:space="preserve"> </w:t>
      </w:r>
      <w:r>
        <w:rPr>
          <w:iCs/>
          <w:i/>
        </w:rPr>
        <w:t xml:space="preserve">J Hepatol</w:t>
      </w:r>
      <w:r>
        <w:t xml:space="preserve"> </w:t>
      </w:r>
      <w:r>
        <w:t xml:space="preserve">· Efficacy, tolerability and pharmacokinetics of survodutide, a glucagon/glucagon-like peptide-1 receptor dual agonist, in cirrhosis. PMID 38857788</w:t>
      </w:r>
    </w:p>
    <w:p>
      <w:pPr>
        <w:numPr>
          <w:ilvl w:val="0"/>
          <w:numId w:val="1382"/>
        </w:numPr>
        <w:pStyle w:val="Compact"/>
      </w:pPr>
      <w:r>
        <w:t xml:space="preserve">2024 · Sanyal AJ ·</w:t>
      </w:r>
      <w:r>
        <w:t xml:space="preserve"> </w:t>
      </w:r>
      <w:r>
        <w:rPr>
          <w:iCs/>
          <w:i/>
        </w:rPr>
        <w:t xml:space="preserve">N Engl J Med</w:t>
      </w:r>
      <w:r>
        <w:t xml:space="preserve"> </w:t>
      </w:r>
      <w:r>
        <w:t xml:space="preserve">· A Phase 2 Randomized Trial of Survodutide in MASH and Fibrosis. PMID 38847460</w:t>
      </w:r>
    </w:p>
    <w:p>
      <w:pPr>
        <w:numPr>
          <w:ilvl w:val="0"/>
          <w:numId w:val="1382"/>
        </w:numPr>
        <w:pStyle w:val="Compact"/>
      </w:pPr>
      <w:r>
        <w:t xml:space="preserve">2024 · le Roux CW ·</w:t>
      </w:r>
      <w:r>
        <w:t xml:space="preserve"> </w:t>
      </w:r>
      <w:r>
        <w:rPr>
          <w:iCs/>
          <w:i/>
        </w:rPr>
        <w:t xml:space="preserve">Lancet Diabetes Endocrinol</w:t>
      </w:r>
      <w:r>
        <w:t xml:space="preserve"> </w:t>
      </w:r>
      <w:r>
        <w:t xml:space="preserve">· Glucagon and GLP-1 receptor dual agonist survodutide for obesity: a randomised, double-blind, placebo-controlled, dose-finding phase 2 trial. PMID 38330987</w:t>
      </w:r>
    </w:p>
    <w:p>
      <w:pPr>
        <w:numPr>
          <w:ilvl w:val="0"/>
          <w:numId w:val="1382"/>
        </w:numPr>
        <w:pStyle w:val="Compact"/>
      </w:pPr>
      <w:r>
        <w:t xml:space="preserve">2024 · Blüher M ·</w:t>
      </w:r>
      <w:r>
        <w:t xml:space="preserve"> </w:t>
      </w:r>
      <w:r>
        <w:rPr>
          <w:iCs/>
          <w:i/>
        </w:rPr>
        <w:t xml:space="preserve">Diabetologia</w:t>
      </w:r>
      <w:r>
        <w:t xml:space="preserve"> </w:t>
      </w:r>
      <w:r>
        <w:t xml:space="preserve">· Dose-response effects on HbA(1c) and bodyweight reduction of survodutide, a dual glucagon/GLP-1 receptor agonist, compared with placebo and open-label semaglutide in people with type 2 diabetes: a randomised clinical trial. PMID 38095657</w:t>
      </w:r>
    </w:p>
    <w:bookmarkEnd w:id="1122"/>
    <w:bookmarkStart w:id="1123" w:name="mazdutide-9"/>
    <w:p>
      <w:pPr>
        <w:pStyle w:val="Heading2"/>
      </w:pPr>
      <w:r>
        <w:t xml:space="preserve">Mazdutide (9)</w:t>
      </w:r>
    </w:p>
    <w:p>
      <w:pPr>
        <w:numPr>
          <w:ilvl w:val="0"/>
          <w:numId w:val="1383"/>
        </w:numPr>
        <w:pStyle w:val="Compact"/>
      </w:pPr>
      <w:r>
        <w:t xml:space="preserve">2026 · Hsia SH ·</w:t>
      </w:r>
      <w:r>
        <w:t xml:space="preserve"> </w:t>
      </w:r>
      <w:r>
        <w:rPr>
          <w:iCs/>
          <w:i/>
        </w:rPr>
        <w:t xml:space="preserve">Lancet Diabetes Endocrinol</w:t>
      </w:r>
      <w:r>
        <w:t xml:space="preserve"> </w:t>
      </w:r>
      <w:r>
        <w:t xml:space="preserve">· Efficacy and safety of mazdutide in adults with obesity or overweight: a US-based, multicentre, phase 2, randomised, placebo-controlled clinical trial. PMID 42628555</w:t>
      </w:r>
    </w:p>
    <w:p>
      <w:pPr>
        <w:numPr>
          <w:ilvl w:val="0"/>
          <w:numId w:val="1383"/>
        </w:numPr>
        <w:pStyle w:val="Compact"/>
      </w:pPr>
      <w:r>
        <w:t xml:space="preserve">2026 · Gao L ·</w:t>
      </w:r>
      <w:r>
        <w:t xml:space="preserve"> </w:t>
      </w:r>
      <w:r>
        <w:rPr>
          <w:iCs/>
          <w:i/>
        </w:rPr>
        <w:t xml:space="preserve">JAMA</w:t>
      </w:r>
      <w:r>
        <w:t xml:space="preserve"> </w:t>
      </w:r>
      <w:r>
        <w:t xml:space="preserve">· Treatment With 9-mg Mazdutide for Weight Reduction in Chinese Adults With Obesity: The GLORY-2 Randomized Clinical Trial. PMID 42251595</w:t>
      </w:r>
    </w:p>
    <w:p>
      <w:pPr>
        <w:numPr>
          <w:ilvl w:val="0"/>
          <w:numId w:val="1383"/>
        </w:numPr>
        <w:pStyle w:val="Compact"/>
      </w:pPr>
      <w:r>
        <w:t xml:space="preserve">2026 · Ji L ·</w:t>
      </w:r>
      <w:r>
        <w:t xml:space="preserve"> </w:t>
      </w:r>
      <w:r>
        <w:rPr>
          <w:iCs/>
          <w:i/>
        </w:rPr>
        <w:t xml:space="preserve">Med</w:t>
      </w:r>
      <w:r>
        <w:t xml:space="preserve"> </w:t>
      </w:r>
      <w:r>
        <w:t xml:space="preserve">· Mazdutide 9 mg in Chinese adults with a body mass index ≥30 kg/m(2) but without diabetes: A phase 2 randomized controlled trial. PMID 41875890</w:t>
      </w:r>
    </w:p>
    <w:p>
      <w:pPr>
        <w:numPr>
          <w:ilvl w:val="0"/>
          <w:numId w:val="1383"/>
        </w:numPr>
        <w:pStyle w:val="Compact"/>
      </w:pPr>
      <w:r>
        <w:t xml:space="preserve">2026 · Guo L ·</w:t>
      </w:r>
      <w:r>
        <w:t xml:space="preserve"> </w:t>
      </w:r>
      <w:r>
        <w:rPr>
          <w:iCs/>
          <w:i/>
        </w:rPr>
        <w:t xml:space="preserve">Nature</w:t>
      </w:r>
      <w:r>
        <w:t xml:space="preserve"> </w:t>
      </w:r>
      <w:r>
        <w:t xml:space="preserve">· Mazdutide versus dulaglutide in Chinese adults with type 2 diabetes. PMID 41407860</w:t>
      </w:r>
    </w:p>
    <w:p>
      <w:pPr>
        <w:numPr>
          <w:ilvl w:val="0"/>
          <w:numId w:val="1383"/>
        </w:numPr>
        <w:pStyle w:val="Compact"/>
      </w:pPr>
      <w:r>
        <w:t xml:space="preserve">2026 · Zhu D ·</w:t>
      </w:r>
      <w:r>
        <w:t xml:space="preserve"> </w:t>
      </w:r>
      <w:r>
        <w:rPr>
          <w:iCs/>
          <w:i/>
        </w:rPr>
        <w:t xml:space="preserve">Nature</w:t>
      </w:r>
      <w:r>
        <w:t xml:space="preserve"> </w:t>
      </w:r>
      <w:r>
        <w:t xml:space="preserve">· Mazdutide versus placebo in Chinese adults with type 2 diabetes. PMID 41407859</w:t>
      </w:r>
    </w:p>
    <w:p>
      <w:pPr>
        <w:numPr>
          <w:ilvl w:val="0"/>
          <w:numId w:val="1383"/>
        </w:numPr>
        <w:pStyle w:val="Compact"/>
      </w:pPr>
      <w:r>
        <w:t xml:space="preserve">2025 · Bhattachar SN ·</w:t>
      </w:r>
      <w:r>
        <w:t xml:space="preserve"> </w:t>
      </w:r>
      <w:r>
        <w:rPr>
          <w:iCs/>
          <w:i/>
        </w:rPr>
        <w:t xml:space="preserve">Diabetes Obes Metab</w:t>
      </w:r>
      <w:r>
        <w:t xml:space="preserve"> </w:t>
      </w:r>
      <w:r>
        <w:t xml:space="preserve">· Mazdutide reduces body weight in adults with overweight or obesity: A high-dose Phase 1 trial. PMID 40832785</w:t>
      </w:r>
    </w:p>
    <w:p>
      <w:pPr>
        <w:numPr>
          <w:ilvl w:val="0"/>
          <w:numId w:val="1383"/>
        </w:numPr>
        <w:pStyle w:val="Compact"/>
      </w:pPr>
      <w:r>
        <w:t xml:space="preserve">2025 · Ji L ·</w:t>
      </w:r>
      <w:r>
        <w:t xml:space="preserve"> </w:t>
      </w:r>
      <w:r>
        <w:rPr>
          <w:iCs/>
          <w:i/>
        </w:rPr>
        <w:t xml:space="preserve">N Engl J Med</w:t>
      </w:r>
      <w:r>
        <w:t xml:space="preserve"> </w:t>
      </w:r>
      <w:r>
        <w:t xml:space="preserve">· Once-Weekly Mazdutide in Chinese Adults with Obesity or Overweight. PMID 40421736</w:t>
      </w:r>
    </w:p>
    <w:p>
      <w:pPr>
        <w:numPr>
          <w:ilvl w:val="0"/>
          <w:numId w:val="1383"/>
        </w:numPr>
        <w:pStyle w:val="Compact"/>
      </w:pPr>
      <w:r>
        <w:t xml:space="preserve">2024 · Zhang B ·</w:t>
      </w:r>
      <w:r>
        <w:t xml:space="preserve"> </w:t>
      </w:r>
      <w:r>
        <w:rPr>
          <w:iCs/>
          <w:i/>
        </w:rPr>
        <w:t xml:space="preserve">Diabetes Care</w:t>
      </w:r>
      <w:r>
        <w:t xml:space="preserve"> </w:t>
      </w:r>
      <w:r>
        <w:t xml:space="preserve">· Efficacy and Safety of Mazdutide in Chinese Patients With Type 2 Diabetes: A Randomized, Double-Blind, Placebo-Controlled Phase 2 Trial. PMID 37943529</w:t>
      </w:r>
    </w:p>
    <w:p>
      <w:pPr>
        <w:numPr>
          <w:ilvl w:val="0"/>
          <w:numId w:val="1383"/>
        </w:numPr>
        <w:pStyle w:val="Compact"/>
      </w:pPr>
      <w:r>
        <w:t xml:space="preserve">2023 · Ji L ·</w:t>
      </w:r>
      <w:r>
        <w:t xml:space="preserve"> </w:t>
      </w:r>
      <w:r>
        <w:rPr>
          <w:iCs/>
          <w:i/>
        </w:rPr>
        <w:t xml:space="preserve">Nat Commun</w:t>
      </w:r>
      <w:r>
        <w:t xml:space="preserve"> </w:t>
      </w:r>
      <w:r>
        <w:t xml:space="preserve">· A phase 2 randomised controlled trial of mazdutide in Chinese overweight adults or adults with obesity. PMID 38092790</w:t>
      </w:r>
    </w:p>
    <w:bookmarkEnd w:id="1123"/>
    <w:bookmarkStart w:id="1124" w:name="cagrilintide-en-cagrisema-15"/>
    <w:p>
      <w:pPr>
        <w:pStyle w:val="Heading2"/>
      </w:pPr>
      <w:r>
        <w:t xml:space="preserve">Cagrilintide en CagriSema (15)</w:t>
      </w:r>
    </w:p>
    <w:p>
      <w:pPr>
        <w:numPr>
          <w:ilvl w:val="0"/>
          <w:numId w:val="1384"/>
        </w:numPr>
        <w:pStyle w:val="Compact"/>
      </w:pPr>
      <w:r>
        <w:t xml:space="preserve">2026 · Busetto L ·</w:t>
      </w:r>
      <w:r>
        <w:t xml:space="preserve"> </w:t>
      </w:r>
      <w:r>
        <w:rPr>
          <w:iCs/>
          <w:i/>
        </w:rPr>
        <w:t xml:space="preserve">Diabetes Obes Metab</w:t>
      </w:r>
      <w:r>
        <w:t xml:space="preserve"> </w:t>
      </w:r>
      <w:r>
        <w:t xml:space="preserve">· Efficacy of CagriSema for Reaching Anthropometric Treatment Targets and Cardiometabolic Outcomes: A Secondary, Post hoc Analysis of REDEFINE 1. PMID 42503495</w:t>
      </w:r>
    </w:p>
    <w:p>
      <w:pPr>
        <w:numPr>
          <w:ilvl w:val="0"/>
          <w:numId w:val="1384"/>
        </w:numPr>
        <w:pStyle w:val="Compact"/>
      </w:pPr>
      <w:r>
        <w:t xml:space="preserve">2026 · Loomba R ·</w:t>
      </w:r>
      <w:r>
        <w:t xml:space="preserve"> </w:t>
      </w:r>
      <w:r>
        <w:rPr>
          <w:iCs/>
          <w:i/>
        </w:rPr>
        <w:t xml:space="preserve">Lancet Gastroenterol Hepatol</w:t>
      </w:r>
      <w:r>
        <w:t xml:space="preserve"> </w:t>
      </w:r>
      <w:r>
        <w:t xml:space="preserve">· Efficacy and safety of zalfermin co-administered with semaglutide in participants with fibrosis and cirrhosis due to metabolic dysfunction-associated steatohepatitis: a phase 2, dose-ranging, double-blind, randomised controlled trial. PMID 42456707</w:t>
      </w:r>
    </w:p>
    <w:p>
      <w:pPr>
        <w:numPr>
          <w:ilvl w:val="0"/>
          <w:numId w:val="1384"/>
        </w:numPr>
        <w:pStyle w:val="Compact"/>
      </w:pPr>
      <w:r>
        <w:t xml:space="preserve">2026 · Aroda VR ·</w:t>
      </w:r>
      <w:r>
        <w:t xml:space="preserve"> </w:t>
      </w:r>
      <w:r>
        <w:rPr>
          <w:iCs/>
          <w:i/>
        </w:rPr>
        <w:t xml:space="preserve">Lancet Diabetes Endocrinol</w:t>
      </w:r>
      <w:r>
        <w:t xml:space="preserve"> </w:t>
      </w:r>
      <w:r>
        <w:t xml:space="preserve">· Efficacy and safety of once-weekly cagrilintide-semaglutide (CagriSema) in adults with type 2 diabetes inadequately controlled on diet and exercise (REIMAGINE 1): a randomised, double-blind, placebo-controlled, phase 3a study. PMID 42251860</w:t>
      </w:r>
    </w:p>
    <w:p>
      <w:pPr>
        <w:numPr>
          <w:ilvl w:val="0"/>
          <w:numId w:val="1384"/>
        </w:numPr>
        <w:pStyle w:val="Compact"/>
      </w:pPr>
      <w:r>
        <w:t xml:space="preserve">2026 · Buse JB ·</w:t>
      </w:r>
      <w:r>
        <w:t xml:space="preserve"> </w:t>
      </w:r>
      <w:r>
        <w:rPr>
          <w:iCs/>
          <w:i/>
        </w:rPr>
        <w:t xml:space="preserve">Lancet Diabetes Endocrinol</w:t>
      </w:r>
      <w:r>
        <w:t xml:space="preserve"> </w:t>
      </w:r>
      <w:r>
        <w:t xml:space="preserve">· Cagrilintide-semaglutide (CagriSema) versus semaglutide or cagrilintide in people with type 2 diabetes (REIMAGINE 2): a double-blind, randomised, controlled, phase 3 study. PMID 42251859</w:t>
      </w:r>
    </w:p>
    <w:p>
      <w:pPr>
        <w:numPr>
          <w:ilvl w:val="0"/>
          <w:numId w:val="1384"/>
        </w:numPr>
        <w:pStyle w:val="Compact"/>
      </w:pPr>
      <w:r>
        <w:t xml:space="preserve">2026 · Rosenstock J ·</w:t>
      </w:r>
      <w:r>
        <w:t xml:space="preserve"> </w:t>
      </w:r>
      <w:r>
        <w:rPr>
          <w:iCs/>
          <w:i/>
        </w:rPr>
        <w:t xml:space="preserve">Lancet</w:t>
      </w:r>
      <w:r>
        <w:t xml:space="preserve"> </w:t>
      </w:r>
      <w:r>
        <w:t xml:space="preserve">· Cagrilintide-semaglutide (CagriSema) as an add-on to basal insulin in adults with type 2 diabetes (REIMAGINE 3): a randomised, double-blind, placebo-controlled, multicentre, phase 3 study. PMID 42251856</w:t>
      </w:r>
    </w:p>
    <w:p>
      <w:pPr>
        <w:numPr>
          <w:ilvl w:val="0"/>
          <w:numId w:val="1384"/>
        </w:numPr>
        <w:pStyle w:val="Compact"/>
      </w:pPr>
      <w:r>
        <w:t xml:space="preserve">2026 · Nielsen MJF ·</w:t>
      </w:r>
      <w:r>
        <w:t xml:space="preserve"> </w:t>
      </w:r>
      <w:r>
        <w:rPr>
          <w:iCs/>
          <w:i/>
        </w:rPr>
        <w:t xml:space="preserve">Clin Pharmacokinet</w:t>
      </w:r>
      <w:r>
        <w:t xml:space="preserve"> </w:t>
      </w:r>
      <w:r>
        <w:t xml:space="preserve">· Renal or Hepatic Impairment Does Not Affect Pharmacokinetics, Safety, or Tolerability of Subcutaneous Cagrilintide. PMID 42228334</w:t>
      </w:r>
    </w:p>
    <w:p>
      <w:pPr>
        <w:numPr>
          <w:ilvl w:val="0"/>
          <w:numId w:val="1384"/>
        </w:numPr>
        <w:pStyle w:val="Compact"/>
      </w:pPr>
      <w:r>
        <w:t xml:space="preserve">2026 · Yamauchi T ·</w:t>
      </w:r>
      <w:r>
        <w:t xml:space="preserve"> </w:t>
      </w:r>
      <w:r>
        <w:rPr>
          <w:iCs/>
          <w:i/>
        </w:rPr>
        <w:t xml:space="preserve">Lancet Diabetes Endocrinol</w:t>
      </w:r>
      <w:r>
        <w:t xml:space="preserve"> </w:t>
      </w:r>
      <w:r>
        <w:t xml:space="preserve">· Efficacy and safety of co-administered cagrilintide and semaglutide versus semaglutide alone in adults with overweight or obesity with or without type 2 diabetes in Japan and Taiwan (REDEFINE 5): a multicentre, randomised, active-controlled, phase 3a trial. PMID 42009015</w:t>
      </w:r>
    </w:p>
    <w:p>
      <w:pPr>
        <w:numPr>
          <w:ilvl w:val="0"/>
          <w:numId w:val="1384"/>
        </w:numPr>
        <w:pStyle w:val="Compact"/>
      </w:pPr>
      <w:r>
        <w:t xml:space="preserve">2026 · Verma S ·</w:t>
      </w:r>
      <w:r>
        <w:t xml:space="preserve"> </w:t>
      </w:r>
      <w:r>
        <w:rPr>
          <w:iCs/>
          <w:i/>
        </w:rPr>
        <w:t xml:space="preserve">Hypertension</w:t>
      </w:r>
      <w:r>
        <w:t xml:space="preserve"> </w:t>
      </w:r>
      <w:r>
        <w:t xml:space="preserve">· CagriSema Reduces Blood Pressure in Adults With Overweight or Obesity: REDEFINE 1. PMID 41328546</w:t>
      </w:r>
    </w:p>
    <w:p>
      <w:pPr>
        <w:numPr>
          <w:ilvl w:val="0"/>
          <w:numId w:val="1384"/>
        </w:numPr>
        <w:pStyle w:val="Compact"/>
      </w:pPr>
      <w:r>
        <w:t xml:space="preserve">2025 · Briere DA ·</w:t>
      </w:r>
      <w:r>
        <w:t xml:space="preserve"> </w:t>
      </w:r>
      <w:r>
        <w:rPr>
          <w:iCs/>
          <w:i/>
        </w:rPr>
        <w:t xml:space="preserve">Mol Metab</w:t>
      </w:r>
      <w:r>
        <w:t xml:space="preserve"> </w:t>
      </w:r>
      <w:r>
        <w:t xml:space="preserve">· Eloralintide (LY3841136), a novel amylin receptor agonist for the treatment of obesity: From discovery to clinical proof of concept. PMID 41109426</w:t>
      </w:r>
    </w:p>
    <w:p>
      <w:pPr>
        <w:numPr>
          <w:ilvl w:val="0"/>
          <w:numId w:val="1384"/>
        </w:numPr>
        <w:pStyle w:val="Compact"/>
      </w:pPr>
      <w:r>
        <w:t xml:space="preserve">2025 · Garvey WT ·</w:t>
      </w:r>
      <w:r>
        <w:t xml:space="preserve"> </w:t>
      </w:r>
      <w:r>
        <w:rPr>
          <w:iCs/>
          <w:i/>
        </w:rPr>
        <w:t xml:space="preserve">N Engl J Med</w:t>
      </w:r>
      <w:r>
        <w:t xml:space="preserve"> </w:t>
      </w:r>
      <w:r>
        <w:t xml:space="preserve">· Coadministered Cagrilintide and Semaglutide in Adults with Overweight or Obesity. PMID 40544433</w:t>
      </w:r>
    </w:p>
    <w:p>
      <w:pPr>
        <w:numPr>
          <w:ilvl w:val="0"/>
          <w:numId w:val="1384"/>
        </w:numPr>
        <w:pStyle w:val="Compact"/>
      </w:pPr>
      <w:r>
        <w:t xml:space="preserve">2025 · Davies MJ ·</w:t>
      </w:r>
      <w:r>
        <w:t xml:space="preserve"> </w:t>
      </w:r>
      <w:r>
        <w:rPr>
          <w:iCs/>
          <w:i/>
        </w:rPr>
        <w:t xml:space="preserve">N Engl J Med</w:t>
      </w:r>
      <w:r>
        <w:t xml:space="preserve"> </w:t>
      </w:r>
      <w:r>
        <w:t xml:space="preserve">· Cagrilintide-Semaglutide in Adults with Overweight or Obesity and Type 2 Diabetes. PMID 40544432</w:t>
      </w:r>
    </w:p>
    <w:p>
      <w:pPr>
        <w:numPr>
          <w:ilvl w:val="0"/>
          <w:numId w:val="1384"/>
        </w:numPr>
        <w:pStyle w:val="Compact"/>
      </w:pPr>
      <w:r>
        <w:t xml:space="preserve">2024 · Gabe MBN ·</w:t>
      </w:r>
      <w:r>
        <w:t xml:space="preserve"> </w:t>
      </w:r>
      <w:r>
        <w:rPr>
          <w:iCs/>
          <w:i/>
        </w:rPr>
        <w:t xml:space="preserve">Diabetes Obes Metab</w:t>
      </w:r>
      <w:r>
        <w:t xml:space="preserve"> </w:t>
      </w:r>
      <w:r>
        <w:t xml:space="preserve">· Cagrilintide is not associated with clinically relevant QTc prolongation: A thorough QT study in healthy participants. PMID 39279639</w:t>
      </w:r>
    </w:p>
    <w:p>
      <w:pPr>
        <w:numPr>
          <w:ilvl w:val="0"/>
          <w:numId w:val="1384"/>
        </w:numPr>
        <w:pStyle w:val="Compact"/>
      </w:pPr>
      <w:r>
        <w:t xml:space="preserve">2023 · Frias JP ·</w:t>
      </w:r>
      <w:r>
        <w:t xml:space="preserve"> </w:t>
      </w:r>
      <w:r>
        <w:rPr>
          <w:iCs/>
          <w:i/>
        </w:rPr>
        <w:t xml:space="preserve">Lancet</w:t>
      </w:r>
      <w:r>
        <w:t xml:space="preserve"> </w:t>
      </w:r>
      <w:r>
        <w:t xml:space="preserve">· Efficacy and safety of co-administered once-weekly cagrilintide 2·4 mg with once-weekly semaglutide 2·4 mg in type 2 diabetes: a multicentre, randomised, double-blind, active-controlled, phase 2 trial. PMID 37364590</w:t>
      </w:r>
    </w:p>
    <w:p>
      <w:pPr>
        <w:numPr>
          <w:ilvl w:val="0"/>
          <w:numId w:val="1384"/>
        </w:numPr>
        <w:pStyle w:val="Compact"/>
      </w:pPr>
      <w:r>
        <w:t xml:space="preserve">2021 · Lau DCW ·</w:t>
      </w:r>
      <w:r>
        <w:t xml:space="preserve"> </w:t>
      </w:r>
      <w:r>
        <w:rPr>
          <w:iCs/>
          <w:i/>
        </w:rPr>
        <w:t xml:space="preserve">Lancet</w:t>
      </w:r>
      <w:r>
        <w:t xml:space="preserve"> </w:t>
      </w:r>
      <w:r>
        <w:t xml:space="preserve">· Once-weekly cagrilintide for weight management in people with overweight and obesity: a multicentre, randomised, double-blind, placebo-controlled and active-controlled, dose-finding phase 2 trial. PMID 34798060</w:t>
      </w:r>
    </w:p>
    <w:p>
      <w:pPr>
        <w:numPr>
          <w:ilvl w:val="0"/>
          <w:numId w:val="1384"/>
        </w:numPr>
        <w:pStyle w:val="Compact"/>
      </w:pPr>
      <w:r>
        <w:t xml:space="preserve">2021 · Enebo LB ·</w:t>
      </w:r>
      <w:r>
        <w:t xml:space="preserve"> </w:t>
      </w:r>
      <w:r>
        <w:rPr>
          <w:iCs/>
          <w:i/>
        </w:rPr>
        <w:t xml:space="preserve">Lancet</w:t>
      </w:r>
      <w:r>
        <w:t xml:space="preserve"> </w:t>
      </w:r>
      <w:r>
        <w:t xml:space="preserve">· Safety, tolerability, pharmacokinetics, and pharmacodynamics of concomitant administration of multiple doses of cagrilintide with semaglutide 2·4 mg for weight management: a randomised, controlled, phase 1b trial. PMID 33894838</w:t>
      </w:r>
    </w:p>
    <w:bookmarkEnd w:id="1124"/>
    <w:bookmarkStart w:id="1125" w:name="amycretine-zenagamtide-4"/>
    <w:p>
      <w:pPr>
        <w:pStyle w:val="Heading2"/>
      </w:pPr>
      <w:r>
        <w:t xml:space="preserve">Amycretine (zenagamtide) (4)</w:t>
      </w:r>
    </w:p>
    <w:p>
      <w:pPr>
        <w:numPr>
          <w:ilvl w:val="0"/>
          <w:numId w:val="1385"/>
        </w:numPr>
        <w:pStyle w:val="Compact"/>
      </w:pPr>
      <w:r>
        <w:t xml:space="preserve">2026 · Mora P ·</w:t>
      </w:r>
      <w:r>
        <w:t xml:space="preserve"> </w:t>
      </w:r>
      <w:r>
        <w:rPr>
          <w:iCs/>
          <w:i/>
        </w:rPr>
        <w:t xml:space="preserve">Lancet</w:t>
      </w:r>
      <w:r>
        <w:t xml:space="preserve"> </w:t>
      </w:r>
      <w:r>
        <w:t xml:space="preserve">· Efficacy and safety of once-weekly subcutaneous zenagamtide, a novel unimolecular GLP-1 and amylin receptor agonist, in type 2 diabetes: a multicentre, randomised, parallel, double-blind, placebo-controlled, dose-finding, phase 2 trial. PMID 42532080</w:t>
      </w:r>
    </w:p>
    <w:p>
      <w:pPr>
        <w:numPr>
          <w:ilvl w:val="0"/>
          <w:numId w:val="1385"/>
        </w:numPr>
        <w:pStyle w:val="Compact"/>
      </w:pPr>
      <w:r>
        <w:t xml:space="preserve">2026 · Mora P ·</w:t>
      </w:r>
      <w:r>
        <w:t xml:space="preserve"> </w:t>
      </w:r>
      <w:r>
        <w:rPr>
          <w:iCs/>
          <w:i/>
        </w:rPr>
        <w:t xml:space="preserve">Lancet</w:t>
      </w:r>
      <w:r>
        <w:t xml:space="preserve"> </w:t>
      </w:r>
      <w:r>
        <w:t xml:space="preserve">· Efficacy and safety of once-daily oral zenagamtide, a novel unimolecular GLP-1 and amylin receptor agonist, in adults with type 2 diabetes: a multicentre, randomised, parallel, double-blind, placebo-controlled, dose-finding, phase 2 trial. PMID 42532079</w:t>
      </w:r>
    </w:p>
    <w:p>
      <w:pPr>
        <w:numPr>
          <w:ilvl w:val="0"/>
          <w:numId w:val="1385"/>
        </w:numPr>
        <w:pStyle w:val="Compact"/>
      </w:pPr>
      <w:r>
        <w:t xml:space="preserve">2025 · Dahl K ·</w:t>
      </w:r>
      <w:r>
        <w:t xml:space="preserve"> </w:t>
      </w:r>
      <w:r>
        <w:rPr>
          <w:iCs/>
          <w:i/>
        </w:rPr>
        <w:t xml:space="preserve">Lancet</w:t>
      </w:r>
      <w:r>
        <w:t xml:space="preserve"> </w:t>
      </w:r>
      <w:r>
        <w:t xml:space="preserve">· Amycretin, a novel, unimolecular GLP-1 and amylin receptor agonist administered subcutaneously: results from a phase 1b/2a randomised controlled study. PMID 40550231</w:t>
      </w:r>
    </w:p>
    <w:p>
      <w:pPr>
        <w:numPr>
          <w:ilvl w:val="0"/>
          <w:numId w:val="1385"/>
        </w:numPr>
        <w:pStyle w:val="Compact"/>
      </w:pPr>
      <w:r>
        <w:t xml:space="preserve">2025 · Gasiorek A ·</w:t>
      </w:r>
      <w:r>
        <w:t xml:space="preserve"> </w:t>
      </w:r>
      <w:r>
        <w:rPr>
          <w:iCs/>
          <w:i/>
        </w:rPr>
        <w:t xml:space="preserve">Lancet</w:t>
      </w:r>
      <w:r>
        <w:t xml:space="preserve"> </w:t>
      </w:r>
      <w:r>
        <w:t xml:space="preserve">· Safety, tolerability, pharmacokinetics, and pharmacodynamics of the first-in-class GLP-1 and amylin receptor agonist, amycretin: a first-in-human, phase 1, double-blind, randomised, placebo-controlled trial. PMID 40550229</w:t>
      </w:r>
    </w:p>
    <w:bookmarkEnd w:id="1125"/>
    <w:bookmarkStart w:id="1126" w:name="maridebart-cafraglutide-maritide-2"/>
    <w:p>
      <w:pPr>
        <w:pStyle w:val="Heading2"/>
      </w:pPr>
      <w:r>
        <w:t xml:space="preserve">Maridebart cafraglutide (MariTide) (2)</w:t>
      </w:r>
    </w:p>
    <w:p>
      <w:pPr>
        <w:numPr>
          <w:ilvl w:val="0"/>
          <w:numId w:val="1386"/>
        </w:numPr>
        <w:pStyle w:val="Compact"/>
      </w:pPr>
      <w:r>
        <w:t xml:space="preserve">2025 · Jastreboff AM ·</w:t>
      </w:r>
      <w:r>
        <w:t xml:space="preserve"> </w:t>
      </w:r>
      <w:r>
        <w:rPr>
          <w:iCs/>
          <w:i/>
        </w:rPr>
        <w:t xml:space="preserve">N Engl J Med</w:t>
      </w:r>
      <w:r>
        <w:t xml:space="preserve"> </w:t>
      </w:r>
      <w:r>
        <w:t xml:space="preserve">· Once-Monthly Maridebart Cafraglutide for the Treatment of Obesity - A Phase 2 Trial. PMID 40549887</w:t>
      </w:r>
    </w:p>
    <w:p>
      <w:pPr>
        <w:numPr>
          <w:ilvl w:val="0"/>
          <w:numId w:val="1386"/>
        </w:numPr>
        <w:pStyle w:val="Compact"/>
      </w:pPr>
      <w:r>
        <w:t xml:space="preserve">2024 · Véniant MM ·</w:t>
      </w:r>
      <w:r>
        <w:t xml:space="preserve"> </w:t>
      </w:r>
      <w:r>
        <w:rPr>
          <w:iCs/>
          <w:i/>
        </w:rPr>
        <w:t xml:space="preserve">Nat Metab</w:t>
      </w:r>
      <w:r>
        <w:t xml:space="preserve"> </w:t>
      </w:r>
      <w:r>
        <w:t xml:space="preserve">· A GIPR antagonist conjugated to GLP-1 analogues promotes weight loss with improved metabolic parameters in preclinical and phase 1 settings. PMID 38316982</w:t>
      </w:r>
    </w:p>
    <w:bookmarkEnd w:id="1126"/>
    <w:bookmarkStart w:id="1127" w:name="pramlintide-76"/>
    <w:p>
      <w:pPr>
        <w:pStyle w:val="Heading2"/>
      </w:pPr>
      <w:r>
        <w:t xml:space="preserve">Pramlintide (76)</w:t>
      </w:r>
    </w:p>
    <w:p>
      <w:pPr>
        <w:numPr>
          <w:ilvl w:val="0"/>
          <w:numId w:val="1387"/>
        </w:numPr>
        <w:pStyle w:val="Compact"/>
      </w:pPr>
      <w:r>
        <w:t xml:space="preserve">2025 · Odabassian M ·</w:t>
      </w:r>
      <w:r>
        <w:t xml:space="preserve"> </w:t>
      </w:r>
      <w:r>
        <w:rPr>
          <w:iCs/>
          <w:i/>
        </w:rPr>
        <w:t xml:space="preserve">J Diabetes Sci Technol</w:t>
      </w:r>
      <w:r>
        <w:t xml:space="preserve"> </w:t>
      </w:r>
      <w:r>
        <w:t xml:space="preserve">· A Pilot Outpatient Assessment of a Fully Closed-Loop Insulin and Pramlintide System. PMID 41174925</w:t>
      </w:r>
    </w:p>
    <w:p>
      <w:pPr>
        <w:numPr>
          <w:ilvl w:val="0"/>
          <w:numId w:val="1387"/>
        </w:numPr>
        <w:pStyle w:val="Compact"/>
      </w:pPr>
      <w:r>
        <w:t xml:space="preserve">2024 · Andersen G ·</w:t>
      </w:r>
      <w:r>
        <w:t xml:space="preserve"> </w:t>
      </w:r>
      <w:r>
        <w:rPr>
          <w:iCs/>
          <w:i/>
        </w:rPr>
        <w:t xml:space="preserve">Diabetes Obes Metab</w:t>
      </w:r>
      <w:r>
        <w:t xml:space="preserve"> </w:t>
      </w:r>
      <w:r>
        <w:t xml:space="preserve">· ADO09, a co-formulation of pramlintide and insulin A21G, lowers body weight versus insulin lispro in type 1 diabetes. PMID 39109464</w:t>
      </w:r>
    </w:p>
    <w:p>
      <w:pPr>
        <w:numPr>
          <w:ilvl w:val="0"/>
          <w:numId w:val="1387"/>
        </w:numPr>
        <w:pStyle w:val="Compact"/>
      </w:pPr>
      <w:r>
        <w:t xml:space="preserve">2024 · Cohen E ·</w:t>
      </w:r>
      <w:r>
        <w:t xml:space="preserve"> </w:t>
      </w:r>
      <w:r>
        <w:rPr>
          <w:iCs/>
          <w:i/>
        </w:rPr>
        <w:t xml:space="preserve">Lancet Digit Health</w:t>
      </w:r>
      <w:r>
        <w:t xml:space="preserve"> </w:t>
      </w:r>
      <w:r>
        <w:t xml:space="preserve">· Simple meal announcements and pramlintide delivery versus carbohydrate counting in type 1 diabetes with automated fast-acting insulin aspart delivery: a randomised crossover trial in Montreal, Canada. PMID 38906614</w:t>
      </w:r>
    </w:p>
    <w:p>
      <w:pPr>
        <w:numPr>
          <w:ilvl w:val="0"/>
          <w:numId w:val="1387"/>
        </w:numPr>
        <w:pStyle w:val="Compact"/>
      </w:pPr>
      <w:r>
        <w:t xml:space="preserve">2023 · Andersen G ·</w:t>
      </w:r>
      <w:r>
        <w:t xml:space="preserve"> </w:t>
      </w:r>
      <w:r>
        <w:rPr>
          <w:iCs/>
          <w:i/>
        </w:rPr>
        <w:t xml:space="preserve">Diabetes Obes Metab</w:t>
      </w:r>
      <w:r>
        <w:t xml:space="preserve"> </w:t>
      </w:r>
      <w:r>
        <w:t xml:space="preserve">· A co-formulation of pramlintide and insulin A21G (ADO09) improves postprandial glucose and short-term control of mean glucose, time in range, and body weight versus insulin aspart in adults with type 1 diabetes. PMID 36633505</w:t>
      </w:r>
    </w:p>
    <w:p>
      <w:pPr>
        <w:numPr>
          <w:ilvl w:val="0"/>
          <w:numId w:val="1387"/>
        </w:numPr>
        <w:pStyle w:val="Compact"/>
      </w:pPr>
      <w:r>
        <w:t xml:space="preserve">2021 · Tsoukas MA ·</w:t>
      </w:r>
      <w:r>
        <w:t xml:space="preserve"> </w:t>
      </w:r>
      <w:r>
        <w:rPr>
          <w:iCs/>
          <w:i/>
        </w:rPr>
        <w:t xml:space="preserve">Lancet Digit Health</w:t>
      </w:r>
      <w:r>
        <w:t xml:space="preserve"> </w:t>
      </w:r>
      <w:r>
        <w:t xml:space="preserve">· A fully artificial pancreas versus a hybrid artificial pancreas for type 1 diabetes: a single-centre, open-label, randomised controlled, crossover, non-inferiority trial. PMID 34580055</w:t>
      </w:r>
    </w:p>
    <w:p>
      <w:pPr>
        <w:numPr>
          <w:ilvl w:val="0"/>
          <w:numId w:val="1387"/>
        </w:numPr>
        <w:pStyle w:val="Compact"/>
      </w:pPr>
      <w:r>
        <w:t xml:space="preserve">2021 · Ghanizada H ·</w:t>
      </w:r>
      <w:r>
        <w:t xml:space="preserve"> </w:t>
      </w:r>
      <w:r>
        <w:rPr>
          <w:iCs/>
          <w:i/>
        </w:rPr>
        <w:t xml:space="preserve">Ann Neurol</w:t>
      </w:r>
      <w:r>
        <w:t xml:space="preserve"> </w:t>
      </w:r>
      <w:r>
        <w:t xml:space="preserve">· Amylin Analog Pramlintide Induces Migraine-like Attacks in Patients. PMID 33772845</w:t>
      </w:r>
    </w:p>
    <w:p>
      <w:pPr>
        <w:numPr>
          <w:ilvl w:val="0"/>
          <w:numId w:val="1387"/>
        </w:numPr>
        <w:pStyle w:val="Compact"/>
      </w:pPr>
      <w:r>
        <w:t xml:space="preserve">2020 · Haidar A ·</w:t>
      </w:r>
      <w:r>
        <w:t xml:space="preserve"> </w:t>
      </w:r>
      <w:r>
        <w:rPr>
          <w:iCs/>
          <w:i/>
        </w:rPr>
        <w:t xml:space="preserve">Diabetes Care</w:t>
      </w:r>
      <w:r>
        <w:t xml:space="preserve"> </w:t>
      </w:r>
      <w:r>
        <w:t xml:space="preserve">· A Novel Dual-Hormone Insulin-and-Pramlintide Artificial Pancreas for Type 1 Diabetes: A Randomized Controlled Crossover Trial. PMID 31974099</w:t>
      </w:r>
    </w:p>
    <w:p>
      <w:pPr>
        <w:numPr>
          <w:ilvl w:val="0"/>
          <w:numId w:val="1387"/>
        </w:numPr>
        <w:pStyle w:val="Compact"/>
      </w:pPr>
      <w:r>
        <w:t xml:space="preserve">2018 · Riddle MC ·</w:t>
      </w:r>
      <w:r>
        <w:t xml:space="preserve"> </w:t>
      </w:r>
      <w:r>
        <w:rPr>
          <w:iCs/>
          <w:i/>
        </w:rPr>
        <w:t xml:space="preserve">Diabetes Care</w:t>
      </w:r>
      <w:r>
        <w:t xml:space="preserve"> </w:t>
      </w:r>
      <w:r>
        <w:t xml:space="preserve">· Control of Postprandial Hyperglycemia in Type 1 Diabetes by 24-Hour Fixed-Dose Coadministration of Pramlintide and Regular Human Insulin: A Randomized, Two-Way Crossover Study. PMID 30213882</w:t>
      </w:r>
    </w:p>
    <w:p>
      <w:pPr>
        <w:numPr>
          <w:ilvl w:val="0"/>
          <w:numId w:val="1387"/>
        </w:numPr>
        <w:pStyle w:val="Compact"/>
      </w:pPr>
      <w:r>
        <w:t xml:space="preserve">2018 · Galderisi A ·</w:t>
      </w:r>
      <w:r>
        <w:t xml:space="preserve"> </w:t>
      </w:r>
      <w:r>
        <w:rPr>
          <w:iCs/>
          <w:i/>
        </w:rPr>
        <w:t xml:space="preserve">J Clin Endocrinol Metab</w:t>
      </w:r>
      <w:r>
        <w:t xml:space="preserve"> </w:t>
      </w:r>
      <w:r>
        <w:t xml:space="preserve">· Pramlintide but Not Liraglutide Suppresses Meal-Stimulated Glucagon Responses in Type 1 Diabetes. PMID 29211871</w:t>
      </w:r>
    </w:p>
    <w:p>
      <w:pPr>
        <w:numPr>
          <w:ilvl w:val="0"/>
          <w:numId w:val="1387"/>
        </w:numPr>
        <w:pStyle w:val="Compact"/>
      </w:pPr>
      <w:r>
        <w:t xml:space="preserve">2016 · Sherr JL ·</w:t>
      </w:r>
      <w:r>
        <w:t xml:space="preserve"> </w:t>
      </w:r>
      <w:r>
        <w:rPr>
          <w:iCs/>
          <w:i/>
        </w:rPr>
        <w:t xml:space="preserve">Diabetes Care</w:t>
      </w:r>
      <w:r>
        <w:t xml:space="preserve"> </w:t>
      </w:r>
      <w:r>
        <w:t xml:space="preserve">· Mitigating Meal-Related Glycemic Excursions in an Insulin-Sparing Manner During Closed-Loop Insulin Delivery: The Beneficial Effects of Adjunctive Pramlintide and Liraglutide. PMID 27208332</w:t>
      </w:r>
    </w:p>
    <w:p>
      <w:pPr>
        <w:numPr>
          <w:ilvl w:val="0"/>
          <w:numId w:val="1387"/>
        </w:numPr>
        <w:pStyle w:val="Compact"/>
      </w:pPr>
      <w:r>
        <w:t xml:space="preserve">2016 · Herrmann K ·</w:t>
      </w:r>
      <w:r>
        <w:t xml:space="preserve"> </w:t>
      </w:r>
      <w:r>
        <w:rPr>
          <w:iCs/>
          <w:i/>
        </w:rPr>
        <w:t xml:space="preserve">Adv Ther</w:t>
      </w:r>
      <w:r>
        <w:t xml:space="preserve"> </w:t>
      </w:r>
      <w:r>
        <w:t xml:space="preserve">· Impact of Disease Duration on the Effects of Pramlintide in Type 1 Diabetes: A Post Hoc Analysis of Three Clinical Trials. PMID 27071768</w:t>
      </w:r>
    </w:p>
    <w:p>
      <w:pPr>
        <w:numPr>
          <w:ilvl w:val="0"/>
          <w:numId w:val="1387"/>
        </w:numPr>
        <w:pStyle w:val="Compact"/>
      </w:pPr>
      <w:r>
        <w:t xml:space="preserve">2016 · Hinshaw L ·</w:t>
      </w:r>
      <w:r>
        <w:t xml:space="preserve"> </w:t>
      </w:r>
      <w:r>
        <w:rPr>
          <w:iCs/>
          <w:i/>
        </w:rPr>
        <w:t xml:space="preserve">J Clin Endocrinol Metab</w:t>
      </w:r>
      <w:r>
        <w:t xml:space="preserve"> </w:t>
      </w:r>
      <w:r>
        <w:t xml:space="preserve">· Effect of Pramlintide on Postprandial Glucose Fluxes in Type 1 Diabetes. PMID 26930181</w:t>
      </w:r>
    </w:p>
    <w:p>
      <w:pPr>
        <w:numPr>
          <w:ilvl w:val="0"/>
          <w:numId w:val="1387"/>
        </w:numPr>
        <w:pStyle w:val="Compact"/>
      </w:pPr>
      <w:r>
        <w:t xml:space="preserve">2016 · Chan JL ·</w:t>
      </w:r>
      <w:r>
        <w:t xml:space="preserve"> </w:t>
      </w:r>
      <w:r>
        <w:rPr>
          <w:iCs/>
          <w:i/>
        </w:rPr>
        <w:t xml:space="preserve">Clin Endocrinol (Oxf)</w:t>
      </w:r>
      <w:r>
        <w:t xml:space="preserve"> </w:t>
      </w:r>
      <w:r>
        <w:t xml:space="preserve">· Immunogenicity associated with metreleptin treatment in patients with obesity or lipodystrophy. PMID 26589105</w:t>
      </w:r>
    </w:p>
    <w:p>
      <w:pPr>
        <w:numPr>
          <w:ilvl w:val="0"/>
          <w:numId w:val="1387"/>
        </w:numPr>
        <w:pStyle w:val="Compact"/>
      </w:pPr>
      <w:r>
        <w:t xml:space="preserve">2015 · Riddle MC ·</w:t>
      </w:r>
      <w:r>
        <w:t xml:space="preserve"> </w:t>
      </w:r>
      <w:r>
        <w:rPr>
          <w:iCs/>
          <w:i/>
        </w:rPr>
        <w:t xml:space="preserve">Diabetes Obes Metab</w:t>
      </w:r>
      <w:r>
        <w:t xml:space="preserve"> </w:t>
      </w:r>
      <w:r>
        <w:t xml:space="preserve">· Fixed ratio dosing of pramlintide with regular insulin before a standard meal in patients with type 1 diabetes. PMID 26040429</w:t>
      </w:r>
    </w:p>
    <w:p>
      <w:pPr>
        <w:numPr>
          <w:ilvl w:val="0"/>
          <w:numId w:val="1387"/>
        </w:numPr>
        <w:pStyle w:val="Compact"/>
      </w:pPr>
      <w:r>
        <w:t xml:space="preserve">2014 · Herrmann K ·</w:t>
      </w:r>
      <w:r>
        <w:t xml:space="preserve"> </w:t>
      </w:r>
      <w:r>
        <w:rPr>
          <w:iCs/>
          <w:i/>
        </w:rPr>
        <w:t xml:space="preserve">Endocr Pract</w:t>
      </w:r>
      <w:r>
        <w:t xml:space="preserve"> </w:t>
      </w:r>
      <w:r>
        <w:t xml:space="preserve">· Effects of pramlintide in patients with type 2 diabetes mellitus: an analysis using daily insulin dose tertiles. PMID 25100363</w:t>
      </w:r>
    </w:p>
    <w:p>
      <w:pPr>
        <w:numPr>
          <w:ilvl w:val="0"/>
          <w:numId w:val="1387"/>
        </w:numPr>
        <w:pStyle w:val="Compact"/>
      </w:pPr>
      <w:r>
        <w:t xml:space="preserve">2014 · Renukuntla VS ·</w:t>
      </w:r>
      <w:r>
        <w:t xml:space="preserve"> </w:t>
      </w:r>
      <w:r>
        <w:rPr>
          <w:iCs/>
          <w:i/>
        </w:rPr>
        <w:t xml:space="preserve">J Diabetes Sci Technol</w:t>
      </w:r>
      <w:r>
        <w:t xml:space="preserve"> </w:t>
      </w:r>
      <w:r>
        <w:t xml:space="preserve">· Role of glucagon-like peptide-1 analogue versus amylin as an adjuvant therapy in type 1 diabetes in a closed loop setting with ePID algorithm. PMID 25030181</w:t>
      </w:r>
    </w:p>
    <w:p>
      <w:pPr>
        <w:numPr>
          <w:ilvl w:val="0"/>
          <w:numId w:val="1387"/>
        </w:numPr>
        <w:pStyle w:val="Compact"/>
      </w:pPr>
      <w:r>
        <w:t xml:space="preserve">2013 · Herrmann K ·</w:t>
      </w:r>
      <w:r>
        <w:t xml:space="preserve"> </w:t>
      </w:r>
      <w:r>
        <w:rPr>
          <w:iCs/>
          <w:i/>
        </w:rPr>
        <w:t xml:space="preserve">Postgrad Med</w:t>
      </w:r>
      <w:r>
        <w:t xml:space="preserve"> </w:t>
      </w:r>
      <w:r>
        <w:t xml:space="preserve">· Pramlintide improved measures of glycemic control and body weight in patients with type 1 diabetes mellitus undergoing continuous subcutaneous insulin infusion therapy. PMID 23748514</w:t>
      </w:r>
    </w:p>
    <w:p>
      <w:pPr>
        <w:numPr>
          <w:ilvl w:val="0"/>
          <w:numId w:val="1387"/>
        </w:numPr>
        <w:pStyle w:val="Compact"/>
      </w:pPr>
      <w:r>
        <w:t xml:space="preserve">2013 · Fang J ·</w:t>
      </w:r>
      <w:r>
        <w:t xml:space="preserve"> </w:t>
      </w:r>
      <w:r>
        <w:rPr>
          <w:iCs/>
          <w:i/>
        </w:rPr>
        <w:t xml:space="preserve">AAPS J</w:t>
      </w:r>
      <w:r>
        <w:t xml:space="preserve"> </w:t>
      </w:r>
      <w:r>
        <w:t xml:space="preserve">· Study reanalysis using a mechanism-based pharmacokinetic/pharmacodynamic model of pramlintide in subjects with type 1 diabetes. PMID 23054970</w:t>
      </w:r>
    </w:p>
    <w:p>
      <w:pPr>
        <w:numPr>
          <w:ilvl w:val="0"/>
          <w:numId w:val="1387"/>
        </w:numPr>
        <w:pStyle w:val="Compact"/>
      </w:pPr>
      <w:r>
        <w:t xml:space="preserve">2012 · Weinzimer SA ·</w:t>
      </w:r>
      <w:r>
        <w:t xml:space="preserve"> </w:t>
      </w:r>
      <w:r>
        <w:rPr>
          <w:iCs/>
          <w:i/>
        </w:rPr>
        <w:t xml:space="preserve">Diabetes Care</w:t>
      </w:r>
      <w:r>
        <w:t xml:space="preserve"> </w:t>
      </w:r>
      <w:r>
        <w:t xml:space="preserve">· Effect of pramlintide on prandial glycemic excursions during closed-loop control in adolescents and young adults with type 1 diabetes. PMID 22815298</w:t>
      </w:r>
    </w:p>
    <w:p>
      <w:pPr>
        <w:numPr>
          <w:ilvl w:val="0"/>
          <w:numId w:val="1387"/>
        </w:numPr>
        <w:pStyle w:val="Compact"/>
      </w:pPr>
      <w:r>
        <w:t xml:space="preserve">2010 · Peyrot M ·</w:t>
      </w:r>
      <w:r>
        <w:t xml:space="preserve"> </w:t>
      </w:r>
      <w:r>
        <w:rPr>
          <w:iCs/>
          <w:i/>
        </w:rPr>
        <w:t xml:space="preserve">Curr Med Res Opin</w:t>
      </w:r>
      <w:r>
        <w:t xml:space="preserve"> </w:t>
      </w:r>
      <w:r>
        <w:t xml:space="preserve">· Patient reported outcomes in adults with type 2 diabetes on basal insulin randomized to addition of mealtime pramlintide or rapid-acting insulin analogs. PMID 20199136</w:t>
      </w:r>
    </w:p>
    <w:p>
      <w:pPr>
        <w:numPr>
          <w:ilvl w:val="0"/>
          <w:numId w:val="1387"/>
        </w:numPr>
        <w:pStyle w:val="Compact"/>
      </w:pPr>
      <w:r>
        <w:t xml:space="preserve">2010 · Asmar M ·</w:t>
      </w:r>
      <w:r>
        <w:t xml:space="preserve"> </w:t>
      </w:r>
      <w:r>
        <w:rPr>
          <w:iCs/>
          <w:i/>
        </w:rPr>
        <w:t xml:space="preserve">J Clin Endocrinol Metab</w:t>
      </w:r>
      <w:r>
        <w:t xml:space="preserve"> </w:t>
      </w:r>
      <w:r>
        <w:t xml:space="preserve">· Do the actions of glucagon-like peptide-1 on gastric emptying, appetite, and food intake involve release of amylin in humans?. PMID 20194711</w:t>
      </w:r>
    </w:p>
    <w:p>
      <w:pPr>
        <w:numPr>
          <w:ilvl w:val="0"/>
          <w:numId w:val="1387"/>
        </w:numPr>
        <w:pStyle w:val="Compact"/>
      </w:pPr>
      <w:r>
        <w:t xml:space="preserve">2010 · King AB ·</w:t>
      </w:r>
      <w:r>
        <w:t xml:space="preserve"> </w:t>
      </w:r>
      <w:r>
        <w:rPr>
          <w:iCs/>
          <w:i/>
        </w:rPr>
        <w:t xml:space="preserve">Diabetes Technol Ther</w:t>
      </w:r>
      <w:r>
        <w:t xml:space="preserve"> </w:t>
      </w:r>
      <w:r>
        <w:t xml:space="preserve">· Comparison of the post-meal glucose response to different insulin bolus waveforms in insulin pump- and pre-meal pramlintide-treated type 1 diabetes patients. PMID 20105039</w:t>
      </w:r>
    </w:p>
    <w:p>
      <w:pPr>
        <w:numPr>
          <w:ilvl w:val="0"/>
          <w:numId w:val="1387"/>
        </w:numPr>
        <w:pStyle w:val="Compact"/>
      </w:pPr>
      <w:r>
        <w:t xml:space="preserve">2010 · Aronne LJ ·</w:t>
      </w:r>
      <w:r>
        <w:t xml:space="preserve"> </w:t>
      </w:r>
      <w:r>
        <w:rPr>
          <w:iCs/>
          <w:i/>
        </w:rPr>
        <w:t xml:space="preserve">Obesity (Silver Spring)</w:t>
      </w:r>
      <w:r>
        <w:t xml:space="preserve"> </w:t>
      </w:r>
      <w:r>
        <w:t xml:space="preserve">· Enhanced weight loss following coadministration of pramlintide with sibutramine or phentermine in a multicenter trial. PMID 20094043</w:t>
      </w:r>
    </w:p>
    <w:p>
      <w:pPr>
        <w:numPr>
          <w:ilvl w:val="0"/>
          <w:numId w:val="1387"/>
        </w:numPr>
        <w:pStyle w:val="Compact"/>
      </w:pPr>
      <w:r>
        <w:t xml:space="preserve">2009 · Kishiyama CM ·</w:t>
      </w:r>
      <w:r>
        <w:t xml:space="preserve"> </w:t>
      </w:r>
      <w:r>
        <w:rPr>
          <w:iCs/>
          <w:i/>
        </w:rPr>
        <w:t xml:space="preserve">Pediatrics</w:t>
      </w:r>
      <w:r>
        <w:t xml:space="preserve"> </w:t>
      </w:r>
      <w:r>
        <w:t xml:space="preserve">· A pilot trial of pramlintide home usage in adolescents with type 1 diabetes. PMID 19858155</w:t>
      </w:r>
    </w:p>
    <w:p>
      <w:pPr>
        <w:numPr>
          <w:ilvl w:val="0"/>
          <w:numId w:val="1387"/>
        </w:numPr>
        <w:pStyle w:val="Compact"/>
      </w:pPr>
      <w:r>
        <w:t xml:space="preserve">2009 · Huffman DM ·</w:t>
      </w:r>
      <w:r>
        <w:t xml:space="preserve"> </w:t>
      </w:r>
      <w:r>
        <w:rPr>
          <w:iCs/>
          <w:i/>
        </w:rPr>
        <w:t xml:space="preserve">Endocr Pract</w:t>
      </w:r>
      <w:r>
        <w:t xml:space="preserve"> </w:t>
      </w:r>
      <w:r>
        <w:t xml:space="preserve">· Continuous subcutaneous pramlintide infusion therapy in patients with type 1 diabetes: observations from a pilot study. PMID 19546056</w:t>
      </w:r>
    </w:p>
    <w:p>
      <w:pPr>
        <w:numPr>
          <w:ilvl w:val="0"/>
          <w:numId w:val="1387"/>
        </w:numPr>
        <w:pStyle w:val="Compact"/>
      </w:pPr>
      <w:r>
        <w:t xml:space="preserve">2009 · Ravussin E ·</w:t>
      </w:r>
      <w:r>
        <w:t xml:space="preserve"> </w:t>
      </w:r>
      <w:r>
        <w:rPr>
          <w:iCs/>
          <w:i/>
        </w:rPr>
        <w:t xml:space="preserve">Obesity (Silver Spring)</w:t>
      </w:r>
      <w:r>
        <w:t xml:space="preserve"> </w:t>
      </w:r>
      <w:r>
        <w:t xml:space="preserve">· Enhanced weight loss with pramlintide/metreleptin: an integrated neurohormonal approach to obesity pharmacotherapy. PMID 19521351</w:t>
      </w:r>
    </w:p>
    <w:p>
      <w:pPr>
        <w:numPr>
          <w:ilvl w:val="0"/>
          <w:numId w:val="1387"/>
        </w:numPr>
        <w:pStyle w:val="Compact"/>
      </w:pPr>
      <w:r>
        <w:t xml:space="preserve">2009 · Riddle M ·</w:t>
      </w:r>
      <w:r>
        <w:t xml:space="preserve"> </w:t>
      </w:r>
      <w:r>
        <w:rPr>
          <w:iCs/>
          <w:i/>
        </w:rPr>
        <w:t xml:space="preserve">Diabetes Care</w:t>
      </w:r>
      <w:r>
        <w:t xml:space="preserve"> </w:t>
      </w:r>
      <w:r>
        <w:t xml:space="preserve">· Randomized comparison of pramlintide or mealtime insulin added to basal insulin treatment for patients with type 2 diabetes. PMID 19502544</w:t>
      </w:r>
    </w:p>
    <w:p>
      <w:pPr>
        <w:numPr>
          <w:ilvl w:val="0"/>
          <w:numId w:val="1387"/>
        </w:numPr>
        <w:pStyle w:val="Compact"/>
      </w:pPr>
      <w:r>
        <w:t xml:space="preserve">2009 · Peyrot M ·</w:t>
      </w:r>
      <w:r>
        <w:t xml:space="preserve"> </w:t>
      </w:r>
      <w:r>
        <w:rPr>
          <w:iCs/>
          <w:i/>
        </w:rPr>
        <w:t xml:space="preserve">Diabetes Care</w:t>
      </w:r>
      <w:r>
        <w:t xml:space="preserve"> </w:t>
      </w:r>
      <w:r>
        <w:t xml:space="preserve">· How does treatment satisfaction work?: Modeling determinants of treatment satisfaction and preference. PMID 19470837</w:t>
      </w:r>
    </w:p>
    <w:p>
      <w:pPr>
        <w:numPr>
          <w:ilvl w:val="0"/>
          <w:numId w:val="1387"/>
        </w:numPr>
        <w:pStyle w:val="Compact"/>
      </w:pPr>
      <w:r>
        <w:t xml:space="preserve">2009 · Chase HP ·</w:t>
      </w:r>
      <w:r>
        <w:t xml:space="preserve"> </w:t>
      </w:r>
      <w:r>
        <w:rPr>
          <w:iCs/>
          <w:i/>
        </w:rPr>
        <w:t xml:space="preserve">J Pediatr</w:t>
      </w:r>
      <w:r>
        <w:t xml:space="preserve"> </w:t>
      </w:r>
      <w:r>
        <w:t xml:space="preserve">· Pramlintide lowered glucose excursions and was well-tolerated in adolescents with type 1 diabetes: results from a randomized, single-blind, placebo-controlled, crossover study. PMID 19464026</w:t>
      </w:r>
    </w:p>
    <w:p>
      <w:pPr>
        <w:numPr>
          <w:ilvl w:val="0"/>
          <w:numId w:val="1387"/>
        </w:numPr>
        <w:pStyle w:val="Compact"/>
      </w:pPr>
      <w:r>
        <w:t xml:space="preserve">2009 · King AB ·</w:t>
      </w:r>
      <w:r>
        <w:t xml:space="preserve"> </w:t>
      </w:r>
      <w:r>
        <w:rPr>
          <w:iCs/>
          <w:i/>
        </w:rPr>
        <w:t xml:space="preserve">Endocr Pract</w:t>
      </w:r>
      <w:r>
        <w:t xml:space="preserve"> </w:t>
      </w:r>
      <w:r>
        <w:t xml:space="preserve">· Minimal reduction in insulin dosage with pramlintide therapy when pretreatment near-normal glycemia is established and square-wave meal bolus is used. PMID 19364691</w:t>
      </w:r>
    </w:p>
    <w:p>
      <w:pPr>
        <w:numPr>
          <w:ilvl w:val="0"/>
          <w:numId w:val="1387"/>
        </w:numPr>
        <w:pStyle w:val="Compact"/>
      </w:pPr>
      <w:r>
        <w:t xml:space="preserve">2009 · Heptulla RA ·</w:t>
      </w:r>
      <w:r>
        <w:t xml:space="preserve"> </w:t>
      </w:r>
      <w:r>
        <w:rPr>
          <w:iCs/>
          <w:i/>
        </w:rPr>
        <w:t xml:space="preserve">J Clin Endocrinol Metab</w:t>
      </w:r>
      <w:r>
        <w:t xml:space="preserve"> </w:t>
      </w:r>
      <w:r>
        <w:t xml:space="preserve">· Twenty-four-hour simultaneous subcutaneous Basal-bolus administration of insulin and amylin in adolescents with type 1 diabetes decreases postprandial hyperglycemia. PMID 19190104</w:t>
      </w:r>
    </w:p>
    <w:p>
      <w:pPr>
        <w:numPr>
          <w:ilvl w:val="0"/>
          <w:numId w:val="1387"/>
        </w:numPr>
        <w:pStyle w:val="Compact"/>
      </w:pPr>
      <w:r>
        <w:t xml:space="preserve">2009 · Hassan K ·</w:t>
      </w:r>
      <w:r>
        <w:t xml:space="preserve"> </w:t>
      </w:r>
      <w:r>
        <w:rPr>
          <w:iCs/>
          <w:i/>
        </w:rPr>
        <w:t xml:space="preserve">Pediatr Diabetes</w:t>
      </w:r>
      <w:r>
        <w:t xml:space="preserve"> </w:t>
      </w:r>
      <w:r>
        <w:t xml:space="preserve">· Reducing postprandial hyperglycemia with adjuvant premeal pramlintide and postmeal insulin in children with type 1 diabetes mellitus. PMID 19140902</w:t>
      </w:r>
    </w:p>
    <w:p>
      <w:pPr>
        <w:numPr>
          <w:ilvl w:val="0"/>
          <w:numId w:val="1387"/>
        </w:numPr>
        <w:pStyle w:val="Compact"/>
      </w:pPr>
      <w:r>
        <w:t xml:space="preserve">2008 · Peyrot M ·</w:t>
      </w:r>
      <w:r>
        <w:t xml:space="preserve"> </w:t>
      </w:r>
      <w:r>
        <w:rPr>
          <w:iCs/>
          <w:i/>
        </w:rPr>
        <w:t xml:space="preserve">Diabetes Technol Ther</w:t>
      </w:r>
      <w:r>
        <w:t xml:space="preserve"> </w:t>
      </w:r>
      <w:r>
        <w:t xml:space="preserve">· Diabetes distress and its association with clinical outcomes in patients with type 2 diabetes treated with pramlintide as an adjunct to insulin therapy. PMID 19049375</w:t>
      </w:r>
    </w:p>
    <w:p>
      <w:pPr>
        <w:numPr>
          <w:ilvl w:val="0"/>
          <w:numId w:val="1387"/>
        </w:numPr>
        <w:pStyle w:val="Compact"/>
      </w:pPr>
      <w:r>
        <w:t xml:space="preserve">2008 · Smith SR ·</w:t>
      </w:r>
      <w:r>
        <w:t xml:space="preserve"> </w:t>
      </w:r>
      <w:r>
        <w:rPr>
          <w:iCs/>
          <w:i/>
        </w:rPr>
        <w:t xml:space="preserve">Diabetes Care</w:t>
      </w:r>
      <w:r>
        <w:t xml:space="preserve"> </w:t>
      </w:r>
      <w:r>
        <w:t xml:space="preserve">· Sustained weight loss following 12-month pramlintide treatment as an adjunct to lifestyle intervention in obesity. PMID 18753666</w:t>
      </w:r>
    </w:p>
    <w:p>
      <w:pPr>
        <w:numPr>
          <w:ilvl w:val="0"/>
          <w:numId w:val="1387"/>
        </w:numPr>
        <w:pStyle w:val="Compact"/>
      </w:pPr>
      <w:r>
        <w:t xml:space="preserve">2008 · Wysham C ·</w:t>
      </w:r>
      <w:r>
        <w:t xml:space="preserve"> </w:t>
      </w:r>
      <w:r>
        <w:rPr>
          <w:iCs/>
          <w:i/>
        </w:rPr>
        <w:t xml:space="preserve">Curr Med Res Opin</w:t>
      </w:r>
      <w:r>
        <w:t xml:space="preserve"> </w:t>
      </w:r>
      <w:r>
        <w:t xml:space="preserve">· Effect of pramlintide as an adjunct to basal insulin on markers of cardiovascular risk in patients with type 2 diabetes. PMID 18031595</w:t>
      </w:r>
    </w:p>
    <w:p>
      <w:pPr>
        <w:numPr>
          <w:ilvl w:val="0"/>
          <w:numId w:val="1387"/>
        </w:numPr>
        <w:pStyle w:val="Compact"/>
      </w:pPr>
      <w:r>
        <w:t xml:space="preserve">2008 · Woerle HJ ·</w:t>
      </w:r>
      <w:r>
        <w:t xml:space="preserve"> </w:t>
      </w:r>
      <w:r>
        <w:rPr>
          <w:iCs/>
          <w:i/>
        </w:rPr>
        <w:t xml:space="preserve">Am J Physiol Endocrinol Metab</w:t>
      </w:r>
      <w:r>
        <w:t xml:space="preserve"> </w:t>
      </w:r>
      <w:r>
        <w:t xml:space="preserve">· Importance of changes in gastric emptying for postprandial plasma glucose fluxes in healthy humans. PMID 17971511</w:t>
      </w:r>
    </w:p>
    <w:p>
      <w:pPr>
        <w:numPr>
          <w:ilvl w:val="0"/>
          <w:numId w:val="1387"/>
        </w:numPr>
        <w:pStyle w:val="Compact"/>
      </w:pPr>
      <w:r>
        <w:t xml:space="preserve">2008 · Ceriello A ·</w:t>
      </w:r>
      <w:r>
        <w:t xml:space="preserve"> </w:t>
      </w:r>
      <w:r>
        <w:rPr>
          <w:iCs/>
          <w:i/>
        </w:rPr>
        <w:t xml:space="preserve">Diabetes Metab Res Rev</w:t>
      </w:r>
      <w:r>
        <w:t xml:space="preserve"> </w:t>
      </w:r>
      <w:r>
        <w:t xml:space="preserve">· Pramlintide reduced markers of oxidative stress in the postprandial period in patients with type 2 diabetes. PMID 17694505</w:t>
      </w:r>
    </w:p>
    <w:p>
      <w:pPr>
        <w:numPr>
          <w:ilvl w:val="0"/>
          <w:numId w:val="1387"/>
        </w:numPr>
        <w:pStyle w:val="Compact"/>
      </w:pPr>
      <w:r>
        <w:t xml:space="preserve">2007 · Rodriguez LM ·</w:t>
      </w:r>
      <w:r>
        <w:t xml:space="preserve"> </w:t>
      </w:r>
      <w:r>
        <w:rPr>
          <w:iCs/>
          <w:i/>
        </w:rPr>
        <w:t xml:space="preserve">Pediatr Res</w:t>
      </w:r>
      <w:r>
        <w:t xml:space="preserve"> </w:t>
      </w:r>
      <w:r>
        <w:t xml:space="preserve">· The role of prandial pramlintide in the treatment of adolescents with type 1 diabetes. PMID 17957149</w:t>
      </w:r>
    </w:p>
    <w:p>
      <w:pPr>
        <w:numPr>
          <w:ilvl w:val="0"/>
          <w:numId w:val="1387"/>
        </w:numPr>
        <w:pStyle w:val="Compact"/>
      </w:pPr>
      <w:r>
        <w:t xml:space="preserve">2007 · Riddle M ·</w:t>
      </w:r>
      <w:r>
        <w:t xml:space="preserve"> </w:t>
      </w:r>
      <w:r>
        <w:rPr>
          <w:iCs/>
          <w:i/>
        </w:rPr>
        <w:t xml:space="preserve">Diabetes Care</w:t>
      </w:r>
      <w:r>
        <w:t xml:space="preserve"> </w:t>
      </w:r>
      <w:r>
        <w:t xml:space="preserve">· Pramlintide improved glycemic control and reduced weight in patients with type 2 diabetes using basal insulin. PMID 17698615</w:t>
      </w:r>
    </w:p>
    <w:p>
      <w:pPr>
        <w:numPr>
          <w:ilvl w:val="0"/>
          <w:numId w:val="1387"/>
        </w:numPr>
        <w:pStyle w:val="Compact"/>
      </w:pPr>
      <w:r>
        <w:t xml:space="preserve">2007 · Smith SR ·</w:t>
      </w:r>
      <w:r>
        <w:t xml:space="preserve"> </w:t>
      </w:r>
      <w:r>
        <w:rPr>
          <w:iCs/>
          <w:i/>
        </w:rPr>
        <w:t xml:space="preserve">Am J Physiol Endocrinol Metab</w:t>
      </w:r>
      <w:r>
        <w:t xml:space="preserve"> </w:t>
      </w:r>
      <w:r>
        <w:t xml:space="preserve">· Pramlintide treatment reduces 24-h caloric intake and meal sizes and improves control of eating in obese subjects: a 6-wk translational research study. PMID 17505051</w:t>
      </w:r>
    </w:p>
    <w:p>
      <w:pPr>
        <w:numPr>
          <w:ilvl w:val="0"/>
          <w:numId w:val="1387"/>
        </w:numPr>
        <w:pStyle w:val="Compact"/>
      </w:pPr>
      <w:r>
        <w:t xml:space="preserve">2007 · Aronne L ·</w:t>
      </w:r>
      <w:r>
        <w:t xml:space="preserve"> </w:t>
      </w:r>
      <w:r>
        <w:rPr>
          <w:iCs/>
          <w:i/>
        </w:rPr>
        <w:t xml:space="preserve">J Clin Endocrinol Metab</w:t>
      </w:r>
      <w:r>
        <w:t xml:space="preserve"> </w:t>
      </w:r>
      <w:r>
        <w:t xml:space="preserve">· Progressive reduction in body weight after treatment with the amylin analog pramlintide in obese subjects: a phase 2, randomized, placebo-controlled, dose-escalation study. PMID 17504894</w:t>
      </w:r>
    </w:p>
    <w:p>
      <w:pPr>
        <w:numPr>
          <w:ilvl w:val="0"/>
          <w:numId w:val="1387"/>
        </w:numPr>
        <w:pStyle w:val="Compact"/>
      </w:pPr>
      <w:r>
        <w:t xml:space="preserve">2007 · Chapman I ·</w:t>
      </w:r>
      <w:r>
        <w:t xml:space="preserve"> </w:t>
      </w:r>
      <w:r>
        <w:rPr>
          <w:iCs/>
          <w:i/>
        </w:rPr>
        <w:t xml:space="preserve">Obesity (Silver Spring)</w:t>
      </w:r>
      <w:r>
        <w:t xml:space="preserve"> </w:t>
      </w:r>
      <w:r>
        <w:t xml:space="preserve">· Low-dose pramlintide reduced food intake and meal duration in healthy, normal-weight subjects. PMID 17495194</w:t>
      </w:r>
    </w:p>
    <w:p>
      <w:pPr>
        <w:numPr>
          <w:ilvl w:val="0"/>
          <w:numId w:val="1387"/>
        </w:numPr>
        <w:pStyle w:val="Compact"/>
      </w:pPr>
      <w:r>
        <w:t xml:space="preserve">2007 · Kellmeyer TA ·</w:t>
      </w:r>
      <w:r>
        <w:t xml:space="preserve"> </w:t>
      </w:r>
      <w:r>
        <w:rPr>
          <w:iCs/>
          <w:i/>
        </w:rPr>
        <w:t xml:space="preserve">J Clin Pharmacol</w:t>
      </w:r>
      <w:r>
        <w:t xml:space="preserve"> </w:t>
      </w:r>
      <w:r>
        <w:t xml:space="preserve">· Pharmacokinetics of an oral drug (acetaminophen) administered at various times relative to subcutaneous injection of pramlintide in subjects with type 2 diabetes. PMID 17463219</w:t>
      </w:r>
    </w:p>
    <w:p>
      <w:pPr>
        <w:numPr>
          <w:ilvl w:val="0"/>
          <w:numId w:val="1387"/>
        </w:numPr>
        <w:pStyle w:val="Compact"/>
      </w:pPr>
      <w:r>
        <w:t xml:space="preserve">2007 · Karl D ·</w:t>
      </w:r>
      <w:r>
        <w:t xml:space="preserve"> </w:t>
      </w:r>
      <w:r>
        <w:rPr>
          <w:iCs/>
          <w:i/>
        </w:rPr>
        <w:t xml:space="preserve">Diabetes Technol Ther</w:t>
      </w:r>
      <w:r>
        <w:t xml:space="preserve"> </w:t>
      </w:r>
      <w:r>
        <w:t xml:space="preserve">· Pramlintide as an adjunct to insulin in patients with type 2 diabetes in a clinical practice setting reduced A1C, postprandial glucose excursions, and weight. PMID 17425446</w:t>
      </w:r>
    </w:p>
    <w:p>
      <w:pPr>
        <w:numPr>
          <w:ilvl w:val="0"/>
          <w:numId w:val="1387"/>
        </w:numPr>
        <w:pStyle w:val="Compact"/>
      </w:pPr>
      <w:r>
        <w:t xml:space="preserve">2007 · Marrero DG ·</w:t>
      </w:r>
      <w:r>
        <w:t xml:space="preserve"> </w:t>
      </w:r>
      <w:r>
        <w:rPr>
          <w:iCs/>
          <w:i/>
        </w:rPr>
        <w:t xml:space="preserve">Diabetes Care</w:t>
      </w:r>
      <w:r>
        <w:t xml:space="preserve"> </w:t>
      </w:r>
      <w:r>
        <w:t xml:space="preserve">· Effect of adjunctive pramlintide treatment on treatment satisfaction in patients with type 1 diabetes. PMID 17259483</w:t>
      </w:r>
    </w:p>
    <w:p>
      <w:pPr>
        <w:numPr>
          <w:ilvl w:val="0"/>
          <w:numId w:val="1387"/>
        </w:numPr>
        <w:pStyle w:val="Compact"/>
      </w:pPr>
      <w:r>
        <w:t xml:space="preserve">2006 · Edelman SV ·</w:t>
      </w:r>
      <w:r>
        <w:t xml:space="preserve"> </w:t>
      </w:r>
      <w:r>
        <w:rPr>
          <w:iCs/>
          <w:i/>
        </w:rPr>
        <w:t xml:space="preserve">Int J Clin Pract</w:t>
      </w:r>
      <w:r>
        <w:t xml:space="preserve"> </w:t>
      </w:r>
      <w:r>
        <w:t xml:space="preserve">· Pramlintide in the treatment of diabetes. PMID 17109671</w:t>
      </w:r>
    </w:p>
    <w:p>
      <w:pPr>
        <w:numPr>
          <w:ilvl w:val="0"/>
          <w:numId w:val="1387"/>
        </w:numPr>
        <w:pStyle w:val="Compact"/>
      </w:pPr>
      <w:r>
        <w:t xml:space="preserve">2006 · Edelman S ·</w:t>
      </w:r>
      <w:r>
        <w:t xml:space="preserve"> </w:t>
      </w:r>
      <w:r>
        <w:rPr>
          <w:iCs/>
          <w:i/>
        </w:rPr>
        <w:t xml:space="preserve">Diabetes Care</w:t>
      </w:r>
      <w:r>
        <w:t xml:space="preserve"> </w:t>
      </w:r>
      <w:r>
        <w:t xml:space="preserve">· A double-blind, placebo-controlled trial assessing pramlintide treatment in the setting of intensive insulin therapy in type 1 diabetes. PMID 17003291</w:t>
      </w:r>
    </w:p>
    <w:p>
      <w:pPr>
        <w:numPr>
          <w:ilvl w:val="0"/>
          <w:numId w:val="1387"/>
        </w:numPr>
        <w:pStyle w:val="Compact"/>
      </w:pPr>
      <w:r>
        <w:t xml:space="preserve">2005 · Amiel SA ·</w:t>
      </w:r>
      <w:r>
        <w:t xml:space="preserve"> </w:t>
      </w:r>
      <w:r>
        <w:rPr>
          <w:iCs/>
          <w:i/>
        </w:rPr>
        <w:t xml:space="preserve">Diabetes Obes Metab</w:t>
      </w:r>
      <w:r>
        <w:t xml:space="preserve"> </w:t>
      </w:r>
      <w:r>
        <w:t xml:space="preserve">· The effect of pramlintide on hormonal, metabolic or symptomatic responses to insulin-induced hypoglycaemia in patients with type 1 diabetes. PMID 16050943</w:t>
      </w:r>
    </w:p>
    <w:p>
      <w:pPr>
        <w:numPr>
          <w:ilvl w:val="0"/>
          <w:numId w:val="1387"/>
        </w:numPr>
        <w:pStyle w:val="Compact"/>
      </w:pPr>
      <w:r>
        <w:t xml:space="preserve">2005 · Ratner R ·</w:t>
      </w:r>
      <w:r>
        <w:t xml:space="preserve"> </w:t>
      </w:r>
      <w:r>
        <w:rPr>
          <w:iCs/>
          <w:i/>
        </w:rPr>
        <w:t xml:space="preserve">Exp Clin Endocrinol Diabetes</w:t>
      </w:r>
      <w:r>
        <w:t xml:space="preserve"> </w:t>
      </w:r>
      <w:r>
        <w:t xml:space="preserve">· Adjunctive therapy with pramlintide lowers HbA1c without concomitant weight gain and increased risk of severe hypoglycemia in patients with type 1 diabetes approaching glycemic targets. PMID 15891954</w:t>
      </w:r>
    </w:p>
    <w:p>
      <w:pPr>
        <w:numPr>
          <w:ilvl w:val="0"/>
          <w:numId w:val="1387"/>
        </w:numPr>
        <w:pStyle w:val="Compact"/>
      </w:pPr>
      <w:r>
        <w:t xml:space="preserve">2005 · Chapman I ·</w:t>
      </w:r>
      <w:r>
        <w:t xml:space="preserve"> </w:t>
      </w:r>
      <w:r>
        <w:rPr>
          <w:iCs/>
          <w:i/>
        </w:rPr>
        <w:t xml:space="preserve">Diabetologia</w:t>
      </w:r>
      <w:r>
        <w:t xml:space="preserve"> </w:t>
      </w:r>
      <w:r>
        <w:t xml:space="preserve">· Effect of pramlintide on satiety and food intake in obese subjects and subjects with type 2 diabetes. PMID 15843914</w:t>
      </w:r>
    </w:p>
    <w:p>
      <w:pPr>
        <w:numPr>
          <w:ilvl w:val="0"/>
          <w:numId w:val="1387"/>
        </w:numPr>
        <w:pStyle w:val="Compact"/>
      </w:pPr>
      <w:r>
        <w:t xml:space="preserve">2005 · Weyer C ·</w:t>
      </w:r>
      <w:r>
        <w:t xml:space="preserve"> </w:t>
      </w:r>
      <w:r>
        <w:rPr>
          <w:iCs/>
          <w:i/>
        </w:rPr>
        <w:t xml:space="preserve">Am J Health Syst Pharm</w:t>
      </w:r>
      <w:r>
        <w:t xml:space="preserve"> </w:t>
      </w:r>
      <w:r>
        <w:t xml:space="preserve">· Properties of pramlintide and insulin upon mixing. PMID 15821274</w:t>
      </w:r>
    </w:p>
    <w:p>
      <w:pPr>
        <w:numPr>
          <w:ilvl w:val="0"/>
          <w:numId w:val="1387"/>
        </w:numPr>
        <w:pStyle w:val="Compact"/>
      </w:pPr>
      <w:r>
        <w:t xml:space="preserve">2005 · Heptulla RA ·</w:t>
      </w:r>
      <w:r>
        <w:t xml:space="preserve"> </w:t>
      </w:r>
      <w:r>
        <w:rPr>
          <w:iCs/>
          <w:i/>
        </w:rPr>
        <w:t xml:space="preserve">Diabetes</w:t>
      </w:r>
      <w:r>
        <w:t xml:space="preserve"> </w:t>
      </w:r>
      <w:r>
        <w:t xml:space="preserve">· The role of amylin and glucagon in the dampening of glycemic excursions in children with type 1 diabetes. PMID 15793249</w:t>
      </w:r>
    </w:p>
    <w:p>
      <w:pPr>
        <w:numPr>
          <w:ilvl w:val="0"/>
          <w:numId w:val="1387"/>
        </w:numPr>
        <w:pStyle w:val="Compact"/>
      </w:pPr>
      <w:r>
        <w:t xml:space="preserve">2005 · Ceriello A ·</w:t>
      </w:r>
      <w:r>
        <w:t xml:space="preserve"> </w:t>
      </w:r>
      <w:r>
        <w:rPr>
          <w:iCs/>
          <w:i/>
        </w:rPr>
        <w:t xml:space="preserve">Diabetes Care</w:t>
      </w:r>
      <w:r>
        <w:t xml:space="preserve"> </w:t>
      </w:r>
      <w:r>
        <w:t xml:space="preserve">· Effects of pramlintide on postprandial glucose excursions and measures of oxidative stress in patients with type 1 diabetes. PMID 15735200</w:t>
      </w:r>
    </w:p>
    <w:p>
      <w:pPr>
        <w:numPr>
          <w:ilvl w:val="0"/>
          <w:numId w:val="1387"/>
        </w:numPr>
        <w:pStyle w:val="Compact"/>
      </w:pPr>
      <w:r>
        <w:t xml:space="preserve">2004 · Ratner RE ·</w:t>
      </w:r>
      <w:r>
        <w:t xml:space="preserve"> </w:t>
      </w:r>
      <w:r>
        <w:rPr>
          <w:iCs/>
          <w:i/>
        </w:rPr>
        <w:t xml:space="preserve">Diabet Med</w:t>
      </w:r>
      <w:r>
        <w:t xml:space="preserve"> </w:t>
      </w:r>
      <w:r>
        <w:t xml:space="preserve">· Amylin replacement with pramlintide as an adjunct to insulin therapy improves long-term glycaemic and weight control in Type 1 diabetes mellitus: a 1-year, randomized controlled trial. PMID 15498087</w:t>
      </w:r>
    </w:p>
    <w:p>
      <w:pPr>
        <w:numPr>
          <w:ilvl w:val="0"/>
          <w:numId w:val="1387"/>
        </w:numPr>
        <w:pStyle w:val="Compact"/>
      </w:pPr>
      <w:r>
        <w:t xml:space="preserve">2004 · Heise T ·</w:t>
      </w:r>
      <w:r>
        <w:t xml:space="preserve"> </w:t>
      </w:r>
      <w:r>
        <w:rPr>
          <w:iCs/>
          <w:i/>
        </w:rPr>
        <w:t xml:space="preserve">Metabolism</w:t>
      </w:r>
      <w:r>
        <w:t xml:space="preserve"> </w:t>
      </w:r>
      <w:r>
        <w:t xml:space="preserve">· Effect of pramlintide on symptom, catecholamine, and glucagon responses to hypoglycemia in healthy subjects. PMID 15334389</w:t>
      </w:r>
    </w:p>
    <w:p>
      <w:pPr>
        <w:numPr>
          <w:ilvl w:val="0"/>
          <w:numId w:val="1387"/>
        </w:numPr>
        <w:pStyle w:val="Compact"/>
      </w:pPr>
      <w:r>
        <w:t xml:space="preserve">2004 · Hollander P ·</w:t>
      </w:r>
      <w:r>
        <w:t xml:space="preserve"> </w:t>
      </w:r>
      <w:r>
        <w:rPr>
          <w:iCs/>
          <w:i/>
        </w:rPr>
        <w:t xml:space="preserve">Obes Res</w:t>
      </w:r>
      <w:r>
        <w:t xml:space="preserve"> </w:t>
      </w:r>
      <w:r>
        <w:t xml:space="preserve">· Effect of pramlintide on weight in overweight and obese insulin-treated type 2 diabetes patients. PMID 15090634</w:t>
      </w:r>
    </w:p>
    <w:p>
      <w:pPr>
        <w:numPr>
          <w:ilvl w:val="0"/>
          <w:numId w:val="1387"/>
        </w:numPr>
        <w:pStyle w:val="Compact"/>
      </w:pPr>
      <w:r>
        <w:t xml:space="preserve">2004 · Maggs DG ·</w:t>
      </w:r>
      <w:r>
        <w:t xml:space="preserve"> </w:t>
      </w:r>
      <w:r>
        <w:rPr>
          <w:iCs/>
          <w:i/>
        </w:rPr>
        <w:t xml:space="preserve">Diabetes Metab Res Rev</w:t>
      </w:r>
      <w:r>
        <w:t xml:space="preserve"> </w:t>
      </w:r>
      <w:r>
        <w:t xml:space="preserve">· Pramlintide reduces postprandial glucose excursions when added to insulin lispro in subjects with type 2 diabetes: a dose-timing study. PMID 14737746</w:t>
      </w:r>
    </w:p>
    <w:p>
      <w:pPr>
        <w:numPr>
          <w:ilvl w:val="0"/>
          <w:numId w:val="1387"/>
        </w:numPr>
        <w:pStyle w:val="Compact"/>
      </w:pPr>
      <w:r>
        <w:t xml:space="preserve">2003 · Maggs D ·</w:t>
      </w:r>
      <w:r>
        <w:t xml:space="preserve"> </w:t>
      </w:r>
      <w:r>
        <w:rPr>
          <w:iCs/>
          <w:i/>
        </w:rPr>
        <w:t xml:space="preserve">Metabolism</w:t>
      </w:r>
      <w:r>
        <w:t xml:space="preserve"> </w:t>
      </w:r>
      <w:r>
        <w:t xml:space="preserve">· Effect of pramlintide on A1C and body weight in insulin-treated African Americans and Hispanics with type 2 diabetes: a pooled post hoc analysis. PMID 14669170</w:t>
      </w:r>
    </w:p>
    <w:p>
      <w:pPr>
        <w:numPr>
          <w:ilvl w:val="0"/>
          <w:numId w:val="1387"/>
        </w:numPr>
        <w:pStyle w:val="Compact"/>
      </w:pPr>
      <w:r>
        <w:t xml:space="preserve">2003 · Weyer C ·</w:t>
      </w:r>
      <w:r>
        <w:t xml:space="preserve"> </w:t>
      </w:r>
      <w:r>
        <w:rPr>
          <w:iCs/>
          <w:i/>
        </w:rPr>
        <w:t xml:space="preserve">Diabetes Care</w:t>
      </w:r>
      <w:r>
        <w:t xml:space="preserve"> </w:t>
      </w:r>
      <w:r>
        <w:t xml:space="preserve">· Pramlintide reduces postprandial glucose excursions when added to regular insulin or insulin lispro in subjects with type 1 diabetes: a dose-timing study. PMID 14578242</w:t>
      </w:r>
    </w:p>
    <w:p>
      <w:pPr>
        <w:numPr>
          <w:ilvl w:val="0"/>
          <w:numId w:val="1387"/>
        </w:numPr>
        <w:pStyle w:val="Compact"/>
      </w:pPr>
      <w:r>
        <w:t xml:space="preserve">2003 · Hollander PA ·</w:t>
      </w:r>
      <w:r>
        <w:t xml:space="preserve"> </w:t>
      </w:r>
      <w:r>
        <w:rPr>
          <w:iCs/>
          <w:i/>
        </w:rPr>
        <w:t xml:space="preserve">Diabetes Care</w:t>
      </w:r>
      <w:r>
        <w:t xml:space="preserve"> </w:t>
      </w:r>
      <w:r>
        <w:t xml:space="preserve">· Pramlintide as an adjunct to insulin therapy improves long-term glycemic and weight control in patients with type 2 diabetes: a 1-year randomized controlled trial. PMID 12610038</w:t>
      </w:r>
    </w:p>
    <w:p>
      <w:pPr>
        <w:numPr>
          <w:ilvl w:val="0"/>
          <w:numId w:val="1387"/>
        </w:numPr>
        <w:pStyle w:val="Compact"/>
      </w:pPr>
      <w:r>
        <w:t xml:space="preserve">2003 · Levetan C ·</w:t>
      </w:r>
      <w:r>
        <w:t xml:space="preserve"> </w:t>
      </w:r>
      <w:r>
        <w:rPr>
          <w:iCs/>
          <w:i/>
        </w:rPr>
        <w:t xml:space="preserve">Diabetes Care</w:t>
      </w:r>
      <w:r>
        <w:t xml:space="preserve"> </w:t>
      </w:r>
      <w:r>
        <w:t xml:space="preserve">· Impact of pramlintide on glucose fluctuations and postprandial glucose, glucagon, and triglyceride excursions among patients with type 1 diabetes intensively treated with insulin pumps. PMID 12502651</w:t>
      </w:r>
    </w:p>
    <w:p>
      <w:pPr>
        <w:numPr>
          <w:ilvl w:val="0"/>
          <w:numId w:val="1387"/>
        </w:numPr>
        <w:pStyle w:val="Compact"/>
      </w:pPr>
      <w:r>
        <w:t xml:space="preserve">2002 · Fineman M ·</w:t>
      </w:r>
      <w:r>
        <w:t xml:space="preserve"> </w:t>
      </w:r>
      <w:r>
        <w:rPr>
          <w:iCs/>
          <w:i/>
        </w:rPr>
        <w:t xml:space="preserve">Horm Metab Res</w:t>
      </w:r>
      <w:r>
        <w:t xml:space="preserve"> </w:t>
      </w:r>
      <w:r>
        <w:t xml:space="preserve">· The human amylin analog, pramlintide, reduces postprandial hyperglucagonemia in patients with type 2 diabetes mellitus. PMID 12384827</w:t>
      </w:r>
    </w:p>
    <w:p>
      <w:pPr>
        <w:numPr>
          <w:ilvl w:val="0"/>
          <w:numId w:val="1387"/>
        </w:numPr>
        <w:pStyle w:val="Compact"/>
      </w:pPr>
      <w:r>
        <w:t xml:space="preserve">2002 · Ratner RE ·</w:t>
      </w:r>
      <w:r>
        <w:t xml:space="preserve"> </w:t>
      </w:r>
      <w:r>
        <w:rPr>
          <w:iCs/>
          <w:i/>
        </w:rPr>
        <w:t xml:space="preserve">Diabetes Technol Ther</w:t>
      </w:r>
      <w:r>
        <w:t xml:space="preserve"> </w:t>
      </w:r>
      <w:r>
        <w:t xml:space="preserve">· Adjunctive therapy with the amylin analogue pramlintide leads to a combined improvement in glycemic and weight control in insulin-treated subjects with type 2 diabetes. PMID 12017421</w:t>
      </w:r>
    </w:p>
    <w:p>
      <w:pPr>
        <w:numPr>
          <w:ilvl w:val="0"/>
          <w:numId w:val="1387"/>
        </w:numPr>
        <w:pStyle w:val="Compact"/>
      </w:pPr>
      <w:r>
        <w:t xml:space="preserve">2002 · Fineman MS ·</w:t>
      </w:r>
      <w:r>
        <w:t xml:space="preserve"> </w:t>
      </w:r>
      <w:r>
        <w:rPr>
          <w:iCs/>
          <w:i/>
        </w:rPr>
        <w:t xml:space="preserve">Metabolism</w:t>
      </w:r>
      <w:r>
        <w:t xml:space="preserve"> </w:t>
      </w:r>
      <w:r>
        <w:t xml:space="preserve">· The human amylin analog, pramlintide, corrects postprandial hyperglucagonemia in patients with type 1 diabetes. PMID 11979398</w:t>
      </w:r>
    </w:p>
    <w:p>
      <w:pPr>
        <w:numPr>
          <w:ilvl w:val="0"/>
          <w:numId w:val="1387"/>
        </w:numPr>
        <w:pStyle w:val="Compact"/>
      </w:pPr>
      <w:r>
        <w:t xml:space="preserve">2002 · Vella A ·</w:t>
      </w:r>
      <w:r>
        <w:t xml:space="preserve"> </w:t>
      </w:r>
      <w:r>
        <w:rPr>
          <w:iCs/>
          <w:i/>
        </w:rPr>
        <w:t xml:space="preserve">Neurogastroenterol Motil</w:t>
      </w:r>
      <w:r>
        <w:t xml:space="preserve"> </w:t>
      </w:r>
      <w:r>
        <w:t xml:space="preserve">· Effects of pramlintide, an amylin analogue, on gastric emptying in type 1 and 2 diabetes mellitus. PMID 11975712</w:t>
      </w:r>
    </w:p>
    <w:p>
      <w:pPr>
        <w:numPr>
          <w:ilvl w:val="0"/>
          <w:numId w:val="1387"/>
        </w:numPr>
        <w:pStyle w:val="Compact"/>
      </w:pPr>
      <w:r>
        <w:t xml:space="preserve">2002 · Whitehouse F ·</w:t>
      </w:r>
      <w:r>
        <w:t xml:space="preserve"> </w:t>
      </w:r>
      <w:r>
        <w:rPr>
          <w:iCs/>
          <w:i/>
        </w:rPr>
        <w:t xml:space="preserve">Diabetes Care</w:t>
      </w:r>
      <w:r>
        <w:t xml:space="preserve"> </w:t>
      </w:r>
      <w:r>
        <w:t xml:space="preserve">· A randomized study and open-label extension evaluating the long-term efficacy of pramlintide as an adjunct to insulin therapy in type 1 diabetes. PMID 11919132</w:t>
      </w:r>
    </w:p>
    <w:p>
      <w:pPr>
        <w:numPr>
          <w:ilvl w:val="0"/>
          <w:numId w:val="1387"/>
        </w:numPr>
        <w:pStyle w:val="Compact"/>
      </w:pPr>
      <w:r>
        <w:t xml:space="preserve">2000 · Samsom M ·</w:t>
      </w:r>
      <w:r>
        <w:t xml:space="preserve"> </w:t>
      </w:r>
      <w:r>
        <w:rPr>
          <w:iCs/>
          <w:i/>
        </w:rPr>
        <w:t xml:space="preserve">Am J Physiol Gastrointest Liver Physiol</w:t>
      </w:r>
      <w:r>
        <w:t xml:space="preserve"> </w:t>
      </w:r>
      <w:r>
        <w:t xml:space="preserve">· Pramlintide, an amylin analog, selectively delays gastric emptying: potential role of vagal inhibition. PMID 10859225</w:t>
      </w:r>
    </w:p>
    <w:p>
      <w:pPr>
        <w:numPr>
          <w:ilvl w:val="0"/>
          <w:numId w:val="1387"/>
        </w:numPr>
        <w:pStyle w:val="Compact"/>
      </w:pPr>
      <w:r>
        <w:t xml:space="preserve">1999 · Orskov L ·</w:t>
      </w:r>
      <w:r>
        <w:t xml:space="preserve"> </w:t>
      </w:r>
      <w:r>
        <w:rPr>
          <w:iCs/>
          <w:i/>
        </w:rPr>
        <w:t xml:space="preserve">Diabet Med</w:t>
      </w:r>
      <w:r>
        <w:t xml:space="preserve"> </w:t>
      </w:r>
      <w:r>
        <w:t xml:space="preserve">· Effects of the amylin analogue pramlintide on hepatic glucagon responses and intermediary metabolism in Type 1 diabetic subjects. PMID 10547215</w:t>
      </w:r>
    </w:p>
    <w:p>
      <w:pPr>
        <w:numPr>
          <w:ilvl w:val="0"/>
          <w:numId w:val="1387"/>
        </w:numPr>
        <w:pStyle w:val="Compact"/>
      </w:pPr>
      <w:r>
        <w:t xml:space="preserve">1999 · Nyholm B ·</w:t>
      </w:r>
      <w:r>
        <w:t xml:space="preserve"> </w:t>
      </w:r>
      <w:r>
        <w:rPr>
          <w:iCs/>
          <w:i/>
        </w:rPr>
        <w:t xml:space="preserve">Metabolism</w:t>
      </w:r>
      <w:r>
        <w:t xml:space="preserve"> </w:t>
      </w:r>
      <w:r>
        <w:t xml:space="preserve">· The amylin analog pramlintide improves glycemic control and reduces postprandial glucagon concentrations in patients with type 1 diabetes mellitus. PMID 10421239</w:t>
      </w:r>
    </w:p>
    <w:p>
      <w:pPr>
        <w:numPr>
          <w:ilvl w:val="0"/>
          <w:numId w:val="1387"/>
        </w:numPr>
        <w:pStyle w:val="Compact"/>
      </w:pPr>
      <w:r>
        <w:t xml:space="preserve">1998 · Kong MF ·</w:t>
      </w:r>
      <w:r>
        <w:t xml:space="preserve"> </w:t>
      </w:r>
      <w:r>
        <w:rPr>
          <w:iCs/>
          <w:i/>
        </w:rPr>
        <w:t xml:space="preserve">Diabetologia</w:t>
      </w:r>
      <w:r>
        <w:t xml:space="preserve"> </w:t>
      </w:r>
      <w:r>
        <w:t xml:space="preserve">· The effect of single doses of pramlintide on gastric emptying of two meals in men with IDDM. PMID 9628276</w:t>
      </w:r>
    </w:p>
    <w:p>
      <w:pPr>
        <w:numPr>
          <w:ilvl w:val="0"/>
          <w:numId w:val="1387"/>
        </w:numPr>
        <w:pStyle w:val="Compact"/>
      </w:pPr>
      <w:r>
        <w:t xml:space="preserve">1998 · Thompson RG ·</w:t>
      </w:r>
      <w:r>
        <w:t xml:space="preserve"> </w:t>
      </w:r>
      <w:r>
        <w:rPr>
          <w:iCs/>
          <w:i/>
        </w:rPr>
        <w:t xml:space="preserve">Diabetes Care</w:t>
      </w:r>
      <w:r>
        <w:t xml:space="preserve"> </w:t>
      </w:r>
      <w:r>
        <w:t xml:space="preserve">· Pramlintide, a synthetic analog of human amylin, improves the metabolic profile of patients with type 2 diabetes using insulin. The Pramlintide in Type 2 Diabetes Group. PMID 9614619</w:t>
      </w:r>
    </w:p>
    <w:p>
      <w:pPr>
        <w:numPr>
          <w:ilvl w:val="0"/>
          <w:numId w:val="1387"/>
        </w:numPr>
        <w:pStyle w:val="Compact"/>
      </w:pPr>
      <w:r>
        <w:t xml:space="preserve">1997 · Thompson RG ·</w:t>
      </w:r>
      <w:r>
        <w:t xml:space="preserve"> </w:t>
      </w:r>
      <w:r>
        <w:rPr>
          <w:iCs/>
          <w:i/>
        </w:rPr>
        <w:t xml:space="preserve">Diabetologia</w:t>
      </w:r>
      <w:r>
        <w:t xml:space="preserve"> </w:t>
      </w:r>
      <w:r>
        <w:t xml:space="preserve">· Effects of 4 weeks’ administration of pramlintide, a human amylin analogue, on glycaemia control in patients with IDDM: effects on plasma glucose profiles and serum fructosamine concentrations. PMID 9389419</w:t>
      </w:r>
    </w:p>
    <w:p>
      <w:pPr>
        <w:numPr>
          <w:ilvl w:val="0"/>
          <w:numId w:val="1387"/>
        </w:numPr>
        <w:pStyle w:val="Compact"/>
      </w:pPr>
      <w:r>
        <w:t xml:space="preserve">1997 · Thompson RG ·</w:t>
      </w:r>
      <w:r>
        <w:t xml:space="preserve"> </w:t>
      </w:r>
      <w:r>
        <w:rPr>
          <w:iCs/>
          <w:i/>
        </w:rPr>
        <w:t xml:space="preserve">Diabet Med</w:t>
      </w:r>
      <w:r>
        <w:t xml:space="preserve"> </w:t>
      </w:r>
      <w:r>
        <w:t xml:space="preserve">· Pramlintide: a human amylin analogue reduced postprandial plasma glucose, insulin, and C-peptide concentrations in patients with type 2 diabetes. PMID 9223392</w:t>
      </w:r>
    </w:p>
    <w:p>
      <w:pPr>
        <w:numPr>
          <w:ilvl w:val="0"/>
          <w:numId w:val="1387"/>
        </w:numPr>
        <w:pStyle w:val="Compact"/>
      </w:pPr>
      <w:r>
        <w:t xml:space="preserve">1997 · Thompson RG ·</w:t>
      </w:r>
      <w:r>
        <w:t xml:space="preserve"> </w:t>
      </w:r>
      <w:r>
        <w:rPr>
          <w:iCs/>
          <w:i/>
        </w:rPr>
        <w:t xml:space="preserve">Diabetes</w:t>
      </w:r>
      <w:r>
        <w:t xml:space="preserve"> </w:t>
      </w:r>
      <w:r>
        <w:t xml:space="preserve">· Effects of pramlintide, an analog of human amylin, on plasma glucose profiles in patients with IDDM: results of a multicenter trial. PMID 9075803</w:t>
      </w:r>
    </w:p>
    <w:p>
      <w:pPr>
        <w:numPr>
          <w:ilvl w:val="0"/>
          <w:numId w:val="1387"/>
        </w:numPr>
        <w:pStyle w:val="Compact"/>
      </w:pPr>
      <w:r>
        <w:t xml:space="preserve">1997 · Kong MF ·</w:t>
      </w:r>
      <w:r>
        <w:t xml:space="preserve"> </w:t>
      </w:r>
      <w:r>
        <w:rPr>
          <w:iCs/>
          <w:i/>
        </w:rPr>
        <w:t xml:space="preserve">Diabetologia</w:t>
      </w:r>
      <w:r>
        <w:t xml:space="preserve"> </w:t>
      </w:r>
      <w:r>
        <w:t xml:space="preserve">· Infusion of pramlintide, a human amylin analogue, delays gastric emptying in men with IDDM. PMID 9028722</w:t>
      </w:r>
    </w:p>
    <w:p>
      <w:pPr>
        <w:numPr>
          <w:ilvl w:val="0"/>
          <w:numId w:val="1387"/>
        </w:numPr>
        <w:pStyle w:val="Compact"/>
      </w:pPr>
      <w:r>
        <w:t xml:space="preserve">1996 · Kolterman OG ·</w:t>
      </w:r>
      <w:r>
        <w:t xml:space="preserve"> </w:t>
      </w:r>
      <w:r>
        <w:rPr>
          <w:iCs/>
          <w:i/>
        </w:rPr>
        <w:t xml:space="preserve">Diabetologia</w:t>
      </w:r>
      <w:r>
        <w:t xml:space="preserve"> </w:t>
      </w:r>
      <w:r>
        <w:t xml:space="preserve">· Effect of 14 days’ subcutaneous administration of the human amylin analogue, pramlintide (AC137), on an intravenous insulin challenge and response to a standard liquid meal in patients with IDDM. PMID 8778001</w:t>
      </w:r>
    </w:p>
    <w:bookmarkEnd w:id="1127"/>
    <w:bookmarkStart w:id="1128" w:name="setmelanotide-15"/>
    <w:p>
      <w:pPr>
        <w:pStyle w:val="Heading2"/>
      </w:pPr>
      <w:r>
        <w:t xml:space="preserve">Setmelanotide (15)</w:t>
      </w:r>
    </w:p>
    <w:p>
      <w:pPr>
        <w:numPr>
          <w:ilvl w:val="0"/>
          <w:numId w:val="1388"/>
        </w:numPr>
        <w:pStyle w:val="Compact"/>
      </w:pPr>
      <w:r>
        <w:t xml:space="preserve">2026 · Miller JL ·</w:t>
      </w:r>
      <w:r>
        <w:t xml:space="preserve"> </w:t>
      </w:r>
      <w:r>
        <w:rPr>
          <w:iCs/>
          <w:i/>
        </w:rPr>
        <w:t xml:space="preserve">N Engl J Med</w:t>
      </w:r>
      <w:r>
        <w:t xml:space="preserve"> </w:t>
      </w:r>
      <w:r>
        <w:t xml:space="preserve">· Setmelanotide for the Treatment of Acquired Hypothalamic Obesity. PMID 42418774</w:t>
      </w:r>
    </w:p>
    <w:p>
      <w:pPr>
        <w:numPr>
          <w:ilvl w:val="0"/>
          <w:numId w:val="1388"/>
        </w:numPr>
        <w:pStyle w:val="Compact"/>
      </w:pPr>
      <w:r>
        <w:t xml:space="preserve">2026 · Argente J ·</w:t>
      </w:r>
      <w:r>
        <w:t xml:space="preserve"> </w:t>
      </w:r>
      <w:r>
        <w:rPr>
          <w:iCs/>
          <w:i/>
        </w:rPr>
        <w:t xml:space="preserve">Obesity (Silver Spring)</w:t>
      </w:r>
      <w:r>
        <w:t xml:space="preserve"> </w:t>
      </w:r>
      <w:r>
        <w:t xml:space="preserve">· Setmelanotide in Bardet-Biedl Syndrome: A 52-Week Comparison of Phase 3 Trial Participants With a Matched Registry Cohort. PMID 41703984</w:t>
      </w:r>
    </w:p>
    <w:p>
      <w:pPr>
        <w:numPr>
          <w:ilvl w:val="0"/>
          <w:numId w:val="1388"/>
        </w:numPr>
        <w:pStyle w:val="Compact"/>
      </w:pPr>
      <w:r>
        <w:t xml:space="preserve">2025 · Haqq AM ·</w:t>
      </w:r>
      <w:r>
        <w:t xml:space="preserve"> </w:t>
      </w:r>
      <w:r>
        <w:rPr>
          <w:iCs/>
          <w:i/>
        </w:rPr>
        <w:t xml:space="preserve">J Clin Endocrinol Metab</w:t>
      </w:r>
      <w:r>
        <w:t xml:space="preserve"> </w:t>
      </w:r>
      <w:r>
        <w:t xml:space="preserve">· Impact of Setmelanotide on Metabolic Syndrome Risk in Patients With Bardet-Biedl Syndrome. PMID 39919037</w:t>
      </w:r>
    </w:p>
    <w:p>
      <w:pPr>
        <w:numPr>
          <w:ilvl w:val="0"/>
          <w:numId w:val="1388"/>
        </w:numPr>
        <w:pStyle w:val="Compact"/>
      </w:pPr>
      <w:r>
        <w:t xml:space="preserve">2025 · Argente J ·</w:t>
      </w:r>
      <w:r>
        <w:t xml:space="preserve"> </w:t>
      </w:r>
      <w:r>
        <w:rPr>
          <w:iCs/>
          <w:i/>
        </w:rPr>
        <w:t xml:space="preserve">Lancet Diabetes Endocrinol</w:t>
      </w:r>
      <w:r>
        <w:t xml:space="preserve"> </w:t>
      </w:r>
      <w:r>
        <w:t xml:space="preserve">· Setmelanotide in patients aged 2-5 years with rare MC4R pathway-associated obesity (VENTURE): a 1 year, open-label, multicenter, phase 3 trial. PMID 39549719</w:t>
      </w:r>
    </w:p>
    <w:p>
      <w:pPr>
        <w:numPr>
          <w:ilvl w:val="0"/>
          <w:numId w:val="1388"/>
        </w:numPr>
        <w:pStyle w:val="Compact"/>
      </w:pPr>
      <w:r>
        <w:t xml:space="preserve">2024 · Delplanque J ·</w:t>
      </w:r>
      <w:r>
        <w:t xml:space="preserve"> </w:t>
      </w:r>
      <w:r>
        <w:rPr>
          <w:iCs/>
          <w:i/>
        </w:rPr>
        <w:t xml:space="preserve">Am J Hum Genet</w:t>
      </w:r>
      <w:r>
        <w:t xml:space="preserve"> </w:t>
      </w:r>
      <w:r>
        <w:t xml:space="preserve">· Monoallelic pathogenic variants in LEPR do not cause obesity. PMID 39561769</w:t>
      </w:r>
    </w:p>
    <w:p>
      <w:pPr>
        <w:numPr>
          <w:ilvl w:val="0"/>
          <w:numId w:val="1388"/>
        </w:numPr>
        <w:pStyle w:val="Compact"/>
      </w:pPr>
      <w:r>
        <w:t xml:space="preserve">2024 · Roth CL ·</w:t>
      </w:r>
      <w:r>
        <w:t xml:space="preserve"> </w:t>
      </w:r>
      <w:r>
        <w:rPr>
          <w:iCs/>
          <w:i/>
        </w:rPr>
        <w:t xml:space="preserve">Lancet Diabetes Endocrinol</w:t>
      </w:r>
      <w:r>
        <w:t xml:space="preserve"> </w:t>
      </w:r>
      <w:r>
        <w:t xml:space="preserve">· Setmelanotide for the treatment of acquired hypothalamic obesity: a phase 2, open-label, multicentre trial. PMID 38697184</w:t>
      </w:r>
    </w:p>
    <w:p>
      <w:pPr>
        <w:numPr>
          <w:ilvl w:val="0"/>
          <w:numId w:val="1388"/>
        </w:numPr>
        <w:pStyle w:val="Compact"/>
      </w:pPr>
      <w:r>
        <w:t xml:space="preserve">2023 · van Santen HM ·</w:t>
      </w:r>
      <w:r>
        <w:t xml:space="preserve"> </w:t>
      </w:r>
      <w:r>
        <w:rPr>
          <w:iCs/>
          <w:i/>
        </w:rPr>
        <w:t xml:space="preserve">Front Endocrinol (Lausanne)</w:t>
      </w:r>
      <w:r>
        <w:t xml:space="preserve"> </w:t>
      </w:r>
      <w:r>
        <w:t xml:space="preserve">· Could setmelanotide be the game-changer for acquired hypothalamic obesity?. PMID 38239988</w:t>
      </w:r>
    </w:p>
    <w:p>
      <w:pPr>
        <w:numPr>
          <w:ilvl w:val="0"/>
          <w:numId w:val="1388"/>
        </w:numPr>
        <w:pStyle w:val="Compact"/>
      </w:pPr>
      <w:r>
        <w:t xml:space="preserve">2023 · Forsythe E ·</w:t>
      </w:r>
      <w:r>
        <w:t xml:space="preserve"> </w:t>
      </w:r>
      <w:r>
        <w:rPr>
          <w:iCs/>
          <w:i/>
        </w:rPr>
        <w:t xml:space="preserve">Orphanet J Rare Dis</w:t>
      </w:r>
      <w:r>
        <w:t xml:space="preserve"> </w:t>
      </w:r>
      <w:r>
        <w:t xml:space="preserve">· Quality of life improvements following one year of setmelanotide in children and adult patients with Bardet-Biedl syndrome: phase 3 trial results. PMID 36647077</w:t>
      </w:r>
    </w:p>
    <w:p>
      <w:pPr>
        <w:numPr>
          <w:ilvl w:val="0"/>
          <w:numId w:val="1388"/>
        </w:numPr>
        <w:pStyle w:val="Compact"/>
      </w:pPr>
      <w:r>
        <w:t xml:space="preserve">2022 · Haqq AM ·</w:t>
      </w:r>
      <w:r>
        <w:t xml:space="preserve"> </w:t>
      </w:r>
      <w:r>
        <w:rPr>
          <w:iCs/>
          <w:i/>
        </w:rPr>
        <w:t xml:space="preserve">Lancet Diabetes Endocrinol</w:t>
      </w:r>
      <w:r>
        <w:t xml:space="preserve"> </w:t>
      </w:r>
      <w:r>
        <w:t xml:space="preserve">· Efficacy and safety of setmelanotide, a melanocortin-4 receptor agonist, in patients with Bardet-Biedl syndrome and Alström syndrome: a multicentre, randomised, double-blind, placebo-controlled, phase 3 trial with an open-label period. PMID 36356613</w:t>
      </w:r>
    </w:p>
    <w:p>
      <w:pPr>
        <w:numPr>
          <w:ilvl w:val="0"/>
          <w:numId w:val="1388"/>
        </w:numPr>
        <w:pStyle w:val="Compact"/>
      </w:pPr>
      <w:r>
        <w:t xml:space="preserve">2022 · Kühnen P ·</w:t>
      </w:r>
      <w:r>
        <w:t xml:space="preserve"> </w:t>
      </w:r>
      <w:r>
        <w:rPr>
          <w:iCs/>
          <w:i/>
        </w:rPr>
        <w:t xml:space="preserve">Orphanet J Rare Dis</w:t>
      </w:r>
      <w:r>
        <w:t xml:space="preserve"> </w:t>
      </w:r>
      <w:r>
        <w:t xml:space="preserve">· Quality of life outcomes in two phase 3 trials of setmelanotide in patients with obesity due to LEPR or POMC deficiency. PMID 35123544</w:t>
      </w:r>
    </w:p>
    <w:p>
      <w:pPr>
        <w:numPr>
          <w:ilvl w:val="0"/>
          <w:numId w:val="1388"/>
        </w:numPr>
        <w:pStyle w:val="Compact"/>
      </w:pPr>
      <w:r>
        <w:t xml:space="preserve">2021 · Kanti V ·</w:t>
      </w:r>
      <w:r>
        <w:t xml:space="preserve"> </w:t>
      </w:r>
      <w:r>
        <w:rPr>
          <w:iCs/>
          <w:i/>
        </w:rPr>
        <w:t xml:space="preserve">Skin Pharmacol Physiol</w:t>
      </w:r>
      <w:r>
        <w:t xml:space="preserve"> </w:t>
      </w:r>
      <w:r>
        <w:t xml:space="preserve">· A Melanocortin-4 Receptor Agonist Induces Skin and Hair Pigmentation in Patients with Monogenic Mutations in the Leptin-Melanocortin Pathway. PMID 34058738</w:t>
      </w:r>
    </w:p>
    <w:p>
      <w:pPr>
        <w:numPr>
          <w:ilvl w:val="0"/>
          <w:numId w:val="1388"/>
        </w:numPr>
        <w:pStyle w:val="Compact"/>
      </w:pPr>
      <w:r>
        <w:t xml:space="preserve">2020 · Clément K ·</w:t>
      </w:r>
      <w:r>
        <w:t xml:space="preserve"> </w:t>
      </w:r>
      <w:r>
        <w:rPr>
          <w:iCs/>
          <w:i/>
        </w:rPr>
        <w:t xml:space="preserve">Lancet Diabetes Endocrinol</w:t>
      </w:r>
      <w:r>
        <w:t xml:space="preserve"> </w:t>
      </w:r>
      <w:r>
        <w:t xml:space="preserve">· Efficacy and safety of setmelanotide, an MC4R agonist, in individuals with severe obesity due to LEPR or POMC deficiency: single-arm, open-label, multicentre, phase 3 trials. PMID 33137293</w:t>
      </w:r>
    </w:p>
    <w:p>
      <w:pPr>
        <w:numPr>
          <w:ilvl w:val="0"/>
          <w:numId w:val="1388"/>
        </w:numPr>
        <w:pStyle w:val="Compact"/>
      </w:pPr>
      <w:r>
        <w:t xml:space="preserve">2018 · Clément K ·</w:t>
      </w:r>
      <w:r>
        <w:t xml:space="preserve"> </w:t>
      </w:r>
      <w:r>
        <w:rPr>
          <w:iCs/>
          <w:i/>
        </w:rPr>
        <w:t xml:space="preserve">Nat Med</w:t>
      </w:r>
      <w:r>
        <w:t xml:space="preserve"> </w:t>
      </w:r>
      <w:r>
        <w:t xml:space="preserve">· MC4R agonism promotes durable weight loss in patients with leptin receptor deficiency. PMID 29736023</w:t>
      </w:r>
    </w:p>
    <w:p>
      <w:pPr>
        <w:numPr>
          <w:ilvl w:val="0"/>
          <w:numId w:val="1388"/>
        </w:numPr>
        <w:pStyle w:val="Compact"/>
      </w:pPr>
      <w:r>
        <w:t xml:space="preserve">2017 · Collet TH ·</w:t>
      </w:r>
      <w:r>
        <w:t xml:space="preserve"> </w:t>
      </w:r>
      <w:r>
        <w:rPr>
          <w:iCs/>
          <w:i/>
        </w:rPr>
        <w:t xml:space="preserve">Mol Metab</w:t>
      </w:r>
      <w:r>
        <w:t xml:space="preserve"> </w:t>
      </w:r>
      <w:r>
        <w:t xml:space="preserve">· Evaluation of a melanocortin-4 receptor (MC4R) agonist (Setmelanotide) in MC4R deficiency. PMID 29031731</w:t>
      </w:r>
    </w:p>
    <w:p>
      <w:pPr>
        <w:numPr>
          <w:ilvl w:val="0"/>
          <w:numId w:val="1388"/>
        </w:numPr>
        <w:pStyle w:val="Compact"/>
      </w:pPr>
      <w:r>
        <w:t xml:space="preserve">2016 · Kühnen P ·</w:t>
      </w:r>
      <w:r>
        <w:t xml:space="preserve"> </w:t>
      </w:r>
      <w:r>
        <w:rPr>
          <w:iCs/>
          <w:i/>
        </w:rPr>
        <w:t xml:space="preserve">N Engl J Med</w:t>
      </w:r>
      <w:r>
        <w:t xml:space="preserve"> </w:t>
      </w:r>
      <w:r>
        <w:t xml:space="preserve">· Proopiomelanocortin Deficiency Treated with a Melanocortin-4 Receptor Agonist. PMID 27468060</w:t>
      </w:r>
    </w:p>
    <w:bookmarkEnd w:id="1128"/>
    <w:bookmarkStart w:id="1129" w:name="aod-9604-0"/>
    <w:p>
      <w:pPr>
        <w:pStyle w:val="Heading2"/>
      </w:pPr>
      <w:r>
        <w:t xml:space="preserve">AOD-9604 (0)</w:t>
      </w:r>
    </w:p>
    <w:p>
      <w:pPr>
        <w:pStyle w:val="FirstParagraph"/>
      </w:pPr>
      <w:r>
        <w:t xml:space="preserve">Geen publicaties van klinische studies bij mensen gevonden.</w:t>
      </w:r>
    </w:p>
    <w:bookmarkEnd w:id="1129"/>
    <w:bookmarkStart w:id="1130" w:name="orforglipron-ter-vergelijking-20"/>
    <w:p>
      <w:pPr>
        <w:pStyle w:val="Heading2"/>
      </w:pPr>
      <w:r>
        <w:t xml:space="preserve">Orforglipron (ter vergelijking) (20)</w:t>
      </w:r>
    </w:p>
    <w:p>
      <w:pPr>
        <w:numPr>
          <w:ilvl w:val="0"/>
          <w:numId w:val="1389"/>
        </w:numPr>
        <w:pStyle w:val="Compact"/>
      </w:pPr>
      <w:r>
        <w:t xml:space="preserve">2026 · Klein KR ·</w:t>
      </w:r>
      <w:r>
        <w:t xml:space="preserve"> </w:t>
      </w:r>
      <w:r>
        <w:rPr>
          <w:iCs/>
          <w:i/>
        </w:rPr>
        <w:t xml:space="preserve">Lancet</w:t>
      </w:r>
      <w:r>
        <w:t xml:space="preserve"> </w:t>
      </w:r>
      <w:r>
        <w:t xml:space="preserve">· Cardiovascular safety of orforglipron versus insulin glargine in adults with type 2 diabetes at increased cardiovascular risk (ACHIEVE-4): a phase 3, event-driven, randomised, open-label, non-inferiority, active comparator trial. PMID 42815506</w:t>
      </w:r>
    </w:p>
    <w:p>
      <w:pPr>
        <w:numPr>
          <w:ilvl w:val="0"/>
          <w:numId w:val="1389"/>
        </w:numPr>
        <w:pStyle w:val="Compact"/>
      </w:pPr>
      <w:r>
        <w:t xml:space="preserve">2026 · Yabe D ·</w:t>
      </w:r>
      <w:r>
        <w:t xml:space="preserve"> </w:t>
      </w:r>
      <w:r>
        <w:rPr>
          <w:iCs/>
          <w:i/>
        </w:rPr>
        <w:t xml:space="preserve">Lancet Diabetes Endocrinol</w:t>
      </w:r>
      <w:r>
        <w:t xml:space="preserve"> </w:t>
      </w:r>
      <w:r>
        <w:t xml:space="preserve">· Long-term safety of oral orforglipron in Japanese participants with type 2 diabetes (ACHIEVE-J): a multicentre, randomised, open-label, parallel-group phase 3 trial. PMID 42607698</w:t>
      </w:r>
    </w:p>
    <w:p>
      <w:pPr>
        <w:numPr>
          <w:ilvl w:val="0"/>
          <w:numId w:val="1389"/>
        </w:numPr>
        <w:pStyle w:val="Compact"/>
      </w:pPr>
      <w:r>
        <w:t xml:space="preserve">2026 · Wharton S ·</w:t>
      </w:r>
      <w:r>
        <w:t xml:space="preserve"> </w:t>
      </w:r>
      <w:r>
        <w:rPr>
          <w:iCs/>
          <w:i/>
        </w:rPr>
        <w:t xml:space="preserve">Diabetes Obes Metab</w:t>
      </w:r>
      <w:r>
        <w:t xml:space="preserve"> </w:t>
      </w:r>
      <w:r>
        <w:t xml:space="preserve">· Hepatic Safety of Orforglipron in Adults With Obesity or Overweight and/or Type 2 Diabetes: A Pooled Analysis of the Orforglipron Phase 3 Clinical Trials. PMID 42338042</w:t>
      </w:r>
    </w:p>
    <w:p>
      <w:pPr>
        <w:numPr>
          <w:ilvl w:val="0"/>
          <w:numId w:val="1389"/>
        </w:numPr>
        <w:pStyle w:val="Compact"/>
      </w:pPr>
      <w:r>
        <w:t xml:space="preserve">2026 · Welch M ·</w:t>
      </w:r>
      <w:r>
        <w:t xml:space="preserve"> </w:t>
      </w:r>
      <w:r>
        <w:rPr>
          <w:iCs/>
          <w:i/>
        </w:rPr>
        <w:t xml:space="preserve">Lancet</w:t>
      </w:r>
      <w:r>
        <w:t xml:space="preserve"> </w:t>
      </w:r>
      <w:r>
        <w:t xml:space="preserve">· Orforglipron compared with dapagliflozin in adults with type 2 diabetes and inadequate glycaemic control with metformin (ACHIEVE-2): a multicentre, randomised, non-inferiority, open-label, phase 3 trial. PMID 42259339</w:t>
      </w:r>
    </w:p>
    <w:p>
      <w:pPr>
        <w:numPr>
          <w:ilvl w:val="0"/>
          <w:numId w:val="1389"/>
        </w:numPr>
        <w:pStyle w:val="Compact"/>
      </w:pPr>
      <w:r>
        <w:t xml:space="preserve">2026 · Giorgino F ·</w:t>
      </w:r>
      <w:r>
        <w:t xml:space="preserve"> </w:t>
      </w:r>
      <w:r>
        <w:rPr>
          <w:iCs/>
          <w:i/>
        </w:rPr>
        <w:t xml:space="preserve">JAMA</w:t>
      </w:r>
      <w:r>
        <w:t xml:space="preserve"> </w:t>
      </w:r>
      <w:r>
        <w:t xml:space="preserve">· Orforglipron Added to Titrated Insulin Glargine in Type 2 Diabetes: The ACHIEVE-5 Randomized Clinical Trial. PMID 42251769</w:t>
      </w:r>
    </w:p>
    <w:p>
      <w:pPr>
        <w:numPr>
          <w:ilvl w:val="0"/>
          <w:numId w:val="1389"/>
        </w:numPr>
        <w:pStyle w:val="Compact"/>
      </w:pPr>
      <w:r>
        <w:t xml:space="preserve">2026 · Aronne LJ ·</w:t>
      </w:r>
      <w:r>
        <w:t xml:space="preserve"> </w:t>
      </w:r>
      <w:r>
        <w:rPr>
          <w:iCs/>
          <w:i/>
        </w:rPr>
        <w:t xml:space="preserve">Nat Med</w:t>
      </w:r>
      <w:r>
        <w:t xml:space="preserve"> </w:t>
      </w:r>
      <w:r>
        <w:t xml:space="preserve">· Orforglipron for maintenance of body weight reduction: the double-blind, randomized phase 3b ATTAIN-MAINTAIN trial. PMID 42120723</w:t>
      </w:r>
    </w:p>
    <w:p>
      <w:pPr>
        <w:numPr>
          <w:ilvl w:val="0"/>
          <w:numId w:val="1389"/>
        </w:numPr>
        <w:pStyle w:val="Compact"/>
      </w:pPr>
      <w:r>
        <w:t xml:space="preserve">2026 · Ma X ·</w:t>
      </w:r>
      <w:r>
        <w:t xml:space="preserve"> </w:t>
      </w:r>
      <w:r>
        <w:rPr>
          <w:iCs/>
          <w:i/>
        </w:rPr>
        <w:t xml:space="preserve">Diabetes Obes Metab</w:t>
      </w:r>
      <w:r>
        <w:t xml:space="preserve"> </w:t>
      </w:r>
      <w:r>
        <w:t xml:space="preserve">· Pharmacokinetic Bioequivalence of Orforglipron Tablets and Capsules in Healthy Participants With Obesity or Overweight. PMID 41994902</w:t>
      </w:r>
    </w:p>
    <w:p>
      <w:pPr>
        <w:numPr>
          <w:ilvl w:val="0"/>
          <w:numId w:val="1389"/>
        </w:numPr>
        <w:pStyle w:val="Compact"/>
      </w:pPr>
      <w:r>
        <w:t xml:space="preserve">2026 · Rosenstock J ·</w:t>
      </w:r>
      <w:r>
        <w:t xml:space="preserve"> </w:t>
      </w:r>
      <w:r>
        <w:rPr>
          <w:iCs/>
          <w:i/>
        </w:rPr>
        <w:t xml:space="preserve">Lancet</w:t>
      </w:r>
      <w:r>
        <w:t xml:space="preserve"> </w:t>
      </w:r>
      <w:r>
        <w:t xml:space="preserve">· Efficacy and safety of once-daily oral orforglipron compared with oral semaglutide in adults with type 2 diabetes (ACHIEVE-3): a multinational, multicentre, non-inferiority, open-label, randomised, phase 3 trial. PMID 41765029</w:t>
      </w:r>
    </w:p>
    <w:p>
      <w:pPr>
        <w:numPr>
          <w:ilvl w:val="0"/>
          <w:numId w:val="1389"/>
        </w:numPr>
        <w:pStyle w:val="Compact"/>
      </w:pPr>
      <w:r>
        <w:t xml:space="preserve">2026 · Ohwaki K ·</w:t>
      </w:r>
      <w:r>
        <w:t xml:space="preserve"> </w:t>
      </w:r>
      <w:r>
        <w:rPr>
          <w:iCs/>
          <w:i/>
        </w:rPr>
        <w:t xml:space="preserve">J Diabetes Investig</w:t>
      </w:r>
      <w:r>
        <w:t xml:space="preserve"> </w:t>
      </w:r>
      <w:r>
        <w:t xml:space="preserve">· A phase 1 single and multiple ascending dose study of orforglipron in Japanese participants with type 2 diabetes. PMID 41325139</w:t>
      </w:r>
    </w:p>
    <w:p>
      <w:pPr>
        <w:numPr>
          <w:ilvl w:val="0"/>
          <w:numId w:val="1389"/>
        </w:numPr>
        <w:pStyle w:val="Compact"/>
      </w:pPr>
      <w:r>
        <w:t xml:space="preserve">2026 · Horn DB ·</w:t>
      </w:r>
      <w:r>
        <w:t xml:space="preserve"> </w:t>
      </w:r>
      <w:r>
        <w:rPr>
          <w:iCs/>
          <w:i/>
        </w:rPr>
        <w:t xml:space="preserve">Lancet</w:t>
      </w:r>
      <w:r>
        <w:t xml:space="preserve"> </w:t>
      </w:r>
      <w:r>
        <w:t xml:space="preserve">· Orforglipron, an oral small-molecule GLP-1 receptor agonist, for the treatment of obesity in people with type 2 diabetes (ATTAIN-2): a phase 3, double-blind, randomised, multicentre, placebo-controlled trial. PMID 41275875</w:t>
      </w:r>
    </w:p>
    <w:p>
      <w:pPr>
        <w:numPr>
          <w:ilvl w:val="0"/>
          <w:numId w:val="1389"/>
        </w:numPr>
        <w:pStyle w:val="Compact"/>
      </w:pPr>
      <w:r>
        <w:t xml:space="preserve">2026 · Morse BL ·</w:t>
      </w:r>
      <w:r>
        <w:t xml:space="preserve"> </w:t>
      </w:r>
      <w:r>
        <w:rPr>
          <w:iCs/>
          <w:i/>
        </w:rPr>
        <w:t xml:space="preserve">Clin Pharmacol Drug Dev</w:t>
      </w:r>
      <w:r>
        <w:t xml:space="preserve"> </w:t>
      </w:r>
      <w:r>
        <w:t xml:space="preserve">· Disposition and Absolute Bioavailability of Orally Administered Orforglipron in Healthy Participants. PMID 40888509</w:t>
      </w:r>
    </w:p>
    <w:p>
      <w:pPr>
        <w:numPr>
          <w:ilvl w:val="0"/>
          <w:numId w:val="1389"/>
        </w:numPr>
        <w:pStyle w:val="Compact"/>
      </w:pPr>
      <w:r>
        <w:t xml:space="preserve">2025 · Wharton S ·</w:t>
      </w:r>
      <w:r>
        <w:t xml:space="preserve"> </w:t>
      </w:r>
      <w:r>
        <w:rPr>
          <w:iCs/>
          <w:i/>
        </w:rPr>
        <w:t xml:space="preserve">N Engl J Med</w:t>
      </w:r>
      <w:r>
        <w:t xml:space="preserve"> </w:t>
      </w:r>
      <w:r>
        <w:t xml:space="preserve">· Orforglipron, an Oral Small-Molecule GLP-1 Receptor Agonist for Obesity Treatment. PMID 40960239</w:t>
      </w:r>
    </w:p>
    <w:p>
      <w:pPr>
        <w:numPr>
          <w:ilvl w:val="0"/>
          <w:numId w:val="1389"/>
        </w:numPr>
        <w:pStyle w:val="Compact"/>
      </w:pPr>
      <w:r>
        <w:t xml:space="preserve">2025 · Rosenstock J ·</w:t>
      </w:r>
      <w:r>
        <w:t xml:space="preserve"> </w:t>
      </w:r>
      <w:r>
        <w:rPr>
          <w:iCs/>
          <w:i/>
        </w:rPr>
        <w:t xml:space="preserve">Diabetes Obes Metab</w:t>
      </w:r>
      <w:r>
        <w:t xml:space="preserve"> </w:t>
      </w:r>
      <w:r>
        <w:t xml:space="preserve">· Orforglipron, an oral non-peptide glucagon-like peptide-1 receptor agonist, improves markers of β-cell function and insulin sensitivity in type 2 diabetes. PMID 40808573</w:t>
      </w:r>
    </w:p>
    <w:p>
      <w:pPr>
        <w:numPr>
          <w:ilvl w:val="0"/>
          <w:numId w:val="1389"/>
        </w:numPr>
        <w:pStyle w:val="Compact"/>
      </w:pPr>
      <w:r>
        <w:t xml:space="preserve">2025 · Rosenstock J ·</w:t>
      </w:r>
      <w:r>
        <w:t xml:space="preserve"> </w:t>
      </w:r>
      <w:r>
        <w:rPr>
          <w:iCs/>
          <w:i/>
        </w:rPr>
        <w:t xml:space="preserve">N Engl J Med</w:t>
      </w:r>
      <w:r>
        <w:t xml:space="preserve"> </w:t>
      </w:r>
      <w:r>
        <w:t xml:space="preserve">· Orforglipron, an Oral Small-Molecule GLP-1 Receptor Agonist, in Early Type 2 Diabetes. PMID 40544435</w:t>
      </w:r>
    </w:p>
    <w:p>
      <w:pPr>
        <w:numPr>
          <w:ilvl w:val="0"/>
          <w:numId w:val="1389"/>
        </w:numPr>
        <w:pStyle w:val="Compact"/>
      </w:pPr>
      <w:r>
        <w:t xml:space="preserve">2025 · Wharton S ·</w:t>
      </w:r>
      <w:r>
        <w:t xml:space="preserve"> </w:t>
      </w:r>
      <w:r>
        <w:rPr>
          <w:iCs/>
          <w:i/>
        </w:rPr>
        <w:t xml:space="preserve">Cardiovasc Diabetol</w:t>
      </w:r>
      <w:r>
        <w:t xml:space="preserve"> </w:t>
      </w:r>
      <w:r>
        <w:t xml:space="preserve">· Treatment with orforglipron, an oral glucagon like peptide-1 receptor agonist, is associated with improvements of CV risk biomarkers in participants with type 2 diabetes or obesity without diabetes. PMID 40481478</w:t>
      </w:r>
    </w:p>
    <w:p>
      <w:pPr>
        <w:numPr>
          <w:ilvl w:val="0"/>
          <w:numId w:val="1389"/>
        </w:numPr>
        <w:pStyle w:val="Compact"/>
      </w:pPr>
      <w:r>
        <w:t xml:space="preserve">2024 · Pratt E ·</w:t>
      </w:r>
      <w:r>
        <w:t xml:space="preserve"> </w:t>
      </w:r>
      <w:r>
        <w:rPr>
          <w:iCs/>
          <w:i/>
        </w:rPr>
        <w:t xml:space="preserve">Diabetes Obes Metab</w:t>
      </w:r>
      <w:r>
        <w:t xml:space="preserve"> </w:t>
      </w:r>
      <w:r>
        <w:t xml:space="preserve">· Orforglipron (LY3502970), a novel, oral non-peptide glucagon-like peptide-1 receptor agonist: A Phase 1b, multicentre, blinded, placebo-controlled, randomized, multiple-ascending-dose study in people with type 2 diabetes. PMID 37997518</w:t>
      </w:r>
    </w:p>
    <w:p>
      <w:pPr>
        <w:numPr>
          <w:ilvl w:val="0"/>
          <w:numId w:val="1389"/>
        </w:numPr>
        <w:pStyle w:val="Compact"/>
      </w:pPr>
      <w:r>
        <w:t xml:space="preserve">2023 · Frias JP ·</w:t>
      </w:r>
      <w:r>
        <w:t xml:space="preserve"> </w:t>
      </w:r>
      <w:r>
        <w:rPr>
          <w:iCs/>
          <w:i/>
        </w:rPr>
        <w:t xml:space="preserve">Lancet</w:t>
      </w:r>
      <w:r>
        <w:t xml:space="preserve"> </w:t>
      </w:r>
      <w:r>
        <w:t xml:space="preserve">· Efficacy and safety of oral orforglipron in patients with type 2 diabetes: a multicentre, randomised, dose-response, phase 2 study. PMID 37369232</w:t>
      </w:r>
    </w:p>
    <w:p>
      <w:pPr>
        <w:numPr>
          <w:ilvl w:val="0"/>
          <w:numId w:val="1389"/>
        </w:numPr>
        <w:pStyle w:val="Compact"/>
      </w:pPr>
      <w:r>
        <w:t xml:space="preserve">2023 · Wharton S ·</w:t>
      </w:r>
      <w:r>
        <w:t xml:space="preserve"> </w:t>
      </w:r>
      <w:r>
        <w:rPr>
          <w:iCs/>
          <w:i/>
        </w:rPr>
        <w:t xml:space="preserve">N Engl J Med</w:t>
      </w:r>
      <w:r>
        <w:t xml:space="preserve"> </w:t>
      </w:r>
      <w:r>
        <w:t xml:space="preserve">· Daily Oral GLP-1 Receptor Agonist Orforglipron for Adults with Obesity. PMID 37351564</w:t>
      </w:r>
    </w:p>
    <w:p>
      <w:pPr>
        <w:numPr>
          <w:ilvl w:val="0"/>
          <w:numId w:val="1389"/>
        </w:numPr>
        <w:pStyle w:val="Compact"/>
      </w:pPr>
      <w:r>
        <w:t xml:space="preserve">2023 · Pratt E ·</w:t>
      </w:r>
      <w:r>
        <w:t xml:space="preserve"> </w:t>
      </w:r>
      <w:r>
        <w:rPr>
          <w:iCs/>
          <w:i/>
        </w:rPr>
        <w:t xml:space="preserve">Diabetes Obes Metab</w:t>
      </w:r>
      <w:r>
        <w:t xml:space="preserve"> </w:t>
      </w:r>
      <w:r>
        <w:t xml:space="preserve">· Orforglipron (LY3502970), a novel, oral non-peptide glucagon-like peptide-1 receptor agonist: A Phase 1a, blinded, placebo-controlled, randomized, single- and multiple-ascending-dose study in healthy participants. PMID 37344954</w:t>
      </w:r>
    </w:p>
    <w:p>
      <w:pPr>
        <w:numPr>
          <w:ilvl w:val="0"/>
          <w:numId w:val="1389"/>
        </w:numPr>
        <w:pStyle w:val="Compact"/>
      </w:pPr>
      <w:r>
        <w:t xml:space="preserve">2023 · Pratt E ·</w:t>
      </w:r>
      <w:r>
        <w:t xml:space="preserve"> </w:t>
      </w:r>
      <w:r>
        <w:rPr>
          <w:iCs/>
          <w:i/>
        </w:rPr>
        <w:t xml:space="preserve">Diabetes Obes Metab</w:t>
      </w:r>
      <w:r>
        <w:t xml:space="preserve"> </w:t>
      </w:r>
      <w:r>
        <w:t xml:space="preserve">· Orforglipron (LY3502970), a novel, oral non-peptide glucagon-like peptide-1 receptor agonist: A Phase 1b, multicentre, blinded, placebo-controlled, randomized, multiple-ascending-dose study in people with type 2 diabetes. PMID 37264711</w:t>
      </w:r>
    </w:p>
    <w:bookmarkEnd w:id="1130"/>
    <w:bookmarkStart w:id="1131" w:name="bpc-157-0"/>
    <w:p>
      <w:pPr>
        <w:pStyle w:val="Heading2"/>
      </w:pPr>
      <w:r>
        <w:t xml:space="preserve">BPC-157 (0)</w:t>
      </w:r>
    </w:p>
    <w:p>
      <w:pPr>
        <w:pStyle w:val="FirstParagraph"/>
      </w:pPr>
      <w:r>
        <w:t xml:space="preserve">Geen publicaties van klinische studies bij mensen gevonden.</w:t>
      </w:r>
    </w:p>
    <w:bookmarkEnd w:id="1131"/>
    <w:bookmarkStart w:id="1132" w:name="tb-500-en-thymosine-bèta-4-9"/>
    <w:p>
      <w:pPr>
        <w:pStyle w:val="Heading2"/>
      </w:pPr>
      <w:r>
        <w:t xml:space="preserve">TB-500 en thymosine bèta-4 (9)</w:t>
      </w:r>
    </w:p>
    <w:p>
      <w:pPr>
        <w:numPr>
          <w:ilvl w:val="0"/>
          <w:numId w:val="1390"/>
        </w:numPr>
        <w:pStyle w:val="Compact"/>
      </w:pPr>
      <w:r>
        <w:t xml:space="preserve">2021 · Wang X ·</w:t>
      </w:r>
      <w:r>
        <w:t xml:space="preserve"> </w:t>
      </w:r>
      <w:r>
        <w:rPr>
          <w:iCs/>
          <w:i/>
        </w:rPr>
        <w:t xml:space="preserve">J Cell Mol Med</w:t>
      </w:r>
      <w:r>
        <w:t xml:space="preserve"> </w:t>
      </w:r>
      <w:r>
        <w:t xml:space="preserve">· A first-in-human, randomized, double-blind, single- and multiple-dose, phase I study of recombinant human thymosin β4 in healthy Chinese volunteers. PMID 34346165</w:t>
      </w:r>
    </w:p>
    <w:p>
      <w:pPr>
        <w:numPr>
          <w:ilvl w:val="0"/>
          <w:numId w:val="1390"/>
        </w:numPr>
        <w:pStyle w:val="Compact"/>
      </w:pPr>
      <w:r>
        <w:t xml:space="preserve">2020 · Pathak AK ·</w:t>
      </w:r>
      <w:r>
        <w:t xml:space="preserve"> </w:t>
      </w:r>
      <w:r>
        <w:rPr>
          <w:iCs/>
          <w:i/>
        </w:rPr>
        <w:t xml:space="preserve">Sci Rep</w:t>
      </w:r>
      <w:r>
        <w:t xml:space="preserve"> </w:t>
      </w:r>
      <w:r>
        <w:t xml:space="preserve">· Logistic regression analysis of environmental and other variables and incidences of tuberculosis in respiratory patients. PMID 33318598</w:t>
      </w:r>
    </w:p>
    <w:p>
      <w:pPr>
        <w:numPr>
          <w:ilvl w:val="0"/>
          <w:numId w:val="1390"/>
        </w:numPr>
        <w:pStyle w:val="Compact"/>
      </w:pPr>
      <w:r>
        <w:t xml:space="preserve">2016 · Zhu J ·</w:t>
      </w:r>
      <w:r>
        <w:t xml:space="preserve"> </w:t>
      </w:r>
      <w:r>
        <w:rPr>
          <w:iCs/>
          <w:i/>
        </w:rPr>
        <w:t xml:space="preserve">Cytotherapy</w:t>
      </w:r>
      <w:r>
        <w:t xml:space="preserve"> </w:t>
      </w:r>
      <w:r>
        <w:t xml:space="preserve">· Safety and efficacy of autologous thymosin β4 pre-treated endothelial progenitor cell transplantation in patients with acute ST segment elevation myocardial infarction: A pilot study. PMID 27288307</w:t>
      </w:r>
    </w:p>
    <w:p>
      <w:pPr>
        <w:numPr>
          <w:ilvl w:val="0"/>
          <w:numId w:val="1390"/>
        </w:numPr>
        <w:pStyle w:val="Compact"/>
      </w:pPr>
      <w:r>
        <w:t xml:space="preserve">2015 · Choudry FA ·</w:t>
      </w:r>
      <w:r>
        <w:t xml:space="preserve"> </w:t>
      </w:r>
      <w:r>
        <w:rPr>
          <w:iCs/>
          <w:i/>
        </w:rPr>
        <w:t xml:space="preserve">Regen Med</w:t>
      </w:r>
      <w:r>
        <w:t xml:space="preserve"> </w:t>
      </w:r>
      <w:r>
        <w:t xml:space="preserve">· Increases in plasma Tβ4 after intracardiac cell therapy in chronic ischemic heart failure is associated with symptomatic improvement. PMID 26022762</w:t>
      </w:r>
    </w:p>
    <w:p>
      <w:pPr>
        <w:numPr>
          <w:ilvl w:val="0"/>
          <w:numId w:val="1390"/>
        </w:numPr>
        <w:pStyle w:val="Compact"/>
      </w:pPr>
      <w:r>
        <w:t xml:space="preserve">2015 · Sosne G ·</w:t>
      </w:r>
      <w:r>
        <w:t xml:space="preserve"> </w:t>
      </w:r>
      <w:r>
        <w:rPr>
          <w:iCs/>
          <w:i/>
        </w:rPr>
        <w:t xml:space="preserve">Cornea</w:t>
      </w:r>
      <w:r>
        <w:t xml:space="preserve"> </w:t>
      </w:r>
      <w:r>
        <w:t xml:space="preserve">· Thymosin β4 significantly improves signs and symptoms of severe dry eye in a phase 2 randomized trial. PMID 25826322</w:t>
      </w:r>
    </w:p>
    <w:p>
      <w:pPr>
        <w:numPr>
          <w:ilvl w:val="0"/>
          <w:numId w:val="1390"/>
        </w:numPr>
        <w:pStyle w:val="Compact"/>
      </w:pPr>
      <w:r>
        <w:t xml:space="preserve">2014 · Suzuki Y ·</w:t>
      </w:r>
      <w:r>
        <w:t xml:space="preserve"> </w:t>
      </w:r>
      <w:r>
        <w:rPr>
          <w:iCs/>
          <w:i/>
        </w:rPr>
        <w:t xml:space="preserve">Biol Pharm Bull</w:t>
      </w:r>
      <w:r>
        <w:t xml:space="preserve"> </w:t>
      </w:r>
      <w:r>
        <w:t xml:space="preserve">· Significant decrease in plasma N-acetyl-seryl-aspartyl-lysyl-proline level in patients with end stage renal disease after kidney transplantation. PMID 24882420</w:t>
      </w:r>
    </w:p>
    <w:p>
      <w:pPr>
        <w:numPr>
          <w:ilvl w:val="0"/>
          <w:numId w:val="1390"/>
        </w:numPr>
        <w:pStyle w:val="Compact"/>
      </w:pPr>
      <w:r>
        <w:t xml:space="preserve">2010 · Ruff D ·</w:t>
      </w:r>
      <w:r>
        <w:t xml:space="preserve"> </w:t>
      </w:r>
      <w:r>
        <w:rPr>
          <w:iCs/>
          <w:i/>
        </w:rPr>
        <w:t xml:space="preserve">Ann N Y Acad Sci</w:t>
      </w:r>
      <w:r>
        <w:t xml:space="preserve"> </w:t>
      </w:r>
      <w:r>
        <w:t xml:space="preserve">· A randomized, placebo-controlled, single and multiple dose study of intravenous thymosin beta4 in healthy volunteers. PMID 20536472</w:t>
      </w:r>
    </w:p>
    <w:p>
      <w:pPr>
        <w:numPr>
          <w:ilvl w:val="0"/>
          <w:numId w:val="1390"/>
        </w:numPr>
        <w:pStyle w:val="Compact"/>
      </w:pPr>
      <w:r>
        <w:t xml:space="preserve">2010 · Guarnera G ·</w:t>
      </w:r>
      <w:r>
        <w:t xml:space="preserve"> </w:t>
      </w:r>
      <w:r>
        <w:rPr>
          <w:iCs/>
          <w:i/>
        </w:rPr>
        <w:t xml:space="preserve">Ann N Y Acad Sci</w:t>
      </w:r>
      <w:r>
        <w:t xml:space="preserve"> </w:t>
      </w:r>
      <w:r>
        <w:t xml:space="preserve">· The effect of thymosin treatment of venous ulcers. PMID 20536470</w:t>
      </w:r>
    </w:p>
    <w:p>
      <w:pPr>
        <w:numPr>
          <w:ilvl w:val="0"/>
          <w:numId w:val="1390"/>
        </w:numPr>
        <w:pStyle w:val="Compact"/>
      </w:pPr>
      <w:r>
        <w:t xml:space="preserve">2007 · Guarnera G ·</w:t>
      </w:r>
      <w:r>
        <w:t xml:space="preserve"> </w:t>
      </w:r>
      <w:r>
        <w:rPr>
          <w:iCs/>
          <w:i/>
        </w:rPr>
        <w:t xml:space="preserve">Ann N Y Acad Sci</w:t>
      </w:r>
      <w:r>
        <w:t xml:space="preserve"> </w:t>
      </w:r>
      <w:r>
        <w:t xml:space="preserve">· Thymosin beta-4 and venous ulcers: clinical remarks on a European prospective, randomized study on safety, tolerability, and enhancement on healing. PMID 17495250</w:t>
      </w:r>
    </w:p>
    <w:bookmarkEnd w:id="1132"/>
    <w:bookmarkStart w:id="1133" w:name="thymosine-alfa-1-thymalfasine-90"/>
    <w:p>
      <w:pPr>
        <w:pStyle w:val="Heading2"/>
      </w:pPr>
      <w:r>
        <w:t xml:space="preserve">Thymosine alfa-1 (thymalfasine) (90)</w:t>
      </w:r>
    </w:p>
    <w:p>
      <w:pPr>
        <w:numPr>
          <w:ilvl w:val="0"/>
          <w:numId w:val="1391"/>
        </w:numPr>
        <w:pStyle w:val="Compact"/>
      </w:pPr>
      <w:r>
        <w:t xml:space="preserve">2026 · Zhou Y ·</w:t>
      </w:r>
      <w:r>
        <w:t xml:space="preserve"> </w:t>
      </w:r>
      <w:r>
        <w:rPr>
          <w:iCs/>
          <w:i/>
        </w:rPr>
        <w:t xml:space="preserve">Radiat Oncol</w:t>
      </w:r>
      <w:r>
        <w:t xml:space="preserve"> </w:t>
      </w:r>
      <w:r>
        <w:t xml:space="preserve">· Preliminary results from a phase II trial of spatially fractionated radiotherapy combined with immunotherapy and anti-angiogenic therapy in patients with bulky solid tumors: early evidence of promising efficacy and favorable safety. PMID 42063096</w:t>
      </w:r>
    </w:p>
    <w:p>
      <w:pPr>
        <w:numPr>
          <w:ilvl w:val="0"/>
          <w:numId w:val="1391"/>
        </w:numPr>
        <w:pStyle w:val="Compact"/>
      </w:pPr>
      <w:r>
        <w:t xml:space="preserve">2026 · Li ZH ·</w:t>
      </w:r>
      <w:r>
        <w:t xml:space="preserve"> </w:t>
      </w:r>
      <w:r>
        <w:rPr>
          <w:iCs/>
          <w:i/>
        </w:rPr>
        <w:t xml:space="preserve">Immunopharmacol Immunotoxicol</w:t>
      </w:r>
      <w:r>
        <w:t xml:space="preserve"> </w:t>
      </w:r>
      <w:r>
        <w:t xml:space="preserve">· Thymosin α1 improves the outcomes of patients with hepatitis B virus-related acute-on-chronic liver failure by restoring immune balance. PMID 41887933</w:t>
      </w:r>
    </w:p>
    <w:p>
      <w:pPr>
        <w:numPr>
          <w:ilvl w:val="0"/>
          <w:numId w:val="1391"/>
        </w:numPr>
        <w:pStyle w:val="Compact"/>
      </w:pPr>
      <w:r>
        <w:t xml:space="preserve">2026 · Xu H ·</w:t>
      </w:r>
      <w:r>
        <w:t xml:space="preserve"> </w:t>
      </w:r>
      <w:r>
        <w:rPr>
          <w:iCs/>
          <w:i/>
        </w:rPr>
        <w:t xml:space="preserve">BMC Med</w:t>
      </w:r>
      <w:r>
        <w:t xml:space="preserve"> </w:t>
      </w:r>
      <w:r>
        <w:t xml:space="preserve">· Neoadjuvant immunochemotherapy plus thymalfasin in locally advanced gastric cancer: a prospective clinical trial. PMID 41749205</w:t>
      </w:r>
    </w:p>
    <w:p>
      <w:pPr>
        <w:numPr>
          <w:ilvl w:val="0"/>
          <w:numId w:val="1391"/>
        </w:numPr>
        <w:pStyle w:val="Compact"/>
      </w:pPr>
      <w:r>
        <w:t xml:space="preserve">2025 · Yu J ·</w:t>
      </w:r>
      <w:r>
        <w:t xml:space="preserve"> </w:t>
      </w:r>
      <w:r>
        <w:rPr>
          <w:iCs/>
          <w:i/>
        </w:rPr>
        <w:t xml:space="preserve">Cancer Immunol Immunother</w:t>
      </w:r>
      <w:r>
        <w:t xml:space="preserve"> </w:t>
      </w:r>
      <w:r>
        <w:t xml:space="preserve">· Hypofractionated radiotherapy combined with a PD-1 inhibitor, granulocyte macrophage-colony stimulating factor, and thymosin-α1 in advanced metastatic solid tumors: a multicenter Phase II clinical trial. PMID 39904914</w:t>
      </w:r>
    </w:p>
    <w:p>
      <w:pPr>
        <w:numPr>
          <w:ilvl w:val="0"/>
          <w:numId w:val="1391"/>
        </w:numPr>
        <w:pStyle w:val="Compact"/>
      </w:pPr>
      <w:r>
        <w:t xml:space="preserve">2025 · Wu J ·</w:t>
      </w:r>
      <w:r>
        <w:t xml:space="preserve"> </w:t>
      </w:r>
      <w:r>
        <w:rPr>
          <w:iCs/>
          <w:i/>
        </w:rPr>
        <w:t xml:space="preserve">BMJ</w:t>
      </w:r>
      <w:r>
        <w:t xml:space="preserve"> </w:t>
      </w:r>
      <w:r>
        <w:t xml:space="preserve">· The efficacy and safety of thymosin α1 for sepsis (TESTS): multicentre, double blinded, randomised, placebo controlled, phase 3 trial. PMID 39814420</w:t>
      </w:r>
    </w:p>
    <w:p>
      <w:pPr>
        <w:numPr>
          <w:ilvl w:val="0"/>
          <w:numId w:val="1391"/>
        </w:numPr>
        <w:pStyle w:val="Compact"/>
      </w:pPr>
      <w:r>
        <w:t xml:space="preserve">2024 · Huang X ·</w:t>
      </w:r>
      <w:r>
        <w:t xml:space="preserve"> </w:t>
      </w:r>
      <w:r>
        <w:rPr>
          <w:iCs/>
          <w:i/>
        </w:rPr>
        <w:t xml:space="preserve">Gut Liver</w:t>
      </w:r>
      <w:r>
        <w:t xml:space="preserve"> </w:t>
      </w:r>
      <w:r>
        <w:t xml:space="preserve">· Immune-Enhancing Treatment among Acute Necrotizing Pancreatitis Patients with Metabolic Abnormalities: A Post Hoc Analysis of a Randomized Clinical Trial. PMID 38356344</w:t>
      </w:r>
    </w:p>
    <w:p>
      <w:pPr>
        <w:numPr>
          <w:ilvl w:val="0"/>
          <w:numId w:val="1391"/>
        </w:numPr>
        <w:pStyle w:val="Compact"/>
      </w:pPr>
      <w:r>
        <w:t xml:space="preserve">2024 · Niu W ·</w:t>
      </w:r>
      <w:r>
        <w:t xml:space="preserve"> </w:t>
      </w:r>
      <w:r>
        <w:rPr>
          <w:iCs/>
          <w:i/>
        </w:rPr>
        <w:t xml:space="preserve">Biotechnol Genet Eng Rev</w:t>
      </w:r>
      <w:r>
        <w:t xml:space="preserve"> </w:t>
      </w:r>
      <w:r>
        <w:t xml:space="preserve">· A Prospective and Randomized Control Study on Effects of Thymalfasin for Injection on Perioperative Immune Function and Long-term Prognosis of Patients with Colorectal Cancer. PMID 37248723</w:t>
      </w:r>
    </w:p>
    <w:p>
      <w:pPr>
        <w:numPr>
          <w:ilvl w:val="0"/>
          <w:numId w:val="1391"/>
        </w:numPr>
        <w:pStyle w:val="Compact"/>
      </w:pPr>
      <w:r>
        <w:t xml:space="preserve">2023 · Tuthill CW ·</w:t>
      </w:r>
      <w:r>
        <w:t xml:space="preserve"> </w:t>
      </w:r>
      <w:r>
        <w:rPr>
          <w:iCs/>
          <w:i/>
        </w:rPr>
        <w:t xml:space="preserve">Int Immunopharmacol</w:t>
      </w:r>
      <w:r>
        <w:t xml:space="preserve"> </w:t>
      </w:r>
      <w:r>
        <w:t xml:space="preserve">· A pilot trial of Thymalfasin (Ta1) to prevent covid-19 infection and morbidities in renal dialysis patients: Preliminary report. PMID 36881981</w:t>
      </w:r>
    </w:p>
    <w:p>
      <w:pPr>
        <w:numPr>
          <w:ilvl w:val="0"/>
          <w:numId w:val="1391"/>
        </w:numPr>
        <w:pStyle w:val="Compact"/>
      </w:pPr>
      <w:r>
        <w:t xml:space="preserve">2022 · Bai L ·</w:t>
      </w:r>
      <w:r>
        <w:t xml:space="preserve"> </w:t>
      </w:r>
      <w:r>
        <w:rPr>
          <w:iCs/>
          <w:i/>
        </w:rPr>
        <w:t xml:space="preserve">Altern Ther Health Med</w:t>
      </w:r>
      <w:r>
        <w:t xml:space="preserve"> </w:t>
      </w:r>
      <w:r>
        <w:t xml:space="preserve">· Value of Thymosin α1 Combined With Blood Purification to Increase Successful Rescues of Shock Patients. PMID 35951068</w:t>
      </w:r>
    </w:p>
    <w:p>
      <w:pPr>
        <w:numPr>
          <w:ilvl w:val="0"/>
          <w:numId w:val="1391"/>
        </w:numPr>
        <w:pStyle w:val="Compact"/>
      </w:pPr>
      <w:r>
        <w:t xml:space="preserve">2022 · Liu F ·</w:t>
      </w:r>
      <w:r>
        <w:t xml:space="preserve"> </w:t>
      </w:r>
      <w:r>
        <w:rPr>
          <w:iCs/>
          <w:i/>
        </w:rPr>
        <w:t xml:space="preserve">Int J Radiat Oncol Biol Phys</w:t>
      </w:r>
      <w:r>
        <w:t xml:space="preserve"> </w:t>
      </w:r>
      <w:r>
        <w:t xml:space="preserve">· Efficacy of Thymosin α1 in Management of Radiation Pneumonitis in Patients With Locally Advanced Non-Small Cell Lung Cancer Treated With Concurrent Chemoradiotherapy: A Phase 2 Clinical Trial (GASTO-1043). PMID 35870709</w:t>
      </w:r>
    </w:p>
    <w:p>
      <w:pPr>
        <w:numPr>
          <w:ilvl w:val="0"/>
          <w:numId w:val="1391"/>
        </w:numPr>
        <w:pStyle w:val="Compact"/>
      </w:pPr>
      <w:r>
        <w:t xml:space="preserve">2022 · Ke L ·</w:t>
      </w:r>
      <w:r>
        <w:t xml:space="preserve"> </w:t>
      </w:r>
      <w:r>
        <w:rPr>
          <w:iCs/>
          <w:i/>
        </w:rPr>
        <w:t xml:space="preserve">Intensive Care Med</w:t>
      </w:r>
      <w:r>
        <w:t xml:space="preserve"> </w:t>
      </w:r>
      <w:r>
        <w:t xml:space="preserve">· Immune enhancement in patients with predicted severe acute necrotising pancreatitis: a multicentre double-blind randomised controlled trial. PMID 35713670</w:t>
      </w:r>
    </w:p>
    <w:p>
      <w:pPr>
        <w:numPr>
          <w:ilvl w:val="0"/>
          <w:numId w:val="1391"/>
        </w:numPr>
        <w:pStyle w:val="Compact"/>
      </w:pPr>
      <w:r>
        <w:t xml:space="preserve">2022 · Chen JF ·</w:t>
      </w:r>
      <w:r>
        <w:t xml:space="preserve"> </w:t>
      </w:r>
      <w:r>
        <w:rPr>
          <w:iCs/>
          <w:i/>
        </w:rPr>
        <w:t xml:space="preserve">Hepatol Int</w:t>
      </w:r>
      <w:r>
        <w:t xml:space="preserve"> </w:t>
      </w:r>
      <w:r>
        <w:t xml:space="preserve">· Safety and efficacy of Thymosin α1 in the treatment of hepatitis B virus-related acute-on-chronic liver failure: a randomized controlled trial. PMID 35616850</w:t>
      </w:r>
    </w:p>
    <w:p>
      <w:pPr>
        <w:numPr>
          <w:ilvl w:val="0"/>
          <w:numId w:val="1391"/>
        </w:numPr>
        <w:pStyle w:val="Compact"/>
      </w:pPr>
      <w:r>
        <w:t xml:space="preserve">2022 · Chu C ·</w:t>
      </w:r>
      <w:r>
        <w:t xml:space="preserve"> </w:t>
      </w:r>
      <w:r>
        <w:rPr>
          <w:iCs/>
          <w:i/>
        </w:rPr>
        <w:t xml:space="preserve">Int J Radiat Oncol Biol Phys</w:t>
      </w:r>
      <w:r>
        <w:t xml:space="preserve"> </w:t>
      </w:r>
      <w:r>
        <w:t xml:space="preserve">· Hypofractionated Radiation Therapy Combined With Weekly Chemotherapy in Patients With Unresectable or Recurrent Thymic Epithelial Tumor: A Prospective, Single-Arm Phase 2 Study (GASTO-1042). PMID 35598797</w:t>
      </w:r>
    </w:p>
    <w:p>
      <w:pPr>
        <w:numPr>
          <w:ilvl w:val="0"/>
          <w:numId w:val="1391"/>
        </w:numPr>
        <w:pStyle w:val="Compact"/>
      </w:pPr>
      <w:r>
        <w:t xml:space="preserve">2021 · Meng Z ·</w:t>
      </w:r>
      <w:r>
        <w:t xml:space="preserve"> </w:t>
      </w:r>
      <w:r>
        <w:rPr>
          <w:iCs/>
          <w:i/>
        </w:rPr>
        <w:t xml:space="preserve">Curr Top Med Chem</w:t>
      </w:r>
      <w:r>
        <w:t xml:space="preserve"> </w:t>
      </w:r>
      <w:r>
        <w:t xml:space="preserve">· The Effect of Recombinant Human Interferon Alpha Nasal Drops to Prevent COVID-19 Pneumonia for Medical Staff in an Epidemic Area. PMID 33970846</w:t>
      </w:r>
    </w:p>
    <w:p>
      <w:pPr>
        <w:numPr>
          <w:ilvl w:val="0"/>
          <w:numId w:val="1391"/>
        </w:numPr>
        <w:pStyle w:val="Compact"/>
      </w:pPr>
      <w:r>
        <w:t xml:space="preserve">2019 · Ma Y ·</w:t>
      </w:r>
      <w:r>
        <w:t xml:space="preserve"> </w:t>
      </w:r>
      <w:r>
        <w:rPr>
          <w:iCs/>
          <w:i/>
        </w:rPr>
        <w:t xml:space="preserve">Cell Mol Biol (Noisy-le-grand)</w:t>
      </w:r>
      <w:r>
        <w:t xml:space="preserve"> </w:t>
      </w:r>
      <w:r>
        <w:t xml:space="preserve">· The effect of thymopentin add-on in hepatitis B e antigen positive chronic hepatitis B after virus suppression by peginterferon plus entecavir therapy. PMID 30860474</w:t>
      </w:r>
    </w:p>
    <w:p>
      <w:pPr>
        <w:numPr>
          <w:ilvl w:val="0"/>
          <w:numId w:val="1391"/>
        </w:numPr>
        <w:pStyle w:val="Compact"/>
      </w:pPr>
      <w:r>
        <w:t xml:space="preserve">2018 · Wu X ·</w:t>
      </w:r>
      <w:r>
        <w:t xml:space="preserve"> </w:t>
      </w:r>
      <w:r>
        <w:rPr>
          <w:iCs/>
          <w:i/>
        </w:rPr>
        <w:t xml:space="preserve">Expert Opin Biol Ther</w:t>
      </w:r>
      <w:r>
        <w:t xml:space="preserve"> </w:t>
      </w:r>
      <w:r>
        <w:t xml:space="preserve">· Combination of entecavir with thymosin alpha-1 in HBV-related compensated cirrhosis: a prospective multicenter randomized open-label study. PMID 30063860</w:t>
      </w:r>
    </w:p>
    <w:p>
      <w:pPr>
        <w:numPr>
          <w:ilvl w:val="0"/>
          <w:numId w:val="1391"/>
        </w:numPr>
        <w:pStyle w:val="Compact"/>
      </w:pPr>
      <w:r>
        <w:t xml:space="preserve">2017 · Fang SJ ·</w:t>
      </w:r>
      <w:r>
        <w:t xml:space="preserve"> </w:t>
      </w:r>
      <w:r>
        <w:rPr>
          <w:iCs/>
          <w:i/>
        </w:rPr>
        <w:t xml:space="preserve">Zhonghua Yi Xue Za Zhi</w:t>
      </w:r>
      <w:r>
        <w:t xml:space="preserve"> </w:t>
      </w:r>
      <w:r>
        <w:t xml:space="preserve">· [Effect of transcatheter arterial chemoembolization combined with thymosin alpha 1 on the autophagy of immune cells from advanced hepatocellular carcinoma]. PMID 28693071</w:t>
      </w:r>
    </w:p>
    <w:p>
      <w:pPr>
        <w:numPr>
          <w:ilvl w:val="0"/>
          <w:numId w:val="1391"/>
        </w:numPr>
        <w:pStyle w:val="Compact"/>
      </w:pPr>
      <w:r>
        <w:t xml:space="preserve">2016 · Al-Mahtab M ·</w:t>
      </w:r>
      <w:r>
        <w:t xml:space="preserve"> </w:t>
      </w:r>
      <w:r>
        <w:rPr>
          <w:iCs/>
          <w:i/>
        </w:rPr>
        <w:t xml:space="preserve">PLoS One</w:t>
      </w:r>
      <w:r>
        <w:t xml:space="preserve"> </w:t>
      </w:r>
      <w:r>
        <w:t xml:space="preserve">· Safety and Efficacy of Nucleic Acid Polymers in Monotherapy and Combined with Immunotherapy in Treatment-Naive Bangladeshi Patients with HBeAg+ Chronic Hepatitis B Infection. PMID 27257978</w:t>
      </w:r>
    </w:p>
    <w:p>
      <w:pPr>
        <w:numPr>
          <w:ilvl w:val="0"/>
          <w:numId w:val="1391"/>
        </w:numPr>
        <w:pStyle w:val="Compact"/>
      </w:pPr>
      <w:r>
        <w:t xml:space="preserve">2015 · Zhang SS ·</w:t>
      </w:r>
      <w:r>
        <w:t xml:space="preserve"> </w:t>
      </w:r>
      <w:r>
        <w:rPr>
          <w:iCs/>
          <w:i/>
        </w:rPr>
        <w:t xml:space="preserve">Sichuan Da Xue Xue Bao Yi Xue Ban</w:t>
      </w:r>
      <w:r>
        <w:t xml:space="preserve"> </w:t>
      </w:r>
      <w:r>
        <w:t xml:space="preserve">· [Prevention Effect of Thymosin-alpha1 Aganist Early Ventilator-associated Pneumonia in Patients with Mechanical Ventilation]. PMID 26867337</w:t>
      </w:r>
    </w:p>
    <w:p>
      <w:pPr>
        <w:numPr>
          <w:ilvl w:val="0"/>
          <w:numId w:val="1391"/>
        </w:numPr>
        <w:pStyle w:val="Compact"/>
      </w:pPr>
      <w:r>
        <w:t xml:space="preserve">2015 · Xiao QS ·</w:t>
      </w:r>
      <w:r>
        <w:t xml:space="preserve"> </w:t>
      </w:r>
      <w:r>
        <w:rPr>
          <w:iCs/>
          <w:i/>
        </w:rPr>
        <w:t xml:space="preserve">Zhongguo Zhong Xi Yi Jie He Za Zhi</w:t>
      </w:r>
      <w:r>
        <w:t xml:space="preserve"> </w:t>
      </w:r>
      <w:r>
        <w:t xml:space="preserve">· [Effect of Acupuncture on Prognosis and Immune Function of Sepsis Patients]. PMID 26380438</w:t>
      </w:r>
    </w:p>
    <w:p>
      <w:pPr>
        <w:numPr>
          <w:ilvl w:val="0"/>
          <w:numId w:val="1391"/>
        </w:numPr>
        <w:pStyle w:val="Compact"/>
      </w:pPr>
      <w:r>
        <w:t xml:space="preserve">2015 · Jia Z ·</w:t>
      </w:r>
      <w:r>
        <w:t xml:space="preserve"> </w:t>
      </w:r>
      <w:r>
        <w:rPr>
          <w:iCs/>
          <w:i/>
        </w:rPr>
        <w:t xml:space="preserve">Immunopharmacol Immunotoxicol</w:t>
      </w:r>
      <w:r>
        <w:t xml:space="preserve"> </w:t>
      </w:r>
      <w:r>
        <w:t xml:space="preserve">· Thymosin α1 plus routine treatment inhibit inflammatory reaction and improve the quality of life in AECOPD patients. PMID 26250523</w:t>
      </w:r>
    </w:p>
    <w:p>
      <w:pPr>
        <w:numPr>
          <w:ilvl w:val="0"/>
          <w:numId w:val="1391"/>
        </w:numPr>
        <w:pStyle w:val="Compact"/>
      </w:pPr>
      <w:r>
        <w:t xml:space="preserve">2015 · Qiu SJ ·</w:t>
      </w:r>
      <w:r>
        <w:t xml:space="preserve"> </w:t>
      </w:r>
      <w:r>
        <w:rPr>
          <w:iCs/>
          <w:i/>
        </w:rPr>
        <w:t xml:space="preserve">Expert Opin Biol Ther</w:t>
      </w:r>
      <w:r>
        <w:t xml:space="preserve"> </w:t>
      </w:r>
      <w:r>
        <w:t xml:space="preserve">· A multicenter, randomized, observation-controlled clinical trial to evaluate the efficacy and safety of thymalfasin adjuvant therapy in patients with HBV-related HCC after curative resection - first announcement of the protocol. PMID 26094695</w:t>
      </w:r>
    </w:p>
    <w:p>
      <w:pPr>
        <w:numPr>
          <w:ilvl w:val="0"/>
          <w:numId w:val="1391"/>
        </w:numPr>
        <w:pStyle w:val="Compact"/>
      </w:pPr>
      <w:r>
        <w:t xml:space="preserve">2013 · Wu J ·</w:t>
      </w:r>
      <w:r>
        <w:t xml:space="preserve"> </w:t>
      </w:r>
      <w:r>
        <w:rPr>
          <w:iCs/>
          <w:i/>
        </w:rPr>
        <w:t xml:space="preserve">Crit Care</w:t>
      </w:r>
      <w:r>
        <w:t xml:space="preserve"> </w:t>
      </w:r>
      <w:r>
        <w:t xml:space="preserve">· The efficacy of thymosin alpha 1 for severe sepsis (ETASS): a multicenter, single-blind, randomized and controlled trial. PMID 23327199</w:t>
      </w:r>
    </w:p>
    <w:p>
      <w:pPr>
        <w:numPr>
          <w:ilvl w:val="0"/>
          <w:numId w:val="1391"/>
        </w:numPr>
        <w:pStyle w:val="Compact"/>
      </w:pPr>
      <w:r>
        <w:t xml:space="preserve">2012 · Kim BH ·</w:t>
      </w:r>
      <w:r>
        <w:t xml:space="preserve"> </w:t>
      </w:r>
      <w:r>
        <w:rPr>
          <w:iCs/>
          <w:i/>
        </w:rPr>
        <w:t xml:space="preserve">Scand J Gastroenterol</w:t>
      </w:r>
      <w:r>
        <w:t xml:space="preserve"> </w:t>
      </w:r>
      <w:r>
        <w:t xml:space="preserve">· Efficacy of thymosin α-1 plus peginterferon α-2a combination therapy compared with peginterferon α-2a monotherapy in HBeAg-positive chronic hepatitis B: a prospective, multicenter, randomized, open-label study. PMID 22726105</w:t>
      </w:r>
    </w:p>
    <w:p>
      <w:pPr>
        <w:numPr>
          <w:ilvl w:val="0"/>
          <w:numId w:val="1391"/>
        </w:numPr>
        <w:pStyle w:val="Compact"/>
      </w:pPr>
      <w:r>
        <w:t xml:space="preserve">2012 · Ciancio A ·</w:t>
      </w:r>
      <w:r>
        <w:t xml:space="preserve"> </w:t>
      </w:r>
      <w:r>
        <w:rPr>
          <w:iCs/>
          <w:i/>
        </w:rPr>
        <w:t xml:space="preserve">J Viral Hepat</w:t>
      </w:r>
      <w:r>
        <w:t xml:space="preserve"> </w:t>
      </w:r>
      <w:r>
        <w:t xml:space="preserve">· Thymosin alpha-1 with peginterferon alfa-2a/ribavirin for chronic hepatitis C not responsive to IFN/ribavirin: an adjuvant role?. PMID 22233415</w:t>
      </w:r>
    </w:p>
    <w:p>
      <w:pPr>
        <w:numPr>
          <w:ilvl w:val="0"/>
          <w:numId w:val="1391"/>
        </w:numPr>
        <w:pStyle w:val="Compact"/>
      </w:pPr>
      <w:r>
        <w:t xml:space="preserve">2011 · Wang X ·</w:t>
      </w:r>
      <w:r>
        <w:t xml:space="preserve"> </w:t>
      </w:r>
      <w:r>
        <w:rPr>
          <w:iCs/>
          <w:i/>
        </w:rPr>
        <w:t xml:space="preserve">Inflammation</w:t>
      </w:r>
      <w:r>
        <w:t xml:space="preserve"> </w:t>
      </w:r>
      <w:r>
        <w:t xml:space="preserve">· Thymosin alpha 1 is associated with improved cellular immunity and reduced infection rate in severe acute pancreatitis patients in a double-blind randomized control study. PMID 20549321</w:t>
      </w:r>
    </w:p>
    <w:p>
      <w:pPr>
        <w:numPr>
          <w:ilvl w:val="0"/>
          <w:numId w:val="1391"/>
        </w:numPr>
        <w:pStyle w:val="Compact"/>
      </w:pPr>
      <w:r>
        <w:t xml:space="preserve">2010 · Jiang YF ·</w:t>
      </w:r>
      <w:r>
        <w:t xml:space="preserve"> </w:t>
      </w:r>
      <w:r>
        <w:rPr>
          <w:iCs/>
          <w:i/>
        </w:rPr>
        <w:t xml:space="preserve">J Int Med Res</w:t>
      </w:r>
      <w:r>
        <w:t xml:space="preserve"> </w:t>
      </w:r>
      <w:r>
        <w:t xml:space="preserve">· Effect of thymosin-α(1) on T-helper 1 cell and T-helper 2 cell cytokine synthesis in patients with hepatitis B virus e antigen-positive chronic hepatitis B. PMID 21227010</w:t>
      </w:r>
    </w:p>
    <w:p>
      <w:pPr>
        <w:numPr>
          <w:ilvl w:val="0"/>
          <w:numId w:val="1391"/>
        </w:numPr>
        <w:pStyle w:val="Compact"/>
      </w:pPr>
      <w:r>
        <w:t xml:space="preserve">2010 · Maio M ·</w:t>
      </w:r>
      <w:r>
        <w:t xml:space="preserve"> </w:t>
      </w:r>
      <w:r>
        <w:rPr>
          <w:iCs/>
          <w:i/>
        </w:rPr>
        <w:t xml:space="preserve">J Clin Oncol</w:t>
      </w:r>
      <w:r>
        <w:t xml:space="preserve"> </w:t>
      </w:r>
      <w:r>
        <w:t xml:space="preserve">· Large randomized study of thymosin alpha 1, interferon alfa, or both in combination with dacarbazine in patients with metastatic melanoma. PMID 20194853</w:t>
      </w:r>
    </w:p>
    <w:p>
      <w:pPr>
        <w:numPr>
          <w:ilvl w:val="0"/>
          <w:numId w:val="1391"/>
        </w:numPr>
        <w:pStyle w:val="Compact"/>
      </w:pPr>
      <w:r>
        <w:t xml:space="preserve">2009 · Zhou LX ·</w:t>
      </w:r>
      <w:r>
        <w:t xml:space="preserve"> </w:t>
      </w:r>
      <w:r>
        <w:rPr>
          <w:iCs/>
          <w:i/>
        </w:rPr>
        <w:t xml:space="preserve">Zhonghua Yi Xue Za Zhi</w:t>
      </w:r>
      <w:r>
        <w:t xml:space="preserve"> </w:t>
      </w:r>
      <w:r>
        <w:t xml:space="preserve">· [Immune and inflammation confusion in severe sepsis and effects of bi-immunomodulation therapy: a prospective, randomized, controlled clinical trial]. PMID 19595251</w:t>
      </w:r>
    </w:p>
    <w:p>
      <w:pPr>
        <w:numPr>
          <w:ilvl w:val="0"/>
          <w:numId w:val="1391"/>
        </w:numPr>
        <w:pStyle w:val="Compact"/>
      </w:pPr>
      <w:r>
        <w:t xml:space="preserve">2009 · Chen H ·</w:t>
      </w:r>
      <w:r>
        <w:t xml:space="preserve"> </w:t>
      </w:r>
      <w:r>
        <w:rPr>
          <w:iCs/>
          <w:i/>
        </w:rPr>
        <w:t xml:space="preserve">Chin Med J (Engl)</w:t>
      </w:r>
      <w:r>
        <w:t xml:space="preserve"> </w:t>
      </w:r>
      <w:r>
        <w:t xml:space="preserve">· Treatment of patients with severe sepsis using ulinastatin and thymosin alpha1: a prospective, randomized, controlled pilot study. PMID 19493408</w:t>
      </w:r>
    </w:p>
    <w:p>
      <w:pPr>
        <w:numPr>
          <w:ilvl w:val="0"/>
          <w:numId w:val="1391"/>
        </w:numPr>
        <w:pStyle w:val="Compact"/>
      </w:pPr>
      <w:r>
        <w:t xml:space="preserve">2009 · Su L ·</w:t>
      </w:r>
      <w:r>
        <w:t xml:space="preserve"> </w:t>
      </w:r>
      <w:r>
        <w:rPr>
          <w:iCs/>
          <w:i/>
        </w:rPr>
        <w:t xml:space="preserve">Zhongguo Wei Zhong Bing Ji Jiu Yi Xue</w:t>
      </w:r>
      <w:r>
        <w:t xml:space="preserve"> </w:t>
      </w:r>
      <w:r>
        <w:t xml:space="preserve">· [Clinical effects of ulinastatin and thymosin alpha1 on immune-modulation in septic patients]. PMID 19278583</w:t>
      </w:r>
    </w:p>
    <w:p>
      <w:pPr>
        <w:numPr>
          <w:ilvl w:val="0"/>
          <w:numId w:val="1391"/>
        </w:numPr>
        <w:pStyle w:val="Compact"/>
      </w:pPr>
      <w:r>
        <w:t xml:space="preserve">2009 · Li YN ·</w:t>
      </w:r>
      <w:r>
        <w:t xml:space="preserve"> </w:t>
      </w:r>
      <w:r>
        <w:rPr>
          <w:iCs/>
          <w:i/>
        </w:rPr>
        <w:t xml:space="preserve">Zhongguo Wei Zhong Bing Ji Jiu Yi Xue</w:t>
      </w:r>
      <w:r>
        <w:t xml:space="preserve"> </w:t>
      </w:r>
      <w:r>
        <w:t xml:space="preserve">· [Effect of continuous blood purification and thymosin alpha1 on the cellular immunity in patients with severe sepsis: a prospective, randomized, controlled clinical trial]. PMID 19278581</w:t>
      </w:r>
    </w:p>
    <w:p>
      <w:pPr>
        <w:numPr>
          <w:ilvl w:val="0"/>
          <w:numId w:val="1391"/>
        </w:numPr>
        <w:pStyle w:val="Compact"/>
      </w:pPr>
      <w:r>
        <w:t xml:space="preserve">2009 · Li Yumin ·</w:t>
      </w:r>
      <w:r>
        <w:t xml:space="preserve"> </w:t>
      </w:r>
      <w:r>
        <w:rPr>
          <w:iCs/>
          <w:i/>
        </w:rPr>
        <w:t xml:space="preserve">J Intensive Care Med</w:t>
      </w:r>
      <w:r>
        <w:t xml:space="preserve"> </w:t>
      </w:r>
      <w:r>
        <w:t xml:space="preserve">· A new immunomodulatory therapy for severe sepsis: Ulinastatin Plus Thymosin {alpha} 1. PMID 19033321</w:t>
      </w:r>
    </w:p>
    <w:p>
      <w:pPr>
        <w:numPr>
          <w:ilvl w:val="0"/>
          <w:numId w:val="1391"/>
        </w:numPr>
        <w:pStyle w:val="Compact"/>
      </w:pPr>
      <w:r>
        <w:t xml:space="preserve">2008 · Poo JL ·</w:t>
      </w:r>
      <w:r>
        <w:t xml:space="preserve"> </w:t>
      </w:r>
      <w:r>
        <w:rPr>
          <w:iCs/>
          <w:i/>
        </w:rPr>
        <w:t xml:space="preserve">Ann Hepatol</w:t>
      </w:r>
      <w:r>
        <w:t xml:space="preserve"> </w:t>
      </w:r>
      <w:r>
        <w:t xml:space="preserve">· Efficacy of triple therapy with thymalfasin, peginterferon alpha-2a, and ribavirin for the treatment of hispanic chronic HCV nonresponders. PMID 19034238</w:t>
      </w:r>
    </w:p>
    <w:p>
      <w:pPr>
        <w:numPr>
          <w:ilvl w:val="0"/>
          <w:numId w:val="1391"/>
        </w:numPr>
        <w:pStyle w:val="Compact"/>
      </w:pPr>
      <w:r>
        <w:t xml:space="preserve">2008 · Zheng BX ·</w:t>
      </w:r>
      <w:r>
        <w:t xml:space="preserve"> </w:t>
      </w:r>
      <w:r>
        <w:rPr>
          <w:iCs/>
          <w:i/>
        </w:rPr>
        <w:t xml:space="preserve">Sichuan Da Xue Xue Bao Yi Xue Ban</w:t>
      </w:r>
      <w:r>
        <w:t xml:space="preserve"> </w:t>
      </w:r>
      <w:r>
        <w:t xml:space="preserve">· [The prophylactic effect of thymosin alpha 1 on the acute exacerbation of chronic obstructive pulmonary disease]. PMID 18798500</w:t>
      </w:r>
    </w:p>
    <w:p>
      <w:pPr>
        <w:numPr>
          <w:ilvl w:val="0"/>
          <w:numId w:val="1391"/>
        </w:numPr>
        <w:pStyle w:val="Compact"/>
      </w:pPr>
      <w:r>
        <w:t xml:space="preserve">2008 · Zhang Y ·</w:t>
      </w:r>
      <w:r>
        <w:t xml:space="preserve"> </w:t>
      </w:r>
      <w:r>
        <w:rPr>
          <w:iCs/>
          <w:i/>
        </w:rPr>
        <w:t xml:space="preserve">J Infect Dis</w:t>
      </w:r>
      <w:r>
        <w:t xml:space="preserve"> </w:t>
      </w:r>
      <w:r>
        <w:t xml:space="preserve">· Thymosin alpha1- and ulinastatin-based immunomodulatory strategy for sepsis arising from intra-abdominal infection due to carbapenem-resistant bacteria. PMID 18613793</w:t>
      </w:r>
    </w:p>
    <w:p>
      <w:pPr>
        <w:numPr>
          <w:ilvl w:val="0"/>
          <w:numId w:val="1391"/>
        </w:numPr>
        <w:pStyle w:val="Compact"/>
      </w:pPr>
      <w:r>
        <w:t xml:space="preserve">2008 · Loo WT ·</w:t>
      </w:r>
      <w:r>
        <w:t xml:space="preserve"> </w:t>
      </w:r>
      <w:r>
        <w:rPr>
          <w:iCs/>
          <w:i/>
        </w:rPr>
        <w:t xml:space="preserve">Am J Emerg Med</w:t>
      </w:r>
      <w:r>
        <w:t xml:space="preserve"> </w:t>
      </w:r>
      <w:r>
        <w:t xml:space="preserve">· Thymosin alpha 1 provides short-term and long-term benefits in the reimplantation of avulsed teeth: a double-blind randomized control pilot study. PMID 18534287</w:t>
      </w:r>
    </w:p>
    <w:p>
      <w:pPr>
        <w:numPr>
          <w:ilvl w:val="0"/>
          <w:numId w:val="1391"/>
        </w:numPr>
        <w:pStyle w:val="Compact"/>
      </w:pPr>
      <w:r>
        <w:t xml:space="preserve">2008 · Lee HW ·</w:t>
      </w:r>
      <w:r>
        <w:t xml:space="preserve"> </w:t>
      </w:r>
      <w:r>
        <w:rPr>
          <w:iCs/>
          <w:i/>
        </w:rPr>
        <w:t xml:space="preserve">J Gastroenterol Hepatol</w:t>
      </w:r>
      <w:r>
        <w:t xml:space="preserve"> </w:t>
      </w:r>
      <w:r>
        <w:t xml:space="preserve">· Combination therapy of thymosin alpha-1 and lamivudine for HBeAg positive chronic hepatitis B: A prospective randomized, comparative pilot study. PMID 18410608</w:t>
      </w:r>
    </w:p>
    <w:p>
      <w:pPr>
        <w:numPr>
          <w:ilvl w:val="0"/>
          <w:numId w:val="1391"/>
        </w:numPr>
        <w:pStyle w:val="Compact"/>
      </w:pPr>
      <w:r>
        <w:t xml:space="preserve">2007 · Wang L ·</w:t>
      </w:r>
      <w:r>
        <w:t xml:space="preserve"> </w:t>
      </w:r>
      <w:r>
        <w:rPr>
          <w:iCs/>
          <w:i/>
        </w:rPr>
        <w:t xml:space="preserve">Zhonghua Nei Ke Za Zhi</w:t>
      </w:r>
      <w:r>
        <w:t xml:space="preserve"> </w:t>
      </w:r>
      <w:r>
        <w:t xml:space="preserve">· [Combination therapy of thymosin alpha1 and high dose dexamethasone in patients with chronic idiopathic thrombocytopenic purpura]. PMID 17637261</w:t>
      </w:r>
    </w:p>
    <w:p>
      <w:pPr>
        <w:numPr>
          <w:ilvl w:val="0"/>
          <w:numId w:val="1391"/>
        </w:numPr>
        <w:pStyle w:val="Compact"/>
      </w:pPr>
      <w:r>
        <w:t xml:space="preserve">2007 · Ershler WB ·</w:t>
      </w:r>
      <w:r>
        <w:t xml:space="preserve"> </w:t>
      </w:r>
      <w:r>
        <w:rPr>
          <w:iCs/>
          <w:i/>
        </w:rPr>
        <w:t xml:space="preserve">Ann N Y Acad Sci</w:t>
      </w:r>
      <w:r>
        <w:t xml:space="preserve"> </w:t>
      </w:r>
      <w:r>
        <w:t xml:space="preserve">· Thymosin alpha 1 as an adjunct to influenza vaccination in the elderly: rationale and trial summaries. PMID 17600281</w:t>
      </w:r>
    </w:p>
    <w:p>
      <w:pPr>
        <w:numPr>
          <w:ilvl w:val="0"/>
          <w:numId w:val="1391"/>
        </w:numPr>
        <w:pStyle w:val="Compact"/>
      </w:pPr>
      <w:r>
        <w:t xml:space="preserve">2007 · Cooperative Group of immunomodulatory Therapy of Sepsis ·</w:t>
      </w:r>
      <w:r>
        <w:t xml:space="preserve"> </w:t>
      </w:r>
      <w:r>
        <w:rPr>
          <w:iCs/>
          <w:i/>
        </w:rPr>
        <w:t xml:space="preserve">Zhonghua Yi Xue Za Zhi</w:t>
      </w:r>
      <w:r>
        <w:t xml:space="preserve"> </w:t>
      </w:r>
      <w:r>
        <w:t xml:space="preserve">· [Clinical trial with a new immunomodulatory strategy: treatment of severe sepsis with Ulinastatin and Maipuxin]. PMID 17459221</w:t>
      </w:r>
    </w:p>
    <w:p>
      <w:pPr>
        <w:numPr>
          <w:ilvl w:val="0"/>
          <w:numId w:val="1391"/>
        </w:numPr>
        <w:pStyle w:val="Compact"/>
      </w:pPr>
      <w:r>
        <w:t xml:space="preserve">2007 · Ma LN ·</w:t>
      </w:r>
      <w:r>
        <w:t xml:space="preserve"> </w:t>
      </w:r>
      <w:r>
        <w:rPr>
          <w:iCs/>
          <w:i/>
        </w:rPr>
        <w:t xml:space="preserve">Zhonghua Gan Zang Bing Za Zhi</w:t>
      </w:r>
      <w:r>
        <w:t xml:space="preserve"> </w:t>
      </w:r>
      <w:r>
        <w:t xml:space="preserve">· [A clinical study of thymosin alpha1 as an auxiliary in treating spontaneous peritonitis in patients with liver cirrhosis]. PMID 17407720</w:t>
      </w:r>
    </w:p>
    <w:p>
      <w:pPr>
        <w:numPr>
          <w:ilvl w:val="0"/>
          <w:numId w:val="1391"/>
        </w:numPr>
        <w:pStyle w:val="Compact"/>
      </w:pPr>
      <w:r>
        <w:t xml:space="preserve">2007 · Chen J ·</w:t>
      </w:r>
      <w:r>
        <w:t xml:space="preserve"> </w:t>
      </w:r>
      <w:r>
        <w:rPr>
          <w:iCs/>
          <w:i/>
        </w:rPr>
        <w:t xml:space="preserve">Zhongguo Wei Zhong Bing Ji Jiu Yi Xue</w:t>
      </w:r>
      <w:r>
        <w:t xml:space="preserve"> </w:t>
      </w:r>
      <w:r>
        <w:t xml:space="preserve">· [Effects of thymosin-alpha1 on cell immunity function in patients with septic shock]. PMID 17376268</w:t>
      </w:r>
    </w:p>
    <w:p>
      <w:pPr>
        <w:numPr>
          <w:ilvl w:val="0"/>
          <w:numId w:val="1391"/>
        </w:numPr>
        <w:pStyle w:val="Compact"/>
      </w:pPr>
      <w:r>
        <w:t xml:space="preserve">2006 · Chien RN ·</w:t>
      </w:r>
      <w:r>
        <w:t xml:space="preserve"> </w:t>
      </w:r>
      <w:r>
        <w:rPr>
          <w:iCs/>
          <w:i/>
        </w:rPr>
        <w:t xml:space="preserve">J Viral Hepat</w:t>
      </w:r>
      <w:r>
        <w:t xml:space="preserve"> </w:t>
      </w:r>
      <w:r>
        <w:t xml:space="preserve">· Hepatitis B virus genotype B is associated with better response to thymosin alpha1 therapy than genotype C. PMID 17109685</w:t>
      </w:r>
    </w:p>
    <w:p>
      <w:pPr>
        <w:numPr>
          <w:ilvl w:val="0"/>
          <w:numId w:val="1391"/>
        </w:numPr>
        <w:pStyle w:val="Compact"/>
      </w:pPr>
      <w:r>
        <w:t xml:space="preserve">2006 · Huang SW ·</w:t>
      </w:r>
      <w:r>
        <w:t xml:space="preserve"> </w:t>
      </w:r>
      <w:r>
        <w:rPr>
          <w:iCs/>
          <w:i/>
        </w:rPr>
        <w:t xml:space="preserve">Zhongguo Wei Zhong Bing Ji Jiu Yi Xue</w:t>
      </w:r>
      <w:r>
        <w:t xml:space="preserve"> </w:t>
      </w:r>
      <w:r>
        <w:t xml:space="preserve">· [Clinical study and long-term evaluation of immunomodulation therapy on trauma, severe sepsis and multiple organ dysfunction syndrome patients]. PMID 17092412</w:t>
      </w:r>
    </w:p>
    <w:p>
      <w:pPr>
        <w:numPr>
          <w:ilvl w:val="0"/>
          <w:numId w:val="1391"/>
        </w:numPr>
        <w:pStyle w:val="Compact"/>
      </w:pPr>
      <w:r>
        <w:t xml:space="preserve">2006 · You J ·</w:t>
      </w:r>
      <w:r>
        <w:t xml:space="preserve"> </w:t>
      </w:r>
      <w:r>
        <w:rPr>
          <w:iCs/>
          <w:i/>
        </w:rPr>
        <w:t xml:space="preserve">World J Gastroenterol</w:t>
      </w:r>
      <w:r>
        <w:t xml:space="preserve"> </w:t>
      </w:r>
      <w:r>
        <w:t xml:space="preserve">· Efficacy of thymosin alpha-1 and interferon alpha in treatment of chronic viral hepatitis B: a randomized controlled study. PMID 17075991</w:t>
      </w:r>
    </w:p>
    <w:p>
      <w:pPr>
        <w:numPr>
          <w:ilvl w:val="0"/>
          <w:numId w:val="1391"/>
        </w:numPr>
        <w:pStyle w:val="Compact"/>
      </w:pPr>
      <w:r>
        <w:t xml:space="preserve">2006 · Lim SG ·</w:t>
      </w:r>
      <w:r>
        <w:t xml:space="preserve"> </w:t>
      </w:r>
      <w:r>
        <w:rPr>
          <w:iCs/>
          <w:i/>
        </w:rPr>
        <w:t xml:space="preserve">Antivir Ther</w:t>
      </w:r>
      <w:r>
        <w:t xml:space="preserve"> </w:t>
      </w:r>
      <w:r>
        <w:t xml:space="preserve">· A randomized, placebo-controlled trial of thymosin-alpha1 and lymphoblastoid interferon for HBeAg-positive chronic hepatitis B. PMID 16640105</w:t>
      </w:r>
    </w:p>
    <w:p>
      <w:pPr>
        <w:numPr>
          <w:ilvl w:val="0"/>
          <w:numId w:val="1391"/>
        </w:numPr>
        <w:pStyle w:val="Compact"/>
      </w:pPr>
      <w:r>
        <w:t xml:space="preserve">2006 · Shuqun C ·</w:t>
      </w:r>
      <w:r>
        <w:t xml:space="preserve"> </w:t>
      </w:r>
      <w:r>
        <w:rPr>
          <w:iCs/>
          <w:i/>
        </w:rPr>
        <w:t xml:space="preserve">Hepatogastroenterology</w:t>
      </w:r>
      <w:r>
        <w:t xml:space="preserve"> </w:t>
      </w:r>
      <w:r>
        <w:t xml:space="preserve">· Antiviral therapy using lamivudine and thymosin alpha1 for hepatocellular carcinoma coexisting with chronic hepatitis B infection. PMID 16608033</w:t>
      </w:r>
    </w:p>
    <w:p>
      <w:pPr>
        <w:numPr>
          <w:ilvl w:val="0"/>
          <w:numId w:val="1391"/>
        </w:numPr>
        <w:pStyle w:val="Compact"/>
      </w:pPr>
      <w:r>
        <w:t xml:space="preserve">2006 · Huang DP ·</w:t>
      </w:r>
      <w:r>
        <w:t xml:space="preserve"> </w:t>
      </w:r>
      <w:r>
        <w:rPr>
          <w:iCs/>
          <w:i/>
        </w:rPr>
        <w:t xml:space="preserve">Nan Fang Yi Ke Da Xue Xue Bao</w:t>
      </w:r>
      <w:r>
        <w:t xml:space="preserve"> </w:t>
      </w:r>
      <w:r>
        <w:t xml:space="preserve">· [Prevention and management of lung infections with thymosin alpha1 in critical patients with tracheotomy]. PMID 16495194</w:t>
      </w:r>
    </w:p>
    <w:p>
      <w:pPr>
        <w:numPr>
          <w:ilvl w:val="0"/>
          <w:numId w:val="1391"/>
        </w:numPr>
        <w:pStyle w:val="Compact"/>
      </w:pPr>
      <w:r>
        <w:t xml:space="preserve">2005 · Cui SN ·</w:t>
      </w:r>
      <w:r>
        <w:t xml:space="preserve"> </w:t>
      </w:r>
      <w:r>
        <w:rPr>
          <w:iCs/>
          <w:i/>
        </w:rPr>
        <w:t xml:space="preserve">Zhonghua Shi Yan He Lin Chuang Bing Du Xue Za Zhi</w:t>
      </w:r>
      <w:r>
        <w:t xml:space="preserve"> </w:t>
      </w:r>
      <w:r>
        <w:t xml:space="preserve">· [Antiviral therapy of chronic hepatitis B patients resistant to lamivudine]. PMID 16416004</w:t>
      </w:r>
    </w:p>
    <w:p>
      <w:pPr>
        <w:numPr>
          <w:ilvl w:val="0"/>
          <w:numId w:val="1391"/>
        </w:numPr>
        <w:pStyle w:val="Compact"/>
      </w:pPr>
      <w:r>
        <w:t xml:space="preserve">2005 · Cheng SQ ·</w:t>
      </w:r>
      <w:r>
        <w:t xml:space="preserve"> </w:t>
      </w:r>
      <w:r>
        <w:rPr>
          <w:iCs/>
          <w:i/>
        </w:rPr>
        <w:t xml:space="preserve">Zhonghua Zhong Liu Za Zhi</w:t>
      </w:r>
      <w:r>
        <w:t xml:space="preserve"> </w:t>
      </w:r>
      <w:r>
        <w:t xml:space="preserve">· [Anti-viral therapy using lamivudine and thymosin is helpful to prevent recurrence in hepatocellular carcinoma with coexisting active hepatitis B]. PMID 15946554</w:t>
      </w:r>
    </w:p>
    <w:p>
      <w:pPr>
        <w:numPr>
          <w:ilvl w:val="0"/>
          <w:numId w:val="1391"/>
        </w:numPr>
        <w:pStyle w:val="Compact"/>
      </w:pPr>
      <w:r>
        <w:t xml:space="preserve">2005 · Iino S ·</w:t>
      </w:r>
      <w:r>
        <w:t xml:space="preserve"> </w:t>
      </w:r>
      <w:r>
        <w:rPr>
          <w:iCs/>
          <w:i/>
        </w:rPr>
        <w:t xml:space="preserve">J Viral Hepat</w:t>
      </w:r>
      <w:r>
        <w:t xml:space="preserve"> </w:t>
      </w:r>
      <w:r>
        <w:t xml:space="preserve">· The efficacy and safety of thymosin alpha-1 in Japanese patients with chronic hepatitis B; results from a randomized clinical trial. PMID 15850471</w:t>
      </w:r>
    </w:p>
    <w:p>
      <w:pPr>
        <w:numPr>
          <w:ilvl w:val="0"/>
          <w:numId w:val="1391"/>
        </w:numPr>
        <w:pStyle w:val="Compact"/>
      </w:pPr>
      <w:r>
        <w:t xml:space="preserve">2005 · You J ·</w:t>
      </w:r>
      <w:r>
        <w:t xml:space="preserve"> </w:t>
      </w:r>
      <w:r>
        <w:rPr>
          <w:iCs/>
          <w:i/>
        </w:rPr>
        <w:t xml:space="preserve">J Chin Med Assoc</w:t>
      </w:r>
      <w:r>
        <w:t xml:space="preserve"> </w:t>
      </w:r>
      <w:r>
        <w:t xml:space="preserve">· A randomized, controlled, clinical study of thymosin alpha-1 versus interferon-alpha in [corrected] patients with chronic hepatitis B lacking HBeAg in China [corrected]. PMID 15759817</w:t>
      </w:r>
    </w:p>
    <w:p>
      <w:pPr>
        <w:numPr>
          <w:ilvl w:val="0"/>
          <w:numId w:val="1391"/>
        </w:numPr>
        <w:pStyle w:val="Compact"/>
      </w:pPr>
      <w:r>
        <w:t xml:space="preserve">2004 · Rustgi V ·</w:t>
      </w:r>
      <w:r>
        <w:t xml:space="preserve"> </w:t>
      </w:r>
      <w:r>
        <w:rPr>
          <w:iCs/>
          <w:i/>
        </w:rPr>
        <w:t xml:space="preserve">J Gastroenterol Hepatol</w:t>
      </w:r>
      <w:r>
        <w:t xml:space="preserve"> </w:t>
      </w:r>
      <w:r>
        <w:t xml:space="preserve">· Combination therapy of thymalfasin (thymosin-alpha 1) and peginterferon alfa-2a in patients with chronic hepatitis C virus infection who are non-responders to standard treatment. PMID 15641209</w:t>
      </w:r>
    </w:p>
    <w:p>
      <w:pPr>
        <w:numPr>
          <w:ilvl w:val="0"/>
          <w:numId w:val="1391"/>
        </w:numPr>
        <w:pStyle w:val="Compact"/>
      </w:pPr>
      <w:r>
        <w:t xml:space="preserve">2004 · Poo JL ·</w:t>
      </w:r>
      <w:r>
        <w:t xml:space="preserve"> </w:t>
      </w:r>
      <w:r>
        <w:rPr>
          <w:iCs/>
          <w:i/>
        </w:rPr>
        <w:t xml:space="preserve">J Gastroenterol Hepatol</w:t>
      </w:r>
      <w:r>
        <w:t xml:space="preserve"> </w:t>
      </w:r>
      <w:r>
        <w:t xml:space="preserve">· Triple combination of thymalfasin, peginterferon alfa-2a and ribavirin in patients with chronic hepatitis C who have failed prior interferon and ribavirin treatment: 24-week interim results of a pilot study. PMID 15546256</w:t>
      </w:r>
    </w:p>
    <w:p>
      <w:pPr>
        <w:numPr>
          <w:ilvl w:val="0"/>
          <w:numId w:val="1391"/>
        </w:numPr>
        <w:pStyle w:val="Compact"/>
      </w:pPr>
      <w:r>
        <w:t xml:space="preserve">2004 · Rustgi V ·</w:t>
      </w:r>
      <w:r>
        <w:t xml:space="preserve"> </w:t>
      </w:r>
      <w:r>
        <w:rPr>
          <w:iCs/>
          <w:i/>
        </w:rPr>
        <w:t xml:space="preserve">J Gastroenterol Hepatol</w:t>
      </w:r>
      <w:r>
        <w:t xml:space="preserve"> </w:t>
      </w:r>
      <w:r>
        <w:t xml:space="preserve">· Combination therapy of thymalfasin (thymosin-alpha 1) and peginterferon alfa-2a in patients with chronic hepatitis C virus infection who are non-responders to standard treatment. PMID 15546255</w:t>
      </w:r>
    </w:p>
    <w:p>
      <w:pPr>
        <w:numPr>
          <w:ilvl w:val="0"/>
          <w:numId w:val="1391"/>
        </w:numPr>
        <w:pStyle w:val="Compact"/>
      </w:pPr>
      <w:r>
        <w:t xml:space="preserve">2004 · Chien RN ·</w:t>
      </w:r>
      <w:r>
        <w:t xml:space="preserve"> </w:t>
      </w:r>
      <w:r>
        <w:rPr>
          <w:iCs/>
          <w:i/>
        </w:rPr>
        <w:t xml:space="preserve">Expert Rev Anti Infect Ther</w:t>
      </w:r>
      <w:r>
        <w:t xml:space="preserve"> </w:t>
      </w:r>
      <w:r>
        <w:t xml:space="preserve">· Thymalfasin for the treatment of chronic hepatitis B. PMID 15482167</w:t>
      </w:r>
    </w:p>
    <w:p>
      <w:pPr>
        <w:numPr>
          <w:ilvl w:val="0"/>
          <w:numId w:val="1391"/>
        </w:numPr>
        <w:pStyle w:val="Compact"/>
      </w:pPr>
      <w:r>
        <w:t xml:space="preserve">2004 · Shuqun C ·</w:t>
      </w:r>
      <w:r>
        <w:t xml:space="preserve"> </w:t>
      </w:r>
      <w:r>
        <w:rPr>
          <w:iCs/>
          <w:i/>
        </w:rPr>
        <w:t xml:space="preserve">Hepatogastroenterology</w:t>
      </w:r>
      <w:r>
        <w:t xml:space="preserve"> </w:t>
      </w:r>
      <w:r>
        <w:t xml:space="preserve">· Combination transcatheter hepatic arterial chemoembolization with thymosin alpha1 on recurrence prevention of hepatocellular carcinoma. PMID 15362772</w:t>
      </w:r>
    </w:p>
    <w:p>
      <w:pPr>
        <w:numPr>
          <w:ilvl w:val="0"/>
          <w:numId w:val="1391"/>
        </w:numPr>
        <w:pStyle w:val="Compact"/>
      </w:pPr>
      <w:r>
        <w:t xml:space="preserve">2004 · Lei CL ·</w:t>
      </w:r>
      <w:r>
        <w:t xml:space="preserve"> </w:t>
      </w:r>
      <w:r>
        <w:rPr>
          <w:iCs/>
          <w:i/>
        </w:rPr>
        <w:t xml:space="preserve">Zhonghua Shi Yan He Lin Chuang Bing Du Xue Za Zhi</w:t>
      </w:r>
      <w:r>
        <w:t xml:space="preserve"> </w:t>
      </w:r>
      <w:r>
        <w:t xml:space="preserve">· [Clinical trial of sequential antiviral therapy for patients with chronic hepatitis B in China]. PMID 15340532</w:t>
      </w:r>
    </w:p>
    <w:p>
      <w:pPr>
        <w:numPr>
          <w:ilvl w:val="0"/>
          <w:numId w:val="1391"/>
        </w:numPr>
        <w:pStyle w:val="Compact"/>
      </w:pPr>
      <w:r>
        <w:t xml:space="preserve">2004 · Cheng SQ ·</w:t>
      </w:r>
      <w:r>
        <w:t xml:space="preserve"> </w:t>
      </w:r>
      <w:r>
        <w:rPr>
          <w:iCs/>
          <w:i/>
        </w:rPr>
        <w:t xml:space="preserve">Zhonghua Zhong Liu Za Zhi</w:t>
      </w:r>
      <w:r>
        <w:t xml:space="preserve"> </w:t>
      </w:r>
      <w:r>
        <w:t xml:space="preserve">· [Transcatheter hepatic arterial chemoembolization and thymosin alpha1 in postoperative treatment of hepatocellular carcinoma]. PMID 15312371</w:t>
      </w:r>
    </w:p>
    <w:p>
      <w:pPr>
        <w:numPr>
          <w:ilvl w:val="0"/>
          <w:numId w:val="1391"/>
        </w:numPr>
        <w:pStyle w:val="Compact"/>
      </w:pPr>
      <w:r>
        <w:t xml:space="preserve">2004 · Andreone P ·</w:t>
      </w:r>
      <w:r>
        <w:t xml:space="preserve"> </w:t>
      </w:r>
      <w:r>
        <w:rPr>
          <w:iCs/>
          <w:i/>
        </w:rPr>
        <w:t xml:space="preserve">J Viral Hepat</w:t>
      </w:r>
      <w:r>
        <w:t xml:space="preserve"> </w:t>
      </w:r>
      <w:r>
        <w:t xml:space="preserve">· Thymosin-alpha 1 plus interferon-alpha for naive patients with chronic hepatitis C: results of a randomized controlled pilot trial. PMID 14738560</w:t>
      </w:r>
    </w:p>
    <w:p>
      <w:pPr>
        <w:numPr>
          <w:ilvl w:val="0"/>
          <w:numId w:val="1391"/>
        </w:numPr>
        <w:pStyle w:val="Compact"/>
      </w:pPr>
      <w:r>
        <w:t xml:space="preserve">2003 · Chadwick D ·</w:t>
      </w:r>
      <w:r>
        <w:t xml:space="preserve"> </w:t>
      </w:r>
      <w:r>
        <w:rPr>
          <w:iCs/>
          <w:i/>
        </w:rPr>
        <w:t xml:space="preserve">Clin Exp Immunol</w:t>
      </w:r>
      <w:r>
        <w:t xml:space="preserve"> </w:t>
      </w:r>
      <w:r>
        <w:t xml:space="preserve">· A pilot study of the safety and efficacy of thymosin alpha 1 in augmenting immune reconstitution in HIV-infected patients with low CD4 counts taking highly active antiretroviral therapy. PMID 14632754</w:t>
      </w:r>
    </w:p>
    <w:p>
      <w:pPr>
        <w:numPr>
          <w:ilvl w:val="0"/>
          <w:numId w:val="1391"/>
        </w:numPr>
        <w:pStyle w:val="Compact"/>
      </w:pPr>
      <w:r>
        <w:t xml:space="preserve">2003 · Arase Y ·</w:t>
      </w:r>
      <w:r>
        <w:t xml:space="preserve"> </w:t>
      </w:r>
      <w:r>
        <w:rPr>
          <w:iCs/>
          <w:i/>
        </w:rPr>
        <w:t xml:space="preserve">Intern Med</w:t>
      </w:r>
      <w:r>
        <w:t xml:space="preserve"> </w:t>
      </w:r>
      <w:r>
        <w:t xml:space="preserve">· A pilot study of thymosin alpha1 therapy for chronic hepatitis B patients. PMID 14606705</w:t>
      </w:r>
    </w:p>
    <w:p>
      <w:pPr>
        <w:numPr>
          <w:ilvl w:val="0"/>
          <w:numId w:val="1391"/>
        </w:numPr>
        <w:pStyle w:val="Compact"/>
      </w:pPr>
      <w:r>
        <w:t xml:space="preserve">2003 · Saruc M ·</w:t>
      </w:r>
      <w:r>
        <w:t xml:space="preserve"> </w:t>
      </w:r>
      <w:r>
        <w:rPr>
          <w:iCs/>
          <w:i/>
        </w:rPr>
        <w:t xml:space="preserve">J Pharm Sci</w:t>
      </w:r>
      <w:r>
        <w:t xml:space="preserve"> </w:t>
      </w:r>
      <w:r>
        <w:t xml:space="preserve">· Long-term outcomes of thymosin-alpha 1 and interferon alpha-2b combination therapy in patients with hepatitis B e antigen (HBeAg) negative chronic hepatitis B. PMID 12820143</w:t>
      </w:r>
    </w:p>
    <w:p>
      <w:pPr>
        <w:numPr>
          <w:ilvl w:val="0"/>
          <w:numId w:val="1391"/>
        </w:numPr>
        <w:pStyle w:val="Compact"/>
      </w:pPr>
      <w:r>
        <w:t xml:space="preserve">2002 · Lau GK ·</w:t>
      </w:r>
      <w:r>
        <w:t xml:space="preserve"> </w:t>
      </w:r>
      <w:r>
        <w:rPr>
          <w:iCs/>
          <w:i/>
        </w:rPr>
        <w:t xml:space="preserve">J Viral Hepat</w:t>
      </w:r>
      <w:r>
        <w:t xml:space="preserve"> </w:t>
      </w:r>
      <w:r>
        <w:t xml:space="preserve">· Thymosin-alpha1 and famciclovir combination therapy activates T-cell response in patients with chronic hepatitis B virus infection in immune-tolerant phase. PMID 12081605</w:t>
      </w:r>
    </w:p>
    <w:p>
      <w:pPr>
        <w:numPr>
          <w:ilvl w:val="0"/>
          <w:numId w:val="1391"/>
        </w:numPr>
        <w:pStyle w:val="Compact"/>
      </w:pPr>
      <w:r>
        <w:t xml:space="preserve">2002 · Amarapurkar D ·</w:t>
      </w:r>
      <w:r>
        <w:t xml:space="preserve"> </w:t>
      </w:r>
      <w:r>
        <w:rPr>
          <w:iCs/>
          <w:i/>
        </w:rPr>
        <w:t xml:space="preserve">Indian J Gastroenterol</w:t>
      </w:r>
      <w:r>
        <w:t xml:space="preserve"> </w:t>
      </w:r>
      <w:r>
        <w:t xml:space="preserve">· Thymosin alpha in the treatment of chronic hepatitis B: an uncontrolled open-label trial. PMID 11990327</w:t>
      </w:r>
    </w:p>
    <w:p>
      <w:pPr>
        <w:numPr>
          <w:ilvl w:val="0"/>
          <w:numId w:val="1391"/>
        </w:numPr>
        <w:pStyle w:val="Compact"/>
      </w:pPr>
      <w:r>
        <w:t xml:space="preserve">2001 · Kullavanuaya P ·</w:t>
      </w:r>
      <w:r>
        <w:t xml:space="preserve"> </w:t>
      </w:r>
      <w:r>
        <w:rPr>
          <w:iCs/>
          <w:i/>
        </w:rPr>
        <w:t xml:space="preserve">J Med Assoc Thai</w:t>
      </w:r>
      <w:r>
        <w:t xml:space="preserve"> </w:t>
      </w:r>
      <w:r>
        <w:t xml:space="preserve">· The combined treatment of interferon alpha-2a and thymosin alpha 1 for chronic hepatitis C: the 48 weeks end of treatment results. PMID 11529376</w:t>
      </w:r>
    </w:p>
    <w:p>
      <w:pPr>
        <w:numPr>
          <w:ilvl w:val="0"/>
          <w:numId w:val="1391"/>
        </w:numPr>
        <w:pStyle w:val="Compact"/>
      </w:pPr>
      <w:r>
        <w:t xml:space="preserve">2000 · Rasi G ·</w:t>
      </w:r>
      <w:r>
        <w:t xml:space="preserve"> </w:t>
      </w:r>
      <w:r>
        <w:rPr>
          <w:iCs/>
          <w:i/>
        </w:rPr>
        <w:t xml:space="preserve">Melanoma Res</w:t>
      </w:r>
      <w:r>
        <w:t xml:space="preserve"> </w:t>
      </w:r>
      <w:r>
        <w:t xml:space="preserve">· Combined treatment with thymosin-alpha1 and low dose interferon-alpha after dacarbazine in advanced melanoma. PMID 10803720</w:t>
      </w:r>
    </w:p>
    <w:p>
      <w:pPr>
        <w:numPr>
          <w:ilvl w:val="0"/>
          <w:numId w:val="1391"/>
        </w:numPr>
        <w:pStyle w:val="Compact"/>
      </w:pPr>
      <w:r>
        <w:t xml:space="preserve">2000 · Zavaglia C ·</w:t>
      </w:r>
      <w:r>
        <w:t xml:space="preserve"> </w:t>
      </w:r>
      <w:r>
        <w:rPr>
          <w:iCs/>
          <w:i/>
        </w:rPr>
        <w:t xml:space="preserve">Dig Dis Sci</w:t>
      </w:r>
      <w:r>
        <w:t xml:space="preserve"> </w:t>
      </w:r>
      <w:r>
        <w:t xml:space="preserve">· A randomized, controlled study of thymosin-alpha1 therapy in patients with anti-HBe, HBV-DNA-positive chronic hepatitis B. PMID 10759236</w:t>
      </w:r>
    </w:p>
    <w:p>
      <w:pPr>
        <w:numPr>
          <w:ilvl w:val="0"/>
          <w:numId w:val="1391"/>
        </w:numPr>
        <w:pStyle w:val="Compact"/>
      </w:pPr>
      <w:r>
        <w:t xml:space="preserve">2000 · Molinero P ·</w:t>
      </w:r>
      <w:r>
        <w:t xml:space="preserve"> </w:t>
      </w:r>
      <w:r>
        <w:rPr>
          <w:iCs/>
          <w:i/>
        </w:rPr>
        <w:t xml:space="preserve">J Neuroimmunol</w:t>
      </w:r>
      <w:r>
        <w:t xml:space="preserve"> </w:t>
      </w:r>
      <w:r>
        <w:t xml:space="preserve">· Melatonin is responsible for the nocturnal increase observed in serum and thymus of thymosin alpha1 and thymulin concentrations: observations in rats and humans. PMID 10696913</w:t>
      </w:r>
    </w:p>
    <w:p>
      <w:pPr>
        <w:numPr>
          <w:ilvl w:val="0"/>
          <w:numId w:val="1391"/>
        </w:numPr>
        <w:pStyle w:val="Compact"/>
      </w:pPr>
      <w:r>
        <w:t xml:space="preserve">1999 · Mutchnick MG ·</w:t>
      </w:r>
      <w:r>
        <w:t xml:space="preserve"> </w:t>
      </w:r>
      <w:r>
        <w:rPr>
          <w:iCs/>
          <w:i/>
        </w:rPr>
        <w:t xml:space="preserve">J Viral Hepat</w:t>
      </w:r>
      <w:r>
        <w:t xml:space="preserve"> </w:t>
      </w:r>
      <w:r>
        <w:t xml:space="preserve">· Thymosin alpha1 treatment of chronic hepatitis B: results of a phase III multicentre, randomized, double-blind and placebo-controlled study. PMID 10607256</w:t>
      </w:r>
    </w:p>
    <w:p>
      <w:pPr>
        <w:numPr>
          <w:ilvl w:val="0"/>
          <w:numId w:val="1391"/>
        </w:numPr>
        <w:pStyle w:val="Compact"/>
      </w:pPr>
      <w:r>
        <w:t xml:space="preserve">1999 · Rost KL ·</w:t>
      </w:r>
      <w:r>
        <w:t xml:space="preserve"> </w:t>
      </w:r>
      <w:r>
        <w:rPr>
          <w:iCs/>
          <w:i/>
        </w:rPr>
        <w:t xml:space="preserve">Int J Clin Pharmacol Ther</w:t>
      </w:r>
      <w:r>
        <w:t xml:space="preserve"> </w:t>
      </w:r>
      <w:r>
        <w:t xml:space="preserve">· Pharmacokinetics of thymosin alpha1 after subcutaneous injection of three different formulations in healthy volunteers. PMID 10027483</w:t>
      </w:r>
    </w:p>
    <w:p>
      <w:pPr>
        <w:numPr>
          <w:ilvl w:val="0"/>
          <w:numId w:val="1391"/>
        </w:numPr>
        <w:pStyle w:val="Compact"/>
      </w:pPr>
      <w:r>
        <w:t xml:space="preserve">1998 · Moscarella S ·</w:t>
      </w:r>
      <w:r>
        <w:t xml:space="preserve"> </w:t>
      </w:r>
      <w:r>
        <w:rPr>
          <w:iCs/>
          <w:i/>
        </w:rPr>
        <w:t xml:space="preserve">Liver</w:t>
      </w:r>
      <w:r>
        <w:t xml:space="preserve"> </w:t>
      </w:r>
      <w:r>
        <w:t xml:space="preserve">· Interferon and thymosin combination therapy in naive patients with chronic hepatitis C: preliminary results. PMID 9831367</w:t>
      </w:r>
    </w:p>
    <w:p>
      <w:pPr>
        <w:numPr>
          <w:ilvl w:val="0"/>
          <w:numId w:val="1391"/>
        </w:numPr>
        <w:pStyle w:val="Compact"/>
      </w:pPr>
      <w:r>
        <w:t xml:space="preserve">1998 · Chien RN ·</w:t>
      </w:r>
      <w:r>
        <w:t xml:space="preserve"> </w:t>
      </w:r>
      <w:r>
        <w:rPr>
          <w:iCs/>
          <w:i/>
        </w:rPr>
        <w:t xml:space="preserve">Hepatology</w:t>
      </w:r>
      <w:r>
        <w:t xml:space="preserve"> </w:t>
      </w:r>
      <w:r>
        <w:t xml:space="preserve">· Efficacy of thymosin alpha1 in patients with chronic hepatitis B: a randomized, controlled trial. PMID 9581695</w:t>
      </w:r>
    </w:p>
    <w:p>
      <w:pPr>
        <w:numPr>
          <w:ilvl w:val="0"/>
          <w:numId w:val="1391"/>
        </w:numPr>
        <w:pStyle w:val="Compact"/>
      </w:pPr>
      <w:r>
        <w:t xml:space="preserve">1998 · Sherman KE ·</w:t>
      </w:r>
      <w:r>
        <w:t xml:space="preserve"> </w:t>
      </w:r>
      <w:r>
        <w:rPr>
          <w:iCs/>
          <w:i/>
        </w:rPr>
        <w:t xml:space="preserve">Hepatology</w:t>
      </w:r>
      <w:r>
        <w:t xml:space="preserve"> </w:t>
      </w:r>
      <w:r>
        <w:t xml:space="preserve">· Combination therapy with thymosin alpha1 and interferon for the treatment of chronic hepatitis C infection: a randomized, placebo-controlled double-blind trial. PMID 9537454</w:t>
      </w:r>
    </w:p>
    <w:p>
      <w:pPr>
        <w:numPr>
          <w:ilvl w:val="0"/>
          <w:numId w:val="1391"/>
        </w:numPr>
        <w:pStyle w:val="Compact"/>
      </w:pPr>
      <w:r>
        <w:t xml:space="preserve">1996 · Zavaglia C ·</w:t>
      </w:r>
      <w:r>
        <w:t xml:space="preserve"> </w:t>
      </w:r>
      <w:r>
        <w:rPr>
          <w:iCs/>
          <w:i/>
        </w:rPr>
        <w:t xml:space="preserve">J Clin Gastroenterol</w:t>
      </w:r>
      <w:r>
        <w:t xml:space="preserve"> </w:t>
      </w:r>
      <w:r>
        <w:t xml:space="preserve">· A pilot study of thymosin-alpha 1 therapy for chronic hepatitis D. PMID 8877652</w:t>
      </w:r>
    </w:p>
    <w:p>
      <w:pPr>
        <w:numPr>
          <w:ilvl w:val="0"/>
          <w:numId w:val="1391"/>
        </w:numPr>
        <w:pStyle w:val="Compact"/>
      </w:pPr>
      <w:r>
        <w:t xml:space="preserve">1996 · Andreone P ·</w:t>
      </w:r>
      <w:r>
        <w:t xml:space="preserve"> </w:t>
      </w:r>
      <w:r>
        <w:rPr>
          <w:iCs/>
          <w:i/>
        </w:rPr>
        <w:t xml:space="preserve">Liver</w:t>
      </w:r>
      <w:r>
        <w:t xml:space="preserve"> </w:t>
      </w:r>
      <w:r>
        <w:t xml:space="preserve">· A double-blind, placebo-controlled, pilot trial of thymosin alpha 1 for the treatment of chronic hepatitis C. PMID 8873009</w:t>
      </w:r>
    </w:p>
    <w:p>
      <w:pPr>
        <w:numPr>
          <w:ilvl w:val="0"/>
          <w:numId w:val="1391"/>
        </w:numPr>
        <w:pStyle w:val="Compact"/>
      </w:pPr>
      <w:r>
        <w:t xml:space="preserve">1996 · Rasi G ·</w:t>
      </w:r>
      <w:r>
        <w:t xml:space="preserve"> </w:t>
      </w:r>
      <w:r>
        <w:rPr>
          <w:iCs/>
          <w:i/>
        </w:rPr>
        <w:t xml:space="preserve">J Viral Hepat</w:t>
      </w:r>
      <w:r>
        <w:t xml:space="preserve"> </w:t>
      </w:r>
      <w:r>
        <w:t xml:space="preserve">· Combination low-dose lymphoblastoid interferon and thymosin alpha 1 therapy in the treatment of chronic hepatitis B. PMID 8871880</w:t>
      </w:r>
    </w:p>
    <w:p>
      <w:pPr>
        <w:numPr>
          <w:ilvl w:val="0"/>
          <w:numId w:val="1391"/>
        </w:numPr>
        <w:pStyle w:val="Compact"/>
      </w:pPr>
      <w:r>
        <w:t xml:space="preserve">1996 · Andreone P ·</w:t>
      </w:r>
      <w:r>
        <w:t xml:space="preserve"> </w:t>
      </w:r>
      <w:r>
        <w:rPr>
          <w:iCs/>
          <w:i/>
        </w:rPr>
        <w:t xml:space="preserve">Hepatology</w:t>
      </w:r>
      <w:r>
        <w:t xml:space="preserve"> </w:t>
      </w:r>
      <w:r>
        <w:t xml:space="preserve">· A randomized controlled trial of thymosin-alpha1 versus interferon alfa treatment in patients with hepatitis B e antigen antibody–and hepatitis B virus DNA–positive chronic hepatitis B. PMID 8855175</w:t>
      </w:r>
    </w:p>
    <w:p>
      <w:pPr>
        <w:numPr>
          <w:ilvl w:val="0"/>
          <w:numId w:val="1391"/>
        </w:numPr>
        <w:pStyle w:val="Compact"/>
      </w:pPr>
      <w:r>
        <w:t xml:space="preserve">1996 · Salvati F ·</w:t>
      </w:r>
      <w:r>
        <w:t xml:space="preserve"> </w:t>
      </w:r>
      <w:r>
        <w:rPr>
          <w:iCs/>
          <w:i/>
        </w:rPr>
        <w:t xml:space="preserve">Anticancer Res</w:t>
      </w:r>
      <w:r>
        <w:t xml:space="preserve"> </w:t>
      </w:r>
      <w:r>
        <w:t xml:space="preserve">· Combined treatment with thymosin-alpha1 and low-dose interferon-alpha after ifosfamide in non-small cell lung cancer: a phase-II controlled trial. PMID 8687090</w:t>
      </w:r>
    </w:p>
    <w:p>
      <w:pPr>
        <w:numPr>
          <w:ilvl w:val="0"/>
          <w:numId w:val="1391"/>
        </w:numPr>
        <w:pStyle w:val="Compact"/>
      </w:pPr>
      <w:r>
        <w:t xml:space="preserve">1996 · Ramachandran R ·</w:t>
      </w:r>
      <w:r>
        <w:t xml:space="preserve"> </w:t>
      </w:r>
      <w:r>
        <w:rPr>
          <w:iCs/>
          <w:i/>
        </w:rPr>
        <w:t xml:space="preserve">J Infect Dis</w:t>
      </w:r>
      <w:r>
        <w:t xml:space="preserve"> </w:t>
      </w:r>
      <w:r>
        <w:t xml:space="preserve">· Polyethylene glycol-modified interleukin-2 and thymosin alpha 1 in human immunodeficiency virus type 1 infection. PMID 8603940</w:t>
      </w:r>
    </w:p>
    <w:p>
      <w:pPr>
        <w:numPr>
          <w:ilvl w:val="0"/>
          <w:numId w:val="1391"/>
        </w:numPr>
        <w:pStyle w:val="Compact"/>
      </w:pPr>
      <w:r>
        <w:t xml:space="preserve">1995 · Garaci E ·</w:t>
      </w:r>
      <w:r>
        <w:t xml:space="preserve"> </w:t>
      </w:r>
      <w:r>
        <w:rPr>
          <w:iCs/>
          <w:i/>
        </w:rPr>
        <w:t xml:space="preserve">Eur J Cancer</w:t>
      </w:r>
      <w:r>
        <w:t xml:space="preserve"> </w:t>
      </w:r>
      <w:r>
        <w:t xml:space="preserve">· Sequential chemoimmunotherapy for advanced non-small cell lung cancer using cisplatin, etoposide, thymosin-alpha 1 and interferon-alpha 2a. PMID 8652276</w:t>
      </w:r>
    </w:p>
    <w:p>
      <w:pPr>
        <w:numPr>
          <w:ilvl w:val="0"/>
          <w:numId w:val="1391"/>
        </w:numPr>
        <w:pStyle w:val="Compact"/>
      </w:pPr>
      <w:r>
        <w:t xml:space="preserve">1995 · Naz RK ·</w:t>
      </w:r>
      <w:r>
        <w:t xml:space="preserve"> </w:t>
      </w:r>
      <w:r>
        <w:rPr>
          <w:iCs/>
          <w:i/>
        </w:rPr>
        <w:t xml:space="preserve">Arch Androl</w:t>
      </w:r>
      <w:r>
        <w:t xml:space="preserve"> </w:t>
      </w:r>
      <w:r>
        <w:t xml:space="preserve">· Treatment with thymosin alpha-1 increases fertilizing capacity of sperm of infertile men: a multicenter trial. PMID 8579476</w:t>
      </w:r>
    </w:p>
    <w:p>
      <w:pPr>
        <w:numPr>
          <w:ilvl w:val="0"/>
          <w:numId w:val="1391"/>
        </w:numPr>
        <w:pStyle w:val="Compact"/>
      </w:pPr>
      <w:r>
        <w:t xml:space="preserve">1994 · Garaci E ·</w:t>
      </w:r>
      <w:r>
        <w:t xml:space="preserve"> </w:t>
      </w:r>
      <w:r>
        <w:rPr>
          <w:iCs/>
          <w:i/>
        </w:rPr>
        <w:t xml:space="preserve">Int J Clin Lab Res</w:t>
      </w:r>
      <w:r>
        <w:t xml:space="preserve"> </w:t>
      </w:r>
      <w:r>
        <w:t xml:space="preserve">· Combination treatment with zidovudine, thymosin alpha 1 and interferon-alpha in human immunodeficiency virus infection. PMID 7910053</w:t>
      </w:r>
    </w:p>
    <w:p>
      <w:pPr>
        <w:numPr>
          <w:ilvl w:val="0"/>
          <w:numId w:val="1391"/>
        </w:numPr>
        <w:pStyle w:val="Compact"/>
      </w:pPr>
      <w:r>
        <w:t xml:space="preserve">1994 · Lopez M ·</w:t>
      </w:r>
      <w:r>
        <w:t xml:space="preserve"> </w:t>
      </w:r>
      <w:r>
        <w:rPr>
          <w:iCs/>
          <w:i/>
        </w:rPr>
        <w:t xml:space="preserve">Ann Oncol</w:t>
      </w:r>
      <w:r>
        <w:t xml:space="preserve"> </w:t>
      </w:r>
      <w:r>
        <w:t xml:space="preserve">· Biochemotherapy with thymosin alpha 1, interleukin-2 and dacarbazine in patients with metastatic melanoma: clinical and immunological effects. PMID 7826907</w:t>
      </w:r>
    </w:p>
    <w:p>
      <w:pPr>
        <w:numPr>
          <w:ilvl w:val="0"/>
          <w:numId w:val="1391"/>
        </w:numPr>
        <w:pStyle w:val="Compact"/>
      </w:pPr>
      <w:r>
        <w:t xml:space="preserve">1991 · Mutchnick MG ·</w:t>
      </w:r>
      <w:r>
        <w:t xml:space="preserve"> </w:t>
      </w:r>
      <w:r>
        <w:rPr>
          <w:iCs/>
          <w:i/>
        </w:rPr>
        <w:t xml:space="preserve">Hepatology</w:t>
      </w:r>
      <w:r>
        <w:t xml:space="preserve"> </w:t>
      </w:r>
      <w:r>
        <w:t xml:space="preserve">· Thymosin treatment of chronic hepatitis B: a placebo-controlled pilot trial. PMID 1874487</w:t>
      </w:r>
    </w:p>
    <w:p>
      <w:pPr>
        <w:numPr>
          <w:ilvl w:val="0"/>
          <w:numId w:val="1391"/>
        </w:numPr>
        <w:pStyle w:val="Compact"/>
      </w:pPr>
      <w:r>
        <w:t xml:space="preserve">1989 · Gravenstein S ·</w:t>
      </w:r>
      <w:r>
        <w:t xml:space="preserve"> </w:t>
      </w:r>
      <w:r>
        <w:rPr>
          <w:iCs/>
          <w:i/>
        </w:rPr>
        <w:t xml:space="preserve">J Am Geriatr Soc</w:t>
      </w:r>
      <w:r>
        <w:t xml:space="preserve"> </w:t>
      </w:r>
      <w:r>
        <w:t xml:space="preserve">· Augmentation of influenza antibody response in elderly men by thymosin alpha one. A double-blind placebo-controlled clinical study. PMID 2642497</w:t>
      </w:r>
    </w:p>
    <w:p>
      <w:pPr>
        <w:numPr>
          <w:ilvl w:val="0"/>
          <w:numId w:val="1391"/>
        </w:numPr>
        <w:pStyle w:val="Compact"/>
      </w:pPr>
      <w:r>
        <w:t xml:space="preserve">1985 · Schulof RS ·</w:t>
      </w:r>
      <w:r>
        <w:t xml:space="preserve"> </w:t>
      </w:r>
      <w:r>
        <w:rPr>
          <w:iCs/>
          <w:i/>
        </w:rPr>
        <w:t xml:space="preserve">J Biol Response Mod</w:t>
      </w:r>
      <w:r>
        <w:t xml:space="preserve"> </w:t>
      </w:r>
      <w:r>
        <w:t xml:space="preserve">· A randomized trial to evaluate the immunorestorative properties of synthetic thymosin-alpha 1 in patients with lung cancer. PMID 3998766</w:t>
      </w:r>
    </w:p>
    <w:p>
      <w:pPr>
        <w:numPr>
          <w:ilvl w:val="0"/>
          <w:numId w:val="1391"/>
        </w:numPr>
        <w:pStyle w:val="Compact"/>
      </w:pPr>
      <w:r>
        <w:t xml:space="preserve">1985 · Schulof RS ·</w:t>
      </w:r>
      <w:r>
        <w:t xml:space="preserve"> </w:t>
      </w:r>
      <w:r>
        <w:rPr>
          <w:iCs/>
          <w:i/>
        </w:rPr>
        <w:t xml:space="preserve">Cancer</w:t>
      </w:r>
      <w:r>
        <w:t xml:space="preserve"> </w:t>
      </w:r>
      <w:r>
        <w:t xml:space="preserve">· T-cell abnormalities after mediastinal irradiation for lung cancer. The in vitro influence of synthetic thymosin alpha-1. PMID 3155644</w:t>
      </w:r>
    </w:p>
    <w:p>
      <w:pPr>
        <w:numPr>
          <w:ilvl w:val="0"/>
          <w:numId w:val="1391"/>
        </w:numPr>
        <w:pStyle w:val="Compact"/>
      </w:pPr>
      <w:r>
        <w:t xml:space="preserve">1984 · Naylor PH ·</w:t>
      </w:r>
      <w:r>
        <w:t xml:space="preserve"> </w:t>
      </w:r>
      <w:r>
        <w:rPr>
          <w:iCs/>
          <w:i/>
        </w:rPr>
        <w:t xml:space="preserve">Ann N Y Acad Sci</w:t>
      </w:r>
      <w:r>
        <w:t xml:space="preserve"> </w:t>
      </w:r>
      <w:r>
        <w:t xml:space="preserve">· Thymosin in the early diagnosis and treatment of high risk homosexuals and hemophiliacs with AIDS-like immune dysfunction. PMID 6398657</w:t>
      </w:r>
    </w:p>
    <w:bookmarkEnd w:id="1133"/>
    <w:bookmarkStart w:id="1134" w:name="kpv-0"/>
    <w:p>
      <w:pPr>
        <w:pStyle w:val="Heading2"/>
      </w:pPr>
      <w:r>
        <w:t xml:space="preserve">KPV (0)</w:t>
      </w:r>
    </w:p>
    <w:p>
      <w:pPr>
        <w:pStyle w:val="FirstParagraph"/>
      </w:pPr>
      <w:r>
        <w:t xml:space="preserve">Geen publicaties van klinische studies bij mensen gevonden.</w:t>
      </w:r>
    </w:p>
    <w:bookmarkEnd w:id="1134"/>
    <w:bookmarkStart w:id="1135" w:name="ll-37-91"/>
    <w:p>
      <w:pPr>
        <w:pStyle w:val="Heading2"/>
      </w:pPr>
      <w:r>
        <w:t xml:space="preserve">LL-37 (91)</w:t>
      </w:r>
    </w:p>
    <w:p>
      <w:pPr>
        <w:numPr>
          <w:ilvl w:val="0"/>
          <w:numId w:val="1392"/>
        </w:numPr>
        <w:pStyle w:val="Compact"/>
      </w:pPr>
      <w:r>
        <w:t xml:space="preserve">2026 · Song S ·</w:t>
      </w:r>
      <w:r>
        <w:t xml:space="preserve"> </w:t>
      </w:r>
      <w:r>
        <w:rPr>
          <w:iCs/>
          <w:i/>
        </w:rPr>
        <w:t xml:space="preserve">Probiotics Antimicrob Proteins</w:t>
      </w:r>
      <w:r>
        <w:t xml:space="preserve"> </w:t>
      </w:r>
      <w:r>
        <w:t xml:space="preserve">· Assessing the Safety and Probiotic Potential of Bifidobacterium longum subsp. infantis BI45: A Comprehensive Study from Genomic Analysis to Randomized Controlled Clinical Trial in Healthy Adults. PMID 42118446</w:t>
      </w:r>
    </w:p>
    <w:p>
      <w:pPr>
        <w:numPr>
          <w:ilvl w:val="0"/>
          <w:numId w:val="1392"/>
        </w:numPr>
        <w:pStyle w:val="Compact"/>
      </w:pPr>
      <w:r>
        <w:t xml:space="preserve">2026 · Jin M ·</w:t>
      </w:r>
      <w:r>
        <w:t xml:space="preserve"> </w:t>
      </w:r>
      <w:r>
        <w:rPr>
          <w:iCs/>
          <w:i/>
        </w:rPr>
        <w:t xml:space="preserve">Food Chem Toxicol</w:t>
      </w:r>
      <w:r>
        <w:t xml:space="preserve"> </w:t>
      </w:r>
      <w:r>
        <w:t xml:space="preserve">· Limosilactobacillus fermentum LF61: A multidimensional study on safety and functionality from genomics to clinical application. PMID 41655688</w:t>
      </w:r>
    </w:p>
    <w:p>
      <w:pPr>
        <w:numPr>
          <w:ilvl w:val="0"/>
          <w:numId w:val="1392"/>
        </w:numPr>
        <w:pStyle w:val="Compact"/>
      </w:pPr>
      <w:r>
        <w:t xml:space="preserve">2026 · Ito R ·</w:t>
      </w:r>
      <w:r>
        <w:t xml:space="preserve"> </w:t>
      </w:r>
      <w:r>
        <w:rPr>
          <w:iCs/>
          <w:i/>
        </w:rPr>
        <w:t xml:space="preserve">Eur J Appl Physiol</w:t>
      </w:r>
      <w:r>
        <w:t xml:space="preserve"> </w:t>
      </w:r>
      <w:r>
        <w:t xml:space="preserve">· Acute effects of continuous and interval cycling on salivary SIgA and anti-microbial peptide secretions: a randomized crossover trial. PMID 40810749</w:t>
      </w:r>
    </w:p>
    <w:p>
      <w:pPr>
        <w:numPr>
          <w:ilvl w:val="0"/>
          <w:numId w:val="1392"/>
        </w:numPr>
        <w:pStyle w:val="Compact"/>
      </w:pPr>
      <w:r>
        <w:t xml:space="preserve">2025 · Welling A ·</w:t>
      </w:r>
      <w:r>
        <w:t xml:space="preserve"> </w:t>
      </w:r>
      <w:r>
        <w:rPr>
          <w:iCs/>
          <w:i/>
        </w:rPr>
        <w:t xml:space="preserve">Eur Spine J</w:t>
      </w:r>
      <w:r>
        <w:t xml:space="preserve"> </w:t>
      </w:r>
      <w:r>
        <w:t xml:space="preserve">· Impact of 3-dimensional myofascial release on tumor necrosis factor (TNF) alpha biomarker in nonspecific low back pain: a randomised controlled trial. PMID 40853451</w:t>
      </w:r>
    </w:p>
    <w:p>
      <w:pPr>
        <w:numPr>
          <w:ilvl w:val="0"/>
          <w:numId w:val="1392"/>
        </w:numPr>
        <w:pStyle w:val="Compact"/>
      </w:pPr>
      <w:r>
        <w:t xml:space="preserve">2025 · Kamboj K ·</w:t>
      </w:r>
      <w:r>
        <w:t xml:space="preserve"> </w:t>
      </w:r>
      <w:r>
        <w:rPr>
          <w:iCs/>
          <w:i/>
        </w:rPr>
        <w:t xml:space="preserve">Front Immunol</w:t>
      </w:r>
      <w:r>
        <w:t xml:space="preserve"> </w:t>
      </w:r>
      <w:r>
        <w:t xml:space="preserve">· Effect of cholecalciferol on immune and vascular function in non-diabetic chronic kidney disease. PMID 40342405</w:t>
      </w:r>
    </w:p>
    <w:p>
      <w:pPr>
        <w:numPr>
          <w:ilvl w:val="0"/>
          <w:numId w:val="1392"/>
        </w:numPr>
        <w:pStyle w:val="Compact"/>
      </w:pPr>
      <w:r>
        <w:t xml:space="preserve">2025 · Gonçalves AM ·</w:t>
      </w:r>
      <w:r>
        <w:t xml:space="preserve"> </w:t>
      </w:r>
      <w:r>
        <w:rPr>
          <w:iCs/>
          <w:i/>
        </w:rPr>
        <w:t xml:space="preserve">Nutrients</w:t>
      </w:r>
      <w:r>
        <w:t xml:space="preserve"> </w:t>
      </w:r>
      <w:r>
        <w:t xml:space="preserve">· The Immunomodulatory Activity of High Doses of Vitamin D in Critical Care Patients with Severe SARS-CoV-2 Pneumonia-A Randomized Controlled Trial. PMID 39940396</w:t>
      </w:r>
    </w:p>
    <w:p>
      <w:pPr>
        <w:numPr>
          <w:ilvl w:val="0"/>
          <w:numId w:val="1392"/>
        </w:numPr>
        <w:pStyle w:val="Compact"/>
      </w:pPr>
      <w:r>
        <w:t xml:space="preserve">2025 · Picosse F ·</w:t>
      </w:r>
      <w:r>
        <w:t xml:space="preserve"> </w:t>
      </w:r>
      <w:r>
        <w:rPr>
          <w:iCs/>
          <w:i/>
        </w:rPr>
        <w:t xml:space="preserve">Int J Dermatol</w:t>
      </w:r>
      <w:r>
        <w:t xml:space="preserve"> </w:t>
      </w:r>
      <w:r>
        <w:t xml:space="preserve">· A comparative exploration of immunohistochemical markers in patients with papulopustular rosacea undergoing treatment with oral isotretinoin versus doxycycline. PMID 39097930</w:t>
      </w:r>
    </w:p>
    <w:p>
      <w:pPr>
        <w:numPr>
          <w:ilvl w:val="0"/>
          <w:numId w:val="1392"/>
        </w:numPr>
        <w:pStyle w:val="Compact"/>
      </w:pPr>
      <w:r>
        <w:t xml:space="preserve">2024 · Reyes ML ·</w:t>
      </w:r>
      <w:r>
        <w:t xml:space="preserve"> </w:t>
      </w:r>
      <w:r>
        <w:rPr>
          <w:iCs/>
          <w:i/>
        </w:rPr>
        <w:t xml:space="preserve">J Pediatr</w:t>
      </w:r>
      <w:r>
        <w:t xml:space="preserve"> </w:t>
      </w:r>
      <w:r>
        <w:t xml:space="preserve">· Weekly Vitamin D Supplementation to Prevent Acute Respiratory Infections in Young Children at Different Latitudes: A Randomized Controlled Trial. PMID 39181322</w:t>
      </w:r>
    </w:p>
    <w:p>
      <w:pPr>
        <w:numPr>
          <w:ilvl w:val="0"/>
          <w:numId w:val="1392"/>
        </w:numPr>
        <w:pStyle w:val="Compact"/>
      </w:pPr>
      <w:r>
        <w:t xml:space="preserve">2024 · Ito R ·</w:t>
      </w:r>
      <w:r>
        <w:t xml:space="preserve"> </w:t>
      </w:r>
      <w:r>
        <w:rPr>
          <w:iCs/>
          <w:i/>
        </w:rPr>
        <w:t xml:space="preserve">Am J Physiol Regul Integr Comp Physiol</w:t>
      </w:r>
      <w:r>
        <w:t xml:space="preserve"> </w:t>
      </w:r>
      <w:r>
        <w:t xml:space="preserve">· Acute salivary antimicrobial peptide secretion response to different exercise intensities and durations. PMID 39155711</w:t>
      </w:r>
    </w:p>
    <w:p>
      <w:pPr>
        <w:numPr>
          <w:ilvl w:val="0"/>
          <w:numId w:val="1392"/>
        </w:numPr>
        <w:pStyle w:val="Compact"/>
      </w:pPr>
      <w:r>
        <w:t xml:space="preserve">2024 · Ashoor TM ·</w:t>
      </w:r>
      <w:r>
        <w:t xml:space="preserve"> </w:t>
      </w:r>
      <w:r>
        <w:rPr>
          <w:iCs/>
          <w:i/>
        </w:rPr>
        <w:t xml:space="preserve">J Intensive Care Med</w:t>
      </w:r>
      <w:r>
        <w:t xml:space="preserve"> </w:t>
      </w:r>
      <w:r>
        <w:t xml:space="preserve">· Outcomes of High-Dose Versus Low-Dose Vitamin D on Prognosis of Sepsis Requiring Mechanical Ventilation: A Randomized Controlled Trial. PMID 38706151</w:t>
      </w:r>
    </w:p>
    <w:p>
      <w:pPr>
        <w:numPr>
          <w:ilvl w:val="0"/>
          <w:numId w:val="1392"/>
        </w:numPr>
        <w:pStyle w:val="Compact"/>
      </w:pPr>
      <w:r>
        <w:t xml:space="preserve">2024 · Borzutzky A ·</w:t>
      </w:r>
      <w:r>
        <w:t xml:space="preserve"> </w:t>
      </w:r>
      <w:r>
        <w:rPr>
          <w:iCs/>
          <w:i/>
        </w:rPr>
        <w:t xml:space="preserve">J Eur Acad Dermatol Venereol</w:t>
      </w:r>
      <w:r>
        <w:t xml:space="preserve"> </w:t>
      </w:r>
      <w:r>
        <w:t xml:space="preserve">· Effect of weekly vitamin D supplementation on the severity of atopic dermatitis and type 2 immunity biomarkers in children: A randomized controlled trial. PMID 38483248</w:t>
      </w:r>
    </w:p>
    <w:p>
      <w:pPr>
        <w:numPr>
          <w:ilvl w:val="0"/>
          <w:numId w:val="1392"/>
        </w:numPr>
        <w:pStyle w:val="Compact"/>
      </w:pPr>
      <w:r>
        <w:t xml:space="preserve">2024 · Chen K ·</w:t>
      </w:r>
      <w:r>
        <w:t xml:space="preserve"> </w:t>
      </w:r>
      <w:r>
        <w:rPr>
          <w:iCs/>
          <w:i/>
        </w:rPr>
        <w:t xml:space="preserve">Eur J Clin Nutr</w:t>
      </w:r>
      <w:r>
        <w:t xml:space="preserve"> </w:t>
      </w:r>
      <w:r>
        <w:t xml:space="preserve">· Adjudicative efficacy of Bifidobacterium animalis subsp. lactis BLa80 in treating acute diarrhea in children: a randomized, double-blinded, placebo-controlled study. PMID 38467857</w:t>
      </w:r>
    </w:p>
    <w:p>
      <w:pPr>
        <w:numPr>
          <w:ilvl w:val="0"/>
          <w:numId w:val="1392"/>
        </w:numPr>
        <w:pStyle w:val="Compact"/>
      </w:pPr>
      <w:r>
        <w:t xml:space="preserve">2023 · Zhao Y ·</w:t>
      </w:r>
      <w:r>
        <w:t xml:space="preserve"> </w:t>
      </w:r>
      <w:r>
        <w:rPr>
          <w:iCs/>
          <w:i/>
        </w:rPr>
        <w:t xml:space="preserve">J Med Virol</w:t>
      </w:r>
      <w:r>
        <w:t xml:space="preserve"> </w:t>
      </w:r>
      <w:r>
        <w:t xml:space="preserve">· Efficacy and safety of Oral LL-37 against the Omicron BA.5.1.3 variant of SARS-COV-2: A randomized trial. PMID 37605995</w:t>
      </w:r>
    </w:p>
    <w:p>
      <w:pPr>
        <w:numPr>
          <w:ilvl w:val="0"/>
          <w:numId w:val="1392"/>
        </w:numPr>
        <w:pStyle w:val="Compact"/>
      </w:pPr>
      <w:r>
        <w:t xml:space="preserve">2023 · Miranda E ·</w:t>
      </w:r>
      <w:r>
        <w:t xml:space="preserve"> </w:t>
      </w:r>
      <w:r>
        <w:rPr>
          <w:iCs/>
          <w:i/>
        </w:rPr>
        <w:t xml:space="preserve">Arch Dermatol Res</w:t>
      </w:r>
      <w:r>
        <w:t xml:space="preserve"> </w:t>
      </w:r>
      <w:r>
        <w:t xml:space="preserve">· Efficacy of LL-37 cream in enhancing healing of diabetic foot ulcer: a randomized double-blind controlled trial. PMID 37480520</w:t>
      </w:r>
    </w:p>
    <w:p>
      <w:pPr>
        <w:numPr>
          <w:ilvl w:val="0"/>
          <w:numId w:val="1392"/>
        </w:numPr>
        <w:pStyle w:val="Compact"/>
      </w:pPr>
      <w:r>
        <w:t xml:space="preserve">2023 · George R ·</w:t>
      </w:r>
      <w:r>
        <w:t xml:space="preserve"> </w:t>
      </w:r>
      <w:r>
        <w:rPr>
          <w:iCs/>
          <w:i/>
        </w:rPr>
        <w:t xml:space="preserve">J Drugs Dermatol</w:t>
      </w:r>
      <w:r>
        <w:t xml:space="preserve"> </w:t>
      </w:r>
      <w:r>
        <w:t xml:space="preserve">· Reduction of Erythema in Moderate-Severe Rosacea by a Low Molecular Weight Heparan Sulfate Analog (HSA). PMID 37276169</w:t>
      </w:r>
    </w:p>
    <w:p>
      <w:pPr>
        <w:numPr>
          <w:ilvl w:val="0"/>
          <w:numId w:val="1392"/>
        </w:numPr>
        <w:pStyle w:val="Compact"/>
      </w:pPr>
      <w:r>
        <w:t xml:space="preserve">2022 · Fujita K ·</w:t>
      </w:r>
      <w:r>
        <w:t xml:space="preserve"> </w:t>
      </w:r>
      <w:r>
        <w:rPr>
          <w:iCs/>
          <w:i/>
        </w:rPr>
        <w:t xml:space="preserve">BMC Pulm Med</w:t>
      </w:r>
      <w:r>
        <w:t xml:space="preserve"> </w:t>
      </w:r>
      <w:r>
        <w:t xml:space="preserve">· Comparison of frailty in patients with nontuberculous mycobacterial lung disease and bronchiectasis: a prospective cohort study. PMID 36329435</w:t>
      </w:r>
    </w:p>
    <w:p>
      <w:pPr>
        <w:numPr>
          <w:ilvl w:val="0"/>
          <w:numId w:val="1392"/>
        </w:numPr>
        <w:pStyle w:val="Compact"/>
      </w:pPr>
      <w:r>
        <w:t xml:space="preserve">2021 · Mahlapuu M ·</w:t>
      </w:r>
      <w:r>
        <w:t xml:space="preserve"> </w:t>
      </w:r>
      <w:r>
        <w:rPr>
          <w:iCs/>
          <w:i/>
        </w:rPr>
        <w:t xml:space="preserve">Wound Repair Regen</w:t>
      </w:r>
      <w:r>
        <w:t xml:space="preserve"> </w:t>
      </w:r>
      <w:r>
        <w:t xml:space="preserve">· Evaluation of LL-37 in healing of hard-to-heal venous leg ulcers: A multicentric prospective randomized placebo-controlled clinical trial. PMID 34687253</w:t>
      </w:r>
    </w:p>
    <w:p>
      <w:pPr>
        <w:numPr>
          <w:ilvl w:val="0"/>
          <w:numId w:val="1392"/>
        </w:numPr>
        <w:pStyle w:val="Compact"/>
      </w:pPr>
      <w:r>
        <w:t xml:space="preserve">2021 · Chen K ·</w:t>
      </w:r>
      <w:r>
        <w:t xml:space="preserve"> </w:t>
      </w:r>
      <w:r>
        <w:rPr>
          <w:iCs/>
          <w:i/>
        </w:rPr>
        <w:t xml:space="preserve">Benef Microbes</w:t>
      </w:r>
      <w:r>
        <w:t xml:space="preserve"> </w:t>
      </w:r>
      <w:r>
        <w:t xml:space="preserve">· Efficacy of Bifidobacterium animalis subsp. lactis, BB-12(®) on infant colic - a randomised, double-blinded, placebo-controlled study. PMID 34550055</w:t>
      </w:r>
    </w:p>
    <w:p>
      <w:pPr>
        <w:numPr>
          <w:ilvl w:val="0"/>
          <w:numId w:val="1392"/>
        </w:numPr>
        <w:pStyle w:val="Compact"/>
      </w:pPr>
      <w:r>
        <w:t xml:space="preserve">2021 · Sarker P ·</w:t>
      </w:r>
      <w:r>
        <w:t xml:space="preserve"> </w:t>
      </w:r>
      <w:r>
        <w:rPr>
          <w:iCs/>
          <w:i/>
        </w:rPr>
        <w:t xml:space="preserve">J Infect Dis</w:t>
      </w:r>
      <w:r>
        <w:t xml:space="preserve"> </w:t>
      </w:r>
      <w:r>
        <w:t xml:space="preserve">· Functional Antibodies and Innate Immune Responses to WRSS1, a Live Oral Shigella sonnei Vaccine Candidate, in Bangladeshi Adults and Children. PMID 34374425</w:t>
      </w:r>
    </w:p>
    <w:p>
      <w:pPr>
        <w:numPr>
          <w:ilvl w:val="0"/>
          <w:numId w:val="1392"/>
        </w:numPr>
        <w:pStyle w:val="Compact"/>
      </w:pPr>
      <w:r>
        <w:t xml:space="preserve">2021 · Chen K ·</w:t>
      </w:r>
      <w:r>
        <w:t xml:space="preserve"> </w:t>
      </w:r>
      <w:r>
        <w:rPr>
          <w:iCs/>
          <w:i/>
        </w:rPr>
        <w:t xml:space="preserve">Nutrition</w:t>
      </w:r>
      <w:r>
        <w:t xml:space="preserve"> </w:t>
      </w:r>
      <w:r>
        <w:t xml:space="preserve">· Dose effect of bovine lactoferrin fortification on diarrhea and respiratory tract infections in weaned infants with anemia: A randomized, controlled trial. PMID 34102559</w:t>
      </w:r>
    </w:p>
    <w:p>
      <w:pPr>
        <w:numPr>
          <w:ilvl w:val="0"/>
          <w:numId w:val="1392"/>
        </w:numPr>
        <w:pStyle w:val="Compact"/>
      </w:pPr>
      <w:r>
        <w:t xml:space="preserve">2021 · Gregório PC ·</w:t>
      </w:r>
      <w:r>
        <w:t xml:space="preserve"> </w:t>
      </w:r>
      <w:r>
        <w:rPr>
          <w:iCs/>
          <w:i/>
        </w:rPr>
        <w:t xml:space="preserve">Clinics (Sao Paulo)</w:t>
      </w:r>
      <w:r>
        <w:t xml:space="preserve"> </w:t>
      </w:r>
      <w:r>
        <w:t xml:space="preserve">· In vitro anti-inflammatory effects of vitamin D supplementation may be blurred in hemodialysis patients. PMID 33624705</w:t>
      </w:r>
    </w:p>
    <w:p>
      <w:pPr>
        <w:numPr>
          <w:ilvl w:val="0"/>
          <w:numId w:val="1392"/>
        </w:numPr>
        <w:pStyle w:val="Compact"/>
      </w:pPr>
      <w:r>
        <w:t xml:space="preserve">2021 · Farsi F ·</w:t>
      </w:r>
      <w:r>
        <w:t xml:space="preserve"> </w:t>
      </w:r>
      <w:r>
        <w:rPr>
          <w:iCs/>
          <w:i/>
        </w:rPr>
        <w:t xml:space="preserve">Eur J Nutr</w:t>
      </w:r>
      <w:r>
        <w:t xml:space="preserve"> </w:t>
      </w:r>
      <w:r>
        <w:t xml:space="preserve">· A randomized controlled trial on the coloprotective effect of coenzyme Q10 on immune-inflammatory cytokines, oxidative status, antimicrobial peptides, and microRNA-146a expression in patients with mild-to-moderate ulcerative colitis. PMID 33620550</w:t>
      </w:r>
    </w:p>
    <w:p>
      <w:pPr>
        <w:numPr>
          <w:ilvl w:val="0"/>
          <w:numId w:val="1392"/>
        </w:numPr>
        <w:pStyle w:val="Compact"/>
      </w:pPr>
      <w:r>
        <w:t xml:space="preserve">2021 · Harrison SE ·</w:t>
      </w:r>
      <w:r>
        <w:t xml:space="preserve"> </w:t>
      </w:r>
      <w:r>
        <w:rPr>
          <w:iCs/>
          <w:i/>
        </w:rPr>
        <w:t xml:space="preserve">Med Sci Sports Exerc</w:t>
      </w:r>
      <w:r>
        <w:t xml:space="preserve"> </w:t>
      </w:r>
      <w:r>
        <w:t xml:space="preserve">· Influence of Vitamin D Supplementation by Simulated Sunlight or Oral D3 on Respiratory Infection during Military Training. PMID 33481482</w:t>
      </w:r>
    </w:p>
    <w:p>
      <w:pPr>
        <w:numPr>
          <w:ilvl w:val="0"/>
          <w:numId w:val="1392"/>
        </w:numPr>
        <w:pStyle w:val="Compact"/>
      </w:pPr>
      <w:r>
        <w:t xml:space="preserve">2020 · Entrenas Castillo M ·</w:t>
      </w:r>
      <w:r>
        <w:t xml:space="preserve"> </w:t>
      </w:r>
      <w:r>
        <w:rPr>
          <w:iCs/>
          <w:i/>
        </w:rPr>
        <w:t xml:space="preserve">J Steroid Biochem Mol Biol</w:t>
      </w:r>
      <w:r>
        <w:t xml:space="preserve"> </w:t>
      </w:r>
      <w:r>
        <w:t xml:space="preserve">·</w:t>
      </w:r>
      <w:r>
        <w:t xml:space="preserve"> </w:t>
      </w:r>
      <w:r>
        <w:t xml:space="preserve">“</w:t>
      </w:r>
      <w:r>
        <w:t xml:space="preserve">Effect of calcifediol treatment and best available therapy versus best available therapy on intensive care unit admission and mortality among patients hospitalized for COVID-19: A pilot randomized clinical study</w:t>
      </w:r>
      <w:r>
        <w:t xml:space="preserve">”</w:t>
      </w:r>
      <w:r>
        <w:t xml:space="preserve">. PMID 32871238</w:t>
      </w:r>
    </w:p>
    <w:p>
      <w:pPr>
        <w:numPr>
          <w:ilvl w:val="0"/>
          <w:numId w:val="1392"/>
        </w:numPr>
        <w:pStyle w:val="Compact"/>
      </w:pPr>
      <w:r>
        <w:t xml:space="preserve">2020 · Vargas Buonfiglio LG ·</w:t>
      </w:r>
      <w:r>
        <w:t xml:space="preserve"> </w:t>
      </w:r>
      <w:r>
        <w:rPr>
          <w:iCs/>
          <w:i/>
        </w:rPr>
        <w:t xml:space="preserve">Nutrients</w:t>
      </w:r>
      <w:r>
        <w:t xml:space="preserve"> </w:t>
      </w:r>
      <w:r>
        <w:t xml:space="preserve">· Seasonal Antimicrobial Activity of the Airway: Post-Hoc Analysis of a Randomized Placebo-Controlled Double-Blind Trial. PMID 32867053</w:t>
      </w:r>
    </w:p>
    <w:p>
      <w:pPr>
        <w:numPr>
          <w:ilvl w:val="0"/>
          <w:numId w:val="1392"/>
        </w:numPr>
        <w:pStyle w:val="Compact"/>
      </w:pPr>
      <w:r>
        <w:t xml:space="preserve">2020 · Banke IJ ·</w:t>
      </w:r>
      <w:r>
        <w:t xml:space="preserve"> </w:t>
      </w:r>
      <w:r>
        <w:rPr>
          <w:iCs/>
          <w:i/>
        </w:rPr>
        <w:t xml:space="preserve">Eur J Med Res</w:t>
      </w:r>
      <w:r>
        <w:t xml:space="preserve"> </w:t>
      </w:r>
      <w:r>
        <w:t xml:space="preserve">· Antimicrobial peptides in human synovial membrane as (low-grade) periprosthetic joint infection biomarkers. PMID 32799924</w:t>
      </w:r>
    </w:p>
    <w:p>
      <w:pPr>
        <w:numPr>
          <w:ilvl w:val="0"/>
          <w:numId w:val="1392"/>
        </w:numPr>
        <w:pStyle w:val="Compact"/>
      </w:pPr>
      <w:r>
        <w:t xml:space="preserve">2020 · Nocerino R ·</w:t>
      </w:r>
      <w:r>
        <w:t xml:space="preserve"> </w:t>
      </w:r>
      <w:r>
        <w:rPr>
          <w:iCs/>
          <w:i/>
        </w:rPr>
        <w:t xml:space="preserve">Aliment Pharmacol Ther</w:t>
      </w:r>
      <w:r>
        <w:t xml:space="preserve"> </w:t>
      </w:r>
      <w:r>
        <w:t xml:space="preserve">· The therapeutic efficacy of Bifidobacterium animalis subsp. lactis BB-12(®) in infant colic: A randomised, double blind, placebo-controlled trial. PMID 31797399</w:t>
      </w:r>
    </w:p>
    <w:p>
      <w:pPr>
        <w:numPr>
          <w:ilvl w:val="0"/>
          <w:numId w:val="1392"/>
        </w:numPr>
        <w:pStyle w:val="Compact"/>
      </w:pPr>
      <w:r>
        <w:t xml:space="preserve">2019 · Huang X ·</w:t>
      </w:r>
      <w:r>
        <w:t xml:space="preserve"> </w:t>
      </w:r>
      <w:r>
        <w:rPr>
          <w:iCs/>
          <w:i/>
        </w:rPr>
        <w:t xml:space="preserve">Sci Rep</w:t>
      </w:r>
      <w:r>
        <w:t xml:space="preserve"> </w:t>
      </w:r>
      <w:r>
        <w:t xml:space="preserve">· Differential DAMP release was observed in the sputum of COPD, asthma and asthma-COPD overlap (ACO) patients. PMID 31848359</w:t>
      </w:r>
    </w:p>
    <w:p>
      <w:pPr>
        <w:numPr>
          <w:ilvl w:val="0"/>
          <w:numId w:val="1392"/>
        </w:numPr>
        <w:pStyle w:val="Compact"/>
      </w:pPr>
      <w:r>
        <w:t xml:space="preserve">2019 · Missailidis C ·</w:t>
      </w:r>
      <w:r>
        <w:t xml:space="preserve"> </w:t>
      </w:r>
      <w:r>
        <w:rPr>
          <w:iCs/>
          <w:i/>
        </w:rPr>
        <w:t xml:space="preserve">Nutrients</w:t>
      </w:r>
      <w:r>
        <w:t xml:space="preserve"> </w:t>
      </w:r>
      <w:r>
        <w:t xml:space="preserve">· Vitamin D and Phenylbutyrate Supplementation Does Not Modulate Gut Derived Immune Activation in HIV-1. PMID 31330899</w:t>
      </w:r>
    </w:p>
    <w:p>
      <w:pPr>
        <w:numPr>
          <w:ilvl w:val="0"/>
          <w:numId w:val="1392"/>
        </w:numPr>
        <w:pStyle w:val="Compact"/>
      </w:pPr>
      <w:r>
        <w:t xml:space="preserve">2019 · Scott JM ·</w:t>
      </w:r>
      <w:r>
        <w:t xml:space="preserve"> </w:t>
      </w:r>
      <w:r>
        <w:rPr>
          <w:iCs/>
          <w:i/>
        </w:rPr>
        <w:t xml:space="preserve">Scand J Med Sci Sports</w:t>
      </w:r>
      <w:r>
        <w:t xml:space="preserve"> </w:t>
      </w:r>
      <w:r>
        <w:t xml:space="preserve">· Effects of vitamin D supplementation on salivary immune responses during Marine Corps basic training. PMID 31099085</w:t>
      </w:r>
    </w:p>
    <w:p>
      <w:pPr>
        <w:numPr>
          <w:ilvl w:val="0"/>
          <w:numId w:val="1392"/>
        </w:numPr>
        <w:pStyle w:val="Compact"/>
      </w:pPr>
      <w:r>
        <w:t xml:space="preserve">2019 · Cao Y ·</w:t>
      </w:r>
      <w:r>
        <w:t xml:space="preserve"> </w:t>
      </w:r>
      <w:r>
        <w:rPr>
          <w:iCs/>
          <w:i/>
        </w:rPr>
        <w:t xml:space="preserve">Clin Exp Allergy</w:t>
      </w:r>
      <w:r>
        <w:t xml:space="preserve"> </w:t>
      </w:r>
      <w:r>
        <w:t xml:space="preserve">· LL-37 promotes neutrophil extracellular trap formation in chronic rhinosinusitis with nasal polyps. PMID 31046155</w:t>
      </w:r>
    </w:p>
    <w:p>
      <w:pPr>
        <w:numPr>
          <w:ilvl w:val="0"/>
          <w:numId w:val="1392"/>
        </w:numPr>
        <w:pStyle w:val="Compact"/>
      </w:pPr>
      <w:r>
        <w:t xml:space="preserve">2019 · Goncalves-Mendes N ·</w:t>
      </w:r>
      <w:r>
        <w:t xml:space="preserve"> </w:t>
      </w:r>
      <w:r>
        <w:rPr>
          <w:iCs/>
          <w:i/>
        </w:rPr>
        <w:t xml:space="preserve">Front Immunol</w:t>
      </w:r>
      <w:r>
        <w:t xml:space="preserve"> </w:t>
      </w:r>
      <w:r>
        <w:t xml:space="preserve">· Impact of Vitamin D Supplementation on Influenza Vaccine Response and Immune Functions in Deficient Elderly Persons: A Randomized Placebo-Controlled Trial. PMID 30800121</w:t>
      </w:r>
    </w:p>
    <w:p>
      <w:pPr>
        <w:numPr>
          <w:ilvl w:val="0"/>
          <w:numId w:val="1392"/>
        </w:numPr>
        <w:pStyle w:val="Compact"/>
      </w:pPr>
      <w:r>
        <w:t xml:space="preserve">2019 · Tangpricha V ·</w:t>
      </w:r>
      <w:r>
        <w:t xml:space="preserve"> </w:t>
      </w:r>
      <w:r>
        <w:rPr>
          <w:iCs/>
          <w:i/>
        </w:rPr>
        <w:t xml:space="preserve">Am J Clin Nutr</w:t>
      </w:r>
      <w:r>
        <w:t xml:space="preserve"> </w:t>
      </w:r>
      <w:r>
        <w:t xml:space="preserve">· Vitamin D for the Immune System in Cystic Fibrosis (DISC): a double-blind, multicenter, randomized, placebo-controlled clinical trial. PMID 30793177</w:t>
      </w:r>
    </w:p>
    <w:p>
      <w:pPr>
        <w:numPr>
          <w:ilvl w:val="0"/>
          <w:numId w:val="1392"/>
        </w:numPr>
        <w:pStyle w:val="Compact"/>
      </w:pPr>
      <w:r>
        <w:t xml:space="preserve">2019 · Hauger H ·</w:t>
      </w:r>
      <w:r>
        <w:t xml:space="preserve"> </w:t>
      </w:r>
      <w:r>
        <w:rPr>
          <w:iCs/>
          <w:i/>
        </w:rPr>
        <w:t xml:space="preserve">Eur J Nutr</w:t>
      </w:r>
      <w:r>
        <w:t xml:space="preserve"> </w:t>
      </w:r>
      <w:r>
        <w:t xml:space="preserve">· Winter cholecalciferol supplementation at 55°N has little effect on markers of innate immune defense in healthy children aged 4-8 years: a secondary analysis from a randomized controlled trial. PMID 29572676</w:t>
      </w:r>
    </w:p>
    <w:p>
      <w:pPr>
        <w:numPr>
          <w:ilvl w:val="0"/>
          <w:numId w:val="1392"/>
        </w:numPr>
        <w:pStyle w:val="Compact"/>
      </w:pPr>
      <w:r>
        <w:t xml:space="preserve">2018 · Savonius O ·</w:t>
      </w:r>
      <w:r>
        <w:t xml:space="preserve"> </w:t>
      </w:r>
      <w:r>
        <w:rPr>
          <w:iCs/>
          <w:i/>
        </w:rPr>
        <w:t xml:space="preserve">Acta Paediatr</w:t>
      </w:r>
      <w:r>
        <w:t xml:space="preserve"> </w:t>
      </w:r>
      <w:r>
        <w:t xml:space="preserve">· Vitamin D was not associated with survival or cerebrospinal fluid cathelicidin levels in children with bacterial meningitis. PMID 29751358</w:t>
      </w:r>
    </w:p>
    <w:p>
      <w:pPr>
        <w:numPr>
          <w:ilvl w:val="0"/>
          <w:numId w:val="1392"/>
        </w:numPr>
        <w:pStyle w:val="Compact"/>
      </w:pPr>
      <w:r>
        <w:t xml:space="preserve">2018 · Ramos-Martínez E ·</w:t>
      </w:r>
      <w:r>
        <w:t xml:space="preserve"> </w:t>
      </w:r>
      <w:r>
        <w:rPr>
          <w:iCs/>
          <w:i/>
        </w:rPr>
        <w:t xml:space="preserve">Cytokine</w:t>
      </w:r>
      <w:r>
        <w:t xml:space="preserve"> </w:t>
      </w:r>
      <w:r>
        <w:t xml:space="preserve">· Reduction of respiratory infections in asthma patients supplemented with vitamin D is related to increased serum IL-10 and IFNγ levels and cathelicidin expression. PMID 29402723</w:t>
      </w:r>
    </w:p>
    <w:p>
      <w:pPr>
        <w:numPr>
          <w:ilvl w:val="0"/>
          <w:numId w:val="1392"/>
        </w:numPr>
        <w:pStyle w:val="Compact"/>
      </w:pPr>
      <w:r>
        <w:t xml:space="preserve">2018 · Savonius O ·</w:t>
      </w:r>
      <w:r>
        <w:t xml:space="preserve"> </w:t>
      </w:r>
      <w:r>
        <w:rPr>
          <w:iCs/>
          <w:i/>
        </w:rPr>
        <w:t xml:space="preserve">Pediatr Infect Dis J</w:t>
      </w:r>
      <w:r>
        <w:t xml:space="preserve"> </w:t>
      </w:r>
      <w:r>
        <w:t xml:space="preserve">· Cerebrospinal Fluid Cathelicidin Correlates With the Bacterial Load and Outcomes in Childhood Bacterial Meningitis. PMID 28827496</w:t>
      </w:r>
    </w:p>
    <w:p>
      <w:pPr>
        <w:numPr>
          <w:ilvl w:val="0"/>
          <w:numId w:val="1392"/>
        </w:numPr>
        <w:pStyle w:val="Compact"/>
      </w:pPr>
      <w:r>
        <w:t xml:space="preserve">2018 · Alvarez JA ·</w:t>
      </w:r>
      <w:r>
        <w:t xml:space="preserve"> </w:t>
      </w:r>
      <w:r>
        <w:rPr>
          <w:iCs/>
          <w:i/>
        </w:rPr>
        <w:t xml:space="preserve">J Steroid Biochem Mol Biol</w:t>
      </w:r>
      <w:r>
        <w:t xml:space="preserve"> </w:t>
      </w:r>
      <w:r>
        <w:t xml:space="preserve">· Vitamin D deficiency is associated with an oxidized plasma cysteine redox potential in critically Ill children. PMID 27641738</w:t>
      </w:r>
    </w:p>
    <w:p>
      <w:pPr>
        <w:numPr>
          <w:ilvl w:val="0"/>
          <w:numId w:val="1392"/>
        </w:numPr>
        <w:pStyle w:val="Compact"/>
      </w:pPr>
      <w:r>
        <w:t xml:space="preserve">2017 · Sigal GB ·</w:t>
      </w:r>
      <w:r>
        <w:t xml:space="preserve"> </w:t>
      </w:r>
      <w:r>
        <w:rPr>
          <w:iCs/>
          <w:i/>
        </w:rPr>
        <w:t xml:space="preserve">EBioMedicine</w:t>
      </w:r>
      <w:r>
        <w:t xml:space="preserve"> </w:t>
      </w:r>
      <w:r>
        <w:t xml:space="preserve">· Biomarkers of Tuberculosis Severity and Treatment Effect: A Directed Screen of 70 Host Markers in a Randomized Clinical Trial. PMID 29100778</w:t>
      </w:r>
    </w:p>
    <w:p>
      <w:pPr>
        <w:numPr>
          <w:ilvl w:val="0"/>
          <w:numId w:val="1392"/>
        </w:numPr>
        <w:pStyle w:val="Compact"/>
      </w:pPr>
      <w:r>
        <w:t xml:space="preserve">2017 · Wirth PJ ·</w:t>
      </w:r>
      <w:r>
        <w:t xml:space="preserve"> </w:t>
      </w:r>
      <w:r>
        <w:rPr>
          <w:iCs/>
          <w:i/>
        </w:rPr>
        <w:t xml:space="preserve">Skin Therapy Lett</w:t>
      </w:r>
      <w:r>
        <w:t xml:space="preserve"> </w:t>
      </w:r>
      <w:r>
        <w:t xml:space="preserve">· Real-World Efficacy of Azelaic Acid 15% Gel for the Reduction of Inflammatory Lesions of Rosacea. PMID 29091380</w:t>
      </w:r>
    </w:p>
    <w:p>
      <w:pPr>
        <w:numPr>
          <w:ilvl w:val="0"/>
          <w:numId w:val="1392"/>
        </w:numPr>
        <w:pStyle w:val="Compact"/>
      </w:pPr>
      <w:r>
        <w:t xml:space="preserve">2017 · Uruska A ·</w:t>
      </w:r>
      <w:r>
        <w:t xml:space="preserve"> </w:t>
      </w:r>
      <w:r>
        <w:rPr>
          <w:iCs/>
          <w:i/>
        </w:rPr>
        <w:t xml:space="preserve">Clin Biochem</w:t>
      </w:r>
      <w:r>
        <w:t xml:space="preserve"> </w:t>
      </w:r>
      <w:r>
        <w:t xml:space="preserve">· Is cathelicidin a novel marker of diabetic microangiopathy in patients with type 1 diabetes?. PMID 28964758</w:t>
      </w:r>
    </w:p>
    <w:p>
      <w:pPr>
        <w:numPr>
          <w:ilvl w:val="0"/>
          <w:numId w:val="1392"/>
        </w:numPr>
        <w:pStyle w:val="Compact"/>
      </w:pPr>
      <w:r>
        <w:t xml:space="preserve">2017 · Majewski K ·</w:t>
      </w:r>
      <w:r>
        <w:t xml:space="preserve"> </w:t>
      </w:r>
      <w:r>
        <w:rPr>
          <w:iCs/>
          <w:i/>
        </w:rPr>
        <w:t xml:space="preserve">J Biol Regul Homeost Agents</w:t>
      </w:r>
      <w:r>
        <w:t xml:space="preserve"> </w:t>
      </w:r>
      <w:r>
        <w:t xml:space="preserve">· Serum level of cathelicidin LL-37 in patients with active tuberculosis and other infectious diseases. PMID 28956425</w:t>
      </w:r>
    </w:p>
    <w:p>
      <w:pPr>
        <w:numPr>
          <w:ilvl w:val="0"/>
          <w:numId w:val="1392"/>
        </w:numPr>
        <w:pStyle w:val="Compact"/>
      </w:pPr>
      <w:r>
        <w:t xml:space="preserve">2017 · Corsello G ·</w:t>
      </w:r>
      <w:r>
        <w:t xml:space="preserve"> </w:t>
      </w:r>
      <w:r>
        <w:rPr>
          <w:iCs/>
          <w:i/>
        </w:rPr>
        <w:t xml:space="preserve">Nutrients</w:t>
      </w:r>
      <w:r>
        <w:t xml:space="preserve"> </w:t>
      </w:r>
      <w:r>
        <w:t xml:space="preserve">· Preventive Effect of Cow’s Milk Fermented with Lactobacillus paracasei CBA L74 on Common Infectious Diseases in Children: A Multicenter Randomized Controlled Trial. PMID 28654019</w:t>
      </w:r>
    </w:p>
    <w:p>
      <w:pPr>
        <w:numPr>
          <w:ilvl w:val="0"/>
          <w:numId w:val="1392"/>
        </w:numPr>
        <w:pStyle w:val="Compact"/>
      </w:pPr>
      <w:r>
        <w:t xml:space="preserve">2017 · Han JE ·</w:t>
      </w:r>
      <w:r>
        <w:t xml:space="preserve"> </w:t>
      </w:r>
      <w:r>
        <w:rPr>
          <w:iCs/>
          <w:i/>
        </w:rPr>
        <w:t xml:space="preserve">Nutrition</w:t>
      </w:r>
      <w:r>
        <w:t xml:space="preserve"> </w:t>
      </w:r>
      <w:r>
        <w:t xml:space="preserve">· Impact of high-dose vitamin D(3) on plasma free 25-hydroxyvitamin D concentrations and antimicrobial peptides in critically ill mechanically ventilated adults. PMID 28526374</w:t>
      </w:r>
    </w:p>
    <w:p>
      <w:pPr>
        <w:numPr>
          <w:ilvl w:val="0"/>
          <w:numId w:val="1392"/>
        </w:numPr>
        <w:pStyle w:val="Compact"/>
      </w:pPr>
      <w:r>
        <w:t xml:space="preserve">2017 · Nakatsuji T ·</w:t>
      </w:r>
      <w:r>
        <w:t xml:space="preserve"> </w:t>
      </w:r>
      <w:r>
        <w:rPr>
          <w:iCs/>
          <w:i/>
        </w:rPr>
        <w:t xml:space="preserve">Sci Transl Med</w:t>
      </w:r>
      <w:r>
        <w:t xml:space="preserve"> </w:t>
      </w:r>
      <w:r>
        <w:t xml:space="preserve">· Antimicrobials from human skin commensal bacteria protect against Staphylococcus aureus and are deficient in atopic dermatitis. PMID 28228596</w:t>
      </w:r>
    </w:p>
    <w:p>
      <w:pPr>
        <w:numPr>
          <w:ilvl w:val="0"/>
          <w:numId w:val="1392"/>
        </w:numPr>
        <w:pStyle w:val="Compact"/>
      </w:pPr>
      <w:r>
        <w:t xml:space="preserve">2017 · Majewski K ·</w:t>
      </w:r>
      <w:r>
        <w:t xml:space="preserve"> </w:t>
      </w:r>
      <w:r>
        <w:rPr>
          <w:iCs/>
          <w:i/>
        </w:rPr>
        <w:t xml:space="preserve">Clin Invest Med</w:t>
      </w:r>
      <w:r>
        <w:t xml:space="preserve"> </w:t>
      </w:r>
      <w:r>
        <w:t xml:space="preserve">· Circulating cathelicidin LL-37 in adult patients with pulmonary infectious diseases. PMID 28218580</w:t>
      </w:r>
    </w:p>
    <w:p>
      <w:pPr>
        <w:numPr>
          <w:ilvl w:val="0"/>
          <w:numId w:val="1392"/>
        </w:numPr>
        <w:pStyle w:val="Compact"/>
      </w:pPr>
      <w:r>
        <w:t xml:space="preserve">2017 · Mathapathi MS ·</w:t>
      </w:r>
      <w:r>
        <w:t xml:space="preserve"> </w:t>
      </w:r>
      <w:r>
        <w:rPr>
          <w:iCs/>
          <w:i/>
        </w:rPr>
        <w:t xml:space="preserve">Exp Dermatol</w:t>
      </w:r>
      <w:r>
        <w:t xml:space="preserve"> </w:t>
      </w:r>
      <w:r>
        <w:t xml:space="preserve">· Niacinamide leave-on formulation provides long-lasting protection against bacteria in vivo. PMID 28094872</w:t>
      </w:r>
    </w:p>
    <w:p>
      <w:pPr>
        <w:numPr>
          <w:ilvl w:val="0"/>
          <w:numId w:val="1392"/>
        </w:numPr>
        <w:pStyle w:val="Compact"/>
      </w:pPr>
      <w:r>
        <w:t xml:space="preserve">2017 · Todd JJ ·</w:t>
      </w:r>
      <w:r>
        <w:t xml:space="preserve"> </w:t>
      </w:r>
      <w:r>
        <w:rPr>
          <w:iCs/>
          <w:i/>
        </w:rPr>
        <w:t xml:space="preserve">Scand J Med Sci Sports</w:t>
      </w:r>
      <w:r>
        <w:t xml:space="preserve"> </w:t>
      </w:r>
      <w:r>
        <w:t xml:space="preserve">· Oral spray wintertime vitamin D(3) supplementation has no impact on inflammation in Gaelic footballers. PMID 27704631</w:t>
      </w:r>
    </w:p>
    <w:p>
      <w:pPr>
        <w:numPr>
          <w:ilvl w:val="0"/>
          <w:numId w:val="1392"/>
        </w:numPr>
        <w:pStyle w:val="Compact"/>
      </w:pPr>
      <w:r>
        <w:t xml:space="preserve">2017 · Nocerino R ·</w:t>
      </w:r>
      <w:r>
        <w:t xml:space="preserve"> </w:t>
      </w:r>
      <w:r>
        <w:rPr>
          <w:iCs/>
          <w:i/>
        </w:rPr>
        <w:t xml:space="preserve">Clin Nutr</w:t>
      </w:r>
      <w:r>
        <w:t xml:space="preserve"> </w:t>
      </w:r>
      <w:r>
        <w:t xml:space="preserve">· Cow’s milk and rice fermented with Lactobacillus paracasei CBA L74 prevent infectious diseases in children: A randomized controlled trial. PMID 26732025</w:t>
      </w:r>
    </w:p>
    <w:p>
      <w:pPr>
        <w:numPr>
          <w:ilvl w:val="0"/>
          <w:numId w:val="1392"/>
        </w:numPr>
        <w:pStyle w:val="Compact"/>
      </w:pPr>
      <w:r>
        <w:t xml:space="preserve">2016 · Gupta P ·</w:t>
      </w:r>
      <w:r>
        <w:t xml:space="preserve"> </w:t>
      </w:r>
      <w:r>
        <w:rPr>
          <w:iCs/>
          <w:i/>
        </w:rPr>
        <w:t xml:space="preserve">Indian Pediatr</w:t>
      </w:r>
      <w:r>
        <w:t xml:space="preserve"> </w:t>
      </w:r>
      <w:r>
        <w:t xml:space="preserve">· Vitamin D Supplementation for Treatment and Prevention of Pneumonia in Under-five Children: A Randomized Double-blind Placebo Controlled Trial. PMID 27889723</w:t>
      </w:r>
    </w:p>
    <w:p>
      <w:pPr>
        <w:numPr>
          <w:ilvl w:val="0"/>
          <w:numId w:val="1392"/>
        </w:numPr>
        <w:pStyle w:val="Compact"/>
      </w:pPr>
      <w:r>
        <w:t xml:space="preserve">2016 · Zheng JQ ·</w:t>
      </w:r>
      <w:r>
        <w:t xml:space="preserve"> </w:t>
      </w:r>
      <w:r>
        <w:rPr>
          <w:iCs/>
          <w:i/>
        </w:rPr>
        <w:t xml:space="preserve">Nutrients</w:t>
      </w:r>
      <w:r>
        <w:t xml:space="preserve"> </w:t>
      </w:r>
      <w:r>
        <w:t xml:space="preserve">· Cholecalciferol Additively Reduces Serum Parathyroid Hormone and Increases Vitamin D and Cathelicidin Levels in Paricalcitol-Treated Secondary Hyperparathyroid Hemodialysis Patients. PMID 27827962</w:t>
      </w:r>
    </w:p>
    <w:p>
      <w:pPr>
        <w:numPr>
          <w:ilvl w:val="0"/>
          <w:numId w:val="1392"/>
        </w:numPr>
        <w:pStyle w:val="Compact"/>
      </w:pPr>
      <w:r>
        <w:t xml:space="preserve">2016 · Sharifi A ·</w:t>
      </w:r>
      <w:r>
        <w:t xml:space="preserve"> </w:t>
      </w:r>
      <w:r>
        <w:rPr>
          <w:iCs/>
          <w:i/>
        </w:rPr>
        <w:t xml:space="preserve">Saudi J Gastroenterol</w:t>
      </w:r>
      <w:r>
        <w:t xml:space="preserve"> </w:t>
      </w:r>
      <w:r>
        <w:t xml:space="preserve">· A randomized controlled trial on the effect of vitamin D3 on inflammation and cathelicidin gene expression in ulcerative colitis patients. PMID 27488327</w:t>
      </w:r>
    </w:p>
    <w:p>
      <w:pPr>
        <w:numPr>
          <w:ilvl w:val="0"/>
          <w:numId w:val="1392"/>
        </w:numPr>
        <w:pStyle w:val="Compact"/>
      </w:pPr>
      <w:r>
        <w:t xml:space="preserve">2016 · Two AM ·</w:t>
      </w:r>
      <w:r>
        <w:t xml:space="preserve"> </w:t>
      </w:r>
      <w:r>
        <w:rPr>
          <w:iCs/>
          <w:i/>
        </w:rPr>
        <w:t xml:space="preserve">J Invest Dermatol</w:t>
      </w:r>
      <w:r>
        <w:t xml:space="preserve"> </w:t>
      </w:r>
      <w:r>
        <w:t xml:space="preserve">· The Cutaneous Microbiome and Aspects of Skin Antimicrobial Defense System Resist Acute Treatment with Topical Skin Cleansers. PMID 27377698</w:t>
      </w:r>
    </w:p>
    <w:p>
      <w:pPr>
        <w:numPr>
          <w:ilvl w:val="0"/>
          <w:numId w:val="1392"/>
        </w:numPr>
        <w:pStyle w:val="Compact"/>
      </w:pPr>
      <w:r>
        <w:t xml:space="preserve">2016 · Di Nardo A ·</w:t>
      </w:r>
      <w:r>
        <w:t xml:space="preserve"> </w:t>
      </w:r>
      <w:r>
        <w:rPr>
          <w:iCs/>
          <w:i/>
        </w:rPr>
        <w:t xml:space="preserve">J Am Acad Dermatol</w:t>
      </w:r>
      <w:r>
        <w:t xml:space="preserve"> </w:t>
      </w:r>
      <w:r>
        <w:t xml:space="preserve">· Improved clinical outcome and biomarkers in adults with papulopustular rosacea treated with doxycycline modified-release capsules in a randomized trial. PMID 26951940</w:t>
      </w:r>
    </w:p>
    <w:p>
      <w:pPr>
        <w:numPr>
          <w:ilvl w:val="0"/>
          <w:numId w:val="1392"/>
        </w:numPr>
        <w:pStyle w:val="Compact"/>
      </w:pPr>
      <w:r>
        <w:t xml:space="preserve">2016 · He CS ·</w:t>
      </w:r>
      <w:r>
        <w:t xml:space="preserve"> </w:t>
      </w:r>
      <w:r>
        <w:rPr>
          <w:iCs/>
          <w:i/>
        </w:rPr>
        <w:t xml:space="preserve">J Sports Sci</w:t>
      </w:r>
      <w:r>
        <w:t xml:space="preserve"> </w:t>
      </w:r>
      <w:r>
        <w:t xml:space="preserve">· The effect of 14 weeks of vitamin D3 supplementation on antimicrobial peptides and proteins in athletes. PMID 25861808</w:t>
      </w:r>
    </w:p>
    <w:p>
      <w:pPr>
        <w:numPr>
          <w:ilvl w:val="0"/>
          <w:numId w:val="1392"/>
        </w:numPr>
        <w:pStyle w:val="Compact"/>
      </w:pPr>
      <w:r>
        <w:t xml:space="preserve">2015 · Udompataikul M ·</w:t>
      </w:r>
      <w:r>
        <w:t xml:space="preserve"> </w:t>
      </w:r>
      <w:r>
        <w:rPr>
          <w:iCs/>
          <w:i/>
        </w:rPr>
        <w:t xml:space="preserve">J Med Assoc Thai</w:t>
      </w:r>
      <w:r>
        <w:t xml:space="preserve"> </w:t>
      </w:r>
      <w:r>
        <w:t xml:space="preserve">· The Effects of Oral Vitamin D Supplement on Atopic Dermatitis: A Clinical Trial with Staphylococcus aureus Colonization Determination. PMID 26817206</w:t>
      </w:r>
    </w:p>
    <w:p>
      <w:pPr>
        <w:numPr>
          <w:ilvl w:val="0"/>
          <w:numId w:val="1392"/>
        </w:numPr>
        <w:pStyle w:val="Compact"/>
      </w:pPr>
      <w:r>
        <w:t xml:space="preserve">2015 · Thijs W ·</w:t>
      </w:r>
      <w:r>
        <w:t xml:space="preserve"> </w:t>
      </w:r>
      <w:r>
        <w:rPr>
          <w:iCs/>
          <w:i/>
        </w:rPr>
        <w:t xml:space="preserve">PLoS One</w:t>
      </w:r>
      <w:r>
        <w:t xml:space="preserve"> </w:t>
      </w:r>
      <w:r>
        <w:t xml:space="preserve">· Nasal Levels of Antimicrobial Peptides in Allergic Asthma Patients and Healthy Controls: Differences and Effect of a Short 1,25(OH)2 Vitamin D3 Treatment. PMID 26545199</w:t>
      </w:r>
    </w:p>
    <w:p>
      <w:pPr>
        <w:numPr>
          <w:ilvl w:val="0"/>
          <w:numId w:val="1392"/>
        </w:numPr>
        <w:pStyle w:val="Compact"/>
      </w:pPr>
      <w:r>
        <w:t xml:space="preserve">2015 · Mily A ·</w:t>
      </w:r>
      <w:r>
        <w:t xml:space="preserve"> </w:t>
      </w:r>
      <w:r>
        <w:rPr>
          <w:iCs/>
          <w:i/>
        </w:rPr>
        <w:t xml:space="preserve">PLoS One</w:t>
      </w:r>
      <w:r>
        <w:t xml:space="preserve"> </w:t>
      </w:r>
      <w:r>
        <w:t xml:space="preserve">· Significant Effects of Oral Phenylbutyrate and Vitamin D3 Adjunctive Therapy in Pulmonary Tuberculosis: A Randomized Controlled Trial. PMID 26394045</w:t>
      </w:r>
    </w:p>
    <w:p>
      <w:pPr>
        <w:numPr>
          <w:ilvl w:val="0"/>
          <w:numId w:val="1392"/>
        </w:numPr>
        <w:pStyle w:val="Compact"/>
      </w:pPr>
      <w:r>
        <w:t xml:space="preserve">2015 · Nair P ·</w:t>
      </w:r>
      <w:r>
        <w:t xml:space="preserve"> </w:t>
      </w:r>
      <w:r>
        <w:rPr>
          <w:iCs/>
          <w:i/>
        </w:rPr>
        <w:t xml:space="preserve">Crit Care Med</w:t>
      </w:r>
      <w:r>
        <w:t xml:space="preserve"> </w:t>
      </w:r>
      <w:r>
        <w:t xml:space="preserve">· A Randomized Study of a Single Dose of Intramuscular Cholecalciferol in Critically Ill Adults. PMID 26186566</w:t>
      </w:r>
    </w:p>
    <w:p>
      <w:pPr>
        <w:numPr>
          <w:ilvl w:val="0"/>
          <w:numId w:val="1392"/>
        </w:numPr>
        <w:pStyle w:val="Compact"/>
      </w:pPr>
      <w:r>
        <w:t xml:space="preserve">2015 · Quraishi SA ·</w:t>
      </w:r>
      <w:r>
        <w:t xml:space="preserve"> </w:t>
      </w:r>
      <w:r>
        <w:rPr>
          <w:iCs/>
          <w:i/>
        </w:rPr>
        <w:t xml:space="preserve">Crit Care Med</w:t>
      </w:r>
      <w:r>
        <w:t xml:space="preserve"> </w:t>
      </w:r>
      <w:r>
        <w:t xml:space="preserve">· Effect of Cholecalciferol Supplementation on Vitamin D Status and Cathelicidin Levels in Sepsis: A Randomized, Placebo-Controlled Trial. PMID 26086941</w:t>
      </w:r>
    </w:p>
    <w:p>
      <w:pPr>
        <w:numPr>
          <w:ilvl w:val="0"/>
          <w:numId w:val="1392"/>
        </w:numPr>
        <w:pStyle w:val="Compact"/>
      </w:pPr>
      <w:r>
        <w:t xml:space="preserve">2015 · Lachmann R ·</w:t>
      </w:r>
      <w:r>
        <w:t xml:space="preserve"> </w:t>
      </w:r>
      <w:r>
        <w:rPr>
          <w:iCs/>
          <w:i/>
        </w:rPr>
        <w:t xml:space="preserve">AIDS</w:t>
      </w:r>
      <w:r>
        <w:t xml:space="preserve"> </w:t>
      </w:r>
      <w:r>
        <w:t xml:space="preserve">· A comparative phase 1 clinical trial to identify anti-infective mechanisms of vitamin D in people with HIV infection. PMID 25870995</w:t>
      </w:r>
    </w:p>
    <w:p>
      <w:pPr>
        <w:numPr>
          <w:ilvl w:val="0"/>
          <w:numId w:val="1392"/>
        </w:numPr>
        <w:pStyle w:val="Compact"/>
      </w:pPr>
      <w:r>
        <w:t xml:space="preserve">2015 · Lim R ·</w:t>
      </w:r>
      <w:r>
        <w:t xml:space="preserve"> </w:t>
      </w:r>
      <w:r>
        <w:rPr>
          <w:iCs/>
          <w:i/>
        </w:rPr>
        <w:t xml:space="preserve">J Reprod Immunol</w:t>
      </w:r>
      <w:r>
        <w:t xml:space="preserve"> </w:t>
      </w:r>
      <w:r>
        <w:t xml:space="preserve">· Human cathelicidin antimicrobial protein 18 (hCAP18/LL-37) is increased in foetal membranes and myometrium after spontaneous labour and delivery. PMID 25435436</w:t>
      </w:r>
    </w:p>
    <w:p>
      <w:pPr>
        <w:numPr>
          <w:ilvl w:val="0"/>
          <w:numId w:val="1392"/>
        </w:numPr>
        <w:pStyle w:val="Compact"/>
      </w:pPr>
      <w:r>
        <w:t xml:space="preserve">2015 · Gad GI ·</w:t>
      </w:r>
      <w:r>
        <w:t xml:space="preserve"> </w:t>
      </w:r>
      <w:r>
        <w:rPr>
          <w:iCs/>
          <w:i/>
        </w:rPr>
        <w:t xml:space="preserve">J Matern Fetal Neonatal Med</w:t>
      </w:r>
      <w:r>
        <w:t xml:space="preserve"> </w:t>
      </w:r>
      <w:r>
        <w:t xml:space="preserve">· Diagnostic value of anti-microbial peptide, cathelicidin in congenital pneumonia. PMID 25354286</w:t>
      </w:r>
    </w:p>
    <w:p>
      <w:pPr>
        <w:numPr>
          <w:ilvl w:val="0"/>
          <w:numId w:val="1392"/>
        </w:numPr>
        <w:pStyle w:val="Compact"/>
      </w:pPr>
      <w:r>
        <w:t xml:space="preserve">2014 · Montreekachon P ·</w:t>
      </w:r>
      <w:r>
        <w:t xml:space="preserve"> </w:t>
      </w:r>
      <w:r>
        <w:rPr>
          <w:iCs/>
          <w:i/>
        </w:rPr>
        <w:t xml:space="preserve">Asian Pac J Allergy Immunol</w:t>
      </w:r>
      <w:r>
        <w:t xml:space="preserve"> </w:t>
      </w:r>
      <w:r>
        <w:t xml:space="preserve">· Favorable interleukin-8 induction in human gingival epithelial cells by the antimicrobial peptide LL-37. PMID 25268344</w:t>
      </w:r>
    </w:p>
    <w:p>
      <w:pPr>
        <w:numPr>
          <w:ilvl w:val="0"/>
          <w:numId w:val="1392"/>
        </w:numPr>
        <w:pStyle w:val="Compact"/>
      </w:pPr>
      <w:r>
        <w:t xml:space="preserve">2014 · Raqib R ·</w:t>
      </w:r>
      <w:r>
        <w:t xml:space="preserve"> </w:t>
      </w:r>
      <w:r>
        <w:rPr>
          <w:iCs/>
          <w:i/>
        </w:rPr>
        <w:t xml:space="preserve">Br J Nutr</w:t>
      </w:r>
      <w:r>
        <w:t xml:space="preserve"> </w:t>
      </w:r>
      <w:r>
        <w:t xml:space="preserve">· Prenatal vitamin D₃ supplementation suppresses LL-37 peptide expression in ex vivo activated neonatal macrophages but not their killing capacity. PMID 25089537</w:t>
      </w:r>
    </w:p>
    <w:p>
      <w:pPr>
        <w:numPr>
          <w:ilvl w:val="0"/>
          <w:numId w:val="1392"/>
        </w:numPr>
        <w:pStyle w:val="Compact"/>
      </w:pPr>
      <w:r>
        <w:t xml:space="preserve">2014 · Grönberg A ·</w:t>
      </w:r>
      <w:r>
        <w:t xml:space="preserve"> </w:t>
      </w:r>
      <w:r>
        <w:rPr>
          <w:iCs/>
          <w:i/>
        </w:rPr>
        <w:t xml:space="preserve">Wound Repair Regen</w:t>
      </w:r>
      <w:r>
        <w:t xml:space="preserve"> </w:t>
      </w:r>
      <w:r>
        <w:t xml:space="preserve">· Treatment with LL-37 is safe and effective in enhancing healing of hard-to-heal venous leg ulcers: a randomized, placebo-controlled clinical trial. PMID 25041740</w:t>
      </w:r>
    </w:p>
    <w:p>
      <w:pPr>
        <w:numPr>
          <w:ilvl w:val="0"/>
          <w:numId w:val="1392"/>
        </w:numPr>
        <w:pStyle w:val="Compact"/>
      </w:pPr>
      <w:r>
        <w:t xml:space="preserve">2014 · Leaf DE ·</w:t>
      </w:r>
      <w:r>
        <w:t xml:space="preserve"> </w:t>
      </w:r>
      <w:r>
        <w:rPr>
          <w:iCs/>
          <w:i/>
        </w:rPr>
        <w:t xml:space="preserve">Am J Respir Crit Care Med</w:t>
      </w:r>
      <w:r>
        <w:t xml:space="preserve"> </w:t>
      </w:r>
      <w:r>
        <w:t xml:space="preserve">· Randomized controlled trial of calcitriol in severe sepsis. PMID 25029202</w:t>
      </w:r>
    </w:p>
    <w:p>
      <w:pPr>
        <w:numPr>
          <w:ilvl w:val="0"/>
          <w:numId w:val="1392"/>
        </w:numPr>
        <w:pStyle w:val="Compact"/>
      </w:pPr>
      <w:r>
        <w:t xml:space="preserve">2014 · Koziel J ·</w:t>
      </w:r>
      <w:r>
        <w:t xml:space="preserve"> </w:t>
      </w:r>
      <w:r>
        <w:rPr>
          <w:iCs/>
          <w:i/>
        </w:rPr>
        <w:t xml:space="preserve">J Immunol</w:t>
      </w:r>
      <w:r>
        <w:t xml:space="preserve"> </w:t>
      </w:r>
      <w:r>
        <w:t xml:space="preserve">· Citrullination alters immunomodulatory function of LL-37 essential for prevention of endotoxin-induced sepsis. PMID 24771854</w:t>
      </w:r>
    </w:p>
    <w:p>
      <w:pPr>
        <w:numPr>
          <w:ilvl w:val="0"/>
          <w:numId w:val="1392"/>
        </w:numPr>
        <w:pStyle w:val="Compact"/>
      </w:pPr>
      <w:r>
        <w:t xml:space="preserve">2014 · Limoli DH ·</w:t>
      </w:r>
      <w:r>
        <w:t xml:space="preserve"> </w:t>
      </w:r>
      <w:r>
        <w:rPr>
          <w:iCs/>
          <w:i/>
        </w:rPr>
        <w:t xml:space="preserve">PLoS Pathog</w:t>
      </w:r>
      <w:r>
        <w:t xml:space="preserve"> </w:t>
      </w:r>
      <w:r>
        <w:t xml:space="preserve">· Cationic antimicrobial peptides promote microbial mutagenesis and pathoadaptation in chronic infections. PMID 24763694</w:t>
      </w:r>
    </w:p>
    <w:p>
      <w:pPr>
        <w:numPr>
          <w:ilvl w:val="0"/>
          <w:numId w:val="1392"/>
        </w:numPr>
        <w:pStyle w:val="Compact"/>
      </w:pPr>
      <w:r>
        <w:t xml:space="preserve">2014 · Wheelwright M ·</w:t>
      </w:r>
      <w:r>
        <w:t xml:space="preserve"> </w:t>
      </w:r>
      <w:r>
        <w:rPr>
          <w:iCs/>
          <w:i/>
        </w:rPr>
        <w:t xml:space="preserve">J Immunol</w:t>
      </w:r>
      <w:r>
        <w:t xml:space="preserve"> </w:t>
      </w:r>
      <w:r>
        <w:t xml:space="preserve">· All-trans retinoic acid-triggered antimicrobial activity against Mycobacterium tuberculosis is dependent on NPC2. PMID 24501203</w:t>
      </w:r>
    </w:p>
    <w:p>
      <w:pPr>
        <w:numPr>
          <w:ilvl w:val="0"/>
          <w:numId w:val="1392"/>
        </w:numPr>
        <w:pStyle w:val="Compact"/>
      </w:pPr>
      <w:r>
        <w:t xml:space="preserve">2014 · Das M ·</w:t>
      </w:r>
      <w:r>
        <w:t xml:space="preserve"> </w:t>
      </w:r>
      <w:r>
        <w:rPr>
          <w:iCs/>
          <w:i/>
        </w:rPr>
        <w:t xml:space="preserve">Eur J Clin Nutr</w:t>
      </w:r>
      <w:r>
        <w:t xml:space="preserve"> </w:t>
      </w:r>
      <w:r>
        <w:t xml:space="preserve">· Effect of vitamin D supplementation on cathelicidin, IFN-γ, IL-4 and Th1/Th2 transcription factors in young healthy females. PMID 24398649</w:t>
      </w:r>
    </w:p>
    <w:p>
      <w:pPr>
        <w:numPr>
          <w:ilvl w:val="0"/>
          <w:numId w:val="1392"/>
        </w:numPr>
        <w:pStyle w:val="Compact"/>
      </w:pPr>
      <w:r>
        <w:t xml:space="preserve">2014 · Hata TR ·</w:t>
      </w:r>
      <w:r>
        <w:t xml:space="preserve"> </w:t>
      </w:r>
      <w:r>
        <w:rPr>
          <w:iCs/>
          <w:i/>
        </w:rPr>
        <w:t xml:space="preserve">J Eur Acad Dermatol Venereol</w:t>
      </w:r>
      <w:r>
        <w:t xml:space="preserve"> </w:t>
      </w:r>
      <w:r>
        <w:t xml:space="preserve">· A randomized controlled double-blind investigation of the effects of vitamin D dietary supplementation in subjects with atopic dermatitis. PMID 23638978</w:t>
      </w:r>
    </w:p>
    <w:p>
      <w:pPr>
        <w:numPr>
          <w:ilvl w:val="0"/>
          <w:numId w:val="1392"/>
        </w:numPr>
        <w:pStyle w:val="Compact"/>
      </w:pPr>
      <w:r>
        <w:t xml:space="preserve">2013 · Mily A ·</w:t>
      </w:r>
      <w:r>
        <w:t xml:space="preserve"> </w:t>
      </w:r>
      <w:r>
        <w:rPr>
          <w:iCs/>
          <w:i/>
        </w:rPr>
        <w:t xml:space="preserve">BMC Pulm Med</w:t>
      </w:r>
      <w:r>
        <w:t xml:space="preserve"> </w:t>
      </w:r>
      <w:r>
        <w:t xml:space="preserve">· Oral intake of phenylbutyrate with or without vitamin D3 upregulates the cathelicidin LL-37 in human macrophages: a dose finding study for treatment of tuberculosis. PMID 23590701</w:t>
      </w:r>
    </w:p>
    <w:p>
      <w:pPr>
        <w:numPr>
          <w:ilvl w:val="0"/>
          <w:numId w:val="1392"/>
        </w:numPr>
        <w:pStyle w:val="Compact"/>
      </w:pPr>
      <w:r>
        <w:t xml:space="preserve">2013 · Gollwitzer H ·</w:t>
      </w:r>
      <w:r>
        <w:t xml:space="preserve"> </w:t>
      </w:r>
      <w:r>
        <w:rPr>
          <w:iCs/>
          <w:i/>
        </w:rPr>
        <w:t xml:space="preserve">J Bone Joint Surg Am</w:t>
      </w:r>
      <w:r>
        <w:t xml:space="preserve"> </w:t>
      </w:r>
      <w:r>
        <w:t xml:space="preserve">· Antimicrobial peptides and proinflammatory cytokines in periprosthetic joint infection. PMID 23553300</w:t>
      </w:r>
    </w:p>
    <w:p>
      <w:pPr>
        <w:numPr>
          <w:ilvl w:val="0"/>
          <w:numId w:val="1392"/>
        </w:numPr>
        <w:pStyle w:val="Compact"/>
      </w:pPr>
      <w:r>
        <w:t xml:space="preserve">2013 · Alvarez JA ·</w:t>
      </w:r>
      <w:r>
        <w:t xml:space="preserve"> </w:t>
      </w:r>
      <w:r>
        <w:rPr>
          <w:iCs/>
          <w:i/>
        </w:rPr>
        <w:t xml:space="preserve">Eur J Clin Nutr</w:t>
      </w:r>
      <w:r>
        <w:t xml:space="preserve"> </w:t>
      </w:r>
      <w:r>
        <w:t xml:space="preserve">· Effects of high-dose cholecalciferol on serum markers of inflammation and immunity in patients with early chronic kidney disease. PMID 23361158</w:t>
      </w:r>
    </w:p>
    <w:p>
      <w:pPr>
        <w:numPr>
          <w:ilvl w:val="0"/>
          <w:numId w:val="1392"/>
        </w:numPr>
        <w:pStyle w:val="Compact"/>
      </w:pPr>
      <w:r>
        <w:t xml:space="preserve">2013 · Klug-Micu GM ·</w:t>
      </w:r>
      <w:r>
        <w:t xml:space="preserve"> </w:t>
      </w:r>
      <w:r>
        <w:rPr>
          <w:iCs/>
          <w:i/>
        </w:rPr>
        <w:t xml:space="preserve">Immunology</w:t>
      </w:r>
      <w:r>
        <w:t xml:space="preserve"> </w:t>
      </w:r>
      <w:r>
        <w:t xml:space="preserve">· CD40 ligand and interferon-γ induce an antimicrobial response against Mycobacterium tuberculosis in human monocytes. PMID 23289765</w:t>
      </w:r>
    </w:p>
    <w:p>
      <w:pPr>
        <w:numPr>
          <w:ilvl w:val="0"/>
          <w:numId w:val="1392"/>
        </w:numPr>
        <w:pStyle w:val="Compact"/>
      </w:pPr>
      <w:r>
        <w:t xml:space="preserve">2012 · Campbell GR ·</w:t>
      </w:r>
      <w:r>
        <w:t xml:space="preserve"> </w:t>
      </w:r>
      <w:r>
        <w:rPr>
          <w:iCs/>
          <w:i/>
        </w:rPr>
        <w:t xml:space="preserve">PLoS Pathog</w:t>
      </w:r>
      <w:r>
        <w:t xml:space="preserve"> </w:t>
      </w:r>
      <w:r>
        <w:t xml:space="preserve">· Toll-like receptor 8 ligands activate a vitamin D mediated autophagic response that inhibits human immunodeficiency virus type 1. PMID 23166493</w:t>
      </w:r>
    </w:p>
    <w:p>
      <w:pPr>
        <w:numPr>
          <w:ilvl w:val="0"/>
          <w:numId w:val="1392"/>
        </w:numPr>
        <w:pStyle w:val="Compact"/>
      </w:pPr>
      <w:r>
        <w:t xml:space="preserve">2012 · Grossmann RE ·</w:t>
      </w:r>
      <w:r>
        <w:t xml:space="preserve"> </w:t>
      </w:r>
      <w:r>
        <w:rPr>
          <w:iCs/>
          <w:i/>
        </w:rPr>
        <w:t xml:space="preserve">Eur J Clin Nutr</w:t>
      </w:r>
      <w:r>
        <w:t xml:space="preserve"> </w:t>
      </w:r>
      <w:r>
        <w:t xml:space="preserve">· Impact of vitamin D supplementation on markers of inflammation in adults with cystic fibrosis hospitalized for a pulmonary exacerbation. PMID 22805498</w:t>
      </w:r>
    </w:p>
    <w:p>
      <w:pPr>
        <w:numPr>
          <w:ilvl w:val="0"/>
          <w:numId w:val="1392"/>
        </w:numPr>
        <w:pStyle w:val="Compact"/>
      </w:pPr>
      <w:r>
        <w:t xml:space="preserve">2012 · Raqib R ·</w:t>
      </w:r>
      <w:r>
        <w:t xml:space="preserve"> </w:t>
      </w:r>
      <w:r>
        <w:rPr>
          <w:iCs/>
          <w:i/>
        </w:rPr>
        <w:t xml:space="preserve">BMC Infect Dis</w:t>
      </w:r>
      <w:r>
        <w:t xml:space="preserve"> </w:t>
      </w:r>
      <w:r>
        <w:t xml:space="preserve">· Efficacy of sodium butyrate adjunct therapy in shigellosis: a randomized, double-blind, placebo-controlled clinical trial. PMID 22574737</w:t>
      </w:r>
    </w:p>
    <w:p>
      <w:pPr>
        <w:numPr>
          <w:ilvl w:val="0"/>
          <w:numId w:val="1392"/>
        </w:numPr>
        <w:pStyle w:val="Compact"/>
      </w:pPr>
      <w:r>
        <w:t xml:space="preserve">2012 · Nijnik A ·</w:t>
      </w:r>
      <w:r>
        <w:t xml:space="preserve"> </w:t>
      </w:r>
      <w:r>
        <w:rPr>
          <w:iCs/>
          <w:i/>
        </w:rPr>
        <w:t xml:space="preserve">J Leukoc Biol</w:t>
      </w:r>
      <w:r>
        <w:t xml:space="preserve"> </w:t>
      </w:r>
      <w:r>
        <w:t xml:space="preserve">· The role of the Src family kinase Lyn in the immunomodulatory activities of cathelicidin peptide LL-37 on monocytic cells. PMID 22246800</w:t>
      </w:r>
    </w:p>
    <w:p>
      <w:pPr>
        <w:numPr>
          <w:ilvl w:val="0"/>
          <w:numId w:val="1392"/>
        </w:numPr>
        <w:pStyle w:val="Compact"/>
      </w:pPr>
      <w:r>
        <w:t xml:space="preserve">2011 · Usui T ·</w:t>
      </w:r>
      <w:r>
        <w:t xml:space="preserve"> </w:t>
      </w:r>
      <w:r>
        <w:rPr>
          <w:iCs/>
          <w:i/>
        </w:rPr>
        <w:t xml:space="preserve">Eur J Appl Physiol</w:t>
      </w:r>
      <w:r>
        <w:t xml:space="preserve"> </w:t>
      </w:r>
      <w:r>
        <w:t xml:space="preserve">· Changes in salivary antimicrobial peptides, immunoglobulin A and cortisol after prolonged strenuous exercise. PMID 21249386</w:t>
      </w:r>
    </w:p>
    <w:p>
      <w:pPr>
        <w:numPr>
          <w:ilvl w:val="0"/>
          <w:numId w:val="1392"/>
        </w:numPr>
        <w:pStyle w:val="Compact"/>
      </w:pPr>
      <w:r>
        <w:t xml:space="preserve">2010 · Muratov V ·</w:t>
      </w:r>
      <w:r>
        <w:t xml:space="preserve"> </w:t>
      </w:r>
      <w:r>
        <w:rPr>
          <w:iCs/>
          <w:i/>
        </w:rPr>
        <w:t xml:space="preserve">J Clin Apher</w:t>
      </w:r>
      <w:r>
        <w:t xml:space="preserve"> </w:t>
      </w:r>
      <w:r>
        <w:t xml:space="preserve">· Safety and tolerability of a modified filter-type device for leukocytapheresis using ACD-A as anticoagulant in patients with mild to moderately active ulcerative colitis. Results of a pilot study. PMID 20806415</w:t>
      </w:r>
    </w:p>
    <w:p>
      <w:pPr>
        <w:numPr>
          <w:ilvl w:val="0"/>
          <w:numId w:val="1392"/>
        </w:numPr>
        <w:pStyle w:val="Compact"/>
      </w:pPr>
      <w:r>
        <w:t xml:space="preserve">2010 · Dhaliwal W ·</w:t>
      </w:r>
      <w:r>
        <w:t xml:space="preserve"> </w:t>
      </w:r>
      <w:r>
        <w:rPr>
          <w:iCs/>
          <w:i/>
        </w:rPr>
        <w:t xml:space="preserve">J Infect Dis</w:t>
      </w:r>
      <w:r>
        <w:t xml:space="preserve"> </w:t>
      </w:r>
      <w:r>
        <w:t xml:space="preserve">· Intestinal antimicrobial gene expression: impact of micronutrients in malnourished adults during a randomized trial. PMID 20695797</w:t>
      </w:r>
    </w:p>
    <w:p>
      <w:pPr>
        <w:numPr>
          <w:ilvl w:val="0"/>
          <w:numId w:val="1392"/>
        </w:numPr>
        <w:pStyle w:val="Compact"/>
      </w:pPr>
      <w:r>
        <w:t xml:space="preserve">2010 · Yamshchikov AV ·</w:t>
      </w:r>
      <w:r>
        <w:t xml:space="preserve"> </w:t>
      </w:r>
      <w:r>
        <w:rPr>
          <w:iCs/>
          <w:i/>
        </w:rPr>
        <w:t xml:space="preserve">Am J Clin Nutr</w:t>
      </w:r>
      <w:r>
        <w:t xml:space="preserve"> </w:t>
      </w:r>
      <w:r>
        <w:t xml:space="preserve">· Vitamin D status and antimicrobial peptide cathelicidin (LL-37) concentrations in patients with active pulmonary tuberculosis. PMID 20610636</w:t>
      </w:r>
    </w:p>
    <w:p>
      <w:pPr>
        <w:numPr>
          <w:ilvl w:val="0"/>
          <w:numId w:val="1392"/>
        </w:numPr>
        <w:pStyle w:val="Compact"/>
      </w:pPr>
      <w:r>
        <w:t xml:space="preserve">2010 · Park KY ·</w:t>
      </w:r>
      <w:r>
        <w:t xml:space="preserve"> </w:t>
      </w:r>
      <w:r>
        <w:rPr>
          <w:iCs/>
          <w:i/>
        </w:rPr>
        <w:t xml:space="preserve">J Korean Med Sci</w:t>
      </w:r>
      <w:r>
        <w:t xml:space="preserve"> </w:t>
      </w:r>
      <w:r>
        <w:t xml:space="preserve">· Changes of antimicrobial peptides and transepidermal water loss after topical application of tacrolimus and ceramide-dominant emollient in patients with atopic dermatitis. PMID 20436715</w:t>
      </w:r>
    </w:p>
    <w:p>
      <w:pPr>
        <w:numPr>
          <w:ilvl w:val="0"/>
          <w:numId w:val="1392"/>
        </w:numPr>
        <w:pStyle w:val="Compact"/>
      </w:pPr>
      <w:r>
        <w:t xml:space="preserve">2010 · Heilborn JD ·</w:t>
      </w:r>
      <w:r>
        <w:t xml:space="preserve"> </w:t>
      </w:r>
      <w:r>
        <w:rPr>
          <w:iCs/>
          <w:i/>
        </w:rPr>
        <w:t xml:space="preserve">Exp Dermatol</w:t>
      </w:r>
      <w:r>
        <w:t xml:space="preserve"> </w:t>
      </w:r>
      <w:r>
        <w:t xml:space="preserve">· Topical treatment with the vitamin D analogue calcipotriol enhances the upregulation of the antimicrobial protein hCAP18/LL-37 during wounding in human skin in vivo. PMID 19878298</w:t>
      </w:r>
    </w:p>
    <w:p>
      <w:pPr>
        <w:numPr>
          <w:ilvl w:val="0"/>
          <w:numId w:val="1392"/>
        </w:numPr>
        <w:pStyle w:val="Compact"/>
      </w:pPr>
      <w:r>
        <w:t xml:space="preserve">2009 · Misawa Y ·</w:t>
      </w:r>
      <w:r>
        <w:t xml:space="preserve"> </w:t>
      </w:r>
      <w:r>
        <w:rPr>
          <w:iCs/>
          <w:i/>
        </w:rPr>
        <w:t xml:space="preserve">Int J Hematol</w:t>
      </w:r>
      <w:r>
        <w:t xml:space="preserve"> </w:t>
      </w:r>
      <w:r>
        <w:t xml:space="preserve">· Vitamin D(3) induces expression of human cathelicidin antimicrobial peptide 18 in newborns. PMID 19943126</w:t>
      </w:r>
    </w:p>
    <w:p>
      <w:pPr>
        <w:numPr>
          <w:ilvl w:val="0"/>
          <w:numId w:val="1392"/>
        </w:numPr>
        <w:pStyle w:val="Compact"/>
      </w:pPr>
      <w:r>
        <w:t xml:space="preserve">2009 · Levinson P ·</w:t>
      </w:r>
      <w:r>
        <w:t xml:space="preserve"> </w:t>
      </w:r>
      <w:r>
        <w:rPr>
          <w:iCs/>
          <w:i/>
        </w:rPr>
        <w:t xml:space="preserve">AIDS</w:t>
      </w:r>
      <w:r>
        <w:t xml:space="preserve"> </w:t>
      </w:r>
      <w:r>
        <w:t xml:space="preserve">· Levels of innate immune factors in genital fluids: association of alpha defensins and LL-37 with genital infections and increased HIV acquisition. PMID 19114868</w:t>
      </w:r>
    </w:p>
    <w:p>
      <w:pPr>
        <w:numPr>
          <w:ilvl w:val="0"/>
          <w:numId w:val="1392"/>
        </w:numPr>
        <w:pStyle w:val="Compact"/>
      </w:pPr>
      <w:r>
        <w:t xml:space="preserve">2008 · Hata TR ·</w:t>
      </w:r>
      <w:r>
        <w:t xml:space="preserve"> </w:t>
      </w:r>
      <w:r>
        <w:rPr>
          <w:iCs/>
          <w:i/>
        </w:rPr>
        <w:t xml:space="preserve">J Allergy Clin Immunol</w:t>
      </w:r>
      <w:r>
        <w:t xml:space="preserve"> </w:t>
      </w:r>
      <w:r>
        <w:t xml:space="preserve">· Administration of oral vitamin D induces cathelicidin production in atopic individuals. PMID 19014773</w:t>
      </w:r>
    </w:p>
    <w:p>
      <w:pPr>
        <w:numPr>
          <w:ilvl w:val="0"/>
          <w:numId w:val="1392"/>
        </w:numPr>
        <w:pStyle w:val="Compact"/>
      </w:pPr>
      <w:r>
        <w:t xml:space="preserve">2007 · Christensen RD ·</w:t>
      </w:r>
      <w:r>
        <w:t xml:space="preserve"> </w:t>
      </w:r>
      <w:r>
        <w:rPr>
          <w:iCs/>
          <w:i/>
        </w:rPr>
        <w:t xml:space="preserve">J Perinatol</w:t>
      </w:r>
      <w:r>
        <w:t xml:space="preserve"> </w:t>
      </w:r>
      <w:r>
        <w:t xml:space="preserve">· ETCare: a randomized, controlled, masked trial comparing two solutions for upper airway care in the NICU. PMID 17568755</w:t>
      </w:r>
    </w:p>
    <w:p>
      <w:pPr>
        <w:numPr>
          <w:ilvl w:val="0"/>
          <w:numId w:val="1392"/>
        </w:numPr>
        <w:pStyle w:val="Compact"/>
      </w:pPr>
      <w:r>
        <w:t xml:space="preserve">2006 · Schauber J ·</w:t>
      </w:r>
      <w:r>
        <w:t xml:space="preserve"> </w:t>
      </w:r>
      <w:r>
        <w:rPr>
          <w:iCs/>
          <w:i/>
        </w:rPr>
        <w:t xml:space="preserve">Mol Nutr Food Res</w:t>
      </w:r>
      <w:r>
        <w:t xml:space="preserve"> </w:t>
      </w:r>
      <w:r>
        <w:t xml:space="preserve">· Human rectal mucosal gene expression after consumption of digestible and non-digestible carbohydrates. PMID 17039460</w:t>
      </w:r>
    </w:p>
    <w:bookmarkEnd w:id="1135"/>
    <w:bookmarkStart w:id="1136" w:name="ara-290-cibinetide-5"/>
    <w:p>
      <w:pPr>
        <w:pStyle w:val="Heading2"/>
      </w:pPr>
      <w:r>
        <w:t xml:space="preserve">ARA-290 (cibinetide) (5)</w:t>
      </w:r>
    </w:p>
    <w:p>
      <w:pPr>
        <w:numPr>
          <w:ilvl w:val="0"/>
          <w:numId w:val="1393"/>
        </w:numPr>
        <w:pStyle w:val="Compact"/>
      </w:pPr>
      <w:r>
        <w:t xml:space="preserve">2017 · Culver DA ·</w:t>
      </w:r>
      <w:r>
        <w:t xml:space="preserve"> </w:t>
      </w:r>
      <w:r>
        <w:rPr>
          <w:iCs/>
          <w:i/>
        </w:rPr>
        <w:t xml:space="preserve">Invest Ophthalmol Vis Sci</w:t>
      </w:r>
      <w:r>
        <w:t xml:space="preserve"> </w:t>
      </w:r>
      <w:r>
        <w:t xml:space="preserve">· Cibinetide Improves Corneal Nerve Fiber Abundance in Patients With Sarcoidosis-Associated Small Nerve Fiber Loss and Neuropathic Pain. PMID 28475703</w:t>
      </w:r>
    </w:p>
    <w:p>
      <w:pPr>
        <w:numPr>
          <w:ilvl w:val="0"/>
          <w:numId w:val="1393"/>
        </w:numPr>
        <w:pStyle w:val="Compact"/>
      </w:pPr>
      <w:r>
        <w:t xml:space="preserve">2015 · Cerit H ·</w:t>
      </w:r>
      <w:r>
        <w:t xml:space="preserve"> </w:t>
      </w:r>
      <w:r>
        <w:rPr>
          <w:iCs/>
          <w:i/>
        </w:rPr>
        <w:t xml:space="preserve">Eur Neuropsychopharmacol</w:t>
      </w:r>
      <w:r>
        <w:t xml:space="preserve"> </w:t>
      </w:r>
      <w:r>
        <w:t xml:space="preserve">· Testing the antidepressant properties of the peptide ARA290 in a human neuropsychological model of drug action. PMID 26431906</w:t>
      </w:r>
    </w:p>
    <w:p>
      <w:pPr>
        <w:numPr>
          <w:ilvl w:val="0"/>
          <w:numId w:val="1393"/>
        </w:numPr>
        <w:pStyle w:val="Compact"/>
      </w:pPr>
      <w:r>
        <w:t xml:space="preserve">2015 · Brines M ·</w:t>
      </w:r>
      <w:r>
        <w:t xml:space="preserve"> </w:t>
      </w:r>
      <w:r>
        <w:rPr>
          <w:iCs/>
          <w:i/>
        </w:rPr>
        <w:t xml:space="preserve">Mol Med</w:t>
      </w:r>
      <w:r>
        <w:t xml:space="preserve"> </w:t>
      </w:r>
      <w:r>
        <w:t xml:space="preserve">· ARA 290, a nonerythropoietic peptide engineered from erythropoietin, improves metabolic control and neuropathic symptoms in patients with type 2 diabetes. PMID 25387363</w:t>
      </w:r>
    </w:p>
    <w:p>
      <w:pPr>
        <w:numPr>
          <w:ilvl w:val="0"/>
          <w:numId w:val="1393"/>
        </w:numPr>
        <w:pStyle w:val="Compact"/>
      </w:pPr>
      <w:r>
        <w:t xml:space="preserve">2013 · Dahan A ·</w:t>
      </w:r>
      <w:r>
        <w:t xml:space="preserve"> </w:t>
      </w:r>
      <w:r>
        <w:rPr>
          <w:iCs/>
          <w:i/>
        </w:rPr>
        <w:t xml:space="preserve">Mol Med</w:t>
      </w:r>
      <w:r>
        <w:t xml:space="preserve"> </w:t>
      </w:r>
      <w:r>
        <w:t xml:space="preserve">· ARA 290 improves symptoms in patients with sarcoidosis-associated small nerve fiber loss and increases corneal nerve fiber density. PMID 24136731</w:t>
      </w:r>
    </w:p>
    <w:p>
      <w:pPr>
        <w:numPr>
          <w:ilvl w:val="0"/>
          <w:numId w:val="1393"/>
        </w:numPr>
        <w:pStyle w:val="Compact"/>
      </w:pPr>
      <w:r>
        <w:t xml:space="preserve">2012 · Heij L ·</w:t>
      </w:r>
      <w:r>
        <w:t xml:space="preserve"> </w:t>
      </w:r>
      <w:r>
        <w:rPr>
          <w:iCs/>
          <w:i/>
        </w:rPr>
        <w:t xml:space="preserve">Mol Med</w:t>
      </w:r>
      <w:r>
        <w:t xml:space="preserve"> </w:t>
      </w:r>
      <w:r>
        <w:t xml:space="preserve">· Safety and efficacy of ARA 290 in sarcoidosis patients with symptoms of small fiber neuropathy: a randomized, double-blind pilot study. PMID 23168581</w:t>
      </w:r>
    </w:p>
    <w:bookmarkEnd w:id="1136"/>
    <w:bookmarkStart w:id="1137" w:name="larazotide-4"/>
    <w:p>
      <w:pPr>
        <w:pStyle w:val="Heading2"/>
      </w:pPr>
      <w:r>
        <w:t xml:space="preserve">Larazotide (4)</w:t>
      </w:r>
    </w:p>
    <w:p>
      <w:pPr>
        <w:numPr>
          <w:ilvl w:val="0"/>
          <w:numId w:val="1394"/>
        </w:numPr>
        <w:pStyle w:val="Compact"/>
      </w:pPr>
      <w:r>
        <w:t xml:space="preserve">2025 · Yonker LM ·</w:t>
      </w:r>
      <w:r>
        <w:t xml:space="preserve"> </w:t>
      </w:r>
      <w:r>
        <w:rPr>
          <w:iCs/>
          <w:i/>
        </w:rPr>
        <w:t xml:space="preserve">Sci Transl Med</w:t>
      </w:r>
      <w:r>
        <w:t xml:space="preserve"> </w:t>
      </w:r>
      <w:r>
        <w:t xml:space="preserve">· Viral spike antigen clearance and augmented recovery in children with post-COVID multisystem inflammatory syndrome treated with larazotide. PMID 40737433</w:t>
      </w:r>
    </w:p>
    <w:p>
      <w:pPr>
        <w:numPr>
          <w:ilvl w:val="0"/>
          <w:numId w:val="1394"/>
        </w:numPr>
        <w:pStyle w:val="Compact"/>
      </w:pPr>
      <w:r>
        <w:t xml:space="preserve">2015 · Leffler DA ·</w:t>
      </w:r>
      <w:r>
        <w:t xml:space="preserve"> </w:t>
      </w:r>
      <w:r>
        <w:rPr>
          <w:iCs/>
          <w:i/>
        </w:rPr>
        <w:t xml:space="preserve">Gastroenterology</w:t>
      </w:r>
      <w:r>
        <w:t xml:space="preserve"> </w:t>
      </w:r>
      <w:r>
        <w:t xml:space="preserve">· Larazotide acetate for persistent symptoms of celiac disease despite a gluten-free diet: a randomized controlled trial. PMID 25683116</w:t>
      </w:r>
    </w:p>
    <w:p>
      <w:pPr>
        <w:numPr>
          <w:ilvl w:val="0"/>
          <w:numId w:val="1394"/>
        </w:numPr>
        <w:pStyle w:val="Compact"/>
      </w:pPr>
      <w:r>
        <w:t xml:space="preserve">2013 · Kelly CP ·</w:t>
      </w:r>
      <w:r>
        <w:t xml:space="preserve"> </w:t>
      </w:r>
      <w:r>
        <w:rPr>
          <w:iCs/>
          <w:i/>
        </w:rPr>
        <w:t xml:space="preserve">Aliment Pharmacol Ther</w:t>
      </w:r>
      <w:r>
        <w:t xml:space="preserve"> </w:t>
      </w:r>
      <w:r>
        <w:t xml:space="preserve">· Larazotide acetate in patients with coeliac disease undergoing a gluten challenge: a randomised placebo-controlled study. PMID 23163616</w:t>
      </w:r>
    </w:p>
    <w:p>
      <w:pPr>
        <w:numPr>
          <w:ilvl w:val="0"/>
          <w:numId w:val="1394"/>
        </w:numPr>
        <w:pStyle w:val="Compact"/>
      </w:pPr>
      <w:r>
        <w:t xml:space="preserve">2012 · Leffler DA ·</w:t>
      </w:r>
      <w:r>
        <w:t xml:space="preserve"> </w:t>
      </w:r>
      <w:r>
        <w:rPr>
          <w:iCs/>
          <w:i/>
        </w:rPr>
        <w:t xml:space="preserve">Am J Gastroenterol</w:t>
      </w:r>
      <w:r>
        <w:t xml:space="preserve"> </w:t>
      </w:r>
      <w:r>
        <w:t xml:space="preserve">· A randomized, double-blind study of larazotide acetate to prevent the activation of celiac disease during gluten challenge. PMID 22825365</w:t>
      </w:r>
    </w:p>
    <w:bookmarkEnd w:id="1137"/>
    <w:bookmarkStart w:id="1138" w:name="thymaline-en-thymogen-17"/>
    <w:p>
      <w:pPr>
        <w:pStyle w:val="Heading2"/>
      </w:pPr>
      <w:r>
        <w:t xml:space="preserve">Thymaline en thymogen (17)</w:t>
      </w:r>
    </w:p>
    <w:p>
      <w:pPr>
        <w:numPr>
          <w:ilvl w:val="0"/>
          <w:numId w:val="1395"/>
        </w:numPr>
        <w:pStyle w:val="Compact"/>
      </w:pPr>
      <w:r>
        <w:t xml:space="preserve">2015 · Litvinenko GI ·</w:t>
      </w:r>
      <w:r>
        <w:t xml:space="preserve"> </w:t>
      </w:r>
      <w:r>
        <w:rPr>
          <w:iCs/>
          <w:i/>
        </w:rPr>
        <w:t xml:space="preserve">Bull Exp Biol Med</w:t>
      </w:r>
      <w:r>
        <w:t xml:space="preserve"> </w:t>
      </w:r>
      <w:r>
        <w:t xml:space="preserve">· Chrono- and Immunocorrection of Inflammatory Disorders of Internal Reproductive Organs in Women of Reproductive Age. PMID 26033592</w:t>
      </w:r>
    </w:p>
    <w:p>
      <w:pPr>
        <w:numPr>
          <w:ilvl w:val="0"/>
          <w:numId w:val="1395"/>
        </w:numPr>
        <w:pStyle w:val="Compact"/>
      </w:pPr>
      <w:r>
        <w:t xml:space="preserve">2011 · Smirnov VS ·</w:t>
      </w:r>
      <w:r>
        <w:t xml:space="preserve"> </w:t>
      </w:r>
      <w:r>
        <w:rPr>
          <w:iCs/>
          <w:i/>
        </w:rPr>
        <w:t xml:space="preserve">Adv Gerontol</w:t>
      </w:r>
      <w:r>
        <w:t xml:space="preserve"> </w:t>
      </w:r>
      <w:r>
        <w:t xml:space="preserve">· [Application thymogen for preoperative preparation of elderly patients with tumor processes in abdominal cavity]. PMID 21957588</w:t>
      </w:r>
    </w:p>
    <w:p>
      <w:pPr>
        <w:numPr>
          <w:ilvl w:val="0"/>
          <w:numId w:val="1395"/>
        </w:numPr>
        <w:pStyle w:val="Compact"/>
      </w:pPr>
      <w:r>
        <w:t xml:space="preserve">2004 · Kopchak VM ·</w:t>
      </w:r>
      <w:r>
        <w:t xml:space="preserve"> </w:t>
      </w:r>
      <w:r>
        <w:rPr>
          <w:iCs/>
          <w:i/>
        </w:rPr>
        <w:t xml:space="preserve">Klin Khir</w:t>
      </w:r>
      <w:r>
        <w:t xml:space="preserve"> </w:t>
      </w:r>
      <w:r>
        <w:t xml:space="preserve">· [The application efficacy of immunomodulators in complex of treatment of an acute necrotic pancreatitis]. PMID 15560588</w:t>
      </w:r>
    </w:p>
    <w:p>
      <w:pPr>
        <w:numPr>
          <w:ilvl w:val="0"/>
          <w:numId w:val="1395"/>
        </w:numPr>
        <w:pStyle w:val="Compact"/>
      </w:pPr>
      <w:r>
        <w:t xml:space="preserve">2003 · Khavinson VKh ·</w:t>
      </w:r>
      <w:r>
        <w:t xml:space="preserve"> </w:t>
      </w:r>
      <w:r>
        <w:rPr>
          <w:iCs/>
          <w:i/>
        </w:rPr>
        <w:t xml:space="preserve">Neuro Endocrinol Lett</w:t>
      </w:r>
      <w:r>
        <w:t xml:space="preserve"> </w:t>
      </w:r>
      <w:r>
        <w:t xml:space="preserve">· Peptides of pineal gland and thymus prolong human life. PMID 14523363</w:t>
      </w:r>
    </w:p>
    <w:p>
      <w:pPr>
        <w:numPr>
          <w:ilvl w:val="0"/>
          <w:numId w:val="1395"/>
        </w:numPr>
        <w:pStyle w:val="Compact"/>
      </w:pPr>
      <w:r>
        <w:t xml:space="preserve">2000 · Potiĭ VV ·</w:t>
      </w:r>
      <w:r>
        <w:t xml:space="preserve"> </w:t>
      </w:r>
      <w:r>
        <w:rPr>
          <w:iCs/>
          <w:i/>
        </w:rPr>
        <w:t xml:space="preserve">Klin Khir</w:t>
      </w:r>
      <w:r>
        <w:t xml:space="preserve"> </w:t>
      </w:r>
      <w:r>
        <w:t xml:space="preserve">· [Applications of immunomodulators in complex of treatment of the soft tissue purulent wounds]. PMID 11247420</w:t>
      </w:r>
    </w:p>
    <w:p>
      <w:pPr>
        <w:numPr>
          <w:ilvl w:val="0"/>
          <w:numId w:val="1395"/>
        </w:numPr>
        <w:pStyle w:val="Compact"/>
      </w:pPr>
      <w:r>
        <w:t xml:space="preserve">1999 · Medus AI ·</w:t>
      </w:r>
      <w:r>
        <w:t xml:space="preserve"> </w:t>
      </w:r>
      <w:r>
        <w:rPr>
          <w:iCs/>
          <w:i/>
        </w:rPr>
        <w:t xml:space="preserve">Voen Med Zh</w:t>
      </w:r>
      <w:r>
        <w:t xml:space="preserve"> </w:t>
      </w:r>
      <w:r>
        <w:t xml:space="preserve">· [The effect of thymogen on the state of immunity in destructive pulmonary tuberculosis]. PMID 10605346</w:t>
      </w:r>
    </w:p>
    <w:p>
      <w:pPr>
        <w:numPr>
          <w:ilvl w:val="0"/>
          <w:numId w:val="1395"/>
        </w:numPr>
        <w:pStyle w:val="Compact"/>
      </w:pPr>
      <w:r>
        <w:t xml:space="preserve">1999 · Musienko GV ·</w:t>
      </w:r>
      <w:r>
        <w:t xml:space="preserve"> </w:t>
      </w:r>
      <w:r>
        <w:rPr>
          <w:iCs/>
          <w:i/>
        </w:rPr>
        <w:t xml:space="preserve">Lik Sprava</w:t>
      </w:r>
      <w:r>
        <w:t xml:space="preserve"> </w:t>
      </w:r>
      <w:r>
        <w:t xml:space="preserve">· [Thymalin in the combined treatment of parkinsonism patients]. PMID 10424021</w:t>
      </w:r>
    </w:p>
    <w:p>
      <w:pPr>
        <w:numPr>
          <w:ilvl w:val="0"/>
          <w:numId w:val="1395"/>
        </w:numPr>
        <w:pStyle w:val="Compact"/>
      </w:pPr>
      <w:r>
        <w:t xml:space="preserve">1994 · Bushmelev VA ·</w:t>
      </w:r>
      <w:r>
        <w:t xml:space="preserve"> </w:t>
      </w:r>
      <w:r>
        <w:rPr>
          <w:iCs/>
          <w:i/>
        </w:rPr>
        <w:t xml:space="preserve">Khirurgiia (Mosk)</w:t>
      </w:r>
      <w:r>
        <w:t xml:space="preserve"> </w:t>
      </w:r>
      <w:r>
        <w:t xml:space="preserve">· [Prevention of postoperative complications in diffuse purulent peritonitis in children]. PMID 7990325</w:t>
      </w:r>
    </w:p>
    <w:p>
      <w:pPr>
        <w:numPr>
          <w:ilvl w:val="0"/>
          <w:numId w:val="1395"/>
        </w:numPr>
        <w:pStyle w:val="Compact"/>
      </w:pPr>
      <w:r>
        <w:t xml:space="preserve">1994 · Litvinova NV ·</w:t>
      </w:r>
      <w:r>
        <w:t xml:space="preserve"> </w:t>
      </w:r>
      <w:r>
        <w:rPr>
          <w:iCs/>
          <w:i/>
        </w:rPr>
        <w:t xml:space="preserve">Probl Tuberk</w:t>
      </w:r>
      <w:r>
        <w:t xml:space="preserve"> </w:t>
      </w:r>
      <w:r>
        <w:t xml:space="preserve">· [Changes of immune and non-specific reactivity in patients with chronic suppurative obstructive bronchitis in comprehensive treatment with thymogen]. PMID 7984617</w:t>
      </w:r>
    </w:p>
    <w:p>
      <w:pPr>
        <w:numPr>
          <w:ilvl w:val="0"/>
          <w:numId w:val="1395"/>
        </w:numPr>
        <w:pStyle w:val="Compact"/>
      </w:pPr>
      <w:r>
        <w:t xml:space="preserve">1994 · Ivanova LA ·</w:t>
      </w:r>
      <w:r>
        <w:t xml:space="preserve"> </w:t>
      </w:r>
      <w:r>
        <w:rPr>
          <w:iCs/>
          <w:i/>
        </w:rPr>
        <w:t xml:space="preserve">Probl Tuberk</w:t>
      </w:r>
      <w:r>
        <w:t xml:space="preserve"> </w:t>
      </w:r>
      <w:r>
        <w:t xml:space="preserve">· [Immunotherapy in the combined treatment of chronic destructive pulmonary tuberculosis]. PMID 7937662</w:t>
      </w:r>
    </w:p>
    <w:p>
      <w:pPr>
        <w:numPr>
          <w:ilvl w:val="0"/>
          <w:numId w:val="1395"/>
        </w:numPr>
        <w:pStyle w:val="Compact"/>
      </w:pPr>
      <w:r>
        <w:t xml:space="preserve">1992 · Tsvelev IuV ·</w:t>
      </w:r>
      <w:r>
        <w:t xml:space="preserve"> </w:t>
      </w:r>
      <w:r>
        <w:rPr>
          <w:iCs/>
          <w:i/>
        </w:rPr>
        <w:t xml:space="preserve">Akush Ginekol (Mosk)</w:t>
      </w:r>
      <w:r>
        <w:t xml:space="preserve"> </w:t>
      </w:r>
      <w:r>
        <w:t xml:space="preserve">· [Thymogen in the complex treatment of inflammatory diseases of the female genital system]. PMID 1476231</w:t>
      </w:r>
    </w:p>
    <w:p>
      <w:pPr>
        <w:numPr>
          <w:ilvl w:val="0"/>
          <w:numId w:val="1395"/>
        </w:numPr>
        <w:pStyle w:val="Compact"/>
      </w:pPr>
      <w:r>
        <w:t xml:space="preserve">1992 · Tkach SM ·</w:t>
      </w:r>
      <w:r>
        <w:t xml:space="preserve"> </w:t>
      </w:r>
      <w:r>
        <w:rPr>
          <w:iCs/>
          <w:i/>
        </w:rPr>
        <w:t xml:space="preserve">Lik Sprava</w:t>
      </w:r>
      <w:r>
        <w:t xml:space="preserve"> </w:t>
      </w:r>
      <w:r>
        <w:t xml:space="preserve">· [Differentiated immunocorrective therapy in nonspecific ulcerative colitis]. PMID 1441366</w:t>
      </w:r>
    </w:p>
    <w:p>
      <w:pPr>
        <w:numPr>
          <w:ilvl w:val="0"/>
          <w:numId w:val="1395"/>
        </w:numPr>
        <w:pStyle w:val="Compact"/>
      </w:pPr>
      <w:r>
        <w:t xml:space="preserve">1990 · Govorin NV ·</w:t>
      </w:r>
      <w:r>
        <w:t xml:space="preserve"> </w:t>
      </w:r>
      <w:r>
        <w:rPr>
          <w:iCs/>
          <w:i/>
        </w:rPr>
        <w:t xml:space="preserve">Zh Nevropatol Psikhiatr Im S S Korsakova</w:t>
      </w:r>
      <w:r>
        <w:t xml:space="preserve"> </w:t>
      </w:r>
      <w:r>
        <w:t xml:space="preserve">· [Use of thymic peptide thymalin in the complex treatment of therapy-resistant schizophrenia]. PMID 2163147</w:t>
      </w:r>
    </w:p>
    <w:p>
      <w:pPr>
        <w:numPr>
          <w:ilvl w:val="0"/>
          <w:numId w:val="1395"/>
        </w:numPr>
        <w:pStyle w:val="Compact"/>
      </w:pPr>
      <w:r>
        <w:t xml:space="preserve">1990 · Kogosova LS ·</w:t>
      </w:r>
      <w:r>
        <w:t xml:space="preserve"> </w:t>
      </w:r>
      <w:r>
        <w:rPr>
          <w:iCs/>
          <w:i/>
        </w:rPr>
        <w:t xml:space="preserve">Probl Tuberk</w:t>
      </w:r>
      <w:r>
        <w:t xml:space="preserve"> </w:t>
      </w:r>
      <w:r>
        <w:t xml:space="preserve">· [Effectiveness of administration of thymalin in the complex treatment of pulmonary tuberculosis]. PMID 2080155</w:t>
      </w:r>
    </w:p>
    <w:p>
      <w:pPr>
        <w:numPr>
          <w:ilvl w:val="0"/>
          <w:numId w:val="1395"/>
        </w:numPr>
        <w:pStyle w:val="Compact"/>
      </w:pPr>
      <w:r>
        <w:t xml:space="preserve">1987 · Pateiuk VG ·</w:t>
      </w:r>
      <w:r>
        <w:t xml:space="preserve"> </w:t>
      </w:r>
      <w:r>
        <w:rPr>
          <w:iCs/>
          <w:i/>
        </w:rPr>
        <w:t xml:space="preserve">Klin Med (Mosk)</w:t>
      </w:r>
      <w:r>
        <w:t xml:space="preserve"> </w:t>
      </w:r>
      <w:r>
        <w:t xml:space="preserve">· [Thymalin in the treatment of patients with erysipelas]. PMID 3312790</w:t>
      </w:r>
    </w:p>
    <w:p>
      <w:pPr>
        <w:numPr>
          <w:ilvl w:val="0"/>
          <w:numId w:val="1395"/>
        </w:numPr>
        <w:pStyle w:val="Compact"/>
      </w:pPr>
      <w:r>
        <w:t xml:space="preserve">1985 · Boĭko IN ·</w:t>
      </w:r>
      <w:r>
        <w:t xml:space="preserve"> </w:t>
      </w:r>
      <w:r>
        <w:rPr>
          <w:iCs/>
          <w:i/>
        </w:rPr>
        <w:t xml:space="preserve">Voen Med Zh</w:t>
      </w:r>
      <w:r>
        <w:t xml:space="preserve"> </w:t>
      </w:r>
      <w:r>
        <w:t xml:space="preserve">· [Effectiveness of thymalin and prodigiozan in the complex treatment of patients with dysentery]. PMID 3901509</w:t>
      </w:r>
    </w:p>
    <w:p>
      <w:pPr>
        <w:numPr>
          <w:ilvl w:val="0"/>
          <w:numId w:val="1395"/>
        </w:numPr>
        <w:pStyle w:val="Compact"/>
      </w:pPr>
      <w:r>
        <w:t xml:space="preserve">1982 · Khavinson VKh ·</w:t>
      </w:r>
      <w:r>
        <w:t xml:space="preserve"> </w:t>
      </w:r>
      <w:r>
        <w:rPr>
          <w:iCs/>
          <w:i/>
        </w:rPr>
        <w:t xml:space="preserve">Voen Med Zh</w:t>
      </w:r>
      <w:r>
        <w:t xml:space="preserve"> </w:t>
      </w:r>
      <w:r>
        <w:t xml:space="preserve">· [Experimental and clinical study of a new immunoregulator preparation thymalin]. PMID 7048731</w:t>
      </w:r>
    </w:p>
    <w:bookmarkEnd w:id="1138"/>
    <w:bookmarkStart w:id="1139" w:name="sermoreline-0"/>
    <w:p>
      <w:pPr>
        <w:pStyle w:val="Heading2"/>
      </w:pPr>
      <w:r>
        <w:t xml:space="preserve">Sermoreline (0)</w:t>
      </w:r>
    </w:p>
    <w:p>
      <w:pPr>
        <w:pStyle w:val="FirstParagraph"/>
      </w:pPr>
      <w:r>
        <w:t xml:space="preserve">Geen publicaties van klinische studies bij mensen gevonden.</w:t>
      </w:r>
    </w:p>
    <w:bookmarkEnd w:id="1139"/>
    <w:bookmarkStart w:id="1140" w:name="tesamoreline-23"/>
    <w:p>
      <w:pPr>
        <w:pStyle w:val="Heading2"/>
      </w:pPr>
      <w:r>
        <w:t xml:space="preserve">Tesamoreline (23)</w:t>
      </w:r>
    </w:p>
    <w:p>
      <w:pPr>
        <w:numPr>
          <w:ilvl w:val="0"/>
          <w:numId w:val="1396"/>
        </w:numPr>
        <w:pStyle w:val="Compact"/>
      </w:pPr>
      <w:r>
        <w:t xml:space="preserve">2025 · Ellis RJ ·</w:t>
      </w:r>
      <w:r>
        <w:t xml:space="preserve"> </w:t>
      </w:r>
      <w:r>
        <w:rPr>
          <w:iCs/>
          <w:i/>
        </w:rPr>
        <w:t xml:space="preserve">J Infect Dis</w:t>
      </w:r>
      <w:r>
        <w:t xml:space="preserve"> </w:t>
      </w:r>
      <w:r>
        <w:t xml:space="preserve">· Effects of Tesamorelin on Neurocognitive Impairment in Persons With HIV and Abdominal Obesity. PMID 39813152</w:t>
      </w:r>
    </w:p>
    <w:p>
      <w:pPr>
        <w:numPr>
          <w:ilvl w:val="0"/>
          <w:numId w:val="1396"/>
        </w:numPr>
        <w:pStyle w:val="Compact"/>
      </w:pPr>
      <w:r>
        <w:t xml:space="preserve">2024 · Russo SC ·</w:t>
      </w:r>
      <w:r>
        <w:t xml:space="preserve"> </w:t>
      </w:r>
      <w:r>
        <w:rPr>
          <w:iCs/>
          <w:i/>
        </w:rPr>
        <w:t xml:space="preserve">AIDS</w:t>
      </w:r>
      <w:r>
        <w:t xml:space="preserve"> </w:t>
      </w:r>
      <w:r>
        <w:t xml:space="preserve">· Efficacy and safety of tesamorelin in people with HIV on integrase inhibitors. PMID 38905488</w:t>
      </w:r>
    </w:p>
    <w:p>
      <w:pPr>
        <w:numPr>
          <w:ilvl w:val="0"/>
          <w:numId w:val="1396"/>
        </w:numPr>
        <w:pStyle w:val="Compact"/>
      </w:pPr>
      <w:r>
        <w:t xml:space="preserve">2021 · Stanley TL ·</w:t>
      </w:r>
      <w:r>
        <w:t xml:space="preserve"> </w:t>
      </w:r>
      <w:r>
        <w:rPr>
          <w:iCs/>
          <w:i/>
        </w:rPr>
        <w:t xml:space="preserve">Clin Infect Dis</w:t>
      </w:r>
      <w:r>
        <w:t xml:space="preserve"> </w:t>
      </w:r>
      <w:r>
        <w:t xml:space="preserve">· Growth Hormone Releasing Hormone Reduces Circulating Markers of Immune Activation in Parallel with Effects on Hepatic Immune Pathways in Individuals with HIV-infection and Nonalcoholic Fatty Liver Disease. PMID 33852720</w:t>
      </w:r>
    </w:p>
    <w:p>
      <w:pPr>
        <w:numPr>
          <w:ilvl w:val="0"/>
          <w:numId w:val="1396"/>
        </w:numPr>
        <w:pStyle w:val="Compact"/>
      </w:pPr>
      <w:r>
        <w:t xml:space="preserve">2021 · Fourman LT ·</w:t>
      </w:r>
      <w:r>
        <w:t xml:space="preserve"> </w:t>
      </w:r>
      <w:r>
        <w:rPr>
          <w:iCs/>
          <w:i/>
        </w:rPr>
        <w:t xml:space="preserve">Clin Infect Dis</w:t>
      </w:r>
      <w:r>
        <w:t xml:space="preserve"> </w:t>
      </w:r>
      <w:r>
        <w:t xml:space="preserve">· Clinical Predictors of Liver Fibrosis Presence and Progression in Human Immunodeficiency Virus-Associated Nonalcoholic Fatty Liver Disease. PMID 32270862</w:t>
      </w:r>
    </w:p>
    <w:p>
      <w:pPr>
        <w:numPr>
          <w:ilvl w:val="0"/>
          <w:numId w:val="1396"/>
        </w:numPr>
        <w:pStyle w:val="Compact"/>
      </w:pPr>
      <w:r>
        <w:t xml:space="preserve">2020 · Fourman LT ·</w:t>
      </w:r>
      <w:r>
        <w:t xml:space="preserve"> </w:t>
      </w:r>
      <w:r>
        <w:rPr>
          <w:iCs/>
          <w:i/>
        </w:rPr>
        <w:t xml:space="preserve">JCI Insight</w:t>
      </w:r>
      <w:r>
        <w:t xml:space="preserve"> </w:t>
      </w:r>
      <w:r>
        <w:t xml:space="preserve">· Effects of tesamorelin on hepatic transcriptomic signatures in HIV-associated NAFLD. PMID 32701508</w:t>
      </w:r>
    </w:p>
    <w:p>
      <w:pPr>
        <w:numPr>
          <w:ilvl w:val="0"/>
          <w:numId w:val="1396"/>
        </w:numPr>
        <w:pStyle w:val="Compact"/>
      </w:pPr>
      <w:r>
        <w:t xml:space="preserve">2019 · Stanley TL ·</w:t>
      </w:r>
      <w:r>
        <w:t xml:space="preserve"> </w:t>
      </w:r>
      <w:r>
        <w:rPr>
          <w:iCs/>
          <w:i/>
        </w:rPr>
        <w:t xml:space="preserve">Lancet HIV</w:t>
      </w:r>
      <w:r>
        <w:t xml:space="preserve"> </w:t>
      </w:r>
      <w:r>
        <w:t xml:space="preserve">· Effects of tesamorelin on non-alcoholic fatty liver disease in HIV: a randomised, double-blind, multicentre trial. PMID 31611038</w:t>
      </w:r>
    </w:p>
    <w:p>
      <w:pPr>
        <w:numPr>
          <w:ilvl w:val="0"/>
          <w:numId w:val="1396"/>
        </w:numPr>
        <w:pStyle w:val="Compact"/>
      </w:pPr>
      <w:r>
        <w:t xml:space="preserve">2019 · Adrian S ·</w:t>
      </w:r>
      <w:r>
        <w:t xml:space="preserve"> </w:t>
      </w:r>
      <w:r>
        <w:rPr>
          <w:iCs/>
          <w:i/>
        </w:rPr>
        <w:t xml:space="preserve">J Frailty Aging</w:t>
      </w:r>
      <w:r>
        <w:t xml:space="preserve"> </w:t>
      </w:r>
      <w:r>
        <w:t xml:space="preserve">· The Growth Hormone Releasing Hormone Analogue, Tesamorelin, Decreases Muscle Fat and Increases Muscle Area in Adults with HIV. PMID 31237318</w:t>
      </w:r>
    </w:p>
    <w:p>
      <w:pPr>
        <w:numPr>
          <w:ilvl w:val="0"/>
          <w:numId w:val="1396"/>
        </w:numPr>
        <w:pStyle w:val="Compact"/>
      </w:pPr>
      <w:r>
        <w:t xml:space="preserve">2017 · Braun LR ·</w:t>
      </w:r>
      <w:r>
        <w:t xml:space="preserve"> </w:t>
      </w:r>
      <w:r>
        <w:rPr>
          <w:iCs/>
          <w:i/>
        </w:rPr>
        <w:t xml:space="preserve">Growth Horm IGF Res</w:t>
      </w:r>
      <w:r>
        <w:t xml:space="preserve"> </w:t>
      </w:r>
      <w:r>
        <w:t xml:space="preserve">· Fibroblast growth factor 21 decreases after liver fat reduction via growth hormone augmentation. PMID 29031905</w:t>
      </w:r>
    </w:p>
    <w:p>
      <w:pPr>
        <w:numPr>
          <w:ilvl w:val="0"/>
          <w:numId w:val="1396"/>
        </w:numPr>
        <w:pStyle w:val="Compact"/>
      </w:pPr>
      <w:r>
        <w:t xml:space="preserve">2017 · Clemmons DR ·</w:t>
      </w:r>
      <w:r>
        <w:t xml:space="preserve"> </w:t>
      </w:r>
      <w:r>
        <w:rPr>
          <w:iCs/>
          <w:i/>
        </w:rPr>
        <w:t xml:space="preserve">PLoS One</w:t>
      </w:r>
      <w:r>
        <w:t xml:space="preserve"> </w:t>
      </w:r>
      <w:r>
        <w:t xml:space="preserve">· Safety and metabolic effects of tesamorelin, a growth hormone-releasing factor analogue, in patients with type 2 diabetes: A randomized, placebo-controlled trial. PMID 28617838</w:t>
      </w:r>
    </w:p>
    <w:p>
      <w:pPr>
        <w:numPr>
          <w:ilvl w:val="0"/>
          <w:numId w:val="1396"/>
        </w:numPr>
        <w:pStyle w:val="Compact"/>
      </w:pPr>
      <w:r>
        <w:t xml:space="preserve">2015 · Mangili A ·</w:t>
      </w:r>
      <w:r>
        <w:t xml:space="preserve"> </w:t>
      </w:r>
      <w:r>
        <w:rPr>
          <w:iCs/>
          <w:i/>
        </w:rPr>
        <w:t xml:space="preserve">PLoS One</w:t>
      </w:r>
      <w:r>
        <w:t xml:space="preserve"> </w:t>
      </w:r>
      <w:r>
        <w:t xml:space="preserve">· Predictors of Treatment Response to Tesamorelin, a Growth Hormone-Releasing Factor Analog, in HIV-Infected Patients with Excess Abdominal Fat. PMID 26457580</w:t>
      </w:r>
    </w:p>
    <w:p>
      <w:pPr>
        <w:numPr>
          <w:ilvl w:val="0"/>
          <w:numId w:val="1396"/>
        </w:numPr>
        <w:pStyle w:val="Compact"/>
      </w:pPr>
      <w:r>
        <w:t xml:space="preserve">2015 · González-Sales M ·</w:t>
      </w:r>
      <w:r>
        <w:t xml:space="preserve"> </w:t>
      </w:r>
      <w:r>
        <w:rPr>
          <w:iCs/>
          <w:i/>
        </w:rPr>
        <w:t xml:space="preserve">J Pharmacokinet Pharmacodyn</w:t>
      </w:r>
      <w:r>
        <w:t xml:space="preserve"> </w:t>
      </w:r>
      <w:r>
        <w:t xml:space="preserve">· Population pharmacokinetic and pharmacodynamic analysis of tesamorelin in HIV-infected patients and healthy subjects. PMID 25895899</w:t>
      </w:r>
    </w:p>
    <w:p>
      <w:pPr>
        <w:numPr>
          <w:ilvl w:val="0"/>
          <w:numId w:val="1396"/>
        </w:numPr>
        <w:pStyle w:val="Compact"/>
      </w:pPr>
      <w:r>
        <w:t xml:space="preserve">2015 · González-Sales M ·</w:t>
      </w:r>
      <w:r>
        <w:t xml:space="preserve"> </w:t>
      </w:r>
      <w:r>
        <w:rPr>
          <w:iCs/>
          <w:i/>
        </w:rPr>
        <w:t xml:space="preserve">Clin Pharmacokinet</w:t>
      </w:r>
      <w:r>
        <w:t xml:space="preserve"> </w:t>
      </w:r>
      <w:r>
        <w:t xml:space="preserve">· Population pharmacokinetic analysis of tesamorelin in HIV-infected patients and healthy subjects. PMID 25358450</w:t>
      </w:r>
    </w:p>
    <w:p>
      <w:pPr>
        <w:numPr>
          <w:ilvl w:val="0"/>
          <w:numId w:val="1396"/>
        </w:numPr>
        <w:pStyle w:val="Compact"/>
      </w:pPr>
      <w:r>
        <w:t xml:space="preserve">2014 · Stanley TL ·</w:t>
      </w:r>
      <w:r>
        <w:t xml:space="preserve"> </w:t>
      </w:r>
      <w:r>
        <w:rPr>
          <w:iCs/>
          <w:i/>
        </w:rPr>
        <w:t xml:space="preserve">JAMA</w:t>
      </w:r>
      <w:r>
        <w:t xml:space="preserve"> </w:t>
      </w:r>
      <w:r>
        <w:t xml:space="preserve">· Effect of tesamorelin on visceral fat and liver fat in HIV-infected patients with abdominal fat accumulation: a randomized clinical trial. PMID 25038357</w:t>
      </w:r>
    </w:p>
    <w:p>
      <w:pPr>
        <w:numPr>
          <w:ilvl w:val="0"/>
          <w:numId w:val="1396"/>
        </w:numPr>
        <w:pStyle w:val="Compact"/>
      </w:pPr>
      <w:r>
        <w:t xml:space="preserve">2014 · Makimura H ·</w:t>
      </w:r>
      <w:r>
        <w:t xml:space="preserve"> </w:t>
      </w:r>
      <w:r>
        <w:rPr>
          <w:iCs/>
          <w:i/>
        </w:rPr>
        <w:t xml:space="preserve">J Clin Endocrinol Metab</w:t>
      </w:r>
      <w:r>
        <w:t xml:space="preserve"> </w:t>
      </w:r>
      <w:r>
        <w:t xml:space="preserve">· The effects of tesamorelin on phosphocreatine recovery in obese subjects with reduced GH. PMID 24178787</w:t>
      </w:r>
    </w:p>
    <w:p>
      <w:pPr>
        <w:numPr>
          <w:ilvl w:val="0"/>
          <w:numId w:val="1396"/>
        </w:numPr>
        <w:pStyle w:val="Compact"/>
      </w:pPr>
      <w:r>
        <w:t xml:space="preserve">2013 · Friedman SD ·</w:t>
      </w:r>
      <w:r>
        <w:t xml:space="preserve"> </w:t>
      </w:r>
      <w:r>
        <w:rPr>
          <w:iCs/>
          <w:i/>
        </w:rPr>
        <w:t xml:space="preserve">JAMA Neurol</w:t>
      </w:r>
      <w:r>
        <w:t xml:space="preserve"> </w:t>
      </w:r>
      <w:r>
        <w:t xml:space="preserve">· Growth hormone-releasing hormone effects on brain γ-aminobutyric acid levels in mild cognitive impairment and healthy aging. PMID 23689947</w:t>
      </w:r>
    </w:p>
    <w:p>
      <w:pPr>
        <w:numPr>
          <w:ilvl w:val="0"/>
          <w:numId w:val="1396"/>
        </w:numPr>
        <w:pStyle w:val="Compact"/>
      </w:pPr>
      <w:r>
        <w:t xml:space="preserve">2012 · Makimura H ·</w:t>
      </w:r>
      <w:r>
        <w:t xml:space="preserve"> </w:t>
      </w:r>
      <w:r>
        <w:rPr>
          <w:iCs/>
          <w:i/>
        </w:rPr>
        <w:t xml:space="preserve">J Clin Endocrinol Metab</w:t>
      </w:r>
      <w:r>
        <w:t xml:space="preserve"> </w:t>
      </w:r>
      <w:r>
        <w:t xml:space="preserve">· Metabolic effects of a growth hormone-releasing factor in obese subjects with reduced growth hormone secretion: a randomized controlled trial. PMID 23015655</w:t>
      </w:r>
    </w:p>
    <w:p>
      <w:pPr>
        <w:numPr>
          <w:ilvl w:val="0"/>
          <w:numId w:val="1396"/>
        </w:numPr>
        <w:pStyle w:val="Compact"/>
      </w:pPr>
      <w:r>
        <w:t xml:space="preserve">2012 · Baker LD ·</w:t>
      </w:r>
      <w:r>
        <w:t xml:space="preserve"> </w:t>
      </w:r>
      <w:r>
        <w:rPr>
          <w:iCs/>
          <w:i/>
        </w:rPr>
        <w:t xml:space="preserve">Arch Neurol</w:t>
      </w:r>
      <w:r>
        <w:t xml:space="preserve"> </w:t>
      </w:r>
      <w:r>
        <w:t xml:space="preserve">· Effects of growth hormone–releasing hormone on cognitive function in adults with mild cognitive impairment and healthy older adults: results of a controlled trial. PMID 22869065</w:t>
      </w:r>
    </w:p>
    <w:p>
      <w:pPr>
        <w:numPr>
          <w:ilvl w:val="0"/>
          <w:numId w:val="1396"/>
        </w:numPr>
        <w:pStyle w:val="Compact"/>
      </w:pPr>
      <w:r>
        <w:t xml:space="preserve">2012 · Stanley TL ·</w:t>
      </w:r>
      <w:r>
        <w:t xml:space="preserve"> </w:t>
      </w:r>
      <w:r>
        <w:rPr>
          <w:iCs/>
          <w:i/>
        </w:rPr>
        <w:t xml:space="preserve">Clin Infect Dis</w:t>
      </w:r>
      <w:r>
        <w:t xml:space="preserve"> </w:t>
      </w:r>
      <w:r>
        <w:t xml:space="preserve">· Reduction in visceral adiposity is associated with an improved metabolic profile in HIV-infected patients receiving tesamorelin. PMID 22495074</w:t>
      </w:r>
    </w:p>
    <w:p>
      <w:pPr>
        <w:numPr>
          <w:ilvl w:val="0"/>
          <w:numId w:val="1396"/>
        </w:numPr>
        <w:pStyle w:val="Compact"/>
      </w:pPr>
      <w:r>
        <w:t xml:space="preserve">2011 · Makimura H ·</w:t>
      </w:r>
      <w:r>
        <w:t xml:space="preserve"> </w:t>
      </w:r>
      <w:r>
        <w:rPr>
          <w:iCs/>
          <w:i/>
        </w:rPr>
        <w:t xml:space="preserve">Growth Horm IGF Res</w:t>
      </w:r>
      <w:r>
        <w:t xml:space="preserve"> </w:t>
      </w:r>
      <w:r>
        <w:t xml:space="preserve">· Relationship of adiponectin to endogenous GH pulse secretion parameters in response to stimulation with a growth hormone releasing factor. PMID 21531600</w:t>
      </w:r>
    </w:p>
    <w:p>
      <w:pPr>
        <w:numPr>
          <w:ilvl w:val="0"/>
          <w:numId w:val="1396"/>
        </w:numPr>
        <w:pStyle w:val="Compact"/>
      </w:pPr>
      <w:r>
        <w:t xml:space="preserve">2011 · Stanley TL ·</w:t>
      </w:r>
      <w:r>
        <w:t xml:space="preserve"> </w:t>
      </w:r>
      <w:r>
        <w:rPr>
          <w:iCs/>
          <w:i/>
        </w:rPr>
        <w:t xml:space="preserve">AIDS</w:t>
      </w:r>
      <w:r>
        <w:t xml:space="preserve"> </w:t>
      </w:r>
      <w:r>
        <w:t xml:space="preserve">· Effects of tesamorelin on inflammatory markers in HIV patients with excess abdominal fat: relationship with visceral adipose reduction. PMID 21516030</w:t>
      </w:r>
    </w:p>
    <w:p>
      <w:pPr>
        <w:numPr>
          <w:ilvl w:val="0"/>
          <w:numId w:val="1396"/>
        </w:numPr>
        <w:pStyle w:val="Compact"/>
      </w:pPr>
      <w:r>
        <w:t xml:space="preserve">2010 · Falutz J ·</w:t>
      </w:r>
      <w:r>
        <w:t xml:space="preserve"> </w:t>
      </w:r>
      <w:r>
        <w:rPr>
          <w:iCs/>
          <w:i/>
        </w:rPr>
        <w:t xml:space="preserve">J Acquir Immune Defic Syndr</w:t>
      </w:r>
      <w:r>
        <w:t xml:space="preserve"> </w:t>
      </w:r>
      <w:r>
        <w:t xml:space="preserve">· Effects of tesamorelin, a growth hormone-releasing factor, in HIV-infected patients with abdominal fat accumulation: a randomized placebo-controlled trial with a safety extension. PMID 20101189</w:t>
      </w:r>
    </w:p>
    <w:p>
      <w:pPr>
        <w:numPr>
          <w:ilvl w:val="0"/>
          <w:numId w:val="1396"/>
        </w:numPr>
        <w:pStyle w:val="Compact"/>
      </w:pPr>
      <w:r>
        <w:t xml:space="preserve">2008 · Falutz J ·</w:t>
      </w:r>
      <w:r>
        <w:t xml:space="preserve"> </w:t>
      </w:r>
      <w:r>
        <w:rPr>
          <w:iCs/>
          <w:i/>
        </w:rPr>
        <w:t xml:space="preserve">AIDS</w:t>
      </w:r>
      <w:r>
        <w:t xml:space="preserve"> </w:t>
      </w:r>
      <w:r>
        <w:t xml:space="preserve">· Long-term safety and effects of tesamorelin, a growth hormone-releasing factor analogue, in HIV patients with abdominal fat accumulation. PMID 18690162</w:t>
      </w:r>
    </w:p>
    <w:p>
      <w:pPr>
        <w:numPr>
          <w:ilvl w:val="0"/>
          <w:numId w:val="1396"/>
        </w:numPr>
        <w:pStyle w:val="Compact"/>
      </w:pPr>
      <w:r>
        <w:t xml:space="preserve">2007 · Falutz J ·</w:t>
      </w:r>
      <w:r>
        <w:t xml:space="preserve"> </w:t>
      </w:r>
      <w:r>
        <w:rPr>
          <w:iCs/>
          <w:i/>
        </w:rPr>
        <w:t xml:space="preserve">N Engl J Med</w:t>
      </w:r>
      <w:r>
        <w:t xml:space="preserve"> </w:t>
      </w:r>
      <w:r>
        <w:t xml:space="preserve">· Metabolic effects of a growth hormone-releasing factor in patients with HIV. PMID 18057338</w:t>
      </w:r>
    </w:p>
    <w:bookmarkEnd w:id="1140"/>
    <w:bookmarkStart w:id="1141" w:name="cjc-1295-2"/>
    <w:p>
      <w:pPr>
        <w:pStyle w:val="Heading2"/>
      </w:pPr>
      <w:r>
        <w:t xml:space="preserve">CJC-1295 (2)</w:t>
      </w:r>
    </w:p>
    <w:p>
      <w:pPr>
        <w:numPr>
          <w:ilvl w:val="0"/>
          <w:numId w:val="1397"/>
        </w:numPr>
        <w:pStyle w:val="Compact"/>
      </w:pPr>
      <w:r>
        <w:t xml:space="preserve">2006 · Ionescu M ·</w:t>
      </w:r>
      <w:r>
        <w:t xml:space="preserve"> </w:t>
      </w:r>
      <w:r>
        <w:rPr>
          <w:iCs/>
          <w:i/>
        </w:rPr>
        <w:t xml:space="preserve">J Clin Endocrinol Metab</w:t>
      </w:r>
      <w:r>
        <w:t xml:space="preserve"> </w:t>
      </w:r>
      <w:r>
        <w:t xml:space="preserve">· Pulsatile secretion of growth hormone (GH) persists during continuous stimulation by CJC-1295, a long-acting GH-releasing hormone analog. PMID 17018654</w:t>
      </w:r>
    </w:p>
    <w:p>
      <w:pPr>
        <w:numPr>
          <w:ilvl w:val="0"/>
          <w:numId w:val="1397"/>
        </w:numPr>
        <w:pStyle w:val="Compact"/>
      </w:pPr>
      <w:r>
        <w:t xml:space="preserve">2006 · Teichman SL ·</w:t>
      </w:r>
      <w:r>
        <w:t xml:space="preserve"> </w:t>
      </w:r>
      <w:r>
        <w:rPr>
          <w:iCs/>
          <w:i/>
        </w:rPr>
        <w:t xml:space="preserve">J Clin Endocrinol Metab</w:t>
      </w:r>
      <w:r>
        <w:t xml:space="preserve"> </w:t>
      </w:r>
      <w:r>
        <w:t xml:space="preserve">· Prolonged stimulation of growth hormone (GH) and insulin-like growth factor I secretion by CJC-1295, a long-acting analog of GH-releasing hormone, in healthy adults. PMID 16352683</w:t>
      </w:r>
    </w:p>
    <w:bookmarkEnd w:id="1141"/>
    <w:bookmarkStart w:id="1142" w:name="ipamoreline-2"/>
    <w:p>
      <w:pPr>
        <w:pStyle w:val="Heading2"/>
      </w:pPr>
      <w:r>
        <w:t xml:space="preserve">Ipamoreline (2)</w:t>
      </w:r>
    </w:p>
    <w:p>
      <w:pPr>
        <w:numPr>
          <w:ilvl w:val="0"/>
          <w:numId w:val="1398"/>
        </w:numPr>
        <w:pStyle w:val="Compact"/>
      </w:pPr>
      <w:r>
        <w:t xml:space="preserve">2014 · Beck DE ·</w:t>
      </w:r>
      <w:r>
        <w:t xml:space="preserve"> </w:t>
      </w:r>
      <w:r>
        <w:rPr>
          <w:iCs/>
          <w:i/>
        </w:rPr>
        <w:t xml:space="preserve">Int J Colorectal Dis</w:t>
      </w:r>
      <w:r>
        <w:t xml:space="preserve"> </w:t>
      </w:r>
      <w:r>
        <w:t xml:space="preserve">· Prospective, randomized, controlled, proof-of-concept study of the Ghrelin mimetic ipamorelin for the management of postoperative ileus in bowel resection patients. PMID 25331030</w:t>
      </w:r>
    </w:p>
    <w:p>
      <w:pPr>
        <w:numPr>
          <w:ilvl w:val="0"/>
          <w:numId w:val="1398"/>
        </w:numPr>
        <w:pStyle w:val="Compact"/>
      </w:pPr>
      <w:r>
        <w:t xml:space="preserve">1999 · Gobburu JV ·</w:t>
      </w:r>
      <w:r>
        <w:t xml:space="preserve"> </w:t>
      </w:r>
      <w:r>
        <w:rPr>
          <w:iCs/>
          <w:i/>
        </w:rPr>
        <w:t xml:space="preserve">Pharm Res</w:t>
      </w:r>
      <w:r>
        <w:t xml:space="preserve"> </w:t>
      </w:r>
      <w:r>
        <w:t xml:space="preserve">· Pharmacokinetic-pharmacodynamic modeling of ipamorelin, a growth hormone releasing peptide, in human volunteers. PMID 10496658</w:t>
      </w:r>
    </w:p>
    <w:bookmarkEnd w:id="1142"/>
    <w:bookmarkStart w:id="1143" w:name="ghrp-2-pralmoreline-55"/>
    <w:p>
      <w:pPr>
        <w:pStyle w:val="Heading2"/>
      </w:pPr>
      <w:r>
        <w:t xml:space="preserve">GHRP-2 (pralmoreline) (55)</w:t>
      </w:r>
    </w:p>
    <w:p>
      <w:pPr>
        <w:numPr>
          <w:ilvl w:val="0"/>
          <w:numId w:val="1399"/>
        </w:numPr>
        <w:pStyle w:val="Compact"/>
      </w:pPr>
      <w:r>
        <w:t xml:space="preserve">2016 · Arimura H ·</w:t>
      </w:r>
      <w:r>
        <w:t xml:space="preserve"> </w:t>
      </w:r>
      <w:r>
        <w:rPr>
          <w:iCs/>
          <w:i/>
        </w:rPr>
        <w:t xml:space="preserve">Endocr J</w:t>
      </w:r>
      <w:r>
        <w:t xml:space="preserve"> </w:t>
      </w:r>
      <w:r>
        <w:t xml:space="preserve">· Investigation of the clinical significance of the growth hormone-releasing peptide-2 test for the diagnosis of secondary adrenal failure. PMID 27020037</w:t>
      </w:r>
    </w:p>
    <w:p>
      <w:pPr>
        <w:numPr>
          <w:ilvl w:val="0"/>
          <w:numId w:val="1399"/>
        </w:numPr>
        <w:pStyle w:val="Compact"/>
      </w:pPr>
      <w:r>
        <w:t xml:space="preserve">2013 · Norman C ·</w:t>
      </w:r>
      <w:r>
        <w:t xml:space="preserve"> </w:t>
      </w:r>
      <w:r>
        <w:rPr>
          <w:iCs/>
          <w:i/>
        </w:rPr>
        <w:t xml:space="preserve">Am J Physiol Regul Integr Comp Physiol</w:t>
      </w:r>
      <w:r>
        <w:t xml:space="preserve"> </w:t>
      </w:r>
      <w:r>
        <w:t xml:space="preserve">· Differential pulsatile secretagogue control of GH secretion in healthy men. PMID 23485864</w:t>
      </w:r>
    </w:p>
    <w:p>
      <w:pPr>
        <w:numPr>
          <w:ilvl w:val="0"/>
          <w:numId w:val="1399"/>
        </w:numPr>
        <w:pStyle w:val="Compact"/>
      </w:pPr>
      <w:r>
        <w:t xml:space="preserve">2011 · Veldhuis JD ·</w:t>
      </w:r>
      <w:r>
        <w:t xml:space="preserve"> </w:t>
      </w:r>
      <w:r>
        <w:rPr>
          <w:iCs/>
          <w:i/>
        </w:rPr>
        <w:t xml:space="preserve">Am J Physiol Regul Integr Comp Physiol</w:t>
      </w:r>
      <w:r>
        <w:t xml:space="preserve"> </w:t>
      </w:r>
      <w:r>
        <w:t xml:space="preserve">· Regulated recovery of pulsatile growth hormone secretion from negative feedback: a preclinical investigation. PMID 21795635</w:t>
      </w:r>
    </w:p>
    <w:p>
      <w:pPr>
        <w:numPr>
          <w:ilvl w:val="0"/>
          <w:numId w:val="1399"/>
        </w:numPr>
        <w:pStyle w:val="Compact"/>
      </w:pPr>
      <w:r>
        <w:t xml:space="preserve">2011 · Veldhuis JD ·</w:t>
      </w:r>
      <w:r>
        <w:t xml:space="preserve"> </w:t>
      </w:r>
      <w:r>
        <w:rPr>
          <w:iCs/>
          <w:i/>
        </w:rPr>
        <w:t xml:space="preserve">J Clin Endocrinol Metab</w:t>
      </w:r>
      <w:r>
        <w:t xml:space="preserve"> </w:t>
      </w:r>
      <w:r>
        <w:t xml:space="preserve">· Gender, sex-steroid, and secretagogue-selective recovery from growth hormone-induced feedback in older women and men. PMID 21613353</w:t>
      </w:r>
    </w:p>
    <w:p>
      <w:pPr>
        <w:numPr>
          <w:ilvl w:val="0"/>
          <w:numId w:val="1399"/>
        </w:numPr>
        <w:pStyle w:val="Compact"/>
      </w:pPr>
      <w:r>
        <w:t xml:space="preserve">2011 · Veldhuis JD ·</w:t>
      </w:r>
      <w:r>
        <w:t xml:space="preserve"> </w:t>
      </w:r>
      <w:r>
        <w:rPr>
          <w:iCs/>
          <w:i/>
        </w:rPr>
        <w:t xml:space="preserve">Am J Physiol Endocrinol Metab</w:t>
      </w:r>
      <w:r>
        <w:t xml:space="preserve"> </w:t>
      </w:r>
      <w:r>
        <w:t xml:space="preserve">· Complex regulation of GH autofeedback under dual-peptide drive: studies under a pharmacological GH and sex steroid clamp. PMID 21467302</w:t>
      </w:r>
    </w:p>
    <w:p>
      <w:pPr>
        <w:numPr>
          <w:ilvl w:val="0"/>
          <w:numId w:val="1399"/>
        </w:numPr>
        <w:pStyle w:val="Compact"/>
      </w:pPr>
      <w:r>
        <w:t xml:space="preserve">2010 · Iranmanesh A ·</w:t>
      </w:r>
      <w:r>
        <w:t xml:space="preserve"> </w:t>
      </w:r>
      <w:r>
        <w:rPr>
          <w:iCs/>
          <w:i/>
        </w:rPr>
        <w:t xml:space="preserve">Eur J Endocrinol</w:t>
      </w:r>
      <w:r>
        <w:t xml:space="preserve"> </w:t>
      </w:r>
      <w:r>
        <w:t xml:space="preserve">· Secretagogue type, sex-steroid milieu, and abdominal visceral adiposity individually determine secretagogue-stimulated cortisol secretion. PMID 20299490</w:t>
      </w:r>
    </w:p>
    <w:p>
      <w:pPr>
        <w:numPr>
          <w:ilvl w:val="0"/>
          <w:numId w:val="1399"/>
        </w:numPr>
        <w:pStyle w:val="Compact"/>
      </w:pPr>
      <w:r>
        <w:t xml:space="preserve">2010 · Hudson SB ·</w:t>
      </w:r>
      <w:r>
        <w:t xml:space="preserve"> </w:t>
      </w:r>
      <w:r>
        <w:rPr>
          <w:iCs/>
          <w:i/>
        </w:rPr>
        <w:t xml:space="preserve">J Clin Endocrinol Metab</w:t>
      </w:r>
      <w:r>
        <w:t xml:space="preserve"> </w:t>
      </w:r>
      <w:r>
        <w:t xml:space="preserve">· Pre- versus postmenopausal age, estradiol, and peptide-secretagogue type determine pulsatile growth hormone secretion in healthy women: studies using submaximal agonist drive and an estrogen clamp. PMID 19858315</w:t>
      </w:r>
    </w:p>
    <w:p>
      <w:pPr>
        <w:numPr>
          <w:ilvl w:val="0"/>
          <w:numId w:val="1399"/>
        </w:numPr>
        <w:pStyle w:val="Compact"/>
      </w:pPr>
      <w:r>
        <w:t xml:space="preserve">2009 · Veldhuis JD ·</w:t>
      </w:r>
      <w:r>
        <w:t xml:space="preserve"> </w:t>
      </w:r>
      <w:r>
        <w:rPr>
          <w:iCs/>
          <w:i/>
        </w:rPr>
        <w:t xml:space="preserve">Am J Physiol Endocrinol Metab</w:t>
      </w:r>
      <w:r>
        <w:t xml:space="preserve"> </w:t>
      </w:r>
      <w:r>
        <w:t xml:space="preserve">· Relative effects of estrogen, age, and visceral fat on pulsatile growth hormone secretion in healthy women. PMID 19470834</w:t>
      </w:r>
    </w:p>
    <w:p>
      <w:pPr>
        <w:numPr>
          <w:ilvl w:val="0"/>
          <w:numId w:val="1399"/>
        </w:numPr>
        <w:pStyle w:val="Compact"/>
      </w:pPr>
      <w:r>
        <w:t xml:space="preserve">2009 · Veldhuis JD ·</w:t>
      </w:r>
      <w:r>
        <w:t xml:space="preserve"> </w:t>
      </w:r>
      <w:r>
        <w:rPr>
          <w:iCs/>
          <w:i/>
        </w:rPr>
        <w:t xml:space="preserve">Eur J Endocrinol</w:t>
      </w:r>
      <w:r>
        <w:t xml:space="preserve"> </w:t>
      </w:r>
      <w:r>
        <w:t xml:space="preserve">· Preservation of GHRH and GH-releasing peptide-2 efficacy in young men with experimentally induced hypogonadism. PMID 19458139</w:t>
      </w:r>
    </w:p>
    <w:p>
      <w:pPr>
        <w:numPr>
          <w:ilvl w:val="0"/>
          <w:numId w:val="1399"/>
        </w:numPr>
        <w:pStyle w:val="Compact"/>
      </w:pPr>
      <w:r>
        <w:t xml:space="preserve">2009 · Veldhuis JD ·</w:t>
      </w:r>
      <w:r>
        <w:t xml:space="preserve"> </w:t>
      </w:r>
      <w:r>
        <w:rPr>
          <w:iCs/>
          <w:i/>
        </w:rPr>
        <w:t xml:space="preserve">J Clin Endocrinol Metab</w:t>
      </w:r>
      <w:r>
        <w:t xml:space="preserve"> </w:t>
      </w:r>
      <w:r>
        <w:t xml:space="preserve">· Factors other than sex steroids modulate GHRH and GHRP-2 efficacies in men: evaluation using a GnRH agonist/testosterone clamp. PMID 19351731</w:t>
      </w:r>
    </w:p>
    <w:p>
      <w:pPr>
        <w:numPr>
          <w:ilvl w:val="0"/>
          <w:numId w:val="1399"/>
        </w:numPr>
        <w:pStyle w:val="Compact"/>
      </w:pPr>
      <w:r>
        <w:t xml:space="preserve">2009 · Veldhuis JD ·</w:t>
      </w:r>
      <w:r>
        <w:t xml:space="preserve"> </w:t>
      </w:r>
      <w:r>
        <w:rPr>
          <w:iCs/>
          <w:i/>
        </w:rPr>
        <w:t xml:space="preserve">J Clin Endocrinol Metab</w:t>
      </w:r>
      <w:r>
        <w:t xml:space="preserve"> </w:t>
      </w:r>
      <w:r>
        <w:t xml:space="preserve">· Novel relationships of age, visceral adiposity, insulin-like growth factor (IGF)-I and IGF binding protein concentrations to growth hormone (GH) releasing-hormone and GH releasing-peptide efficacies in men during experimental hypogonadal clamp. PMID 19351723</w:t>
      </w:r>
    </w:p>
    <w:p>
      <w:pPr>
        <w:numPr>
          <w:ilvl w:val="0"/>
          <w:numId w:val="1399"/>
        </w:numPr>
        <w:pStyle w:val="Compact"/>
      </w:pPr>
      <w:r>
        <w:t xml:space="preserve">2009 · Veldhuis JD ·</w:t>
      </w:r>
      <w:r>
        <w:t xml:space="preserve"> </w:t>
      </w:r>
      <w:r>
        <w:rPr>
          <w:iCs/>
          <w:i/>
        </w:rPr>
        <w:t xml:space="preserve">Am J Physiol Endocrinol Metab</w:t>
      </w:r>
      <w:r>
        <w:t xml:space="preserve"> </w:t>
      </w:r>
      <w:r>
        <w:t xml:space="preserve">· Determinants of GH-releasing hormone and GH-releasing peptide synergy in men. PMID 19240251</w:t>
      </w:r>
    </w:p>
    <w:p>
      <w:pPr>
        <w:numPr>
          <w:ilvl w:val="0"/>
          <w:numId w:val="1399"/>
        </w:numPr>
        <w:pStyle w:val="Compact"/>
      </w:pPr>
      <w:r>
        <w:t xml:space="preserve">2009 · Veldhuis JD ·</w:t>
      </w:r>
      <w:r>
        <w:t xml:space="preserve"> </w:t>
      </w:r>
      <w:r>
        <w:rPr>
          <w:iCs/>
          <w:i/>
        </w:rPr>
        <w:t xml:space="preserve">J Clin Endocrinol Metab</w:t>
      </w:r>
      <w:r>
        <w:t xml:space="preserve"> </w:t>
      </w:r>
      <w:r>
        <w:t xml:space="preserve">· Aromatase and 5alpha-reductase inhibition during an exogenous testosterone clamp unveils selective sex steroid modulation of somatostatin and growth hormone secretagogue actions in healthy older men. PMID 19088159</w:t>
      </w:r>
    </w:p>
    <w:p>
      <w:pPr>
        <w:numPr>
          <w:ilvl w:val="0"/>
          <w:numId w:val="1399"/>
        </w:numPr>
        <w:pStyle w:val="Compact"/>
      </w:pPr>
      <w:r>
        <w:t xml:space="preserve">2008 · Veldhuis JD ·</w:t>
      </w:r>
      <w:r>
        <w:t xml:space="preserve"> </w:t>
      </w:r>
      <w:r>
        <w:rPr>
          <w:iCs/>
          <w:i/>
        </w:rPr>
        <w:t xml:space="preserve">Eur J Endocrinol</w:t>
      </w:r>
      <w:r>
        <w:t xml:space="preserve"> </w:t>
      </w:r>
      <w:r>
        <w:t xml:space="preserve">· Secretagogues govern GH secretory-burst waveform and mass in healthy eugonadal and short-term hypogonadal men. PMID 18703567</w:t>
      </w:r>
    </w:p>
    <w:p>
      <w:pPr>
        <w:numPr>
          <w:ilvl w:val="0"/>
          <w:numId w:val="1399"/>
        </w:numPr>
        <w:pStyle w:val="Compact"/>
      </w:pPr>
      <w:r>
        <w:t xml:space="preserve">2008 · Paulo RC ·</w:t>
      </w:r>
      <w:r>
        <w:t xml:space="preserve"> </w:t>
      </w:r>
      <w:r>
        <w:rPr>
          <w:iCs/>
          <w:i/>
        </w:rPr>
        <w:t xml:space="preserve">J Clin Endocrinol Metab</w:t>
      </w:r>
      <w:r>
        <w:t xml:space="preserve"> </w:t>
      </w:r>
      <w:r>
        <w:t xml:space="preserve">· Gonadal status and body mass index jointly determine growth hormone (GH)-releasing hormone/GH-releasing peptide synergy in healthy men. PMID 18073313</w:t>
      </w:r>
    </w:p>
    <w:p>
      <w:pPr>
        <w:numPr>
          <w:ilvl w:val="0"/>
          <w:numId w:val="1399"/>
        </w:numPr>
        <w:pStyle w:val="Compact"/>
      </w:pPr>
      <w:r>
        <w:t xml:space="preserve">2007 · Veldhuis JD ·</w:t>
      </w:r>
      <w:r>
        <w:t xml:space="preserve"> </w:t>
      </w:r>
      <w:r>
        <w:rPr>
          <w:iCs/>
          <w:i/>
        </w:rPr>
        <w:t xml:space="preserve">Am J Physiol Regul Integr Comp Physiol</w:t>
      </w:r>
      <w:r>
        <w:t xml:space="preserve"> </w:t>
      </w:r>
      <w:r>
        <w:t xml:space="preserve">· Peripheral estrogen receptor-alpha selectively modulates the waveform of GH secretory bursts in healthy women. PMID 17686882</w:t>
      </w:r>
    </w:p>
    <w:p>
      <w:pPr>
        <w:numPr>
          <w:ilvl w:val="0"/>
          <w:numId w:val="1399"/>
        </w:numPr>
        <w:pStyle w:val="Compact"/>
      </w:pPr>
      <w:r>
        <w:t xml:space="preserve">2007 · Chihara K ·</w:t>
      </w:r>
      <w:r>
        <w:t xml:space="preserve"> </w:t>
      </w:r>
      <w:r>
        <w:rPr>
          <w:iCs/>
          <w:i/>
        </w:rPr>
        <w:t xml:space="preserve">Eur J Endocrinol</w:t>
      </w:r>
      <w:r>
        <w:t xml:space="preserve"> </w:t>
      </w:r>
      <w:r>
        <w:t xml:space="preserve">· A simple diagnostic test using GH-releasing peptide-2 in adult GH deficiency. PMID 17609397</w:t>
      </w:r>
    </w:p>
    <w:p>
      <w:pPr>
        <w:numPr>
          <w:ilvl w:val="0"/>
          <w:numId w:val="1399"/>
        </w:numPr>
        <w:pStyle w:val="Compact"/>
      </w:pPr>
      <w:r>
        <w:t xml:space="preserve">2007 · Veldhuis JD ·</w:t>
      </w:r>
      <w:r>
        <w:t xml:space="preserve"> </w:t>
      </w:r>
      <w:r>
        <w:rPr>
          <w:iCs/>
          <w:i/>
        </w:rPr>
        <w:t xml:space="preserve">Am J Physiol Regul Integr Comp Physiol</w:t>
      </w:r>
      <w:r>
        <w:t xml:space="preserve"> </w:t>
      </w:r>
      <w:r>
        <w:t xml:space="preserve">· Estimation of the size and shape of GH secretory bursts in healthy women using a physiological estradiol clamp and variable-waveform deconvolution model. PMID 17537842</w:t>
      </w:r>
    </w:p>
    <w:p>
      <w:pPr>
        <w:numPr>
          <w:ilvl w:val="0"/>
          <w:numId w:val="1399"/>
        </w:numPr>
        <w:pStyle w:val="Compact"/>
      </w:pPr>
      <w:r>
        <w:t xml:space="preserve">2007 · Veldhuis JD ·</w:t>
      </w:r>
      <w:r>
        <w:t xml:space="preserve"> </w:t>
      </w:r>
      <w:r>
        <w:rPr>
          <w:iCs/>
          <w:i/>
        </w:rPr>
        <w:t xml:space="preserve">J Clin Endocrinol Metab</w:t>
      </w:r>
      <w:r>
        <w:t xml:space="preserve"> </w:t>
      </w:r>
      <w:r>
        <w:t xml:space="preserve">· Tripartite control of growth hormone secretion in women during controlled estradiol repletion. PMID 17405836</w:t>
      </w:r>
    </w:p>
    <w:p>
      <w:pPr>
        <w:numPr>
          <w:ilvl w:val="0"/>
          <w:numId w:val="1399"/>
        </w:numPr>
        <w:pStyle w:val="Compact"/>
      </w:pPr>
      <w:r>
        <w:t xml:space="preserve">2006 · Salvatori R ·</w:t>
      </w:r>
      <w:r>
        <w:t xml:space="preserve"> </w:t>
      </w:r>
      <w:r>
        <w:rPr>
          <w:iCs/>
          <w:i/>
        </w:rPr>
        <w:t xml:space="preserve">J Endocrinol Invest</w:t>
      </w:r>
      <w:r>
        <w:t xml:space="preserve"> </w:t>
      </w:r>
      <w:r>
        <w:t xml:space="preserve">· GH response to hypoglycemia and clonidine in the GH-releasing hormone resistance syndrome. PMID 17114911</w:t>
      </w:r>
    </w:p>
    <w:p>
      <w:pPr>
        <w:numPr>
          <w:ilvl w:val="0"/>
          <w:numId w:val="1399"/>
        </w:numPr>
        <w:pStyle w:val="Compact"/>
      </w:pPr>
      <w:r>
        <w:t xml:space="preserve">2006 · Laferrère B ·</w:t>
      </w:r>
      <w:r>
        <w:t xml:space="preserve"> </w:t>
      </w:r>
      <w:r>
        <w:rPr>
          <w:iCs/>
          <w:i/>
        </w:rPr>
        <w:t xml:space="preserve">Obesity (Silver Spring)</w:t>
      </w:r>
      <w:r>
        <w:t xml:space="preserve"> </w:t>
      </w:r>
      <w:r>
        <w:t xml:space="preserve">· Obese subjects respond to the stimulatory effect of the ghrelin agonist growth hormone-releasing peptide-2 on food intake. PMID 16861611</w:t>
      </w:r>
    </w:p>
    <w:p>
      <w:pPr>
        <w:numPr>
          <w:ilvl w:val="0"/>
          <w:numId w:val="1399"/>
        </w:numPr>
        <w:pStyle w:val="Compact"/>
      </w:pPr>
      <w:r>
        <w:t xml:space="preserve">2005 · Veldhuis JD ·</w:t>
      </w:r>
      <w:r>
        <w:t xml:space="preserve"> </w:t>
      </w:r>
      <w:r>
        <w:rPr>
          <w:iCs/>
          <w:i/>
        </w:rPr>
        <w:t xml:space="preserve">Eur J Endocrinol</w:t>
      </w:r>
      <w:r>
        <w:t xml:space="preserve"> </w:t>
      </w:r>
      <w:r>
        <w:t xml:space="preserve">· Testosterone supplementation in healthy older men drives GH and IGF-I secretion without potentiating peptidyl secretagogue efficacy. PMID 16189179</w:t>
      </w:r>
    </w:p>
    <w:p>
      <w:pPr>
        <w:numPr>
          <w:ilvl w:val="0"/>
          <w:numId w:val="1399"/>
        </w:numPr>
        <w:pStyle w:val="Compact"/>
      </w:pPr>
      <w:r>
        <w:t xml:space="preserve">2005 · Soares-Welch C ·</w:t>
      </w:r>
      <w:r>
        <w:t xml:space="preserve"> </w:t>
      </w:r>
      <w:r>
        <w:rPr>
          <w:iCs/>
          <w:i/>
        </w:rPr>
        <w:t xml:space="preserve">Clin Endocrinol (Oxf)</w:t>
      </w:r>
      <w:r>
        <w:t xml:space="preserve"> </w:t>
      </w:r>
      <w:r>
        <w:t xml:space="preserve">· Short-term testosterone supplementation does not activate GH and IGF-I production in postmenopausal women. PMID 15963058</w:t>
      </w:r>
    </w:p>
    <w:p>
      <w:pPr>
        <w:numPr>
          <w:ilvl w:val="0"/>
          <w:numId w:val="1399"/>
        </w:numPr>
        <w:pStyle w:val="Compact"/>
      </w:pPr>
      <w:r>
        <w:t xml:space="preserve">2005 · Veldhuis JD ·</w:t>
      </w:r>
      <w:r>
        <w:t xml:space="preserve"> </w:t>
      </w:r>
      <w:r>
        <w:rPr>
          <w:iCs/>
          <w:i/>
        </w:rPr>
        <w:t xml:space="preserve">J Clin Endocrinol Metab</w:t>
      </w:r>
      <w:r>
        <w:t xml:space="preserve"> </w:t>
      </w:r>
      <w:r>
        <w:t xml:space="preserve">· Joint mechanisms of impaired growth-hormone pulse renewal in aging men. PMID 15811926</w:t>
      </w:r>
    </w:p>
    <w:p>
      <w:pPr>
        <w:numPr>
          <w:ilvl w:val="0"/>
          <w:numId w:val="1399"/>
        </w:numPr>
        <w:pStyle w:val="Compact"/>
      </w:pPr>
      <w:r>
        <w:t xml:space="preserve">2005 · Erickson D ·</w:t>
      </w:r>
      <w:r>
        <w:t xml:space="preserve"> </w:t>
      </w:r>
      <w:r>
        <w:rPr>
          <w:iCs/>
          <w:i/>
        </w:rPr>
        <w:t xml:space="preserve">J Clin Endocrinol Metab</w:t>
      </w:r>
      <w:r>
        <w:t xml:space="preserve"> </w:t>
      </w:r>
      <w:r>
        <w:t xml:space="preserve">· Determinants of dual secretagogue drive of burst-like growth hormone secretion in premenopausal women studied under a selective estradiol clamp. PMID 15613434</w:t>
      </w:r>
    </w:p>
    <w:p>
      <w:pPr>
        <w:numPr>
          <w:ilvl w:val="0"/>
          <w:numId w:val="1399"/>
        </w:numPr>
        <w:pStyle w:val="Compact"/>
      </w:pPr>
      <w:r>
        <w:t xml:space="preserve">2004 · Veldhuis JD ·</w:t>
      </w:r>
      <w:r>
        <w:t xml:space="preserve"> </w:t>
      </w:r>
      <w:r>
        <w:rPr>
          <w:iCs/>
          <w:i/>
        </w:rPr>
        <w:t xml:space="preserve">J Clin Endocrinol Metab</w:t>
      </w:r>
      <w:r>
        <w:t xml:space="preserve"> </w:t>
      </w:r>
      <w:r>
        <w:t xml:space="preserve">· Contributions of gender and systemic estradiol and testosterone concentrations to maximal secretagogue drive of burst-like growth hormone secretion in healthy middle-aged and older adults. PMID 15579792</w:t>
      </w:r>
    </w:p>
    <w:p>
      <w:pPr>
        <w:numPr>
          <w:ilvl w:val="0"/>
          <w:numId w:val="1399"/>
        </w:numPr>
        <w:pStyle w:val="Compact"/>
      </w:pPr>
      <w:r>
        <w:t xml:space="preserve">2004 · Iranmanesh A ·</w:t>
      </w:r>
      <w:r>
        <w:t xml:space="preserve"> </w:t>
      </w:r>
      <w:r>
        <w:rPr>
          <w:iCs/>
          <w:i/>
        </w:rPr>
        <w:t xml:space="preserve">J Clin Endocrinol Metab</w:t>
      </w:r>
      <w:r>
        <w:t xml:space="preserve"> </w:t>
      </w:r>
      <w:r>
        <w:t xml:space="preserve">· Activation of somatostatin-receptor subtype-2/-5 suppresses the mass, frequency, and irregularity of growth hormone (GH)-releasing peptide-2-stimulated GH secretion in men. PMID 15356066</w:t>
      </w:r>
    </w:p>
    <w:p>
      <w:pPr>
        <w:numPr>
          <w:ilvl w:val="0"/>
          <w:numId w:val="1399"/>
        </w:numPr>
        <w:pStyle w:val="Compact"/>
      </w:pPr>
      <w:r>
        <w:t xml:space="preserve">2004 · Veldhuis JD ·</w:t>
      </w:r>
      <w:r>
        <w:t xml:space="preserve"> </w:t>
      </w:r>
      <w:r>
        <w:rPr>
          <w:iCs/>
          <w:i/>
        </w:rPr>
        <w:t xml:space="preserve">J Clin Endocrinol Metab</w:t>
      </w:r>
      <w:r>
        <w:t xml:space="preserve"> </w:t>
      </w:r>
      <w:r>
        <w:t xml:space="preserve">· Short-term testosterone supplementation relieves growth hormone autonegative feedback in men. PMID 15001624</w:t>
      </w:r>
    </w:p>
    <w:p>
      <w:pPr>
        <w:numPr>
          <w:ilvl w:val="0"/>
          <w:numId w:val="1399"/>
        </w:numPr>
        <w:pStyle w:val="Compact"/>
      </w:pPr>
      <w:r>
        <w:t xml:space="preserve">2003 · Mericq V ·</w:t>
      </w:r>
      <w:r>
        <w:t xml:space="preserve"> </w:t>
      </w:r>
      <w:r>
        <w:rPr>
          <w:iCs/>
          <w:i/>
        </w:rPr>
        <w:t xml:space="preserve">J Pediatr Endocrinol Metab</w:t>
      </w:r>
      <w:r>
        <w:t xml:space="preserve"> </w:t>
      </w:r>
      <w:r>
        <w:t xml:space="preserve">· Changes in appetite and body weight in response to long-term oral administration of the ghrelin agonist GHRP-2 in growth hormone deficient children. PMID 14513874</w:t>
      </w:r>
    </w:p>
    <w:p>
      <w:pPr>
        <w:numPr>
          <w:ilvl w:val="0"/>
          <w:numId w:val="1399"/>
        </w:numPr>
        <w:pStyle w:val="Compact"/>
      </w:pPr>
      <w:r>
        <w:t xml:space="preserve">2002 · Van den Berghe G ·</w:t>
      </w:r>
      <w:r>
        <w:t xml:space="preserve"> </w:t>
      </w:r>
      <w:r>
        <w:rPr>
          <w:iCs/>
          <w:i/>
        </w:rPr>
        <w:t xml:space="preserve">Clin Endocrinol (Oxf)</w:t>
      </w:r>
      <w:r>
        <w:t xml:space="preserve"> </w:t>
      </w:r>
      <w:r>
        <w:t xml:space="preserve">· The combined administration of GH-releasing peptide-2 (GHRP-2), TRH and GnRH to men with prolonged critical illness evokes superior endocrine and metabolic effects compared to treatment with GHRP-2 alone. PMID 12030918</w:t>
      </w:r>
    </w:p>
    <w:p>
      <w:pPr>
        <w:numPr>
          <w:ilvl w:val="0"/>
          <w:numId w:val="1399"/>
        </w:numPr>
        <w:pStyle w:val="Compact"/>
      </w:pPr>
      <w:r>
        <w:t xml:space="preserve">2002 · Veldhuis JD ·</w:t>
      </w:r>
      <w:r>
        <w:t xml:space="preserve"> </w:t>
      </w:r>
      <w:r>
        <w:rPr>
          <w:iCs/>
          <w:i/>
        </w:rPr>
        <w:t xml:space="preserve">J Clin Endocrinol Metab</w:t>
      </w:r>
      <w:r>
        <w:t xml:space="preserve"> </w:t>
      </w:r>
      <w:r>
        <w:t xml:space="preserve">· Impact of estradiol supplementation on dual peptidyl drive of GH secretion in postmenopausal women. PMID 11836333</w:t>
      </w:r>
    </w:p>
    <w:p>
      <w:pPr>
        <w:numPr>
          <w:ilvl w:val="0"/>
          <w:numId w:val="1399"/>
        </w:numPr>
        <w:pStyle w:val="Compact"/>
      </w:pPr>
      <w:r>
        <w:t xml:space="preserve">2001 · Anderson SM ·</w:t>
      </w:r>
      <w:r>
        <w:t xml:space="preserve"> </w:t>
      </w:r>
      <w:r>
        <w:rPr>
          <w:iCs/>
          <w:i/>
        </w:rPr>
        <w:t xml:space="preserve">J Clin Endocrinol Metab</w:t>
      </w:r>
      <w:r>
        <w:t xml:space="preserve"> </w:t>
      </w:r>
      <w:r>
        <w:t xml:space="preserve">· E2 supplementation selectively relieves GH’s autonegative feedback on GH-releasing peptide-2-stimulated GH secretion. PMID 11739462</w:t>
      </w:r>
    </w:p>
    <w:p>
      <w:pPr>
        <w:numPr>
          <w:ilvl w:val="0"/>
          <w:numId w:val="1399"/>
        </w:numPr>
        <w:pStyle w:val="Compact"/>
      </w:pPr>
      <w:r>
        <w:t xml:space="preserve">2001 · Bowers CY ·</w:t>
      </w:r>
      <w:r>
        <w:t xml:space="preserve"> </w:t>
      </w:r>
      <w:r>
        <w:rPr>
          <w:iCs/>
          <w:i/>
        </w:rPr>
        <w:t xml:space="preserve">Endocrine</w:t>
      </w:r>
      <w:r>
        <w:t xml:space="preserve"> </w:t>
      </w:r>
      <w:r>
        <w:t xml:space="preserve">· Growth hormone/insulin-like growth factor-1 response to acute and chronic growth hormone-releasing peptide-2, growth hormone-releasing hormone 1-44NH2 and in combination in older men and women with decreased growth hormone secretion. PMID 11322505</w:t>
      </w:r>
    </w:p>
    <w:p>
      <w:pPr>
        <w:numPr>
          <w:ilvl w:val="0"/>
          <w:numId w:val="1399"/>
        </w:numPr>
        <w:pStyle w:val="Compact"/>
      </w:pPr>
      <w:r>
        <w:t xml:space="preserve">2000 · Van Dam PS ·</w:t>
      </w:r>
      <w:r>
        <w:t xml:space="preserve"> </w:t>
      </w:r>
      <w:r>
        <w:rPr>
          <w:iCs/>
          <w:i/>
        </w:rPr>
        <w:t xml:space="preserve">J Clin Endocrinol Metab</w:t>
      </w:r>
      <w:r>
        <w:t xml:space="preserve"> </w:t>
      </w:r>
      <w:r>
        <w:t xml:space="preserve">· Reduction of free fatty acids by acipimox enhances the growth hormone (GH) responses to GH-releasing peptide 2 in elderly men. PMID 11134132</w:t>
      </w:r>
    </w:p>
    <w:p>
      <w:pPr>
        <w:numPr>
          <w:ilvl w:val="0"/>
          <w:numId w:val="1399"/>
        </w:numPr>
        <w:pStyle w:val="Compact"/>
      </w:pPr>
      <w:r>
        <w:t xml:space="preserve">2000 · Wideman L ·</w:t>
      </w:r>
      <w:r>
        <w:t xml:space="preserve"> </w:t>
      </w:r>
      <w:r>
        <w:rPr>
          <w:iCs/>
          <w:i/>
        </w:rPr>
        <w:t xml:space="preserve">Am J Physiol Regul Integr Comp Physiol</w:t>
      </w:r>
      <w:r>
        <w:t xml:space="preserve"> </w:t>
      </w:r>
      <w:r>
        <w:t xml:space="preserve">· Synergy of L-arginine and GHRP-2 stimulation of growth hormone in men and women: modulation by exercise. PMID 11004017</w:t>
      </w:r>
    </w:p>
    <w:p>
      <w:pPr>
        <w:numPr>
          <w:ilvl w:val="0"/>
          <w:numId w:val="1399"/>
        </w:numPr>
        <w:pStyle w:val="Compact"/>
      </w:pPr>
      <w:r>
        <w:t xml:space="preserve">2000 · Shah N ·</w:t>
      </w:r>
      <w:r>
        <w:t xml:space="preserve"> </w:t>
      </w:r>
      <w:r>
        <w:rPr>
          <w:iCs/>
          <w:i/>
        </w:rPr>
        <w:t xml:space="preserve">J Clin Endocrinol Metab</w:t>
      </w:r>
      <w:r>
        <w:t xml:space="preserve"> </w:t>
      </w:r>
      <w:r>
        <w:t xml:space="preserve">· Oral estradiol administration modulates continuous intravenous growth hormone (GH)-releasing peptide-2-driven GH secretion in postmenopausal women. PMID 10946861</w:t>
      </w:r>
    </w:p>
    <w:p>
      <w:pPr>
        <w:numPr>
          <w:ilvl w:val="0"/>
          <w:numId w:val="1399"/>
        </w:numPr>
        <w:pStyle w:val="Compact"/>
      </w:pPr>
      <w:r>
        <w:t xml:space="preserve">2000 · Van den Berghe G ·</w:t>
      </w:r>
      <w:r>
        <w:t xml:space="preserve"> </w:t>
      </w:r>
      <w:r>
        <w:rPr>
          <w:iCs/>
          <w:i/>
        </w:rPr>
        <w:t xml:space="preserve">J Clin Endocrinol Metab</w:t>
      </w:r>
      <w:r>
        <w:t xml:space="preserve"> </w:t>
      </w:r>
      <w:r>
        <w:t xml:space="preserve">· A paradoxical gender dissociation within the growth hormone/insulin-like growth factor I axis during protracted critical illness. PMID 10634385</w:t>
      </w:r>
    </w:p>
    <w:p>
      <w:pPr>
        <w:numPr>
          <w:ilvl w:val="0"/>
          <w:numId w:val="1399"/>
        </w:numPr>
        <w:pStyle w:val="Compact"/>
      </w:pPr>
      <w:r>
        <w:t xml:space="preserve">1999 · Shah N ·</w:t>
      </w:r>
      <w:r>
        <w:t xml:space="preserve"> </w:t>
      </w:r>
      <w:r>
        <w:rPr>
          <w:iCs/>
          <w:i/>
        </w:rPr>
        <w:t xml:space="preserve">J Clin Endocrinol Metab</w:t>
      </w:r>
      <w:r>
        <w:t xml:space="preserve"> </w:t>
      </w:r>
      <w:r>
        <w:t xml:space="preserve">· Tripartite neuroendocrine activation of the human growth hormone (GH) axis in women by continuous 24-hour GH-releasing peptide infusion: pulsatile, entropic, and nyctohemeral mechanisms. PMID 10372723</w:t>
      </w:r>
    </w:p>
    <w:p>
      <w:pPr>
        <w:numPr>
          <w:ilvl w:val="0"/>
          <w:numId w:val="1399"/>
        </w:numPr>
        <w:pStyle w:val="Compact"/>
      </w:pPr>
      <w:r>
        <w:t xml:space="preserve">1999 · Meacham LR ·</w:t>
      </w:r>
      <w:r>
        <w:t xml:space="preserve"> </w:t>
      </w:r>
      <w:r>
        <w:rPr>
          <w:iCs/>
          <w:i/>
        </w:rPr>
        <w:t xml:space="preserve">Metabolism</w:t>
      </w:r>
      <w:r>
        <w:t xml:space="preserve"> </w:t>
      </w:r>
      <w:r>
        <w:t xml:space="preserve">· Preservation of growth hormone secretion in response to growth hormone-releasing peptide-2 during prednisone therapy. PMID 10337858</w:t>
      </w:r>
    </w:p>
    <w:p>
      <w:pPr>
        <w:numPr>
          <w:ilvl w:val="0"/>
          <w:numId w:val="1399"/>
        </w:numPr>
        <w:pStyle w:val="Compact"/>
      </w:pPr>
      <w:r>
        <w:t xml:space="preserve">1999 · Van den Berghe G ·</w:t>
      </w:r>
      <w:r>
        <w:t xml:space="preserve"> </w:t>
      </w:r>
      <w:r>
        <w:rPr>
          <w:iCs/>
          <w:i/>
        </w:rPr>
        <w:t xml:space="preserve">J Clin Endocrinol Metab</w:t>
      </w:r>
      <w:r>
        <w:t xml:space="preserve"> </w:t>
      </w:r>
      <w:r>
        <w:t xml:space="preserve">· Reactivation of pituitary hormone release and metabolic improvement by infusion of growth hormone-releasing peptide and thyrotropin-releasing hormone in patients with protracted critical illness. PMID 10199772</w:t>
      </w:r>
    </w:p>
    <w:p>
      <w:pPr>
        <w:numPr>
          <w:ilvl w:val="0"/>
          <w:numId w:val="1399"/>
        </w:numPr>
        <w:pStyle w:val="Compact"/>
      </w:pPr>
      <w:r>
        <w:t xml:space="preserve">1999 · Arvat E ·</w:t>
      </w:r>
      <w:r>
        <w:t xml:space="preserve"> </w:t>
      </w:r>
      <w:r>
        <w:rPr>
          <w:iCs/>
          <w:i/>
        </w:rPr>
        <w:t xml:space="preserve">J Endocrinol Invest</w:t>
      </w:r>
      <w:r>
        <w:t xml:space="preserve"> </w:t>
      </w:r>
      <w:r>
        <w:t xml:space="preserve">· Tyr-Ala-Hexarelin, a synthetic octapeptide, possesses the same endocrine activities of Hexarelin and GHRP-2 in humans. PMID 10195374</w:t>
      </w:r>
    </w:p>
    <w:p>
      <w:pPr>
        <w:numPr>
          <w:ilvl w:val="0"/>
          <w:numId w:val="1399"/>
        </w:numPr>
        <w:pStyle w:val="Compact"/>
      </w:pPr>
      <w:r>
        <w:t xml:space="preserve">1999 · Van den Berghe G ·</w:t>
      </w:r>
      <w:r>
        <w:t xml:space="preserve"> </w:t>
      </w:r>
      <w:r>
        <w:rPr>
          <w:iCs/>
          <w:i/>
        </w:rPr>
        <w:t xml:space="preserve">Eur J Endocrinol</w:t>
      </w:r>
      <w:r>
        <w:t xml:space="preserve"> </w:t>
      </w:r>
      <w:r>
        <w:t xml:space="preserve">· Growth hormone-releasing peptide-2 infusion synchronizes growth hormone, thyrotrophin and prolactin release in prolonged critical illness. PMID 10037246</w:t>
      </w:r>
    </w:p>
    <w:p>
      <w:pPr>
        <w:numPr>
          <w:ilvl w:val="0"/>
          <w:numId w:val="1399"/>
        </w:numPr>
        <w:pStyle w:val="Compact"/>
      </w:pPr>
      <w:r>
        <w:t xml:space="preserve">1998 · Van den Berghe G ·</w:t>
      </w:r>
      <w:r>
        <w:t xml:space="preserve"> </w:t>
      </w:r>
      <w:r>
        <w:rPr>
          <w:iCs/>
          <w:i/>
        </w:rPr>
        <w:t xml:space="preserve">J Clin Endocrinol Metab</w:t>
      </w:r>
      <w:r>
        <w:t xml:space="preserve"> </w:t>
      </w:r>
      <w:r>
        <w:t xml:space="preserve">· Leptin levels in protracted critical illness: effects of growth hormone-secretagogues and thyrotropin-releasing hormone. PMID 9745404</w:t>
      </w:r>
    </w:p>
    <w:p>
      <w:pPr>
        <w:numPr>
          <w:ilvl w:val="0"/>
          <w:numId w:val="1399"/>
        </w:numPr>
        <w:pStyle w:val="Compact"/>
      </w:pPr>
      <w:r>
        <w:t xml:space="preserve">1998 · Mericq V ·</w:t>
      </w:r>
      <w:r>
        <w:t xml:space="preserve"> </w:t>
      </w:r>
      <w:r>
        <w:rPr>
          <w:iCs/>
          <w:i/>
        </w:rPr>
        <w:t xml:space="preserve">J Clin Endocrinol Metab</w:t>
      </w:r>
      <w:r>
        <w:t xml:space="preserve"> </w:t>
      </w:r>
      <w:r>
        <w:t xml:space="preserve">· Effects of eight months treatment with graded doses of a growth hormone (GH)-releasing peptide in GH-deficient children. PMID 9661608</w:t>
      </w:r>
    </w:p>
    <w:p>
      <w:pPr>
        <w:numPr>
          <w:ilvl w:val="0"/>
          <w:numId w:val="1399"/>
        </w:numPr>
        <w:pStyle w:val="Compact"/>
      </w:pPr>
      <w:r>
        <w:t xml:space="preserve">1998 · Moreno-Reyes R ·</w:t>
      </w:r>
      <w:r>
        <w:t xml:space="preserve"> </w:t>
      </w:r>
      <w:r>
        <w:rPr>
          <w:iCs/>
          <w:i/>
        </w:rPr>
        <w:t xml:space="preserve">Am J Physiol</w:t>
      </w:r>
      <w:r>
        <w:t xml:space="preserve"> </w:t>
      </w:r>
      <w:r>
        <w:t xml:space="preserve">· Evidence against a role for the growth hormone-releasing peptide axis in human slow-wave sleep regulation. PMID 9612233</w:t>
      </w:r>
    </w:p>
    <w:p>
      <w:pPr>
        <w:numPr>
          <w:ilvl w:val="0"/>
          <w:numId w:val="1399"/>
        </w:numPr>
        <w:pStyle w:val="Compact"/>
      </w:pPr>
      <w:r>
        <w:t xml:space="preserve">1998 · Pihoker C ·</w:t>
      </w:r>
      <w:r>
        <w:t xml:space="preserve"> </w:t>
      </w:r>
      <w:r>
        <w:rPr>
          <w:iCs/>
          <w:i/>
        </w:rPr>
        <w:t xml:space="preserve">J Clin Endocrinol Metab</w:t>
      </w:r>
      <w:r>
        <w:t xml:space="preserve"> </w:t>
      </w:r>
      <w:r>
        <w:t xml:space="preserve">· Pharmacokinetics and pharmacodynamics of growth hormone-releasing peptide-2: a phase I study in children. PMID 9543135</w:t>
      </w:r>
    </w:p>
    <w:p>
      <w:pPr>
        <w:numPr>
          <w:ilvl w:val="0"/>
          <w:numId w:val="1399"/>
        </w:numPr>
        <w:pStyle w:val="Compact"/>
      </w:pPr>
      <w:r>
        <w:t xml:space="preserve">1998 · Van den Berghe G ·</w:t>
      </w:r>
      <w:r>
        <w:t xml:space="preserve"> </w:t>
      </w:r>
      <w:r>
        <w:rPr>
          <w:iCs/>
          <w:i/>
        </w:rPr>
        <w:t xml:space="preserve">J Clin Endocrinol Metab</w:t>
      </w:r>
      <w:r>
        <w:t xml:space="preserve"> </w:t>
      </w:r>
      <w:r>
        <w:t xml:space="preserve">· Neuroendocrinology of prolonged critical illness: effects of exogenous thyrotropin-releasing hormone and its combination with growth hormone secretagogues. PMID 9467533</w:t>
      </w:r>
    </w:p>
    <w:p>
      <w:pPr>
        <w:numPr>
          <w:ilvl w:val="0"/>
          <w:numId w:val="1399"/>
        </w:numPr>
        <w:pStyle w:val="Compact"/>
      </w:pPr>
      <w:r>
        <w:t xml:space="preserve">1997 · Van den Berghe G ·</w:t>
      </w:r>
      <w:r>
        <w:t xml:space="preserve"> </w:t>
      </w:r>
      <w:r>
        <w:rPr>
          <w:iCs/>
          <w:i/>
        </w:rPr>
        <w:t xml:space="preserve">Clin Endocrinol (Oxf)</w:t>
      </w:r>
      <w:r>
        <w:t xml:space="preserve"> </w:t>
      </w:r>
      <w:r>
        <w:t xml:space="preserve">· Thyrotrophin and prolactin release in prolonged critical illness: dynamics of spontaneous secretion and effects of growth hormone-secretagogues. PMID 9425400</w:t>
      </w:r>
    </w:p>
    <w:p>
      <w:pPr>
        <w:numPr>
          <w:ilvl w:val="0"/>
          <w:numId w:val="1399"/>
        </w:numPr>
        <w:pStyle w:val="Compact"/>
      </w:pPr>
      <w:r>
        <w:t xml:space="preserve">1997 · Pihoker C ·</w:t>
      </w:r>
      <w:r>
        <w:t xml:space="preserve"> </w:t>
      </w:r>
      <w:r>
        <w:rPr>
          <w:iCs/>
          <w:i/>
        </w:rPr>
        <w:t xml:space="preserve">J Endocrinol</w:t>
      </w:r>
      <w:r>
        <w:t xml:space="preserve"> </w:t>
      </w:r>
      <w:r>
        <w:t xml:space="preserve">· Treatment effects of intranasal growth hormone releasing peptide-2 in children with short stature. PMID 9390009</w:t>
      </w:r>
    </w:p>
    <w:p>
      <w:pPr>
        <w:numPr>
          <w:ilvl w:val="0"/>
          <w:numId w:val="1399"/>
        </w:numPr>
        <w:pStyle w:val="Compact"/>
      </w:pPr>
      <w:r>
        <w:t xml:space="preserve">1997 · Van den Berghe G ·</w:t>
      </w:r>
      <w:r>
        <w:t xml:space="preserve"> </w:t>
      </w:r>
      <w:r>
        <w:rPr>
          <w:iCs/>
          <w:i/>
        </w:rPr>
        <w:t xml:space="preserve">J Clin Endocrinol Metab</w:t>
      </w:r>
      <w:r>
        <w:t xml:space="preserve"> </w:t>
      </w:r>
      <w:r>
        <w:t xml:space="preserve">· The somatotropic axis in critical illness: effect of continuous growth hormone (GH)-releasing hormone and GH-releasing peptide-2 infusion. PMID 9024260</w:t>
      </w:r>
    </w:p>
    <w:p>
      <w:pPr>
        <w:numPr>
          <w:ilvl w:val="0"/>
          <w:numId w:val="1399"/>
        </w:numPr>
        <w:pStyle w:val="Compact"/>
      </w:pPr>
      <w:r>
        <w:t xml:space="preserve">1996 · Van den Berghe G ·</w:t>
      </w:r>
      <w:r>
        <w:t xml:space="preserve"> </w:t>
      </w:r>
      <w:r>
        <w:rPr>
          <w:iCs/>
          <w:i/>
        </w:rPr>
        <w:t xml:space="preserve">Clin Endocrinol (Oxf)</w:t>
      </w:r>
      <w:r>
        <w:t xml:space="preserve"> </w:t>
      </w:r>
      <w:r>
        <w:t xml:space="preserve">· Pituitary responsiveness to GH-releasing hormone, GH-releasing peptide-2 and thyrotrophin-releasing hormone in critical illness. PMID 8949573</w:t>
      </w:r>
    </w:p>
    <w:p>
      <w:pPr>
        <w:numPr>
          <w:ilvl w:val="0"/>
          <w:numId w:val="1399"/>
        </w:numPr>
        <w:pStyle w:val="Compact"/>
      </w:pPr>
      <w:r>
        <w:t xml:space="preserve">1996 · Bowers CY ·</w:t>
      </w:r>
      <w:r>
        <w:t xml:space="preserve"> </w:t>
      </w:r>
      <w:r>
        <w:rPr>
          <w:iCs/>
          <w:i/>
        </w:rPr>
        <w:t xml:space="preserve">J Pediatr Endocrinol Metab</w:t>
      </w:r>
      <w:r>
        <w:t xml:space="preserve"> </w:t>
      </w:r>
      <w:r>
        <w:t xml:space="preserve">· GHRP-2, GHRH and SRIF interrelationships during chronic administration of GHRP-2 to humans. PMID 8887169</w:t>
      </w:r>
    </w:p>
    <w:p>
      <w:pPr>
        <w:numPr>
          <w:ilvl w:val="0"/>
          <w:numId w:val="1399"/>
        </w:numPr>
        <w:pStyle w:val="Compact"/>
      </w:pPr>
      <w:r>
        <w:t xml:space="preserve">1995 · Tuilpakov AN ·</w:t>
      </w:r>
      <w:r>
        <w:t xml:space="preserve"> </w:t>
      </w:r>
      <w:r>
        <w:rPr>
          <w:iCs/>
          <w:i/>
        </w:rPr>
        <w:t xml:space="preserve">Metabolism</w:t>
      </w:r>
      <w:r>
        <w:t xml:space="preserve"> </w:t>
      </w:r>
      <w:r>
        <w:t xml:space="preserve">· Growth hormone (GH)-releasing effects of synthetic peptide GH-releasing peptide-2 and GH-releasing hormone (1-29NH2) in children with GH insufficiency and idiopathic short stature. PMID 7666796</w:t>
      </w:r>
    </w:p>
    <w:p>
      <w:pPr>
        <w:numPr>
          <w:ilvl w:val="0"/>
          <w:numId w:val="1399"/>
        </w:numPr>
        <w:pStyle w:val="Compact"/>
      </w:pPr>
      <w:r>
        <w:t xml:space="preserve">1995 · Tiulpakov AN ·</w:t>
      </w:r>
      <w:r>
        <w:t xml:space="preserve"> </w:t>
      </w:r>
      <w:r>
        <w:rPr>
          <w:iCs/>
          <w:i/>
        </w:rPr>
        <w:t xml:space="preserve">Clin Endocrinol (Oxf)</w:t>
      </w:r>
      <w:r>
        <w:t xml:space="preserve"> </w:t>
      </w:r>
      <w:r>
        <w:t xml:space="preserve">· GH responses to intravenous bolus infusions of GH releasing hormone and GH releasing peptide 2 separately and in combination in adult volunteers. PMID 7586605</w:t>
      </w:r>
    </w:p>
    <w:p>
      <w:pPr>
        <w:numPr>
          <w:ilvl w:val="0"/>
          <w:numId w:val="1399"/>
        </w:numPr>
        <w:pStyle w:val="Compact"/>
      </w:pPr>
      <w:r>
        <w:t xml:space="preserve">1995 · Pihoker C ·</w:t>
      </w:r>
      <w:r>
        <w:t xml:space="preserve"> </w:t>
      </w:r>
      <w:r>
        <w:rPr>
          <w:iCs/>
          <w:i/>
        </w:rPr>
        <w:t xml:space="preserve">J Clin Endocrinol Metab</w:t>
      </w:r>
      <w:r>
        <w:t xml:space="preserve"> </w:t>
      </w:r>
      <w:r>
        <w:t xml:space="preserve">· Diagnostic studies with intravenous and intranasal growth hormone-releasing peptide-2 in children of short stature. PMID 7559885</w:t>
      </w:r>
    </w:p>
    <w:bookmarkEnd w:id="1143"/>
    <w:bookmarkStart w:id="1144" w:name="ghrp-6-40"/>
    <w:p>
      <w:pPr>
        <w:pStyle w:val="Heading2"/>
      </w:pPr>
      <w:r>
        <w:t xml:space="preserve">GHRP-6 (40)</w:t>
      </w:r>
    </w:p>
    <w:p>
      <w:pPr>
        <w:numPr>
          <w:ilvl w:val="0"/>
          <w:numId w:val="1400"/>
        </w:numPr>
        <w:pStyle w:val="Compact"/>
      </w:pPr>
      <w:r>
        <w:t xml:space="preserve">2013 · Cabrales A ·</w:t>
      </w:r>
      <w:r>
        <w:t xml:space="preserve"> </w:t>
      </w:r>
      <w:r>
        <w:rPr>
          <w:iCs/>
          <w:i/>
        </w:rPr>
        <w:t xml:space="preserve">Eur J Pharm Sci</w:t>
      </w:r>
      <w:r>
        <w:t xml:space="preserve"> </w:t>
      </w:r>
      <w:r>
        <w:t xml:space="preserve">· Pharmacokinetic study of Growth Hormone-Releasing Peptide 6 (GHRP-6) in nine male healthy volunteers. PMID 23099431</w:t>
      </w:r>
    </w:p>
    <w:p>
      <w:pPr>
        <w:numPr>
          <w:ilvl w:val="0"/>
          <w:numId w:val="1400"/>
        </w:numPr>
        <w:pStyle w:val="Compact"/>
      </w:pPr>
      <w:r>
        <w:t xml:space="preserve">2010 · Molica P ·</w:t>
      </w:r>
      <w:r>
        <w:t xml:space="preserve"> </w:t>
      </w:r>
      <w:r>
        <w:rPr>
          <w:iCs/>
          <w:i/>
        </w:rPr>
        <w:t xml:space="preserve">Pituitary</w:t>
      </w:r>
      <w:r>
        <w:t xml:space="preserve"> </w:t>
      </w:r>
      <w:r>
        <w:t xml:space="preserve">· Effects of ghrelin, GH-releasing peptide-6 (GHRP-6) and GHRH on GH, ACTH and cortisol release in hyperthyroidism before and after treatment. PMID 20602173</w:t>
      </w:r>
    </w:p>
    <w:p>
      <w:pPr>
        <w:numPr>
          <w:ilvl w:val="0"/>
          <w:numId w:val="1400"/>
        </w:numPr>
        <w:pStyle w:val="Compact"/>
      </w:pPr>
      <w:r>
        <w:t xml:space="preserve">2010 · de Sá LB ·</w:t>
      </w:r>
      <w:r>
        <w:t xml:space="preserve"> </w:t>
      </w:r>
      <w:r>
        <w:rPr>
          <w:iCs/>
          <w:i/>
        </w:rPr>
        <w:t xml:space="preserve">Metabolism</w:t>
      </w:r>
      <w:r>
        <w:t xml:space="preserve"> </w:t>
      </w:r>
      <w:r>
        <w:t xml:space="preserve">· Effects of ghrelin, growth hormone-releasing peptide-6, and growth hormone-releasing hormone on growth hormone, adrenocorticotropic hormone, and cortisol release in type 1 diabetes mellitus. PMID 20189610</w:t>
      </w:r>
    </w:p>
    <w:p>
      <w:pPr>
        <w:numPr>
          <w:ilvl w:val="0"/>
          <w:numId w:val="1400"/>
        </w:numPr>
        <w:pStyle w:val="Compact"/>
      </w:pPr>
      <w:r>
        <w:t xml:space="preserve">2010 · Alaioubi B ·</w:t>
      </w:r>
      <w:r>
        <w:t xml:space="preserve"> </w:t>
      </w:r>
      <w:r>
        <w:rPr>
          <w:iCs/>
          <w:i/>
        </w:rPr>
        <w:t xml:space="preserve">Horm Metab Res</w:t>
      </w:r>
      <w:r>
        <w:t xml:space="preserve"> </w:t>
      </w:r>
      <w:r>
        <w:t xml:space="preserve">· Diagnosis of adrenal insufficiency using the GHRP-6 Test: comparison with the insulin tolerance test in patients with hypothalamic-pituitary-adrenal disease. PMID 19946832</w:t>
      </w:r>
    </w:p>
    <w:p>
      <w:pPr>
        <w:numPr>
          <w:ilvl w:val="0"/>
          <w:numId w:val="1400"/>
        </w:numPr>
        <w:pStyle w:val="Compact"/>
      </w:pPr>
      <w:r>
        <w:t xml:space="preserve">2010 · Correa-Silva SR ·</w:t>
      </w:r>
      <w:r>
        <w:t xml:space="preserve"> </w:t>
      </w:r>
      <w:r>
        <w:rPr>
          <w:iCs/>
          <w:i/>
        </w:rPr>
        <w:t xml:space="preserve">Clin Endocrinol (Oxf)</w:t>
      </w:r>
      <w:r>
        <w:t xml:space="preserve"> </w:t>
      </w:r>
      <w:r>
        <w:t xml:space="preserve">· Adrenocorticotrophic hormone (ACTH) responsiveness to ghrelin increases after 6 months of ketoconazole use in patients with Cushing’s disease: comparison with GH-releasing peptide-6 (GHRP-6). PMID 19453623</w:t>
      </w:r>
    </w:p>
    <w:p>
      <w:pPr>
        <w:numPr>
          <w:ilvl w:val="0"/>
          <w:numId w:val="1400"/>
        </w:numPr>
        <w:pStyle w:val="Compact"/>
      </w:pPr>
      <w:r>
        <w:t xml:space="preserve">2009 · Nascif SO ·</w:t>
      </w:r>
      <w:r>
        <w:t xml:space="preserve"> </w:t>
      </w:r>
      <w:r>
        <w:rPr>
          <w:iCs/>
          <w:i/>
        </w:rPr>
        <w:t xml:space="preserve">Pituitary</w:t>
      </w:r>
      <w:r>
        <w:t xml:space="preserve"> </w:t>
      </w:r>
      <w:r>
        <w:t xml:space="preserve">· Ghrelin and GHRP-6-induced ACTH and cortisol release in thyrotoxicosis. PMID 19396632</w:t>
      </w:r>
    </w:p>
    <w:p>
      <w:pPr>
        <w:numPr>
          <w:ilvl w:val="0"/>
          <w:numId w:val="1400"/>
        </w:numPr>
        <w:pStyle w:val="Compact"/>
      </w:pPr>
      <w:r>
        <w:t xml:space="preserve">2008 · Machado MC ·</w:t>
      </w:r>
      <w:r>
        <w:t xml:space="preserve"> </w:t>
      </w:r>
      <w:r>
        <w:rPr>
          <w:iCs/>
          <w:i/>
        </w:rPr>
        <w:t xml:space="preserve">Eur J Endocrinol</w:t>
      </w:r>
      <w:r>
        <w:t xml:space="preserve"> </w:t>
      </w:r>
      <w:r>
        <w:t xml:space="preserve">· Association between tumoral GH-releasing peptide receptor type 1a mRNA expression and in vivo response to GH-releasing peptide-6 in ACTH-dependent Cushing’s syndrome patients. PMID 18426818</w:t>
      </w:r>
    </w:p>
    <w:p>
      <w:pPr>
        <w:numPr>
          <w:ilvl w:val="0"/>
          <w:numId w:val="1400"/>
        </w:numPr>
        <w:pStyle w:val="Compact"/>
      </w:pPr>
      <w:r>
        <w:t xml:space="preserve">2007 · Nascif SO ·</w:t>
      </w:r>
      <w:r>
        <w:t xml:space="preserve"> </w:t>
      </w:r>
      <w:r>
        <w:rPr>
          <w:iCs/>
          <w:i/>
        </w:rPr>
        <w:t xml:space="preserve">Pituitary</w:t>
      </w:r>
      <w:r>
        <w:t xml:space="preserve"> </w:t>
      </w:r>
      <w:r>
        <w:t xml:space="preserve">· Decreased ghrelin-induced GH release in thyrotoxicosis: comparison with GH-releasing peptide-6 (GHRP-6) and GHRH. PMID 17410412</w:t>
      </w:r>
    </w:p>
    <w:p>
      <w:pPr>
        <w:numPr>
          <w:ilvl w:val="0"/>
          <w:numId w:val="1400"/>
        </w:numPr>
        <w:pStyle w:val="Compact"/>
      </w:pPr>
      <w:r>
        <w:t xml:space="preserve">2006 · Correa-Silva SR ·</w:t>
      </w:r>
      <w:r>
        <w:t xml:space="preserve"> </w:t>
      </w:r>
      <w:r>
        <w:rPr>
          <w:iCs/>
          <w:i/>
        </w:rPr>
        <w:t xml:space="preserve">Pituitary</w:t>
      </w:r>
      <w:r>
        <w:t xml:space="preserve"> </w:t>
      </w:r>
      <w:r>
        <w:t xml:space="preserve">· Decreased GH secretion and enhanced ACTH and cortisol release after ghrelin administration in Cushing’s disease: comparison with GH-releasing peptide-6 (GHRP-6) and GHRH. PMID 16832586</w:t>
      </w:r>
    </w:p>
    <w:p>
      <w:pPr>
        <w:numPr>
          <w:ilvl w:val="0"/>
          <w:numId w:val="1400"/>
        </w:numPr>
        <w:pStyle w:val="Compact"/>
      </w:pPr>
      <w:r>
        <w:t xml:space="preserve">2004 · Frieboes RM ·</w:t>
      </w:r>
      <w:r>
        <w:t xml:space="preserve"> </w:t>
      </w:r>
      <w:r>
        <w:rPr>
          <w:iCs/>
          <w:i/>
        </w:rPr>
        <w:t xml:space="preserve">Psychoneuroendocrinology</w:t>
      </w:r>
      <w:r>
        <w:t xml:space="preserve"> </w:t>
      </w:r>
      <w:r>
        <w:t xml:space="preserve">· Hexarelin decreases slow-wave sleep and stimulates the secretion of GH, ACTH, cortisol and prolactin during sleep in healthy volunteers. PMID 15177700</w:t>
      </w:r>
    </w:p>
    <w:p>
      <w:pPr>
        <w:numPr>
          <w:ilvl w:val="0"/>
          <w:numId w:val="1400"/>
        </w:numPr>
        <w:pStyle w:val="Compact"/>
      </w:pPr>
      <w:r>
        <w:t xml:space="preserve">2004 · Micic D ·</w:t>
      </w:r>
      <w:r>
        <w:t xml:space="preserve"> </w:t>
      </w:r>
      <w:r>
        <w:rPr>
          <w:iCs/>
          <w:i/>
        </w:rPr>
        <w:t xml:space="preserve">Diabetes Res Clin Pract</w:t>
      </w:r>
      <w:r>
        <w:t xml:space="preserve"> </w:t>
      </w:r>
      <w:r>
        <w:t xml:space="preserve">· Growth hormone response to GHRH + GHRP-6 in type 2 diabetes during euglycemic and hyperglycemic clamp. PMID 14693411</w:t>
      </w:r>
    </w:p>
    <w:p>
      <w:pPr>
        <w:numPr>
          <w:ilvl w:val="0"/>
          <w:numId w:val="1400"/>
        </w:numPr>
        <w:pStyle w:val="Compact"/>
      </w:pPr>
      <w:r>
        <w:t xml:space="preserve">2003 · Cordido F ·</w:t>
      </w:r>
      <w:r>
        <w:t xml:space="preserve"> </w:t>
      </w:r>
      <w:r>
        <w:rPr>
          <w:iCs/>
          <w:i/>
        </w:rPr>
        <w:t xml:space="preserve">Eur J Endocrinol</w:t>
      </w:r>
      <w:r>
        <w:t xml:space="preserve"> </w:t>
      </w:r>
      <w:r>
        <w:t xml:space="preserve">· Comparison between insulin tolerance test, growth hormone (GH)-releasing hormone (GHRH), GHRH plus acipimox and GHRH plus GH-releasing peptide-6 for the diagnosis of adult GH deficiency in normal subjects, obese and hypopituitary patients. PMID 12887288</w:t>
      </w:r>
    </w:p>
    <w:p>
      <w:pPr>
        <w:numPr>
          <w:ilvl w:val="0"/>
          <w:numId w:val="1400"/>
        </w:numPr>
        <w:pStyle w:val="Compact"/>
      </w:pPr>
      <w:r>
        <w:t xml:space="preserve">2003 · Micić D ·</w:t>
      </w:r>
      <w:r>
        <w:t xml:space="preserve"> </w:t>
      </w:r>
      <w:r>
        <w:rPr>
          <w:iCs/>
          <w:i/>
        </w:rPr>
        <w:t xml:space="preserve">J Endocrinol Invest</w:t>
      </w:r>
      <w:r>
        <w:t xml:space="preserve"> </w:t>
      </w:r>
      <w:r>
        <w:t xml:space="preserve">· Growth-hormone response to combined stimulation with GHRH plus GH-releasing peptide-6 in obese patients with polycystic ovary syndrome before and after short-term fasting. PMID 12841541</w:t>
      </w:r>
    </w:p>
    <w:p>
      <w:pPr>
        <w:numPr>
          <w:ilvl w:val="0"/>
          <w:numId w:val="1400"/>
        </w:numPr>
        <w:pStyle w:val="Compact"/>
      </w:pPr>
      <w:r>
        <w:t xml:space="preserve">2003 · Oliveira JH ·</w:t>
      </w:r>
      <w:r>
        <w:t xml:space="preserve"> </w:t>
      </w:r>
      <w:r>
        <w:rPr>
          <w:iCs/>
          <w:i/>
        </w:rPr>
        <w:t xml:space="preserve">J Endocrinol Invest</w:t>
      </w:r>
      <w:r>
        <w:t xml:space="preserve"> </w:t>
      </w:r>
      <w:r>
        <w:t xml:space="preserve">· GHRP-6 is able to stimulate cortisol and ACTH release in patients with Cushing’s disease: comparison with DDAVP. PMID 12809173</w:t>
      </w:r>
    </w:p>
    <w:p>
      <w:pPr>
        <w:numPr>
          <w:ilvl w:val="0"/>
          <w:numId w:val="1400"/>
        </w:numPr>
        <w:pStyle w:val="Compact"/>
      </w:pPr>
      <w:r>
        <w:t xml:space="preserve">2003 · Martins MR ·</w:t>
      </w:r>
      <w:r>
        <w:t xml:space="preserve"> </w:t>
      </w:r>
      <w:r>
        <w:rPr>
          <w:iCs/>
          <w:i/>
        </w:rPr>
        <w:t xml:space="preserve">J Endocrinol Invest</w:t>
      </w:r>
      <w:r>
        <w:t xml:space="preserve"> </w:t>
      </w:r>
      <w:r>
        <w:t xml:space="preserve">· GH-releasing peptide (GHRP-6)-induced ACTH release in patients with addison’s disease: effect of glucocorticoid withdrawal. PMID 12739742</w:t>
      </w:r>
    </w:p>
    <w:p>
      <w:pPr>
        <w:numPr>
          <w:ilvl w:val="0"/>
          <w:numId w:val="1400"/>
        </w:numPr>
        <w:pStyle w:val="Compact"/>
      </w:pPr>
      <w:r>
        <w:t xml:space="preserve">2002 · Bhatti SF ·</w:t>
      </w:r>
      <w:r>
        <w:t xml:space="preserve"> </w:t>
      </w:r>
      <w:r>
        <w:rPr>
          <w:iCs/>
          <w:i/>
        </w:rPr>
        <w:t xml:space="preserve">Mol Cell Endocrinol</w:t>
      </w:r>
      <w:r>
        <w:t xml:space="preserve"> </w:t>
      </w:r>
      <w:r>
        <w:t xml:space="preserve">· Effects of growth hormone-releasing peptides in healthy dogs and in dogs with pituitary-dependent hyperadrenocorticism. PMID 12431802</w:t>
      </w:r>
    </w:p>
    <w:p>
      <w:pPr>
        <w:numPr>
          <w:ilvl w:val="0"/>
          <w:numId w:val="1400"/>
        </w:numPr>
        <w:pStyle w:val="Compact"/>
      </w:pPr>
      <w:r>
        <w:t xml:space="preserve">2002 · Popovic V ·</w:t>
      </w:r>
      <w:r>
        <w:t xml:space="preserve"> </w:t>
      </w:r>
      <w:r>
        <w:rPr>
          <w:iCs/>
          <w:i/>
        </w:rPr>
        <w:t xml:space="preserve">Clin Endocrinol (Oxf)</w:t>
      </w:r>
      <w:r>
        <w:t xml:space="preserve"> </w:t>
      </w:r>
      <w:r>
        <w:t xml:space="preserve">· Physical activity or food intake prior to testing did not affect the reproducibility of GH secretion elicited by GH releasing hormone plus GH-releasing hexapeptide in normal adult subjects. PMID 11849251</w:t>
      </w:r>
    </w:p>
    <w:p>
      <w:pPr>
        <w:numPr>
          <w:ilvl w:val="0"/>
          <w:numId w:val="1400"/>
        </w:numPr>
        <w:pStyle w:val="Compact"/>
      </w:pPr>
      <w:r>
        <w:t xml:space="preserve">2001 · Muller AF ·</w:t>
      </w:r>
      <w:r>
        <w:t xml:space="preserve"> </w:t>
      </w:r>
      <w:r>
        <w:rPr>
          <w:iCs/>
          <w:i/>
        </w:rPr>
        <w:t xml:space="preserve">Clin Endocrinol (Oxf)</w:t>
      </w:r>
      <w:r>
        <w:t xml:space="preserve"> </w:t>
      </w:r>
      <w:r>
        <w:t xml:space="preserve">· Effects of fasting and pegvisomant on the GH-releasing hormone and GH-releasing peptide-6 stimulated growth hormone secretion. PMID 11678828</w:t>
      </w:r>
    </w:p>
    <w:p>
      <w:pPr>
        <w:numPr>
          <w:ilvl w:val="0"/>
          <w:numId w:val="1400"/>
        </w:numPr>
        <w:pStyle w:val="Compact"/>
      </w:pPr>
      <w:r>
        <w:t xml:space="preserve">2000 · Popovic V ·</w:t>
      </w:r>
      <w:r>
        <w:t xml:space="preserve"> </w:t>
      </w:r>
      <w:r>
        <w:rPr>
          <w:iCs/>
          <w:i/>
        </w:rPr>
        <w:t xml:space="preserve">Lancet</w:t>
      </w:r>
      <w:r>
        <w:t xml:space="preserve"> </w:t>
      </w:r>
      <w:r>
        <w:t xml:space="preserve">· GH-releasing hormone and GH-releasing peptide-6 for diagnostic testing in GH-deficient adults. PMID 11030292</w:t>
      </w:r>
    </w:p>
    <w:p>
      <w:pPr>
        <w:numPr>
          <w:ilvl w:val="0"/>
          <w:numId w:val="1400"/>
        </w:numPr>
        <w:pStyle w:val="Compact"/>
      </w:pPr>
      <w:r>
        <w:t xml:space="preserve">2000 · Pinto AC ·</w:t>
      </w:r>
      <w:r>
        <w:t xml:space="preserve"> </w:t>
      </w:r>
      <w:r>
        <w:rPr>
          <w:iCs/>
          <w:i/>
        </w:rPr>
        <w:t xml:space="preserve">J Clin Endocrinol Metab</w:t>
      </w:r>
      <w:r>
        <w:t xml:space="preserve"> </w:t>
      </w:r>
      <w:r>
        <w:t xml:space="preserve">· Effects of short-term glucocorticoid deprivation on growth hormone (GH) response to GH-releasing peptide-6: studies in normal men and in patients with adrenal insufficiency. PMID 10770194</w:t>
      </w:r>
    </w:p>
    <w:p>
      <w:pPr>
        <w:numPr>
          <w:ilvl w:val="0"/>
          <w:numId w:val="1400"/>
        </w:numPr>
        <w:pStyle w:val="Compact"/>
      </w:pPr>
      <w:r>
        <w:t xml:space="preserve">1999 · Pinto AC ·</w:t>
      </w:r>
      <w:r>
        <w:t xml:space="preserve"> </w:t>
      </w:r>
      <w:r>
        <w:rPr>
          <w:iCs/>
          <w:i/>
        </w:rPr>
        <w:t xml:space="preserve">Clin Endocrinol (Oxf)</w:t>
      </w:r>
      <w:r>
        <w:t xml:space="preserve"> </w:t>
      </w:r>
      <w:r>
        <w:t xml:space="preserve">· Acute dexamethasone administration enhances GH responsiveness to GH releasing peptide-6 (GHRP-6) in man. PMID 10583306</w:t>
      </w:r>
    </w:p>
    <w:p>
      <w:pPr>
        <w:numPr>
          <w:ilvl w:val="0"/>
          <w:numId w:val="1400"/>
        </w:numPr>
        <w:pStyle w:val="Compact"/>
      </w:pPr>
      <w:r>
        <w:t xml:space="preserve">1999 · Frieboes RM ·</w:t>
      </w:r>
      <w:r>
        <w:t xml:space="preserve"> </w:t>
      </w:r>
      <w:r>
        <w:rPr>
          <w:iCs/>
          <w:i/>
        </w:rPr>
        <w:t xml:space="preserve">J Neuroendocrinol</w:t>
      </w:r>
      <w:r>
        <w:t xml:space="preserve"> </w:t>
      </w:r>
      <w:r>
        <w:t xml:space="preserve">· Effects of growth hormone-releasing peptide-6 on the nocturnal secretion of GH, ACTH and cortisol and on the sleep EEG in man: role of routes of administration. PMID 10336729</w:t>
      </w:r>
    </w:p>
    <w:p>
      <w:pPr>
        <w:numPr>
          <w:ilvl w:val="0"/>
          <w:numId w:val="1400"/>
        </w:numPr>
        <w:pStyle w:val="Compact"/>
      </w:pPr>
      <w:r>
        <w:t xml:space="preserve">1999 · Micić D ·</w:t>
      </w:r>
      <w:r>
        <w:t xml:space="preserve"> </w:t>
      </w:r>
      <w:r>
        <w:rPr>
          <w:iCs/>
          <w:i/>
        </w:rPr>
        <w:t xml:space="preserve">Metabolism</w:t>
      </w:r>
      <w:r>
        <w:t xml:space="preserve"> </w:t>
      </w:r>
      <w:r>
        <w:t xml:space="preserve">· Growth hormone (GH) response to GH-releasing peptide-6 and GH-releasing hormone in normal-weight and overweight patients with non-insulin-dependent diabetes mellitus. PMID 10206449</w:t>
      </w:r>
    </w:p>
    <w:p>
      <w:pPr>
        <w:numPr>
          <w:ilvl w:val="0"/>
          <w:numId w:val="1400"/>
        </w:numPr>
        <w:pStyle w:val="Compact"/>
      </w:pPr>
      <w:r>
        <w:t xml:space="preserve">1999 · Arvat E ·</w:t>
      </w:r>
      <w:r>
        <w:t xml:space="preserve"> </w:t>
      </w:r>
      <w:r>
        <w:rPr>
          <w:iCs/>
          <w:i/>
        </w:rPr>
        <w:t xml:space="preserve">J Endocrinol Invest</w:t>
      </w:r>
      <w:r>
        <w:t xml:space="preserve"> </w:t>
      </w:r>
      <w:r>
        <w:t xml:space="preserve">· Tyr-Ala-Hexarelin, a synthetic octapeptide, possesses the same endocrine activities of Hexarelin and GHRP-2 in humans. PMID 10195374</w:t>
      </w:r>
    </w:p>
    <w:p>
      <w:pPr>
        <w:numPr>
          <w:ilvl w:val="0"/>
          <w:numId w:val="1400"/>
        </w:numPr>
        <w:pStyle w:val="Compact"/>
      </w:pPr>
      <w:r>
        <w:t xml:space="preserve">1998 · Micic D ·</w:t>
      </w:r>
      <w:r>
        <w:t xml:space="preserve"> </w:t>
      </w:r>
      <w:r>
        <w:rPr>
          <w:iCs/>
          <w:i/>
        </w:rPr>
        <w:t xml:space="preserve">J Clin Endocrinol Metab</w:t>
      </w:r>
      <w:r>
        <w:t xml:space="preserve"> </w:t>
      </w:r>
      <w:r>
        <w:t xml:space="preserve">· Preserved growth hormone (GH) secretion in aged and very old subjects after testing with the combined stimulus GH-releasing hormone plus GH-releasing hexapeptide-6. PMID 9661645</w:t>
      </w:r>
    </w:p>
    <w:p>
      <w:pPr>
        <w:numPr>
          <w:ilvl w:val="0"/>
          <w:numId w:val="1400"/>
        </w:numPr>
        <w:pStyle w:val="Compact"/>
      </w:pPr>
      <w:r>
        <w:t xml:space="preserve">1998 · Pandya N ·</w:t>
      </w:r>
      <w:r>
        <w:t xml:space="preserve"> </w:t>
      </w:r>
      <w:r>
        <w:rPr>
          <w:iCs/>
          <w:i/>
        </w:rPr>
        <w:t xml:space="preserve">J Clin Endocrinol Metab</w:t>
      </w:r>
      <w:r>
        <w:t xml:space="preserve"> </w:t>
      </w:r>
      <w:r>
        <w:t xml:space="preserve">· Growth hormone (GH)-releasing peptide-6 requires endogenous hypothalamic GH-releasing hormone for maximal GH stimulation. PMID 9543138</w:t>
      </w:r>
    </w:p>
    <w:p>
      <w:pPr>
        <w:numPr>
          <w:ilvl w:val="0"/>
          <w:numId w:val="1400"/>
        </w:numPr>
        <w:pStyle w:val="Compact"/>
      </w:pPr>
      <w:r>
        <w:t xml:space="preserve">1997 · Borges MH ·</w:t>
      </w:r>
      <w:r>
        <w:t xml:space="preserve"> </w:t>
      </w:r>
      <w:r>
        <w:rPr>
          <w:iCs/>
          <w:i/>
        </w:rPr>
        <w:t xml:space="preserve">Clin Endocrinol (Oxf)</w:t>
      </w:r>
      <w:r>
        <w:t xml:space="preserve"> </w:t>
      </w:r>
      <w:r>
        <w:t xml:space="preserve">· Different effects of growth hormone releasing peptide (GHRP-6) and GH-releasing hormone on GH release in endogenous and exogenous hypercortisolism. PMID 9274702</w:t>
      </w:r>
    </w:p>
    <w:p>
      <w:pPr>
        <w:numPr>
          <w:ilvl w:val="0"/>
          <w:numId w:val="1400"/>
        </w:numPr>
        <w:pStyle w:val="Compact"/>
      </w:pPr>
      <w:r>
        <w:t xml:space="preserve">1997 · Pimentel-Filho FR ·</w:t>
      </w:r>
      <w:r>
        <w:t xml:space="preserve"> </w:t>
      </w:r>
      <w:r>
        <w:rPr>
          <w:iCs/>
          <w:i/>
        </w:rPr>
        <w:t xml:space="preserve">Clin Endocrinol (Oxf)</w:t>
      </w:r>
      <w:r>
        <w:t xml:space="preserve"> </w:t>
      </w:r>
      <w:r>
        <w:t xml:space="preserve">· Growth hormone responses to GH-releasing peptide (GHRP-6) in hypothyroidism. PMID 9156038</w:t>
      </w:r>
    </w:p>
    <w:p>
      <w:pPr>
        <w:numPr>
          <w:ilvl w:val="0"/>
          <w:numId w:val="1400"/>
        </w:numPr>
        <w:pStyle w:val="Compact"/>
      </w:pPr>
      <w:r>
        <w:t xml:space="preserve">1997 · Nooitgedagt A ·</w:t>
      </w:r>
      <w:r>
        <w:t xml:space="preserve"> </w:t>
      </w:r>
      <w:r>
        <w:rPr>
          <w:iCs/>
          <w:i/>
        </w:rPr>
        <w:t xml:space="preserve">Clin Endocrinol (Oxf)</w:t>
      </w:r>
      <w:r>
        <w:t xml:space="preserve"> </w:t>
      </w:r>
      <w:r>
        <w:t xml:space="preserve">· Influence of endogenous cholinergic tone and growth hormone-releasing peptide-6 on exercise induced growth hormone release. PMID 9135702</w:t>
      </w:r>
    </w:p>
    <w:p>
      <w:pPr>
        <w:numPr>
          <w:ilvl w:val="0"/>
          <w:numId w:val="1400"/>
        </w:numPr>
        <w:pStyle w:val="Compact"/>
      </w:pPr>
      <w:r>
        <w:t xml:space="preserve">1996 · Cordido F ·</w:t>
      </w:r>
      <w:r>
        <w:t xml:space="preserve"> </w:t>
      </w:r>
      <w:r>
        <w:rPr>
          <w:iCs/>
          <w:i/>
        </w:rPr>
        <w:t xml:space="preserve">J Clin Endocrinol Metab</w:t>
      </w:r>
      <w:r>
        <w:t xml:space="preserve"> </w:t>
      </w:r>
      <w:r>
        <w:t xml:space="preserve">· Impaired growth hormone secretion in obese subjects is partially reversed by acipimox-mediated plasma free fatty acid depression. PMID 8772550</w:t>
      </w:r>
    </w:p>
    <w:p>
      <w:pPr>
        <w:numPr>
          <w:ilvl w:val="0"/>
          <w:numId w:val="1400"/>
        </w:numPr>
        <w:pStyle w:val="Compact"/>
      </w:pPr>
      <w:r>
        <w:t xml:space="preserve">1996 · Peino R ·</w:t>
      </w:r>
      <w:r>
        <w:t xml:space="preserve"> </w:t>
      </w:r>
      <w:r>
        <w:rPr>
          <w:iCs/>
          <w:i/>
        </w:rPr>
        <w:t xml:space="preserve">J Clin Endocrinol Metab</w:t>
      </w:r>
      <w:r>
        <w:t xml:space="preserve"> </w:t>
      </w:r>
      <w:r>
        <w:t xml:space="preserve">· Acipimox-mediated plasma free fatty acid depression per se stimulates growth hormone (GH) secretion in normal subjects and potentiates the response to other GH-releasing stimuli. PMID 8772549</w:t>
      </w:r>
    </w:p>
    <w:p>
      <w:pPr>
        <w:numPr>
          <w:ilvl w:val="0"/>
          <w:numId w:val="1400"/>
        </w:numPr>
        <w:pStyle w:val="Compact"/>
      </w:pPr>
      <w:r>
        <w:t xml:space="preserve">1996 · Ciccarelli E ·</w:t>
      </w:r>
      <w:r>
        <w:t xml:space="preserve"> </w:t>
      </w:r>
      <w:r>
        <w:rPr>
          <w:iCs/>
          <w:i/>
        </w:rPr>
        <w:t xml:space="preserve">Clin Endocrinol (Oxf)</w:t>
      </w:r>
      <w:r>
        <w:t xml:space="preserve"> </w:t>
      </w:r>
      <w:r>
        <w:t xml:space="preserve">· Hexarelin, a synthetic growth hormone releasing peptide, stimulates prolactin secretion in acromegalic but not in hyperprolactinaemic patients. PMID 8706295</w:t>
      </w:r>
    </w:p>
    <w:p>
      <w:pPr>
        <w:numPr>
          <w:ilvl w:val="0"/>
          <w:numId w:val="1400"/>
        </w:numPr>
        <w:pStyle w:val="Compact"/>
      </w:pPr>
      <w:r>
        <w:t xml:space="preserve">1995 · Leal-Cerro A ·</w:t>
      </w:r>
      <w:r>
        <w:t xml:space="preserve"> </w:t>
      </w:r>
      <w:r>
        <w:rPr>
          <w:iCs/>
          <w:i/>
        </w:rPr>
        <w:t xml:space="preserve">Eur J Endocrinol</w:t>
      </w:r>
      <w:r>
        <w:t xml:space="preserve"> </w:t>
      </w:r>
      <w:r>
        <w:t xml:space="preserve">· Growth hormone (GH) responses to the combined administration of GH-releasing hormone plus GH-releasing peptide 6 in adults with GH deficiency. PMID 7788011</w:t>
      </w:r>
    </w:p>
    <w:p>
      <w:pPr>
        <w:numPr>
          <w:ilvl w:val="0"/>
          <w:numId w:val="1400"/>
        </w:numPr>
        <w:pStyle w:val="Compact"/>
      </w:pPr>
      <w:r>
        <w:t xml:space="preserve">1995 · Micic D ·</w:t>
      </w:r>
      <w:r>
        <w:t xml:space="preserve"> </w:t>
      </w:r>
      <w:r>
        <w:rPr>
          <w:iCs/>
          <w:i/>
        </w:rPr>
        <w:t xml:space="preserve">Clin Endocrinol (Oxf)</w:t>
      </w:r>
      <w:r>
        <w:t xml:space="preserve"> </w:t>
      </w:r>
      <w:r>
        <w:t xml:space="preserve">· Growth hormone secretion after the administration of GHRP-6 or GHRH combined with GHRP-6 does not decline in late adulthood. PMID 7734029</w:t>
      </w:r>
    </w:p>
    <w:p>
      <w:pPr>
        <w:numPr>
          <w:ilvl w:val="0"/>
          <w:numId w:val="1400"/>
        </w:numPr>
        <w:pStyle w:val="Compact"/>
      </w:pPr>
      <w:r>
        <w:t xml:space="preserve">1995 · Frieboes RM ·</w:t>
      </w:r>
      <w:r>
        <w:t xml:space="preserve"> </w:t>
      </w:r>
      <w:r>
        <w:rPr>
          <w:iCs/>
          <w:i/>
        </w:rPr>
        <w:t xml:space="preserve">Neuroendocrinology</w:t>
      </w:r>
      <w:r>
        <w:t xml:space="preserve"> </w:t>
      </w:r>
      <w:r>
        <w:t xml:space="preserve">· Growth hormone-releasing peptide-6 stimulates sleep, growth hormone, ACTH and cortisol release in normal man. PMID 7617137</w:t>
      </w:r>
    </w:p>
    <w:p>
      <w:pPr>
        <w:numPr>
          <w:ilvl w:val="0"/>
          <w:numId w:val="1400"/>
        </w:numPr>
        <w:pStyle w:val="Compact"/>
      </w:pPr>
      <w:r>
        <w:t xml:space="preserve">1995 · Pombo M ·</w:t>
      </w:r>
      <w:r>
        <w:t xml:space="preserve"> </w:t>
      </w:r>
      <w:r>
        <w:rPr>
          <w:iCs/>
          <w:i/>
        </w:rPr>
        <w:t xml:space="preserve">J Clin Endocrinol Metab</w:t>
      </w:r>
      <w:r>
        <w:t xml:space="preserve"> </w:t>
      </w:r>
      <w:r>
        <w:t xml:space="preserve">· Absence of growth hormone (GH) secretion after the administration of either GH-releasing hormone (GHRH), GH-releasing peptide (GHRP-6), or GHRH plus GHRP-6 in children with neonatal pituitary stalk transection. PMID 7593423</w:t>
      </w:r>
    </w:p>
    <w:p>
      <w:pPr>
        <w:numPr>
          <w:ilvl w:val="0"/>
          <w:numId w:val="1400"/>
        </w:numPr>
        <w:pStyle w:val="Compact"/>
      </w:pPr>
      <w:r>
        <w:t xml:space="preserve">1995 · Korbonits M ·</w:t>
      </w:r>
      <w:r>
        <w:t xml:space="preserve"> </w:t>
      </w:r>
      <w:r>
        <w:rPr>
          <w:iCs/>
          <w:i/>
        </w:rPr>
        <w:t xml:space="preserve">Clin Endocrinol (Oxf)</w:t>
      </w:r>
      <w:r>
        <w:t xml:space="preserve"> </w:t>
      </w:r>
      <w:r>
        <w:t xml:space="preserve">· The effect of an opiate antagonist on the hormonal changes induced by hexarelin. PMID 7586608</w:t>
      </w:r>
    </w:p>
    <w:p>
      <w:pPr>
        <w:numPr>
          <w:ilvl w:val="0"/>
          <w:numId w:val="1400"/>
        </w:numPr>
        <w:pStyle w:val="Compact"/>
      </w:pPr>
      <w:r>
        <w:t xml:space="preserve">1995 · Bellone J ·</w:t>
      </w:r>
      <w:r>
        <w:t xml:space="preserve"> </w:t>
      </w:r>
      <w:r>
        <w:rPr>
          <w:iCs/>
          <w:i/>
        </w:rPr>
        <w:t xml:space="preserve">Eur J Endocrinol</w:t>
      </w:r>
      <w:r>
        <w:t xml:space="preserve"> </w:t>
      </w:r>
      <w:r>
        <w:t xml:space="preserve">· Growth hormone-releasing effect of oral growth hormone-releasing peptide 6 (GHRP-6) administration in children with short stature. PMID 7581965</w:t>
      </w:r>
    </w:p>
    <w:p>
      <w:pPr>
        <w:numPr>
          <w:ilvl w:val="0"/>
          <w:numId w:val="1400"/>
        </w:numPr>
        <w:pStyle w:val="Compact"/>
      </w:pPr>
      <w:r>
        <w:t xml:space="preserve">1994 · Ghigo E ·</w:t>
      </w:r>
      <w:r>
        <w:t xml:space="preserve"> </w:t>
      </w:r>
      <w:r>
        <w:rPr>
          <w:iCs/>
          <w:i/>
        </w:rPr>
        <w:t xml:space="preserve">J Endocrinol Invest</w:t>
      </w:r>
      <w:r>
        <w:t xml:space="preserve"> </w:t>
      </w:r>
      <w:r>
        <w:t xml:space="preserve">· Arginine enhances the growth hormone-releasing activity of a synthetic hexapeptide (GHRP-6) in elderly but not in young subjects after oral administration. PMID 8051337</w:t>
      </w:r>
    </w:p>
    <w:p>
      <w:pPr>
        <w:numPr>
          <w:ilvl w:val="0"/>
          <w:numId w:val="1400"/>
        </w:numPr>
        <w:pStyle w:val="Compact"/>
      </w:pPr>
      <w:r>
        <w:t xml:space="preserve">1994 · Ghigo E ·</w:t>
      </w:r>
      <w:r>
        <w:t xml:space="preserve"> </w:t>
      </w:r>
      <w:r>
        <w:rPr>
          <w:iCs/>
          <w:i/>
        </w:rPr>
        <w:t xml:space="preserve">Eur J Endocrinol</w:t>
      </w:r>
      <w:r>
        <w:t xml:space="preserve"> </w:t>
      </w:r>
      <w:r>
        <w:t xml:space="preserve">· Growth hormone-releasing activity of growth hormone-releasing peptide-6 is maintained after short-term oral pretreatment with the hexapeptide in normal aging. PMID 7952160</w:t>
      </w:r>
    </w:p>
    <w:bookmarkEnd w:id="1144"/>
    <w:bookmarkStart w:id="1145" w:name="hexareline-58"/>
    <w:p>
      <w:pPr>
        <w:pStyle w:val="Heading2"/>
      </w:pPr>
      <w:r>
        <w:t xml:space="preserve">Hexareline (58)</w:t>
      </w:r>
    </w:p>
    <w:p>
      <w:pPr>
        <w:numPr>
          <w:ilvl w:val="0"/>
          <w:numId w:val="1401"/>
        </w:numPr>
        <w:pStyle w:val="Compact"/>
      </w:pPr>
      <w:r>
        <w:t xml:space="preserve">2004 · Janssen JA ·</w:t>
      </w:r>
      <w:r>
        <w:t xml:space="preserve"> </w:t>
      </w:r>
      <w:r>
        <w:rPr>
          <w:iCs/>
          <w:i/>
        </w:rPr>
        <w:t xml:space="preserve">J Endocrinol Invest</w:t>
      </w:r>
      <w:r>
        <w:t xml:space="preserve"> </w:t>
      </w:r>
      <w:r>
        <w:t xml:space="preserve">· There are no acute cardiac effects of a single iv dose of human ghrelin in severe growth hormone deficient patients. PMID 15505990</w:t>
      </w:r>
    </w:p>
    <w:p>
      <w:pPr>
        <w:numPr>
          <w:ilvl w:val="0"/>
          <w:numId w:val="1401"/>
        </w:numPr>
        <w:pStyle w:val="Compact"/>
      </w:pPr>
      <w:r>
        <w:t xml:space="preserve">2004 · de Vries WR ·</w:t>
      </w:r>
      <w:r>
        <w:t xml:space="preserve"> </w:t>
      </w:r>
      <w:r>
        <w:rPr>
          <w:iCs/>
          <w:i/>
        </w:rPr>
        <w:t xml:space="preserve">Horm Metab Res</w:t>
      </w:r>
      <w:r>
        <w:t xml:space="preserve"> </w:t>
      </w:r>
      <w:r>
        <w:t xml:space="preserve">· Age-related differences in growth hormone (GH) regulation during strenuous exercise. PMID 15305235</w:t>
      </w:r>
    </w:p>
    <w:p>
      <w:pPr>
        <w:numPr>
          <w:ilvl w:val="0"/>
          <w:numId w:val="1401"/>
        </w:numPr>
        <w:pStyle w:val="Compact"/>
      </w:pPr>
      <w:r>
        <w:t xml:space="preserve">2004 · Frieboes RM ·</w:t>
      </w:r>
      <w:r>
        <w:t xml:space="preserve"> </w:t>
      </w:r>
      <w:r>
        <w:rPr>
          <w:iCs/>
          <w:i/>
        </w:rPr>
        <w:t xml:space="preserve">Psychoneuroendocrinology</w:t>
      </w:r>
      <w:r>
        <w:t xml:space="preserve"> </w:t>
      </w:r>
      <w:r>
        <w:t xml:space="preserve">· Hexarelin decreases slow-wave sleep and stimulates the secretion of GH, ACTH, cortisol and prolactin during sleep in healthy volunteers. PMID 15177700</w:t>
      </w:r>
    </w:p>
    <w:p>
      <w:pPr>
        <w:numPr>
          <w:ilvl w:val="0"/>
          <w:numId w:val="1401"/>
        </w:numPr>
        <w:pStyle w:val="Compact"/>
      </w:pPr>
      <w:r>
        <w:t xml:space="preserve">2003 · Benso A ·</w:t>
      </w:r>
      <w:r>
        <w:t xml:space="preserve"> </w:t>
      </w:r>
      <w:r>
        <w:rPr>
          <w:iCs/>
          <w:i/>
        </w:rPr>
        <w:t xml:space="preserve">J Endocrinol Invest</w:t>
      </w:r>
      <w:r>
        <w:t xml:space="preserve"> </w:t>
      </w:r>
      <w:r>
        <w:t xml:space="preserve">· Effects of cortistatin-14 and somatostatin-14 on the endocrine response to hexarelin in humans. PMID 14594107</w:t>
      </w:r>
    </w:p>
    <w:p>
      <w:pPr>
        <w:numPr>
          <w:ilvl w:val="0"/>
          <w:numId w:val="1401"/>
        </w:numPr>
        <w:pStyle w:val="Compact"/>
      </w:pPr>
      <w:r>
        <w:t xml:space="preserve">2003 · Oliveira JH ·</w:t>
      </w:r>
      <w:r>
        <w:t xml:space="preserve"> </w:t>
      </w:r>
      <w:r>
        <w:rPr>
          <w:iCs/>
          <w:i/>
        </w:rPr>
        <w:t xml:space="preserve">J Endocrinol Invest</w:t>
      </w:r>
      <w:r>
        <w:t xml:space="preserve"> </w:t>
      </w:r>
      <w:r>
        <w:t xml:space="preserve">· GHRP-6 is able to stimulate cortisol and ACTH release in patients with Cushing’s disease: comparison with DDAVP. PMID 12809173</w:t>
      </w:r>
    </w:p>
    <w:p>
      <w:pPr>
        <w:numPr>
          <w:ilvl w:val="0"/>
          <w:numId w:val="1401"/>
        </w:numPr>
        <w:pStyle w:val="Compact"/>
      </w:pPr>
      <w:r>
        <w:t xml:space="preserve">2002 · Broglio F ·</w:t>
      </w:r>
      <w:r>
        <w:t xml:space="preserve"> </w:t>
      </w:r>
      <w:r>
        <w:rPr>
          <w:iCs/>
          <w:i/>
        </w:rPr>
        <w:t xml:space="preserve">Clin Endocrinol (Oxf)</w:t>
      </w:r>
      <w:r>
        <w:t xml:space="preserve"> </w:t>
      </w:r>
      <w:r>
        <w:t xml:space="preserve">· Effects of glucose, free fatty acids or arginine load on the GH-releasing activity of ghrelin in humans. PMID 12153607</w:t>
      </w:r>
    </w:p>
    <w:p>
      <w:pPr>
        <w:numPr>
          <w:ilvl w:val="0"/>
          <w:numId w:val="1401"/>
        </w:numPr>
        <w:pStyle w:val="Compact"/>
      </w:pPr>
      <w:r>
        <w:t xml:space="preserve">2002 · Broglio F ·</w:t>
      </w:r>
      <w:r>
        <w:t xml:space="preserve"> </w:t>
      </w:r>
      <w:r>
        <w:rPr>
          <w:iCs/>
          <w:i/>
        </w:rPr>
        <w:t xml:space="preserve">Eur J Pharmacol</w:t>
      </w:r>
      <w:r>
        <w:t xml:space="preserve"> </w:t>
      </w:r>
      <w:r>
        <w:t xml:space="preserve">· Effects of acute hexarelin administration on cardiac performance in patients with coronary artery disease during by-pass surgery. PMID 12144941</w:t>
      </w:r>
    </w:p>
    <w:p>
      <w:pPr>
        <w:numPr>
          <w:ilvl w:val="0"/>
          <w:numId w:val="1401"/>
        </w:numPr>
        <w:pStyle w:val="Compact"/>
      </w:pPr>
      <w:r>
        <w:t xml:space="preserve">2002 · Maccario M ·</w:t>
      </w:r>
      <w:r>
        <w:t xml:space="preserve"> </w:t>
      </w:r>
      <w:r>
        <w:rPr>
          <w:iCs/>
          <w:i/>
        </w:rPr>
        <w:t xml:space="preserve">Eur J Endocrinol</w:t>
      </w:r>
      <w:r>
        <w:t xml:space="preserve"> </w:t>
      </w:r>
      <w:r>
        <w:t xml:space="preserve">· Impact of two or three daily subcutaneous injections of hexarelin, a synthetic growth hormone (GH) secretagogue, on 24-h GH, prolactin, adrenocorticotropin and cortisol secretion in humans. PMID 11888836</w:t>
      </w:r>
    </w:p>
    <w:p>
      <w:pPr>
        <w:numPr>
          <w:ilvl w:val="0"/>
          <w:numId w:val="1401"/>
        </w:numPr>
        <w:pStyle w:val="Compact"/>
      </w:pPr>
      <w:r>
        <w:t xml:space="preserve">2001 · Broglio F ·</w:t>
      </w:r>
      <w:r>
        <w:t xml:space="preserve"> </w:t>
      </w:r>
      <w:r>
        <w:rPr>
          <w:iCs/>
          <w:i/>
        </w:rPr>
        <w:t xml:space="preserve">J Clin Endocrinol Metab</w:t>
      </w:r>
      <w:r>
        <w:t xml:space="preserve"> </w:t>
      </w:r>
      <w:r>
        <w:t xml:space="preserve">· Ghrelin, a natural GH secretagogue produced by the stomach, induces hyperglycemia and reduces insulin secretion in humans. PMID 11600590</w:t>
      </w:r>
    </w:p>
    <w:p>
      <w:pPr>
        <w:numPr>
          <w:ilvl w:val="0"/>
          <w:numId w:val="1401"/>
        </w:numPr>
        <w:pStyle w:val="Compact"/>
      </w:pPr>
      <w:r>
        <w:t xml:space="preserve">2001 · Broglio F ·</w:t>
      </w:r>
      <w:r>
        <w:t xml:space="preserve"> </w:t>
      </w:r>
      <w:r>
        <w:rPr>
          <w:iCs/>
          <w:i/>
        </w:rPr>
        <w:t xml:space="preserve">Endocrine</w:t>
      </w:r>
      <w:r>
        <w:t xml:space="preserve"> </w:t>
      </w:r>
      <w:r>
        <w:t xml:space="preserve">· Growth hormone-independent cardiotropic activities of growth hormone-releasing peptides in normal subjects, in patients with growth hormone deficiency, and in patients with idiopathic or ischemic dilated cardiomyopathy. PMID 11322491</w:t>
      </w:r>
    </w:p>
    <w:p>
      <w:pPr>
        <w:numPr>
          <w:ilvl w:val="0"/>
          <w:numId w:val="1401"/>
        </w:numPr>
        <w:pStyle w:val="Compact"/>
      </w:pPr>
      <w:r>
        <w:t xml:space="preserve">2001 · Gianotti L ·</w:t>
      </w:r>
      <w:r>
        <w:t xml:space="preserve"> </w:t>
      </w:r>
      <w:r>
        <w:rPr>
          <w:iCs/>
          <w:i/>
        </w:rPr>
        <w:t xml:space="preserve">J Endocrinol Invest</w:t>
      </w:r>
      <w:r>
        <w:t xml:space="preserve"> </w:t>
      </w:r>
      <w:r>
        <w:t xml:space="preserve">· Recombinant human IGF-I does not modify the ACTH and cortisol responses to hCRH and hexarelin, a peptidyl GH secretagogue, in humans. PMID 11263473</w:t>
      </w:r>
    </w:p>
    <w:p>
      <w:pPr>
        <w:numPr>
          <w:ilvl w:val="0"/>
          <w:numId w:val="1401"/>
        </w:numPr>
        <w:pStyle w:val="Compact"/>
      </w:pPr>
      <w:r>
        <w:t xml:space="preserve">2001 · Arvat E ·</w:t>
      </w:r>
      <w:r>
        <w:t xml:space="preserve"> </w:t>
      </w:r>
      <w:r>
        <w:rPr>
          <w:iCs/>
          <w:i/>
        </w:rPr>
        <w:t xml:space="preserve">J Clin Endocrinol Metab</w:t>
      </w:r>
      <w:r>
        <w:t xml:space="preserve"> </w:t>
      </w:r>
      <w:r>
        <w:t xml:space="preserve">· Endocrine activities of ghrelin, a natural growth hormone secretagogue (GHS), in humans: comparison and interactions with hexarelin, a nonnatural peptidyl GHS, and GH-releasing hormone. PMID 11238504</w:t>
      </w:r>
    </w:p>
    <w:p>
      <w:pPr>
        <w:numPr>
          <w:ilvl w:val="0"/>
          <w:numId w:val="1401"/>
        </w:numPr>
        <w:pStyle w:val="Compact"/>
      </w:pPr>
      <w:r>
        <w:t xml:space="preserve">2000 · Arvat E ·</w:t>
      </w:r>
      <w:r>
        <w:t xml:space="preserve"> </w:t>
      </w:r>
      <w:r>
        <w:rPr>
          <w:iCs/>
          <w:i/>
        </w:rPr>
        <w:t xml:space="preserve">Eur J Endocrinol</w:t>
      </w:r>
      <w:r>
        <w:t xml:space="preserve"> </w:t>
      </w:r>
      <w:r>
        <w:t xml:space="preserve">· Interaction between glucagon and hexarelin, a peptidyl GH secretagogue, on somatotroph and corticotroph secretion in humans. PMID 11078983</w:t>
      </w:r>
    </w:p>
    <w:p>
      <w:pPr>
        <w:numPr>
          <w:ilvl w:val="0"/>
          <w:numId w:val="1401"/>
        </w:numPr>
        <w:pStyle w:val="Compact"/>
      </w:pPr>
      <w:r>
        <w:t xml:space="preserve">2000 · Broglio F ·</w:t>
      </w:r>
      <w:r>
        <w:t xml:space="preserve"> </w:t>
      </w:r>
      <w:r>
        <w:rPr>
          <w:iCs/>
          <w:i/>
        </w:rPr>
        <w:t xml:space="preserve">Eur J Endocrinol</w:t>
      </w:r>
      <w:r>
        <w:t xml:space="preserve"> </w:t>
      </w:r>
      <w:r>
        <w:t xml:space="preserve">· Endocrine activities of alexamorelin (Ala-His-d-2-methyl-Trp-Ala-Trp-d-Phe-Lys-NH2), a synthetic GH secretagogue, in humans. PMID 11022186</w:t>
      </w:r>
    </w:p>
    <w:p>
      <w:pPr>
        <w:numPr>
          <w:ilvl w:val="0"/>
          <w:numId w:val="1401"/>
        </w:numPr>
        <w:pStyle w:val="Compact"/>
      </w:pPr>
      <w:r>
        <w:t xml:space="preserve">2000 · Coiro V ·</w:t>
      </w:r>
      <w:r>
        <w:t xml:space="preserve"> </w:t>
      </w:r>
      <w:r>
        <w:rPr>
          <w:iCs/>
          <w:i/>
        </w:rPr>
        <w:t xml:space="preserve">J Intern Med</w:t>
      </w:r>
      <w:r>
        <w:t xml:space="preserve"> </w:t>
      </w:r>
      <w:r>
        <w:t xml:space="preserve">· Desmopressin and hexarelin tests in alcohol-induced pseudo-Cushing’s syndrome. PMID 10886488</w:t>
      </w:r>
    </w:p>
    <w:p>
      <w:pPr>
        <w:numPr>
          <w:ilvl w:val="0"/>
          <w:numId w:val="1401"/>
        </w:numPr>
        <w:pStyle w:val="Compact"/>
      </w:pPr>
      <w:r>
        <w:t xml:space="preserve">2000 · De Marinis L ·</w:t>
      </w:r>
      <w:r>
        <w:t xml:space="preserve"> </w:t>
      </w:r>
      <w:r>
        <w:rPr>
          <w:iCs/>
          <w:i/>
        </w:rPr>
        <w:t xml:space="preserve">Horm Metab Res</w:t>
      </w:r>
      <w:r>
        <w:t xml:space="preserve"> </w:t>
      </w:r>
      <w:r>
        <w:t xml:space="preserve">· Role of food intake in the modulation of hexarelin-induced growth hormone release in normal human subjects. PMID 10824712</w:t>
      </w:r>
    </w:p>
    <w:p>
      <w:pPr>
        <w:numPr>
          <w:ilvl w:val="0"/>
          <w:numId w:val="1401"/>
        </w:numPr>
        <w:pStyle w:val="Compact"/>
      </w:pPr>
      <w:r>
        <w:t xml:space="preserve">2000 · Bellone J ·</w:t>
      </w:r>
      <w:r>
        <w:t xml:space="preserve"> </w:t>
      </w:r>
      <w:r>
        <w:rPr>
          <w:iCs/>
          <w:i/>
        </w:rPr>
        <w:t xml:space="preserve">J Endocrinol Invest</w:t>
      </w:r>
      <w:r>
        <w:t xml:space="preserve"> </w:t>
      </w:r>
      <w:r>
        <w:t xml:space="preserve">· The negative GH auto-feedback in childhood: effects of rhGH and/or GHRH on the somatotroph response to GHRH or hexarelin, a peptidyl GH secretagogue, in children. PMID 10803472</w:t>
      </w:r>
    </w:p>
    <w:p>
      <w:pPr>
        <w:numPr>
          <w:ilvl w:val="0"/>
          <w:numId w:val="1401"/>
        </w:numPr>
        <w:pStyle w:val="Compact"/>
      </w:pPr>
      <w:r>
        <w:t xml:space="preserve">1999 · Ghigo E ·</w:t>
      </w:r>
      <w:r>
        <w:t xml:space="preserve"> </w:t>
      </w:r>
      <w:r>
        <w:rPr>
          <w:iCs/>
          <w:i/>
        </w:rPr>
        <w:t xml:space="preserve">J Clin Endocrinol Metab</w:t>
      </w:r>
      <w:r>
        <w:t xml:space="preserve"> </w:t>
      </w:r>
      <w:r>
        <w:t xml:space="preserve">· Effects of recombinant human insulin-like growth factor I administration on growth hormone (GH) secretion, both spontaneous and stimulated by GH-releasing hormone or hexarelin, a peptidyl GH secretagogue, in humans. PMID 9920097</w:t>
      </w:r>
    </w:p>
    <w:p>
      <w:pPr>
        <w:numPr>
          <w:ilvl w:val="0"/>
          <w:numId w:val="1401"/>
        </w:numPr>
        <w:pStyle w:val="Compact"/>
      </w:pPr>
      <w:r>
        <w:t xml:space="preserve">1999 · Grottoli S ·</w:t>
      </w:r>
      <w:r>
        <w:t xml:space="preserve"> </w:t>
      </w:r>
      <w:r>
        <w:rPr>
          <w:iCs/>
          <w:i/>
        </w:rPr>
        <w:t xml:space="preserve">Pituitary</w:t>
      </w:r>
      <w:r>
        <w:t xml:space="preserve"> </w:t>
      </w:r>
      <w:r>
        <w:t xml:space="preserve">· Effects of alprazolam, a benzodiazepine, on the ACTH-, GH- and PRL-releasing activity of hexarelin, a synthetic peptidyl GH secretagogue (GHS), in patients with simple obesity and in patients with Cushing’s disease. PMID 11081154</w:t>
      </w:r>
    </w:p>
    <w:p>
      <w:pPr>
        <w:numPr>
          <w:ilvl w:val="0"/>
          <w:numId w:val="1401"/>
        </w:numPr>
        <w:pStyle w:val="Compact"/>
      </w:pPr>
      <w:r>
        <w:t xml:space="preserve">1999 · Bisi G ·</w:t>
      </w:r>
      <w:r>
        <w:t xml:space="preserve"> </w:t>
      </w:r>
      <w:r>
        <w:rPr>
          <w:iCs/>
          <w:i/>
        </w:rPr>
        <w:t xml:space="preserve">Eur J Pharmacol</w:t>
      </w:r>
      <w:r>
        <w:t xml:space="preserve"> </w:t>
      </w:r>
      <w:r>
        <w:t xml:space="preserve">· Cardiac effects of hexarelin in hypopituitary adults. PMID 10528131</w:t>
      </w:r>
    </w:p>
    <w:p>
      <w:pPr>
        <w:numPr>
          <w:ilvl w:val="0"/>
          <w:numId w:val="1401"/>
        </w:numPr>
        <w:pStyle w:val="Compact"/>
      </w:pPr>
      <w:r>
        <w:t xml:space="preserve">1999 · Arvat E ·</w:t>
      </w:r>
      <w:r>
        <w:t xml:space="preserve"> </w:t>
      </w:r>
      <w:r>
        <w:rPr>
          <w:iCs/>
          <w:i/>
        </w:rPr>
        <w:t xml:space="preserve">Neuroendocrinology</w:t>
      </w:r>
      <w:r>
        <w:t xml:space="preserve"> </w:t>
      </w:r>
      <w:r>
        <w:t xml:space="preserve">· Corticotropin-releasing effect of hexarelin, a peptidyl GH secretagogue, in normal subjects pretreated with metyrapone or RU-486, a glucocorticoid receptor antagonist, and in patients with Addison’s disease. PMID 10516483</w:t>
      </w:r>
    </w:p>
    <w:p>
      <w:pPr>
        <w:numPr>
          <w:ilvl w:val="0"/>
          <w:numId w:val="1401"/>
        </w:numPr>
        <w:pStyle w:val="Compact"/>
      </w:pPr>
      <w:r>
        <w:t xml:space="preserve">1999 · Korbonits M ·</w:t>
      </w:r>
      <w:r>
        <w:t xml:space="preserve"> </w:t>
      </w:r>
      <w:r>
        <w:rPr>
          <w:iCs/>
          <w:i/>
        </w:rPr>
        <w:t xml:space="preserve">J Clin Endocrinol Metab</w:t>
      </w:r>
      <w:r>
        <w:t xml:space="preserve"> </w:t>
      </w:r>
      <w:r>
        <w:t xml:space="preserve">· The growth hormone secretagogue hexarelin stimulates the hypothalamo-pituitary-adrenal axis via arginine vasopressin. PMID 10404825</w:t>
      </w:r>
    </w:p>
    <w:p>
      <w:pPr>
        <w:numPr>
          <w:ilvl w:val="0"/>
          <w:numId w:val="1401"/>
        </w:numPr>
        <w:pStyle w:val="Compact"/>
      </w:pPr>
      <w:r>
        <w:t xml:space="preserve">1999 · Bisi G ·</w:t>
      </w:r>
      <w:r>
        <w:t xml:space="preserve"> </w:t>
      </w:r>
      <w:r>
        <w:rPr>
          <w:iCs/>
          <w:i/>
        </w:rPr>
        <w:t xml:space="preserve">J Endocrinol Invest</w:t>
      </w:r>
      <w:r>
        <w:t xml:space="preserve"> </w:t>
      </w:r>
      <w:r>
        <w:t xml:space="preserve">· Acute cardiovascular and hormonal effects of GH and hexarelin, a synthetic GH-releasing peptide, in humans. PMID 10342360</w:t>
      </w:r>
    </w:p>
    <w:p>
      <w:pPr>
        <w:numPr>
          <w:ilvl w:val="0"/>
          <w:numId w:val="1401"/>
        </w:numPr>
        <w:pStyle w:val="Compact"/>
      </w:pPr>
      <w:r>
        <w:t xml:space="preserve">1999 · Rahim A ·</w:t>
      </w:r>
      <w:r>
        <w:t xml:space="preserve"> </w:t>
      </w:r>
      <w:r>
        <w:rPr>
          <w:iCs/>
          <w:i/>
        </w:rPr>
        <w:t xml:space="preserve">Clin Endocrinol (Oxf)</w:t>
      </w:r>
      <w:r>
        <w:t xml:space="preserve"> </w:t>
      </w:r>
      <w:r>
        <w:t xml:space="preserve">· The effect of chronic hexarelin administration on the pituitary-adrenal axis and prolactin. PMID 10341859</w:t>
      </w:r>
    </w:p>
    <w:p>
      <w:pPr>
        <w:numPr>
          <w:ilvl w:val="0"/>
          <w:numId w:val="1401"/>
        </w:numPr>
        <w:pStyle w:val="Compact"/>
      </w:pPr>
      <w:r>
        <w:t xml:space="preserve">1999 · Jenkins RC ·</w:t>
      </w:r>
      <w:r>
        <w:t xml:space="preserve"> </w:t>
      </w:r>
      <w:r>
        <w:rPr>
          <w:iCs/>
          <w:i/>
        </w:rPr>
        <w:t xml:space="preserve">J Clin Endocrinol Metab</w:t>
      </w:r>
      <w:r>
        <w:t xml:space="preserve"> </w:t>
      </w:r>
      <w:r>
        <w:t xml:space="preserve">· The effects of dose, nutrition, and age on hexarelin-induced anterior pituitary hormone secretion in adult patients on maintenance hemodialysis. PMID 10199757</w:t>
      </w:r>
    </w:p>
    <w:p>
      <w:pPr>
        <w:numPr>
          <w:ilvl w:val="0"/>
          <w:numId w:val="1401"/>
        </w:numPr>
        <w:pStyle w:val="Compact"/>
      </w:pPr>
      <w:r>
        <w:t xml:space="preserve">1999 · Arvat E ·</w:t>
      </w:r>
      <w:r>
        <w:t xml:space="preserve"> </w:t>
      </w:r>
      <w:r>
        <w:rPr>
          <w:iCs/>
          <w:i/>
        </w:rPr>
        <w:t xml:space="preserve">J Endocrinol Invest</w:t>
      </w:r>
      <w:r>
        <w:t xml:space="preserve"> </w:t>
      </w:r>
      <w:r>
        <w:t xml:space="preserve">· Tyr-Ala-Hexarelin, a synthetic octapeptide, possesses the same endocrine activities of Hexarelin and GHRP-2 in humans. PMID 10195374</w:t>
      </w:r>
    </w:p>
    <w:p>
      <w:pPr>
        <w:numPr>
          <w:ilvl w:val="0"/>
          <w:numId w:val="1401"/>
        </w:numPr>
        <w:pStyle w:val="Compact"/>
      </w:pPr>
      <w:r>
        <w:t xml:space="preserve">1998 · Arvat E ·</w:t>
      </w:r>
      <w:r>
        <w:t xml:space="preserve"> </w:t>
      </w:r>
      <w:r>
        <w:rPr>
          <w:iCs/>
          <w:i/>
        </w:rPr>
        <w:t xml:space="preserve">J Clin Endocrinol Metab</w:t>
      </w:r>
      <w:r>
        <w:t xml:space="preserve"> </w:t>
      </w:r>
      <w:r>
        <w:t xml:space="preserve">· Adrenocorticotropin and cortisol hyperresponsiveness to hexarelin in patients with Cushing’s disease bearing a pituitary microadenoma, but not in those with macroadenoma. PMID 9851753</w:t>
      </w:r>
    </w:p>
    <w:p>
      <w:pPr>
        <w:numPr>
          <w:ilvl w:val="0"/>
          <w:numId w:val="1401"/>
        </w:numPr>
        <w:pStyle w:val="Compact"/>
      </w:pPr>
      <w:r>
        <w:t xml:space="preserve">1998 · Maghnie M ·</w:t>
      </w:r>
      <w:r>
        <w:t xml:space="preserve"> </w:t>
      </w:r>
      <w:r>
        <w:rPr>
          <w:iCs/>
          <w:i/>
        </w:rPr>
        <w:t xml:space="preserve">J Clin Endocrinol Metab</w:t>
      </w:r>
      <w:r>
        <w:t xml:space="preserve"> </w:t>
      </w:r>
      <w:r>
        <w:t xml:space="preserve">· The growth hormone response to hexarelin in patients with different hypothalamic-pituitary abnormalities. PMID 9814463</w:t>
      </w:r>
    </w:p>
    <w:p>
      <w:pPr>
        <w:numPr>
          <w:ilvl w:val="0"/>
          <w:numId w:val="1401"/>
        </w:numPr>
        <w:pStyle w:val="Compact"/>
      </w:pPr>
      <w:r>
        <w:t xml:space="preserve">1998 · Arvat E ·</w:t>
      </w:r>
      <w:r>
        <w:t xml:space="preserve"> </w:t>
      </w:r>
      <w:r>
        <w:rPr>
          <w:iCs/>
          <w:i/>
        </w:rPr>
        <w:t xml:space="preserve">Neuroendocrinology</w:t>
      </w:r>
      <w:r>
        <w:t xml:space="preserve"> </w:t>
      </w:r>
      <w:r>
        <w:t xml:space="preserve">· Effects of dexamethasone and alprazolam, a benzodiazepine, on the stimulatory effect of hexarelin, a synthetic GHRP, on ACTH, cortisol and GH secretion in humans. PMID 9641612</w:t>
      </w:r>
    </w:p>
    <w:p>
      <w:pPr>
        <w:numPr>
          <w:ilvl w:val="0"/>
          <w:numId w:val="1401"/>
        </w:numPr>
        <w:pStyle w:val="Compact"/>
      </w:pPr>
      <w:r>
        <w:t xml:space="preserve">1998 · Arosio M ·</w:t>
      </w:r>
      <w:r>
        <w:t xml:space="preserve"> </w:t>
      </w:r>
      <w:r>
        <w:rPr>
          <w:iCs/>
          <w:i/>
        </w:rPr>
        <w:t xml:space="preserve">J Endocrinol Invest</w:t>
      </w:r>
      <w:r>
        <w:t xml:space="preserve"> </w:t>
      </w:r>
      <w:r>
        <w:t xml:space="preserve">· Lack of effect of hexarelin on TRH-induced TSH response in normal adult man. PMID 9624598</w:t>
      </w:r>
    </w:p>
    <w:p>
      <w:pPr>
        <w:numPr>
          <w:ilvl w:val="0"/>
          <w:numId w:val="1401"/>
        </w:numPr>
        <w:pStyle w:val="Compact"/>
      </w:pPr>
      <w:r>
        <w:t xml:space="preserve">1998 · Rahim A ·</w:t>
      </w:r>
      <w:r>
        <w:t xml:space="preserve"> </w:t>
      </w:r>
      <w:r>
        <w:rPr>
          <w:iCs/>
          <w:i/>
        </w:rPr>
        <w:t xml:space="preserve">J Clin Endocrinol Metab</w:t>
      </w:r>
      <w:r>
        <w:t xml:space="preserve"> </w:t>
      </w:r>
      <w:r>
        <w:t xml:space="preserve">· Growth hormone status during long-term hexarelin therapy. PMID 9589671</w:t>
      </w:r>
    </w:p>
    <w:p>
      <w:pPr>
        <w:numPr>
          <w:ilvl w:val="0"/>
          <w:numId w:val="1401"/>
        </w:numPr>
        <w:pStyle w:val="Compact"/>
      </w:pPr>
      <w:r>
        <w:t xml:space="preserve">1998 · Rahim A ·</w:t>
      </w:r>
      <w:r>
        <w:t xml:space="preserve"> </w:t>
      </w:r>
      <w:r>
        <w:rPr>
          <w:iCs/>
          <w:i/>
        </w:rPr>
        <w:t xml:space="preserve">Growth Horm IGF Res</w:t>
      </w:r>
      <w:r>
        <w:t xml:space="preserve"> </w:t>
      </w:r>
      <w:r>
        <w:t xml:space="preserve">· Does desensitization to hexarelin occur?. PMID 10990150</w:t>
      </w:r>
    </w:p>
    <w:p>
      <w:pPr>
        <w:numPr>
          <w:ilvl w:val="0"/>
          <w:numId w:val="1401"/>
        </w:numPr>
        <w:pStyle w:val="Compact"/>
      </w:pPr>
      <w:r>
        <w:t xml:space="preserve">1998 · Guzzaloni G ·</w:t>
      </w:r>
      <w:r>
        <w:t xml:space="preserve"> </w:t>
      </w:r>
      <w:r>
        <w:rPr>
          <w:iCs/>
          <w:i/>
        </w:rPr>
        <w:t xml:space="preserve">Minerva Endocrinol</w:t>
      </w:r>
      <w:r>
        <w:t xml:space="preserve"> </w:t>
      </w:r>
      <w:r>
        <w:t xml:space="preserve">· Growth hormone response to hexarelin, growth hormone-releasing hormone plus pyridostigmine and arginine plus estrogen in prepubertal and early pubertal short children. PMID 10361807</w:t>
      </w:r>
    </w:p>
    <w:p>
      <w:pPr>
        <w:numPr>
          <w:ilvl w:val="0"/>
          <w:numId w:val="1401"/>
        </w:numPr>
        <w:pStyle w:val="Compact"/>
      </w:pPr>
      <w:r>
        <w:t xml:space="preserve">1997 · Arvat E ·</w:t>
      </w:r>
      <w:r>
        <w:t xml:space="preserve"> </w:t>
      </w:r>
      <w:r>
        <w:rPr>
          <w:iCs/>
          <w:i/>
        </w:rPr>
        <w:t xml:space="preserve">Neuroendocrinology</w:t>
      </w:r>
      <w:r>
        <w:t xml:space="preserve"> </w:t>
      </w:r>
      <w:r>
        <w:t xml:space="preserve">· Hexarelin, a synthetic growth-hormone releasing peptide, shows no interaction with corticotropin-releasing hormone and vasopressin on adrenocorticotropin and cortisol secretion in humans. PMID 9430449</w:t>
      </w:r>
    </w:p>
    <w:p>
      <w:pPr>
        <w:numPr>
          <w:ilvl w:val="0"/>
          <w:numId w:val="1401"/>
        </w:numPr>
        <w:pStyle w:val="Compact"/>
      </w:pPr>
      <w:r>
        <w:t xml:space="preserve">1997 · Massoud AF ·</w:t>
      </w:r>
      <w:r>
        <w:t xml:space="preserve"> </w:t>
      </w:r>
      <w:r>
        <w:rPr>
          <w:iCs/>
          <w:i/>
        </w:rPr>
        <w:t xml:space="preserve">Clin Endocrinol (Oxf)</w:t>
      </w:r>
      <w:r>
        <w:t xml:space="preserve"> </w:t>
      </w:r>
      <w:r>
        <w:t xml:space="preserve">· Interaction of the growth hormone releasing peptide hexarelin with somatostatin. PMID 9425393</w:t>
      </w:r>
    </w:p>
    <w:p>
      <w:pPr>
        <w:numPr>
          <w:ilvl w:val="0"/>
          <w:numId w:val="1401"/>
        </w:numPr>
        <w:pStyle w:val="Compact"/>
      </w:pPr>
      <w:r>
        <w:t xml:space="preserve">1997 · Arvat E ·</w:t>
      </w:r>
      <w:r>
        <w:t xml:space="preserve"> </w:t>
      </w:r>
      <w:r>
        <w:rPr>
          <w:iCs/>
          <w:i/>
        </w:rPr>
        <w:t xml:space="preserve">Clin Endocrinol (Oxf)</w:t>
      </w:r>
      <w:r>
        <w:t xml:space="preserve"> </w:t>
      </w:r>
      <w:r>
        <w:t xml:space="preserve">· Low hexarelin dose and pyridostigmine have additive effect and potentiate to the same extent the GHRH-induced GH response in man. PMID 9404449</w:t>
      </w:r>
    </w:p>
    <w:p>
      <w:pPr>
        <w:numPr>
          <w:ilvl w:val="0"/>
          <w:numId w:val="1401"/>
        </w:numPr>
        <w:pStyle w:val="Compact"/>
      </w:pPr>
      <w:r>
        <w:t xml:space="preserve">1997 · Tolis G ·</w:t>
      </w:r>
      <w:r>
        <w:t xml:space="preserve"> </w:t>
      </w:r>
      <w:r>
        <w:rPr>
          <w:iCs/>
          <w:i/>
        </w:rPr>
        <w:t xml:space="preserve">J Pediatr Endocrinol Metab</w:t>
      </w:r>
      <w:r>
        <w:t xml:space="preserve"> </w:t>
      </w:r>
      <w:r>
        <w:t xml:space="preserve">· Growth hormone release by the novel GH releasing peptide hexarelin in patients with homozygous beta-thalassemia. PMID 9364340</w:t>
      </w:r>
    </w:p>
    <w:p>
      <w:pPr>
        <w:numPr>
          <w:ilvl w:val="0"/>
          <w:numId w:val="1401"/>
        </w:numPr>
        <w:pStyle w:val="Compact"/>
      </w:pPr>
      <w:r>
        <w:t xml:space="preserve">1997 · Giusti M ·</w:t>
      </w:r>
      <w:r>
        <w:t xml:space="preserve"> </w:t>
      </w:r>
      <w:r>
        <w:rPr>
          <w:iCs/>
          <w:i/>
        </w:rPr>
        <w:t xml:space="preserve">J Endocrinol Invest</w:t>
      </w:r>
      <w:r>
        <w:t xml:space="preserve"> </w:t>
      </w:r>
      <w:r>
        <w:t xml:space="preserve">· Hexarelin is a stronger GH-releasing peptide than GHRH in normal cycling women but not in anorexia nervosa. PMID 9258804</w:t>
      </w:r>
    </w:p>
    <w:p>
      <w:pPr>
        <w:numPr>
          <w:ilvl w:val="0"/>
          <w:numId w:val="1401"/>
        </w:numPr>
        <w:pStyle w:val="Compact"/>
      </w:pPr>
      <w:r>
        <w:t xml:space="preserve">1997 · Sartorio A ·</w:t>
      </w:r>
      <w:r>
        <w:t xml:space="preserve"> </w:t>
      </w:r>
      <w:r>
        <w:rPr>
          <w:iCs/>
          <w:i/>
        </w:rPr>
        <w:t xml:space="preserve">Clin Endocrinol (Oxf)</w:t>
      </w:r>
      <w:r>
        <w:t xml:space="preserve"> </w:t>
      </w:r>
      <w:r>
        <w:t xml:space="preserve">· Non-parametric deconvolution provides an objective assessment of GH responsiveness to GH-releasing stimuli in normal subjects. PMID 9196598</w:t>
      </w:r>
    </w:p>
    <w:p>
      <w:pPr>
        <w:numPr>
          <w:ilvl w:val="0"/>
          <w:numId w:val="1401"/>
        </w:numPr>
        <w:pStyle w:val="Compact"/>
      </w:pPr>
      <w:r>
        <w:t xml:space="preserve">1997 · Arvat E ·</w:t>
      </w:r>
      <w:r>
        <w:t xml:space="preserve"> </w:t>
      </w:r>
      <w:r>
        <w:rPr>
          <w:iCs/>
          <w:i/>
        </w:rPr>
        <w:t xml:space="preserve">Eur J Endocrinol</w:t>
      </w:r>
      <w:r>
        <w:t xml:space="preserve"> </w:t>
      </w:r>
      <w:r>
        <w:t xml:space="preserve">· Oestrogen replacement does not restore the reduced GH-releasing activity of Hexarelin, a synthetic hexapeptide, in post-menopausal women. PMID 9186268</w:t>
      </w:r>
    </w:p>
    <w:p>
      <w:pPr>
        <w:numPr>
          <w:ilvl w:val="0"/>
          <w:numId w:val="1401"/>
        </w:numPr>
        <w:pStyle w:val="Compact"/>
      </w:pPr>
      <w:r>
        <w:t xml:space="preserve">1997 · Loche S ·</w:t>
      </w:r>
      <w:r>
        <w:t xml:space="preserve"> </w:t>
      </w:r>
      <w:r>
        <w:rPr>
          <w:iCs/>
          <w:i/>
        </w:rPr>
        <w:t xml:space="preserve">Clin Endocrinol (Oxf)</w:t>
      </w:r>
      <w:r>
        <w:t xml:space="preserve"> </w:t>
      </w:r>
      <w:r>
        <w:t xml:space="preserve">· Acute administration of hexarelin stimulates GH secretion during day and night in normal men. PMID 9156035</w:t>
      </w:r>
    </w:p>
    <w:p>
      <w:pPr>
        <w:numPr>
          <w:ilvl w:val="0"/>
          <w:numId w:val="1401"/>
        </w:numPr>
        <w:pStyle w:val="Compact"/>
      </w:pPr>
      <w:r>
        <w:t xml:space="preserve">1997 · Arvat E ·</w:t>
      </w:r>
      <w:r>
        <w:t xml:space="preserve"> </w:t>
      </w:r>
      <w:r>
        <w:rPr>
          <w:iCs/>
          <w:i/>
        </w:rPr>
        <w:t xml:space="preserve">Metabolism</w:t>
      </w:r>
      <w:r>
        <w:t xml:space="preserve"> </w:t>
      </w:r>
      <w:r>
        <w:t xml:space="preserve">· Mechanisms underlying the negative growth hormone (GH) autofeedback on the GH-releasing effect of hexarelin in man. PMID 9005975</w:t>
      </w:r>
    </w:p>
    <w:p>
      <w:pPr>
        <w:numPr>
          <w:ilvl w:val="0"/>
          <w:numId w:val="1401"/>
        </w:numPr>
        <w:pStyle w:val="Compact"/>
      </w:pPr>
      <w:r>
        <w:t xml:space="preserve">1996 · Micic D ·</w:t>
      </w:r>
      <w:r>
        <w:t xml:space="preserve"> </w:t>
      </w:r>
      <w:r>
        <w:rPr>
          <w:iCs/>
          <w:i/>
        </w:rPr>
        <w:t xml:space="preserve">Clin Endocrinol (Oxf)</w:t>
      </w:r>
      <w:r>
        <w:t xml:space="preserve"> </w:t>
      </w:r>
      <w:r>
        <w:t xml:space="preserve">· The sequential administration of growth hormone-releasing hormone followed 120 minutes later by hexarelin, as an effective test to assess the pituitary GH reserve in man. PMID 8977750</w:t>
      </w:r>
    </w:p>
    <w:p>
      <w:pPr>
        <w:numPr>
          <w:ilvl w:val="0"/>
          <w:numId w:val="1401"/>
        </w:numPr>
        <w:pStyle w:val="Compact"/>
      </w:pPr>
      <w:r>
        <w:t xml:space="preserve">1996 · Massoud AF ·</w:t>
      </w:r>
      <w:r>
        <w:t xml:space="preserve"> </w:t>
      </w:r>
      <w:r>
        <w:rPr>
          <w:iCs/>
          <w:i/>
        </w:rPr>
        <w:t xml:space="preserve">J Clin Endocrinol Metab</w:t>
      </w:r>
      <w:r>
        <w:t xml:space="preserve"> </w:t>
      </w:r>
      <w:r>
        <w:t xml:space="preserve">· Hexarelin-induced growth hormone, cortisol, and prolactin release: a dose-response study. PMID 8954038</w:t>
      </w:r>
    </w:p>
    <w:p>
      <w:pPr>
        <w:numPr>
          <w:ilvl w:val="0"/>
          <w:numId w:val="1401"/>
        </w:numPr>
        <w:pStyle w:val="Compact"/>
      </w:pPr>
      <w:r>
        <w:t xml:space="preserve">1996 · Ghigo E ·</w:t>
      </w:r>
      <w:r>
        <w:t xml:space="preserve"> </w:t>
      </w:r>
      <w:r>
        <w:rPr>
          <w:iCs/>
          <w:i/>
        </w:rPr>
        <w:t xml:space="preserve">Eur J Endocrinol</w:t>
      </w:r>
      <w:r>
        <w:t xml:space="preserve"> </w:t>
      </w:r>
      <w:r>
        <w:t xml:space="preserve">· Short-term administration of intranasal or oral Hexarelin, a synthetic hexapeptide, does not desensitize the growth hormone responsiveness in human aging. PMID 8921821</w:t>
      </w:r>
    </w:p>
    <w:p>
      <w:pPr>
        <w:numPr>
          <w:ilvl w:val="0"/>
          <w:numId w:val="1401"/>
        </w:numPr>
        <w:pStyle w:val="Compact"/>
      </w:pPr>
      <w:r>
        <w:t xml:space="preserve">1996 · Arvat E ·</w:t>
      </w:r>
      <w:r>
        <w:t xml:space="preserve"> </w:t>
      </w:r>
      <w:r>
        <w:rPr>
          <w:iCs/>
          <w:i/>
        </w:rPr>
        <w:t xml:space="preserve">J Endocrinol Invest</w:t>
      </w:r>
      <w:r>
        <w:t xml:space="preserve"> </w:t>
      </w:r>
      <w:r>
        <w:t xml:space="preserve">· Influence of beta-adrenergic agonists and antagonists on the GH-releasing effect of Hexarelin in man. PMID 8851688</w:t>
      </w:r>
    </w:p>
    <w:p>
      <w:pPr>
        <w:numPr>
          <w:ilvl w:val="0"/>
          <w:numId w:val="1401"/>
        </w:numPr>
        <w:pStyle w:val="Compact"/>
      </w:pPr>
      <w:r>
        <w:t xml:space="preserve">1996 · Klinger B ·</w:t>
      </w:r>
      <w:r>
        <w:t xml:space="preserve"> </w:t>
      </w:r>
      <w:r>
        <w:rPr>
          <w:iCs/>
          <w:i/>
        </w:rPr>
        <w:t xml:space="preserve">Eur J Endocrinol</w:t>
      </w:r>
      <w:r>
        <w:t xml:space="preserve"> </w:t>
      </w:r>
      <w:r>
        <w:t xml:space="preserve">· Desensitization from long-term intranasal treatment with hexarelin does not interfere with the biological effects of this growth hormone-releasing peptide in short children. PMID 8766941</w:t>
      </w:r>
    </w:p>
    <w:p>
      <w:pPr>
        <w:numPr>
          <w:ilvl w:val="0"/>
          <w:numId w:val="1401"/>
        </w:numPr>
        <w:pStyle w:val="Compact"/>
      </w:pPr>
      <w:r>
        <w:t xml:space="preserve">1996 · Massoud AF ·</w:t>
      </w:r>
      <w:r>
        <w:t xml:space="preserve"> </w:t>
      </w:r>
      <w:r>
        <w:rPr>
          <w:iCs/>
          <w:i/>
        </w:rPr>
        <w:t xml:space="preserve">Clin Endocrinol (Oxf)</w:t>
      </w:r>
      <w:r>
        <w:t xml:space="preserve"> </w:t>
      </w:r>
      <w:r>
        <w:t xml:space="preserve">· The effect of repeated administration of hexarelin, a growth hormone releasing peptide, and growth hormone releasing hormone on growth hormone responsivity. PMID 8762732</w:t>
      </w:r>
    </w:p>
    <w:p>
      <w:pPr>
        <w:numPr>
          <w:ilvl w:val="0"/>
          <w:numId w:val="1401"/>
        </w:numPr>
        <w:pStyle w:val="Compact"/>
      </w:pPr>
      <w:r>
        <w:t xml:space="preserve">1996 · Ciccarelli E ·</w:t>
      </w:r>
      <w:r>
        <w:t xml:space="preserve"> </w:t>
      </w:r>
      <w:r>
        <w:rPr>
          <w:iCs/>
          <w:i/>
        </w:rPr>
        <w:t xml:space="preserve">Clin Endocrinol (Oxf)</w:t>
      </w:r>
      <w:r>
        <w:t xml:space="preserve"> </w:t>
      </w:r>
      <w:r>
        <w:t xml:space="preserve">· Hexarelin, a synthetic growth hormone releasing peptide, stimulates prolactin secretion in acromegalic but not in hyperprolactinaemic patients. PMID 8706295</w:t>
      </w:r>
    </w:p>
    <w:p>
      <w:pPr>
        <w:numPr>
          <w:ilvl w:val="0"/>
          <w:numId w:val="1401"/>
        </w:numPr>
        <w:pStyle w:val="Compact"/>
      </w:pPr>
      <w:r>
        <w:t xml:space="preserve">1995 · Sartorio A ·</w:t>
      </w:r>
      <w:r>
        <w:t xml:space="preserve"> </w:t>
      </w:r>
      <w:r>
        <w:rPr>
          <w:iCs/>
          <w:i/>
        </w:rPr>
        <w:t xml:space="preserve">J Endocrinol Invest</w:t>
      </w:r>
      <w:r>
        <w:t xml:space="preserve"> </w:t>
      </w:r>
      <w:r>
        <w:t xml:space="preserve">· GH responsiveness to repeated GHRH or hexarelin administration in normal adults. PMID 8719303</w:t>
      </w:r>
    </w:p>
    <w:p>
      <w:pPr>
        <w:numPr>
          <w:ilvl w:val="0"/>
          <w:numId w:val="1401"/>
        </w:numPr>
        <w:pStyle w:val="Compact"/>
      </w:pPr>
      <w:r>
        <w:t xml:space="preserve">1995 · Laron Z ·</w:t>
      </w:r>
      <w:r>
        <w:t xml:space="preserve"> </w:t>
      </w:r>
      <w:r>
        <w:rPr>
          <w:iCs/>
          <w:i/>
        </w:rPr>
        <w:t xml:space="preserve">Clin Endocrinol (Oxf)</w:t>
      </w:r>
      <w:r>
        <w:t xml:space="preserve"> </w:t>
      </w:r>
      <w:r>
        <w:t xml:space="preserve">· Intranasal administration of the GHRP hexarelin accelerates growth in short children. PMID 8548949</w:t>
      </w:r>
    </w:p>
    <w:p>
      <w:pPr>
        <w:numPr>
          <w:ilvl w:val="0"/>
          <w:numId w:val="1401"/>
        </w:numPr>
        <w:pStyle w:val="Compact"/>
      </w:pPr>
      <w:r>
        <w:t xml:space="preserve">1995 · Massoud AF ·</w:t>
      </w:r>
      <w:r>
        <w:t xml:space="preserve"> </w:t>
      </w:r>
      <w:r>
        <w:rPr>
          <w:iCs/>
          <w:i/>
        </w:rPr>
        <w:t xml:space="preserve">Clin Endocrinol (Oxf)</w:t>
      </w:r>
      <w:r>
        <w:t xml:space="preserve"> </w:t>
      </w:r>
      <w:r>
        <w:t xml:space="preserve">· Hexarelin induced growth hormone release is influenced by exogenous growth hormone. PMID 8548947</w:t>
      </w:r>
    </w:p>
    <w:p>
      <w:pPr>
        <w:numPr>
          <w:ilvl w:val="0"/>
          <w:numId w:val="1401"/>
        </w:numPr>
        <w:pStyle w:val="Compact"/>
      </w:pPr>
      <w:r>
        <w:t xml:space="preserve">1995 · Loche S ·</w:t>
      </w:r>
      <w:r>
        <w:t xml:space="preserve"> </w:t>
      </w:r>
      <w:r>
        <w:rPr>
          <w:iCs/>
          <w:i/>
        </w:rPr>
        <w:t xml:space="preserve">J Clin Endocrinol Metab</w:t>
      </w:r>
      <w:r>
        <w:t xml:space="preserve"> </w:t>
      </w:r>
      <w:r>
        <w:t xml:space="preserve">· The effect of hexarelin on growth hormone (GH) secretion in patients with GH deficiency. PMID 7673411</w:t>
      </w:r>
    </w:p>
    <w:p>
      <w:pPr>
        <w:numPr>
          <w:ilvl w:val="0"/>
          <w:numId w:val="1401"/>
        </w:numPr>
        <w:pStyle w:val="Compact"/>
      </w:pPr>
      <w:r>
        <w:t xml:space="preserve">1995 · Korbonits M ·</w:t>
      </w:r>
      <w:r>
        <w:t xml:space="preserve"> </w:t>
      </w:r>
      <w:r>
        <w:rPr>
          <w:iCs/>
          <w:i/>
        </w:rPr>
        <w:t xml:space="preserve">Clin Endocrinol (Oxf)</w:t>
      </w:r>
      <w:r>
        <w:t xml:space="preserve"> </w:t>
      </w:r>
      <w:r>
        <w:t xml:space="preserve">· The effect of an opiate antagonist on the hormonal changes induced by hexarelin. PMID 7586608</w:t>
      </w:r>
    </w:p>
    <w:p>
      <w:pPr>
        <w:numPr>
          <w:ilvl w:val="0"/>
          <w:numId w:val="1401"/>
        </w:numPr>
        <w:pStyle w:val="Compact"/>
      </w:pPr>
      <w:r>
        <w:t xml:space="preserve">1995 · Frenkel J ·</w:t>
      </w:r>
      <w:r>
        <w:t xml:space="preserve"> </w:t>
      </w:r>
      <w:r>
        <w:rPr>
          <w:iCs/>
          <w:i/>
        </w:rPr>
        <w:t xml:space="preserve">J Pediatr Endocrinol Metab</w:t>
      </w:r>
      <w:r>
        <w:t xml:space="preserve"> </w:t>
      </w:r>
      <w:r>
        <w:t xml:space="preserve">· Short term effect of intranasal administration of hexarelin–a synthetic growth hormone-releasing peptide. Preliminary communication. PMID 7584696</w:t>
      </w:r>
    </w:p>
    <w:p>
      <w:pPr>
        <w:numPr>
          <w:ilvl w:val="0"/>
          <w:numId w:val="1401"/>
        </w:numPr>
        <w:pStyle w:val="Compact"/>
      </w:pPr>
      <w:r>
        <w:t xml:space="preserve">1995 · Giustina A ·</w:t>
      </w:r>
      <w:r>
        <w:t xml:space="preserve"> </w:t>
      </w:r>
      <w:r>
        <w:rPr>
          <w:iCs/>
          <w:i/>
        </w:rPr>
        <w:t xml:space="preserve">J Endocrinol</w:t>
      </w:r>
      <w:r>
        <w:t xml:space="preserve"> </w:t>
      </w:r>
      <w:r>
        <w:t xml:space="preserve">· Comparison of the effects of growth hormone-releasing hormone and hexarelin, a novel growth hormone-releasing peptide-6 analog, on growth hormone secretion in humans with or without glucocorticoid excess. PMID 7561633</w:t>
      </w:r>
    </w:p>
    <w:p>
      <w:pPr>
        <w:numPr>
          <w:ilvl w:val="0"/>
          <w:numId w:val="1401"/>
        </w:numPr>
        <w:pStyle w:val="Compact"/>
      </w:pPr>
      <w:r>
        <w:t xml:space="preserve">1994 · Arvat E ·</w:t>
      </w:r>
      <w:r>
        <w:t xml:space="preserve"> </w:t>
      </w:r>
      <w:r>
        <w:rPr>
          <w:iCs/>
          <w:i/>
        </w:rPr>
        <w:t xml:space="preserve">J Clin Endocrinol Metab</w:t>
      </w:r>
      <w:r>
        <w:t xml:space="preserve"> </w:t>
      </w:r>
      <w:r>
        <w:t xml:space="preserve">· Arginine and growth hormone-releasing hormone restore the blunted growth hormone-releasing activity of hexarelin in elderly subjects. PMID 7962341</w:t>
      </w:r>
    </w:p>
    <w:p>
      <w:pPr>
        <w:numPr>
          <w:ilvl w:val="0"/>
          <w:numId w:val="1401"/>
        </w:numPr>
        <w:pStyle w:val="Compact"/>
      </w:pPr>
      <w:r>
        <w:t xml:space="preserve">1994 · Imbimbo BP ·</w:t>
      </w:r>
      <w:r>
        <w:t xml:space="preserve"> </w:t>
      </w:r>
      <w:r>
        <w:rPr>
          <w:iCs/>
          <w:i/>
        </w:rPr>
        <w:t xml:space="preserve">Eur J Clin Pharmacol</w:t>
      </w:r>
      <w:r>
        <w:t xml:space="preserve"> </w:t>
      </w:r>
      <w:r>
        <w:t xml:space="preserve">· Growth hormone-releasing activity of hexarelin in humans. A dose-response study. PMID 7957536</w:t>
      </w:r>
    </w:p>
    <w:bookmarkEnd w:id="1145"/>
    <w:bookmarkStart w:id="1146" w:name="macimoreline-4"/>
    <w:p>
      <w:pPr>
        <w:pStyle w:val="Heading2"/>
      </w:pPr>
      <w:r>
        <w:t xml:space="preserve">Macimoreline (4)</w:t>
      </w:r>
    </w:p>
    <w:p>
      <w:pPr>
        <w:numPr>
          <w:ilvl w:val="0"/>
          <w:numId w:val="1402"/>
        </w:numPr>
        <w:pStyle w:val="Compact"/>
      </w:pPr>
      <w:r>
        <w:t xml:space="preserve">2023 · Herodes M ·</w:t>
      </w:r>
      <w:r>
        <w:t xml:space="preserve"> </w:t>
      </w:r>
      <w:r>
        <w:rPr>
          <w:iCs/>
          <w:i/>
        </w:rPr>
        <w:t xml:space="preserve">J Cachexia Sarcopenia Muscle</w:t>
      </w:r>
      <w:r>
        <w:t xml:space="preserve"> </w:t>
      </w:r>
      <w:r>
        <w:t xml:space="preserve">· Pilot clinical trial of macimorelin to assess safety and efficacy in patients with cancer cachexia. PMID 36860137</w:t>
      </w:r>
    </w:p>
    <w:p>
      <w:pPr>
        <w:numPr>
          <w:ilvl w:val="0"/>
          <w:numId w:val="1402"/>
        </w:numPr>
        <w:pStyle w:val="Compact"/>
      </w:pPr>
      <w:r>
        <w:t xml:space="preserve">2021 · Lissy M ·</w:t>
      </w:r>
      <w:r>
        <w:t xml:space="preserve"> </w:t>
      </w:r>
      <w:r>
        <w:rPr>
          <w:iCs/>
          <w:i/>
        </w:rPr>
        <w:t xml:space="preserve">Clin Pharmacol Drug Dev</w:t>
      </w:r>
      <w:r>
        <w:t xml:space="preserve"> </w:t>
      </w:r>
      <w:r>
        <w:t xml:space="preserve">· Thorough QT/QTc Study Evaluating the Effect of Macimorelin on Cardiac Safety Parameters in Healthy Participants. PMID 32961034</w:t>
      </w:r>
    </w:p>
    <w:p>
      <w:pPr>
        <w:numPr>
          <w:ilvl w:val="0"/>
          <w:numId w:val="1402"/>
        </w:numPr>
        <w:pStyle w:val="Compact"/>
      </w:pPr>
      <w:r>
        <w:t xml:space="preserve">2020 · Klaus B ·</w:t>
      </w:r>
      <w:r>
        <w:t xml:space="preserve"> </w:t>
      </w:r>
      <w:r>
        <w:rPr>
          <w:iCs/>
          <w:i/>
        </w:rPr>
        <w:t xml:space="preserve">Growth Horm IGF Res</w:t>
      </w:r>
      <w:r>
        <w:t xml:space="preserve"> </w:t>
      </w:r>
      <w:r>
        <w:t xml:space="preserve">· Safety, tolerability, pharmacokinetics, and pharmacodynamics of macimorelin in healthy adults: Results of a single-dose, randomized controlled study. PMID 32325373</w:t>
      </w:r>
    </w:p>
    <w:p>
      <w:pPr>
        <w:numPr>
          <w:ilvl w:val="0"/>
          <w:numId w:val="1402"/>
        </w:numPr>
        <w:pStyle w:val="Compact"/>
      </w:pPr>
      <w:r>
        <w:t xml:space="preserve">2018 · Garcia JM ·</w:t>
      </w:r>
      <w:r>
        <w:t xml:space="preserve"> </w:t>
      </w:r>
      <w:r>
        <w:rPr>
          <w:iCs/>
          <w:i/>
        </w:rPr>
        <w:t xml:space="preserve">J Clin Endocrinol Metab</w:t>
      </w:r>
      <w:r>
        <w:t xml:space="preserve"> </w:t>
      </w:r>
      <w:r>
        <w:t xml:space="preserve">· Macimorelin as a Diagnostic Test for Adult GH Deficiency. PMID 29860473</w:t>
      </w:r>
    </w:p>
    <w:bookmarkEnd w:id="1146"/>
    <w:bookmarkStart w:id="1147" w:name="mecasermine-igf-1-21"/>
    <w:p>
      <w:pPr>
        <w:pStyle w:val="Heading2"/>
      </w:pPr>
      <w:r>
        <w:t xml:space="preserve">Mecasermine (IGF-1) (21)</w:t>
      </w:r>
    </w:p>
    <w:p>
      <w:pPr>
        <w:numPr>
          <w:ilvl w:val="0"/>
          <w:numId w:val="1403"/>
        </w:numPr>
        <w:pStyle w:val="Compact"/>
      </w:pPr>
      <w:r>
        <w:t xml:space="preserve">2021 · Haines MS ·</w:t>
      </w:r>
      <w:r>
        <w:t xml:space="preserve"> </w:t>
      </w:r>
      <w:r>
        <w:rPr>
          <w:iCs/>
          <w:i/>
        </w:rPr>
        <w:t xml:space="preserve">J Bone Miner Res</w:t>
      </w:r>
      <w:r>
        <w:t xml:space="preserve"> </w:t>
      </w:r>
      <w:r>
        <w:t xml:space="preserve">· Sequential Therapy With Recombinant Human IGF-1 Followed by Risedronate Increases Spine Bone Mineral Density in Women With Anorexia Nervosa: A Randomized, Placebo-Controlled Trial. PMID 34355814</w:t>
      </w:r>
    </w:p>
    <w:p>
      <w:pPr>
        <w:numPr>
          <w:ilvl w:val="0"/>
          <w:numId w:val="1403"/>
        </w:numPr>
        <w:pStyle w:val="Compact"/>
      </w:pPr>
      <w:r>
        <w:t xml:space="preserve">2021 · Singhal V ·</w:t>
      </w:r>
      <w:r>
        <w:t xml:space="preserve"> </w:t>
      </w:r>
      <w:r>
        <w:rPr>
          <w:iCs/>
          <w:i/>
        </w:rPr>
        <w:t xml:space="preserve">J Clin Endocrinol Metab</w:t>
      </w:r>
      <w:r>
        <w:t xml:space="preserve"> </w:t>
      </w:r>
      <w:r>
        <w:t xml:space="preserve">· Effect of Transdermal Estradiol and Insulin-like Growth Factor-1 on Bone Endpoints of Young Women With Anorexia Nervosa. PMID 33693703</w:t>
      </w:r>
    </w:p>
    <w:p>
      <w:pPr>
        <w:numPr>
          <w:ilvl w:val="0"/>
          <w:numId w:val="1403"/>
        </w:numPr>
        <w:pStyle w:val="Compact"/>
      </w:pPr>
      <w:r>
        <w:t xml:space="preserve">2021 · Guha N ·</w:t>
      </w:r>
      <w:r>
        <w:t xml:space="preserve"> </w:t>
      </w:r>
      <w:r>
        <w:rPr>
          <w:iCs/>
          <w:i/>
        </w:rPr>
        <w:t xml:space="preserve">Clin Endocrinol (Oxf)</w:t>
      </w:r>
      <w:r>
        <w:t xml:space="preserve"> </w:t>
      </w:r>
      <w:r>
        <w:t xml:space="preserve">· The effects of recombinant human insulin-like growth factor-1/insulin-like growth factor binding protein-3 administration on lipid and carbohydrate metabolism in recreational athletes. PMID 33249593</w:t>
      </w:r>
    </w:p>
    <w:p>
      <w:pPr>
        <w:numPr>
          <w:ilvl w:val="0"/>
          <w:numId w:val="1403"/>
        </w:numPr>
        <w:pStyle w:val="Compact"/>
      </w:pPr>
      <w:r>
        <w:t xml:space="preserve">2020 · Rutter MM ·</w:t>
      </w:r>
      <w:r>
        <w:t xml:space="preserve"> </w:t>
      </w:r>
      <w:r>
        <w:rPr>
          <w:iCs/>
          <w:i/>
        </w:rPr>
        <w:t xml:space="preserve">Muscle Nerve</w:t>
      </w:r>
      <w:r>
        <w:t xml:space="preserve"> </w:t>
      </w:r>
      <w:r>
        <w:t xml:space="preserve">· Recombinant human insulin-like growth factor-1 therapy for 6 months improves growth but not motor function in boys with Duchenne muscular dystrophy. PMID 32108355</w:t>
      </w:r>
    </w:p>
    <w:p>
      <w:pPr>
        <w:numPr>
          <w:ilvl w:val="0"/>
          <w:numId w:val="1403"/>
        </w:numPr>
        <w:pStyle w:val="Compact"/>
      </w:pPr>
      <w:r>
        <w:t xml:space="preserve">2019 · Ley D ·</w:t>
      </w:r>
      <w:r>
        <w:t xml:space="preserve"> </w:t>
      </w:r>
      <w:r>
        <w:rPr>
          <w:iCs/>
          <w:i/>
        </w:rPr>
        <w:t xml:space="preserve">J Pediatr</w:t>
      </w:r>
      <w:r>
        <w:t xml:space="preserve"> </w:t>
      </w:r>
      <w:r>
        <w:t xml:space="preserve">· rhIGF-1/rhIGFBP-3 in Preterm Infants: A Phase 2 Randomized Controlled Trial. PMID 30471715</w:t>
      </w:r>
    </w:p>
    <w:p>
      <w:pPr>
        <w:numPr>
          <w:ilvl w:val="0"/>
          <w:numId w:val="1403"/>
        </w:numPr>
        <w:pStyle w:val="Compact"/>
      </w:pPr>
      <w:r>
        <w:t xml:space="preserve">2017 · Cabrera-Salcedo C ·</w:t>
      </w:r>
      <w:r>
        <w:t xml:space="preserve"> </w:t>
      </w:r>
      <w:r>
        <w:rPr>
          <w:iCs/>
          <w:i/>
        </w:rPr>
        <w:t xml:space="preserve">J Clin Endocrinol Metab</w:t>
      </w:r>
      <w:r>
        <w:t xml:space="preserve"> </w:t>
      </w:r>
      <w:r>
        <w:t xml:space="preserve">· Pharmacokinetics of IGF-1 in PAPP-A2-Deficient Patients, Growth Response, and Effects on Glucose and Bone Density. PMID 29029190</w:t>
      </w:r>
    </w:p>
    <w:p>
      <w:pPr>
        <w:numPr>
          <w:ilvl w:val="0"/>
          <w:numId w:val="1403"/>
        </w:numPr>
        <w:pStyle w:val="Compact"/>
      </w:pPr>
      <w:r>
        <w:t xml:space="preserve">2017 · Hansen-Pupp I ·</w:t>
      </w:r>
      <w:r>
        <w:t xml:space="preserve"> </w:t>
      </w:r>
      <w:r>
        <w:rPr>
          <w:iCs/>
          <w:i/>
        </w:rPr>
        <w:t xml:space="preserve">Growth Horm IGF Res</w:t>
      </w:r>
      <w:r>
        <w:t xml:space="preserve"> </w:t>
      </w:r>
      <w:r>
        <w:t xml:space="preserve">· Continuous longitudinal infusion of rhIGF-1/rhIGFBP-3 in extremely preterm infants: Evaluation of feasibility in a phase II study. PMID 28934640</w:t>
      </w:r>
    </w:p>
    <w:p>
      <w:pPr>
        <w:numPr>
          <w:ilvl w:val="0"/>
          <w:numId w:val="1403"/>
        </w:numPr>
        <w:pStyle w:val="Compact"/>
      </w:pPr>
      <w:r>
        <w:t xml:space="preserve">2017 · Dy ME ·</w:t>
      </w:r>
      <w:r>
        <w:t xml:space="preserve"> </w:t>
      </w:r>
      <w:r>
        <w:rPr>
          <w:iCs/>
          <w:i/>
        </w:rPr>
        <w:t xml:space="preserve">Pediatr Neurol</w:t>
      </w:r>
      <w:r>
        <w:t xml:space="preserve"> </w:t>
      </w:r>
      <w:r>
        <w:t xml:space="preserve">· Defining Hand Stereotypies in Rett Syndrome: A Movement Disorders Perspective. PMID 28838622</w:t>
      </w:r>
    </w:p>
    <w:p>
      <w:pPr>
        <w:numPr>
          <w:ilvl w:val="0"/>
          <w:numId w:val="1403"/>
        </w:numPr>
        <w:pStyle w:val="Compact"/>
      </w:pPr>
      <w:r>
        <w:t xml:space="preserve">2017 · Chung JK ·</w:t>
      </w:r>
      <w:r>
        <w:t xml:space="preserve"> </w:t>
      </w:r>
      <w:r>
        <w:rPr>
          <w:iCs/>
          <w:i/>
        </w:rPr>
        <w:t xml:space="preserve">Pediatr Res</w:t>
      </w:r>
      <w:r>
        <w:t xml:space="preserve"> </w:t>
      </w:r>
      <w:r>
        <w:t xml:space="preserve">· Development and verification of a pharmacokinetic model to optimize physiologic replacement of rhIGF-1/rhIGFBP-3 in preterm infants. PMID 27870826</w:t>
      </w:r>
    </w:p>
    <w:p>
      <w:pPr>
        <w:numPr>
          <w:ilvl w:val="0"/>
          <w:numId w:val="1403"/>
        </w:numPr>
        <w:pStyle w:val="Compact"/>
      </w:pPr>
      <w:r>
        <w:t xml:space="preserve">2015 · Backeljauw PF ·</w:t>
      </w:r>
      <w:r>
        <w:t xml:space="preserve"> </w:t>
      </w:r>
      <w:r>
        <w:rPr>
          <w:iCs/>
          <w:i/>
        </w:rPr>
        <w:t xml:space="preserve">Horm Res Paediatr</w:t>
      </w:r>
      <w:r>
        <w:t xml:space="preserve"> </w:t>
      </w:r>
      <w:r>
        <w:t xml:space="preserve">· Recombinant human growth hormone plus recombinant human insulin-like growth factor-1 coadministration therapy in short children with low insulin-like growth factor-1 and growth hormone sufficiency: results from a randomized, multicenter, open-label, parallel-group, active treatment-controlled trial. PMID 25765099</w:t>
      </w:r>
    </w:p>
    <w:p>
      <w:pPr>
        <w:numPr>
          <w:ilvl w:val="0"/>
          <w:numId w:val="1403"/>
        </w:numPr>
        <w:pStyle w:val="Compact"/>
      </w:pPr>
      <w:r>
        <w:t xml:space="preserve">2011 · Heatwole CR ·</w:t>
      </w:r>
      <w:r>
        <w:t xml:space="preserve"> </w:t>
      </w:r>
      <w:r>
        <w:rPr>
          <w:iCs/>
          <w:i/>
        </w:rPr>
        <w:t xml:space="preserve">Arch Neurol</w:t>
      </w:r>
      <w:r>
        <w:t xml:space="preserve"> </w:t>
      </w:r>
      <w:r>
        <w:t xml:space="preserve">· Open-label trial of recombinant human insulin-like growth factor 1/recombinant human insulin-like growth factor binding protein 3 in myotonic dystrophy type 1. PMID 20837825</w:t>
      </w:r>
    </w:p>
    <w:p>
      <w:pPr>
        <w:numPr>
          <w:ilvl w:val="0"/>
          <w:numId w:val="1403"/>
        </w:numPr>
        <w:pStyle w:val="Compact"/>
      </w:pPr>
      <w:r>
        <w:t xml:space="preserve">2003 · Hladunewich MA ·</w:t>
      </w:r>
      <w:r>
        <w:t xml:space="preserve"> </w:t>
      </w:r>
      <w:r>
        <w:rPr>
          <w:iCs/>
          <w:i/>
        </w:rPr>
        <w:t xml:space="preserve">Kidney Int</w:t>
      </w:r>
      <w:r>
        <w:t xml:space="preserve"> </w:t>
      </w:r>
      <w:r>
        <w:t xml:space="preserve">· A randomized, placebo-controlled trial of IGF-1 for delayed graft function: a human model to study postischemic ARF. PMID 12846755</w:t>
      </w:r>
    </w:p>
    <w:p>
      <w:pPr>
        <w:numPr>
          <w:ilvl w:val="0"/>
          <w:numId w:val="1403"/>
        </w:numPr>
        <w:pStyle w:val="Compact"/>
      </w:pPr>
      <w:r>
        <w:t xml:space="preserve">2002 · Frank JA ·</w:t>
      </w:r>
      <w:r>
        <w:t xml:space="preserve"> </w:t>
      </w:r>
      <w:r>
        <w:rPr>
          <w:iCs/>
          <w:i/>
        </w:rPr>
        <w:t xml:space="preserve">Mult Scler</w:t>
      </w:r>
      <w:r>
        <w:t xml:space="preserve"> </w:t>
      </w:r>
      <w:r>
        <w:t xml:space="preserve">· A pilot study of recombinant insulin-like growth factor-1 in seven multiple sderosis patients. PMID 11936485</w:t>
      </w:r>
    </w:p>
    <w:p>
      <w:pPr>
        <w:numPr>
          <w:ilvl w:val="0"/>
          <w:numId w:val="1403"/>
        </w:numPr>
        <w:pStyle w:val="Compact"/>
      </w:pPr>
      <w:r>
        <w:t xml:space="preserve">2000 · Fouque D ·</w:t>
      </w:r>
      <w:r>
        <w:t xml:space="preserve"> </w:t>
      </w:r>
      <w:r>
        <w:rPr>
          <w:iCs/>
          <w:i/>
        </w:rPr>
        <w:t xml:space="preserve">Kidney Int</w:t>
      </w:r>
      <w:r>
        <w:t xml:space="preserve"> </w:t>
      </w:r>
      <w:r>
        <w:t xml:space="preserve">· Recombinant human insulin-like growth factor-1 induces an anabolic response in malnourished CAPD patients. PMID 10652043</w:t>
      </w:r>
    </w:p>
    <w:p>
      <w:pPr>
        <w:numPr>
          <w:ilvl w:val="0"/>
          <w:numId w:val="1403"/>
        </w:numPr>
        <w:pStyle w:val="Compact"/>
      </w:pPr>
      <w:r>
        <w:t xml:space="preserve">1999 · Rockich KT ·</w:t>
      </w:r>
      <w:r>
        <w:t xml:space="preserve"> </w:t>
      </w:r>
      <w:r>
        <w:rPr>
          <w:iCs/>
          <w:i/>
        </w:rPr>
        <w:t xml:space="preserve">Pharmacotherapy</w:t>
      </w:r>
      <w:r>
        <w:t xml:space="preserve"> </w:t>
      </w:r>
      <w:r>
        <w:t xml:space="preserve">· Effect of recombinant human growth hormone and insulin-like growth factor-1 administration on IGF-1 and IGF-binding protein-3 levels in brain injury. PMID 10600092</w:t>
      </w:r>
    </w:p>
    <w:p>
      <w:pPr>
        <w:numPr>
          <w:ilvl w:val="0"/>
          <w:numId w:val="1403"/>
        </w:numPr>
        <w:pStyle w:val="Compact"/>
      </w:pPr>
      <w:r>
        <w:t xml:space="preserve">1998 · Fouque D ·</w:t>
      </w:r>
      <w:r>
        <w:t xml:space="preserve"> </w:t>
      </w:r>
      <w:r>
        <w:rPr>
          <w:iCs/>
          <w:i/>
        </w:rPr>
        <w:t xml:space="preserve">Kidney Int</w:t>
      </w:r>
      <w:r>
        <w:t xml:space="preserve"> </w:t>
      </w:r>
      <w:r>
        <w:t xml:space="preserve">· Acute leptin regulation in end-stage renal failure: the role of growth hormone and IGF-1. PMID 9734619</w:t>
      </w:r>
    </w:p>
    <w:p>
      <w:pPr>
        <w:numPr>
          <w:ilvl w:val="0"/>
          <w:numId w:val="1403"/>
        </w:numPr>
        <w:pStyle w:val="Compact"/>
      </w:pPr>
      <w:r>
        <w:t xml:space="preserve">1998 · Nguyen BY ·</w:t>
      </w:r>
      <w:r>
        <w:t xml:space="preserve"> </w:t>
      </w:r>
      <w:r>
        <w:rPr>
          <w:iCs/>
          <w:i/>
        </w:rPr>
        <w:t xml:space="preserve">AIDS</w:t>
      </w:r>
      <w:r>
        <w:t xml:space="preserve"> </w:t>
      </w:r>
      <w:r>
        <w:t xml:space="preserve">· Pilot study of the immunologic effects of recombinant human growth hormone and recombinant insulin-like growth factor in HIV-infected patients. PMID 9631143</w:t>
      </w:r>
    </w:p>
    <w:p>
      <w:pPr>
        <w:numPr>
          <w:ilvl w:val="0"/>
          <w:numId w:val="1403"/>
        </w:numPr>
        <w:pStyle w:val="Compact"/>
      </w:pPr>
      <w:r>
        <w:t xml:space="preserve">1998 · Tabakian A ·</w:t>
      </w:r>
      <w:r>
        <w:t xml:space="preserve"> </w:t>
      </w:r>
      <w:r>
        <w:rPr>
          <w:iCs/>
          <w:i/>
        </w:rPr>
        <w:t xml:space="preserve">Miner Electrolyte Metab</w:t>
      </w:r>
      <w:r>
        <w:t xml:space="preserve"> </w:t>
      </w:r>
      <w:r>
        <w:t xml:space="preserve">· Effects of recombinant growth factors on energy expenditure in maintenance hemodialysis patients. PMID 9554567</w:t>
      </w:r>
    </w:p>
    <w:p>
      <w:pPr>
        <w:numPr>
          <w:ilvl w:val="0"/>
          <w:numId w:val="1403"/>
        </w:numPr>
        <w:pStyle w:val="Compact"/>
      </w:pPr>
      <w:r>
        <w:t xml:space="preserve">1996 · Waters D ·</w:t>
      </w:r>
      <w:r>
        <w:t xml:space="preserve"> </w:t>
      </w:r>
      <w:r>
        <w:rPr>
          <w:iCs/>
          <w:i/>
        </w:rPr>
        <w:t xml:space="preserve">Ann Intern Med</w:t>
      </w:r>
      <w:r>
        <w:t xml:space="preserve"> </w:t>
      </w:r>
      <w:r>
        <w:t xml:space="preserve">· Recombinant human growth hormone, insulin-like growth factor 1, and combination therapy in AIDS-associated wasting. A randomized, double-blind, placebo-controlled trial. PMID 8967666</w:t>
      </w:r>
    </w:p>
    <w:p>
      <w:pPr>
        <w:numPr>
          <w:ilvl w:val="0"/>
          <w:numId w:val="1403"/>
        </w:numPr>
        <w:pStyle w:val="Compact"/>
      </w:pPr>
      <w:r>
        <w:t xml:space="preserve">1995 · Fouque D ·</w:t>
      </w:r>
      <w:r>
        <w:t xml:space="preserve"> </w:t>
      </w:r>
      <w:r>
        <w:rPr>
          <w:iCs/>
          <w:i/>
        </w:rPr>
        <w:t xml:space="preserve">Kidney Int</w:t>
      </w:r>
      <w:r>
        <w:t xml:space="preserve"> </w:t>
      </w:r>
      <w:r>
        <w:t xml:space="preserve">· Impaired metabolic response to recombinant insulin-like growth factor-1 in dialysis patients. PMID 7752587</w:t>
      </w:r>
    </w:p>
    <w:p>
      <w:pPr>
        <w:numPr>
          <w:ilvl w:val="0"/>
          <w:numId w:val="1403"/>
        </w:numPr>
        <w:pStyle w:val="Compact"/>
      </w:pPr>
      <w:r>
        <w:t xml:space="preserve">1995 · Fouque D ·</w:t>
      </w:r>
      <w:r>
        <w:t xml:space="preserve"> </w:t>
      </w:r>
      <w:r>
        <w:rPr>
          <w:iCs/>
          <w:i/>
        </w:rPr>
        <w:t xml:space="preserve">Kidney Int</w:t>
      </w:r>
      <w:r>
        <w:t xml:space="preserve"> </w:t>
      </w:r>
      <w:r>
        <w:t xml:space="preserve">· Pharmacokinetics of recombinant human insulin-like growth factor-1 in dialysis patients. PMID 7752586</w:t>
      </w:r>
    </w:p>
    <w:bookmarkEnd w:id="1147"/>
    <w:bookmarkStart w:id="1148" w:name="igf-1-lr3-0"/>
    <w:p>
      <w:pPr>
        <w:pStyle w:val="Heading2"/>
      </w:pPr>
      <w:r>
        <w:t xml:space="preserve">IGF-1 LR3 (0)</w:t>
      </w:r>
    </w:p>
    <w:p>
      <w:pPr>
        <w:pStyle w:val="FirstParagraph"/>
      </w:pPr>
      <w:r>
        <w:t xml:space="preserve">Geen publicaties van klinische studies bij mensen gevonden.</w:t>
      </w:r>
    </w:p>
    <w:bookmarkEnd w:id="1148"/>
    <w:bookmarkStart w:id="1149" w:name="ibutamoren-mk-677-19"/>
    <w:p>
      <w:pPr>
        <w:pStyle w:val="Heading2"/>
      </w:pPr>
      <w:r>
        <w:t xml:space="preserve">Ibutamoren (MK-677) (19)</w:t>
      </w:r>
    </w:p>
    <w:p>
      <w:pPr>
        <w:numPr>
          <w:ilvl w:val="0"/>
          <w:numId w:val="1404"/>
        </w:numPr>
        <w:pStyle w:val="Compact"/>
      </w:pPr>
      <w:r>
        <w:t xml:space="preserve">2018 · Campbell GA ·</w:t>
      </w:r>
      <w:r>
        <w:t xml:space="preserve"> </w:t>
      </w:r>
      <w:r>
        <w:rPr>
          <w:iCs/>
          <w:i/>
        </w:rPr>
        <w:t xml:space="preserve">Nephrol Dial Transplant</w:t>
      </w:r>
      <w:r>
        <w:t xml:space="preserve"> </w:t>
      </w:r>
      <w:r>
        <w:t xml:space="preserve">· Oral ghrelin receptor agonist MK-0677 increases serum insulin-like growth factor 1 in hemodialysis patients: a randomized blinded study. PMID 28340044</w:t>
      </w:r>
    </w:p>
    <w:p>
      <w:pPr>
        <w:numPr>
          <w:ilvl w:val="0"/>
          <w:numId w:val="1404"/>
        </w:numPr>
        <w:pStyle w:val="Compact"/>
      </w:pPr>
      <w:r>
        <w:t xml:space="preserve">2011 · Adunsky A ·</w:t>
      </w:r>
      <w:r>
        <w:t xml:space="preserve"> </w:t>
      </w:r>
      <w:r>
        <w:rPr>
          <w:iCs/>
          <w:i/>
        </w:rPr>
        <w:t xml:space="preserve">Arch Gerontol Geriatr</w:t>
      </w:r>
      <w:r>
        <w:t xml:space="preserve"> </w:t>
      </w:r>
      <w:r>
        <w:t xml:space="preserve">· MK-0677 (ibutamoren mesylate) for the treatment of patients recovering from hip fracture: a multicenter, randomized, placebo-controlled phase IIb study. PMID 21067829</w:t>
      </w:r>
    </w:p>
    <w:p>
      <w:pPr>
        <w:numPr>
          <w:ilvl w:val="0"/>
          <w:numId w:val="1404"/>
        </w:numPr>
        <w:pStyle w:val="Compact"/>
      </w:pPr>
      <w:r>
        <w:t xml:space="preserve">2008 · Sevigny JJ ·</w:t>
      </w:r>
      <w:r>
        <w:t xml:space="preserve"> </w:t>
      </w:r>
      <w:r>
        <w:rPr>
          <w:iCs/>
          <w:i/>
        </w:rPr>
        <w:t xml:space="preserve">Neurology</w:t>
      </w:r>
      <w:r>
        <w:t xml:space="preserve"> </w:t>
      </w:r>
      <w:r>
        <w:t xml:space="preserve">· Growth hormone secretagogue MK-677: no clinical effect on AD progression in a randomized trial. PMID 19015485</w:t>
      </w:r>
    </w:p>
    <w:p>
      <w:pPr>
        <w:numPr>
          <w:ilvl w:val="0"/>
          <w:numId w:val="1404"/>
        </w:numPr>
        <w:pStyle w:val="Compact"/>
      </w:pPr>
      <w:r>
        <w:t xml:space="preserve">2008 · Nass R ·</w:t>
      </w:r>
      <w:r>
        <w:t xml:space="preserve"> </w:t>
      </w:r>
      <w:r>
        <w:rPr>
          <w:iCs/>
          <w:i/>
        </w:rPr>
        <w:t xml:space="preserve">Ann Intern Med</w:t>
      </w:r>
      <w:r>
        <w:t xml:space="preserve"> </w:t>
      </w:r>
      <w:r>
        <w:t xml:space="preserve">· Effects of an oral ghrelin mimetic on body composition and clinical outcomes in healthy older adults: a randomized trial. PMID 18981485</w:t>
      </w:r>
    </w:p>
    <w:p>
      <w:pPr>
        <w:numPr>
          <w:ilvl w:val="0"/>
          <w:numId w:val="1404"/>
        </w:numPr>
        <w:pStyle w:val="Compact"/>
      </w:pPr>
      <w:r>
        <w:t xml:space="preserve">2004 · Bach MA ·</w:t>
      </w:r>
      <w:r>
        <w:t xml:space="preserve"> </w:t>
      </w:r>
      <w:r>
        <w:rPr>
          <w:iCs/>
          <w:i/>
        </w:rPr>
        <w:t xml:space="preserve">J Am Geriatr Soc</w:t>
      </w:r>
      <w:r>
        <w:t xml:space="preserve"> </w:t>
      </w:r>
      <w:r>
        <w:t xml:space="preserve">· The effects of MK-0677, an oral growth hormone secretagogue, in patients with hip fracture. PMID 15066065</w:t>
      </w:r>
    </w:p>
    <w:p>
      <w:pPr>
        <w:numPr>
          <w:ilvl w:val="0"/>
          <w:numId w:val="1404"/>
        </w:numPr>
        <w:pStyle w:val="Compact"/>
      </w:pPr>
      <w:r>
        <w:t xml:space="preserve">2003 · Svensson J ·</w:t>
      </w:r>
      <w:r>
        <w:t xml:space="preserve"> </w:t>
      </w:r>
      <w:r>
        <w:rPr>
          <w:iCs/>
          <w:i/>
        </w:rPr>
        <w:t xml:space="preserve">Growth Horm IGF Res</w:t>
      </w:r>
      <w:r>
        <w:t xml:space="preserve"> </w:t>
      </w:r>
      <w:r>
        <w:t xml:space="preserve">· The effect of treatment with the oral growth hormone (GH) secretagogue MK-677 on GH isoforms. PMID 12550076</w:t>
      </w:r>
    </w:p>
    <w:p>
      <w:pPr>
        <w:numPr>
          <w:ilvl w:val="0"/>
          <w:numId w:val="1404"/>
        </w:numPr>
        <w:pStyle w:val="Compact"/>
      </w:pPr>
      <w:r>
        <w:t xml:space="preserve">2001 · Codner E ·</w:t>
      </w:r>
      <w:r>
        <w:t xml:space="preserve"> </w:t>
      </w:r>
      <w:r>
        <w:rPr>
          <w:iCs/>
          <w:i/>
        </w:rPr>
        <w:t xml:space="preserve">Clin Pharmacol Ther</w:t>
      </w:r>
      <w:r>
        <w:t xml:space="preserve"> </w:t>
      </w:r>
      <w:r>
        <w:t xml:space="preserve">· Effects of oral administration of ibutamoren mesylate, a nonpeptide growth hormone secretagogue, on the growth hormone-insulin-like growth factor I axis in growth hormone-deficient children. PMID 11452249</w:t>
      </w:r>
    </w:p>
    <w:p>
      <w:pPr>
        <w:numPr>
          <w:ilvl w:val="0"/>
          <w:numId w:val="1404"/>
        </w:numPr>
        <w:pStyle w:val="Compact"/>
      </w:pPr>
      <w:r>
        <w:t xml:space="preserve">2001 · Gianotti L ·</w:t>
      </w:r>
      <w:r>
        <w:t xml:space="preserve"> </w:t>
      </w:r>
      <w:r>
        <w:rPr>
          <w:iCs/>
          <w:i/>
        </w:rPr>
        <w:t xml:space="preserve">J Endocrinol Invest</w:t>
      </w:r>
      <w:r>
        <w:t xml:space="preserve"> </w:t>
      </w:r>
      <w:r>
        <w:t xml:space="preserve">· Recombinant human IGF-I does not modify the ACTH and cortisol responses to hCRH and hexarelin, a peptidyl GH secretagogue, in humans. PMID 11263473</w:t>
      </w:r>
    </w:p>
    <w:p>
      <w:pPr>
        <w:numPr>
          <w:ilvl w:val="0"/>
          <w:numId w:val="1404"/>
        </w:numPr>
        <w:pStyle w:val="Compact"/>
      </w:pPr>
      <w:r>
        <w:t xml:space="preserve">2001 · Murphy MG ·</w:t>
      </w:r>
      <w:r>
        <w:t xml:space="preserve"> </w:t>
      </w:r>
      <w:r>
        <w:rPr>
          <w:iCs/>
          <w:i/>
        </w:rPr>
        <w:t xml:space="preserve">J Clin Endocrinol Metab</w:t>
      </w:r>
      <w:r>
        <w:t xml:space="preserve"> </w:t>
      </w:r>
      <w:r>
        <w:t xml:space="preserve">· Effect of alendronate and MK-677 (a growth hormone secretagogue), individually and in combination, on markers of bone turnover and bone mineral density in postmenopausal osteoporotic women. PMID 11238495</w:t>
      </w:r>
    </w:p>
    <w:p>
      <w:pPr>
        <w:numPr>
          <w:ilvl w:val="0"/>
          <w:numId w:val="1404"/>
        </w:numPr>
        <w:pStyle w:val="Compact"/>
      </w:pPr>
      <w:r>
        <w:t xml:space="preserve">1999 · Svensson J ·</w:t>
      </w:r>
      <w:r>
        <w:t xml:space="preserve"> </w:t>
      </w:r>
      <w:r>
        <w:rPr>
          <w:iCs/>
          <w:i/>
        </w:rPr>
        <w:t xml:space="preserve">Clin Endocrinol (Oxf)</w:t>
      </w:r>
      <w:r>
        <w:t xml:space="preserve"> </w:t>
      </w:r>
      <w:r>
        <w:t xml:space="preserve">· Discrepancy between serum leptin values and total body fat in response to the oral growth hormone secretagogue MK-677. PMID 10468903</w:t>
      </w:r>
    </w:p>
    <w:p>
      <w:pPr>
        <w:numPr>
          <w:ilvl w:val="0"/>
          <w:numId w:val="1404"/>
        </w:numPr>
        <w:pStyle w:val="Compact"/>
      </w:pPr>
      <w:r>
        <w:t xml:space="preserve">1999 · Murphy MG ·</w:t>
      </w:r>
      <w:r>
        <w:t xml:space="preserve"> </w:t>
      </w:r>
      <w:r>
        <w:rPr>
          <w:iCs/>
          <w:i/>
        </w:rPr>
        <w:t xml:space="preserve">J Bone Miner Res</w:t>
      </w:r>
      <w:r>
        <w:t xml:space="preserve"> </w:t>
      </w:r>
      <w:r>
        <w:t xml:space="preserve">· Oral administration of the growth hormone secretagogue MK-677 increases markers of bone turnover in healthy and functionally impaired elderly adults. The MK-677 Study Group. PMID 10404019</w:t>
      </w:r>
    </w:p>
    <w:p>
      <w:pPr>
        <w:numPr>
          <w:ilvl w:val="0"/>
          <w:numId w:val="1404"/>
        </w:numPr>
        <w:pStyle w:val="Compact"/>
      </w:pPr>
      <w:r>
        <w:t xml:space="preserve">1999 · Svensson J ·</w:t>
      </w:r>
      <w:r>
        <w:t xml:space="preserve"> </w:t>
      </w:r>
      <w:r>
        <w:rPr>
          <w:iCs/>
          <w:i/>
        </w:rPr>
        <w:t xml:space="preserve">J Clin Endocrinol Metab</w:t>
      </w:r>
      <w:r>
        <w:t xml:space="preserve"> </w:t>
      </w:r>
      <w:r>
        <w:t xml:space="preserve">· Treatment of obese subjects with the oral growth hormone secretagogue MK-677 affects serum concentrations of several lipoproteins, but not lipoprotein(a). PMID 10372705</w:t>
      </w:r>
    </w:p>
    <w:p>
      <w:pPr>
        <w:numPr>
          <w:ilvl w:val="0"/>
          <w:numId w:val="1404"/>
        </w:numPr>
        <w:pStyle w:val="Compact"/>
      </w:pPr>
      <w:r>
        <w:t xml:space="preserve">1998 · Svensson J ·</w:t>
      </w:r>
      <w:r>
        <w:t xml:space="preserve"> </w:t>
      </w:r>
      <w:r>
        <w:rPr>
          <w:iCs/>
          <w:i/>
        </w:rPr>
        <w:t xml:space="preserve">J Bone Miner Res</w:t>
      </w:r>
      <w:r>
        <w:t xml:space="preserve"> </w:t>
      </w:r>
      <w:r>
        <w:t xml:space="preserve">· Treatment with the oral growth hormone secretagogue MK-677 increases markers of bone formation and bone resorption in obese young males. PMID 9661080</w:t>
      </w:r>
    </w:p>
    <w:p>
      <w:pPr>
        <w:numPr>
          <w:ilvl w:val="0"/>
          <w:numId w:val="1404"/>
        </w:numPr>
        <w:pStyle w:val="Compact"/>
      </w:pPr>
      <w:r>
        <w:t xml:space="preserve">1998 · Svensson J ·</w:t>
      </w:r>
      <w:r>
        <w:t xml:space="preserve"> </w:t>
      </w:r>
      <w:r>
        <w:rPr>
          <w:iCs/>
          <w:i/>
        </w:rPr>
        <w:t xml:space="preserve">J Clin Endocrinol Metab</w:t>
      </w:r>
      <w:r>
        <w:t xml:space="preserve"> </w:t>
      </w:r>
      <w:r>
        <w:t xml:space="preserve">· Two-month treatment of obese subjects with the oral growth hormone (GH) secretagogue MK-677 increases GH secretion, fat-free mass, and energy expenditure. PMID 9467542</w:t>
      </w:r>
    </w:p>
    <w:p>
      <w:pPr>
        <w:numPr>
          <w:ilvl w:val="0"/>
          <w:numId w:val="1404"/>
        </w:numPr>
        <w:pStyle w:val="Compact"/>
      </w:pPr>
      <w:r>
        <w:t xml:space="preserve">1998 · Murphy MG ·</w:t>
      </w:r>
      <w:r>
        <w:t xml:space="preserve"> </w:t>
      </w:r>
      <w:r>
        <w:rPr>
          <w:iCs/>
          <w:i/>
        </w:rPr>
        <w:t xml:space="preserve">J Clin Endocrinol Metab</w:t>
      </w:r>
      <w:r>
        <w:t xml:space="preserve"> </w:t>
      </w:r>
      <w:r>
        <w:t xml:space="preserve">· MK-677, an orally active growth hormone secretagogue, reverses diet-induced catabolism. PMID 9467534</w:t>
      </w:r>
    </w:p>
    <w:p>
      <w:pPr>
        <w:numPr>
          <w:ilvl w:val="0"/>
          <w:numId w:val="1404"/>
        </w:numPr>
        <w:pStyle w:val="Compact"/>
      </w:pPr>
      <w:r>
        <w:t xml:space="preserve">1997 · Copinschi G ·</w:t>
      </w:r>
      <w:r>
        <w:t xml:space="preserve"> </w:t>
      </w:r>
      <w:r>
        <w:rPr>
          <w:iCs/>
          <w:i/>
        </w:rPr>
        <w:t xml:space="preserve">Neuroendocrinology</w:t>
      </w:r>
      <w:r>
        <w:t xml:space="preserve"> </w:t>
      </w:r>
      <w:r>
        <w:t xml:space="preserve">· Prolonged oral treatment with MK-677, a novel growth hormone secretagogue, improves sleep quality in man. PMID 9349662</w:t>
      </w:r>
    </w:p>
    <w:p>
      <w:pPr>
        <w:numPr>
          <w:ilvl w:val="0"/>
          <w:numId w:val="1404"/>
        </w:numPr>
        <w:pStyle w:val="Compact"/>
      </w:pPr>
      <w:r>
        <w:t xml:space="preserve">1997 · Chapman IM ·</w:t>
      </w:r>
      <w:r>
        <w:t xml:space="preserve"> </w:t>
      </w:r>
      <w:r>
        <w:rPr>
          <w:iCs/>
          <w:i/>
        </w:rPr>
        <w:t xml:space="preserve">J Clin Endocrinol Metab</w:t>
      </w:r>
      <w:r>
        <w:t xml:space="preserve"> </w:t>
      </w:r>
      <w:r>
        <w:t xml:space="preserve">· Oral administration of growth hormone (GH) releasing peptide-mimetic MK-677 stimulates the GH/insulin-like growth factor-I axis in selected GH-deficient adults. PMID 9329386</w:t>
      </w:r>
    </w:p>
    <w:p>
      <w:pPr>
        <w:numPr>
          <w:ilvl w:val="0"/>
          <w:numId w:val="1404"/>
        </w:numPr>
        <w:pStyle w:val="Compact"/>
      </w:pPr>
      <w:r>
        <w:t xml:space="preserve">1996 · Chapman IM ·</w:t>
      </w:r>
      <w:r>
        <w:t xml:space="preserve"> </w:t>
      </w:r>
      <w:r>
        <w:rPr>
          <w:iCs/>
          <w:i/>
        </w:rPr>
        <w:t xml:space="preserve">J Clin Endocrinol Metab</w:t>
      </w:r>
      <w:r>
        <w:t xml:space="preserve"> </w:t>
      </w:r>
      <w:r>
        <w:t xml:space="preserve">· Stimulation of the growth hormone (GH)-insulin-like growth factor I axis by daily oral administration of a GH secretogogue (MK-677) in healthy elderly subjects. PMID 8954023</w:t>
      </w:r>
    </w:p>
    <w:p>
      <w:pPr>
        <w:numPr>
          <w:ilvl w:val="0"/>
          <w:numId w:val="1404"/>
        </w:numPr>
        <w:pStyle w:val="Compact"/>
      </w:pPr>
      <w:r>
        <w:t xml:space="preserve">1996 · Copinschi G ·</w:t>
      </w:r>
      <w:r>
        <w:t xml:space="preserve"> </w:t>
      </w:r>
      <w:r>
        <w:rPr>
          <w:iCs/>
          <w:i/>
        </w:rPr>
        <w:t xml:space="preserve">J Clin Endocrinol Metab</w:t>
      </w:r>
      <w:r>
        <w:t xml:space="preserve"> </w:t>
      </w:r>
      <w:r>
        <w:t xml:space="preserve">· Effects of a 7-day treatment with a novel, orally active, growth hormone (GH) secretagogue, MK-677, on 24-hour GH profiles, insulin-like growth factor I, and adrenocortical function in normal young men. PMID 8768828</w:t>
      </w:r>
    </w:p>
    <w:bookmarkEnd w:id="1149"/>
    <w:bookmarkStart w:id="1150" w:name="semax-4"/>
    <w:p>
      <w:pPr>
        <w:pStyle w:val="Heading2"/>
      </w:pPr>
      <w:r>
        <w:t xml:space="preserve">Semax (4)</w:t>
      </w:r>
    </w:p>
    <w:p>
      <w:pPr>
        <w:numPr>
          <w:ilvl w:val="0"/>
          <w:numId w:val="1405"/>
        </w:numPr>
        <w:pStyle w:val="Compact"/>
      </w:pPr>
      <w:r>
        <w:t xml:space="preserve">2018 · Gusev EI ·</w:t>
      </w:r>
      <w:r>
        <w:t xml:space="preserve"> </w:t>
      </w:r>
      <w:r>
        <w:rPr>
          <w:iCs/>
          <w:i/>
        </w:rPr>
        <w:t xml:space="preserve">Zh Nevrol Psikhiatr Im S S Korsakova</w:t>
      </w:r>
      <w:r>
        <w:t xml:space="preserve"> </w:t>
      </w:r>
      <w:r>
        <w:t xml:space="preserve">· [The efficacy of semax in the tretament of patients at different stages of ischemic stroke]. PMID 29798983</w:t>
      </w:r>
    </w:p>
    <w:p>
      <w:pPr>
        <w:numPr>
          <w:ilvl w:val="0"/>
          <w:numId w:val="1405"/>
        </w:numPr>
        <w:pStyle w:val="Compact"/>
      </w:pPr>
      <w:r>
        <w:t xml:space="preserve">2007 · Serdiuk AV ·</w:t>
      </w:r>
      <w:r>
        <w:t xml:space="preserve"> </w:t>
      </w:r>
      <w:r>
        <w:rPr>
          <w:iCs/>
          <w:i/>
        </w:rPr>
        <w:t xml:space="preserve">Zh Nevrol Psikhiatr Im S S Korsakova</w:t>
      </w:r>
      <w:r>
        <w:t xml:space="preserve"> </w:t>
      </w:r>
      <w:r>
        <w:t xml:space="preserve">· [The study of chronic partial denervation and quality of life in patients with motor neuron disease treated with semax]. PMID 18379501</w:t>
      </w:r>
    </w:p>
    <w:p>
      <w:pPr>
        <w:numPr>
          <w:ilvl w:val="0"/>
          <w:numId w:val="1405"/>
        </w:numPr>
        <w:pStyle w:val="Compact"/>
      </w:pPr>
      <w:r>
        <w:t xml:space="preserve">2000 · Polunin GS ·</w:t>
      </w:r>
      <w:r>
        <w:t xml:space="preserve"> </w:t>
      </w:r>
      <w:r>
        <w:rPr>
          <w:iCs/>
          <w:i/>
        </w:rPr>
        <w:t xml:space="preserve">Vestn Oftalmol</w:t>
      </w:r>
      <w:r>
        <w:t xml:space="preserve"> </w:t>
      </w:r>
      <w:r>
        <w:t xml:space="preserve">· [Evaluation of therapeutic effect of new Russian drug semax in optic nerve disease]. PMID 10741256</w:t>
      </w:r>
    </w:p>
    <w:p>
      <w:pPr>
        <w:numPr>
          <w:ilvl w:val="0"/>
          <w:numId w:val="1405"/>
        </w:numPr>
        <w:pStyle w:val="Compact"/>
      </w:pPr>
      <w:r>
        <w:t xml:space="preserve">1997 · Gusev EI ·</w:t>
      </w:r>
      <w:r>
        <w:t xml:space="preserve"> </w:t>
      </w:r>
      <w:r>
        <w:rPr>
          <w:iCs/>
          <w:i/>
        </w:rPr>
        <w:t xml:space="preserve">Zh Nevrol Psikhiatr Im S S Korsakova</w:t>
      </w:r>
      <w:r>
        <w:t xml:space="preserve"> </w:t>
      </w:r>
      <w:r>
        <w:t xml:space="preserve">· [Effectiveness of semax in acute period of hemispheric ischemic stroke (a clinical and electrophysiological study)]. PMID 11517472</w:t>
      </w:r>
    </w:p>
    <w:bookmarkEnd w:id="1150"/>
    <w:bookmarkStart w:id="1151" w:name="selank-3"/>
    <w:p>
      <w:pPr>
        <w:pStyle w:val="Heading2"/>
      </w:pPr>
      <w:r>
        <w:t xml:space="preserve">Selank (3)</w:t>
      </w:r>
    </w:p>
    <w:p>
      <w:pPr>
        <w:numPr>
          <w:ilvl w:val="0"/>
          <w:numId w:val="1406"/>
        </w:numPr>
        <w:pStyle w:val="Compact"/>
      </w:pPr>
      <w:r>
        <w:t xml:space="preserve">2015 · Medvedev VE ·</w:t>
      </w:r>
      <w:r>
        <w:t xml:space="preserve"> </w:t>
      </w:r>
      <w:r>
        <w:rPr>
          <w:iCs/>
          <w:i/>
        </w:rPr>
        <w:t xml:space="preserve">Zh Nevrol Psikhiatr Im S S Korsakova</w:t>
      </w:r>
      <w:r>
        <w:t xml:space="preserve"> </w:t>
      </w:r>
      <w:r>
        <w:t xml:space="preserve">· [Optimization of the treatment of anxiety disorders with selank]. PMID 26356395</w:t>
      </w:r>
    </w:p>
    <w:p>
      <w:pPr>
        <w:numPr>
          <w:ilvl w:val="0"/>
          <w:numId w:val="1406"/>
        </w:numPr>
        <w:pStyle w:val="Compact"/>
      </w:pPr>
      <w:r>
        <w:t xml:space="preserve">2014 · Medvedev VE ·</w:t>
      </w:r>
      <w:r>
        <w:t xml:space="preserve"> </w:t>
      </w:r>
      <w:r>
        <w:rPr>
          <w:iCs/>
          <w:i/>
        </w:rPr>
        <w:t xml:space="preserve">Zh Nevrol Psikhiatr Im S S Korsakova</w:t>
      </w:r>
      <w:r>
        <w:t xml:space="preserve"> </w:t>
      </w:r>
      <w:r>
        <w:t xml:space="preserve">· [A comparison of the anxiolytic effect and tolerability of selank and phenazepam in the treatment of anxiety disorders]. PMID 25176261</w:t>
      </w:r>
    </w:p>
    <w:p>
      <w:pPr>
        <w:numPr>
          <w:ilvl w:val="0"/>
          <w:numId w:val="1406"/>
        </w:numPr>
        <w:pStyle w:val="Compact"/>
      </w:pPr>
      <w:r>
        <w:t xml:space="preserve">2008 · Zozulia AA ·</w:t>
      </w:r>
      <w:r>
        <w:t xml:space="preserve"> </w:t>
      </w:r>
      <w:r>
        <w:rPr>
          <w:iCs/>
          <w:i/>
        </w:rPr>
        <w:t xml:space="preserve">Zh Nevrol Psikhiatr Im S S Korsakova</w:t>
      </w:r>
      <w:r>
        <w:t xml:space="preserve"> </w:t>
      </w:r>
      <w:r>
        <w:t xml:space="preserve">· [Efficacy and possible mechanisms of action of a new peptide anxiolytic selank in the therapy of generalized anxiety disorders and neurasthenia]. PMID 18454096</w:t>
      </w:r>
    </w:p>
    <w:bookmarkEnd w:id="1151"/>
    <w:bookmarkStart w:id="1152" w:name="cerebrolysin-88"/>
    <w:p>
      <w:pPr>
        <w:pStyle w:val="Heading2"/>
      </w:pPr>
      <w:r>
        <w:t xml:space="preserve">Cerebrolysin (88)</w:t>
      </w:r>
    </w:p>
    <w:p>
      <w:pPr>
        <w:numPr>
          <w:ilvl w:val="0"/>
          <w:numId w:val="1407"/>
        </w:numPr>
        <w:pStyle w:val="Compact"/>
      </w:pPr>
      <w:r>
        <w:t xml:space="preserve">2025 · Kalinin MN ·</w:t>
      </w:r>
      <w:r>
        <w:t xml:space="preserve"> </w:t>
      </w:r>
      <w:r>
        <w:rPr>
          <w:iCs/>
          <w:i/>
        </w:rPr>
        <w:t xml:space="preserve">Zh Nevrol Psikhiatr Im S S Korsakova</w:t>
      </w:r>
      <w:r>
        <w:t xml:space="preserve"> </w:t>
      </w:r>
      <w:r>
        <w:t xml:space="preserve">· [Cerebrolysin with reperfusion therapy in ischemic stroke: a prospective analysis of multimodal brain imaging data from the CEREHETIS trial]. PMID 40577185</w:t>
      </w:r>
    </w:p>
    <w:p>
      <w:pPr>
        <w:numPr>
          <w:ilvl w:val="0"/>
          <w:numId w:val="1407"/>
        </w:numPr>
        <w:pStyle w:val="Compact"/>
      </w:pPr>
      <w:r>
        <w:t xml:space="preserve">2025 · Staszewski J ·</w:t>
      </w:r>
      <w:r>
        <w:t xml:space="preserve"> </w:t>
      </w:r>
      <w:r>
        <w:rPr>
          <w:iCs/>
          <w:i/>
        </w:rPr>
        <w:t xml:space="preserve">Transl Stroke Res</w:t>
      </w:r>
      <w:r>
        <w:t xml:space="preserve"> </w:t>
      </w:r>
      <w:r>
        <w:t xml:space="preserve">· Efficacy of Cerebrolysin Treatment as an Add-On Therapy to Mechanical Thrombectomy in Patients with Acute Ischemic Stroke Due to Large Vessel Occlusion in Anterior Circulation: Results of a 3-Month Follow-up of a Prospective, Open Label, Single-Center Study. PMID 40325343</w:t>
      </w:r>
    </w:p>
    <w:p>
      <w:pPr>
        <w:numPr>
          <w:ilvl w:val="0"/>
          <w:numId w:val="1407"/>
        </w:numPr>
        <w:pStyle w:val="Compact"/>
      </w:pPr>
      <w:r>
        <w:t xml:space="preserve">2025 · Kalinin MN ·</w:t>
      </w:r>
      <w:r>
        <w:t xml:space="preserve"> </w:t>
      </w:r>
      <w:r>
        <w:rPr>
          <w:iCs/>
          <w:i/>
        </w:rPr>
        <w:t xml:space="preserve">Zh Nevrol Psikhiatr Im S S Korsakova</w:t>
      </w:r>
      <w:r>
        <w:t xml:space="preserve"> </w:t>
      </w:r>
      <w:r>
        <w:t xml:space="preserve">· [Cerebrolysin and the optimal timing of anticoagulation resumption in stroke: combined post hoc survival analysis of the CEREHETIS trial]. PMID 40123141</w:t>
      </w:r>
    </w:p>
    <w:p>
      <w:pPr>
        <w:numPr>
          <w:ilvl w:val="0"/>
          <w:numId w:val="1407"/>
        </w:numPr>
        <w:pStyle w:val="Compact"/>
      </w:pPr>
      <w:r>
        <w:t xml:space="preserve">2025 · Homberg V ·</w:t>
      </w:r>
      <w:r>
        <w:t xml:space="preserve"> </w:t>
      </w:r>
      <w:r>
        <w:rPr>
          <w:iCs/>
          <w:i/>
        </w:rPr>
        <w:t xml:space="preserve">Stroke</w:t>
      </w:r>
      <w:r>
        <w:t xml:space="preserve"> </w:t>
      </w:r>
      <w:r>
        <w:t xml:space="preserve">· Speech Therapy Combined With Cerebrolysin in Enhancing Nonfluent Aphasia Recovery After Acute Ischemic Stroke: ESCAS Randomized Pilot Study. PMID 39957612</w:t>
      </w:r>
    </w:p>
    <w:p>
      <w:pPr>
        <w:numPr>
          <w:ilvl w:val="0"/>
          <w:numId w:val="1407"/>
        </w:numPr>
        <w:pStyle w:val="Compact"/>
      </w:pPr>
      <w:r>
        <w:t xml:space="preserve">2024 · Ponomareva EV ·</w:t>
      </w:r>
      <w:r>
        <w:t xml:space="preserve"> </w:t>
      </w:r>
      <w:r>
        <w:rPr>
          <w:iCs/>
          <w:i/>
        </w:rPr>
        <w:t xml:space="preserve">Zh Nevrol Psikhiatr Im S S Korsakova</w:t>
      </w:r>
      <w:r>
        <w:t xml:space="preserve"> </w:t>
      </w:r>
      <w:r>
        <w:t xml:space="preserve">· [Cerebrolysin in the preventive therapy of dementia in elderly patients with mild cognitive impairment: a three-year prospective comparative study]. PMID 39435777</w:t>
      </w:r>
    </w:p>
    <w:p>
      <w:pPr>
        <w:numPr>
          <w:ilvl w:val="0"/>
          <w:numId w:val="1407"/>
        </w:numPr>
        <w:pStyle w:val="Compact"/>
      </w:pPr>
      <w:r>
        <w:t xml:space="preserve">2023 · Firstenfeld AJ ·</w:t>
      </w:r>
      <w:r>
        <w:t xml:space="preserve"> </w:t>
      </w:r>
      <w:r>
        <w:rPr>
          <w:iCs/>
          <w:i/>
        </w:rPr>
        <w:t xml:space="preserve">J Med Life</w:t>
      </w:r>
      <w:r>
        <w:t xml:space="preserve"> </w:t>
      </w:r>
      <w:r>
        <w:t xml:space="preserve">· Add-on treatment with Cerebrolysin improves clinical symptoms in patients with ALS: results from a prospective, single-center, placebo-controlled, randomized, double-blind, phase II study. PMID 38585517</w:t>
      </w:r>
    </w:p>
    <w:p>
      <w:pPr>
        <w:numPr>
          <w:ilvl w:val="0"/>
          <w:numId w:val="1407"/>
        </w:numPr>
        <w:pStyle w:val="Compact"/>
      </w:pPr>
      <w:r>
        <w:t xml:space="preserve">2023 · Hamed SA ·</w:t>
      </w:r>
      <w:r>
        <w:t xml:space="preserve"> </w:t>
      </w:r>
      <w:r>
        <w:rPr>
          <w:iCs/>
          <w:i/>
        </w:rPr>
        <w:t xml:space="preserve">Expert Rev Clin Pharmacol</w:t>
      </w:r>
      <w:r>
        <w:t xml:space="preserve"> </w:t>
      </w:r>
      <w:r>
        <w:t xml:space="preserve">· The effectiveness of cerebrolysin, a multi-modal neurotrophic factor, for treatment of post-covid-19 persistent olfactory, gustatory and trigeminal chemosensory dysfunctions: a randomized clinical trial. PMID 37950370</w:t>
      </w:r>
    </w:p>
    <w:p>
      <w:pPr>
        <w:numPr>
          <w:ilvl w:val="0"/>
          <w:numId w:val="1407"/>
        </w:numPr>
        <w:pStyle w:val="Compact"/>
      </w:pPr>
      <w:r>
        <w:t xml:space="preserve">2023 · Khasanova DR ·</w:t>
      </w:r>
      <w:r>
        <w:t xml:space="preserve"> </w:t>
      </w:r>
      <w:r>
        <w:rPr>
          <w:iCs/>
          <w:i/>
        </w:rPr>
        <w:t xml:space="preserve">Zh Nevrol Psikhiatr Im S S Korsakova</w:t>
      </w:r>
      <w:r>
        <w:t xml:space="preserve"> </w:t>
      </w:r>
      <w:r>
        <w:t xml:space="preserve">· [Effects of simultaneous use of Cerebrolysin and alteplase on hemorrhagic transformation of brain infarction and functional outcome in stroke patients: CEREHETIS, a randomized, multicenter pilot trial]. PMID 37682097</w:t>
      </w:r>
    </w:p>
    <w:p>
      <w:pPr>
        <w:numPr>
          <w:ilvl w:val="0"/>
          <w:numId w:val="1407"/>
        </w:numPr>
        <w:pStyle w:val="Compact"/>
      </w:pPr>
      <w:r>
        <w:t xml:space="preserve">2023 · Khasanova DR ·</w:t>
      </w:r>
      <w:r>
        <w:t xml:space="preserve"> </w:t>
      </w:r>
      <w:r>
        <w:rPr>
          <w:iCs/>
          <w:i/>
        </w:rPr>
        <w:t xml:space="preserve">BMC Neurol</w:t>
      </w:r>
      <w:r>
        <w:t xml:space="preserve"> </w:t>
      </w:r>
      <w:r>
        <w:t xml:space="preserve">· Cerebrolysin as an Early Add-on to Reperfusion Therapy: Risk of Hemorrhagic Transformation after Ischemic Stroke (CEREHETIS), a prospective, randomized, multicenter pilot study. PMID 36973684</w:t>
      </w:r>
    </w:p>
    <w:p>
      <w:pPr>
        <w:numPr>
          <w:ilvl w:val="0"/>
          <w:numId w:val="1407"/>
        </w:numPr>
        <w:pStyle w:val="Compact"/>
      </w:pPr>
      <w:r>
        <w:t xml:space="preserve">2023 · Mitrović SZ ·</w:t>
      </w:r>
      <w:r>
        <w:t xml:space="preserve"> </w:t>
      </w:r>
      <w:r>
        <w:rPr>
          <w:iCs/>
          <w:i/>
        </w:rPr>
        <w:t xml:space="preserve">Medicina (Kaunas)</w:t>
      </w:r>
      <w:r>
        <w:t xml:space="preserve"> </w:t>
      </w:r>
      <w:r>
        <w:t xml:space="preserve">· Extended Poststroke Rehabilitation Combined with Cerebrolysin Promotes Upper Limb Motor Recovery in Early Subacute Phase of Rehabilitation: A Randomized Clinical Study. PMID 36837492</w:t>
      </w:r>
    </w:p>
    <w:p>
      <w:pPr>
        <w:numPr>
          <w:ilvl w:val="0"/>
          <w:numId w:val="1407"/>
        </w:numPr>
        <w:pStyle w:val="Compact"/>
      </w:pPr>
      <w:r>
        <w:t xml:space="preserve">2023 · Sharma A ·</w:t>
      </w:r>
      <w:r>
        <w:t xml:space="preserve"> </w:t>
      </w:r>
      <w:r>
        <w:rPr>
          <w:iCs/>
          <w:i/>
        </w:rPr>
        <w:t xml:space="preserve">Spine (Phila Pa 1976)</w:t>
      </w:r>
      <w:r>
        <w:t xml:space="preserve"> </w:t>
      </w:r>
      <w:r>
        <w:t xml:space="preserve">· Prospective Randomized Control Trial to Compare the Role of Injection Cerebrolysin for 10 Days Duration Against Placebo in Operated Cases of Degenerative Cervical Myelopathy. PMID 36730671</w:t>
      </w:r>
    </w:p>
    <w:p>
      <w:pPr>
        <w:numPr>
          <w:ilvl w:val="0"/>
          <w:numId w:val="1407"/>
        </w:numPr>
        <w:pStyle w:val="Compact"/>
      </w:pPr>
      <w:r>
        <w:t xml:space="preserve">2022 · Alvarez XA ·</w:t>
      </w:r>
      <w:r>
        <w:t xml:space="preserve"> </w:t>
      </w:r>
      <w:r>
        <w:rPr>
          <w:iCs/>
          <w:i/>
        </w:rPr>
        <w:t xml:space="preserve">J Alzheimers Dis</w:t>
      </w:r>
      <w:r>
        <w:t xml:space="preserve"> </w:t>
      </w:r>
      <w:r>
        <w:t xml:space="preserve">· Modulation of Amyloid-β and Tau in Alzheimer’s Disease Plasma Neuronal-Derived Extracellular Vesicles by Cerebrolysin® and Donepezil. PMID 36155516</w:t>
      </w:r>
    </w:p>
    <w:p>
      <w:pPr>
        <w:numPr>
          <w:ilvl w:val="0"/>
          <w:numId w:val="1407"/>
        </w:numPr>
        <w:pStyle w:val="Compact"/>
      </w:pPr>
      <w:r>
        <w:t xml:space="preserve">2022 · Sharma A ·</w:t>
      </w:r>
      <w:r>
        <w:t xml:space="preserve"> </w:t>
      </w:r>
      <w:r>
        <w:rPr>
          <w:iCs/>
          <w:i/>
        </w:rPr>
        <w:t xml:space="preserve">Spine (Phila Pa 1976)</w:t>
      </w:r>
      <w:r>
        <w:t xml:space="preserve"> </w:t>
      </w:r>
      <w:r>
        <w:t xml:space="preserve">· Prospective Randomized Control Pilot Study to Compare the Role of Injection Cerebrolysin in Operated cases of Degenerative Cervical Myelopathy. PMID 34889883</w:t>
      </w:r>
    </w:p>
    <w:p>
      <w:pPr>
        <w:numPr>
          <w:ilvl w:val="0"/>
          <w:numId w:val="1407"/>
        </w:numPr>
        <w:pStyle w:val="Compact"/>
      </w:pPr>
      <w:r>
        <w:t xml:space="preserve">2022 · Samir A ·</w:t>
      </w:r>
      <w:r>
        <w:t xml:space="preserve"> </w:t>
      </w:r>
      <w:r>
        <w:rPr>
          <w:iCs/>
          <w:i/>
        </w:rPr>
        <w:t xml:space="preserve">J Neonatal Perinatal Med</w:t>
      </w:r>
      <w:r>
        <w:t xml:space="preserve"> </w:t>
      </w:r>
      <w:r>
        <w:t xml:space="preserve">· Effect of cerebrolysin on neurodevelopmental outcome of high risk preterm infants: A randomized controlled trial. PMID 33935111</w:t>
      </w:r>
    </w:p>
    <w:p>
      <w:pPr>
        <w:numPr>
          <w:ilvl w:val="0"/>
          <w:numId w:val="1407"/>
        </w:numPr>
        <w:pStyle w:val="Compact"/>
      </w:pPr>
      <w:r>
        <w:t xml:space="preserve">2021 · Poljakovic Z ·</w:t>
      </w:r>
      <w:r>
        <w:t xml:space="preserve"> </w:t>
      </w:r>
      <w:r>
        <w:rPr>
          <w:iCs/>
          <w:i/>
        </w:rPr>
        <w:t xml:space="preserve">Clin Neurol Neurosurg</w:t>
      </w:r>
      <w:r>
        <w:t xml:space="preserve"> </w:t>
      </w:r>
      <w:r>
        <w:t xml:space="preserve">· Efficacy and safety of Cerebrolysin after futile recanalisation therapy in patients with severe stroke. PMID 34214867</w:t>
      </w:r>
    </w:p>
    <w:p>
      <w:pPr>
        <w:numPr>
          <w:ilvl w:val="0"/>
          <w:numId w:val="1407"/>
        </w:numPr>
        <w:pStyle w:val="Compact"/>
      </w:pPr>
      <w:r>
        <w:t xml:space="preserve">2020 · Woo PYM ·</w:t>
      </w:r>
      <w:r>
        <w:t xml:space="preserve"> </w:t>
      </w:r>
      <w:r>
        <w:rPr>
          <w:iCs/>
          <w:i/>
        </w:rPr>
        <w:t xml:space="preserve">BMC Neurol</w:t>
      </w:r>
      <w:r>
        <w:t xml:space="preserve"> </w:t>
      </w:r>
      <w:r>
        <w:t xml:space="preserve">· Randomized, placebo-controlled, double-blind, pilot trial to investigate safety and efficacy of Cerebrolysin in patients with aneurysmal subarachnoid hemorrhage. PMID 33143640</w:t>
      </w:r>
    </w:p>
    <w:p>
      <w:pPr>
        <w:numPr>
          <w:ilvl w:val="0"/>
          <w:numId w:val="1407"/>
        </w:numPr>
        <w:pStyle w:val="Compact"/>
      </w:pPr>
      <w:r>
        <w:t xml:space="preserve">2020 · Birle C ·</w:t>
      </w:r>
      <w:r>
        <w:t xml:space="preserve"> </w:t>
      </w:r>
      <w:r>
        <w:rPr>
          <w:iCs/>
          <w:i/>
        </w:rPr>
        <w:t xml:space="preserve">J Med Life</w:t>
      </w:r>
      <w:r>
        <w:t xml:space="preserve"> </w:t>
      </w:r>
      <w:r>
        <w:t xml:space="preserve">· The Effect of Cerebrolysin on the Predictive Value of Baseline Prognostic Risk Score in Moderate and Severe Traumatic Brain Injury. PMID 33072197</w:t>
      </w:r>
    </w:p>
    <w:p>
      <w:pPr>
        <w:numPr>
          <w:ilvl w:val="0"/>
          <w:numId w:val="1407"/>
        </w:numPr>
        <w:pStyle w:val="Compact"/>
      </w:pPr>
      <w:r>
        <w:t xml:space="preserve">2020 · Muresanu DF ·</w:t>
      </w:r>
      <w:r>
        <w:t xml:space="preserve"> </w:t>
      </w:r>
      <w:r>
        <w:rPr>
          <w:iCs/>
          <w:i/>
        </w:rPr>
        <w:t xml:space="preserve">Neurol Sci</w:t>
      </w:r>
      <w:r>
        <w:t xml:space="preserve"> </w:t>
      </w:r>
      <w:r>
        <w:t xml:space="preserve">· Efficacy and safety of cerebrolysin in neurorecovery after moderate-severe traumatic brain injury: results from the CAPTAIN II trial. PMID 31897941</w:t>
      </w:r>
    </w:p>
    <w:p>
      <w:pPr>
        <w:numPr>
          <w:ilvl w:val="0"/>
          <w:numId w:val="1407"/>
        </w:numPr>
        <w:pStyle w:val="Compact"/>
      </w:pPr>
      <w:r>
        <w:t xml:space="preserve">2020 · Poon W ·</w:t>
      </w:r>
      <w:r>
        <w:t xml:space="preserve"> </w:t>
      </w:r>
      <w:r>
        <w:rPr>
          <w:iCs/>
          <w:i/>
        </w:rPr>
        <w:t xml:space="preserve">Neurol Sci</w:t>
      </w:r>
      <w:r>
        <w:t xml:space="preserve"> </w:t>
      </w:r>
      <w:r>
        <w:t xml:space="preserve">· Safety and efficacy of Cerebrolysin in acute brain injury and neurorecovery: CAPTAIN I-a randomized, placebo-controlled, double-blind, Asian-Pacific trial. PMID 31494820</w:t>
      </w:r>
    </w:p>
    <w:p>
      <w:pPr>
        <w:numPr>
          <w:ilvl w:val="0"/>
          <w:numId w:val="1407"/>
        </w:numPr>
        <w:pStyle w:val="Compact"/>
      </w:pPr>
      <w:r>
        <w:t xml:space="preserve">2018 · Allam AFA ·</w:t>
      </w:r>
      <w:r>
        <w:t xml:space="preserve"> </w:t>
      </w:r>
      <w:r>
        <w:rPr>
          <w:iCs/>
          <w:i/>
        </w:rPr>
        <w:t xml:space="preserve">Spine J</w:t>
      </w:r>
      <w:r>
        <w:t xml:space="preserve"> </w:t>
      </w:r>
      <w:r>
        <w:t xml:space="preserve">· Role of Cerebrolysin in cervical spondylotic myelopathy patients: a prospective randomized study. PMID 29155000</w:t>
      </w:r>
    </w:p>
    <w:p>
      <w:pPr>
        <w:numPr>
          <w:ilvl w:val="0"/>
          <w:numId w:val="1407"/>
        </w:numPr>
        <w:pStyle w:val="Compact"/>
      </w:pPr>
      <w:r>
        <w:t xml:space="preserve">2017 · Stan A ·</w:t>
      </w:r>
      <w:r>
        <w:t xml:space="preserve"> </w:t>
      </w:r>
      <w:r>
        <w:rPr>
          <w:iCs/>
          <w:i/>
        </w:rPr>
        <w:t xml:space="preserve">J Med Life</w:t>
      </w:r>
      <w:r>
        <w:t xml:space="preserve"> </w:t>
      </w:r>
      <w:r>
        <w:t xml:space="preserve">· Cerebrolysin and early neurorehabilitation in patients with acute ischemic stroke: a prospective, randomized, placebo-controlled clinical study. PMID 29362596</w:t>
      </w:r>
    </w:p>
    <w:p>
      <w:pPr>
        <w:numPr>
          <w:ilvl w:val="0"/>
          <w:numId w:val="1407"/>
        </w:numPr>
        <w:pStyle w:val="Compact"/>
      </w:pPr>
      <w:r>
        <w:t xml:space="preserve">2017 · Karakulova YV ·</w:t>
      </w:r>
      <w:r>
        <w:t xml:space="preserve"> </w:t>
      </w:r>
      <w:r>
        <w:rPr>
          <w:iCs/>
          <w:i/>
        </w:rPr>
        <w:t xml:space="preserve">Zh Nevrol Psikhiatr Im S S Korsakova</w:t>
      </w:r>
      <w:r>
        <w:t xml:space="preserve"> </w:t>
      </w:r>
      <w:r>
        <w:t xml:space="preserve">· [Monitoring of neurotrophic factors and cognitive function in patients with traumatic brain injury]. PMID 29171486</w:t>
      </w:r>
    </w:p>
    <w:p>
      <w:pPr>
        <w:numPr>
          <w:ilvl w:val="0"/>
          <w:numId w:val="1407"/>
        </w:numPr>
        <w:pStyle w:val="Compact"/>
      </w:pPr>
      <w:r>
        <w:t xml:space="preserve">2017 · Gharagozli K ·</w:t>
      </w:r>
      <w:r>
        <w:t xml:space="preserve"> </w:t>
      </w:r>
      <w:r>
        <w:rPr>
          <w:iCs/>
          <w:i/>
        </w:rPr>
        <w:t xml:space="preserve">J Med Life</w:t>
      </w:r>
      <w:r>
        <w:t xml:space="preserve"> </w:t>
      </w:r>
      <w:r>
        <w:t xml:space="preserve">· Efficacy and safety of Cerebrolysin treatment in early recovery after acute ischemic stroke: a randomized, placebo-controlled, double-blinded, multicenter clinical trial. PMID 29075343</w:t>
      </w:r>
    </w:p>
    <w:p>
      <w:pPr>
        <w:numPr>
          <w:ilvl w:val="0"/>
          <w:numId w:val="1407"/>
        </w:numPr>
        <w:pStyle w:val="Compact"/>
      </w:pPr>
      <w:r>
        <w:t xml:space="preserve">2017 · Nasiri J ·</w:t>
      </w:r>
      <w:r>
        <w:t xml:space="preserve"> </w:t>
      </w:r>
      <w:r>
        <w:rPr>
          <w:iCs/>
          <w:i/>
        </w:rPr>
        <w:t xml:space="preserve">Acta Neurol Belg</w:t>
      </w:r>
      <w:r>
        <w:t xml:space="preserve"> </w:t>
      </w:r>
      <w:r>
        <w:t xml:space="preserve">· Effect of cerebrolysin on gross motor function of children with cerebral palsy: a clinical trial. PMID 28074392</w:t>
      </w:r>
    </w:p>
    <w:p>
      <w:pPr>
        <w:numPr>
          <w:ilvl w:val="0"/>
          <w:numId w:val="1407"/>
        </w:numPr>
        <w:pStyle w:val="Compact"/>
      </w:pPr>
      <w:r>
        <w:t xml:space="preserve">2016 · Khabirov FA ·</w:t>
      </w:r>
      <w:r>
        <w:t xml:space="preserve"> </w:t>
      </w:r>
      <w:r>
        <w:rPr>
          <w:iCs/>
          <w:i/>
        </w:rPr>
        <w:t xml:space="preserve">Zh Nevrol Psikhiatr Im S S Korsakova</w:t>
      </w:r>
      <w:r>
        <w:t xml:space="preserve"> </w:t>
      </w:r>
      <w:r>
        <w:t xml:space="preserve">· [Effect of cerebrolysin on remyelination processes in multiple sclerosis patients in stage of relapse regression]. PMID 28139626</w:t>
      </w:r>
    </w:p>
    <w:p>
      <w:pPr>
        <w:numPr>
          <w:ilvl w:val="0"/>
          <w:numId w:val="1407"/>
        </w:numPr>
        <w:pStyle w:val="Compact"/>
      </w:pPr>
      <w:r>
        <w:t xml:space="preserve">2016 · Iznak AF ·</w:t>
      </w:r>
      <w:r>
        <w:t xml:space="preserve"> </w:t>
      </w:r>
      <w:r>
        <w:rPr>
          <w:iCs/>
          <w:i/>
        </w:rPr>
        <w:t xml:space="preserve">Zh Nevrol Psikhiatr Im S S Korsakova</w:t>
      </w:r>
      <w:r>
        <w:t xml:space="preserve"> </w:t>
      </w:r>
      <w:r>
        <w:t xml:space="preserve">· [Comparative dynamics of EEG parameters in elderly depressive patients during monotherapy and combined therapy]. PMID 26977625</w:t>
      </w:r>
    </w:p>
    <w:p>
      <w:pPr>
        <w:numPr>
          <w:ilvl w:val="0"/>
          <w:numId w:val="1407"/>
        </w:numPr>
        <w:pStyle w:val="Compact"/>
      </w:pPr>
      <w:r>
        <w:t xml:space="preserve">2016 · Chang WH ·</w:t>
      </w:r>
      <w:r>
        <w:t xml:space="preserve"> </w:t>
      </w:r>
      <w:r>
        <w:rPr>
          <w:iCs/>
          <w:i/>
        </w:rPr>
        <w:t xml:space="preserve">BMC Neurol</w:t>
      </w:r>
      <w:r>
        <w:t xml:space="preserve"> </w:t>
      </w:r>
      <w:r>
        <w:t xml:space="preserve">· Cerebrolysin combined with rehabilitation promotes motor recovery in patients with severe motor impairment after stroke. PMID 26934986</w:t>
      </w:r>
    </w:p>
    <w:p>
      <w:pPr>
        <w:numPr>
          <w:ilvl w:val="0"/>
          <w:numId w:val="1407"/>
        </w:numPr>
        <w:pStyle w:val="Compact"/>
      </w:pPr>
      <w:r>
        <w:t xml:space="preserve">2016 · Muresanu DF ·</w:t>
      </w:r>
      <w:r>
        <w:t xml:space="preserve"> </w:t>
      </w:r>
      <w:r>
        <w:rPr>
          <w:iCs/>
          <w:i/>
        </w:rPr>
        <w:t xml:space="preserve">Stroke</w:t>
      </w:r>
      <w:r>
        <w:t xml:space="preserve"> </w:t>
      </w:r>
      <w:r>
        <w:t xml:space="preserve">· Cerebrolysin and Recovery After Stroke (CARS): A Randomized, Placebo-Controlled, Double-Blind, Multicenter Trial. PMID 26564102</w:t>
      </w:r>
    </w:p>
    <w:p>
      <w:pPr>
        <w:numPr>
          <w:ilvl w:val="0"/>
          <w:numId w:val="1407"/>
        </w:numPr>
        <w:pStyle w:val="Compact"/>
      </w:pPr>
      <w:r>
        <w:t xml:space="preserve">2015 · Shishkova VN ·</w:t>
      </w:r>
      <w:r>
        <w:t xml:space="preserve"> </w:t>
      </w:r>
      <w:r>
        <w:rPr>
          <w:iCs/>
          <w:i/>
        </w:rPr>
        <w:t xml:space="preserve">Zh Nevrol Psikhiatr Im S S Korsakova</w:t>
      </w:r>
      <w:r>
        <w:t xml:space="preserve"> </w:t>
      </w:r>
      <w:r>
        <w:t xml:space="preserve">· [An assessment of cerebrolysin effect on BDNF level in patients with post stroke aphasia depending on carbohydrate metabolism disorders]. PMID 26356162</w:t>
      </w:r>
    </w:p>
    <w:p>
      <w:pPr>
        <w:numPr>
          <w:ilvl w:val="0"/>
          <w:numId w:val="1407"/>
        </w:numPr>
        <w:pStyle w:val="Compact"/>
      </w:pPr>
      <w:r>
        <w:t xml:space="preserve">2014 · Talypov AE ·</w:t>
      </w:r>
      <w:r>
        <w:t xml:space="preserve"> </w:t>
      </w:r>
      <w:r>
        <w:rPr>
          <w:iCs/>
          <w:i/>
        </w:rPr>
        <w:t xml:space="preserve">Zh Nevrol Psikhiatr Im S S Korsakova</w:t>
      </w:r>
      <w:r>
        <w:t xml:space="preserve"> </w:t>
      </w:r>
      <w:r>
        <w:t xml:space="preserve">· [Cerebrolysin in the treatment of brain injuries of moderate severity]. PMID 25591645</w:t>
      </w:r>
    </w:p>
    <w:p>
      <w:pPr>
        <w:numPr>
          <w:ilvl w:val="0"/>
          <w:numId w:val="1407"/>
        </w:numPr>
        <w:pStyle w:val="Compact"/>
      </w:pPr>
      <w:r>
        <w:t xml:space="preserve">2014 · Anisimova AV ·</w:t>
      </w:r>
      <w:r>
        <w:t xml:space="preserve"> </w:t>
      </w:r>
      <w:r>
        <w:rPr>
          <w:iCs/>
          <w:i/>
        </w:rPr>
        <w:t xml:space="preserve">Zh Nevrol Psikhiatr Im S S Korsakova</w:t>
      </w:r>
      <w:r>
        <w:t xml:space="preserve"> </w:t>
      </w:r>
      <w:r>
        <w:t xml:space="preserve">· [An impact of neuroprotective therapy on blood rheological and morphodensitometric parameters in patients with chronic cerebral ischemia]. PMID 25591521</w:t>
      </w:r>
    </w:p>
    <w:p>
      <w:pPr>
        <w:numPr>
          <w:ilvl w:val="0"/>
          <w:numId w:val="1407"/>
        </w:numPr>
        <w:pStyle w:val="Compact"/>
      </w:pPr>
      <w:r>
        <w:t xml:space="preserve">2014 · Anisimova AV ·</w:t>
      </w:r>
      <w:r>
        <w:t xml:space="preserve"> </w:t>
      </w:r>
      <w:r>
        <w:rPr>
          <w:iCs/>
          <w:i/>
        </w:rPr>
        <w:t xml:space="preserve">Zh Nevrol Psikhiatr Im S S Korsakova</w:t>
      </w:r>
      <w:r>
        <w:t xml:space="preserve"> </w:t>
      </w:r>
      <w:r>
        <w:t xml:space="preserve">· [Neuroprotective treatment of chronic cerebrovascular insufficiency]. PMID 25176263</w:t>
      </w:r>
    </w:p>
    <w:p>
      <w:pPr>
        <w:numPr>
          <w:ilvl w:val="0"/>
          <w:numId w:val="1407"/>
        </w:numPr>
        <w:pStyle w:val="Compact"/>
      </w:pPr>
      <w:r>
        <w:t xml:space="preserve">2013 · Zavadenko NN ·</w:t>
      </w:r>
      <w:r>
        <w:t xml:space="preserve"> </w:t>
      </w:r>
      <w:r>
        <w:rPr>
          <w:iCs/>
          <w:i/>
        </w:rPr>
        <w:t xml:space="preserve">Zh Nevrol Psikhiatr Im S S Korsakova</w:t>
      </w:r>
      <w:r>
        <w:t xml:space="preserve"> </w:t>
      </w:r>
      <w:r>
        <w:t xml:space="preserve">· [Developmental dysphasia in children: perspectives of neurotrophic therapy]. PMID 23739513</w:t>
      </w:r>
    </w:p>
    <w:p>
      <w:pPr>
        <w:numPr>
          <w:ilvl w:val="0"/>
          <w:numId w:val="1407"/>
        </w:numPr>
        <w:pStyle w:val="Compact"/>
      </w:pPr>
      <w:r>
        <w:t xml:space="preserve">2013 · Chen CC ·</w:t>
      </w:r>
      <w:r>
        <w:t xml:space="preserve"> </w:t>
      </w:r>
      <w:r>
        <w:rPr>
          <w:iCs/>
          <w:i/>
        </w:rPr>
        <w:t xml:space="preserve">Br J Neurosurg</w:t>
      </w:r>
      <w:r>
        <w:t xml:space="preserve"> </w:t>
      </w:r>
      <w:r>
        <w:t xml:space="preserve">· Cerebrolysin enhances cognitive recovery of mild traumatic brain injury patients: double-blind, placebo-controlled, randomized study. PMID 23656173</w:t>
      </w:r>
    </w:p>
    <w:p>
      <w:pPr>
        <w:numPr>
          <w:ilvl w:val="0"/>
          <w:numId w:val="1407"/>
        </w:numPr>
        <w:pStyle w:val="Compact"/>
      </w:pPr>
      <w:r>
        <w:t xml:space="preserve">2013 · Lang W ·</w:t>
      </w:r>
      <w:r>
        <w:t xml:space="preserve"> </w:t>
      </w:r>
      <w:r>
        <w:rPr>
          <w:iCs/>
          <w:i/>
        </w:rPr>
        <w:t xml:space="preserve">Int J Stroke</w:t>
      </w:r>
      <w:r>
        <w:t xml:space="preserve"> </w:t>
      </w:r>
      <w:r>
        <w:t xml:space="preserve">· A prospective, randomized, placebo-controlled, double-blind trial about safety and efficacy of combined treatment with alteplase (rt-PA) and Cerebrolysin in acute ischaemic hemispheric stroke. PMID 23009193</w:t>
      </w:r>
    </w:p>
    <w:p>
      <w:pPr>
        <w:numPr>
          <w:ilvl w:val="0"/>
          <w:numId w:val="1407"/>
        </w:numPr>
        <w:pStyle w:val="Compact"/>
      </w:pPr>
      <w:r>
        <w:t xml:space="preserve">2012 · Xiao S ·</w:t>
      </w:r>
      <w:r>
        <w:t xml:space="preserve"> </w:t>
      </w:r>
      <w:r>
        <w:rPr>
          <w:iCs/>
          <w:i/>
        </w:rPr>
        <w:t xml:space="preserve">Aust N Z J Psychiatry</w:t>
      </w:r>
      <w:r>
        <w:t xml:space="preserve"> </w:t>
      </w:r>
      <w:r>
        <w:t xml:space="preserve">· Therapeutic effects of cerebrolysin added to risperidone in patients with schizophrenia dominated by negative symptoms. PMID 22311531</w:t>
      </w:r>
    </w:p>
    <w:p>
      <w:pPr>
        <w:numPr>
          <w:ilvl w:val="0"/>
          <w:numId w:val="1407"/>
        </w:numPr>
        <w:pStyle w:val="Compact"/>
      </w:pPr>
      <w:r>
        <w:t xml:space="preserve">2012 · Heiss WD ·</w:t>
      </w:r>
      <w:r>
        <w:t xml:space="preserve"> </w:t>
      </w:r>
      <w:r>
        <w:rPr>
          <w:iCs/>
          <w:i/>
        </w:rPr>
        <w:t xml:space="preserve">Stroke</w:t>
      </w:r>
      <w:r>
        <w:t xml:space="preserve"> </w:t>
      </w:r>
      <w:r>
        <w:t xml:space="preserve">· Cerebrolysin in patients with acute ischemic stroke in Asia: results of a double-blind, placebo-controlled randomized trial. PMID 22282884</w:t>
      </w:r>
    </w:p>
    <w:p>
      <w:pPr>
        <w:numPr>
          <w:ilvl w:val="0"/>
          <w:numId w:val="1407"/>
        </w:numPr>
        <w:pStyle w:val="Compact"/>
      </w:pPr>
      <w:r>
        <w:t xml:space="preserve">2011 · Ershov VI ·</w:t>
      </w:r>
      <w:r>
        <w:t xml:space="preserve"> </w:t>
      </w:r>
      <w:r>
        <w:rPr>
          <w:iCs/>
          <w:i/>
        </w:rPr>
        <w:t xml:space="preserve">Zh Nevrol Psikhiatr Im S S Korsakova</w:t>
      </w:r>
      <w:r>
        <w:t xml:space="preserve"> </w:t>
      </w:r>
      <w:r>
        <w:t xml:space="preserve">· [Comparative aspects of using neuroprotectors in the management of patients with ischemic stroke]. PMID 22224244</w:t>
      </w:r>
    </w:p>
    <w:p>
      <w:pPr>
        <w:numPr>
          <w:ilvl w:val="0"/>
          <w:numId w:val="1407"/>
        </w:numPr>
        <w:pStyle w:val="Compact"/>
      </w:pPr>
      <w:r>
        <w:t xml:space="preserve">2011 · Alvarez XA ·</w:t>
      </w:r>
      <w:r>
        <w:t xml:space="preserve"> </w:t>
      </w:r>
      <w:r>
        <w:rPr>
          <w:iCs/>
          <w:i/>
        </w:rPr>
        <w:t xml:space="preserve">Curr Alzheimer Res</w:t>
      </w:r>
      <w:r>
        <w:t xml:space="preserve"> </w:t>
      </w:r>
      <w:r>
        <w:t xml:space="preserve">· Combination treatment in Alzheimer’s disease: results of a randomized, controlled trial with cerebrolysin and donepezil. PMID 21679156</w:t>
      </w:r>
    </w:p>
    <w:p>
      <w:pPr>
        <w:numPr>
          <w:ilvl w:val="0"/>
          <w:numId w:val="1407"/>
        </w:numPr>
        <w:pStyle w:val="Compact"/>
      </w:pPr>
      <w:r>
        <w:t xml:space="preserve">2011 · Zhivolupov SA ·</w:t>
      </w:r>
      <w:r>
        <w:t xml:space="preserve"> </w:t>
      </w:r>
      <w:r>
        <w:rPr>
          <w:iCs/>
          <w:i/>
        </w:rPr>
        <w:t xml:space="preserve">Zh Nevrol Psikhiatr Im S S Korsakova</w:t>
      </w:r>
      <w:r>
        <w:t xml:space="preserve"> </w:t>
      </w:r>
      <w:r>
        <w:t xml:space="preserve">· [The сomparative analysis of neyromidin and cerebrolysin effects on neurodynamic processes during craniocerebral injury]. PMID 21512498</w:t>
      </w:r>
    </w:p>
    <w:p>
      <w:pPr>
        <w:numPr>
          <w:ilvl w:val="0"/>
          <w:numId w:val="1407"/>
        </w:numPr>
        <w:pStyle w:val="Compact"/>
      </w:pPr>
      <w:r>
        <w:t xml:space="preserve">2011 · Bogdanov EI ·</w:t>
      </w:r>
      <w:r>
        <w:t xml:space="preserve"> </w:t>
      </w:r>
      <w:r>
        <w:rPr>
          <w:iCs/>
          <w:i/>
        </w:rPr>
        <w:t xml:space="preserve">Zh Nevrol Psikhiatr Im S S Korsakova</w:t>
      </w:r>
      <w:r>
        <w:t xml:space="preserve"> </w:t>
      </w:r>
      <w:r>
        <w:t xml:space="preserve">· [Efficiency of cerebrolysin in the diabetic polyneuropathy in patients with insulin-dependency diabetes mellitus]. PMID 21350421</w:t>
      </w:r>
    </w:p>
    <w:p>
      <w:pPr>
        <w:numPr>
          <w:ilvl w:val="0"/>
          <w:numId w:val="1407"/>
        </w:numPr>
        <w:pStyle w:val="Compact"/>
      </w:pPr>
      <w:r>
        <w:t xml:space="preserve">2011 · Guekht AB ·</w:t>
      </w:r>
      <w:r>
        <w:t xml:space="preserve"> </w:t>
      </w:r>
      <w:r>
        <w:rPr>
          <w:iCs/>
          <w:i/>
        </w:rPr>
        <w:t xml:space="preserve">J Stroke Cerebrovasc Dis</w:t>
      </w:r>
      <w:r>
        <w:t xml:space="preserve"> </w:t>
      </w:r>
      <w:r>
        <w:t xml:space="preserve">· Cerebrolysin in vascular dementia: improvement of clinical outcome in a randomized, double-blind, placebo-controlled multicenter trial. PMID 20656516</w:t>
      </w:r>
    </w:p>
    <w:p>
      <w:pPr>
        <w:numPr>
          <w:ilvl w:val="0"/>
          <w:numId w:val="1407"/>
        </w:numPr>
        <w:pStyle w:val="Compact"/>
      </w:pPr>
      <w:r>
        <w:t xml:space="preserve">2011 · Alvarez XA ·</w:t>
      </w:r>
      <w:r>
        <w:t xml:space="preserve"> </w:t>
      </w:r>
      <w:r>
        <w:rPr>
          <w:iCs/>
          <w:i/>
        </w:rPr>
        <w:t xml:space="preserve">Eur J Neurol</w:t>
      </w:r>
      <w:r>
        <w:t xml:space="preserve"> </w:t>
      </w:r>
      <w:r>
        <w:t xml:space="preserve">· Efficacy and safety of Cerebrolysin in moderate to moderately severe Alzheimer’s disease: results of a randomized, double-blind, controlled trial investigating three dosages of Cerebrolysin. PMID 20500802</w:t>
      </w:r>
    </w:p>
    <w:p>
      <w:pPr>
        <w:numPr>
          <w:ilvl w:val="0"/>
          <w:numId w:val="1407"/>
        </w:numPr>
        <w:pStyle w:val="Compact"/>
      </w:pPr>
      <w:r>
        <w:t xml:space="preserve">2010 · Shamalov NA ·</w:t>
      </w:r>
      <w:r>
        <w:t xml:space="preserve"> </w:t>
      </w:r>
      <w:r>
        <w:rPr>
          <w:iCs/>
          <w:i/>
        </w:rPr>
        <w:t xml:space="preserve">Zh Nevrol Psikhiatr Im S S Korsakova</w:t>
      </w:r>
      <w:r>
        <w:t xml:space="preserve"> </w:t>
      </w:r>
      <w:r>
        <w:t xml:space="preserve">· [The effect of cerebrolysin in dosage 50 ml on the volume of lesion in ischemic stroke]. PMID 21626816</w:t>
      </w:r>
    </w:p>
    <w:p>
      <w:pPr>
        <w:numPr>
          <w:ilvl w:val="0"/>
          <w:numId w:val="1407"/>
        </w:numPr>
        <w:pStyle w:val="Compact"/>
      </w:pPr>
      <w:r>
        <w:t xml:space="preserve">2010 · Iznak EV ·</w:t>
      </w:r>
      <w:r>
        <w:t xml:space="preserve"> </w:t>
      </w:r>
      <w:r>
        <w:rPr>
          <w:iCs/>
          <w:i/>
        </w:rPr>
        <w:t xml:space="preserve">Zh Nevrol Psikhiatr Im S S Korsakova</w:t>
      </w:r>
      <w:r>
        <w:t xml:space="preserve"> </w:t>
      </w:r>
      <w:r>
        <w:t xml:space="preserve">· [Electrophysiological correlates of efficacy of nootropic drugs in the treatment of consequences of traumatic brain injury in adolescents]. PMID 21322822</w:t>
      </w:r>
    </w:p>
    <w:p>
      <w:pPr>
        <w:numPr>
          <w:ilvl w:val="0"/>
          <w:numId w:val="1407"/>
        </w:numPr>
        <w:pStyle w:val="Compact"/>
      </w:pPr>
      <w:r>
        <w:t xml:space="preserve">2010 · Bajenaru O ·</w:t>
      </w:r>
      <w:r>
        <w:t xml:space="preserve"> </w:t>
      </w:r>
      <w:r>
        <w:rPr>
          <w:iCs/>
          <w:i/>
        </w:rPr>
        <w:t xml:space="preserve">J Med Life</w:t>
      </w:r>
      <w:r>
        <w:t xml:space="preserve"> </w:t>
      </w:r>
      <w:r>
        <w:t xml:space="preserve">· Efficacy and safety of Cerebrolysin in patients with hemorrhagic stroke. PMID 20968198</w:t>
      </w:r>
    </w:p>
    <w:p>
      <w:pPr>
        <w:numPr>
          <w:ilvl w:val="0"/>
          <w:numId w:val="1407"/>
        </w:numPr>
        <w:pStyle w:val="Compact"/>
      </w:pPr>
      <w:r>
        <w:t xml:space="preserve">2010 · Jianu DC ·</w:t>
      </w:r>
      <w:r>
        <w:t xml:space="preserve"> </w:t>
      </w:r>
      <w:r>
        <w:rPr>
          <w:iCs/>
          <w:i/>
        </w:rPr>
        <w:t xml:space="preserve">J Med Life</w:t>
      </w:r>
      <w:r>
        <w:t xml:space="preserve"> </w:t>
      </w:r>
      <w:r>
        <w:t xml:space="preserve">· Cerebrolysin adjuvant treatment in Broca’s aphasics following first acute ischemic stroke of the left middle cerebral artery. PMID 20945821</w:t>
      </w:r>
    </w:p>
    <w:p>
      <w:pPr>
        <w:numPr>
          <w:ilvl w:val="0"/>
          <w:numId w:val="1407"/>
        </w:numPr>
        <w:pStyle w:val="Compact"/>
      </w:pPr>
      <w:r>
        <w:t xml:space="preserve">2010 · Muresanu DF ·</w:t>
      </w:r>
      <w:r>
        <w:t xml:space="preserve"> </w:t>
      </w:r>
      <w:r>
        <w:rPr>
          <w:iCs/>
          <w:i/>
        </w:rPr>
        <w:t xml:space="preserve">J Neurol Sci</w:t>
      </w:r>
      <w:r>
        <w:t xml:space="preserve"> </w:t>
      </w:r>
      <w:r>
        <w:t xml:space="preserve">· Persistence of the effects of Cerebrolysin on cognition and qEEG slowing in vascular dementia patients: results of a 3-month extension study. PMID 20923712</w:t>
      </w:r>
    </w:p>
    <w:p>
      <w:pPr>
        <w:numPr>
          <w:ilvl w:val="0"/>
          <w:numId w:val="1407"/>
        </w:numPr>
        <w:pStyle w:val="Compact"/>
      </w:pPr>
      <w:r>
        <w:t xml:space="preserve">2010 · ·</w:t>
      </w:r>
      <w:r>
        <w:t xml:space="preserve"> </w:t>
      </w:r>
      <w:r>
        <w:rPr>
          <w:iCs/>
          <w:i/>
        </w:rPr>
        <w:t xml:space="preserve">Zh Nevrol Psikhiatr Im S S Korsakova</w:t>
      </w:r>
      <w:r>
        <w:t xml:space="preserve"> </w:t>
      </w:r>
      <w:r>
        <w:t xml:space="preserve">· [Electrophysiological correlates of efficacy of nootropic drugs in the treatment of consequences of traumatic brain injury in adolescents]. PMID 20559264</w:t>
      </w:r>
    </w:p>
    <w:p>
      <w:pPr>
        <w:numPr>
          <w:ilvl w:val="0"/>
          <w:numId w:val="1407"/>
        </w:numPr>
        <w:pStyle w:val="Compact"/>
      </w:pPr>
      <w:r>
        <w:t xml:space="preserve">2010 · Gavrilova SI ·</w:t>
      </w:r>
      <w:r>
        <w:t xml:space="preserve"> </w:t>
      </w:r>
      <w:r>
        <w:rPr>
          <w:iCs/>
          <w:i/>
        </w:rPr>
        <w:t xml:space="preserve">Zh Nevrol Psikhiatr Im S S Korsakova</w:t>
      </w:r>
      <w:r>
        <w:t xml:space="preserve"> </w:t>
      </w:r>
      <w:r>
        <w:t xml:space="preserve">· [Possibilities of preventive treatment of Alzheimer’s disease: results of the 3-year open prospective comparative study on efficacy and safety of the course therapy with cerebrolysin and cavinton in elderly patients with the syndrome of mild cognitive impairment]. PMID 20436440</w:t>
      </w:r>
    </w:p>
    <w:p>
      <w:pPr>
        <w:numPr>
          <w:ilvl w:val="0"/>
          <w:numId w:val="1407"/>
        </w:numPr>
        <w:pStyle w:val="Compact"/>
      </w:pPr>
      <w:r>
        <w:t xml:space="preserve">2009 · Hong Z ·</w:t>
      </w:r>
      <w:r>
        <w:t xml:space="preserve"> </w:t>
      </w:r>
      <w:r>
        <w:rPr>
          <w:iCs/>
          <w:i/>
        </w:rPr>
        <w:t xml:space="preserve">Int J Stroke</w:t>
      </w:r>
      <w:r>
        <w:t xml:space="preserve"> </w:t>
      </w:r>
      <w:r>
        <w:t xml:space="preserve">· A double-blind, placebo-controlled, randomized trial to evaluate the safety and efficacy of Cerebrolysin in patients with acute ischaemic stroke in Asia–CASTA. PMID 19765131</w:t>
      </w:r>
    </w:p>
    <w:p>
      <w:pPr>
        <w:numPr>
          <w:ilvl w:val="0"/>
          <w:numId w:val="1407"/>
        </w:numPr>
        <w:pStyle w:val="Compact"/>
      </w:pPr>
      <w:r>
        <w:t xml:space="preserve">2009 · Alvarez XA ·</w:t>
      </w:r>
      <w:r>
        <w:t xml:space="preserve"> </w:t>
      </w:r>
      <w:r>
        <w:rPr>
          <w:iCs/>
          <w:i/>
        </w:rPr>
        <w:t xml:space="preserve">Int J Neuropsychopharmacol</w:t>
      </w:r>
      <w:r>
        <w:t xml:space="preserve"> </w:t>
      </w:r>
      <w:r>
        <w:t xml:space="preserve">· Reduced TNF-α and increased IGF-I levels in the serum of Alzheimer’s disease patients treated with the neurotrophic agent cerebrolysin. PMID 19531281</w:t>
      </w:r>
    </w:p>
    <w:p>
      <w:pPr>
        <w:numPr>
          <w:ilvl w:val="0"/>
          <w:numId w:val="1407"/>
        </w:numPr>
        <w:pStyle w:val="Compact"/>
      </w:pPr>
      <w:r>
        <w:t xml:space="preserve">2009 · Maksimova MIu ·</w:t>
      </w:r>
      <w:r>
        <w:t xml:space="preserve"> </w:t>
      </w:r>
      <w:r>
        <w:rPr>
          <w:iCs/>
          <w:i/>
        </w:rPr>
        <w:t xml:space="preserve">Zh Nevrol Psikhiatr Im S S Korsakova</w:t>
      </w:r>
      <w:r>
        <w:t xml:space="preserve"> </w:t>
      </w:r>
      <w:r>
        <w:t xml:space="preserve">· [Effectiveness of cerebrolysin in hypertensive supratentorial intracranial hemorrhages: results of a randomized triple blind placebo-controled study]. PMID 19156082</w:t>
      </w:r>
    </w:p>
    <w:p>
      <w:pPr>
        <w:numPr>
          <w:ilvl w:val="0"/>
          <w:numId w:val="1407"/>
        </w:numPr>
        <w:pStyle w:val="Compact"/>
      </w:pPr>
      <w:r>
        <w:t xml:space="preserve">2008 · Kul’chikov AE ·</w:t>
      </w:r>
      <w:r>
        <w:t xml:space="preserve"> </w:t>
      </w:r>
      <w:r>
        <w:rPr>
          <w:iCs/>
          <w:i/>
        </w:rPr>
        <w:t xml:space="preserve">Eksp Klin Farmakol</w:t>
      </w:r>
      <w:r>
        <w:t xml:space="preserve"> </w:t>
      </w:r>
      <w:r>
        <w:t xml:space="preserve">· [Neuroimmunocorrection therapy for the prophylaxis of infectious complications in acute stroke patients]. PMID 19140514</w:t>
      </w:r>
    </w:p>
    <w:p>
      <w:pPr>
        <w:numPr>
          <w:ilvl w:val="0"/>
          <w:numId w:val="1407"/>
        </w:numPr>
        <w:pStyle w:val="Compact"/>
      </w:pPr>
      <w:r>
        <w:t xml:space="preserve">2008 · Serkina EV ·</w:t>
      </w:r>
      <w:r>
        <w:t xml:space="preserve"> </w:t>
      </w:r>
      <w:r>
        <w:rPr>
          <w:iCs/>
          <w:i/>
        </w:rPr>
        <w:t xml:space="preserve">Zh Nevrol Psikhiatr Im S S Korsakova</w:t>
      </w:r>
      <w:r>
        <w:t xml:space="preserve"> </w:t>
      </w:r>
      <w:r>
        <w:t xml:space="preserve">· [Cerebrolysin alleviates perinatal CNS disorders through the autoimmune modulation and antioxidant protection]. PMID 19008804</w:t>
      </w:r>
    </w:p>
    <w:p>
      <w:pPr>
        <w:numPr>
          <w:ilvl w:val="0"/>
          <w:numId w:val="1407"/>
        </w:numPr>
        <w:pStyle w:val="Compact"/>
      </w:pPr>
      <w:r>
        <w:t xml:space="preserve">2008 · Damulin IV ·</w:t>
      </w:r>
      <w:r>
        <w:t xml:space="preserve"> </w:t>
      </w:r>
      <w:r>
        <w:rPr>
          <w:iCs/>
          <w:i/>
        </w:rPr>
        <w:t xml:space="preserve">Neurosci Behav Physiol</w:t>
      </w:r>
      <w:r>
        <w:t xml:space="preserve"> </w:t>
      </w:r>
      <w:r>
        <w:t xml:space="preserve">· Effects of cerebrolysin on moderate cognitive impairments in cerebral vascular insufficiency (a clinical-electrophysiological study). PMID 18607744</w:t>
      </w:r>
    </w:p>
    <w:p>
      <w:pPr>
        <w:numPr>
          <w:ilvl w:val="0"/>
          <w:numId w:val="1407"/>
        </w:numPr>
        <w:pStyle w:val="Compact"/>
      </w:pPr>
      <w:r>
        <w:t xml:space="preserve">2008 · Alvarez XA ·</w:t>
      </w:r>
      <w:r>
        <w:t xml:space="preserve"> </w:t>
      </w:r>
      <w:r>
        <w:rPr>
          <w:iCs/>
          <w:i/>
        </w:rPr>
        <w:t xml:space="preserve">J Neural Transm (Vienna)</w:t>
      </w:r>
      <w:r>
        <w:t xml:space="preserve"> </w:t>
      </w:r>
      <w:r>
        <w:t xml:space="preserve">· Reductions in qEEG slowing over 1 year and after treatment with Cerebrolysin in patients with moderate-severe traumatic brain injury. PMID 18273537</w:t>
      </w:r>
    </w:p>
    <w:p>
      <w:pPr>
        <w:numPr>
          <w:ilvl w:val="0"/>
          <w:numId w:val="1407"/>
        </w:numPr>
        <w:pStyle w:val="Compact"/>
      </w:pPr>
      <w:r>
        <w:t xml:space="preserve">2008 · Muresanu DF ·</w:t>
      </w:r>
      <w:r>
        <w:t xml:space="preserve"> </w:t>
      </w:r>
      <w:r>
        <w:rPr>
          <w:iCs/>
          <w:i/>
        </w:rPr>
        <w:t xml:space="preserve">J Neurol Sci</w:t>
      </w:r>
      <w:r>
        <w:t xml:space="preserve"> </w:t>
      </w:r>
      <w:r>
        <w:t xml:space="preserve">· A pilot study to evaluate the effects of Cerebrolysin on cognition and qEEG in vascular dementia: cognitive improvement correlates with qEEG acceleration. PMID 18048059</w:t>
      </w:r>
    </w:p>
    <w:p>
      <w:pPr>
        <w:numPr>
          <w:ilvl w:val="0"/>
          <w:numId w:val="1407"/>
        </w:numPr>
        <w:pStyle w:val="Compact"/>
      </w:pPr>
      <w:r>
        <w:t xml:space="preserve">2007 · Damulin IV ·</w:t>
      </w:r>
      <w:r>
        <w:t xml:space="preserve"> </w:t>
      </w:r>
      <w:r>
        <w:rPr>
          <w:iCs/>
          <w:i/>
        </w:rPr>
        <w:t xml:space="preserve">Zh Nevrol Psikhiatr Im S S Korsakova</w:t>
      </w:r>
      <w:r>
        <w:t xml:space="preserve"> </w:t>
      </w:r>
      <w:r>
        <w:t xml:space="preserve">· [The effect of cerebrolysin on moderate cognitive impairment in cerebral vascular insufficiency (a clinical and electrophysiological study)]. PMID 18379494</w:t>
      </w:r>
    </w:p>
    <w:p>
      <w:pPr>
        <w:numPr>
          <w:ilvl w:val="0"/>
          <w:numId w:val="1407"/>
        </w:numPr>
        <w:pStyle w:val="Compact"/>
      </w:pPr>
      <w:r>
        <w:t xml:space="preserve">2006 · Skwortsova VI ·</w:t>
      </w:r>
      <w:r>
        <w:t xml:space="preserve"> </w:t>
      </w:r>
      <w:r>
        <w:rPr>
          <w:iCs/>
          <w:i/>
        </w:rPr>
        <w:t xml:space="preserve">Zh Nevrol Psikhiatr Im S S Korsakova</w:t>
      </w:r>
      <w:r>
        <w:t xml:space="preserve"> </w:t>
      </w:r>
      <w:r>
        <w:t xml:space="preserve">· [Results of the multicenter prospective study of cerebrolysin safety and efficacy in acute stroke]. PMID 18196634</w:t>
      </w:r>
    </w:p>
    <w:p>
      <w:pPr>
        <w:numPr>
          <w:ilvl w:val="0"/>
          <w:numId w:val="1407"/>
        </w:numPr>
        <w:pStyle w:val="Compact"/>
      </w:pPr>
      <w:r>
        <w:t xml:space="preserve">2006 · Skorokhodov AP ·</w:t>
      </w:r>
      <w:r>
        <w:t xml:space="preserve"> </w:t>
      </w:r>
      <w:r>
        <w:rPr>
          <w:iCs/>
          <w:i/>
        </w:rPr>
        <w:t xml:space="preserve">Zh Nevrol Psikhiatr Im S S Korsakova</w:t>
      </w:r>
      <w:r>
        <w:t xml:space="preserve"> </w:t>
      </w:r>
      <w:r>
        <w:t xml:space="preserve">· [Comparative analysis of efficacy of certain neuroprotectors in ischemic stroke]. PMID 18193579</w:t>
      </w:r>
    </w:p>
    <w:p>
      <w:pPr>
        <w:numPr>
          <w:ilvl w:val="0"/>
          <w:numId w:val="1407"/>
        </w:numPr>
        <w:pStyle w:val="Compact"/>
      </w:pPr>
      <w:r>
        <w:t xml:space="preserve">2006 · Gaĭtetdinova DD ·</w:t>
      </w:r>
      <w:r>
        <w:t xml:space="preserve"> </w:t>
      </w:r>
      <w:r>
        <w:rPr>
          <w:iCs/>
          <w:i/>
        </w:rPr>
        <w:t xml:space="preserve">Eksp Klin Farmakol</w:t>
      </w:r>
      <w:r>
        <w:t xml:space="preserve"> </w:t>
      </w:r>
      <w:r>
        <w:t xml:space="preserve">· [Clastogenic, aneugenic, pro- and antioxidant properties of some neurotropic preparations]. PMID 16878503</w:t>
      </w:r>
    </w:p>
    <w:p>
      <w:pPr>
        <w:numPr>
          <w:ilvl w:val="0"/>
          <w:numId w:val="1407"/>
        </w:numPr>
        <w:pStyle w:val="Compact"/>
      </w:pPr>
      <w:r>
        <w:t xml:space="preserve">2006 · Radzivil MG ·</w:t>
      </w:r>
      <w:r>
        <w:t xml:space="preserve"> </w:t>
      </w:r>
      <w:r>
        <w:rPr>
          <w:iCs/>
          <w:i/>
        </w:rPr>
        <w:t xml:space="preserve">Zh Nevrol Psikhiatr Im S S Korsakova</w:t>
      </w:r>
      <w:r>
        <w:t xml:space="preserve"> </w:t>
      </w:r>
      <w:r>
        <w:t xml:space="preserve">· [An effect of long-term cerebrolysin therapy in combination with neuroleptics on behavioral and cognitive disturbances in endogenous childhood autism]. PMID 16548370</w:t>
      </w:r>
    </w:p>
    <w:p>
      <w:pPr>
        <w:numPr>
          <w:ilvl w:val="0"/>
          <w:numId w:val="1407"/>
        </w:numPr>
        <w:pStyle w:val="Compact"/>
      </w:pPr>
      <w:r>
        <w:t xml:space="preserve">2006 · Alvarez XA ·</w:t>
      </w:r>
      <w:r>
        <w:t xml:space="preserve"> </w:t>
      </w:r>
      <w:r>
        <w:rPr>
          <w:iCs/>
          <w:i/>
        </w:rPr>
        <w:t xml:space="preserve">Eur J Neurol</w:t>
      </w:r>
      <w:r>
        <w:t xml:space="preserve"> </w:t>
      </w:r>
      <w:r>
        <w:t xml:space="preserve">· A 24-week, double-blind, placebo-controlled study of three dosages of Cerebrolysin in patients with mild to moderate Alzheimer’s disease. PMID 16420392</w:t>
      </w:r>
    </w:p>
    <w:p>
      <w:pPr>
        <w:numPr>
          <w:ilvl w:val="0"/>
          <w:numId w:val="1407"/>
        </w:numPr>
        <w:pStyle w:val="Compact"/>
      </w:pPr>
      <w:r>
        <w:t xml:space="preserve">2005 · Wong GK ·</w:t>
      </w:r>
      <w:r>
        <w:t xml:space="preserve"> </w:t>
      </w:r>
      <w:r>
        <w:rPr>
          <w:iCs/>
          <w:i/>
        </w:rPr>
        <w:t xml:space="preserve">Acta Neurochir Suppl</w:t>
      </w:r>
      <w:r>
        <w:t xml:space="preserve"> </w:t>
      </w:r>
      <w:r>
        <w:t xml:space="preserve">· Beneficial effect of cerebrolysin on moderate and severe head injury patients: result of a cohort study. PMID 16463821</w:t>
      </w:r>
    </w:p>
    <w:p>
      <w:pPr>
        <w:numPr>
          <w:ilvl w:val="0"/>
          <w:numId w:val="1407"/>
        </w:numPr>
        <w:pStyle w:val="Compact"/>
      </w:pPr>
      <w:r>
        <w:t xml:space="preserve">2005 · Gavrilova SI ·</w:t>
      </w:r>
      <w:r>
        <w:t xml:space="preserve"> </w:t>
      </w:r>
      <w:r>
        <w:rPr>
          <w:iCs/>
          <w:i/>
        </w:rPr>
        <w:t xml:space="preserve">Zh Nevrol Psikhiatr Im S S Korsakova</w:t>
      </w:r>
      <w:r>
        <w:t xml:space="preserve"> </w:t>
      </w:r>
      <w:r>
        <w:t xml:space="preserve">· [ApoE genotype and efficacy of neurotrophic and cholinergic therapy in Alzheimer’s disease]. PMID 15880838</w:t>
      </w:r>
    </w:p>
    <w:p>
      <w:pPr>
        <w:numPr>
          <w:ilvl w:val="0"/>
          <w:numId w:val="1407"/>
        </w:numPr>
        <w:pStyle w:val="Compact"/>
      </w:pPr>
      <w:r>
        <w:t xml:space="preserve">2005 · Crook TH ·</w:t>
      </w:r>
      <w:r>
        <w:t xml:space="preserve"> </w:t>
      </w:r>
      <w:r>
        <w:rPr>
          <w:iCs/>
          <w:i/>
        </w:rPr>
        <w:t xml:space="preserve">Int Clin Psychopharmacol</w:t>
      </w:r>
      <w:r>
        <w:t xml:space="preserve"> </w:t>
      </w:r>
      <w:r>
        <w:t xml:space="preserve">· Effects of N-PEP-12 on memory among older adults. PMID 15729085</w:t>
      </w:r>
    </w:p>
    <w:p>
      <w:pPr>
        <w:numPr>
          <w:ilvl w:val="0"/>
          <w:numId w:val="1407"/>
        </w:numPr>
        <w:pStyle w:val="Compact"/>
      </w:pPr>
      <w:r>
        <w:t xml:space="preserve">2005 · Roshchina IF ·</w:t>
      </w:r>
      <w:r>
        <w:t xml:space="preserve"> </w:t>
      </w:r>
      <w:r>
        <w:rPr>
          <w:iCs/>
          <w:i/>
        </w:rPr>
        <w:t xml:space="preserve">Zh Nevrol Psikhiatr Im S S Korsakova</w:t>
      </w:r>
      <w:r>
        <w:t xml:space="preserve"> </w:t>
      </w:r>
      <w:r>
        <w:t xml:space="preserve">· [Neuropsychological evaluation of long-term therapy of Alzheimer’s disease using different cerebrolysin dosages]. PMID 15704485</w:t>
      </w:r>
    </w:p>
    <w:p>
      <w:pPr>
        <w:numPr>
          <w:ilvl w:val="0"/>
          <w:numId w:val="1407"/>
        </w:numPr>
        <w:pStyle w:val="Compact"/>
      </w:pPr>
      <w:r>
        <w:t xml:space="preserve">2005 · Chukanova EI ·</w:t>
      </w:r>
      <w:r>
        <w:t xml:space="preserve"> </w:t>
      </w:r>
      <w:r>
        <w:rPr>
          <w:iCs/>
          <w:i/>
        </w:rPr>
        <w:t xml:space="preserve">Zh Nevrol Psikhiatr Im S S Korsakova</w:t>
      </w:r>
      <w:r>
        <w:t xml:space="preserve"> </w:t>
      </w:r>
      <w:r>
        <w:t xml:space="preserve">· [The effect of cerebrolysin on the clinical symptoms and the course of ischemic encephalopathy]. PMID 15704482</w:t>
      </w:r>
    </w:p>
    <w:p>
      <w:pPr>
        <w:numPr>
          <w:ilvl w:val="0"/>
          <w:numId w:val="1407"/>
        </w:numPr>
        <w:pStyle w:val="Compact"/>
      </w:pPr>
      <w:r>
        <w:t xml:space="preserve">2005 · Ladurner G ·</w:t>
      </w:r>
      <w:r>
        <w:t xml:space="preserve"> </w:t>
      </w:r>
      <w:r>
        <w:rPr>
          <w:iCs/>
          <w:i/>
        </w:rPr>
        <w:t xml:space="preserve">J Neural Transm (Vienna)</w:t>
      </w:r>
      <w:r>
        <w:t xml:space="preserve"> </w:t>
      </w:r>
      <w:r>
        <w:t xml:space="preserve">· Neuroprotective treatment with cerebrolysin in patients with acute stroke: a randomised controlled trial. PMID 15583955</w:t>
      </w:r>
    </w:p>
    <w:p>
      <w:pPr>
        <w:numPr>
          <w:ilvl w:val="0"/>
          <w:numId w:val="1407"/>
        </w:numPr>
        <w:pStyle w:val="Compact"/>
      </w:pPr>
      <w:r>
        <w:t xml:space="preserve">2004 · Skvortsova VI ·</w:t>
      </w:r>
      <w:r>
        <w:t xml:space="preserve"> </w:t>
      </w:r>
      <w:r>
        <w:rPr>
          <w:iCs/>
          <w:i/>
        </w:rPr>
        <w:t xml:space="preserve">Zh Nevrol Psikhiatr Im S S Korsakova</w:t>
      </w:r>
      <w:r>
        <w:t xml:space="preserve"> </w:t>
      </w:r>
      <w:r>
        <w:t xml:space="preserve">· [A randomized, double-blind, placebo-controlled study of Cerebrolysin safety and efficacy in the treatment of acute ischemic stroke]. PMID 15559222</w:t>
      </w:r>
    </w:p>
    <w:p>
      <w:pPr>
        <w:numPr>
          <w:ilvl w:val="0"/>
          <w:numId w:val="1407"/>
        </w:numPr>
        <w:pStyle w:val="Compact"/>
      </w:pPr>
      <w:r>
        <w:t xml:space="preserve">2003 · Alvarez XA ·</w:t>
      </w:r>
      <w:r>
        <w:t xml:space="preserve"> </w:t>
      </w:r>
      <w:r>
        <w:rPr>
          <w:iCs/>
          <w:i/>
        </w:rPr>
        <w:t xml:space="preserve">Int Clin Psychopharmacol</w:t>
      </w:r>
      <w:r>
        <w:t xml:space="preserve"> </w:t>
      </w:r>
      <w:r>
        <w:t xml:space="preserve">· Positive effects of cerebrolysin on electroencephalogram slowing, cognition and clinical outcome in patients with postacute traumatic brain injury: an exploratory study. PMID 12920387</w:t>
      </w:r>
    </w:p>
    <w:p>
      <w:pPr>
        <w:numPr>
          <w:ilvl w:val="0"/>
          <w:numId w:val="1407"/>
        </w:numPr>
        <w:pStyle w:val="Compact"/>
      </w:pPr>
      <w:r>
        <w:t xml:space="preserve">2002 · Muresanu DF ·</w:t>
      </w:r>
      <w:r>
        <w:t xml:space="preserve"> </w:t>
      </w:r>
      <w:r>
        <w:rPr>
          <w:iCs/>
          <w:i/>
        </w:rPr>
        <w:t xml:space="preserve">J Neural Transm Suppl</w:t>
      </w:r>
      <w:r>
        <w:t xml:space="preserve"> </w:t>
      </w:r>
      <w:r>
        <w:t xml:space="preserve">· Improved global function and activities of daily living in patients with AD: a placebo-controlled clinical study with the neurotrophic agent Cerebrolysin. PMID 12456070</w:t>
      </w:r>
    </w:p>
    <w:p>
      <w:pPr>
        <w:numPr>
          <w:ilvl w:val="0"/>
          <w:numId w:val="1407"/>
        </w:numPr>
        <w:pStyle w:val="Compact"/>
      </w:pPr>
      <w:r>
        <w:t xml:space="preserve">2002 · Ruether E ·</w:t>
      </w:r>
      <w:r>
        <w:t xml:space="preserve"> </w:t>
      </w:r>
      <w:r>
        <w:rPr>
          <w:iCs/>
          <w:i/>
        </w:rPr>
        <w:t xml:space="preserve">J Neural Transm Suppl</w:t>
      </w:r>
      <w:r>
        <w:t xml:space="preserve"> </w:t>
      </w:r>
      <w:r>
        <w:t xml:space="preserve">· Sustained improvement of cognition and global function in patients with moderately severe Alzheimer’s disease: a double-blind, placebo-controlled study with the neurotrophic agent Cerebrolysin. PMID 12456069</w:t>
      </w:r>
    </w:p>
    <w:p>
      <w:pPr>
        <w:numPr>
          <w:ilvl w:val="0"/>
          <w:numId w:val="1407"/>
        </w:numPr>
        <w:pStyle w:val="Compact"/>
      </w:pPr>
      <w:r>
        <w:t xml:space="preserve">2002 · Odinak MM ·</w:t>
      </w:r>
      <w:r>
        <w:t xml:space="preserve"> </w:t>
      </w:r>
      <w:r>
        <w:rPr>
          <w:iCs/>
          <w:i/>
        </w:rPr>
        <w:t xml:space="preserve">Zh Nevrol Psikhiatr Im S S Korsakova</w:t>
      </w:r>
      <w:r>
        <w:t xml:space="preserve"> </w:t>
      </w:r>
      <w:r>
        <w:t xml:space="preserve">· [New approaches to antioxidant therapy in multiple sclerosis]. PMID 12418396</w:t>
      </w:r>
    </w:p>
    <w:p>
      <w:pPr>
        <w:numPr>
          <w:ilvl w:val="0"/>
          <w:numId w:val="1407"/>
        </w:numPr>
        <w:pStyle w:val="Compact"/>
      </w:pPr>
      <w:r>
        <w:t xml:space="preserve">2002 · Panisset M ·</w:t>
      </w:r>
      <w:r>
        <w:t xml:space="preserve"> </w:t>
      </w:r>
      <w:r>
        <w:rPr>
          <w:iCs/>
          <w:i/>
        </w:rPr>
        <w:t xml:space="preserve">J Neural Transm (Vienna)</w:t>
      </w:r>
      <w:r>
        <w:t xml:space="preserve"> </w:t>
      </w:r>
      <w:r>
        <w:t xml:space="preserve">· Cerebrolysin in Alzheimer’s disease: a randomized, double-blind, placebo-controlled trial with a neurotrophic agent. PMID 12111446</w:t>
      </w:r>
    </w:p>
    <w:p>
      <w:pPr>
        <w:numPr>
          <w:ilvl w:val="0"/>
          <w:numId w:val="1407"/>
        </w:numPr>
        <w:pStyle w:val="Compact"/>
      </w:pPr>
      <w:r>
        <w:t xml:space="preserve">2001 · Gorbachevskaya N ·</w:t>
      </w:r>
      <w:r>
        <w:t xml:space="preserve"> </w:t>
      </w:r>
      <w:r>
        <w:rPr>
          <w:iCs/>
          <w:i/>
        </w:rPr>
        <w:t xml:space="preserve">Brain Dev</w:t>
      </w:r>
      <w:r>
        <w:t xml:space="preserve"> </w:t>
      </w:r>
      <w:r>
        <w:t xml:space="preserve">· Cerebrolysin therapy in Rett syndrome: clinical and EEG mapping study. PMID 11738849</w:t>
      </w:r>
    </w:p>
    <w:p>
      <w:pPr>
        <w:numPr>
          <w:ilvl w:val="0"/>
          <w:numId w:val="1407"/>
        </w:numPr>
        <w:pStyle w:val="Compact"/>
      </w:pPr>
      <w:r>
        <w:t xml:space="preserve">2001 · Ruether E ·</w:t>
      </w:r>
      <w:r>
        <w:t xml:space="preserve"> </w:t>
      </w:r>
      <w:r>
        <w:rPr>
          <w:iCs/>
          <w:i/>
        </w:rPr>
        <w:t xml:space="preserve">Int Clin Psychopharmacol</w:t>
      </w:r>
      <w:r>
        <w:t xml:space="preserve"> </w:t>
      </w:r>
      <w:r>
        <w:t xml:space="preserve">· A 28-week, double-blind, placebo-controlled study with Cerebrolysin in patients with mild to moderate Alzheimer’s disease. PMID 11552768</w:t>
      </w:r>
    </w:p>
    <w:p>
      <w:pPr>
        <w:numPr>
          <w:ilvl w:val="0"/>
          <w:numId w:val="1407"/>
        </w:numPr>
        <w:pStyle w:val="Compact"/>
      </w:pPr>
      <w:r>
        <w:t xml:space="preserve">2001 · Vereshchagin NV ·</w:t>
      </w:r>
      <w:r>
        <w:t xml:space="preserve"> </w:t>
      </w:r>
      <w:r>
        <w:rPr>
          <w:iCs/>
          <w:i/>
        </w:rPr>
        <w:t xml:space="preserve">Ter Arkh</w:t>
      </w:r>
      <w:r>
        <w:t xml:space="preserve"> </w:t>
      </w:r>
      <w:r>
        <w:t xml:space="preserve">· [Treatment and prevention of cognitive dysfunction in patients with arterial hypertension and atherosclerosis: results of a randomized double-blind placebo-controlled trial of cerebrolysin]. PMID 11494441</w:t>
      </w:r>
    </w:p>
    <w:p>
      <w:pPr>
        <w:numPr>
          <w:ilvl w:val="0"/>
          <w:numId w:val="1407"/>
        </w:numPr>
        <w:pStyle w:val="Compact"/>
      </w:pPr>
      <w:r>
        <w:t xml:space="preserve">2000 · Bae CY ·</w:t>
      </w:r>
      <w:r>
        <w:t xml:space="preserve"> </w:t>
      </w:r>
      <w:r>
        <w:rPr>
          <w:iCs/>
          <w:i/>
        </w:rPr>
        <w:t xml:space="preserve">J Am Geriatr Soc</w:t>
      </w:r>
      <w:r>
        <w:t xml:space="preserve"> </w:t>
      </w:r>
      <w:r>
        <w:t xml:space="preserve">· A double-blind, placebo-controlled, multicenter study of Cerebrolysin for Alzheimer’s disease. PMID 11129744</w:t>
      </w:r>
    </w:p>
    <w:p>
      <w:pPr>
        <w:numPr>
          <w:ilvl w:val="0"/>
          <w:numId w:val="1407"/>
        </w:numPr>
        <w:pStyle w:val="Compact"/>
      </w:pPr>
      <w:r>
        <w:t xml:space="preserve">1999 · Roshchina IF ·</w:t>
      </w:r>
      <w:r>
        <w:t xml:space="preserve"> </w:t>
      </w:r>
      <w:r>
        <w:rPr>
          <w:iCs/>
          <w:i/>
        </w:rPr>
        <w:t xml:space="preserve">Zh Nevrol Psikhiatr Im S S Korsakova</w:t>
      </w:r>
      <w:r>
        <w:t xml:space="preserve"> </w:t>
      </w:r>
      <w:r>
        <w:t xml:space="preserve">· [The influence of cerebrolysin on the efficiency of subsequent therapy with amiridine++ in Alzheimer’s disease patients (neuropsychological investigation)]. PMID 10629930</w:t>
      </w:r>
    </w:p>
    <w:p>
      <w:pPr>
        <w:numPr>
          <w:ilvl w:val="0"/>
          <w:numId w:val="1407"/>
        </w:numPr>
        <w:pStyle w:val="Compact"/>
      </w:pPr>
      <w:r>
        <w:t xml:space="preserve">1998 · Gruzman AV ·</w:t>
      </w:r>
      <w:r>
        <w:t xml:space="preserve"> </w:t>
      </w:r>
      <w:r>
        <w:rPr>
          <w:iCs/>
          <w:i/>
        </w:rPr>
        <w:t xml:space="preserve">Zh Nevrol Psikhiatr Im S S Korsakova</w:t>
      </w:r>
      <w:r>
        <w:t xml:space="preserve"> </w:t>
      </w:r>
      <w:r>
        <w:t xml:space="preserve">· [The effect of cerebrolysin intravenous injections in resistant forms of night enuresis in children]. PMID 9845942</w:t>
      </w:r>
    </w:p>
    <w:p>
      <w:pPr>
        <w:numPr>
          <w:ilvl w:val="0"/>
          <w:numId w:val="1407"/>
        </w:numPr>
        <w:pStyle w:val="Compact"/>
      </w:pPr>
      <w:r>
        <w:t xml:space="preserve">1998 · Funke M ·</w:t>
      </w:r>
      <w:r>
        <w:t xml:space="preserve"> </w:t>
      </w:r>
      <w:r>
        <w:rPr>
          <w:iCs/>
          <w:i/>
        </w:rPr>
        <w:t xml:space="preserve">J Neural Transm Suppl</w:t>
      </w:r>
      <w:r>
        <w:t xml:space="preserve"> </w:t>
      </w:r>
      <w:r>
        <w:t xml:space="preserve">· Dose-dependent effects of Cerebrolysin on EEG and short-term memory of healthy volunteers during control and hyperventilation induced cerebral ischemia. PMID 9700674</w:t>
      </w:r>
    </w:p>
    <w:p>
      <w:pPr>
        <w:numPr>
          <w:ilvl w:val="0"/>
          <w:numId w:val="1407"/>
        </w:numPr>
        <w:pStyle w:val="Compact"/>
      </w:pPr>
      <w:r>
        <w:t xml:space="preserve">1997 · Biesenbach G ·</w:t>
      </w:r>
      <w:r>
        <w:t xml:space="preserve"> </w:t>
      </w:r>
      <w:r>
        <w:rPr>
          <w:iCs/>
          <w:i/>
        </w:rPr>
        <w:t xml:space="preserve">Wien Med Wochenschr</w:t>
      </w:r>
      <w:r>
        <w:t xml:space="preserve"> </w:t>
      </w:r>
      <w:r>
        <w:t xml:space="preserve">· [Cerebrolysin in treatment of painful diabetic neuropathy]. PMID 9173675</w:t>
      </w:r>
    </w:p>
    <w:p>
      <w:pPr>
        <w:numPr>
          <w:ilvl w:val="0"/>
          <w:numId w:val="1407"/>
        </w:numPr>
        <w:pStyle w:val="Compact"/>
      </w:pPr>
      <w:r>
        <w:t xml:space="preserve">1995 · Sidorenko EI ·</w:t>
      </w:r>
      <w:r>
        <w:t xml:space="preserve"> </w:t>
      </w:r>
      <w:r>
        <w:rPr>
          <w:iCs/>
          <w:i/>
        </w:rPr>
        <w:t xml:space="preserve">Zh Nevrol Psikhiatr Im S S Korsakova</w:t>
      </w:r>
      <w:r>
        <w:t xml:space="preserve"> </w:t>
      </w:r>
      <w:r>
        <w:t xml:space="preserve">· [Cerebrolysin in the treatment of partial optic atrophy in children]. PMID 7571926</w:t>
      </w:r>
    </w:p>
    <w:p>
      <w:pPr>
        <w:numPr>
          <w:ilvl w:val="0"/>
          <w:numId w:val="1407"/>
        </w:numPr>
        <w:pStyle w:val="Compact"/>
      </w:pPr>
      <w:r>
        <w:t xml:space="preserve">1994 · Rüther E ·</w:t>
      </w:r>
      <w:r>
        <w:t xml:space="preserve"> </w:t>
      </w:r>
      <w:r>
        <w:rPr>
          <w:iCs/>
          <w:i/>
        </w:rPr>
        <w:t xml:space="preserve">Pharmacopsychiatry</w:t>
      </w:r>
      <w:r>
        <w:t xml:space="preserve"> </w:t>
      </w:r>
      <w:r>
        <w:t xml:space="preserve">· Efficacy of the peptidergic nootropic drug cerebrolysin in patients with senile dementia of the Alzheimer type (SDAT). PMID 8159781</w:t>
      </w:r>
    </w:p>
    <w:p>
      <w:pPr>
        <w:numPr>
          <w:ilvl w:val="0"/>
          <w:numId w:val="1407"/>
        </w:numPr>
        <w:pStyle w:val="Compact"/>
      </w:pPr>
      <w:r>
        <w:t xml:space="preserve">1991 · Vereshchagin NV ·</w:t>
      </w:r>
      <w:r>
        <w:t xml:space="preserve"> </w:t>
      </w:r>
      <w:r>
        <w:rPr>
          <w:iCs/>
          <w:i/>
        </w:rPr>
        <w:t xml:space="preserve">Sov Med</w:t>
      </w:r>
      <w:r>
        <w:t xml:space="preserve"> </w:t>
      </w:r>
      <w:r>
        <w:t xml:space="preserve">· [Mild forms of multi-infarct dementia: effectiveness of cerebrolysin]. PMID 1767322</w:t>
      </w:r>
    </w:p>
    <w:p>
      <w:pPr>
        <w:numPr>
          <w:ilvl w:val="0"/>
          <w:numId w:val="1407"/>
        </w:numPr>
        <w:pStyle w:val="Compact"/>
      </w:pPr>
      <w:r>
        <w:t xml:space="preserve">1990 · Kofler B ·</w:t>
      </w:r>
      <w:r>
        <w:t xml:space="preserve"> </w:t>
      </w:r>
      <w:r>
        <w:rPr>
          <w:iCs/>
          <w:i/>
        </w:rPr>
        <w:t xml:space="preserve">EEG EMG Z Elektroenzephalogr Elektromyogr Verwandte Geb</w:t>
      </w:r>
      <w:r>
        <w:t xml:space="preserve"> </w:t>
      </w:r>
      <w:r>
        <w:t xml:space="preserve">· [The usefulness of event-related negativity in demonstrating the therapeutic effects of nootropic drugs using cerebrolysin as an example]. PMID 2123433</w:t>
      </w:r>
    </w:p>
    <w:bookmarkEnd w:id="1152"/>
    <w:bookmarkStart w:id="1153" w:name="dihexa-0"/>
    <w:p>
      <w:pPr>
        <w:pStyle w:val="Heading2"/>
      </w:pPr>
      <w:r>
        <w:t xml:space="preserve">Dihexa (0)</w:t>
      </w:r>
    </w:p>
    <w:p>
      <w:pPr>
        <w:pStyle w:val="FirstParagraph"/>
      </w:pPr>
      <w:r>
        <w:t xml:space="preserve">Geen publicaties van klinische studies bij mensen gevonden.</w:t>
      </w:r>
    </w:p>
    <w:bookmarkEnd w:id="1153"/>
    <w:bookmarkStart w:id="1154" w:name="dsip-delta-slaapinducerend-peptide-18"/>
    <w:p>
      <w:pPr>
        <w:pStyle w:val="Heading2"/>
      </w:pPr>
      <w:r>
        <w:t xml:space="preserve">DSIP (delta-slaapinducerend peptide) (18)</w:t>
      </w:r>
    </w:p>
    <w:p>
      <w:pPr>
        <w:numPr>
          <w:ilvl w:val="0"/>
          <w:numId w:val="1408"/>
        </w:numPr>
        <w:pStyle w:val="Compact"/>
      </w:pPr>
      <w:r>
        <w:t xml:space="preserve">2016 · Zhao L ·</w:t>
      </w:r>
      <w:r>
        <w:t xml:space="preserve"> </w:t>
      </w:r>
      <w:r>
        <w:rPr>
          <w:iCs/>
          <w:i/>
        </w:rPr>
        <w:t xml:space="preserve">Eur Spine J</w:t>
      </w:r>
      <w:r>
        <w:t xml:space="preserve"> </w:t>
      </w:r>
      <w:r>
        <w:t xml:space="preserve">· An RCT study on the feasibility of anterior transpedicular screw fixation in the cervicothoracic junction. PMID 26931331</w:t>
      </w:r>
    </w:p>
    <w:p>
      <w:pPr>
        <w:numPr>
          <w:ilvl w:val="0"/>
          <w:numId w:val="1408"/>
        </w:numPr>
        <w:pStyle w:val="Compact"/>
      </w:pPr>
      <w:r>
        <w:t xml:space="preserve">2014 · Kresiun NV ·</w:t>
      </w:r>
      <w:r>
        <w:t xml:space="preserve"> </w:t>
      </w:r>
      <w:r>
        <w:rPr>
          <w:iCs/>
          <w:i/>
        </w:rPr>
        <w:t xml:space="preserve">Eksp Klin Farmakol</w:t>
      </w:r>
      <w:r>
        <w:t xml:space="preserve"> </w:t>
      </w:r>
      <w:r>
        <w:t xml:space="preserve">· [Using deltalicin for the treatment of patients with diabetic retinopathy]. PMID 25739189</w:t>
      </w:r>
    </w:p>
    <w:p>
      <w:pPr>
        <w:numPr>
          <w:ilvl w:val="0"/>
          <w:numId w:val="1408"/>
        </w:numPr>
        <w:pStyle w:val="Compact"/>
      </w:pPr>
      <w:r>
        <w:t xml:space="preserve">2009 · Pomfrett CJ ·</w:t>
      </w:r>
      <w:r>
        <w:t xml:space="preserve"> </w:t>
      </w:r>
      <w:r>
        <w:rPr>
          <w:iCs/>
          <w:i/>
        </w:rPr>
        <w:t xml:space="preserve">Eur J Anaesthesiol</w:t>
      </w:r>
      <w:r>
        <w:t xml:space="preserve"> </w:t>
      </w:r>
      <w:r>
        <w:t xml:space="preserve">· Delta sleep-inducing peptide alters bispectral index, the electroencephalogram and heart rate variability when used as an adjunct to isoflurane anaesthesia. PMID 19142086</w:t>
      </w:r>
    </w:p>
    <w:p>
      <w:pPr>
        <w:numPr>
          <w:ilvl w:val="0"/>
          <w:numId w:val="1408"/>
        </w:numPr>
        <w:pStyle w:val="Compact"/>
      </w:pPr>
      <w:r>
        <w:t xml:space="preserve">1998 · Backmund M ·</w:t>
      </w:r>
      <w:r>
        <w:t xml:space="preserve"> </w:t>
      </w:r>
      <w:r>
        <w:rPr>
          <w:iCs/>
          <w:i/>
        </w:rPr>
        <w:t xml:space="preserve">J Clin Psychopharmacol</w:t>
      </w:r>
      <w:r>
        <w:t xml:space="preserve"> </w:t>
      </w:r>
      <w:r>
        <w:t xml:space="preserve">· Opioid detoxification with delta sleep-inducing peptide: results of an open clinical trial. PMID 9617990</w:t>
      </w:r>
    </w:p>
    <w:p>
      <w:pPr>
        <w:numPr>
          <w:ilvl w:val="0"/>
          <w:numId w:val="1408"/>
        </w:numPr>
        <w:pStyle w:val="Compact"/>
      </w:pPr>
      <w:r>
        <w:t xml:space="preserve">1995 · Späth-Schwalbe E ·</w:t>
      </w:r>
      <w:r>
        <w:t xml:space="preserve"> </w:t>
      </w:r>
      <w:r>
        <w:rPr>
          <w:iCs/>
          <w:i/>
        </w:rPr>
        <w:t xml:space="preserve">Psychoneuroendocrinology</w:t>
      </w:r>
      <w:r>
        <w:t xml:space="preserve"> </w:t>
      </w:r>
      <w:r>
        <w:t xml:space="preserve">· Delta-sleep-inducing peptide does not affect CRH and meal-induced ACTH and cortisol secretion. PMID 7777652</w:t>
      </w:r>
    </w:p>
    <w:p>
      <w:pPr>
        <w:numPr>
          <w:ilvl w:val="0"/>
          <w:numId w:val="1408"/>
        </w:numPr>
        <w:pStyle w:val="Compact"/>
      </w:pPr>
      <w:r>
        <w:t xml:space="preserve">1994 · Schulz P ·</w:t>
      </w:r>
      <w:r>
        <w:t xml:space="preserve"> </w:t>
      </w:r>
      <w:r>
        <w:rPr>
          <w:iCs/>
          <w:i/>
        </w:rPr>
        <w:t xml:space="preserve">Chronobiol Int</w:t>
      </w:r>
      <w:r>
        <w:t xml:space="preserve"> </w:t>
      </w:r>
      <w:r>
        <w:t xml:space="preserve">· Plasma concentration of nine hormones and neurotransmitters during usual activities or constant bed rest for 34 H. PMID 7895296</w:t>
      </w:r>
    </w:p>
    <w:p>
      <w:pPr>
        <w:numPr>
          <w:ilvl w:val="0"/>
          <w:numId w:val="1408"/>
        </w:numPr>
        <w:pStyle w:val="Compact"/>
      </w:pPr>
      <w:r>
        <w:t xml:space="preserve">1994 · Chiodera P ·</w:t>
      </w:r>
      <w:r>
        <w:t xml:space="preserve"> </w:t>
      </w:r>
      <w:r>
        <w:rPr>
          <w:iCs/>
          <w:i/>
        </w:rPr>
        <w:t xml:space="preserve">Horm Res</w:t>
      </w:r>
      <w:r>
        <w:t xml:space="preserve"> </w:t>
      </w:r>
      <w:r>
        <w:t xml:space="preserve">· Different effects of delta-sleep-inducing peptide on arginine-vasopressin and ACTH secretion in normal men. PMID 7698722</w:t>
      </w:r>
    </w:p>
    <w:p>
      <w:pPr>
        <w:numPr>
          <w:ilvl w:val="0"/>
          <w:numId w:val="1408"/>
        </w:numPr>
        <w:pStyle w:val="Compact"/>
      </w:pPr>
      <w:r>
        <w:t xml:space="preserve">1993 · Giusti M ·</w:t>
      </w:r>
      <w:r>
        <w:t xml:space="preserve"> </w:t>
      </w:r>
      <w:r>
        <w:rPr>
          <w:iCs/>
          <w:i/>
        </w:rPr>
        <w:t xml:space="preserve">Psychoneuroendocrinology</w:t>
      </w:r>
      <w:r>
        <w:t xml:space="preserve"> </w:t>
      </w:r>
      <w:r>
        <w:t xml:space="preserve">· Delta sleep-inducing peptide administration does not influence growth hormone and prolactin secretion in normal women. PMID 8475226</w:t>
      </w:r>
    </w:p>
    <w:p>
      <w:pPr>
        <w:numPr>
          <w:ilvl w:val="0"/>
          <w:numId w:val="1408"/>
        </w:numPr>
        <w:pStyle w:val="Compact"/>
      </w:pPr>
      <w:r>
        <w:t xml:space="preserve">1992 · Bes F ·</w:t>
      </w:r>
      <w:r>
        <w:t xml:space="preserve"> </w:t>
      </w:r>
      <w:r>
        <w:rPr>
          <w:iCs/>
          <w:i/>
        </w:rPr>
        <w:t xml:space="preserve">Neuropsychobiology</w:t>
      </w:r>
      <w:r>
        <w:t xml:space="preserve"> </w:t>
      </w:r>
      <w:r>
        <w:t xml:space="preserve">· Effects of delta sleep-inducing peptide on sleep of chronic insomniac patients. A double-blind study. PMID 1299794</w:t>
      </w:r>
    </w:p>
    <w:p>
      <w:pPr>
        <w:numPr>
          <w:ilvl w:val="0"/>
          <w:numId w:val="1408"/>
        </w:numPr>
        <w:pStyle w:val="Compact"/>
      </w:pPr>
      <w:r>
        <w:t xml:space="preserve">1989 · Bjartell A ·</w:t>
      </w:r>
      <w:r>
        <w:t xml:space="preserve"> </w:t>
      </w:r>
      <w:r>
        <w:rPr>
          <w:iCs/>
          <w:i/>
        </w:rPr>
        <w:t xml:space="preserve">Psychoneuroendocrinology</w:t>
      </w:r>
      <w:r>
        <w:t xml:space="preserve"> </w:t>
      </w:r>
      <w:r>
        <w:t xml:space="preserve">· Reduction of immunoreactive ACTH in plasma following intravenous injection of delta sleep-inducing peptide in man. PMID 2554357</w:t>
      </w:r>
    </w:p>
    <w:p>
      <w:pPr>
        <w:numPr>
          <w:ilvl w:val="0"/>
          <w:numId w:val="1408"/>
        </w:numPr>
        <w:pStyle w:val="Compact"/>
      </w:pPr>
      <w:r>
        <w:t xml:space="preserve">1987 · Schneider-Helmert D ·</w:t>
      </w:r>
      <w:r>
        <w:t xml:space="preserve"> </w:t>
      </w:r>
      <w:r>
        <w:rPr>
          <w:iCs/>
          <w:i/>
        </w:rPr>
        <w:t xml:space="preserve">Eur Neurol</w:t>
      </w:r>
      <w:r>
        <w:t xml:space="preserve"> </w:t>
      </w:r>
      <w:r>
        <w:t xml:space="preserve">· Effects of delta-sleep-inducing peptide on 24-hour sleep-wake behaviour in severe chronic insomnia. PMID 3622582</w:t>
      </w:r>
    </w:p>
    <w:p>
      <w:pPr>
        <w:numPr>
          <w:ilvl w:val="0"/>
          <w:numId w:val="1408"/>
        </w:numPr>
        <w:pStyle w:val="Compact"/>
      </w:pPr>
      <w:r>
        <w:t xml:space="preserve">1987 · Monti JM ·</w:t>
      </w:r>
      <w:r>
        <w:t xml:space="preserve"> </w:t>
      </w:r>
      <w:r>
        <w:rPr>
          <w:iCs/>
          <w:i/>
        </w:rPr>
        <w:t xml:space="preserve">Int J Clin Pharmacol Res</w:t>
      </w:r>
      <w:r>
        <w:t xml:space="preserve"> </w:t>
      </w:r>
      <w:r>
        <w:t xml:space="preserve">· Study of delta sleep-inducing peptide efficacy in improving sleep on short-term administration to chronic insomniacs. PMID 3583493</w:t>
      </w:r>
    </w:p>
    <w:p>
      <w:pPr>
        <w:numPr>
          <w:ilvl w:val="0"/>
          <w:numId w:val="1408"/>
        </w:numPr>
        <w:pStyle w:val="Compact"/>
      </w:pPr>
      <w:r>
        <w:t xml:space="preserve">1984 · Kaeser HE ·</w:t>
      </w:r>
      <w:r>
        <w:t xml:space="preserve"> </w:t>
      </w:r>
      <w:r>
        <w:rPr>
          <w:iCs/>
          <w:i/>
        </w:rPr>
        <w:t xml:space="preserve">Eur Neurol</w:t>
      </w:r>
      <w:r>
        <w:t xml:space="preserve"> </w:t>
      </w:r>
      <w:r>
        <w:t xml:space="preserve">· A clinical trial with DSIP. PMID 6391926</w:t>
      </w:r>
    </w:p>
    <w:p>
      <w:pPr>
        <w:numPr>
          <w:ilvl w:val="0"/>
          <w:numId w:val="1408"/>
        </w:numPr>
        <w:pStyle w:val="Compact"/>
      </w:pPr>
      <w:r>
        <w:t xml:space="preserve">1984 · Schneider-Helmert D ·</w:t>
      </w:r>
      <w:r>
        <w:t xml:space="preserve"> </w:t>
      </w:r>
      <w:r>
        <w:rPr>
          <w:iCs/>
          <w:i/>
        </w:rPr>
        <w:t xml:space="preserve">Eur Neurol</w:t>
      </w:r>
      <w:r>
        <w:t xml:space="preserve"> </w:t>
      </w:r>
      <w:r>
        <w:t xml:space="preserve">· DSIP in insomnia. PMID 6391925</w:t>
      </w:r>
    </w:p>
    <w:p>
      <w:pPr>
        <w:numPr>
          <w:ilvl w:val="0"/>
          <w:numId w:val="1408"/>
        </w:numPr>
        <w:pStyle w:val="Compact"/>
      </w:pPr>
      <w:r>
        <w:t xml:space="preserve">1983 · Schneider-Helmert D ·</w:t>
      </w:r>
      <w:r>
        <w:t xml:space="preserve"> </w:t>
      </w:r>
      <w:r>
        <w:rPr>
          <w:iCs/>
          <w:i/>
        </w:rPr>
        <w:t xml:space="preserve">Neuropsychobiology</w:t>
      </w:r>
      <w:r>
        <w:t xml:space="preserve"> </w:t>
      </w:r>
      <w:r>
        <w:t xml:space="preserve">· Effects of DSIP in man. Multifunctional psychophysiological properties besides induction of natural sleep. PMID 6689058</w:t>
      </w:r>
    </w:p>
    <w:p>
      <w:pPr>
        <w:numPr>
          <w:ilvl w:val="0"/>
          <w:numId w:val="1408"/>
        </w:numPr>
        <w:pStyle w:val="Compact"/>
      </w:pPr>
      <w:r>
        <w:t xml:space="preserve">1981 · Schneider-Helmert D ·</w:t>
      </w:r>
      <w:r>
        <w:t xml:space="preserve"> </w:t>
      </w:r>
      <w:r>
        <w:rPr>
          <w:iCs/>
          <w:i/>
        </w:rPr>
        <w:t xml:space="preserve">Experientia</w:t>
      </w:r>
      <w:r>
        <w:t xml:space="preserve"> </w:t>
      </w:r>
      <w:r>
        <w:t xml:space="preserve">· The influence of synthetic DSIP (delta-sleep-inducing-peptide) on disturbed human sleep. PMID 7028502</w:t>
      </w:r>
    </w:p>
    <w:p>
      <w:pPr>
        <w:numPr>
          <w:ilvl w:val="0"/>
          <w:numId w:val="1408"/>
        </w:numPr>
        <w:pStyle w:val="Compact"/>
      </w:pPr>
      <w:r>
        <w:t xml:space="preserve">1981 · Schneider-Helmert D ·</w:t>
      </w:r>
      <w:r>
        <w:t xml:space="preserve"> </w:t>
      </w:r>
      <w:r>
        <w:rPr>
          <w:iCs/>
          <w:i/>
        </w:rPr>
        <w:t xml:space="preserve">Int J Clin Pharmacol Ther Toxicol</w:t>
      </w:r>
      <w:r>
        <w:t xml:space="preserve"> </w:t>
      </w:r>
      <w:r>
        <w:t xml:space="preserve">· Acute and delayed effects of DSIP (delta sleep-inducing peptide) on human sleep behavior. PMID 6895513</w:t>
      </w:r>
    </w:p>
    <w:p>
      <w:pPr>
        <w:numPr>
          <w:ilvl w:val="0"/>
          <w:numId w:val="1408"/>
        </w:numPr>
        <w:pStyle w:val="Compact"/>
      </w:pPr>
      <w:r>
        <w:t xml:space="preserve">1981 · Schneider-Helmert D ·</w:t>
      </w:r>
      <w:r>
        <w:t xml:space="preserve"> </w:t>
      </w:r>
      <w:r>
        <w:rPr>
          <w:iCs/>
          <w:i/>
        </w:rPr>
        <w:t xml:space="preserve">Lancet</w:t>
      </w:r>
      <w:r>
        <w:t xml:space="preserve"> </w:t>
      </w:r>
      <w:r>
        <w:t xml:space="preserve">· Synthetic delta-sleep-inducing peptide improves sleep in insomniacs. PMID 6112579</w:t>
      </w:r>
    </w:p>
    <w:bookmarkEnd w:id="1154"/>
    <w:bookmarkStart w:id="1155" w:name="epitalon-epithalon-1"/>
    <w:p>
      <w:pPr>
        <w:pStyle w:val="Heading2"/>
      </w:pPr>
      <w:r>
        <w:t xml:space="preserve">Epitalon (epithalon) (1)</w:t>
      </w:r>
    </w:p>
    <w:p>
      <w:pPr>
        <w:numPr>
          <w:ilvl w:val="0"/>
          <w:numId w:val="1409"/>
        </w:numPr>
        <w:pStyle w:val="Compact"/>
      </w:pPr>
      <w:r>
        <w:t xml:space="preserve">2002 · Khavinson V ·</w:t>
      </w:r>
      <w:r>
        <w:t xml:space="preserve"> </w:t>
      </w:r>
      <w:r>
        <w:rPr>
          <w:iCs/>
          <w:i/>
        </w:rPr>
        <w:t xml:space="preserve">Neuro Endocrinol Lett</w:t>
      </w:r>
      <w:r>
        <w:t xml:space="preserve"> </w:t>
      </w:r>
      <w:r>
        <w:t xml:space="preserve">· Pineal-regulating tetrapeptide epitalon improves eye retina condition in retinitis pigmentosa. PMID 12195242</w:t>
      </w:r>
    </w:p>
    <w:bookmarkEnd w:id="1155"/>
    <w:bookmarkStart w:id="1156" w:name="pinealon-1"/>
    <w:p>
      <w:pPr>
        <w:pStyle w:val="Heading2"/>
      </w:pPr>
      <w:r>
        <w:t xml:space="preserve">Pinealon (1)</w:t>
      </w:r>
    </w:p>
    <w:p>
      <w:pPr>
        <w:numPr>
          <w:ilvl w:val="0"/>
          <w:numId w:val="1410"/>
        </w:numPr>
        <w:pStyle w:val="Compact"/>
      </w:pPr>
      <w:r>
        <w:t xml:space="preserve">2012 · Bashkireva AS ·</w:t>
      </w:r>
      <w:r>
        <w:t xml:space="preserve"> </w:t>
      </w:r>
      <w:r>
        <w:rPr>
          <w:iCs/>
          <w:i/>
        </w:rPr>
        <w:t xml:space="preserve">Adv Gerontol</w:t>
      </w:r>
      <w:r>
        <w:t xml:space="preserve"> </w:t>
      </w:r>
      <w:r>
        <w:t xml:space="preserve">· [The peptide correction of neurotic disorders among professional truck-drivers]. PMID 23734521</w:t>
      </w:r>
    </w:p>
    <w:bookmarkEnd w:id="1156"/>
    <w:bookmarkStart w:id="1157" w:name="mots-c-5"/>
    <w:p>
      <w:pPr>
        <w:pStyle w:val="Heading2"/>
      </w:pPr>
      <w:r>
        <w:t xml:space="preserve">MOTS-c (5)</w:t>
      </w:r>
    </w:p>
    <w:p>
      <w:pPr>
        <w:numPr>
          <w:ilvl w:val="0"/>
          <w:numId w:val="1411"/>
        </w:numPr>
        <w:pStyle w:val="Compact"/>
      </w:pPr>
      <w:r>
        <w:t xml:space="preserve">2025 · Elhusseiny R ·</w:t>
      </w:r>
      <w:r>
        <w:t xml:space="preserve"> </w:t>
      </w:r>
      <w:r>
        <w:rPr>
          <w:iCs/>
          <w:i/>
        </w:rPr>
        <w:t xml:space="preserve">Med Sci Sports Exerc</w:t>
      </w:r>
      <w:r>
        <w:t xml:space="preserve"> </w:t>
      </w:r>
      <w:r>
        <w:t xml:space="preserve">· Repeated Heat Stress Modulates the Levels of the Mitokines MOTS-C and FGF21 in Active Men during Calf Muscle Immobilization. PMID 40674654</w:t>
      </w:r>
    </w:p>
    <w:p>
      <w:pPr>
        <w:numPr>
          <w:ilvl w:val="0"/>
          <w:numId w:val="1411"/>
        </w:numPr>
        <w:pStyle w:val="Compact"/>
      </w:pPr>
      <w:r>
        <w:t xml:space="preserve">2022 · Cuyàs E ·</w:t>
      </w:r>
      <w:r>
        <w:t xml:space="preserve"> </w:t>
      </w:r>
      <w:r>
        <w:rPr>
          <w:iCs/>
          <w:i/>
        </w:rPr>
        <w:t xml:space="preserve">Aging (Albany NY)</w:t>
      </w:r>
      <w:r>
        <w:t xml:space="preserve"> </w:t>
      </w:r>
      <w:r>
        <w:t xml:space="preserve">· Circulating levels of MOTS-c in patients with breast cancer treated with metformin. PMID 36490309</w:t>
      </w:r>
    </w:p>
    <w:p>
      <w:pPr>
        <w:numPr>
          <w:ilvl w:val="0"/>
          <w:numId w:val="1411"/>
        </w:numPr>
        <w:pStyle w:val="Compact"/>
      </w:pPr>
      <w:r>
        <w:t xml:space="preserve">2021 · Dieli-Conwright CM ·</w:t>
      </w:r>
      <w:r>
        <w:t xml:space="preserve"> </w:t>
      </w:r>
      <w:r>
        <w:rPr>
          <w:iCs/>
          <w:i/>
        </w:rPr>
        <w:t xml:space="preserve">Sci Rep</w:t>
      </w:r>
      <w:r>
        <w:t xml:space="preserve"> </w:t>
      </w:r>
      <w:r>
        <w:t xml:space="preserve">· Effect of aerobic and resistance exercise on the mitochondrial peptide MOTS-c in Hispanic and Non-Hispanic White breast cancer survivors. PMID 34413391</w:t>
      </w:r>
    </w:p>
    <w:p>
      <w:pPr>
        <w:numPr>
          <w:ilvl w:val="0"/>
          <w:numId w:val="1411"/>
        </w:numPr>
        <w:pStyle w:val="Compact"/>
      </w:pPr>
      <w:r>
        <w:t xml:space="preserve">2021 · von Walden F ·</w:t>
      </w:r>
      <w:r>
        <w:t xml:space="preserve"> </w:t>
      </w:r>
      <w:r>
        <w:rPr>
          <w:iCs/>
          <w:i/>
        </w:rPr>
        <w:t xml:space="preserve">J Appl Physiol (1985)</w:t>
      </w:r>
      <w:r>
        <w:t xml:space="preserve"> </w:t>
      </w:r>
      <w:r>
        <w:t xml:space="preserve">· Acute endurance exercise stimulates circulating levels of mitochondrial-derived peptides in humans. PMID 34351816</w:t>
      </w:r>
    </w:p>
    <w:p>
      <w:pPr>
        <w:numPr>
          <w:ilvl w:val="0"/>
          <w:numId w:val="1411"/>
        </w:numPr>
        <w:pStyle w:val="Compact"/>
      </w:pPr>
      <w:r>
        <w:t xml:space="preserve">2020 · Ikonomidis I ·</w:t>
      </w:r>
      <w:r>
        <w:t xml:space="preserve"> </w:t>
      </w:r>
      <w:r>
        <w:rPr>
          <w:iCs/>
          <w:i/>
        </w:rPr>
        <w:t xml:space="preserve">J Thromb Thrombolysis</w:t>
      </w:r>
      <w:r>
        <w:t xml:space="preserve"> </w:t>
      </w:r>
      <w:r>
        <w:t xml:space="preserve">· β-Amyloid and mitochondrial-derived peptide-c are additive predictors of adverse outcome to high-on-treatment platelet reactivity in type 2 diabetics with revascularized coronary artery disease. PMID 32052315</w:t>
      </w:r>
    </w:p>
    <w:bookmarkEnd w:id="1157"/>
    <w:bookmarkStart w:id="1158" w:name="humanine-8"/>
    <w:p>
      <w:pPr>
        <w:pStyle w:val="Heading2"/>
      </w:pPr>
      <w:r>
        <w:t xml:space="preserve">Humanine (8)</w:t>
      </w:r>
    </w:p>
    <w:p>
      <w:pPr>
        <w:numPr>
          <w:ilvl w:val="0"/>
          <w:numId w:val="1412"/>
        </w:numPr>
        <w:pStyle w:val="Compact"/>
      </w:pPr>
      <w:r>
        <w:t xml:space="preserve">2026 · Hosseini MH ·</w:t>
      </w:r>
      <w:r>
        <w:t xml:space="preserve"> </w:t>
      </w:r>
      <w:r>
        <w:rPr>
          <w:iCs/>
          <w:i/>
        </w:rPr>
        <w:t xml:space="preserve">BMC Geriatr</w:t>
      </w:r>
      <w:r>
        <w:t xml:space="preserve"> </w:t>
      </w:r>
      <w:r>
        <w:t xml:space="preserve">· Preserving brain health in aging: structural and biochemical benefits of water based resistance training, a randomized controlled trial. PMID 41975304</w:t>
      </w:r>
    </w:p>
    <w:p>
      <w:pPr>
        <w:numPr>
          <w:ilvl w:val="0"/>
          <w:numId w:val="1412"/>
        </w:numPr>
        <w:pStyle w:val="Compact"/>
      </w:pPr>
      <w:r>
        <w:t xml:space="preserve">2025 · Basereh A ·</w:t>
      </w:r>
      <w:r>
        <w:t xml:space="preserve"> </w:t>
      </w:r>
      <w:r>
        <w:rPr>
          <w:iCs/>
          <w:i/>
        </w:rPr>
        <w:t xml:space="preserve">Sci Rep</w:t>
      </w:r>
      <w:r>
        <w:t xml:space="preserve"> </w:t>
      </w:r>
      <w:r>
        <w:t xml:space="preserve">· Redox-sensitive miRNAs and Humanin could mediate effects of exercise and astaxanthin on oxidative stress and inflammation in type 2 diabetes. PMID 41249265</w:t>
      </w:r>
    </w:p>
    <w:p>
      <w:pPr>
        <w:numPr>
          <w:ilvl w:val="0"/>
          <w:numId w:val="1412"/>
        </w:numPr>
        <w:pStyle w:val="Compact"/>
      </w:pPr>
      <w:r>
        <w:t xml:space="preserve">2023 · Delgado-Peraza F ·</w:t>
      </w:r>
      <w:r>
        <w:t xml:space="preserve"> </w:t>
      </w:r>
      <w:r>
        <w:rPr>
          <w:iCs/>
          <w:i/>
        </w:rPr>
        <w:t xml:space="preserve">Alzheimers Res Ther</w:t>
      </w:r>
      <w:r>
        <w:t xml:space="preserve"> </w:t>
      </w:r>
      <w:r>
        <w:t xml:space="preserve">· Neuron-derived extracellular vesicles in blood reveal effects of exercise in Alzheimer’s disease. PMID 37730689</w:t>
      </w:r>
    </w:p>
    <w:p>
      <w:pPr>
        <w:numPr>
          <w:ilvl w:val="0"/>
          <w:numId w:val="1412"/>
        </w:numPr>
        <w:pStyle w:val="Compact"/>
      </w:pPr>
      <w:r>
        <w:t xml:space="preserve">2021 · von Walden F ·</w:t>
      </w:r>
      <w:r>
        <w:t xml:space="preserve"> </w:t>
      </w:r>
      <w:r>
        <w:rPr>
          <w:iCs/>
          <w:i/>
        </w:rPr>
        <w:t xml:space="preserve">J Appl Physiol (1985)</w:t>
      </w:r>
      <w:r>
        <w:t xml:space="preserve"> </w:t>
      </w:r>
      <w:r>
        <w:t xml:space="preserve">· Acute endurance exercise stimulates circulating levels of mitochondrial-derived peptides in humans. PMID 34351816</w:t>
      </w:r>
    </w:p>
    <w:p>
      <w:pPr>
        <w:numPr>
          <w:ilvl w:val="0"/>
          <w:numId w:val="1412"/>
        </w:numPr>
        <w:pStyle w:val="Compact"/>
      </w:pPr>
      <w:r>
        <w:t xml:space="preserve">2019 · Xu Y ·</w:t>
      </w:r>
      <w:r>
        <w:t xml:space="preserve"> </w:t>
      </w:r>
      <w:r>
        <w:rPr>
          <w:iCs/>
          <w:i/>
        </w:rPr>
        <w:t xml:space="preserve">Cell Transplant</w:t>
      </w:r>
      <w:r>
        <w:t xml:space="preserve"> </w:t>
      </w:r>
      <w:r>
        <w:t xml:space="preserve">· Protective Effect of Hyperbaric Oxygen Therapy on Cognitive Function in Patients with Vascular Dementia. PMID 31134827</w:t>
      </w:r>
    </w:p>
    <w:p>
      <w:pPr>
        <w:numPr>
          <w:ilvl w:val="0"/>
          <w:numId w:val="1412"/>
        </w:numPr>
        <w:pStyle w:val="Compact"/>
      </w:pPr>
      <w:r>
        <w:t xml:space="preserve">2019 · Shen Y ·</w:t>
      </w:r>
      <w:r>
        <w:t xml:space="preserve"> </w:t>
      </w:r>
      <w:r>
        <w:rPr>
          <w:iCs/>
          <w:i/>
        </w:rPr>
        <w:t xml:space="preserve">Stroke</w:t>
      </w:r>
      <w:r>
        <w:t xml:space="preserve"> </w:t>
      </w:r>
      <w:r>
        <w:t xml:space="preserve">· Epigenome-Wide Association Study Indicates Hypomethylation of MTRNR2L8 in Large-Artery Atherosclerosis Stroke. PMID 31084332</w:t>
      </w:r>
    </w:p>
    <w:p>
      <w:pPr>
        <w:numPr>
          <w:ilvl w:val="0"/>
          <w:numId w:val="1412"/>
        </w:numPr>
        <w:pStyle w:val="Compact"/>
      </w:pPr>
      <w:r>
        <w:t xml:space="preserve">2017 · Nashine S ·</w:t>
      </w:r>
      <w:r>
        <w:t xml:space="preserve"> </w:t>
      </w:r>
      <w:r>
        <w:rPr>
          <w:iCs/>
          <w:i/>
        </w:rPr>
        <w:t xml:space="preserve">Cell Death Dis</w:t>
      </w:r>
      <w:r>
        <w:t xml:space="preserve"> </w:t>
      </w:r>
      <w:r>
        <w:t xml:space="preserve">· Humanin G (HNG) protects age-related macular degeneration (AMD) transmitochondrial ARPE-19 cybrids from mitochondrial and cellular damage. PMID 28726777</w:t>
      </w:r>
    </w:p>
    <w:p>
      <w:pPr>
        <w:numPr>
          <w:ilvl w:val="0"/>
          <w:numId w:val="1412"/>
        </w:numPr>
        <w:pStyle w:val="Compact"/>
      </w:pPr>
      <w:r>
        <w:t xml:space="preserve">2016 · Gidlund EK ·</w:t>
      </w:r>
      <w:r>
        <w:t xml:space="preserve"> </w:t>
      </w:r>
      <w:r>
        <w:rPr>
          <w:iCs/>
          <w:i/>
        </w:rPr>
        <w:t xml:space="preserve">Physiol Rep</w:t>
      </w:r>
      <w:r>
        <w:t xml:space="preserve"> </w:t>
      </w:r>
      <w:r>
        <w:t xml:space="preserve">· Humanin skeletal muscle protein levels increase after resistance training in men with impaired glucose metabolism. PMID 27923980</w:t>
      </w:r>
    </w:p>
    <w:bookmarkEnd w:id="1158"/>
    <w:bookmarkStart w:id="1159" w:name="ss-31-elamipretide-19"/>
    <w:p>
      <w:pPr>
        <w:pStyle w:val="Heading2"/>
      </w:pPr>
      <w:r>
        <w:t xml:space="preserve">SS-31 (elamipretide) (19)</w:t>
      </w:r>
    </w:p>
    <w:p>
      <w:pPr>
        <w:numPr>
          <w:ilvl w:val="0"/>
          <w:numId w:val="1413"/>
        </w:numPr>
        <w:pStyle w:val="Compact"/>
      </w:pPr>
      <w:r>
        <w:t xml:space="preserve">2025 · Gwaltney C ·</w:t>
      </w:r>
      <w:r>
        <w:t xml:space="preserve"> </w:t>
      </w:r>
      <w:r>
        <w:rPr>
          <w:iCs/>
          <w:i/>
        </w:rPr>
        <w:t xml:space="preserve">Orphanet J Rare Dis</w:t>
      </w:r>
      <w:r>
        <w:t xml:space="preserve"> </w:t>
      </w:r>
      <w:r>
        <w:t xml:space="preserve">· Initial Psychometric Evaluation of the Barth Syndrome Symptom Assessment (BTHS-SA) for Adolescents and Adults in a Phase 2 Clinical Study. PMID 40281531</w:t>
      </w:r>
    </w:p>
    <w:p>
      <w:pPr>
        <w:numPr>
          <w:ilvl w:val="0"/>
          <w:numId w:val="1413"/>
        </w:numPr>
        <w:pStyle w:val="Compact"/>
      </w:pPr>
      <w:r>
        <w:t xml:space="preserve">2024 · Karaa A ·</w:t>
      </w:r>
      <w:r>
        <w:t xml:space="preserve"> </w:t>
      </w:r>
      <w:r>
        <w:rPr>
          <w:iCs/>
          <w:i/>
        </w:rPr>
        <w:t xml:space="preserve">Orphanet J Rare Dis</w:t>
      </w:r>
      <w:r>
        <w:t xml:space="preserve"> </w:t>
      </w:r>
      <w:r>
        <w:t xml:space="preserve">· Genotype-specific effects of elamipretide in patients with primary mitochondrial myopathy: a post hoc analysis of the MMPOWER-3 trial. PMID 39574155</w:t>
      </w:r>
    </w:p>
    <w:p>
      <w:pPr>
        <w:numPr>
          <w:ilvl w:val="0"/>
          <w:numId w:val="1413"/>
        </w:numPr>
        <w:pStyle w:val="Compact"/>
      </w:pPr>
      <w:r>
        <w:t xml:space="preserve">2024 · Sherrod CF 4th ·</w:t>
      </w:r>
      <w:r>
        <w:t xml:space="preserve"> </w:t>
      </w:r>
      <w:r>
        <w:rPr>
          <w:iCs/>
          <w:i/>
        </w:rPr>
        <w:t xml:space="preserve">J Am Coll Cardiol</w:t>
      </w:r>
      <w:r>
        <w:t xml:space="preserve"> </w:t>
      </w:r>
      <w:r>
        <w:t xml:space="preserve">· Effect of Aficamten on Health Status Outcomes in Obstructive Hypertrophic Cardiomyopathy: Results From SEQUOIA-HCM. PMID 39217569</w:t>
      </w:r>
    </w:p>
    <w:p>
      <w:pPr>
        <w:numPr>
          <w:ilvl w:val="0"/>
          <w:numId w:val="1413"/>
        </w:numPr>
        <w:pStyle w:val="Compact"/>
      </w:pPr>
      <w:r>
        <w:t xml:space="preserve">2024 · Thompson WR ·</w:t>
      </w:r>
      <w:r>
        <w:t xml:space="preserve"> </w:t>
      </w:r>
      <w:r>
        <w:rPr>
          <w:iCs/>
          <w:i/>
        </w:rPr>
        <w:t xml:space="preserve">Genet Med</w:t>
      </w:r>
      <w:r>
        <w:t xml:space="preserve"> </w:t>
      </w:r>
      <w:r>
        <w:t xml:space="preserve">· Long-term efficacy and safety of elamipretide in patients with Barth syndrome: 168-week open-label extension results of TAZPOWER. PMID 38602181</w:t>
      </w:r>
    </w:p>
    <w:p>
      <w:pPr>
        <w:numPr>
          <w:ilvl w:val="0"/>
          <w:numId w:val="1413"/>
        </w:numPr>
        <w:pStyle w:val="Compact"/>
      </w:pPr>
      <w:r>
        <w:t xml:space="preserve">2024 · Karanjia R ·</w:t>
      </w:r>
      <w:r>
        <w:t xml:space="preserve"> </w:t>
      </w:r>
      <w:r>
        <w:rPr>
          <w:iCs/>
          <w:i/>
        </w:rPr>
        <w:t xml:space="preserve">Ophthalmology</w:t>
      </w:r>
      <w:r>
        <w:t xml:space="preserve"> </w:t>
      </w:r>
      <w:r>
        <w:t xml:space="preserve">· Elamipretide Topical Ophthalmic Solution for the Treatment of Subjects with Leber Hereditary Optic Neuropathy: A Randomized Trial. PMID 37923251</w:t>
      </w:r>
    </w:p>
    <w:p>
      <w:pPr>
        <w:numPr>
          <w:ilvl w:val="0"/>
          <w:numId w:val="1413"/>
        </w:numPr>
        <w:pStyle w:val="Compact"/>
      </w:pPr>
      <w:r>
        <w:t xml:space="preserve">2023 · Karaa A ·</w:t>
      </w:r>
      <w:r>
        <w:t xml:space="preserve"> </w:t>
      </w:r>
      <w:r>
        <w:rPr>
          <w:iCs/>
          <w:i/>
        </w:rPr>
        <w:t xml:space="preserve">Neurology</w:t>
      </w:r>
      <w:r>
        <w:t xml:space="preserve"> </w:t>
      </w:r>
      <w:r>
        <w:t xml:space="preserve">· Efficacy and Safety of Elamipretide in Individuals With Primary Mitochondrial Myopathy: The MMPOWER-3 Randomized Clinical Trial. PMID 37268435</w:t>
      </w:r>
    </w:p>
    <w:p>
      <w:pPr>
        <w:numPr>
          <w:ilvl w:val="0"/>
          <w:numId w:val="1413"/>
        </w:numPr>
        <w:pStyle w:val="Compact"/>
      </w:pPr>
      <w:r>
        <w:t xml:space="preserve">2023 · Van den Eynde J ·</w:t>
      </w:r>
      <w:r>
        <w:t xml:space="preserve"> </w:t>
      </w:r>
      <w:r>
        <w:rPr>
          <w:iCs/>
          <w:i/>
        </w:rPr>
        <w:t xml:space="preserve">Orphanet J Rare Dis</w:t>
      </w:r>
      <w:r>
        <w:t xml:space="preserve"> </w:t>
      </w:r>
      <w:r>
        <w:t xml:space="preserve">· Identifying responders to elamipretide in Barth syndrome: Hierarchical clustering for time series data. PMID 37041653</w:t>
      </w:r>
    </w:p>
    <w:p>
      <w:pPr>
        <w:numPr>
          <w:ilvl w:val="0"/>
          <w:numId w:val="1413"/>
        </w:numPr>
        <w:pStyle w:val="Compact"/>
      </w:pPr>
      <w:r>
        <w:t xml:space="preserve">2022 · Hornby B ·</w:t>
      </w:r>
      <w:r>
        <w:t xml:space="preserve"> </w:t>
      </w:r>
      <w:r>
        <w:rPr>
          <w:iCs/>
          <w:i/>
        </w:rPr>
        <w:t xml:space="preserve">Orphanet J Rare Dis</w:t>
      </w:r>
      <w:r>
        <w:t xml:space="preserve"> </w:t>
      </w:r>
      <w:r>
        <w:t xml:space="preserve">· Natural history comparison study to assess the efficacy of elamipretide in patients with Barth syndrome. PMID 36056411</w:t>
      </w:r>
    </w:p>
    <w:p>
      <w:pPr>
        <w:numPr>
          <w:ilvl w:val="0"/>
          <w:numId w:val="1413"/>
        </w:numPr>
        <w:pStyle w:val="Compact"/>
      </w:pPr>
      <w:r>
        <w:t xml:space="preserve">2021 · Roshanravan B ·</w:t>
      </w:r>
      <w:r>
        <w:t xml:space="preserve"> </w:t>
      </w:r>
      <w:r>
        <w:rPr>
          <w:iCs/>
          <w:i/>
        </w:rPr>
        <w:t xml:space="preserve">PLoS One</w:t>
      </w:r>
      <w:r>
        <w:t xml:space="preserve"> </w:t>
      </w:r>
      <w:r>
        <w:t xml:space="preserve">· In vivo mitochondrial ATP production is improved in older adult skeletal muscle after a single dose of elamipretide in a randomized trial. PMID 34264994</w:t>
      </w:r>
    </w:p>
    <w:p>
      <w:pPr>
        <w:numPr>
          <w:ilvl w:val="0"/>
          <w:numId w:val="1413"/>
        </w:numPr>
        <w:pStyle w:val="Compact"/>
      </w:pPr>
      <w:r>
        <w:t xml:space="preserve">2021 · Reid Thompson W ·</w:t>
      </w:r>
      <w:r>
        <w:t xml:space="preserve"> </w:t>
      </w:r>
      <w:r>
        <w:rPr>
          <w:iCs/>
          <w:i/>
        </w:rPr>
        <w:t xml:space="preserve">Genet Med</w:t>
      </w:r>
      <w:r>
        <w:t xml:space="preserve"> </w:t>
      </w:r>
      <w:r>
        <w:t xml:space="preserve">· A phase 2/3 randomized clinical trial followed by an open-label extension to evaluate the effectiveness of elamipretide in Barth syndrome, a genetic disorder of mitochondrial cardiolipin metabolism. PMID 33077895</w:t>
      </w:r>
    </w:p>
    <w:p>
      <w:pPr>
        <w:numPr>
          <w:ilvl w:val="0"/>
          <w:numId w:val="1413"/>
        </w:numPr>
        <w:pStyle w:val="Compact"/>
      </w:pPr>
      <w:r>
        <w:t xml:space="preserve">2020 · Karaa A ·</w:t>
      </w:r>
      <w:r>
        <w:t xml:space="preserve"> </w:t>
      </w:r>
      <w:r>
        <w:rPr>
          <w:iCs/>
          <w:i/>
        </w:rPr>
        <w:t xml:space="preserve">J Cachexia Sarcopenia Muscle</w:t>
      </w:r>
      <w:r>
        <w:t xml:space="preserve"> </w:t>
      </w:r>
      <w:r>
        <w:t xml:space="preserve">· A randomized crossover trial of elamipretide in adults with primary mitochondrial myopathy. PMID 32096613</w:t>
      </w:r>
    </w:p>
    <w:p>
      <w:pPr>
        <w:numPr>
          <w:ilvl w:val="0"/>
          <w:numId w:val="1413"/>
        </w:numPr>
        <w:pStyle w:val="Compact"/>
      </w:pPr>
      <w:r>
        <w:t xml:space="preserve">2020 · Butler J ·</w:t>
      </w:r>
      <w:r>
        <w:t xml:space="preserve"> </w:t>
      </w:r>
      <w:r>
        <w:rPr>
          <w:iCs/>
          <w:i/>
        </w:rPr>
        <w:t xml:space="preserve">J Card Fail</w:t>
      </w:r>
      <w:r>
        <w:t xml:space="preserve"> </w:t>
      </w:r>
      <w:r>
        <w:t xml:space="preserve">· Effects of Elamipretide on Left Ventricular Function in Patients With Heart Failure With Reduced Ejection Fraction: The PROGRESS-HF Phase 2 Trial. PMID 32068002</w:t>
      </w:r>
    </w:p>
    <w:p>
      <w:pPr>
        <w:numPr>
          <w:ilvl w:val="0"/>
          <w:numId w:val="1413"/>
        </w:numPr>
        <w:pStyle w:val="Compact"/>
      </w:pPr>
      <w:r>
        <w:t xml:space="preserve">2019 · Hortmann M ·</w:t>
      </w:r>
      <w:r>
        <w:t xml:space="preserve"> </w:t>
      </w:r>
      <w:r>
        <w:rPr>
          <w:iCs/>
          <w:i/>
        </w:rPr>
        <w:t xml:space="preserve">Eur Heart J Acute Cardiovasc Care</w:t>
      </w:r>
      <w:r>
        <w:t xml:space="preserve"> </w:t>
      </w:r>
      <w:r>
        <w:t xml:space="preserve">· The mitochondria-targeting peptide elamipretide diminishes circulating HtrA2 in ST-segment elevation myocardial infarction. PMID 28534645</w:t>
      </w:r>
    </w:p>
    <w:p>
      <w:pPr>
        <w:numPr>
          <w:ilvl w:val="0"/>
          <w:numId w:val="1413"/>
        </w:numPr>
        <w:pStyle w:val="Compact"/>
      </w:pPr>
      <w:r>
        <w:t xml:space="preserve">2018 · Karaa A ·</w:t>
      </w:r>
      <w:r>
        <w:t xml:space="preserve"> </w:t>
      </w:r>
      <w:r>
        <w:rPr>
          <w:iCs/>
          <w:i/>
        </w:rPr>
        <w:t xml:space="preserve">Neurology</w:t>
      </w:r>
      <w:r>
        <w:t xml:space="preserve"> </w:t>
      </w:r>
      <w:r>
        <w:t xml:space="preserve">· Randomized dose-escalation trial of elamipretide in adults with primary mitochondrial myopathy. PMID 29500292</w:t>
      </w:r>
    </w:p>
    <w:p>
      <w:pPr>
        <w:numPr>
          <w:ilvl w:val="0"/>
          <w:numId w:val="1413"/>
        </w:numPr>
        <w:pStyle w:val="Compact"/>
      </w:pPr>
      <w:r>
        <w:t xml:space="preserve">2017 · Daubert MA ·</w:t>
      </w:r>
      <w:r>
        <w:t xml:space="preserve"> </w:t>
      </w:r>
      <w:r>
        <w:rPr>
          <w:iCs/>
          <w:i/>
        </w:rPr>
        <w:t xml:space="preserve">Circ Heart Fail</w:t>
      </w:r>
      <w:r>
        <w:t xml:space="preserve"> </w:t>
      </w:r>
      <w:r>
        <w:t xml:space="preserve">· Novel Mitochondria-Targeting Peptide in Heart Failure Treatment: A Randomized, Placebo-Controlled Trial of Elamipretide. PMID 29217757</w:t>
      </w:r>
    </w:p>
    <w:p>
      <w:pPr>
        <w:numPr>
          <w:ilvl w:val="0"/>
          <w:numId w:val="1413"/>
        </w:numPr>
        <w:pStyle w:val="Compact"/>
      </w:pPr>
      <w:r>
        <w:t xml:space="preserve">2017 · Saad A ·</w:t>
      </w:r>
      <w:r>
        <w:t xml:space="preserve"> </w:t>
      </w:r>
      <w:r>
        <w:rPr>
          <w:iCs/>
          <w:i/>
        </w:rPr>
        <w:t xml:space="preserve">Circ Cardiovasc Interv</w:t>
      </w:r>
      <w:r>
        <w:t xml:space="preserve"> </w:t>
      </w:r>
      <w:r>
        <w:t xml:space="preserve">· Phase 2a Clinical Trial of Mitochondrial Protection (Elamipretide) During Stent Revascularization in Patients With Atherosclerotic Renal Artery Stenosis. PMID 28916603</w:t>
      </w:r>
    </w:p>
    <w:p>
      <w:pPr>
        <w:numPr>
          <w:ilvl w:val="0"/>
          <w:numId w:val="1413"/>
        </w:numPr>
        <w:pStyle w:val="Compact"/>
      </w:pPr>
      <w:r>
        <w:t xml:space="preserve">2016 · Schoenell MC ·</w:t>
      </w:r>
      <w:r>
        <w:t xml:space="preserve"> </w:t>
      </w:r>
      <w:r>
        <w:rPr>
          <w:iCs/>
          <w:i/>
        </w:rPr>
        <w:t xml:space="preserve">Int J Sports Med</w:t>
      </w:r>
      <w:r>
        <w:t xml:space="preserve"> </w:t>
      </w:r>
      <w:r>
        <w:t xml:space="preserve">· Effects of Single Vs. Multiple Sets during 10 Weeks of Water-based Resistance Training on Neuromuscular Adaptations in Young Women. PMID 27286183</w:t>
      </w:r>
    </w:p>
    <w:p>
      <w:pPr>
        <w:numPr>
          <w:ilvl w:val="0"/>
          <w:numId w:val="1413"/>
        </w:numPr>
        <w:pStyle w:val="Compact"/>
      </w:pPr>
      <w:r>
        <w:t xml:space="preserve">2012 · Bernardo-Escudero R ·</w:t>
      </w:r>
      <w:r>
        <w:t xml:space="preserve"> </w:t>
      </w:r>
      <w:r>
        <w:rPr>
          <w:iCs/>
          <w:i/>
        </w:rPr>
        <w:t xml:space="preserve">Eur J Drug Metab Pharmacokinet</w:t>
      </w:r>
      <w:r>
        <w:t xml:space="preserve"> </w:t>
      </w:r>
      <w:r>
        <w:t xml:space="preserve">· Comparison of the pharmacokinetics of a new 30 mg modified-release tablet formulation of metoclopramide for once-a-day administration versus 10 mg immediate-release tablets: a single and multiple-dose, randomized, open-label, parallel study in healthy male subjects. PMID 22328192</w:t>
      </w:r>
    </w:p>
    <w:p>
      <w:pPr>
        <w:numPr>
          <w:ilvl w:val="0"/>
          <w:numId w:val="1413"/>
        </w:numPr>
        <w:pStyle w:val="Compact"/>
      </w:pPr>
      <w:r>
        <w:t xml:space="preserve">1977 · Ludwig H ·</w:t>
      </w:r>
      <w:r>
        <w:t xml:space="preserve"> </w:t>
      </w:r>
      <w:r>
        <w:rPr>
          <w:iCs/>
          <w:i/>
        </w:rPr>
        <w:t xml:space="preserve">Gut</w:t>
      </w:r>
      <w:r>
        <w:t xml:space="preserve"> </w:t>
      </w:r>
      <w:r>
        <w:t xml:space="preserve">· Antibodies to pancreatic duct cells in Sjögren’s syndrome and rheumatoid arthritis. PMID 405283</w:t>
      </w:r>
    </w:p>
    <w:bookmarkEnd w:id="1159"/>
    <w:bookmarkStart w:id="1160" w:name="foxo4-dri-0"/>
    <w:p>
      <w:pPr>
        <w:pStyle w:val="Heading2"/>
      </w:pPr>
      <w:r>
        <w:t xml:space="preserve">FOXO4-DRI (0)</w:t>
      </w:r>
    </w:p>
    <w:p>
      <w:pPr>
        <w:pStyle w:val="FirstParagraph"/>
      </w:pPr>
      <w:r>
        <w:t xml:space="preserve">Geen publicaties van klinische studies bij mensen gevonden.</w:t>
      </w:r>
    </w:p>
    <w:bookmarkEnd w:id="1160"/>
    <w:bookmarkStart w:id="1161" w:name="glutathion-161"/>
    <w:p>
      <w:pPr>
        <w:pStyle w:val="Heading2"/>
      </w:pPr>
      <w:r>
        <w:t xml:space="preserve">Glutathion (161)</w:t>
      </w:r>
    </w:p>
    <w:p>
      <w:pPr>
        <w:numPr>
          <w:ilvl w:val="0"/>
          <w:numId w:val="1414"/>
        </w:numPr>
        <w:pStyle w:val="Compact"/>
      </w:pPr>
      <w:r>
        <w:t xml:space="preserve">2026 · Bai JL ·</w:t>
      </w:r>
      <w:r>
        <w:t xml:space="preserve"> </w:t>
      </w:r>
      <w:r>
        <w:rPr>
          <w:iCs/>
          <w:i/>
        </w:rPr>
        <w:t xml:space="preserve">Medicine (Baltimore)</w:t>
      </w:r>
      <w:r>
        <w:t xml:space="preserve"> </w:t>
      </w:r>
      <w:r>
        <w:t xml:space="preserve">· Hyaluronic acid-based skin booster with glutathione combined with 1064-nm Nd:YAG laser and oral tranexamic acid for melasma: A prospective comparative study. PMID 42888572</w:t>
      </w:r>
    </w:p>
    <w:p>
      <w:pPr>
        <w:numPr>
          <w:ilvl w:val="0"/>
          <w:numId w:val="1414"/>
        </w:numPr>
        <w:pStyle w:val="Compact"/>
      </w:pPr>
      <w:r>
        <w:t xml:space="preserve">2026 · Jung ES ·</w:t>
      </w:r>
      <w:r>
        <w:t xml:space="preserve"> </w:t>
      </w:r>
      <w:r>
        <w:rPr>
          <w:iCs/>
          <w:i/>
        </w:rPr>
        <w:t xml:space="preserve">Eur J Pharm Biopharm</w:t>
      </w:r>
      <w:r>
        <w:t xml:space="preserve"> </w:t>
      </w:r>
      <w:r>
        <w:t xml:space="preserve">· Formulation-dependent differences in systemic glutathione availability: Comparative pharmacokinetics of orally dissolving film and tablet formulations in healthy adults. PMID 42392376</w:t>
      </w:r>
    </w:p>
    <w:p>
      <w:pPr>
        <w:numPr>
          <w:ilvl w:val="0"/>
          <w:numId w:val="1414"/>
        </w:numPr>
        <w:pStyle w:val="Compact"/>
      </w:pPr>
      <w:r>
        <w:t xml:space="preserve">2026 · Ramos-Hernández R ·</w:t>
      </w:r>
      <w:r>
        <w:t xml:space="preserve"> </w:t>
      </w:r>
      <w:r>
        <w:rPr>
          <w:iCs/>
          <w:i/>
        </w:rPr>
        <w:t xml:space="preserve">Biogerontology</w:t>
      </w:r>
      <w:r>
        <w:t xml:space="preserve"> </w:t>
      </w:r>
      <w:r>
        <w:t xml:space="preserve">· Creatine plus β-Hydroxy-β-Methylbutyrate supplementation is associated with preserved glutathione redox-balance and redox-function associations in older adults: a secondary analysis of a randomized crossover trial. PMID 41712056</w:t>
      </w:r>
    </w:p>
    <w:p>
      <w:pPr>
        <w:numPr>
          <w:ilvl w:val="0"/>
          <w:numId w:val="1414"/>
        </w:numPr>
        <w:pStyle w:val="Compact"/>
      </w:pPr>
      <w:r>
        <w:t xml:space="preserve">2025 · Mawu FO ·</w:t>
      </w:r>
      <w:r>
        <w:t xml:space="preserve"> </w:t>
      </w:r>
      <w:r>
        <w:rPr>
          <w:iCs/>
          <w:i/>
        </w:rPr>
        <w:t xml:space="preserve">Acta Dermatovenerol Alp Pannonica Adriat</w:t>
      </w:r>
      <w:r>
        <w:t xml:space="preserve"> </w:t>
      </w:r>
      <w:r>
        <w:t xml:space="preserve">· Effectiveness of oral glutathione in reducing nitric oxide and IL-1α concentrations for clinical improvement in mild to moderate acne vulgaris: a randomized controlled trial. PMID 41014073</w:t>
      </w:r>
    </w:p>
    <w:p>
      <w:pPr>
        <w:numPr>
          <w:ilvl w:val="0"/>
          <w:numId w:val="1414"/>
        </w:numPr>
        <w:pStyle w:val="Compact"/>
      </w:pPr>
      <w:r>
        <w:t xml:space="preserve">2025 · Williams PG ·</w:t>
      </w:r>
      <w:r>
        <w:t xml:space="preserve"> </w:t>
      </w:r>
      <w:r>
        <w:rPr>
          <w:iCs/>
          <w:i/>
        </w:rPr>
        <w:t xml:space="preserve">J Dev Behav Pediatr</w:t>
      </w:r>
      <w:r>
        <w:t xml:space="preserve"> </w:t>
      </w:r>
      <w:r>
        <w:t xml:space="preserve">· Glutathione, Vitamin C, and Cysteine Use in Autistic Children With Disruptive Behavior: A Double-Blind, Placebo-Controlled Crossover Pilot Study. PMID 39960783</w:t>
      </w:r>
    </w:p>
    <w:p>
      <w:pPr>
        <w:numPr>
          <w:ilvl w:val="0"/>
          <w:numId w:val="1414"/>
        </w:numPr>
        <w:pStyle w:val="Compact"/>
      </w:pPr>
      <w:r>
        <w:t xml:space="preserve">2024 · Copetti CLK ·</w:t>
      </w:r>
      <w:r>
        <w:t xml:space="preserve"> </w:t>
      </w:r>
      <w:r>
        <w:rPr>
          <w:iCs/>
          <w:i/>
        </w:rPr>
        <w:t xml:space="preserve">Appl Physiol Nutr Metab</w:t>
      </w:r>
      <w:r>
        <w:t xml:space="preserve"> </w:t>
      </w:r>
      <w:r>
        <w:t xml:space="preserve">· Juçara (Euterpe edulis Martius) improves time-to-exhaustion cycling performance and increased reduced glutathione: a randomized, placebo-controlled, crossover, and triple-blind study. PMID 38502949</w:t>
      </w:r>
    </w:p>
    <w:p>
      <w:pPr>
        <w:numPr>
          <w:ilvl w:val="0"/>
          <w:numId w:val="1414"/>
        </w:numPr>
        <w:pStyle w:val="Compact"/>
      </w:pPr>
      <w:r>
        <w:t xml:space="preserve">2023 · Radwan K ·</w:t>
      </w:r>
      <w:r>
        <w:t xml:space="preserve"> </w:t>
      </w:r>
      <w:r>
        <w:rPr>
          <w:iCs/>
          <w:i/>
        </w:rPr>
        <w:t xml:space="preserve">Med Sci (Basel)</w:t>
      </w:r>
      <w:r>
        <w:t xml:space="preserve"> </w:t>
      </w:r>
      <w:r>
        <w:t xml:space="preserve">· An Open-Label Case Series of Glutathione Use for Symptomatic Management in Children with Autism Spectrum Disorder. PMID 37987328</w:t>
      </w:r>
    </w:p>
    <w:p>
      <w:pPr>
        <w:numPr>
          <w:ilvl w:val="0"/>
          <w:numId w:val="1414"/>
        </w:numPr>
        <w:pStyle w:val="Compact"/>
      </w:pPr>
      <w:r>
        <w:t xml:space="preserve">2023 · Gaike AH ·</w:t>
      </w:r>
      <w:r>
        <w:t xml:space="preserve"> </w:t>
      </w:r>
      <w:r>
        <w:rPr>
          <w:iCs/>
          <w:i/>
        </w:rPr>
        <w:t xml:space="preserve">FEMS Microbiol Lett</w:t>
      </w:r>
      <w:r>
        <w:t xml:space="preserve"> </w:t>
      </w:r>
      <w:r>
        <w:t xml:space="preserve">· Effect of long-term oral glutathione supplementation on gut microbiome of type 2 diabetic individuals. PMID 37935462</w:t>
      </w:r>
    </w:p>
    <w:p>
      <w:pPr>
        <w:numPr>
          <w:ilvl w:val="0"/>
          <w:numId w:val="1414"/>
        </w:numPr>
        <w:pStyle w:val="Compact"/>
      </w:pPr>
      <w:r>
        <w:t xml:space="preserve">2023 · Juchem C ·</w:t>
      </w:r>
      <w:r>
        <w:t xml:space="preserve"> </w:t>
      </w:r>
      <w:r>
        <w:rPr>
          <w:iCs/>
          <w:i/>
        </w:rPr>
        <w:t xml:space="preserve">Neuroimage Clin</w:t>
      </w:r>
      <w:r>
        <w:t xml:space="preserve"> </w:t>
      </w:r>
      <w:r>
        <w:t xml:space="preserve">· In vivo cortical glutathione response to oral fumarate therapy in relapsing-remitting multiple sclerosis: A single-arm open-label phase IV trial using 7-Tesla (1)H MRS. PMID 37651844</w:t>
      </w:r>
    </w:p>
    <w:p>
      <w:pPr>
        <w:numPr>
          <w:ilvl w:val="0"/>
          <w:numId w:val="1414"/>
        </w:numPr>
        <w:pStyle w:val="Compact"/>
      </w:pPr>
      <w:r>
        <w:t xml:space="preserve">2023 · Benson M ·</w:t>
      </w:r>
      <w:r>
        <w:t xml:space="preserve"> </w:t>
      </w:r>
      <w:r>
        <w:rPr>
          <w:iCs/>
          <w:i/>
        </w:rPr>
        <w:t xml:space="preserve">Nutr Res</w:t>
      </w:r>
      <w:r>
        <w:t xml:space="preserve"> </w:t>
      </w:r>
      <w:r>
        <w:t xml:space="preserve">· Improved glycemic control either alone, or combined with antioxidant supplementation, fails to restore blood glutathione or markers of oxidative stress in adolescents with poorly controlled type 1 diabetes. PMID 37515943</w:t>
      </w:r>
    </w:p>
    <w:p>
      <w:pPr>
        <w:numPr>
          <w:ilvl w:val="0"/>
          <w:numId w:val="1414"/>
        </w:numPr>
        <w:pStyle w:val="Compact"/>
      </w:pPr>
      <w:r>
        <w:t xml:space="preserve">2023 · Figueroa A ·</w:t>
      </w:r>
      <w:r>
        <w:t xml:space="preserve"> </w:t>
      </w:r>
      <w:r>
        <w:rPr>
          <w:iCs/>
          <w:i/>
        </w:rPr>
        <w:t xml:space="preserve">Nutrients</w:t>
      </w:r>
      <w:r>
        <w:t xml:space="preserve"> </w:t>
      </w:r>
      <w:r>
        <w:t xml:space="preserve">· Combined Citrulline and Glutathione Supplementation Improves Endothelial Function and Blood Pressure Reactivity in Postmenopausal Women. PMID 37049398</w:t>
      </w:r>
    </w:p>
    <w:p>
      <w:pPr>
        <w:numPr>
          <w:ilvl w:val="0"/>
          <w:numId w:val="1414"/>
        </w:numPr>
        <w:pStyle w:val="Compact"/>
      </w:pPr>
      <w:r>
        <w:t xml:space="preserve">2023 · Chung JW ·</w:t>
      </w:r>
      <w:r>
        <w:t xml:space="preserve"> </w:t>
      </w:r>
      <w:r>
        <w:rPr>
          <w:iCs/>
          <w:i/>
        </w:rPr>
        <w:t xml:space="preserve">J Hum Nutr Diet</w:t>
      </w:r>
      <w:r>
        <w:t xml:space="preserve"> </w:t>
      </w:r>
      <w:r>
        <w:t xml:space="preserve">· Eight-week supplementation of Aronia berry extract promoted the glutathione defence system against acute aerobic exercise-induced oxidative load immediately and 30 min post-exercise in healthy adults: a double-blind, randomised controlled trial. PMID 36727618</w:t>
      </w:r>
    </w:p>
    <w:p>
      <w:pPr>
        <w:numPr>
          <w:ilvl w:val="0"/>
          <w:numId w:val="1414"/>
        </w:numPr>
        <w:pStyle w:val="Compact"/>
      </w:pPr>
      <w:r>
        <w:t xml:space="preserve">2023 · Arrivi A ·</w:t>
      </w:r>
      <w:r>
        <w:t xml:space="preserve"> </w:t>
      </w:r>
      <w:r>
        <w:rPr>
          <w:iCs/>
          <w:i/>
        </w:rPr>
        <w:t xml:space="preserve">Minerva Cardiol Angiol</w:t>
      </w:r>
      <w:r>
        <w:t xml:space="preserve"> </w:t>
      </w:r>
      <w:r>
        <w:t xml:space="preserve">· Early and prolonged glutathione infusion favorably impacts length of hospital stay in ST-elevation myocardial infarction patients: a subanalysis of the GSH2014 Trial. PMID 36083043</w:t>
      </w:r>
    </w:p>
    <w:p>
      <w:pPr>
        <w:numPr>
          <w:ilvl w:val="0"/>
          <w:numId w:val="1414"/>
        </w:numPr>
        <w:pStyle w:val="Compact"/>
      </w:pPr>
      <w:r>
        <w:t xml:space="preserve">2023 · Kumar P ·</w:t>
      </w:r>
      <w:r>
        <w:t xml:space="preserve"> </w:t>
      </w:r>
      <w:r>
        <w:rPr>
          <w:iCs/>
          <w:i/>
        </w:rPr>
        <w:t xml:space="preserve">J Gerontol A Biol Sci Med Sci</w:t>
      </w:r>
      <w:r>
        <w:t xml:space="preserve"> </w:t>
      </w:r>
      <w:r>
        <w:t xml:space="preserve">· Supplementing Glycine and N-Acetylcysteine (GlyNAC) in Older Adults Improves Glutathione Deficiency, Oxidative Stress, Mitochondrial Dysfunction, Inflammation, Physical Function, and Aging Hallmarks: A Randomized Clinical Trial. PMID 35975308</w:t>
      </w:r>
    </w:p>
    <w:p>
      <w:pPr>
        <w:numPr>
          <w:ilvl w:val="0"/>
          <w:numId w:val="1414"/>
        </w:numPr>
        <w:pStyle w:val="Compact"/>
      </w:pPr>
      <w:r>
        <w:t xml:space="preserve">2022 · Khosravi Z ·</w:t>
      </w:r>
      <w:r>
        <w:t xml:space="preserve"> </w:t>
      </w:r>
      <w:r>
        <w:rPr>
          <w:iCs/>
          <w:i/>
        </w:rPr>
        <w:t xml:space="preserve">Clin Nutr ESPEN</w:t>
      </w:r>
      <w:r>
        <w:t xml:space="preserve"> </w:t>
      </w:r>
      <w:r>
        <w:t xml:space="preserve">· The effects of butyrate supplementation on glycemic control, lipid profile, blood pressure, nitric oxide level and glutathione peroxidase activity in type 2 diabetic patients: A randomized triple -blind, placebo-controlled trial. PMID 35623879</w:t>
      </w:r>
    </w:p>
    <w:p>
      <w:pPr>
        <w:numPr>
          <w:ilvl w:val="0"/>
          <w:numId w:val="1414"/>
        </w:numPr>
        <w:pStyle w:val="Compact"/>
      </w:pPr>
      <w:r>
        <w:t xml:space="preserve">2022 · Wangdi JT ·</w:t>
      </w:r>
      <w:r>
        <w:t xml:space="preserve"> </w:t>
      </w:r>
      <w:r>
        <w:rPr>
          <w:iCs/>
          <w:i/>
        </w:rPr>
        <w:t xml:space="preserve">Med Sci Sports Exerc</w:t>
      </w:r>
      <w:r>
        <w:t xml:space="preserve"> </w:t>
      </w:r>
      <w:r>
        <w:t xml:space="preserve">· Tart Cherry Supplement Enhances Skeletal Muscle Glutathione Peroxidase Expression and Functional Recovery after Muscle Damage. PMID 34772901</w:t>
      </w:r>
    </w:p>
    <w:p>
      <w:pPr>
        <w:numPr>
          <w:ilvl w:val="0"/>
          <w:numId w:val="1414"/>
        </w:numPr>
        <w:pStyle w:val="Compact"/>
      </w:pPr>
      <w:r>
        <w:t xml:space="preserve">2022 · McAllister MJ ·</w:t>
      </w:r>
      <w:r>
        <w:t xml:space="preserve"> </w:t>
      </w:r>
      <w:r>
        <w:rPr>
          <w:iCs/>
          <w:i/>
        </w:rPr>
        <w:t xml:space="preserve">Int J Sport Nutr Exerc Metab</w:t>
      </w:r>
      <w:r>
        <w:t xml:space="preserve"> </w:t>
      </w:r>
      <w:r>
        <w:t xml:space="preserve">· Astaxanthin Supplementation Increases Glutathione Concentrations but Does Not Impact Fat Oxidation During Exercise in Active Young Men. PMID 34611051</w:t>
      </w:r>
    </w:p>
    <w:p>
      <w:pPr>
        <w:numPr>
          <w:ilvl w:val="0"/>
          <w:numId w:val="1414"/>
        </w:numPr>
        <w:pStyle w:val="Compact"/>
      </w:pPr>
      <w:r>
        <w:t xml:space="preserve">2022 · Duperray J ·</w:t>
      </w:r>
      <w:r>
        <w:t xml:space="preserve"> </w:t>
      </w:r>
      <w:r>
        <w:rPr>
          <w:iCs/>
          <w:i/>
        </w:rPr>
        <w:t xml:space="preserve">J Cosmet Dermatol</w:t>
      </w:r>
      <w:r>
        <w:t xml:space="preserve"> </w:t>
      </w:r>
      <w:r>
        <w:t xml:space="preserve">· The effects of the oral supplementation of L-Cystine associated with reduced L-Glutathione-GSH on human skin pigmentation: a randomized, double-blinded, benchmark- and placebo-controlled clinical trial. PMID 33834608</w:t>
      </w:r>
    </w:p>
    <w:p>
      <w:pPr>
        <w:numPr>
          <w:ilvl w:val="0"/>
          <w:numId w:val="1414"/>
        </w:numPr>
        <w:pStyle w:val="Compact"/>
      </w:pPr>
      <w:r>
        <w:t xml:space="preserve">2021 · To K ·</w:t>
      </w:r>
      <w:r>
        <w:t xml:space="preserve"> </w:t>
      </w:r>
      <w:r>
        <w:rPr>
          <w:iCs/>
          <w:i/>
        </w:rPr>
        <w:t xml:space="preserve">Front Cell Infect Microbiol</w:t>
      </w:r>
      <w:r>
        <w:t xml:space="preserve"> </w:t>
      </w:r>
      <w:r>
        <w:t xml:space="preserve">· Effects of Oral Liposomal Glutathione in Altering the Immune Responses Against Mycobacterium tuberculosis and the Mycobacterium bovis BCG Strain in Individuals With Type 2 Diabetes. PMID 34150674</w:t>
      </w:r>
    </w:p>
    <w:p>
      <w:pPr>
        <w:numPr>
          <w:ilvl w:val="0"/>
          <w:numId w:val="1414"/>
        </w:numPr>
        <w:pStyle w:val="Compact"/>
      </w:pPr>
      <w:r>
        <w:t xml:space="preserve">2021 · To K ·</w:t>
      </w:r>
      <w:r>
        <w:t xml:space="preserve"> </w:t>
      </w:r>
      <w:r>
        <w:rPr>
          <w:iCs/>
          <w:i/>
        </w:rPr>
        <w:t xml:space="preserve">Biomol Concepts</w:t>
      </w:r>
      <w:r>
        <w:t xml:space="preserve"> </w:t>
      </w:r>
      <w:r>
        <w:t xml:space="preserve">· The Effects of Oral Liposomal Glutathione and In Vitro Everolimus in Altering the Immune Responses against Mycobacterium bovis BCG Strain in Individuals with Type 2 Diabetes. PMID 33966361</w:t>
      </w:r>
    </w:p>
    <w:p>
      <w:pPr>
        <w:numPr>
          <w:ilvl w:val="0"/>
          <w:numId w:val="1414"/>
        </w:numPr>
        <w:pStyle w:val="Compact"/>
      </w:pPr>
      <w:r>
        <w:t xml:space="preserve">2021 · Martins ML ·</w:t>
      </w:r>
      <w:r>
        <w:t xml:space="preserve"> </w:t>
      </w:r>
      <w:r>
        <w:rPr>
          <w:iCs/>
          <w:i/>
        </w:rPr>
        <w:t xml:space="preserve">Int Urol Nephrol</w:t>
      </w:r>
      <w:r>
        <w:t xml:space="preserve"> </w:t>
      </w:r>
      <w:r>
        <w:t xml:space="preserve">· Vitamin C decreases reduced glutathione in chronic haemodialysis patients: a pilot, randomised, double-blind trial. PMID 33905041</w:t>
      </w:r>
    </w:p>
    <w:p>
      <w:pPr>
        <w:numPr>
          <w:ilvl w:val="0"/>
          <w:numId w:val="1414"/>
        </w:numPr>
        <w:pStyle w:val="Compact"/>
      </w:pPr>
      <w:r>
        <w:t xml:space="preserve">2021 · Wahab S ·</w:t>
      </w:r>
      <w:r>
        <w:t xml:space="preserve"> </w:t>
      </w:r>
      <w:r>
        <w:rPr>
          <w:iCs/>
          <w:i/>
        </w:rPr>
        <w:t xml:space="preserve">Int J Dermatol</w:t>
      </w:r>
      <w:r>
        <w:t xml:space="preserve"> </w:t>
      </w:r>
      <w:r>
        <w:t xml:space="preserve">· Combination of topical and oral glutathione as a skin-whitening agent: a double-blind randomized controlled clinical trial. PMID 33871071</w:t>
      </w:r>
    </w:p>
    <w:p>
      <w:pPr>
        <w:numPr>
          <w:ilvl w:val="0"/>
          <w:numId w:val="1414"/>
        </w:numPr>
        <w:pStyle w:val="Compact"/>
      </w:pPr>
      <w:r>
        <w:t xml:space="preserve">2021 · Søndergård SD ·</w:t>
      </w:r>
      <w:r>
        <w:t xml:space="preserve"> </w:t>
      </w:r>
      <w:r>
        <w:rPr>
          <w:iCs/>
          <w:i/>
        </w:rPr>
        <w:t xml:space="preserve">Appl Physiol Nutr Metab</w:t>
      </w:r>
      <w:r>
        <w:t xml:space="preserve"> </w:t>
      </w:r>
      <w:r>
        <w:t xml:space="preserve">· The effects of 3 weeks of oral glutathione supplementation on whole body insulin sensitivity in obese males with and without type 2 diabetes: a randomized trial. PMID 33740389</w:t>
      </w:r>
    </w:p>
    <w:p>
      <w:pPr>
        <w:numPr>
          <w:ilvl w:val="0"/>
          <w:numId w:val="1414"/>
        </w:numPr>
        <w:pStyle w:val="Compact"/>
      </w:pPr>
      <w:r>
        <w:t xml:space="preserve">2021 · Haidari F ·</w:t>
      </w:r>
      <w:r>
        <w:t xml:space="preserve"> </w:t>
      </w:r>
      <w:r>
        <w:rPr>
          <w:iCs/>
          <w:i/>
        </w:rPr>
        <w:t xml:space="preserve">Hum Fertil (Camb)</w:t>
      </w:r>
      <w:r>
        <w:t xml:space="preserve"> </w:t>
      </w:r>
      <w:r>
        <w:t xml:space="preserve">· Effect of lipoic acid supplementation on gene expression and activity of glutathione S-transferase enzyme in infertile men. PMID 31291793</w:t>
      </w:r>
    </w:p>
    <w:p>
      <w:pPr>
        <w:numPr>
          <w:ilvl w:val="0"/>
          <w:numId w:val="1414"/>
        </w:numPr>
        <w:pStyle w:val="Compact"/>
      </w:pPr>
      <w:r>
        <w:t xml:space="preserve">2020 · Biswas P ·</w:t>
      </w:r>
      <w:r>
        <w:t xml:space="preserve"> </w:t>
      </w:r>
      <w:r>
        <w:rPr>
          <w:iCs/>
          <w:i/>
        </w:rPr>
        <w:t xml:space="preserve">Nutrients</w:t>
      </w:r>
      <w:r>
        <w:t xml:space="preserve"> </w:t>
      </w:r>
      <w:r>
        <w:t xml:space="preserve">· Antioxidant Activity with Increased Endogenous Levels of Vitamin C, E and A Following Dietary Supplementation with a Combination of Glutathione and Resveratrol Precursors. PMID 33105552</w:t>
      </w:r>
    </w:p>
    <w:p>
      <w:pPr>
        <w:numPr>
          <w:ilvl w:val="0"/>
          <w:numId w:val="1414"/>
        </w:numPr>
        <w:pStyle w:val="Compact"/>
      </w:pPr>
      <w:r>
        <w:t xml:space="preserve">2020 · Bozic M ·</w:t>
      </w:r>
      <w:r>
        <w:t xml:space="preserve"> </w:t>
      </w:r>
      <w:r>
        <w:rPr>
          <w:iCs/>
          <w:i/>
        </w:rPr>
        <w:t xml:space="preserve">J Pediatr Gastroenterol Nutr</w:t>
      </w:r>
      <w:r>
        <w:t xml:space="preserve"> </w:t>
      </w:r>
      <w:r>
        <w:t xml:space="preserve">· Oral Glutathione and Growth in Cystic Fibrosis: A Multicenter, Randomized, Placebo-controlled, Double-blind Trial. PMID 32960827</w:t>
      </w:r>
    </w:p>
    <w:p>
      <w:pPr>
        <w:numPr>
          <w:ilvl w:val="0"/>
          <w:numId w:val="1414"/>
        </w:numPr>
        <w:pStyle w:val="Compact"/>
      </w:pPr>
      <w:r>
        <w:t xml:space="preserve">2020 · Lai CY ·</w:t>
      </w:r>
      <w:r>
        <w:t xml:space="preserve"> </w:t>
      </w:r>
      <w:r>
        <w:rPr>
          <w:iCs/>
          <w:i/>
        </w:rPr>
        <w:t xml:space="preserve">Nutrients</w:t>
      </w:r>
      <w:r>
        <w:t xml:space="preserve"> </w:t>
      </w:r>
      <w:r>
        <w:t xml:space="preserve">· Impact of Glutathione and Vitamin B-6 in Cirrhosis Patients: A Randomized Controlled Trial and Follow-Up Study. PMID 32635181</w:t>
      </w:r>
    </w:p>
    <w:p>
      <w:pPr>
        <w:numPr>
          <w:ilvl w:val="0"/>
          <w:numId w:val="1414"/>
        </w:numPr>
        <w:pStyle w:val="Compact"/>
      </w:pPr>
      <w:r>
        <w:t xml:space="preserve">2020 · Mastaloudis A ·</w:t>
      </w:r>
      <w:r>
        <w:t xml:space="preserve"> </w:t>
      </w:r>
      <w:r>
        <w:rPr>
          <w:iCs/>
          <w:i/>
        </w:rPr>
        <w:t xml:space="preserve">Free Radic Biol Med</w:t>
      </w:r>
      <w:r>
        <w:t xml:space="preserve"> </w:t>
      </w:r>
      <w:r>
        <w:t xml:space="preserve">· Supplementation with a putative calorie restriction mimetic micronutrient blend increases glutathione concentrations and improves neuroenergetics in brain of healthy middle-aged men and women. PMID 32335159</w:t>
      </w:r>
    </w:p>
    <w:p>
      <w:pPr>
        <w:numPr>
          <w:ilvl w:val="0"/>
          <w:numId w:val="1414"/>
        </w:numPr>
        <w:pStyle w:val="Compact"/>
      </w:pPr>
      <w:r>
        <w:t xml:space="preserve">2019 · de Souza RGM ·</w:t>
      </w:r>
      <w:r>
        <w:t xml:space="preserve"> </w:t>
      </w:r>
      <w:r>
        <w:rPr>
          <w:iCs/>
          <w:i/>
        </w:rPr>
        <w:t xml:space="preserve">Nutrients</w:t>
      </w:r>
      <w:r>
        <w:t xml:space="preserve"> </w:t>
      </w:r>
      <w:r>
        <w:t xml:space="preserve">· Baru Almonds Increase the Activity of Glutathione Peroxidase in Overweight and Obese Women: A Randomized, Placebo-Controlled Trial. PMID 31366053</w:t>
      </w:r>
    </w:p>
    <w:p>
      <w:pPr>
        <w:numPr>
          <w:ilvl w:val="0"/>
          <w:numId w:val="1414"/>
        </w:numPr>
        <w:pStyle w:val="Compact"/>
      </w:pPr>
      <w:r>
        <w:t xml:space="preserve">2019 · Girgis RR ·</w:t>
      </w:r>
      <w:r>
        <w:t xml:space="preserve"> </w:t>
      </w:r>
      <w:r>
        <w:rPr>
          <w:iCs/>
          <w:i/>
        </w:rPr>
        <w:t xml:space="preserve">Psychiatry Res</w:t>
      </w:r>
      <w:r>
        <w:t xml:space="preserve"> </w:t>
      </w:r>
      <w:r>
        <w:t xml:space="preserve">· Effects of acute N-acetylcysteine challenge on cortical glutathione and glutamate in schizophrenia: A pilot in vivo proton magnetic resonance spectroscopy study. PMID 30884334</w:t>
      </w:r>
    </w:p>
    <w:p>
      <w:pPr>
        <w:numPr>
          <w:ilvl w:val="0"/>
          <w:numId w:val="1414"/>
        </w:numPr>
        <w:pStyle w:val="Compact"/>
      </w:pPr>
      <w:r>
        <w:t xml:space="preserve">2019 · Pickering G ·</w:t>
      </w:r>
      <w:r>
        <w:t xml:space="preserve"> </w:t>
      </w:r>
      <w:r>
        <w:rPr>
          <w:iCs/>
          <w:i/>
        </w:rPr>
        <w:t xml:space="preserve">Fundam Clin Pharmacol</w:t>
      </w:r>
      <w:r>
        <w:t xml:space="preserve"> </w:t>
      </w:r>
      <w:r>
        <w:t xml:space="preserve">· N-acetylcysteine prevents glutathione decrease and does not interfere with paracetamol antinociceptive effect at therapeutic dosage: a randomized double-blind controlled trial in healthy subjects. PMID 30471141</w:t>
      </w:r>
    </w:p>
    <w:p>
      <w:pPr>
        <w:numPr>
          <w:ilvl w:val="0"/>
          <w:numId w:val="1414"/>
        </w:numPr>
        <w:pStyle w:val="Compact"/>
      </w:pPr>
      <w:r>
        <w:t xml:space="preserve">2019 · Grandi V ·</w:t>
      </w:r>
      <w:r>
        <w:t xml:space="preserve"> </w:t>
      </w:r>
      <w:r>
        <w:rPr>
          <w:iCs/>
          <w:i/>
        </w:rPr>
        <w:t xml:space="preserve">G Ital Dermatol Venereol</w:t>
      </w:r>
      <w:r>
        <w:t xml:space="preserve"> </w:t>
      </w:r>
      <w:r>
        <w:t xml:space="preserve">· Efficacy and safety of S-acyl glutathione 2% cream vs. placebo against UVB-induced erythema: a randomized, double-blinded clinical trial. PMID 28399620</w:t>
      </w:r>
    </w:p>
    <w:p>
      <w:pPr>
        <w:numPr>
          <w:ilvl w:val="0"/>
          <w:numId w:val="1414"/>
        </w:numPr>
        <w:pStyle w:val="Compact"/>
      </w:pPr>
      <w:r>
        <w:t xml:space="preserve">2018 · Parida S ·</w:t>
      </w:r>
      <w:r>
        <w:t xml:space="preserve"> </w:t>
      </w:r>
      <w:r>
        <w:rPr>
          <w:iCs/>
          <w:i/>
        </w:rPr>
        <w:t xml:space="preserve">Indian J Gastroenterol</w:t>
      </w:r>
      <w:r>
        <w:t xml:space="preserve"> </w:t>
      </w:r>
      <w:r>
        <w:t xml:space="preserve">· Study of glutathione S-transferase levels in patients receiving intravenous paracetamol perioperatively: A randomized controlled trial. PMID 30421393</w:t>
      </w:r>
    </w:p>
    <w:p>
      <w:pPr>
        <w:numPr>
          <w:ilvl w:val="0"/>
          <w:numId w:val="1414"/>
        </w:numPr>
        <w:pStyle w:val="Compact"/>
      </w:pPr>
      <w:r>
        <w:t xml:space="preserve">2018 · Hwang P ·</w:t>
      </w:r>
      <w:r>
        <w:t xml:space="preserve"> </w:t>
      </w:r>
      <w:r>
        <w:rPr>
          <w:iCs/>
          <w:i/>
        </w:rPr>
        <w:t xml:space="preserve">J Int Soc Sports Nutr</w:t>
      </w:r>
      <w:r>
        <w:t xml:space="preserve"> </w:t>
      </w:r>
      <w:r>
        <w:t xml:space="preserve">· Eight weeks of resistance training in conjunction with glutathione and L-Citrulline supplementation increases lean mass and has no adverse effects on blood clinical safety markers in resistance-trained males. PMID 29945625</w:t>
      </w:r>
    </w:p>
    <w:p>
      <w:pPr>
        <w:numPr>
          <w:ilvl w:val="0"/>
          <w:numId w:val="1414"/>
        </w:numPr>
        <w:pStyle w:val="Compact"/>
      </w:pPr>
      <w:r>
        <w:t xml:space="preserve">2018 · Kleniewska P ·</w:t>
      </w:r>
      <w:r>
        <w:t xml:space="preserve"> </w:t>
      </w:r>
      <w:r>
        <w:rPr>
          <w:iCs/>
          <w:i/>
        </w:rPr>
        <w:t xml:space="preserve">Adv Med Sci</w:t>
      </w:r>
      <w:r>
        <w:t xml:space="preserve"> </w:t>
      </w:r>
      <w:r>
        <w:t xml:space="preserve">· Assessment of human 4-hydroxynonenal, 8-isoprostane concentrations and glutathione reductase activity after synbiotics administration. PMID 29859494</w:t>
      </w:r>
    </w:p>
    <w:p>
      <w:pPr>
        <w:numPr>
          <w:ilvl w:val="0"/>
          <w:numId w:val="1414"/>
        </w:numPr>
        <w:pStyle w:val="Compact"/>
      </w:pPr>
      <w:r>
        <w:t xml:space="preserve">2018 · Bumrungpert A ·</w:t>
      </w:r>
      <w:r>
        <w:t xml:space="preserve"> </w:t>
      </w:r>
      <w:r>
        <w:rPr>
          <w:iCs/>
          <w:i/>
        </w:rPr>
        <w:t xml:space="preserve">J Med Food</w:t>
      </w:r>
      <w:r>
        <w:t xml:space="preserve"> </w:t>
      </w:r>
      <w:r>
        <w:t xml:space="preserve">· Whey Protein Supplementation Improves Nutritional Status, Glutathione Levels, and Immune Function in Cancer Patients: A Randomized, Double-Blind Controlled Trial. PMID 29565716</w:t>
      </w:r>
    </w:p>
    <w:p>
      <w:pPr>
        <w:numPr>
          <w:ilvl w:val="0"/>
          <w:numId w:val="1414"/>
        </w:numPr>
        <w:pStyle w:val="Compact"/>
      </w:pPr>
      <w:r>
        <w:t xml:space="preserve">2018 · Moss HG ·</w:t>
      </w:r>
      <w:r>
        <w:t xml:space="preserve"> </w:t>
      </w:r>
      <w:r>
        <w:rPr>
          <w:iCs/>
          <w:i/>
        </w:rPr>
        <w:t xml:space="preserve">J Cereb Blood Flow Metab</w:t>
      </w:r>
      <w:r>
        <w:t xml:space="preserve"> </w:t>
      </w:r>
      <w:r>
        <w:t xml:space="preserve">· N-Acetylcysteine rapidly replenishes central nervous system glutathione measured via magnetic resonance spectroscopy in human neonates with hypoxic-ischemic encephalopathy. PMID 29561203</w:t>
      </w:r>
    </w:p>
    <w:p>
      <w:pPr>
        <w:numPr>
          <w:ilvl w:val="0"/>
          <w:numId w:val="1414"/>
        </w:numPr>
        <w:pStyle w:val="Compact"/>
      </w:pPr>
      <w:r>
        <w:t xml:space="preserve">2018 · Kanhai KMS ·</w:t>
      </w:r>
      <w:r>
        <w:t xml:space="preserve"> </w:t>
      </w:r>
      <w:r>
        <w:rPr>
          <w:iCs/>
          <w:i/>
        </w:rPr>
        <w:t xml:space="preserve">Br J Clin Pharmacol</w:t>
      </w:r>
      <w:r>
        <w:t xml:space="preserve"> </w:t>
      </w:r>
      <w:r>
        <w:t xml:space="preserve">· Glutathione-PEGylated liposomal methylprednisolone in comparison to free methylprednisolone: slow release characteristics and prolonged lymphocyte depression in a first-in-human study. PMID 29385232</w:t>
      </w:r>
    </w:p>
    <w:p>
      <w:pPr>
        <w:numPr>
          <w:ilvl w:val="0"/>
          <w:numId w:val="1414"/>
        </w:numPr>
        <w:pStyle w:val="Compact"/>
      </w:pPr>
      <w:r>
        <w:t xml:space="preserve">2018 · Coles LD ·</w:t>
      </w:r>
      <w:r>
        <w:t xml:space="preserve"> </w:t>
      </w:r>
      <w:r>
        <w:rPr>
          <w:iCs/>
          <w:i/>
        </w:rPr>
        <w:t xml:space="preserve">J Clin Pharmacol</w:t>
      </w:r>
      <w:r>
        <w:t xml:space="preserve"> </w:t>
      </w:r>
      <w:r>
        <w:t xml:space="preserve">· Repeated-Dose Oral N-Acetylcysteine in Parkinson’s Disease: Pharmacokinetics and Effect on Brain Glutathione and Oxidative Stress. PMID 28940353</w:t>
      </w:r>
    </w:p>
    <w:p>
      <w:pPr>
        <w:numPr>
          <w:ilvl w:val="0"/>
          <w:numId w:val="1414"/>
        </w:numPr>
        <w:pStyle w:val="Compact"/>
      </w:pPr>
      <w:r>
        <w:t xml:space="preserve">2017 · Honda Y ·</w:t>
      </w:r>
      <w:r>
        <w:t xml:space="preserve"> </w:t>
      </w:r>
      <w:r>
        <w:rPr>
          <w:iCs/>
          <w:i/>
        </w:rPr>
        <w:t xml:space="preserve">BMC Gastroenterol</w:t>
      </w:r>
      <w:r>
        <w:t xml:space="preserve"> </w:t>
      </w:r>
      <w:r>
        <w:t xml:space="preserve">· Efficacy of glutathione for the treatment of nonalcoholic fatty liver disease: an open-label, single-arm, multicenter, pilot study. PMID 28789631</w:t>
      </w:r>
    </w:p>
    <w:p>
      <w:pPr>
        <w:numPr>
          <w:ilvl w:val="0"/>
          <w:numId w:val="1414"/>
        </w:numPr>
        <w:pStyle w:val="Compact"/>
      </w:pPr>
      <w:r>
        <w:t xml:space="preserve">2017 · Campolo J ·</w:t>
      </w:r>
      <w:r>
        <w:t xml:space="preserve"> </w:t>
      </w:r>
      <w:r>
        <w:rPr>
          <w:iCs/>
          <w:i/>
        </w:rPr>
        <w:t xml:space="preserve">Nutrition</w:t>
      </w:r>
      <w:r>
        <w:t xml:space="preserve"> </w:t>
      </w:r>
      <w:r>
        <w:t xml:space="preserve">· Medium-term effect of sublingual l-glutathione supplementation on flow-mediated dilation in subjects with cardiovascular risk factors. PMID 28526381</w:t>
      </w:r>
    </w:p>
    <w:p>
      <w:pPr>
        <w:numPr>
          <w:ilvl w:val="0"/>
          <w:numId w:val="1414"/>
        </w:numPr>
        <w:pStyle w:val="Compact"/>
      </w:pPr>
      <w:r>
        <w:t xml:space="preserve">2017 · Zarka MH ·</w:t>
      </w:r>
      <w:r>
        <w:t xml:space="preserve"> </w:t>
      </w:r>
      <w:r>
        <w:rPr>
          <w:iCs/>
          <w:i/>
        </w:rPr>
        <w:t xml:space="preserve">Redox Biol</w:t>
      </w:r>
      <w:r>
        <w:t xml:space="preserve"> </w:t>
      </w:r>
      <w:r>
        <w:t xml:space="preserve">· Oral administration of γ-glutamylcysteine increases intracellular glutathione levels above homeostasis in a randomised human trial pilot study. PMID 28131081</w:t>
      </w:r>
    </w:p>
    <w:p>
      <w:pPr>
        <w:numPr>
          <w:ilvl w:val="0"/>
          <w:numId w:val="1414"/>
        </w:numPr>
        <w:pStyle w:val="Compact"/>
      </w:pPr>
      <w:r>
        <w:t xml:space="preserve">2016 · Yuan JM ·</w:t>
      </w:r>
      <w:r>
        <w:t xml:space="preserve"> </w:t>
      </w:r>
      <w:r>
        <w:rPr>
          <w:iCs/>
          <w:i/>
        </w:rPr>
        <w:t xml:space="preserve">Cancer Prev Res (Phila)</w:t>
      </w:r>
      <w:r>
        <w:t xml:space="preserve"> </w:t>
      </w:r>
      <w:r>
        <w:t xml:space="preserve">· 2-Phenethyl Isothiocyanate, Glutathione S-transferase M1 and T1 Polymorphisms, and Detoxification of Volatile Organic Carcinogens and Toxicants in Tobacco Smoke. PMID 27099270</w:t>
      </w:r>
    </w:p>
    <w:p>
      <w:pPr>
        <w:numPr>
          <w:ilvl w:val="0"/>
          <w:numId w:val="1414"/>
        </w:numPr>
        <w:pStyle w:val="Compact"/>
      </w:pPr>
      <w:r>
        <w:t xml:space="preserve">2016 · Handog EB ·</w:t>
      </w:r>
      <w:r>
        <w:t xml:space="preserve"> </w:t>
      </w:r>
      <w:r>
        <w:rPr>
          <w:iCs/>
          <w:i/>
        </w:rPr>
        <w:t xml:space="preserve">Int J Dermatol</w:t>
      </w:r>
      <w:r>
        <w:t xml:space="preserve"> </w:t>
      </w:r>
      <w:r>
        <w:t xml:space="preserve">· An open-label, single-arm trial of the safety and efficacy of a novel preparation of glutathione as a skin-lightening agent in Filipino women. PMID 26148180</w:t>
      </w:r>
    </w:p>
    <w:p>
      <w:pPr>
        <w:numPr>
          <w:ilvl w:val="0"/>
          <w:numId w:val="1414"/>
        </w:numPr>
        <w:pStyle w:val="Compact"/>
      </w:pPr>
      <w:r>
        <w:t xml:space="preserve">2016 · Calkins KL ·</w:t>
      </w:r>
      <w:r>
        <w:t xml:space="preserve"> </w:t>
      </w:r>
      <w:r>
        <w:rPr>
          <w:iCs/>
          <w:i/>
        </w:rPr>
        <w:t xml:space="preserve">JPEN J Parenter Enteral Nutr</w:t>
      </w:r>
      <w:r>
        <w:t xml:space="preserve"> </w:t>
      </w:r>
      <w:r>
        <w:t xml:space="preserve">· Effect of High-Dose Cysteine Supplementation on Erythrocyte Glutathione: A Double-Blinded, Randomized Placebo-Controlled Pilot Study in Critically Ill Neonates. PMID 25139979</w:t>
      </w:r>
    </w:p>
    <w:p>
      <w:pPr>
        <w:numPr>
          <w:ilvl w:val="0"/>
          <w:numId w:val="1414"/>
        </w:numPr>
        <w:pStyle w:val="Compact"/>
      </w:pPr>
      <w:r>
        <w:t xml:space="preserve">2015 · Duffy SL ·</w:t>
      </w:r>
      <w:r>
        <w:t xml:space="preserve"> </w:t>
      </w:r>
      <w:r>
        <w:rPr>
          <w:iCs/>
          <w:i/>
        </w:rPr>
        <w:t xml:space="preserve">Nutrition</w:t>
      </w:r>
      <w:r>
        <w:t xml:space="preserve"> </w:t>
      </w:r>
      <w:r>
        <w:t xml:space="preserve">· The effect of 12-wk ω-3 fatty acid supplementation on in vivo thalamus glutathione concentration in patients</w:t>
      </w:r>
      <w:r>
        <w:t xml:space="preserve"> </w:t>
      </w:r>
      <w:r>
        <w:t xml:space="preserve">“</w:t>
      </w:r>
      <w:r>
        <w:t xml:space="preserve">at risk</w:t>
      </w:r>
      <w:r>
        <w:t xml:space="preserve">”</w:t>
      </w:r>
      <w:r>
        <w:t xml:space="preserve"> </w:t>
      </w:r>
      <w:r>
        <w:t xml:space="preserve">for major depression. PMID 26333890</w:t>
      </w:r>
    </w:p>
    <w:p>
      <w:pPr>
        <w:numPr>
          <w:ilvl w:val="0"/>
          <w:numId w:val="1414"/>
        </w:numPr>
        <w:pStyle w:val="Compact"/>
      </w:pPr>
      <w:r>
        <w:t xml:space="preserve">2015 · Schmitt B ·</w:t>
      </w:r>
      <w:r>
        <w:t xml:space="preserve"> </w:t>
      </w:r>
      <w:r>
        <w:rPr>
          <w:iCs/>
          <w:i/>
        </w:rPr>
        <w:t xml:space="preserve">Redox Biol</w:t>
      </w:r>
      <w:r>
        <w:t xml:space="preserve"> </w:t>
      </w:r>
      <w:r>
        <w:t xml:space="preserve">· Effects of N-acetylcysteine, oral glutathione (GSH) and a novel sublingual form of GSH on oxidative stress markers: A comparative crossover study. PMID 26262996</w:t>
      </w:r>
    </w:p>
    <w:p>
      <w:pPr>
        <w:numPr>
          <w:ilvl w:val="0"/>
          <w:numId w:val="1414"/>
        </w:numPr>
        <w:pStyle w:val="Compact"/>
      </w:pPr>
      <w:r>
        <w:t xml:space="preserve">2015 · McKinley-Barnard S ·</w:t>
      </w:r>
      <w:r>
        <w:t xml:space="preserve"> </w:t>
      </w:r>
      <w:r>
        <w:rPr>
          <w:iCs/>
          <w:i/>
        </w:rPr>
        <w:t xml:space="preserve">J Int Soc Sports Nutr</w:t>
      </w:r>
      <w:r>
        <w:t xml:space="preserve"> </w:t>
      </w:r>
      <w:r>
        <w:t xml:space="preserve">· Combined L-citrulline and glutathione supplementation increases the concentration of markers indicative of nitric oxide synthesis. PMID 26097441</w:t>
      </w:r>
    </w:p>
    <w:p>
      <w:pPr>
        <w:numPr>
          <w:ilvl w:val="0"/>
          <w:numId w:val="1414"/>
        </w:numPr>
        <w:pStyle w:val="Compact"/>
      </w:pPr>
      <w:r>
        <w:t xml:space="preserve">2015 · Visca A ·</w:t>
      </w:r>
      <w:r>
        <w:t xml:space="preserve"> </w:t>
      </w:r>
      <w:r>
        <w:rPr>
          <w:iCs/>
          <w:i/>
        </w:rPr>
        <w:t xml:space="preserve">J Pediatr Gastroenterol Nutr</w:t>
      </w:r>
      <w:r>
        <w:t xml:space="preserve"> </w:t>
      </w:r>
      <w:r>
        <w:t xml:space="preserve">· Oral reduced L-glutathione improves growth in pediatric cystic fibrosis patients. PMID 25633497</w:t>
      </w:r>
    </w:p>
    <w:p>
      <w:pPr>
        <w:numPr>
          <w:ilvl w:val="0"/>
          <w:numId w:val="1414"/>
        </w:numPr>
        <w:pStyle w:val="Compact"/>
      </w:pPr>
      <w:r>
        <w:t xml:space="preserve">2015 · Richie JP Jr ·</w:t>
      </w:r>
      <w:r>
        <w:t xml:space="preserve"> </w:t>
      </w:r>
      <w:r>
        <w:rPr>
          <w:iCs/>
          <w:i/>
        </w:rPr>
        <w:t xml:space="preserve">Eur J Nutr</w:t>
      </w:r>
      <w:r>
        <w:t xml:space="preserve"> </w:t>
      </w:r>
      <w:r>
        <w:t xml:space="preserve">· Randomized controlled trial of oral glutathione supplementation on body stores of glutathione. PMID 24791752</w:t>
      </w:r>
    </w:p>
    <w:p>
      <w:pPr>
        <w:numPr>
          <w:ilvl w:val="0"/>
          <w:numId w:val="1414"/>
        </w:numPr>
        <w:pStyle w:val="Compact"/>
      </w:pPr>
      <w:r>
        <w:t xml:space="preserve">2014 · Kasperczyk S ·</w:t>
      </w:r>
      <w:r>
        <w:t xml:space="preserve"> </w:t>
      </w:r>
      <w:r>
        <w:rPr>
          <w:iCs/>
          <w:i/>
        </w:rPr>
        <w:t xml:space="preserve">Toxicol Appl Pharmacol</w:t>
      </w:r>
      <w:r>
        <w:t xml:space="preserve"> </w:t>
      </w:r>
      <w:r>
        <w:t xml:space="preserve">· Beta-carotene reduces oxidative stress, improves glutathione metabolism and modifies antioxidant defense systems in lead-exposed workers. PMID 25038314</w:t>
      </w:r>
    </w:p>
    <w:p>
      <w:pPr>
        <w:numPr>
          <w:ilvl w:val="0"/>
          <w:numId w:val="1414"/>
        </w:numPr>
        <w:pStyle w:val="Compact"/>
      </w:pPr>
      <w:r>
        <w:t xml:space="preserve">2014 · Park EY ·</w:t>
      </w:r>
      <w:r>
        <w:t xml:space="preserve"> </w:t>
      </w:r>
      <w:r>
        <w:rPr>
          <w:iCs/>
          <w:i/>
        </w:rPr>
        <w:t xml:space="preserve">J Agric Food Chem</w:t>
      </w:r>
      <w:r>
        <w:t xml:space="preserve"> </w:t>
      </w:r>
      <w:r>
        <w:t xml:space="preserve">· Increase in the protein-bound form of glutathione in human blood after the oral administration of glutathione. PMID 24877771</w:t>
      </w:r>
    </w:p>
    <w:p>
      <w:pPr>
        <w:numPr>
          <w:ilvl w:val="0"/>
          <w:numId w:val="1414"/>
        </w:numPr>
        <w:pStyle w:val="Compact"/>
      </w:pPr>
      <w:r>
        <w:t xml:space="preserve">2014 · Giacosa A ·</w:t>
      </w:r>
      <w:r>
        <w:t xml:space="preserve"> </w:t>
      </w:r>
      <w:r>
        <w:rPr>
          <w:iCs/>
          <w:i/>
        </w:rPr>
        <w:t xml:space="preserve">Nutrients</w:t>
      </w:r>
      <w:r>
        <w:t xml:space="preserve"> </w:t>
      </w:r>
      <w:r>
        <w:t xml:space="preserve">· Selenium fortification of an Italian rice cultivar via foliar fertilization with sodium selenate and its effects on human serum selenium levels and on erythrocyte glutathione peroxidase activity. PMID 24667132</w:t>
      </w:r>
    </w:p>
    <w:p>
      <w:pPr>
        <w:numPr>
          <w:ilvl w:val="0"/>
          <w:numId w:val="1414"/>
        </w:numPr>
        <w:pStyle w:val="Compact"/>
      </w:pPr>
      <w:r>
        <w:t xml:space="preserve">2014 · Green CO ·</w:t>
      </w:r>
      <w:r>
        <w:t xml:space="preserve"> </w:t>
      </w:r>
      <w:r>
        <w:rPr>
          <w:iCs/>
          <w:i/>
        </w:rPr>
        <w:t xml:space="preserve">Am J Clin Nutr</w:t>
      </w:r>
      <w:r>
        <w:t xml:space="preserve"> </w:t>
      </w:r>
      <w:r>
        <w:t xml:space="preserve">· Effects of randomized supplementation of methionine or alanine on cysteine and glutathione production during the early phase of treatment of children with edematous malnutrition. PMID 24598154</w:t>
      </w:r>
    </w:p>
    <w:p>
      <w:pPr>
        <w:numPr>
          <w:ilvl w:val="0"/>
          <w:numId w:val="1414"/>
        </w:numPr>
        <w:pStyle w:val="Compact"/>
      </w:pPr>
      <w:r>
        <w:t xml:space="preserve">2014 · Nguyen D ·</w:t>
      </w:r>
      <w:r>
        <w:t xml:space="preserve"> </w:t>
      </w:r>
      <w:r>
        <w:rPr>
          <w:iCs/>
          <w:i/>
        </w:rPr>
        <w:t xml:space="preserve">J Clin Endocrinol Metab</w:t>
      </w:r>
      <w:r>
        <w:t xml:space="preserve"> </w:t>
      </w:r>
      <w:r>
        <w:t xml:space="preserve">· Effect of increasing glutathione with cysteine and glycine supplementation on mitochondrial fuel oxidation, insulin sensitivity, and body composition in older HIV-infected patients. PMID 24081740</w:t>
      </w:r>
    </w:p>
    <w:p>
      <w:pPr>
        <w:numPr>
          <w:ilvl w:val="0"/>
          <w:numId w:val="1414"/>
        </w:numPr>
        <w:pStyle w:val="Compact"/>
      </w:pPr>
      <w:r>
        <w:t xml:space="preserve">2013 · Holmay MJ ·</w:t>
      </w:r>
      <w:r>
        <w:t xml:space="preserve"> </w:t>
      </w:r>
      <w:r>
        <w:rPr>
          <w:iCs/>
          <w:i/>
        </w:rPr>
        <w:t xml:space="preserve">Clin Neuropharmacol</w:t>
      </w:r>
      <w:r>
        <w:t xml:space="preserve"> </w:t>
      </w:r>
      <w:r>
        <w:t xml:space="preserve">· N-Acetylcysteine boosts brain and blood glutathione in Gaucher and Parkinson diseases. PMID 23860343</w:t>
      </w:r>
    </w:p>
    <w:p>
      <w:pPr>
        <w:numPr>
          <w:ilvl w:val="0"/>
          <w:numId w:val="1414"/>
        </w:numPr>
        <w:pStyle w:val="Compact"/>
      </w:pPr>
      <w:r>
        <w:t xml:space="preserve">2013 · Basu A ·</w:t>
      </w:r>
      <w:r>
        <w:t xml:space="preserve"> </w:t>
      </w:r>
      <w:r>
        <w:rPr>
          <w:iCs/>
          <w:i/>
        </w:rPr>
        <w:t xml:space="preserve">Nutr Res</w:t>
      </w:r>
      <w:r>
        <w:t xml:space="preserve"> </w:t>
      </w:r>
      <w:r>
        <w:t xml:space="preserve">· Green tea supplementation increases glutathione and plasma antioxidant capacity in adults with the metabolic syndrome. PMID 23507223</w:t>
      </w:r>
    </w:p>
    <w:p>
      <w:pPr>
        <w:numPr>
          <w:ilvl w:val="0"/>
          <w:numId w:val="1414"/>
        </w:numPr>
        <w:pStyle w:val="Compact"/>
      </w:pPr>
      <w:r>
        <w:t xml:space="preserve">2013 · Morris D ·</w:t>
      </w:r>
      <w:r>
        <w:t xml:space="preserve"> </w:t>
      </w:r>
      <w:r>
        <w:rPr>
          <w:iCs/>
          <w:i/>
        </w:rPr>
        <w:t xml:space="preserve">J Interferon Cytokine Res</w:t>
      </w:r>
      <w:r>
        <w:t xml:space="preserve"> </w:t>
      </w:r>
      <w:r>
        <w:t xml:space="preserve">· Glutathione supplementation improves macrophage functions in HIV. PMID 23409922</w:t>
      </w:r>
    </w:p>
    <w:p>
      <w:pPr>
        <w:numPr>
          <w:ilvl w:val="0"/>
          <w:numId w:val="1414"/>
        </w:numPr>
        <w:pStyle w:val="Compact"/>
      </w:pPr>
      <w:r>
        <w:t xml:space="preserve">2012 · Miller JC ·</w:t>
      </w:r>
      <w:r>
        <w:t xml:space="preserve"> </w:t>
      </w:r>
      <w:r>
        <w:rPr>
          <w:iCs/>
          <w:i/>
        </w:rPr>
        <w:t xml:space="preserve">Am J Clin Nutr</w:t>
      </w:r>
      <w:r>
        <w:t xml:space="preserve"> </w:t>
      </w:r>
      <w:r>
        <w:t xml:space="preserve">· Influence of the glutathione peroxidase 1 Pro200Leu polymorphism on the response of glutathione peroxidase activity to selenium supplementation: a randomized controlled trial. PMID 22952184</w:t>
      </w:r>
    </w:p>
    <w:p>
      <w:pPr>
        <w:numPr>
          <w:ilvl w:val="0"/>
          <w:numId w:val="1414"/>
        </w:numPr>
        <w:pStyle w:val="Compact"/>
      </w:pPr>
      <w:r>
        <w:t xml:space="preserve">2012 · Treweeke AT ·</w:t>
      </w:r>
      <w:r>
        <w:t xml:space="preserve"> </w:t>
      </w:r>
      <w:r>
        <w:rPr>
          <w:iCs/>
          <w:i/>
        </w:rPr>
        <w:t xml:space="preserve">Diabetologia</w:t>
      </w:r>
      <w:r>
        <w:t xml:space="preserve"> </w:t>
      </w:r>
      <w:r>
        <w:t xml:space="preserve">· N-Acetylcysteine inhibits platelet-monocyte conjugation in patients with type 2 diabetes with depleted intraplatelet glutathione: a randomised controlled trial. PMID 22935960</w:t>
      </w:r>
    </w:p>
    <w:p>
      <w:pPr>
        <w:numPr>
          <w:ilvl w:val="0"/>
          <w:numId w:val="1414"/>
        </w:numPr>
        <w:pStyle w:val="Compact"/>
      </w:pPr>
      <w:r>
        <w:t xml:space="preserve">2012 · Fu P ·</w:t>
      </w:r>
      <w:r>
        <w:t xml:space="preserve"> </w:t>
      </w:r>
      <w:r>
        <w:rPr>
          <w:iCs/>
          <w:i/>
        </w:rPr>
        <w:t xml:space="preserve">Zhong Xi Yi Jie He Xue Bao</w:t>
      </w:r>
      <w:r>
        <w:t xml:space="preserve"> </w:t>
      </w:r>
      <w:r>
        <w:t xml:space="preserve">· [Effects of salvianolate combined with alprostadil and reduced glutathione on progression of chronic renal failure in patients with chronic kidney diseases: a long-term randomized controlled trial]. PMID 22704412</w:t>
      </w:r>
    </w:p>
    <w:p>
      <w:pPr>
        <w:numPr>
          <w:ilvl w:val="0"/>
          <w:numId w:val="1414"/>
        </w:numPr>
        <w:pStyle w:val="Compact"/>
      </w:pPr>
      <w:r>
        <w:t xml:space="preserve">2012 · Chazov EI ·</w:t>
      </w:r>
      <w:r>
        <w:t xml:space="preserve"> </w:t>
      </w:r>
      <w:r>
        <w:rPr>
          <w:iCs/>
          <w:i/>
        </w:rPr>
        <w:t xml:space="preserve">Nitric Oxide</w:t>
      </w:r>
      <w:r>
        <w:t xml:space="preserve"> </w:t>
      </w:r>
      <w:r>
        <w:t xml:space="preserve">· Hypotensive effect of Oxacom® containing a dinitrosyl iron complex with glutathione: animal studies and clinical trials on healthy volunteers. PMID 22326933</w:t>
      </w:r>
    </w:p>
    <w:p>
      <w:pPr>
        <w:numPr>
          <w:ilvl w:val="0"/>
          <w:numId w:val="1414"/>
        </w:numPr>
        <w:pStyle w:val="Compact"/>
      </w:pPr>
      <w:r>
        <w:t xml:space="preserve">2012 · Borges-Santos MD ·</w:t>
      </w:r>
      <w:r>
        <w:t xml:space="preserve"> </w:t>
      </w:r>
      <w:r>
        <w:rPr>
          <w:iCs/>
          <w:i/>
        </w:rPr>
        <w:t xml:space="preserve">Nutrition</w:t>
      </w:r>
      <w:r>
        <w:t xml:space="preserve"> </w:t>
      </w:r>
      <w:r>
        <w:t xml:space="preserve">· Plasma glutathione of HIV⁺ patients responded positively and differently to dietary supplementation with cysteine or glutamine. PMID 22261571</w:t>
      </w:r>
    </w:p>
    <w:p>
      <w:pPr>
        <w:numPr>
          <w:ilvl w:val="0"/>
          <w:numId w:val="1414"/>
        </w:numPr>
        <w:pStyle w:val="Compact"/>
      </w:pPr>
      <w:r>
        <w:t xml:space="preserve">2012 · DiFrancisco-Donoghue J ·</w:t>
      </w:r>
      <w:r>
        <w:t xml:space="preserve"> </w:t>
      </w:r>
      <w:r>
        <w:rPr>
          <w:iCs/>
          <w:i/>
        </w:rPr>
        <w:t xml:space="preserve">Neurodegener Dis</w:t>
      </w:r>
      <w:r>
        <w:t xml:space="preserve"> </w:t>
      </w:r>
      <w:r>
        <w:t xml:space="preserve">· Effects of exercise and B vitamins on homocysteine and glutathione in Parkinson’s disease: a randomized trial. PMID 22261439</w:t>
      </w:r>
    </w:p>
    <w:p>
      <w:pPr>
        <w:numPr>
          <w:ilvl w:val="0"/>
          <w:numId w:val="1414"/>
        </w:numPr>
        <w:pStyle w:val="Compact"/>
      </w:pPr>
      <w:r>
        <w:t xml:space="preserve">2012 · Arjinpathana N ·</w:t>
      </w:r>
      <w:r>
        <w:t xml:space="preserve"> </w:t>
      </w:r>
      <w:r>
        <w:rPr>
          <w:iCs/>
          <w:i/>
        </w:rPr>
        <w:t xml:space="preserve">J Dermatolog Treat</w:t>
      </w:r>
      <w:r>
        <w:t xml:space="preserve"> </w:t>
      </w:r>
      <w:r>
        <w:t xml:space="preserve">· Glutathione as an oral whitening agent: a randomized, double-blind, placebo-controlled study. PMID 20524875</w:t>
      </w:r>
    </w:p>
    <w:p>
      <w:pPr>
        <w:numPr>
          <w:ilvl w:val="0"/>
          <w:numId w:val="1414"/>
        </w:numPr>
        <w:pStyle w:val="Compact"/>
      </w:pPr>
      <w:r>
        <w:t xml:space="preserve">2011 · Kern JK ·</w:t>
      </w:r>
      <w:r>
        <w:t xml:space="preserve"> </w:t>
      </w:r>
      <w:r>
        <w:rPr>
          <w:iCs/>
          <w:i/>
        </w:rPr>
        <w:t xml:space="preserve">Med Sci Monit</w:t>
      </w:r>
      <w:r>
        <w:t xml:space="preserve"> </w:t>
      </w:r>
      <w:r>
        <w:t xml:space="preserve">· A clinical trial of glutathione supplementation in autism spectrum disorders. PMID 22129897</w:t>
      </w:r>
    </w:p>
    <w:p>
      <w:pPr>
        <w:numPr>
          <w:ilvl w:val="0"/>
          <w:numId w:val="1414"/>
        </w:numPr>
        <w:pStyle w:val="Compact"/>
      </w:pPr>
      <w:r>
        <w:t xml:space="preserve">2011 · Chazov EI ·</w:t>
      </w:r>
      <w:r>
        <w:t xml:space="preserve"> </w:t>
      </w:r>
      <w:r>
        <w:rPr>
          <w:iCs/>
          <w:i/>
        </w:rPr>
        <w:t xml:space="preserve">Kardiologiia</w:t>
      </w:r>
      <w:r>
        <w:t xml:space="preserve"> </w:t>
      </w:r>
      <w:r>
        <w:t xml:space="preserve">· [The study of hypotensive action of dinitrosyl-iron complex with glutathione containing drug oxacom in healthy volunteers]. PMID 22117768</w:t>
      </w:r>
    </w:p>
    <w:p>
      <w:pPr>
        <w:numPr>
          <w:ilvl w:val="0"/>
          <w:numId w:val="1414"/>
        </w:numPr>
        <w:pStyle w:val="Compact"/>
      </w:pPr>
      <w:r>
        <w:t xml:space="preserve">2011 · Allen J ·</w:t>
      </w:r>
      <w:r>
        <w:t xml:space="preserve"> </w:t>
      </w:r>
      <w:r>
        <w:rPr>
          <w:iCs/>
          <w:i/>
        </w:rPr>
        <w:t xml:space="preserve">J Altern Complement Med</w:t>
      </w:r>
      <w:r>
        <w:t xml:space="preserve"> </w:t>
      </w:r>
      <w:r>
        <w:t xml:space="preserve">· Effects of oral glutathione supplementation on systemic oxidative stress biomarkers in human volunteers. PMID 21875351</w:t>
      </w:r>
    </w:p>
    <w:p>
      <w:pPr>
        <w:numPr>
          <w:ilvl w:val="0"/>
          <w:numId w:val="1414"/>
        </w:numPr>
        <w:pStyle w:val="Compact"/>
      </w:pPr>
      <w:r>
        <w:t xml:space="preserve">2011 · Sekhar RV ·</w:t>
      </w:r>
      <w:r>
        <w:t xml:space="preserve"> </w:t>
      </w:r>
      <w:r>
        <w:rPr>
          <w:iCs/>
          <w:i/>
        </w:rPr>
        <w:t xml:space="preserve">Am J Clin Nutr</w:t>
      </w:r>
      <w:r>
        <w:t xml:space="preserve"> </w:t>
      </w:r>
      <w:r>
        <w:t xml:space="preserve">· Deficient synthesis of glutathione underlies oxidative stress in aging and can be corrected by dietary cysteine and glycine supplementation. PMID 21795440</w:t>
      </w:r>
    </w:p>
    <w:p>
      <w:pPr>
        <w:numPr>
          <w:ilvl w:val="0"/>
          <w:numId w:val="1414"/>
        </w:numPr>
        <w:pStyle w:val="Compact"/>
      </w:pPr>
      <w:r>
        <w:t xml:space="preserve">2011 · Richie JP Jr ·</w:t>
      </w:r>
      <w:r>
        <w:t xml:space="preserve"> </w:t>
      </w:r>
      <w:r>
        <w:rPr>
          <w:iCs/>
          <w:i/>
        </w:rPr>
        <w:t xml:space="preserve">Nutr Cancer</w:t>
      </w:r>
      <w:r>
        <w:t xml:space="preserve"> </w:t>
      </w:r>
      <w:r>
        <w:t xml:space="preserve">· Association of selenium status and blood glutathione concentrations in blacks and whites. PMID 21462082</w:t>
      </w:r>
    </w:p>
    <w:p>
      <w:pPr>
        <w:numPr>
          <w:ilvl w:val="0"/>
          <w:numId w:val="1414"/>
        </w:numPr>
        <w:pStyle w:val="Compact"/>
      </w:pPr>
      <w:r>
        <w:t xml:space="preserve">2011 · Zhang W ·</w:t>
      </w:r>
      <w:r>
        <w:t xml:space="preserve"> </w:t>
      </w:r>
      <w:r>
        <w:rPr>
          <w:iCs/>
          <w:i/>
        </w:rPr>
        <w:t xml:space="preserve">Nutr Res</w:t>
      </w:r>
      <w:r>
        <w:t xml:space="preserve"> </w:t>
      </w:r>
      <w:r>
        <w:t xml:space="preserve">· Selenium glycinate supplementation increases blood glutathione peroxidase activities and decreases prostate-specific antigen readings in middle-aged US men. PMID 21419321</w:t>
      </w:r>
    </w:p>
    <w:p>
      <w:pPr>
        <w:numPr>
          <w:ilvl w:val="0"/>
          <w:numId w:val="1414"/>
        </w:numPr>
        <w:pStyle w:val="Compact"/>
      </w:pPr>
      <w:r>
        <w:t xml:space="preserve">2011 · Cominetti C ·</w:t>
      </w:r>
      <w:r>
        <w:t xml:space="preserve"> </w:t>
      </w:r>
      <w:r>
        <w:rPr>
          <w:iCs/>
          <w:i/>
        </w:rPr>
        <w:t xml:space="preserve">Nutrition</w:t>
      </w:r>
      <w:r>
        <w:t xml:space="preserve"> </w:t>
      </w:r>
      <w:r>
        <w:t xml:space="preserve">· Associations between glutathione peroxidase-1 Pro198Leu polymorphism, selenium status, and DNA damage levels in obese women after consumption of Brazil nuts. PMID 21208780</w:t>
      </w:r>
    </w:p>
    <w:p>
      <w:pPr>
        <w:numPr>
          <w:ilvl w:val="0"/>
          <w:numId w:val="1414"/>
        </w:numPr>
        <w:pStyle w:val="Compact"/>
      </w:pPr>
      <w:r>
        <w:t xml:space="preserve">2011 · Saitoh T ·</w:t>
      </w:r>
      <w:r>
        <w:t xml:space="preserve"> </w:t>
      </w:r>
      <w:r>
        <w:rPr>
          <w:iCs/>
          <w:i/>
        </w:rPr>
        <w:t xml:space="preserve">Heart Vessels</w:t>
      </w:r>
      <w:r>
        <w:t xml:space="preserve"> </w:t>
      </w:r>
      <w:r>
        <w:t xml:space="preserve">· Intravenous glutathione prevents renal oxidative stress after coronary angiography more effectively than oral N-acetylcysteine. PMID 21127883</w:t>
      </w:r>
    </w:p>
    <w:p>
      <w:pPr>
        <w:numPr>
          <w:ilvl w:val="0"/>
          <w:numId w:val="1414"/>
        </w:numPr>
        <w:pStyle w:val="Compact"/>
      </w:pPr>
      <w:r>
        <w:t xml:space="preserve">2011 · Almog S ·</w:t>
      </w:r>
      <w:r>
        <w:t xml:space="preserve"> </w:t>
      </w:r>
      <w:r>
        <w:rPr>
          <w:iCs/>
          <w:i/>
        </w:rPr>
        <w:t xml:space="preserve">Biol Blood Marrow Transplant</w:t>
      </w:r>
      <w:r>
        <w:t xml:space="preserve"> </w:t>
      </w:r>
      <w:r>
        <w:t xml:space="preserve">· Linearity and stability of intravenous busulfan pharmacokinetics and the role of glutathione in busulfan elimination. PMID 20601034</w:t>
      </w:r>
    </w:p>
    <w:p>
      <w:pPr>
        <w:numPr>
          <w:ilvl w:val="0"/>
          <w:numId w:val="1414"/>
        </w:numPr>
        <w:pStyle w:val="Compact"/>
      </w:pPr>
      <w:r>
        <w:t xml:space="preserve">2010 · Stockler-Pinto MB ·</w:t>
      </w:r>
      <w:r>
        <w:t xml:space="preserve"> </w:t>
      </w:r>
      <w:r>
        <w:rPr>
          <w:iCs/>
          <w:i/>
        </w:rPr>
        <w:t xml:space="preserve">Nutrition</w:t>
      </w:r>
      <w:r>
        <w:t xml:space="preserve"> </w:t>
      </w:r>
      <w:r>
        <w:t xml:space="preserve">· Effect of Brazil nut supplementation on the blood levels of selenium and glutathione peroxidase in hemodialysis patients. PMID 20018488</w:t>
      </w:r>
    </w:p>
    <w:p>
      <w:pPr>
        <w:numPr>
          <w:ilvl w:val="0"/>
          <w:numId w:val="1414"/>
        </w:numPr>
        <w:pStyle w:val="Compact"/>
      </w:pPr>
      <w:r>
        <w:t xml:space="preserve">2010 · Courtney-Martin G ·</w:t>
      </w:r>
      <w:r>
        <w:t xml:space="preserve"> </w:t>
      </w:r>
      <w:r>
        <w:rPr>
          <w:iCs/>
          <w:i/>
        </w:rPr>
        <w:t xml:space="preserve">Pediatr Res</w:t>
      </w:r>
      <w:r>
        <w:t xml:space="preserve"> </w:t>
      </w:r>
      <w:r>
        <w:t xml:space="preserve">· The addition of cysteine to the total sulphur amino acid requirement as methionine does not increase erythrocytes glutathione synthesis in the parenterally fed human neonate. PMID 19915518</w:t>
      </w:r>
    </w:p>
    <w:p>
      <w:pPr>
        <w:numPr>
          <w:ilvl w:val="0"/>
          <w:numId w:val="1414"/>
        </w:numPr>
        <w:pStyle w:val="Compact"/>
      </w:pPr>
      <w:r>
        <w:t xml:space="preserve">2009 · Greenblatt DJ ·</w:t>
      </w:r>
      <w:r>
        <w:t xml:space="preserve"> </w:t>
      </w:r>
      <w:r>
        <w:rPr>
          <w:iCs/>
          <w:i/>
        </w:rPr>
        <w:t xml:space="preserve">Br J Clin Pharmacol</w:t>
      </w:r>
      <w:r>
        <w:t xml:space="preserve"> </w:t>
      </w:r>
      <w:r>
        <w:t xml:space="preserve">· Inhibition of oral midazolam clearance by boosting doses of ritonavir, and by 4,4-dimethyl-benziso-(2H)-selenazine (ALT-2074), an experimental catalytic mimic of glutathione oxidase. PMID 20002087</w:t>
      </w:r>
    </w:p>
    <w:p>
      <w:pPr>
        <w:numPr>
          <w:ilvl w:val="0"/>
          <w:numId w:val="1414"/>
        </w:numPr>
        <w:pStyle w:val="Compact"/>
      </w:pPr>
      <w:r>
        <w:t xml:space="preserve">2009 · Navarro SL ·</w:t>
      </w:r>
      <w:r>
        <w:t xml:space="preserve"> </w:t>
      </w:r>
      <w:r>
        <w:rPr>
          <w:iCs/>
          <w:i/>
        </w:rPr>
        <w:t xml:space="preserve">Cancer Epidemiol Biomarkers Prev</w:t>
      </w:r>
      <w:r>
        <w:t xml:space="preserve"> </w:t>
      </w:r>
      <w:r>
        <w:t xml:space="preserve">· Modulation of human serum glutathione S-transferase A1/2 concentration by cruciferous vegetables in a controlled feeding study is influenced by GSTM1 and GSTT1 genotypes. PMID 19900941</w:t>
      </w:r>
    </w:p>
    <w:p>
      <w:pPr>
        <w:numPr>
          <w:ilvl w:val="0"/>
          <w:numId w:val="1414"/>
        </w:numPr>
        <w:pStyle w:val="Compact"/>
      </w:pPr>
      <w:r>
        <w:t xml:space="preserve">2009 · te Braake FW ·</w:t>
      </w:r>
      <w:r>
        <w:t xml:space="preserve"> </w:t>
      </w:r>
      <w:r>
        <w:rPr>
          <w:iCs/>
          <w:i/>
        </w:rPr>
        <w:t xml:space="preserve">Pediatrics</w:t>
      </w:r>
      <w:r>
        <w:t xml:space="preserve"> </w:t>
      </w:r>
      <w:r>
        <w:t xml:space="preserve">· High-dose cysteine administration does not increase synthesis of the antioxidant glutathione preterm infants. PMID 19822595</w:t>
      </w:r>
    </w:p>
    <w:p>
      <w:pPr>
        <w:numPr>
          <w:ilvl w:val="0"/>
          <w:numId w:val="1414"/>
        </w:numPr>
        <w:pStyle w:val="Compact"/>
      </w:pPr>
      <w:r>
        <w:t xml:space="preserve">2009 · Engel JM ·</w:t>
      </w:r>
      <w:r>
        <w:t xml:space="preserve"> </w:t>
      </w:r>
      <w:r>
        <w:rPr>
          <w:iCs/>
          <w:i/>
        </w:rPr>
        <w:t xml:space="preserve">Acta Anaesthesiol Scand</w:t>
      </w:r>
      <w:r>
        <w:t xml:space="preserve"> </w:t>
      </w:r>
      <w:r>
        <w:t xml:space="preserve">· Glutamine administration in patients undergoing cardiac surgery and the influence on blood glutathione levels. PMID 19681775</w:t>
      </w:r>
    </w:p>
    <w:p>
      <w:pPr>
        <w:numPr>
          <w:ilvl w:val="0"/>
          <w:numId w:val="1414"/>
        </w:numPr>
        <w:pStyle w:val="Compact"/>
      </w:pPr>
      <w:r>
        <w:t xml:space="preserve">2009 · Eroglu A ·</w:t>
      </w:r>
      <w:r>
        <w:t xml:space="preserve"> </w:t>
      </w:r>
      <w:r>
        <w:rPr>
          <w:iCs/>
          <w:i/>
        </w:rPr>
        <w:t xml:space="preserve">Anesth Analg</w:t>
      </w:r>
      <w:r>
        <w:t xml:space="preserve"> </w:t>
      </w:r>
      <w:r>
        <w:t xml:space="preserve">· The effect of intravenous alanyl-glutamine supplementation on plasma glutathione levels in intensive care unit trauma patients receiving enteral nutrition: the results of a randomized controlled trial. PMID 19608826</w:t>
      </w:r>
    </w:p>
    <w:p>
      <w:pPr>
        <w:numPr>
          <w:ilvl w:val="0"/>
          <w:numId w:val="1414"/>
        </w:numPr>
        <w:pStyle w:val="Compact"/>
      </w:pPr>
      <w:r>
        <w:t xml:space="preserve">2009 · Raza A ·</w:t>
      </w:r>
      <w:r>
        <w:t xml:space="preserve"> </w:t>
      </w:r>
      <w:r>
        <w:rPr>
          <w:iCs/>
          <w:i/>
        </w:rPr>
        <w:t xml:space="preserve">J Hematol Oncol</w:t>
      </w:r>
      <w:r>
        <w:t xml:space="preserve"> </w:t>
      </w:r>
      <w:r>
        <w:t xml:space="preserve">· Phase 1-2a multicenter dose-escalation study of ezatiostat hydrochloride liposomes for injection (Telintra, TLK199), a novel glutathione analog prodrug in patients with myelodysplastic syndrome. PMID 19439093</w:t>
      </w:r>
    </w:p>
    <w:p>
      <w:pPr>
        <w:numPr>
          <w:ilvl w:val="0"/>
          <w:numId w:val="1414"/>
        </w:numPr>
        <w:pStyle w:val="Compact"/>
      </w:pPr>
      <w:r>
        <w:t xml:space="preserve">2009 · Yang P ·</w:t>
      </w:r>
      <w:r>
        <w:t xml:space="preserve"> </w:t>
      </w:r>
      <w:r>
        <w:rPr>
          <w:iCs/>
          <w:i/>
        </w:rPr>
        <w:t xml:space="preserve">J Thorac Oncol</w:t>
      </w:r>
      <w:r>
        <w:t xml:space="preserve"> </w:t>
      </w:r>
      <w:r>
        <w:t xml:space="preserve">· Evaluation of glutathione metabolic genes on outcomes in advanced non-small cell lung cancer patients after initial treatment with platinum-based chemotherapy: an NCCTG-97-24-51 based study. PMID 19347979</w:t>
      </w:r>
    </w:p>
    <w:p>
      <w:pPr>
        <w:numPr>
          <w:ilvl w:val="0"/>
          <w:numId w:val="1414"/>
        </w:numPr>
        <w:pStyle w:val="Compact"/>
      </w:pPr>
      <w:r>
        <w:t xml:space="preserve">2009 · Zachara BA ·</w:t>
      </w:r>
      <w:r>
        <w:t xml:space="preserve"> </w:t>
      </w:r>
      <w:r>
        <w:rPr>
          <w:iCs/>
          <w:i/>
        </w:rPr>
        <w:t xml:space="preserve">Acta Biochim Pol</w:t>
      </w:r>
      <w:r>
        <w:t xml:space="preserve"> </w:t>
      </w:r>
      <w:r>
        <w:t xml:space="preserve">· Selenium supplementation to chronic kidney disease patients on hemodialysis does not induce the synthesis of plasma glutathione peroxidase. PMID 19238255</w:t>
      </w:r>
    </w:p>
    <w:p>
      <w:pPr>
        <w:numPr>
          <w:ilvl w:val="0"/>
          <w:numId w:val="1414"/>
        </w:numPr>
        <w:pStyle w:val="Compact"/>
      </w:pPr>
      <w:r>
        <w:t xml:space="preserve">2009 · Hauser RA ·</w:t>
      </w:r>
      <w:r>
        <w:t xml:space="preserve"> </w:t>
      </w:r>
      <w:r>
        <w:rPr>
          <w:iCs/>
          <w:i/>
        </w:rPr>
        <w:t xml:space="preserve">Mov Disord</w:t>
      </w:r>
      <w:r>
        <w:t xml:space="preserve"> </w:t>
      </w:r>
      <w:r>
        <w:t xml:space="preserve">· Randomized, double-blind, pilot evaluation of intravenous glutathione in Parkinson’s disease. PMID 19230029</w:t>
      </w:r>
    </w:p>
    <w:p>
      <w:pPr>
        <w:numPr>
          <w:ilvl w:val="0"/>
          <w:numId w:val="1414"/>
        </w:numPr>
        <w:pStyle w:val="Compact"/>
      </w:pPr>
      <w:r>
        <w:t xml:space="preserve">2009 · Wang Y ·</w:t>
      </w:r>
      <w:r>
        <w:t xml:space="preserve"> </w:t>
      </w:r>
      <w:r>
        <w:rPr>
          <w:iCs/>
          <w:i/>
        </w:rPr>
        <w:t xml:space="preserve">J Nutr</w:t>
      </w:r>
      <w:r>
        <w:t xml:space="preserve"> </w:t>
      </w:r>
      <w:r>
        <w:t xml:space="preserve">· Long-term garlic or micronutrient supplementation, but not anti-Helicobacter pylori therapy, increases serum folate or glutathione without affecting serum vitamin B-12 or homocysteine in a rural Chinese population. PMID 19056661</w:t>
      </w:r>
    </w:p>
    <w:p>
      <w:pPr>
        <w:numPr>
          <w:ilvl w:val="0"/>
          <w:numId w:val="1414"/>
        </w:numPr>
        <w:pStyle w:val="Compact"/>
      </w:pPr>
      <w:r>
        <w:t xml:space="preserve">2008 · Darmaun D ·</w:t>
      </w:r>
      <w:r>
        <w:t xml:space="preserve"> </w:t>
      </w:r>
      <w:r>
        <w:rPr>
          <w:iCs/>
          <w:i/>
        </w:rPr>
        <w:t xml:space="preserve">Pediatr Diabetes</w:t>
      </w:r>
      <w:r>
        <w:t xml:space="preserve"> </w:t>
      </w:r>
      <w:r>
        <w:t xml:space="preserve">· Poorly controlled type 1 diabetes is associated with altered glutathione homeostasis in adolescents: apparent resistance to N-acetylcysteine supplementation. PMID 19067892</w:t>
      </w:r>
    </w:p>
    <w:p>
      <w:pPr>
        <w:numPr>
          <w:ilvl w:val="0"/>
          <w:numId w:val="1414"/>
        </w:numPr>
        <w:pStyle w:val="Compact"/>
      </w:pPr>
      <w:r>
        <w:t xml:space="preserve">2008 · Courtney-Martin G ·</w:t>
      </w:r>
      <w:r>
        <w:t xml:space="preserve"> </w:t>
      </w:r>
      <w:r>
        <w:rPr>
          <w:iCs/>
          <w:i/>
        </w:rPr>
        <w:t xml:space="preserve">J Nutr</w:t>
      </w:r>
      <w:r>
        <w:t xml:space="preserve"> </w:t>
      </w:r>
      <w:r>
        <w:t xml:space="preserve">· Methionine-adequate cysteine-free diet does not limit erythrocyte glutathione synthesis in young healthy adult men. PMID 18936215</w:t>
      </w:r>
    </w:p>
    <w:p>
      <w:pPr>
        <w:numPr>
          <w:ilvl w:val="0"/>
          <w:numId w:val="1414"/>
        </w:numPr>
        <w:pStyle w:val="Compact"/>
      </w:pPr>
      <w:r>
        <w:t xml:space="preserve">2008 · Bede O ·</w:t>
      </w:r>
      <w:r>
        <w:t xml:space="preserve"> </w:t>
      </w:r>
      <w:r>
        <w:rPr>
          <w:iCs/>
          <w:i/>
        </w:rPr>
        <w:t xml:space="preserve">Inflamm Res</w:t>
      </w:r>
      <w:r>
        <w:t xml:space="preserve"> </w:t>
      </w:r>
      <w:r>
        <w:t xml:space="preserve">· Effects of magnesium supplementation on the glutathione redox system in atopic asthmatic children. PMID 18516713</w:t>
      </w:r>
    </w:p>
    <w:p>
      <w:pPr>
        <w:numPr>
          <w:ilvl w:val="0"/>
          <w:numId w:val="1414"/>
        </w:numPr>
        <w:pStyle w:val="Compact"/>
      </w:pPr>
      <w:r>
        <w:t xml:space="preserve">2008 · Berk M ·</w:t>
      </w:r>
      <w:r>
        <w:t xml:space="preserve"> </w:t>
      </w:r>
      <w:r>
        <w:rPr>
          <w:iCs/>
          <w:i/>
        </w:rPr>
        <w:t xml:space="preserve">Biol Psychiatry</w:t>
      </w:r>
      <w:r>
        <w:t xml:space="preserve"> </w:t>
      </w:r>
      <w:r>
        <w:t xml:space="preserve">· N-acetyl cysteine as a glutathione precursor for schizophrenia–a double-blind, randomized, placebo-controlled trial. PMID 18436195</w:t>
      </w:r>
    </w:p>
    <w:p>
      <w:pPr>
        <w:numPr>
          <w:ilvl w:val="0"/>
          <w:numId w:val="1414"/>
        </w:numPr>
        <w:pStyle w:val="Compact"/>
      </w:pPr>
      <w:r>
        <w:t xml:space="preserve">2008 · Méplan C ·</w:t>
      </w:r>
      <w:r>
        <w:t xml:space="preserve"> </w:t>
      </w:r>
      <w:r>
        <w:rPr>
          <w:iCs/>
          <w:i/>
        </w:rPr>
        <w:t xml:space="preserve">Am J Clin Nutr</w:t>
      </w:r>
      <w:r>
        <w:t xml:space="preserve"> </w:t>
      </w:r>
      <w:r>
        <w:t xml:space="preserve">· Functional effects of a common single-nucleotide polymorphism (GPX4c718t) in the glutathione peroxidase 4 gene: interaction with sex. PMID 18400727</w:t>
      </w:r>
    </w:p>
    <w:p>
      <w:pPr>
        <w:numPr>
          <w:ilvl w:val="0"/>
          <w:numId w:val="1414"/>
        </w:numPr>
        <w:pStyle w:val="Compact"/>
      </w:pPr>
      <w:r>
        <w:t xml:space="preserve">2008 · Jariwalla RJ ·</w:t>
      </w:r>
      <w:r>
        <w:t xml:space="preserve"> </w:t>
      </w:r>
      <w:r>
        <w:rPr>
          <w:iCs/>
          <w:i/>
        </w:rPr>
        <w:t xml:space="preserve">J Altern Complement Med</w:t>
      </w:r>
      <w:r>
        <w:t xml:space="preserve"> </w:t>
      </w:r>
      <w:r>
        <w:t xml:space="preserve">· Restoration of blood total glutathione status and lymphocyte function following alpha-lipoic acid supplementation in patients with HIV infection. PMID 18315507</w:t>
      </w:r>
    </w:p>
    <w:p>
      <w:pPr>
        <w:numPr>
          <w:ilvl w:val="0"/>
          <w:numId w:val="1414"/>
        </w:numPr>
        <w:pStyle w:val="Compact"/>
      </w:pPr>
      <w:r>
        <w:t xml:space="preserve">2007 · Zavorsky GS ·</w:t>
      </w:r>
      <w:r>
        <w:t xml:space="preserve"> </w:t>
      </w:r>
      <w:r>
        <w:rPr>
          <w:iCs/>
          <w:i/>
        </w:rPr>
        <w:t xml:space="preserve">Int J Food Sci Nutr</w:t>
      </w:r>
      <w:r>
        <w:t xml:space="preserve"> </w:t>
      </w:r>
      <w:r>
        <w:t xml:space="preserve">· An open-label dose-response study of lymphocyte glutathione levels in healthy men and women receiving pressurized whey protein isolate supplements. PMID 17710587</w:t>
      </w:r>
    </w:p>
    <w:p>
      <w:pPr>
        <w:numPr>
          <w:ilvl w:val="0"/>
          <w:numId w:val="1414"/>
        </w:numPr>
        <w:pStyle w:val="Compact"/>
      </w:pPr>
      <w:r>
        <w:t xml:space="preserve">2006 · Karunasinghe N ·</w:t>
      </w:r>
      <w:r>
        <w:t xml:space="preserve"> </w:t>
      </w:r>
      <w:r>
        <w:rPr>
          <w:iCs/>
          <w:i/>
        </w:rPr>
        <w:t xml:space="preserve">J Nutr</w:t>
      </w:r>
      <w:r>
        <w:t xml:space="preserve"> </w:t>
      </w:r>
      <w:r>
        <w:t xml:space="preserve">· Hemolysate thioredoxin reductase and glutathione peroxidase activities correlate with serum selenium in a group of New Zealand men at high prostate cancer risk. PMID 16857846</w:t>
      </w:r>
    </w:p>
    <w:p>
      <w:pPr>
        <w:numPr>
          <w:ilvl w:val="0"/>
          <w:numId w:val="1414"/>
        </w:numPr>
        <w:pStyle w:val="Compact"/>
      </w:pPr>
      <w:r>
        <w:t xml:space="preserve">2006 · Muran PJ ·</w:t>
      </w:r>
      <w:r>
        <w:t xml:space="preserve"> </w:t>
      </w:r>
      <w:r>
        <w:rPr>
          <w:iCs/>
          <w:i/>
        </w:rPr>
        <w:t xml:space="preserve">Altern Ther Health Med</w:t>
      </w:r>
      <w:r>
        <w:t xml:space="preserve"> </w:t>
      </w:r>
      <w:r>
        <w:t xml:space="preserve">· Mercury elimination with oral DMPS, DMSA, vitamin C, and glutathione: an observational clinical review. PMID 16708769</w:t>
      </w:r>
    </w:p>
    <w:p>
      <w:pPr>
        <w:numPr>
          <w:ilvl w:val="0"/>
          <w:numId w:val="1414"/>
        </w:numPr>
        <w:pStyle w:val="Compact"/>
      </w:pPr>
      <w:r>
        <w:t xml:space="preserve">2006 · Tirouvanziam R ·</w:t>
      </w:r>
      <w:r>
        <w:t xml:space="preserve"> </w:t>
      </w:r>
      <w:r>
        <w:rPr>
          <w:iCs/>
          <w:i/>
        </w:rPr>
        <w:t xml:space="preserve">Proc Natl Acad Sci U S A</w:t>
      </w:r>
      <w:r>
        <w:t xml:space="preserve"> </w:t>
      </w:r>
      <w:r>
        <w:t xml:space="preserve">· High-dose oral N-acetylcysteine, a glutathione prodrug, modulates inflammation in cystic fibrosis. PMID 16537378</w:t>
      </w:r>
    </w:p>
    <w:p>
      <w:pPr>
        <w:numPr>
          <w:ilvl w:val="0"/>
          <w:numId w:val="1414"/>
        </w:numPr>
        <w:pStyle w:val="Compact"/>
      </w:pPr>
      <w:r>
        <w:t xml:space="preserve">2006 · Lavergne SN ·</w:t>
      </w:r>
      <w:r>
        <w:t xml:space="preserve"> </w:t>
      </w:r>
      <w:r>
        <w:rPr>
          <w:iCs/>
          <w:i/>
        </w:rPr>
        <w:t xml:space="preserve">Toxicology</w:t>
      </w:r>
      <w:r>
        <w:t xml:space="preserve"> </w:t>
      </w:r>
      <w:r>
        <w:t xml:space="preserve">· Roles of endogenous ascorbate and glutathione in the cellular reduction and cytotoxicity of sulfamethoxazole-nitroso. PMID 16473451</w:t>
      </w:r>
    </w:p>
    <w:p>
      <w:pPr>
        <w:numPr>
          <w:ilvl w:val="0"/>
          <w:numId w:val="1414"/>
        </w:numPr>
        <w:pStyle w:val="Compact"/>
      </w:pPr>
      <w:r>
        <w:t xml:space="preserve">2006 · Kusama M ·</w:t>
      </w:r>
      <w:r>
        <w:t xml:space="preserve"> </w:t>
      </w:r>
      <w:r>
        <w:rPr>
          <w:iCs/>
          <w:i/>
        </w:rPr>
        <w:t xml:space="preserve">Clin Chim Acta</w:t>
      </w:r>
      <w:r>
        <w:t xml:space="preserve"> </w:t>
      </w:r>
      <w:r>
        <w:t xml:space="preserve">· Influence of glutathione S-transferase A1 polymorphism on the pharmacokinetics of busulfan. PMID 16448639</w:t>
      </w:r>
    </w:p>
    <w:p>
      <w:pPr>
        <w:numPr>
          <w:ilvl w:val="0"/>
          <w:numId w:val="1414"/>
        </w:numPr>
        <w:pStyle w:val="Compact"/>
      </w:pPr>
      <w:r>
        <w:t xml:space="preserve">2005 · Huang ZW ·</w:t>
      </w:r>
      <w:r>
        <w:t xml:space="preserve"> </w:t>
      </w:r>
      <w:r>
        <w:rPr>
          <w:iCs/>
          <w:i/>
        </w:rPr>
        <w:t xml:space="preserve">Zhongguo Wei Zhong Bing Ji Jiu Yi Xue</w:t>
      </w:r>
      <w:r>
        <w:t xml:space="preserve"> </w:t>
      </w:r>
      <w:r>
        <w:t xml:space="preserve">· [Protective effect of reduced glutathione on multiple organ function in patient with acute pancreatitis]. PMID 16297323</w:t>
      </w:r>
    </w:p>
    <w:p>
      <w:pPr>
        <w:numPr>
          <w:ilvl w:val="0"/>
          <w:numId w:val="1414"/>
        </w:numPr>
        <w:pStyle w:val="Compact"/>
      </w:pPr>
      <w:r>
        <w:t xml:space="preserve">2005 · Becker K ·</w:t>
      </w:r>
      <w:r>
        <w:t xml:space="preserve"> </w:t>
      </w:r>
      <w:r>
        <w:rPr>
          <w:iCs/>
          <w:i/>
        </w:rPr>
        <w:t xml:space="preserve">Redox Rep</w:t>
      </w:r>
      <w:r>
        <w:t xml:space="preserve"> </w:t>
      </w:r>
      <w:r>
        <w:t xml:space="preserve">· Effects of antioxidants on glutathione levels and clinical recovery from the malnutrition syndrome kwashiorkor–a pilot study. PMID 16259789</w:t>
      </w:r>
    </w:p>
    <w:p>
      <w:pPr>
        <w:numPr>
          <w:ilvl w:val="0"/>
          <w:numId w:val="1414"/>
        </w:numPr>
        <w:pStyle w:val="Compact"/>
      </w:pPr>
      <w:r>
        <w:t xml:space="preserve">2005 · Rundle AG ·</w:t>
      </w:r>
      <w:r>
        <w:t xml:space="preserve"> </w:t>
      </w:r>
      <w:r>
        <w:rPr>
          <w:iCs/>
          <w:i/>
        </w:rPr>
        <w:t xml:space="preserve">Biomarkers</w:t>
      </w:r>
      <w:r>
        <w:t xml:space="preserve"> </w:t>
      </w:r>
      <w:r>
        <w:t xml:space="preserve">· Preliminary studies on the effect of moderate physical activity on blood levels of glutathione. PMID 16243723</w:t>
      </w:r>
    </w:p>
    <w:p>
      <w:pPr>
        <w:numPr>
          <w:ilvl w:val="0"/>
          <w:numId w:val="1414"/>
        </w:numPr>
        <w:pStyle w:val="Compact"/>
      </w:pPr>
      <w:r>
        <w:t xml:space="preserve">2005 · Janse van Rensburg C ·</w:t>
      </w:r>
      <w:r>
        <w:t xml:space="preserve"> </w:t>
      </w:r>
      <w:r>
        <w:rPr>
          <w:iCs/>
          <w:i/>
        </w:rPr>
        <w:t xml:space="preserve">Eur J Nutr</w:t>
      </w:r>
      <w:r>
        <w:t xml:space="preserve"> </w:t>
      </w:r>
      <w:r>
        <w:t xml:space="preserve">· Rosa roxburghii supplementation in a controlled feeding study increases plasma antioxidant capacity and glutathione redox state. PMID 15782288</w:t>
      </w:r>
    </w:p>
    <w:p>
      <w:pPr>
        <w:numPr>
          <w:ilvl w:val="0"/>
          <w:numId w:val="1414"/>
        </w:numPr>
        <w:pStyle w:val="Compact"/>
      </w:pPr>
      <w:r>
        <w:t xml:space="preserve">2005 · Garolla A ·</w:t>
      </w:r>
      <w:r>
        <w:t xml:space="preserve"> </w:t>
      </w:r>
      <w:r>
        <w:rPr>
          <w:iCs/>
          <w:i/>
        </w:rPr>
        <w:t xml:space="preserve">Fertil Steril</w:t>
      </w:r>
      <w:r>
        <w:t xml:space="preserve"> </w:t>
      </w:r>
      <w:r>
        <w:t xml:space="preserve">· Oral carnitine supplementation increases sperm motility in asthenozoospermic men with normal sperm phospholipid hydroperoxide glutathione peroxidase levels. PMID 15705374</w:t>
      </w:r>
    </w:p>
    <w:p>
      <w:pPr>
        <w:numPr>
          <w:ilvl w:val="0"/>
          <w:numId w:val="1414"/>
        </w:numPr>
        <w:pStyle w:val="Compact"/>
      </w:pPr>
      <w:r>
        <w:t xml:space="preserve">2004 · Chełchowska M ·</w:t>
      </w:r>
      <w:r>
        <w:t xml:space="preserve"> </w:t>
      </w:r>
      <w:r>
        <w:rPr>
          <w:iCs/>
          <w:i/>
        </w:rPr>
        <w:t xml:space="preserve">Przegl Lek</w:t>
      </w:r>
      <w:r>
        <w:t xml:space="preserve"> </w:t>
      </w:r>
      <w:r>
        <w:t xml:space="preserve">· [The effect of vitamin-mineral supplementation on the level of MDA and activity of glutathione peroxidase and superoxide dismutase in blood of matched maternal-cord pairs]. PMID 15792016</w:t>
      </w:r>
    </w:p>
    <w:p>
      <w:pPr>
        <w:numPr>
          <w:ilvl w:val="0"/>
          <w:numId w:val="1414"/>
        </w:numPr>
        <w:pStyle w:val="Compact"/>
      </w:pPr>
      <w:r>
        <w:t xml:space="preserve">2004 · Child DF ·</w:t>
      </w:r>
      <w:r>
        <w:t xml:space="preserve"> </w:t>
      </w:r>
      <w:r>
        <w:rPr>
          <w:iCs/>
          <w:i/>
        </w:rPr>
        <w:t xml:space="preserve">Diabetes Nutr Metab</w:t>
      </w:r>
      <w:r>
        <w:t xml:space="preserve"> </w:t>
      </w:r>
      <w:r>
        <w:t xml:space="preserve">· The effect of oral folic acid on glutathione, glycaemia and lipids in Type 2 diabetes. PMID 15244101</w:t>
      </w:r>
    </w:p>
    <w:p>
      <w:pPr>
        <w:numPr>
          <w:ilvl w:val="0"/>
          <w:numId w:val="1414"/>
        </w:numPr>
        <w:pStyle w:val="Compact"/>
      </w:pPr>
      <w:r>
        <w:t xml:space="preserve">2004 · Zhu BD ·</w:t>
      </w:r>
      <w:r>
        <w:t xml:space="preserve"> </w:t>
      </w:r>
      <w:r>
        <w:rPr>
          <w:iCs/>
          <w:i/>
        </w:rPr>
        <w:t xml:space="preserve">Ai Zheng</w:t>
      </w:r>
      <w:r>
        <w:t xml:space="preserve"> </w:t>
      </w:r>
      <w:r>
        <w:t xml:space="preserve">· [Enhancement of antioxidant capability of cancer patients during chemotherapy by reduced glutathione]. PMID 15087038</w:t>
      </w:r>
    </w:p>
    <w:p>
      <w:pPr>
        <w:numPr>
          <w:ilvl w:val="0"/>
          <w:numId w:val="1414"/>
        </w:numPr>
        <w:pStyle w:val="Compact"/>
      </w:pPr>
      <w:r>
        <w:t xml:space="preserve">2004 · Middleton N ·</w:t>
      </w:r>
      <w:r>
        <w:t xml:space="preserve"> </w:t>
      </w:r>
      <w:r>
        <w:rPr>
          <w:iCs/>
          <w:i/>
        </w:rPr>
        <w:t xml:space="preserve">Int J Food Sci Nutr</w:t>
      </w:r>
      <w:r>
        <w:t xml:space="preserve"> </w:t>
      </w:r>
      <w:r>
        <w:t xml:space="preserve">· Whole blood and mononuclear cell glutathione response to dietary whey protein supplementation in sedentary and trained male human subjects. PMID 14985185</w:t>
      </w:r>
    </w:p>
    <w:p>
      <w:pPr>
        <w:numPr>
          <w:ilvl w:val="0"/>
          <w:numId w:val="1414"/>
        </w:numPr>
        <w:pStyle w:val="Compact"/>
      </w:pPr>
      <w:r>
        <w:t xml:space="preserve">2004 · Vrca VB ·</w:t>
      </w:r>
      <w:r>
        <w:t xml:space="preserve"> </w:t>
      </w:r>
      <w:r>
        <w:rPr>
          <w:iCs/>
          <w:i/>
        </w:rPr>
        <w:t xml:space="preserve">Clin Chim Acta</w:t>
      </w:r>
      <w:r>
        <w:t xml:space="preserve"> </w:t>
      </w:r>
      <w:r>
        <w:t xml:space="preserve">· Supplementation with antioxidants in the treatment of Graves’ disease; the effect on glutathione peroxidase activity and concentration of selenium. PMID 14967159</w:t>
      </w:r>
    </w:p>
    <w:p>
      <w:pPr>
        <w:numPr>
          <w:ilvl w:val="0"/>
          <w:numId w:val="1414"/>
        </w:numPr>
        <w:pStyle w:val="Compact"/>
      </w:pPr>
      <w:r>
        <w:t xml:space="preserve">2003 · Grey V ·</w:t>
      </w:r>
      <w:r>
        <w:t xml:space="preserve"> </w:t>
      </w:r>
      <w:r>
        <w:rPr>
          <w:iCs/>
          <w:i/>
        </w:rPr>
        <w:t xml:space="preserve">J Cyst Fibros</w:t>
      </w:r>
      <w:r>
        <w:t xml:space="preserve"> </w:t>
      </w:r>
      <w:r>
        <w:t xml:space="preserve">· Improved glutathione status in young adult patients with cystic fibrosis supplemented with whey protein. PMID 15463873</w:t>
      </w:r>
    </w:p>
    <w:p>
      <w:pPr>
        <w:numPr>
          <w:ilvl w:val="0"/>
          <w:numId w:val="1414"/>
        </w:numPr>
        <w:pStyle w:val="Compact"/>
      </w:pPr>
      <w:r>
        <w:t xml:space="preserve">2003 · Al-Taie OH ·</w:t>
      </w:r>
      <w:r>
        <w:t xml:space="preserve"> </w:t>
      </w:r>
      <w:r>
        <w:rPr>
          <w:iCs/>
          <w:i/>
        </w:rPr>
        <w:t xml:space="preserve">Nutr Cancer</w:t>
      </w:r>
      <w:r>
        <w:t xml:space="preserve"> </w:t>
      </w:r>
      <w:r>
        <w:t xml:space="preserve">· Selenium supplementation enhances low selenium levels and stimulates glutathione peroxidase activity in peripheral blood and distal colon mucosa in past and present carriers of colon adenomas. PMID 14690787</w:t>
      </w:r>
    </w:p>
    <w:p>
      <w:pPr>
        <w:numPr>
          <w:ilvl w:val="0"/>
          <w:numId w:val="1414"/>
        </w:numPr>
        <w:pStyle w:val="Compact"/>
      </w:pPr>
      <w:r>
        <w:t xml:space="preserve">2003 · Aukrust P ·</w:t>
      </w:r>
      <w:r>
        <w:t xml:space="preserve"> </w:t>
      </w:r>
      <w:r>
        <w:rPr>
          <w:iCs/>
          <w:i/>
        </w:rPr>
        <w:t xml:space="preserve">J Infect Dis</w:t>
      </w:r>
      <w:r>
        <w:t xml:space="preserve"> </w:t>
      </w:r>
      <w:r>
        <w:t xml:space="preserve">· Disturbed glutathione metabolism and decreased antioxidant levels in human immunodeficiency virus-infected patients during highly active antiretroviral therapy–potential immunomodulatory effects of antioxidants. PMID 12854078</w:t>
      </w:r>
    </w:p>
    <w:p>
      <w:pPr>
        <w:numPr>
          <w:ilvl w:val="0"/>
          <w:numId w:val="1414"/>
        </w:numPr>
        <w:pStyle w:val="Compact"/>
      </w:pPr>
      <w:r>
        <w:t xml:space="preserve">2003 · Fläring UB ·</w:t>
      </w:r>
      <w:r>
        <w:t xml:space="preserve"> </w:t>
      </w:r>
      <w:r>
        <w:rPr>
          <w:iCs/>
          <w:i/>
        </w:rPr>
        <w:t xml:space="preserve">Clin Sci (Lond)</w:t>
      </w:r>
      <w:r>
        <w:t xml:space="preserve"> </w:t>
      </w:r>
      <w:r>
        <w:t xml:space="preserve">· Glutamine attenuates post-traumatic glutathione depletion in human muscle. PMID 12605586</w:t>
      </w:r>
    </w:p>
    <w:p>
      <w:pPr>
        <w:numPr>
          <w:ilvl w:val="0"/>
          <w:numId w:val="1414"/>
        </w:numPr>
        <w:pStyle w:val="Compact"/>
      </w:pPr>
      <w:r>
        <w:t xml:space="preserve">2003 · Lenton KJ ·</w:t>
      </w:r>
      <w:r>
        <w:t xml:space="preserve"> </w:t>
      </w:r>
      <w:r>
        <w:rPr>
          <w:iCs/>
          <w:i/>
        </w:rPr>
        <w:t xml:space="preserve">Am J Clin Nutr</w:t>
      </w:r>
      <w:r>
        <w:t xml:space="preserve"> </w:t>
      </w:r>
      <w:r>
        <w:t xml:space="preserve">· Vitamin C augments lymphocyte glutathione in subjects with ascorbate deficiency. PMID 12499341</w:t>
      </w:r>
    </w:p>
    <w:p>
      <w:pPr>
        <w:numPr>
          <w:ilvl w:val="0"/>
          <w:numId w:val="1414"/>
        </w:numPr>
        <w:pStyle w:val="Compact"/>
      </w:pPr>
      <w:r>
        <w:t xml:space="preserve">2002 · Patel BP ·</w:t>
      </w:r>
      <w:r>
        <w:t xml:space="preserve"> </w:t>
      </w:r>
      <w:r>
        <w:rPr>
          <w:iCs/>
          <w:i/>
        </w:rPr>
        <w:t xml:space="preserve">Neoplasma</w:t>
      </w:r>
      <w:r>
        <w:t xml:space="preserve"> </w:t>
      </w:r>
      <w:r>
        <w:t xml:space="preserve">· Serum glutathione-S-transferase and glutathione reductase activity in head and neck cancer patients. PMID 12382026</w:t>
      </w:r>
    </w:p>
    <w:p>
      <w:pPr>
        <w:numPr>
          <w:ilvl w:val="0"/>
          <w:numId w:val="1414"/>
        </w:numPr>
        <w:pStyle w:val="Compact"/>
      </w:pPr>
      <w:r>
        <w:t xml:space="preserve">2002 · Kasperczyk S ·</w:t>
      </w:r>
      <w:r>
        <w:t xml:space="preserve"> </w:t>
      </w:r>
      <w:r>
        <w:rPr>
          <w:iCs/>
          <w:i/>
        </w:rPr>
        <w:t xml:space="preserve">Wiad Lek</w:t>
      </w:r>
      <w:r>
        <w:t xml:space="preserve"> </w:t>
      </w:r>
      <w:r>
        <w:t xml:space="preserve">· [Effect of hyperglycemia on glutathione peroxidase and superoxide dismutase activity in patients with newly diagnosed carbohydrate metabolism disturbances]. PMID 12235692</w:t>
      </w:r>
    </w:p>
    <w:p>
      <w:pPr>
        <w:numPr>
          <w:ilvl w:val="0"/>
          <w:numId w:val="1414"/>
        </w:numPr>
        <w:pStyle w:val="Compact"/>
      </w:pPr>
      <w:r>
        <w:t xml:space="preserve">2002 · Badaloo A ·</w:t>
      </w:r>
      <w:r>
        <w:t xml:space="preserve"> </w:t>
      </w:r>
      <w:r>
        <w:rPr>
          <w:iCs/>
          <w:i/>
        </w:rPr>
        <w:t xml:space="preserve">Am J Clin Nutr</w:t>
      </w:r>
      <w:r>
        <w:t xml:space="preserve"> </w:t>
      </w:r>
      <w:r>
        <w:t xml:space="preserve">· Cysteine supplementation improves the erythrocyte glutathione synthesis rate in children with severe edematous malnutrition. PMID 12198013</w:t>
      </w:r>
    </w:p>
    <w:p>
      <w:pPr>
        <w:numPr>
          <w:ilvl w:val="0"/>
          <w:numId w:val="1414"/>
        </w:numPr>
        <w:pStyle w:val="Compact"/>
      </w:pPr>
      <w:r>
        <w:t xml:space="preserve">2002 · Arosio E ·</w:t>
      </w:r>
      <w:r>
        <w:t xml:space="preserve"> </w:t>
      </w:r>
      <w:r>
        <w:rPr>
          <w:iCs/>
          <w:i/>
        </w:rPr>
        <w:t xml:space="preserve">Mayo Clin Proc</w:t>
      </w:r>
      <w:r>
        <w:t xml:space="preserve"> </w:t>
      </w:r>
      <w:r>
        <w:t xml:space="preserve">· Effect of glutathione infusion on leg arterial circulation, cutaneous microcirculation, and pain-free walking distance in patients with peripheral obstructive arterial disease: a randomized, double-blind, placebo-controlled trial. PMID 12173710</w:t>
      </w:r>
    </w:p>
    <w:p>
      <w:pPr>
        <w:numPr>
          <w:ilvl w:val="0"/>
          <w:numId w:val="1414"/>
        </w:numPr>
        <w:pStyle w:val="Compact"/>
      </w:pPr>
      <w:r>
        <w:t xml:space="preserve">2002 · Roes EM ·</w:t>
      </w:r>
      <w:r>
        <w:t xml:space="preserve"> </w:t>
      </w:r>
      <w:r>
        <w:rPr>
          <w:iCs/>
          <w:i/>
        </w:rPr>
        <w:t xml:space="preserve">Clin Chem Lab Med</w:t>
      </w:r>
      <w:r>
        <w:t xml:space="preserve"> </w:t>
      </w:r>
      <w:r>
        <w:t xml:space="preserve">· Effects of oral N-acetylcysteine on plasma homocysteine and whole blood glutathione levels in healthy, non-pregnant women. PMID 12113295</w:t>
      </w:r>
    </w:p>
    <w:p>
      <w:pPr>
        <w:numPr>
          <w:ilvl w:val="0"/>
          <w:numId w:val="1414"/>
        </w:numPr>
        <w:pStyle w:val="Compact"/>
      </w:pPr>
      <w:r>
        <w:t xml:space="preserve">2002 · Behr J ·</w:t>
      </w:r>
      <w:r>
        <w:t xml:space="preserve"> </w:t>
      </w:r>
      <w:r>
        <w:rPr>
          <w:iCs/>
          <w:i/>
        </w:rPr>
        <w:t xml:space="preserve">Eur Respir J</w:t>
      </w:r>
      <w:r>
        <w:t xml:space="preserve"> </w:t>
      </w:r>
      <w:r>
        <w:t xml:space="preserve">· Intracellular glutathione and bronchoalveolar cells in fibrosing alveolitis: effects of N-acetylcysteine. PMID 12030732</w:t>
      </w:r>
    </w:p>
    <w:p>
      <w:pPr>
        <w:numPr>
          <w:ilvl w:val="0"/>
          <w:numId w:val="1414"/>
        </w:numPr>
        <w:pStyle w:val="Compact"/>
      </w:pPr>
      <w:r>
        <w:t xml:space="preserve">2002 · Micke P ·</w:t>
      </w:r>
      <w:r>
        <w:t xml:space="preserve"> </w:t>
      </w:r>
      <w:r>
        <w:rPr>
          <w:iCs/>
          <w:i/>
        </w:rPr>
        <w:t xml:space="preserve">Eur J Nutr</w:t>
      </w:r>
      <w:r>
        <w:t xml:space="preserve"> </w:t>
      </w:r>
      <w:r>
        <w:t xml:space="preserve">· Effects of long-term supplementation with whey proteins on plasma glutathione levels of HIV-infected patients. PMID 11990003</w:t>
      </w:r>
    </w:p>
    <w:p>
      <w:pPr>
        <w:numPr>
          <w:ilvl w:val="0"/>
          <w:numId w:val="1414"/>
        </w:numPr>
        <w:pStyle w:val="Compact"/>
      </w:pPr>
      <w:r>
        <w:t xml:space="preserve">2001 · Micke P ·</w:t>
      </w:r>
      <w:r>
        <w:t xml:space="preserve"> </w:t>
      </w:r>
      <w:r>
        <w:rPr>
          <w:iCs/>
          <w:i/>
        </w:rPr>
        <w:t xml:space="preserve">Eur J Clin Invest</w:t>
      </w:r>
      <w:r>
        <w:t xml:space="preserve"> </w:t>
      </w:r>
      <w:r>
        <w:t xml:space="preserve">· Oral supplementation with whey proteins increases plasma glutathione levels of HIV-infected patients. PMID 11168457</w:t>
      </w:r>
    </w:p>
    <w:p>
      <w:pPr>
        <w:numPr>
          <w:ilvl w:val="0"/>
          <w:numId w:val="1414"/>
        </w:numPr>
        <w:pStyle w:val="Compact"/>
      </w:pPr>
      <w:r>
        <w:t xml:space="preserve">2000 · Alfthan G ·</w:t>
      </w:r>
      <w:r>
        <w:t xml:space="preserve"> </w:t>
      </w:r>
      <w:r>
        <w:rPr>
          <w:iCs/>
          <w:i/>
        </w:rPr>
        <w:t xml:space="preserve">Biol Trace Elem Res</w:t>
      </w:r>
      <w:r>
        <w:t xml:space="preserve"> </w:t>
      </w:r>
      <w:r>
        <w:t xml:space="preserve">· Selenium supplementation of children in a selenium-deficient area in China: blood selenium levels and glutathione peroxidase activities. PMID 11049204</w:t>
      </w:r>
    </w:p>
    <w:p>
      <w:pPr>
        <w:numPr>
          <w:ilvl w:val="0"/>
          <w:numId w:val="1414"/>
        </w:numPr>
        <w:pStyle w:val="Compact"/>
      </w:pPr>
      <w:r>
        <w:t xml:space="preserve">2000 · De Rosa SC ·</w:t>
      </w:r>
      <w:r>
        <w:t xml:space="preserve"> </w:t>
      </w:r>
      <w:r>
        <w:rPr>
          <w:iCs/>
          <w:i/>
        </w:rPr>
        <w:t xml:space="preserve">Eur J Clin Invest</w:t>
      </w:r>
      <w:r>
        <w:t xml:space="preserve"> </w:t>
      </w:r>
      <w:r>
        <w:t xml:space="preserve">· N-acetylcysteine replenishes glutathione in HIV infection. PMID 11029607</w:t>
      </w:r>
    </w:p>
    <w:p>
      <w:pPr>
        <w:numPr>
          <w:ilvl w:val="0"/>
          <w:numId w:val="1414"/>
        </w:numPr>
        <w:pStyle w:val="Compact"/>
      </w:pPr>
      <w:r>
        <w:t xml:space="preserve">2000 · Jain SK ·</w:t>
      </w:r>
      <w:r>
        <w:t xml:space="preserve"> </w:t>
      </w:r>
      <w:r>
        <w:rPr>
          <w:iCs/>
          <w:i/>
        </w:rPr>
        <w:t xml:space="preserve">Diabetes Care</w:t>
      </w:r>
      <w:r>
        <w:t xml:space="preserve"> </w:t>
      </w:r>
      <w:r>
        <w:t xml:space="preserve">· Vitamin E supplementation restores glutathione and malondialdehyde to normal concentrations in erythrocytes of type 1 diabetic children. PMID 10977039</w:t>
      </w:r>
    </w:p>
    <w:p>
      <w:pPr>
        <w:numPr>
          <w:ilvl w:val="0"/>
          <w:numId w:val="1414"/>
        </w:numPr>
        <w:pStyle w:val="Compact"/>
      </w:pPr>
      <w:r>
        <w:t xml:space="preserve">2000 · Lampe JW ·</w:t>
      </w:r>
      <w:r>
        <w:t xml:space="preserve"> </w:t>
      </w:r>
      <w:r>
        <w:rPr>
          <w:iCs/>
          <w:i/>
        </w:rPr>
        <w:t xml:space="preserve">Cancer Epidemiol Biomarkers Prev</w:t>
      </w:r>
      <w:r>
        <w:t xml:space="preserve"> </w:t>
      </w:r>
      <w:r>
        <w:t xml:space="preserve">· Modulation of human glutathione S-transferases by botanically defined vegetable diets. PMID 10952095</w:t>
      </w:r>
    </w:p>
    <w:p>
      <w:pPr>
        <w:numPr>
          <w:ilvl w:val="0"/>
          <w:numId w:val="1414"/>
        </w:numPr>
        <w:pStyle w:val="Compact"/>
      </w:pPr>
      <w:r>
        <w:t xml:space="preserve">2000 · Polyak MM ·</w:t>
      </w:r>
      <w:r>
        <w:t xml:space="preserve"> </w:t>
      </w:r>
      <w:r>
        <w:rPr>
          <w:iCs/>
          <w:i/>
        </w:rPr>
        <w:t xml:space="preserve">Transplantation</w:t>
      </w:r>
      <w:r>
        <w:t xml:space="preserve"> </w:t>
      </w:r>
      <w:r>
        <w:t xml:space="preserve">· Glutathione supplementation during cold ischemia does not confer early functional advantage in renal transplantation. PMID 10919601</w:t>
      </w:r>
    </w:p>
    <w:p>
      <w:pPr>
        <w:numPr>
          <w:ilvl w:val="0"/>
          <w:numId w:val="1414"/>
        </w:numPr>
        <w:pStyle w:val="Compact"/>
      </w:pPr>
      <w:r>
        <w:t xml:space="preserve">2000 · Ortolani O ·</w:t>
      </w:r>
      <w:r>
        <w:t xml:space="preserve"> </w:t>
      </w:r>
      <w:r>
        <w:rPr>
          <w:iCs/>
          <w:i/>
        </w:rPr>
        <w:t xml:space="preserve">Am J Respir Crit Care Med</w:t>
      </w:r>
      <w:r>
        <w:t xml:space="preserve"> </w:t>
      </w:r>
      <w:r>
        <w:t xml:space="preserve">· The effect of glutathione and N-acetylcysteine on lipoperoxidative damage in patients with early septic shock. PMID 10852765</w:t>
      </w:r>
    </w:p>
    <w:p>
      <w:pPr>
        <w:numPr>
          <w:ilvl w:val="0"/>
          <w:numId w:val="1414"/>
        </w:numPr>
        <w:pStyle w:val="Compact"/>
      </w:pPr>
      <w:r>
        <w:t xml:space="preserve">2000 · Pendyala L ·</w:t>
      </w:r>
      <w:r>
        <w:t xml:space="preserve"> </w:t>
      </w:r>
      <w:r>
        <w:rPr>
          <w:iCs/>
          <w:i/>
        </w:rPr>
        <w:t xml:space="preserve">Clin Cancer Res</w:t>
      </w:r>
      <w:r>
        <w:t xml:space="preserve"> </w:t>
      </w:r>
      <w:r>
        <w:t xml:space="preserve">· Intravenous ifosfamide/mesna is associated with depletion of plasma thiols without depletion of leukocyte glutathione. PMID 10778956</w:t>
      </w:r>
    </w:p>
    <w:p>
      <w:pPr>
        <w:numPr>
          <w:ilvl w:val="0"/>
          <w:numId w:val="1414"/>
        </w:numPr>
        <w:pStyle w:val="Compact"/>
      </w:pPr>
      <w:r>
        <w:t xml:space="preserve">2000 · Jeevanandam M ·</w:t>
      </w:r>
      <w:r>
        <w:t xml:space="preserve"> </w:t>
      </w:r>
      <w:r>
        <w:rPr>
          <w:iCs/>
          <w:i/>
        </w:rPr>
        <w:t xml:space="preserve">Crit Care Med</w:t>
      </w:r>
      <w:r>
        <w:t xml:space="preserve"> </w:t>
      </w:r>
      <w:r>
        <w:t xml:space="preserve">· Altered plasma cytokines and total glutathione levels in parenterally fed critically ill trauma patients with adjuvant recombinant human growth hormone (rhGH) therapy. PMID 10708161</w:t>
      </w:r>
    </w:p>
    <w:p>
      <w:pPr>
        <w:numPr>
          <w:ilvl w:val="0"/>
          <w:numId w:val="1414"/>
        </w:numPr>
        <w:pStyle w:val="Compact"/>
      </w:pPr>
      <w:r>
        <w:t xml:space="preserve">1999 · Barbagallo M ·</w:t>
      </w:r>
      <w:r>
        <w:t xml:space="preserve"> </w:t>
      </w:r>
      <w:r>
        <w:rPr>
          <w:iCs/>
          <w:i/>
        </w:rPr>
        <w:t xml:space="preserve">Hypertension</w:t>
      </w:r>
      <w:r>
        <w:t xml:space="preserve"> </w:t>
      </w:r>
      <w:r>
        <w:t xml:space="preserve">· Effects of vitamin E and glutathione on glucose metabolism: role of magnesium. PMID 10523398</w:t>
      </w:r>
    </w:p>
    <w:p>
      <w:pPr>
        <w:numPr>
          <w:ilvl w:val="0"/>
          <w:numId w:val="1414"/>
        </w:numPr>
        <w:pStyle w:val="Compact"/>
      </w:pPr>
      <w:r>
        <w:t xml:space="preserve">1999 · Galli F ·</w:t>
      </w:r>
      <w:r>
        <w:t xml:space="preserve"> </w:t>
      </w:r>
      <w:r>
        <w:rPr>
          <w:iCs/>
          <w:i/>
        </w:rPr>
        <w:t xml:space="preserve">Clin Chem</w:t>
      </w:r>
      <w:r>
        <w:t xml:space="preserve"> </w:t>
      </w:r>
      <w:r>
        <w:t xml:space="preserve">· Overexpression of erythrocyte glutathione S-transferase in uremia and dialysis. PMID 10508125</w:t>
      </w:r>
    </w:p>
    <w:p>
      <w:pPr>
        <w:numPr>
          <w:ilvl w:val="0"/>
          <w:numId w:val="1414"/>
        </w:numPr>
        <w:pStyle w:val="Compact"/>
      </w:pPr>
      <w:r>
        <w:t xml:space="preserve">1998 · Apostolski S ·</w:t>
      </w:r>
      <w:r>
        <w:t xml:space="preserve"> </w:t>
      </w:r>
      <w:r>
        <w:rPr>
          <w:iCs/>
          <w:i/>
        </w:rPr>
        <w:t xml:space="preserve">J Environ Pathol Toxicol Oncol</w:t>
      </w:r>
      <w:r>
        <w:t xml:space="preserve"> </w:t>
      </w:r>
      <w:r>
        <w:t xml:space="preserve">· Glutathione peroxidase in amyotrophic lateral sclerosis: the effects of selenium supplementation. PMID 9726810</w:t>
      </w:r>
    </w:p>
    <w:p>
      <w:pPr>
        <w:numPr>
          <w:ilvl w:val="0"/>
          <w:numId w:val="1414"/>
        </w:numPr>
        <w:pStyle w:val="Compact"/>
      </w:pPr>
      <w:r>
        <w:t xml:space="preserve">1998 · De Mattia G ·</w:t>
      </w:r>
      <w:r>
        <w:t xml:space="preserve"> </w:t>
      </w:r>
      <w:r>
        <w:rPr>
          <w:iCs/>
          <w:i/>
        </w:rPr>
        <w:t xml:space="preserve">Metabolism</w:t>
      </w:r>
      <w:r>
        <w:t xml:space="preserve"> </w:t>
      </w:r>
      <w:r>
        <w:t xml:space="preserve">· Influence of reduced glutathione infusion on glucose metabolism in patients with non-insulin-dependent diabetes mellitus. PMID 9711998</w:t>
      </w:r>
    </w:p>
    <w:p>
      <w:pPr>
        <w:numPr>
          <w:ilvl w:val="0"/>
          <w:numId w:val="1414"/>
        </w:numPr>
        <w:pStyle w:val="Compact"/>
      </w:pPr>
      <w:r>
        <w:t xml:space="preserve">1998 · Cimino L ·</w:t>
      </w:r>
      <w:r>
        <w:t xml:space="preserve"> </w:t>
      </w:r>
      <w:r>
        <w:rPr>
          <w:iCs/>
          <w:i/>
        </w:rPr>
        <w:t xml:space="preserve">Ital J Gastroenterol Hepatol</w:t>
      </w:r>
      <w:r>
        <w:t xml:space="preserve"> </w:t>
      </w:r>
      <w:r>
        <w:t xml:space="preserve">· Effect of N-acetyl-cysteine on lymphomonocyte glutathione and response to interferon treatment in C-virus chronic hepatitis. PMID 9675657</w:t>
      </w:r>
    </w:p>
    <w:p>
      <w:pPr>
        <w:numPr>
          <w:ilvl w:val="0"/>
          <w:numId w:val="1414"/>
        </w:numPr>
        <w:pStyle w:val="Compact"/>
      </w:pPr>
      <w:r>
        <w:t xml:space="preserve">1998 · Bernhard MC ·</w:t>
      </w:r>
      <w:r>
        <w:t xml:space="preserve"> </w:t>
      </w:r>
      <w:r>
        <w:rPr>
          <w:iCs/>
          <w:i/>
        </w:rPr>
        <w:t xml:space="preserve">J Hepatol</w:t>
      </w:r>
      <w:r>
        <w:t xml:space="preserve"> </w:t>
      </w:r>
      <w:r>
        <w:t xml:space="preserve">· Time course of total cysteine, glutathione and homocysteine in plasma of patients with chronic hepatitis C treated with interferon-alpha with and without supplementation with N-acetylcysteine. PMID 9625308</w:t>
      </w:r>
    </w:p>
    <w:p>
      <w:pPr>
        <w:numPr>
          <w:ilvl w:val="0"/>
          <w:numId w:val="1414"/>
        </w:numPr>
        <w:pStyle w:val="Compact"/>
      </w:pPr>
      <w:r>
        <w:t xml:space="preserve">1997 · Clapper ML ·</w:t>
      </w:r>
      <w:r>
        <w:t xml:space="preserve"> </w:t>
      </w:r>
      <w:r>
        <w:rPr>
          <w:iCs/>
          <w:i/>
        </w:rPr>
        <w:t xml:space="preserve">Clin Cancer Res</w:t>
      </w:r>
      <w:r>
        <w:t xml:space="preserve"> </w:t>
      </w:r>
      <w:r>
        <w:t xml:space="preserve">· Preclinical and clinical evaluation of broccoli supplements as inducers of glutathione S-transferase activity. PMID 9815533</w:t>
      </w:r>
    </w:p>
    <w:p>
      <w:pPr>
        <w:numPr>
          <w:ilvl w:val="0"/>
          <w:numId w:val="1414"/>
        </w:numPr>
        <w:pStyle w:val="Compact"/>
      </w:pPr>
      <w:r>
        <w:t xml:space="preserve">1997 · Konukoğlu D ·</w:t>
      </w:r>
      <w:r>
        <w:t xml:space="preserve"> </w:t>
      </w:r>
      <w:r>
        <w:rPr>
          <w:iCs/>
          <w:i/>
        </w:rPr>
        <w:t xml:space="preserve">J Endocrinol Invest</w:t>
      </w:r>
      <w:r>
        <w:t xml:space="preserve"> </w:t>
      </w:r>
      <w:r>
        <w:t xml:space="preserve">· The erythrocyte glutathione levels during oral glucose tolerance test. PMID 9364250</w:t>
      </w:r>
    </w:p>
    <w:p>
      <w:pPr>
        <w:numPr>
          <w:ilvl w:val="0"/>
          <w:numId w:val="1414"/>
        </w:numPr>
        <w:pStyle w:val="Compact"/>
      </w:pPr>
      <w:r>
        <w:t xml:space="preserve">1997 · Herzenberg LA ·</w:t>
      </w:r>
      <w:r>
        <w:t xml:space="preserve"> </w:t>
      </w:r>
      <w:r>
        <w:rPr>
          <w:iCs/>
          <w:i/>
        </w:rPr>
        <w:t xml:space="preserve">Proc Natl Acad Sci U S A</w:t>
      </w:r>
      <w:r>
        <w:t xml:space="preserve"> </w:t>
      </w:r>
      <w:r>
        <w:t xml:space="preserve">· Glutathione deficiency is associated with impaired survival in HIV disease. PMID 9050888</w:t>
      </w:r>
    </w:p>
    <w:p>
      <w:pPr>
        <w:numPr>
          <w:ilvl w:val="0"/>
          <w:numId w:val="1414"/>
        </w:numPr>
        <w:pStyle w:val="Compact"/>
      </w:pPr>
      <w:r>
        <w:t xml:space="preserve">1996 · Sechi G ·</w:t>
      </w:r>
      <w:r>
        <w:t xml:space="preserve"> </w:t>
      </w:r>
      <w:r>
        <w:rPr>
          <w:iCs/>
          <w:i/>
        </w:rPr>
        <w:t xml:space="preserve">Prog Neuropsychopharmacol Biol Psychiatry</w:t>
      </w:r>
      <w:r>
        <w:t xml:space="preserve"> </w:t>
      </w:r>
      <w:r>
        <w:t xml:space="preserve">· Reduced intravenous glutathione in the treatment of early Parkinson’s disease. PMID 8938817</w:t>
      </w:r>
    </w:p>
    <w:p>
      <w:pPr>
        <w:numPr>
          <w:ilvl w:val="0"/>
          <w:numId w:val="1414"/>
        </w:numPr>
        <w:pStyle w:val="Compact"/>
      </w:pPr>
      <w:r>
        <w:t xml:space="preserve">1996 · Hu JJ ·</w:t>
      </w:r>
      <w:r>
        <w:t xml:space="preserve"> </w:t>
      </w:r>
      <w:r>
        <w:rPr>
          <w:iCs/>
          <w:i/>
        </w:rPr>
        <w:t xml:space="preserve">Cancer Epidemiol Biomarkers Prev</w:t>
      </w:r>
      <w:r>
        <w:t xml:space="preserve"> </w:t>
      </w:r>
      <w:r>
        <w:t xml:space="preserve">· Effects of dietary supplementation of alpha-tocopherol on plasma glutathione and DNA repair activities. PMID 8722217</w:t>
      </w:r>
    </w:p>
    <w:p>
      <w:pPr>
        <w:numPr>
          <w:ilvl w:val="0"/>
          <w:numId w:val="1414"/>
        </w:numPr>
        <w:pStyle w:val="Compact"/>
      </w:pPr>
      <w:r>
        <w:t xml:space="preserve">1996 · Delmas-Beauvieux MC ·</w:t>
      </w:r>
      <w:r>
        <w:t xml:space="preserve"> </w:t>
      </w:r>
      <w:r>
        <w:rPr>
          <w:iCs/>
          <w:i/>
        </w:rPr>
        <w:t xml:space="preserve">Am J Clin Nutr</w:t>
      </w:r>
      <w:r>
        <w:t xml:space="preserve"> </w:t>
      </w:r>
      <w:r>
        <w:t xml:space="preserve">· The enzymatic antioxidant system in blood and glutathione status in human immunodeficiency virus (HIV)-infected patients: effects of supplementation with selenium or beta-carotene. PMID 8669404</w:t>
      </w:r>
    </w:p>
    <w:p>
      <w:pPr>
        <w:numPr>
          <w:ilvl w:val="0"/>
          <w:numId w:val="1414"/>
        </w:numPr>
        <w:pStyle w:val="Compact"/>
      </w:pPr>
      <w:r>
        <w:t xml:space="preserve">1995 · Ramsay B ·</w:t>
      </w:r>
      <w:r>
        <w:t xml:space="preserve"> </w:t>
      </w:r>
      <w:r>
        <w:rPr>
          <w:iCs/>
          <w:i/>
        </w:rPr>
        <w:t xml:space="preserve">Br J Clin Pharmacol</w:t>
      </w:r>
      <w:r>
        <w:t xml:space="preserve"> </w:t>
      </w:r>
      <w:r>
        <w:t xml:space="preserve">· Systemic effects of S-nitroso-glutathione in the human following intravenous infusion. PMID 8527258</w:t>
      </w:r>
    </w:p>
    <w:p>
      <w:pPr>
        <w:numPr>
          <w:ilvl w:val="0"/>
          <w:numId w:val="1414"/>
        </w:numPr>
        <w:pStyle w:val="Compact"/>
      </w:pPr>
      <w:r>
        <w:t xml:space="preserve">1995 · Tessier F ·</w:t>
      </w:r>
      <w:r>
        <w:t xml:space="preserve"> </w:t>
      </w:r>
      <w:r>
        <w:rPr>
          <w:iCs/>
          <w:i/>
        </w:rPr>
        <w:t xml:space="preserve">Med Sci Sports Exerc</w:t>
      </w:r>
      <w:r>
        <w:t xml:space="preserve"> </w:t>
      </w:r>
      <w:r>
        <w:t xml:space="preserve">· Selenium and training effects on the glutathione system and aerobic performance. PMID 7752866</w:t>
      </w:r>
    </w:p>
    <w:p>
      <w:pPr>
        <w:numPr>
          <w:ilvl w:val="0"/>
          <w:numId w:val="1414"/>
        </w:numPr>
        <w:pStyle w:val="Compact"/>
      </w:pPr>
      <w:r>
        <w:t xml:space="preserve">1994 · Bailey HH ·</w:t>
      </w:r>
      <w:r>
        <w:t xml:space="preserve"> </w:t>
      </w:r>
      <w:r>
        <w:rPr>
          <w:iCs/>
          <w:i/>
        </w:rPr>
        <w:t xml:space="preserve">J Clin Oncol</w:t>
      </w:r>
      <w:r>
        <w:t xml:space="preserve"> </w:t>
      </w:r>
      <w:r>
        <w:t xml:space="preserve">· Phase I clinical trial of intravenous L-buthionine sulfoximine and melphalan: an attempt at modulation of glutathione. PMID 8270977</w:t>
      </w:r>
    </w:p>
    <w:p>
      <w:pPr>
        <w:numPr>
          <w:ilvl w:val="0"/>
          <w:numId w:val="1414"/>
        </w:numPr>
        <w:pStyle w:val="Compact"/>
      </w:pPr>
      <w:r>
        <w:t xml:space="preserve">1994 · Meyer A ·</w:t>
      </w:r>
      <w:r>
        <w:t xml:space="preserve"> </w:t>
      </w:r>
      <w:r>
        <w:rPr>
          <w:iCs/>
          <w:i/>
        </w:rPr>
        <w:t xml:space="preserve">Eur Respir J</w:t>
      </w:r>
      <w:r>
        <w:t xml:space="preserve"> </w:t>
      </w:r>
      <w:r>
        <w:t xml:space="preserve">· The effect of oral N-acetylcysteine on lung glutathione levels in idiopathic pulmonary fibrosis. PMID 8013597</w:t>
      </w:r>
    </w:p>
    <w:p>
      <w:pPr>
        <w:numPr>
          <w:ilvl w:val="0"/>
          <w:numId w:val="1414"/>
        </w:numPr>
        <w:pStyle w:val="Compact"/>
      </w:pPr>
      <w:r>
        <w:t xml:space="preserve">1994 · Plaxe S ·</w:t>
      </w:r>
      <w:r>
        <w:t xml:space="preserve"> </w:t>
      </w:r>
      <w:r>
        <w:rPr>
          <w:iCs/>
          <w:i/>
        </w:rPr>
        <w:t xml:space="preserve">Gynecol Oncol</w:t>
      </w:r>
      <w:r>
        <w:t xml:space="preserve"> </w:t>
      </w:r>
      <w:r>
        <w:t xml:space="preserve">· Phase I trial of cisplatin in combination with glutathione. PMID 7959273</w:t>
      </w:r>
    </w:p>
    <w:p>
      <w:pPr>
        <w:numPr>
          <w:ilvl w:val="0"/>
          <w:numId w:val="1414"/>
        </w:numPr>
        <w:pStyle w:val="Compact"/>
      </w:pPr>
      <w:r>
        <w:t xml:space="preserve">1994 · Kinscherf R ·</w:t>
      </w:r>
      <w:r>
        <w:t xml:space="preserve"> </w:t>
      </w:r>
      <w:r>
        <w:rPr>
          <w:iCs/>
          <w:i/>
        </w:rPr>
        <w:t xml:space="preserve">FASEB J</w:t>
      </w:r>
      <w:r>
        <w:t xml:space="preserve"> </w:t>
      </w:r>
      <w:r>
        <w:t xml:space="preserve">· Effect of glutathione depletion and oral N-acetyl-cysteine treatment on CD4+ and CD8+ cells. PMID 7909525</w:t>
      </w:r>
    </w:p>
    <w:p>
      <w:pPr>
        <w:numPr>
          <w:ilvl w:val="0"/>
          <w:numId w:val="1414"/>
        </w:numPr>
        <w:pStyle w:val="Compact"/>
      </w:pPr>
      <w:r>
        <w:t xml:space="preserve">1993 · Thomson CD ·</w:t>
      </w:r>
      <w:r>
        <w:t xml:space="preserve"> </w:t>
      </w:r>
      <w:r>
        <w:rPr>
          <w:iCs/>
          <w:i/>
        </w:rPr>
        <w:t xml:space="preserve">Br J Nutr</w:t>
      </w:r>
      <w:r>
        <w:t xml:space="preserve"> </w:t>
      </w:r>
      <w:r>
        <w:t xml:space="preserve">· Long-term supplementation with selenate and selenomethionine: selenium and glutathione peroxidase (EC 1.11.1.9) in blood components of New Zealand women. PMID 8490010</w:t>
      </w:r>
    </w:p>
    <w:p>
      <w:pPr>
        <w:numPr>
          <w:ilvl w:val="0"/>
          <w:numId w:val="1414"/>
        </w:numPr>
        <w:pStyle w:val="Compact"/>
      </w:pPr>
      <w:r>
        <w:t xml:space="preserve">1993 · Johnston CS ·</w:t>
      </w:r>
      <w:r>
        <w:t xml:space="preserve"> </w:t>
      </w:r>
      <w:r>
        <w:rPr>
          <w:iCs/>
          <w:i/>
        </w:rPr>
        <w:t xml:space="preserve">Am J Clin Nutr</w:t>
      </w:r>
      <w:r>
        <w:t xml:space="preserve"> </w:t>
      </w:r>
      <w:r>
        <w:t xml:space="preserve">· Vitamin C elevates red blood cell glutathione in healthy adults. PMID 8317379</w:t>
      </w:r>
    </w:p>
    <w:p>
      <w:pPr>
        <w:numPr>
          <w:ilvl w:val="0"/>
          <w:numId w:val="1414"/>
        </w:numPr>
        <w:pStyle w:val="Compact"/>
      </w:pPr>
      <w:r>
        <w:t xml:space="preserve">1993 · Jendryczko A ·</w:t>
      </w:r>
      <w:r>
        <w:t xml:space="preserve"> </w:t>
      </w:r>
      <w:r>
        <w:rPr>
          <w:iCs/>
          <w:i/>
        </w:rPr>
        <w:t xml:space="preserve">Zentralbl Gynakol</w:t>
      </w:r>
      <w:r>
        <w:t xml:space="preserve"> </w:t>
      </w:r>
      <w:r>
        <w:t xml:space="preserve">· Effects of two low-dose oral contraceptives on erythrocyte superoxide dismutase, catalase and glutathione peroxidase activities. PMID 8296490</w:t>
      </w:r>
    </w:p>
    <w:p>
      <w:pPr>
        <w:numPr>
          <w:ilvl w:val="0"/>
          <w:numId w:val="1414"/>
        </w:numPr>
        <w:pStyle w:val="Compact"/>
      </w:pPr>
      <w:r>
        <w:t xml:space="preserve">1993 · Suthutvoravut U ·</w:t>
      </w:r>
      <w:r>
        <w:t xml:space="preserve"> </w:t>
      </w:r>
      <w:r>
        <w:rPr>
          <w:iCs/>
          <w:i/>
        </w:rPr>
        <w:t xml:space="preserve">J Med Assoc Thai</w:t>
      </w:r>
      <w:r>
        <w:t xml:space="preserve"> </w:t>
      </w:r>
      <w:r>
        <w:t xml:space="preserve">· Vitamin E status, glutathione peroxidase activity and the effect of vitamin E supplementation in children with thalassemia. PMID 7822984</w:t>
      </w:r>
    </w:p>
    <w:p>
      <w:pPr>
        <w:numPr>
          <w:ilvl w:val="0"/>
          <w:numId w:val="1414"/>
        </w:numPr>
        <w:pStyle w:val="Compact"/>
      </w:pPr>
      <w:r>
        <w:t xml:space="preserve">1992 · Costagliola C ·</w:t>
      </w:r>
      <w:r>
        <w:t xml:space="preserve"> </w:t>
      </w:r>
      <w:r>
        <w:rPr>
          <w:iCs/>
          <w:i/>
        </w:rPr>
        <w:t xml:space="preserve">Nephron</w:t>
      </w:r>
      <w:r>
        <w:t xml:space="preserve"> </w:t>
      </w:r>
      <w:r>
        <w:t xml:space="preserve">· Anemia and chronic renal failure: a therapeutical approach by reduced glutathione parenteral administration. PMID 1501736</w:t>
      </w:r>
    </w:p>
    <w:p>
      <w:pPr>
        <w:numPr>
          <w:ilvl w:val="0"/>
          <w:numId w:val="1414"/>
        </w:numPr>
        <w:pStyle w:val="Compact"/>
      </w:pPr>
      <w:r>
        <w:t xml:space="preserve">1992 · Ortolani O ·</w:t>
      </w:r>
      <w:r>
        <w:t xml:space="preserve"> </w:t>
      </w:r>
      <w:r>
        <w:rPr>
          <w:iCs/>
          <w:i/>
        </w:rPr>
        <w:t xml:space="preserve">Boll Soc Ital Biol Sper</w:t>
      </w:r>
      <w:r>
        <w:t xml:space="preserve"> </w:t>
      </w:r>
      <w:r>
        <w:t xml:space="preserve">· [Usefulness of the prevention of oxygen radical damage in the critical patient using the parenteral administration of reduced glutathione in high doses]. PMID 1463596</w:t>
      </w:r>
    </w:p>
    <w:p>
      <w:pPr>
        <w:numPr>
          <w:ilvl w:val="0"/>
          <w:numId w:val="1414"/>
        </w:numPr>
        <w:pStyle w:val="Compact"/>
      </w:pPr>
      <w:r>
        <w:t xml:space="preserve">1990 · Corbucci GG ·</w:t>
      </w:r>
      <w:r>
        <w:t xml:space="preserve"> </w:t>
      </w:r>
      <w:r>
        <w:rPr>
          <w:iCs/>
          <w:i/>
        </w:rPr>
        <w:t xml:space="preserve">Int J Clin Pharmacol Res</w:t>
      </w:r>
      <w:r>
        <w:t xml:space="preserve"> </w:t>
      </w:r>
      <w:r>
        <w:t xml:space="preserve">· The role of reduced glutathione during the course of acute haemolysis in glucose-6-phosphate dehydrogenase deficient patients: clinical and pharmacodynamic aspects. PMID 1981880</w:t>
      </w:r>
    </w:p>
    <w:p>
      <w:pPr>
        <w:numPr>
          <w:ilvl w:val="0"/>
          <w:numId w:val="1414"/>
        </w:numPr>
        <w:pStyle w:val="Compact"/>
      </w:pPr>
      <w:r>
        <w:t xml:space="preserve">1989 · Vendemiale G ·</w:t>
      </w:r>
      <w:r>
        <w:t xml:space="preserve"> </w:t>
      </w:r>
      <w:r>
        <w:rPr>
          <w:iCs/>
          <w:i/>
        </w:rPr>
        <w:t xml:space="preserve">Scand J Gastroenterol</w:t>
      </w:r>
      <w:r>
        <w:t xml:space="preserve"> </w:t>
      </w:r>
      <w:r>
        <w:t xml:space="preserve">· Effects of oral S-adenosyl-L-methionine on hepatic glutathione in patients with liver disease. PMID 2781235</w:t>
      </w:r>
    </w:p>
    <w:p>
      <w:pPr>
        <w:numPr>
          <w:ilvl w:val="0"/>
          <w:numId w:val="1414"/>
        </w:numPr>
        <w:pStyle w:val="Compact"/>
      </w:pPr>
      <w:r>
        <w:t xml:space="preserve">1988 · Thomson CD ·</w:t>
      </w:r>
      <w:r>
        <w:t xml:space="preserve"> </w:t>
      </w:r>
      <w:r>
        <w:rPr>
          <w:iCs/>
          <w:i/>
        </w:rPr>
        <w:t xml:space="preserve">Am J Clin Nutr</w:t>
      </w:r>
      <w:r>
        <w:t xml:space="preserve"> </w:t>
      </w:r>
      <w:r>
        <w:t xml:space="preserve">· Selenium and vitamin E supplementation: activities of glutathione peroxidase in human tissues. PMID 3407611</w:t>
      </w:r>
    </w:p>
    <w:p>
      <w:pPr>
        <w:numPr>
          <w:ilvl w:val="0"/>
          <w:numId w:val="1414"/>
        </w:numPr>
        <w:pStyle w:val="Compact"/>
      </w:pPr>
      <w:r>
        <w:t xml:space="preserve">1988 · Nève J ·</w:t>
      </w:r>
      <w:r>
        <w:t xml:space="preserve"> </w:t>
      </w:r>
      <w:r>
        <w:rPr>
          <w:iCs/>
          <w:i/>
        </w:rPr>
        <w:t xml:space="preserve">Am J Clin Nutr</w:t>
      </w:r>
      <w:r>
        <w:t xml:space="preserve"> </w:t>
      </w:r>
      <w:r>
        <w:t xml:space="preserve">· Selenium supplementation in healthy Belgian adults: response in platelet glutathione peroxidase activity and other blood indices. PMID 3389320</w:t>
      </w:r>
    </w:p>
    <w:p>
      <w:pPr>
        <w:numPr>
          <w:ilvl w:val="0"/>
          <w:numId w:val="1414"/>
        </w:numPr>
        <w:pStyle w:val="Compact"/>
      </w:pPr>
      <w:r>
        <w:t xml:space="preserve">1988 · Thomson CD ·</w:t>
      </w:r>
      <w:r>
        <w:t xml:space="preserve"> </w:t>
      </w:r>
      <w:r>
        <w:rPr>
          <w:iCs/>
          <w:i/>
        </w:rPr>
        <w:t xml:space="preserve">Biochem Int</w:t>
      </w:r>
      <w:r>
        <w:t xml:space="preserve"> </w:t>
      </w:r>
      <w:r>
        <w:t xml:space="preserve">· The absence of adaptive changes in tissue activities of glutathione-S-transferase, superoxide dismutase and catalase following selenium and vitamin E supplementation in subjects with low selenium status. PMID 3355578</w:t>
      </w:r>
    </w:p>
    <w:p>
      <w:pPr>
        <w:numPr>
          <w:ilvl w:val="0"/>
          <w:numId w:val="1414"/>
        </w:numPr>
        <w:pStyle w:val="Compact"/>
      </w:pPr>
      <w:r>
        <w:t xml:space="preserve">1988 · Clausen J ·</w:t>
      </w:r>
      <w:r>
        <w:t xml:space="preserve"> </w:t>
      </w:r>
      <w:r>
        <w:rPr>
          <w:iCs/>
          <w:i/>
        </w:rPr>
        <w:t xml:space="preserve">Biol Trace Elem Res</w:t>
      </w:r>
      <w:r>
        <w:t xml:space="preserve"> </w:t>
      </w:r>
      <w:r>
        <w:t xml:space="preserve">· Comparison of whole blood selenium values and erythrocyte glutathione peroxidase activities of normal individuals on supplementation with selenate, selenite, L-selenomethionine, and high selenium yeast. PMID 2484510</w:t>
      </w:r>
    </w:p>
    <w:p>
      <w:pPr>
        <w:numPr>
          <w:ilvl w:val="0"/>
          <w:numId w:val="1414"/>
        </w:numPr>
        <w:pStyle w:val="Compact"/>
      </w:pPr>
      <w:r>
        <w:t xml:space="preserve">1985 · Batist G ·</w:t>
      </w:r>
      <w:r>
        <w:t xml:space="preserve"> </w:t>
      </w:r>
      <w:r>
        <w:rPr>
          <w:iCs/>
          <w:i/>
        </w:rPr>
        <w:t xml:space="preserve">Cancer Res</w:t>
      </w:r>
      <w:r>
        <w:t xml:space="preserve"> </w:t>
      </w:r>
      <w:r>
        <w:t xml:space="preserve">· Cardiac and red blood cell glutathione peroxidase: results of a prospective randomized trial in patients on total parenteral nutrition. PMID 3931910</w:t>
      </w:r>
    </w:p>
    <w:p>
      <w:pPr>
        <w:numPr>
          <w:ilvl w:val="0"/>
          <w:numId w:val="1414"/>
        </w:numPr>
        <w:pStyle w:val="Compact"/>
      </w:pPr>
      <w:r>
        <w:t xml:space="preserve">1984 · Sundström H ·</w:t>
      </w:r>
      <w:r>
        <w:t xml:space="preserve"> </w:t>
      </w:r>
      <w:r>
        <w:rPr>
          <w:iCs/>
          <w:i/>
        </w:rPr>
        <w:t xml:space="preserve">Cancer Lett</w:t>
      </w:r>
      <w:r>
        <w:t xml:space="preserve"> </w:t>
      </w:r>
      <w:r>
        <w:t xml:space="preserve">· Serum selenium and glutathione peroxidase, and plasma lipid peroxides in uterine, ovarian or vulvar cancer, and their responses to antioxidants in patients with ovarian cancer. PMID 6498792</w:t>
      </w:r>
    </w:p>
    <w:bookmarkEnd w:id="1161"/>
    <w:bookmarkStart w:id="1162" w:name="bremelanotide-pt-141-16"/>
    <w:p>
      <w:pPr>
        <w:pStyle w:val="Heading2"/>
      </w:pPr>
      <w:r>
        <w:t xml:space="preserve">Bremelanotide (PT-141) (16)</w:t>
      </w:r>
    </w:p>
    <w:p>
      <w:pPr>
        <w:numPr>
          <w:ilvl w:val="0"/>
          <w:numId w:val="1415"/>
        </w:numPr>
        <w:pStyle w:val="Compact"/>
      </w:pPr>
      <w:r>
        <w:t xml:space="preserve">2022 · Simon JA ·</w:t>
      </w:r>
      <w:r>
        <w:t xml:space="preserve"> </w:t>
      </w:r>
      <w:r>
        <w:rPr>
          <w:iCs/>
          <w:i/>
        </w:rPr>
        <w:t xml:space="preserve">J Womens Health (Larchmt)</w:t>
      </w:r>
      <w:r>
        <w:t xml:space="preserve"> </w:t>
      </w:r>
      <w:r>
        <w:t xml:space="preserve">· Prespecified and Integrated Subgroup Analyses from the RECONNECT Phase 3 Studies of Bremelanotide. PMID 35230162</w:t>
      </w:r>
    </w:p>
    <w:p>
      <w:pPr>
        <w:numPr>
          <w:ilvl w:val="0"/>
          <w:numId w:val="1415"/>
        </w:numPr>
        <w:pStyle w:val="Compact"/>
      </w:pPr>
      <w:r>
        <w:t xml:space="preserve">2022 · Clayton AH ·</w:t>
      </w:r>
      <w:r>
        <w:t xml:space="preserve"> </w:t>
      </w:r>
      <w:r>
        <w:rPr>
          <w:iCs/>
          <w:i/>
        </w:rPr>
        <w:t xml:space="preserve">J Womens Health (Larchmt)</w:t>
      </w:r>
      <w:r>
        <w:t xml:space="preserve"> </w:t>
      </w:r>
      <w:r>
        <w:t xml:space="preserve">· Safety Profile of Bremelanotide Across the Clinical Development Program. PMID 35147466</w:t>
      </w:r>
    </w:p>
    <w:p>
      <w:pPr>
        <w:numPr>
          <w:ilvl w:val="0"/>
          <w:numId w:val="1415"/>
        </w:numPr>
        <w:pStyle w:val="Compact"/>
      </w:pPr>
      <w:r>
        <w:t xml:space="preserve">2021 · Koochaki P ·</w:t>
      </w:r>
      <w:r>
        <w:t xml:space="preserve"> </w:t>
      </w:r>
      <w:r>
        <w:rPr>
          <w:iCs/>
          <w:i/>
        </w:rPr>
        <w:t xml:space="preserve">J Womens Health (Larchmt)</w:t>
      </w:r>
      <w:r>
        <w:t xml:space="preserve"> </w:t>
      </w:r>
      <w:r>
        <w:t xml:space="preserve">· The Patient Experience of Premenopausal Women Treated with Bremelanotide for Hypoactive Sexual Desire Disorder: RECONNECT Exit Study Results. PMID 33538638</w:t>
      </w:r>
    </w:p>
    <w:p>
      <w:pPr>
        <w:numPr>
          <w:ilvl w:val="0"/>
          <w:numId w:val="1415"/>
        </w:numPr>
        <w:pStyle w:val="Compact"/>
      </w:pPr>
      <w:r>
        <w:t xml:space="preserve">2019 · Kingsberg SA ·</w:t>
      </w:r>
      <w:r>
        <w:t xml:space="preserve"> </w:t>
      </w:r>
      <w:r>
        <w:rPr>
          <w:iCs/>
          <w:i/>
        </w:rPr>
        <w:t xml:space="preserve">Obstet Gynecol</w:t>
      </w:r>
      <w:r>
        <w:t xml:space="preserve"> </w:t>
      </w:r>
      <w:r>
        <w:t xml:space="preserve">· Bremelanotide for the Treatment of Hypoactive Sexual Desire Disorder: Two Randomized Phase 3 Trials. PMID 31599840</w:t>
      </w:r>
    </w:p>
    <w:p>
      <w:pPr>
        <w:numPr>
          <w:ilvl w:val="0"/>
          <w:numId w:val="1415"/>
        </w:numPr>
        <w:pStyle w:val="Compact"/>
      </w:pPr>
      <w:r>
        <w:t xml:space="preserve">2019 · Althof S ·</w:t>
      </w:r>
      <w:r>
        <w:t xml:space="preserve"> </w:t>
      </w:r>
      <w:r>
        <w:rPr>
          <w:iCs/>
          <w:i/>
        </w:rPr>
        <w:t xml:space="preserve">J Sex Med</w:t>
      </w:r>
      <w:r>
        <w:t xml:space="preserve"> </w:t>
      </w:r>
      <w:r>
        <w:t xml:space="preserve">· Responder Analyses from a Phase 2b Dose-Ranging Study of Bremelanotide. PMID 31277966</w:t>
      </w:r>
    </w:p>
    <w:p>
      <w:pPr>
        <w:numPr>
          <w:ilvl w:val="0"/>
          <w:numId w:val="1415"/>
        </w:numPr>
        <w:pStyle w:val="Compact"/>
      </w:pPr>
      <w:r>
        <w:t xml:space="preserve">2017 · Clayton AH ·</w:t>
      </w:r>
      <w:r>
        <w:t xml:space="preserve"> </w:t>
      </w:r>
      <w:r>
        <w:rPr>
          <w:iCs/>
          <w:i/>
        </w:rPr>
        <w:t xml:space="preserve">Clin Ther</w:t>
      </w:r>
      <w:r>
        <w:t xml:space="preserve"> </w:t>
      </w:r>
      <w:r>
        <w:t xml:space="preserve">· Phase I Randomized Placebo-controlled, Double-blind Study of the Safety and Tolerability of Bremelanotide Coadministered With Ethanol in Healthy Male and Female Participants. PMID 28189361</w:t>
      </w:r>
    </w:p>
    <w:p>
      <w:pPr>
        <w:numPr>
          <w:ilvl w:val="0"/>
          <w:numId w:val="1415"/>
        </w:numPr>
        <w:pStyle w:val="Compact"/>
      </w:pPr>
      <w:r>
        <w:t xml:space="preserve">2017 · White WB ·</w:t>
      </w:r>
      <w:r>
        <w:t xml:space="preserve"> </w:t>
      </w:r>
      <w:r>
        <w:rPr>
          <w:iCs/>
          <w:i/>
        </w:rPr>
        <w:t xml:space="preserve">J Hypertens</w:t>
      </w:r>
      <w:r>
        <w:t xml:space="preserve"> </w:t>
      </w:r>
      <w:r>
        <w:t xml:space="preserve">· Usefulness of ambulatory blood pressure monitoring to assess the melanocortin receptor agonist bremelanotide. PMID 27977473</w:t>
      </w:r>
    </w:p>
    <w:p>
      <w:pPr>
        <w:numPr>
          <w:ilvl w:val="0"/>
          <w:numId w:val="1415"/>
        </w:numPr>
        <w:pStyle w:val="Compact"/>
      </w:pPr>
      <w:r>
        <w:t xml:space="preserve">2016 · Clayton AH ·</w:t>
      </w:r>
      <w:r>
        <w:t xml:space="preserve"> </w:t>
      </w:r>
      <w:r>
        <w:rPr>
          <w:iCs/>
          <w:i/>
        </w:rPr>
        <w:t xml:space="preserve">Womens Health (Lond)</w:t>
      </w:r>
      <w:r>
        <w:t xml:space="preserve"> </w:t>
      </w:r>
      <w:r>
        <w:t xml:space="preserve">· Bremelanotide for female sexual dysfunctions in premenopausal women: a randomized, placebo-controlled dose-finding trial. PMID 27181790</w:t>
      </w:r>
    </w:p>
    <w:p>
      <w:pPr>
        <w:numPr>
          <w:ilvl w:val="0"/>
          <w:numId w:val="1415"/>
        </w:numPr>
        <w:pStyle w:val="Compact"/>
      </w:pPr>
      <w:r>
        <w:t xml:space="preserve">2008 · Safarinejad MR ·</w:t>
      </w:r>
      <w:r>
        <w:t xml:space="preserve"> </w:t>
      </w:r>
      <w:r>
        <w:rPr>
          <w:iCs/>
          <w:i/>
        </w:rPr>
        <w:t xml:space="preserve">J Urol</w:t>
      </w:r>
      <w:r>
        <w:t xml:space="preserve"> </w:t>
      </w:r>
      <w:r>
        <w:t xml:space="preserve">· Salvage of sildenafil failures with bremelanotide: a randomized, double-blind, placebo controlled study. PMID 18206919</w:t>
      </w:r>
    </w:p>
    <w:p>
      <w:pPr>
        <w:numPr>
          <w:ilvl w:val="0"/>
          <w:numId w:val="1415"/>
        </w:numPr>
        <w:pStyle w:val="Compact"/>
      </w:pPr>
      <w:r>
        <w:t xml:space="preserve">2008 · Safarinejad MR ·</w:t>
      </w:r>
      <w:r>
        <w:t xml:space="preserve"> </w:t>
      </w:r>
      <w:r>
        <w:rPr>
          <w:iCs/>
          <w:i/>
        </w:rPr>
        <w:t xml:space="preserve">J Sex Med</w:t>
      </w:r>
      <w:r>
        <w:t xml:space="preserve"> </w:t>
      </w:r>
      <w:r>
        <w:t xml:space="preserve">· RETRACTED: Evaluation of the safety and efficacy of bremelanotide, a melanocortin receptor agonist, in female subjects with arousal disorder: a double-blind placebo-controlled, fixed dose, randomized study. PMID 18179455</w:t>
      </w:r>
    </w:p>
    <w:p>
      <w:pPr>
        <w:numPr>
          <w:ilvl w:val="0"/>
          <w:numId w:val="1415"/>
        </w:numPr>
        <w:pStyle w:val="Compact"/>
      </w:pPr>
      <w:r>
        <w:t xml:space="preserve">2006 · Diamond LE ·</w:t>
      </w:r>
      <w:r>
        <w:t xml:space="preserve"> </w:t>
      </w:r>
      <w:r>
        <w:rPr>
          <w:iCs/>
          <w:i/>
        </w:rPr>
        <w:t xml:space="preserve">J Sex Med</w:t>
      </w:r>
      <w:r>
        <w:t xml:space="preserve"> </w:t>
      </w:r>
      <w:r>
        <w:t xml:space="preserve">· An effect on the subjective sexual response in premenopausal women with sexual arousal disorder by bremelanotide (PT-141), a melanocortin receptor agonist. PMID 16839319</w:t>
      </w:r>
    </w:p>
    <w:p>
      <w:pPr>
        <w:numPr>
          <w:ilvl w:val="0"/>
          <w:numId w:val="1415"/>
        </w:numPr>
        <w:pStyle w:val="Compact"/>
      </w:pPr>
      <w:r>
        <w:t xml:space="preserve">2005 · Diamond LE ·</w:t>
      </w:r>
      <w:r>
        <w:t xml:space="preserve"> </w:t>
      </w:r>
      <w:r>
        <w:rPr>
          <w:iCs/>
          <w:i/>
        </w:rPr>
        <w:t xml:space="preserve">Urology</w:t>
      </w:r>
      <w:r>
        <w:t xml:space="preserve"> </w:t>
      </w:r>
      <w:r>
        <w:t xml:space="preserve">· Co-administration of low doses of intranasal PT-141, a melanocortin receptor agonist, and sildenafil to men with erectile dysfunction results in an enhanced erectile response. PMID 15833522</w:t>
      </w:r>
    </w:p>
    <w:p>
      <w:pPr>
        <w:numPr>
          <w:ilvl w:val="0"/>
          <w:numId w:val="1415"/>
        </w:numPr>
        <w:pStyle w:val="Compact"/>
      </w:pPr>
      <w:r>
        <w:t xml:space="preserve">2004 · Bayés M ·</w:t>
      </w:r>
      <w:r>
        <w:t xml:space="preserve"> </w:t>
      </w:r>
      <w:r>
        <w:rPr>
          <w:iCs/>
          <w:i/>
        </w:rPr>
        <w:t xml:space="preserve">Methods Find Exp Clin Pharmacol</w:t>
      </w:r>
      <w:r>
        <w:t xml:space="preserve"> </w:t>
      </w:r>
      <w:r>
        <w:t xml:space="preserve">· Gateways to clinical trials. PMID 15672123</w:t>
      </w:r>
    </w:p>
    <w:p>
      <w:pPr>
        <w:numPr>
          <w:ilvl w:val="0"/>
          <w:numId w:val="1415"/>
        </w:numPr>
        <w:pStyle w:val="Compact"/>
      </w:pPr>
      <w:r>
        <w:t xml:space="preserve">2004 · Rosen RC ·</w:t>
      </w:r>
      <w:r>
        <w:t xml:space="preserve"> </w:t>
      </w:r>
      <w:r>
        <w:rPr>
          <w:iCs/>
          <w:i/>
        </w:rPr>
        <w:t xml:space="preserve">Int J Impot Res</w:t>
      </w:r>
      <w:r>
        <w:t xml:space="preserve"> </w:t>
      </w:r>
      <w:r>
        <w:t xml:space="preserve">· Evaluation of the safety, pharmacokinetics and pharmacodynamic effects of subcutaneously administered PT-141, a melanocortin receptor agonist, in healthy male subjects and in patients with an inadequate response to Viagra. PMID 14999221</w:t>
      </w:r>
    </w:p>
    <w:p>
      <w:pPr>
        <w:numPr>
          <w:ilvl w:val="0"/>
          <w:numId w:val="1415"/>
        </w:numPr>
        <w:pStyle w:val="Compact"/>
      </w:pPr>
      <w:r>
        <w:t xml:space="preserve">2004 · Diamond LE ·</w:t>
      </w:r>
      <w:r>
        <w:t xml:space="preserve"> </w:t>
      </w:r>
      <w:r>
        <w:rPr>
          <w:iCs/>
          <w:i/>
        </w:rPr>
        <w:t xml:space="preserve">Int J Impot Res</w:t>
      </w:r>
      <w:r>
        <w:t xml:space="preserve"> </w:t>
      </w:r>
      <w:r>
        <w:t xml:space="preserve">· Double-blind, placebo-controlled evaluation of the safety, pharmacokinetic properties and pharmacodynamic effects of intranasal PT-141, a melanocortin receptor agonist, in healthy males and patients with mild-to-moderate erectile dysfunction. PMID 14963471</w:t>
      </w:r>
    </w:p>
    <w:p>
      <w:pPr>
        <w:numPr>
          <w:ilvl w:val="0"/>
          <w:numId w:val="1415"/>
        </w:numPr>
        <w:pStyle w:val="Compact"/>
      </w:pPr>
      <w:r>
        <w:t xml:space="preserve">2003 · Molinoff PB ·</w:t>
      </w:r>
      <w:r>
        <w:t xml:space="preserve"> </w:t>
      </w:r>
      <w:r>
        <w:rPr>
          <w:iCs/>
          <w:i/>
        </w:rPr>
        <w:t xml:space="preserve">Ann N Y Acad Sci</w:t>
      </w:r>
      <w:r>
        <w:t xml:space="preserve"> </w:t>
      </w:r>
      <w:r>
        <w:t xml:space="preserve">· PT-141: a melanocortin agonist for the treatment of sexual dysfunction. PMID 12851303</w:t>
      </w:r>
    </w:p>
    <w:bookmarkEnd w:id="1162"/>
    <w:bookmarkStart w:id="1163" w:name="melanotan-ii-8"/>
    <w:p>
      <w:pPr>
        <w:pStyle w:val="Heading2"/>
      </w:pPr>
      <w:r>
        <w:t xml:space="preserve">Melanotan II (8)</w:t>
      </w:r>
    </w:p>
    <w:p>
      <w:pPr>
        <w:numPr>
          <w:ilvl w:val="0"/>
          <w:numId w:val="1416"/>
        </w:numPr>
        <w:pStyle w:val="Compact"/>
      </w:pPr>
      <w:r>
        <w:t xml:space="preserve">2006 · Fitzgerald LM ·</w:t>
      </w:r>
      <w:r>
        <w:t xml:space="preserve"> </w:t>
      </w:r>
      <w:r>
        <w:rPr>
          <w:iCs/>
          <w:i/>
        </w:rPr>
        <w:t xml:space="preserve">Peptides</w:t>
      </w:r>
      <w:r>
        <w:t xml:space="preserve"> </w:t>
      </w:r>
      <w:r>
        <w:t xml:space="preserve">· Effect of MELANOTAN, [Nle(4), D-Phe(7)]-alpha-MSH, on melanin synthesis in humans with MC1R variant alleles. PMID 16293341</w:t>
      </w:r>
    </w:p>
    <w:p>
      <w:pPr>
        <w:numPr>
          <w:ilvl w:val="0"/>
          <w:numId w:val="1416"/>
        </w:numPr>
        <w:pStyle w:val="Compact"/>
      </w:pPr>
      <w:r>
        <w:t xml:space="preserve">2004 · Dorr RT ·</w:t>
      </w:r>
      <w:r>
        <w:t xml:space="preserve"> </w:t>
      </w:r>
      <w:r>
        <w:rPr>
          <w:iCs/>
          <w:i/>
        </w:rPr>
        <w:t xml:space="preserve">Arch Dermatol</w:t>
      </w:r>
      <w:r>
        <w:t xml:space="preserve"> </w:t>
      </w:r>
      <w:r>
        <w:t xml:space="preserve">· Effects of a superpotent melanotropic peptide in combination with solar UV radiation on tanning of the skin in human volunteers. PMID 15262693</w:t>
      </w:r>
    </w:p>
    <w:p>
      <w:pPr>
        <w:numPr>
          <w:ilvl w:val="0"/>
          <w:numId w:val="1416"/>
        </w:numPr>
        <w:pStyle w:val="Compact"/>
      </w:pPr>
      <w:r>
        <w:t xml:space="preserve">2000 · Dorr RT ·</w:t>
      </w:r>
      <w:r>
        <w:t xml:space="preserve"> </w:t>
      </w:r>
      <w:r>
        <w:rPr>
          <w:iCs/>
          <w:i/>
        </w:rPr>
        <w:t xml:space="preserve">Photochem Photobiol</w:t>
      </w:r>
      <w:r>
        <w:t xml:space="preserve"> </w:t>
      </w:r>
      <w:r>
        <w:t xml:space="preserve">· Increased eumelanin expression and tanning is induced by a superpotent melanotropin [Nle4-D-Phe7]-alpha-MSH in humans. PMID 11045725</w:t>
      </w:r>
    </w:p>
    <w:p>
      <w:pPr>
        <w:numPr>
          <w:ilvl w:val="0"/>
          <w:numId w:val="1416"/>
        </w:numPr>
        <w:pStyle w:val="Compact"/>
      </w:pPr>
      <w:r>
        <w:t xml:space="preserve">2000 · Wessells H ·</w:t>
      </w:r>
      <w:r>
        <w:t xml:space="preserve"> </w:t>
      </w:r>
      <w:r>
        <w:rPr>
          <w:iCs/>
          <w:i/>
        </w:rPr>
        <w:t xml:space="preserve">Int J Impot Res</w:t>
      </w:r>
      <w:r>
        <w:t xml:space="preserve"> </w:t>
      </w:r>
      <w:r>
        <w:t xml:space="preserve">· Melanocortin receptor agonists, penile erection, and sexual motivation: human studies with Melanotan II. PMID 11035391</w:t>
      </w:r>
    </w:p>
    <w:p>
      <w:pPr>
        <w:numPr>
          <w:ilvl w:val="0"/>
          <w:numId w:val="1416"/>
        </w:numPr>
        <w:pStyle w:val="Compact"/>
      </w:pPr>
      <w:r>
        <w:t xml:space="preserve">2000 · Wessells H ·</w:t>
      </w:r>
      <w:r>
        <w:t xml:space="preserve"> </w:t>
      </w:r>
      <w:r>
        <w:rPr>
          <w:iCs/>
          <w:i/>
        </w:rPr>
        <w:t xml:space="preserve">Urology</w:t>
      </w:r>
      <w:r>
        <w:t xml:space="preserve"> </w:t>
      </w:r>
      <w:r>
        <w:t xml:space="preserve">· Effect of an alpha-melanocyte stimulating hormone analog on penile erection and sexual desire in men with organic erectile dysfunction. PMID 11018622</w:t>
      </w:r>
    </w:p>
    <w:p>
      <w:pPr>
        <w:numPr>
          <w:ilvl w:val="0"/>
          <w:numId w:val="1416"/>
        </w:numPr>
        <w:pStyle w:val="Compact"/>
      </w:pPr>
      <w:r>
        <w:t xml:space="preserve">1998 · Wessells H ·</w:t>
      </w:r>
      <w:r>
        <w:t xml:space="preserve"> </w:t>
      </w:r>
      <w:r>
        <w:rPr>
          <w:iCs/>
          <w:i/>
        </w:rPr>
        <w:t xml:space="preserve">J Urol</w:t>
      </w:r>
      <w:r>
        <w:t xml:space="preserve"> </w:t>
      </w:r>
      <w:r>
        <w:t xml:space="preserve">· Synthetic melanotropic peptide initiates erections in men with psychogenic erectile dysfunction: double-blind, placebo controlled crossover study. PMID 9679884</w:t>
      </w:r>
    </w:p>
    <w:p>
      <w:pPr>
        <w:numPr>
          <w:ilvl w:val="0"/>
          <w:numId w:val="1416"/>
        </w:numPr>
        <w:pStyle w:val="Compact"/>
      </w:pPr>
      <w:r>
        <w:t xml:space="preserve">1997 · Ugwu SO ·</w:t>
      </w:r>
      <w:r>
        <w:t xml:space="preserve"> </w:t>
      </w:r>
      <w:r>
        <w:rPr>
          <w:iCs/>
          <w:i/>
        </w:rPr>
        <w:t xml:space="preserve">Biopharm Drug Dispos</w:t>
      </w:r>
      <w:r>
        <w:t xml:space="preserve"> </w:t>
      </w:r>
      <w:r>
        <w:t xml:space="preserve">· Skin pigmentation and pharmacokinetics of melanotan-I in humans. PMID 9113347</w:t>
      </w:r>
    </w:p>
    <w:p>
      <w:pPr>
        <w:numPr>
          <w:ilvl w:val="0"/>
          <w:numId w:val="1416"/>
        </w:numPr>
        <w:pStyle w:val="Compact"/>
      </w:pPr>
      <w:r>
        <w:t xml:space="preserve">1996 · Dorr RT ·</w:t>
      </w:r>
      <w:r>
        <w:t xml:space="preserve"> </w:t>
      </w:r>
      <w:r>
        <w:rPr>
          <w:iCs/>
          <w:i/>
        </w:rPr>
        <w:t xml:space="preserve">Life Sci</w:t>
      </w:r>
      <w:r>
        <w:t xml:space="preserve"> </w:t>
      </w:r>
      <w:r>
        <w:t xml:space="preserve">· Evaluation of melanotan-II, a superpotent cyclic melanotropic peptide in a pilot phase-I clinical study. PMID 8637402</w:t>
      </w:r>
    </w:p>
    <w:bookmarkEnd w:id="1163"/>
    <w:bookmarkStart w:id="1164" w:name="afamelanotide-10"/>
    <w:p>
      <w:pPr>
        <w:pStyle w:val="Heading2"/>
      </w:pPr>
      <w:r>
        <w:t xml:space="preserve">Afamelanotide (10)</w:t>
      </w:r>
    </w:p>
    <w:p>
      <w:pPr>
        <w:numPr>
          <w:ilvl w:val="0"/>
          <w:numId w:val="1417"/>
        </w:numPr>
        <w:pStyle w:val="Compact"/>
      </w:pPr>
      <w:r>
        <w:t xml:space="preserve">2026 · Shetty N ·</w:t>
      </w:r>
      <w:r>
        <w:t xml:space="preserve"> </w:t>
      </w:r>
      <w:r>
        <w:rPr>
          <w:iCs/>
          <w:i/>
        </w:rPr>
        <w:t xml:space="preserve">Photochem Photobiol</w:t>
      </w:r>
      <w:r>
        <w:t xml:space="preserve"> </w:t>
      </w:r>
      <w:r>
        <w:t xml:space="preserve">· Adjunctive use of Polypodium leucotomos extract in patients with erythropoietic protoporphyria: An exploratory study. PMID 41766687</w:t>
      </w:r>
    </w:p>
    <w:p>
      <w:pPr>
        <w:numPr>
          <w:ilvl w:val="0"/>
          <w:numId w:val="1417"/>
        </w:numPr>
        <w:pStyle w:val="Compact"/>
      </w:pPr>
      <w:r>
        <w:t xml:space="preserve">2023 · Stanislaus V ·</w:t>
      </w:r>
      <w:r>
        <w:t xml:space="preserve"> </w:t>
      </w:r>
      <w:r>
        <w:rPr>
          <w:iCs/>
          <w:i/>
        </w:rPr>
        <w:t xml:space="preserve">BMC Neurol</w:t>
      </w:r>
      <w:r>
        <w:t xml:space="preserve"> </w:t>
      </w:r>
      <w:r>
        <w:t xml:space="preserve">· A feasibility and safety study of afamelanotide in acute stroke patients - an open label, proof of concept, phase iia clinical trial. PMID 37496004</w:t>
      </w:r>
    </w:p>
    <w:p>
      <w:pPr>
        <w:numPr>
          <w:ilvl w:val="0"/>
          <w:numId w:val="1417"/>
        </w:numPr>
        <w:pStyle w:val="Compact"/>
      </w:pPr>
      <w:r>
        <w:t xml:space="preserve">2020 · Toh JJH ·</w:t>
      </w:r>
      <w:r>
        <w:t xml:space="preserve"> </w:t>
      </w:r>
      <w:r>
        <w:rPr>
          <w:iCs/>
          <w:i/>
        </w:rPr>
        <w:t xml:space="preserve">J Am Acad Dermatol</w:t>
      </w:r>
      <w:r>
        <w:t xml:space="preserve"> </w:t>
      </w:r>
      <w:r>
        <w:t xml:space="preserve">· Afamelanotide implants and narrow-band ultraviolet B phototherapy for the treatment of nonsegmental vitiligo in Asians. PMID 31987791</w:t>
      </w:r>
    </w:p>
    <w:p>
      <w:pPr>
        <w:numPr>
          <w:ilvl w:val="0"/>
          <w:numId w:val="1417"/>
        </w:numPr>
        <w:pStyle w:val="Compact"/>
      </w:pPr>
      <w:r>
        <w:t xml:space="preserve">2015 · Langendonk JG ·</w:t>
      </w:r>
      <w:r>
        <w:t xml:space="preserve"> </w:t>
      </w:r>
      <w:r>
        <w:rPr>
          <w:iCs/>
          <w:i/>
        </w:rPr>
        <w:t xml:space="preserve">N Engl J Med</w:t>
      </w:r>
      <w:r>
        <w:t xml:space="preserve"> </w:t>
      </w:r>
      <w:r>
        <w:t xml:space="preserve">· Afamelanotide for Erythropoietic Protoporphyria. PMID 26132941</w:t>
      </w:r>
    </w:p>
    <w:p>
      <w:pPr>
        <w:numPr>
          <w:ilvl w:val="0"/>
          <w:numId w:val="1417"/>
        </w:numPr>
        <w:pStyle w:val="Compact"/>
      </w:pPr>
      <w:r>
        <w:t xml:space="preserve">2015 · Lengweiler S ·</w:t>
      </w:r>
      <w:r>
        <w:t xml:space="preserve"> </w:t>
      </w:r>
      <w:r>
        <w:rPr>
          <w:iCs/>
          <w:i/>
        </w:rPr>
        <w:t xml:space="preserve">Skin Pharmacol Physiol</w:t>
      </w:r>
      <w:r>
        <w:t xml:space="preserve"> </w:t>
      </w:r>
      <w:r>
        <w:t xml:space="preserve">· Evaluation of the immunogenicity of the synthetic α-melanocyte-stimulating hormone (α-MSH) analogue afamelanotide ([Nle4-D-Phe7]-α-MSH, Scenesse®) in erythropoietic protoporphyria patients by ELISA detecting both anti-afamelanotide and anti-α-MSH antibodies. PMID 25402764</w:t>
      </w:r>
    </w:p>
    <w:p>
      <w:pPr>
        <w:numPr>
          <w:ilvl w:val="0"/>
          <w:numId w:val="1417"/>
        </w:numPr>
        <w:pStyle w:val="Compact"/>
      </w:pPr>
      <w:r>
        <w:t xml:space="preserve">2015 · Lim HW ·</w:t>
      </w:r>
      <w:r>
        <w:t xml:space="preserve"> </w:t>
      </w:r>
      <w:r>
        <w:rPr>
          <w:iCs/>
          <w:i/>
        </w:rPr>
        <w:t xml:space="preserve">JAMA Dermatol</w:t>
      </w:r>
      <w:r>
        <w:t xml:space="preserve"> </w:t>
      </w:r>
      <w:r>
        <w:t xml:space="preserve">· Afamelanotide and narrowband UV-B phototherapy for the treatment of vitiligo: a randomized multicenter trial. PMID 25230094</w:t>
      </w:r>
    </w:p>
    <w:p>
      <w:pPr>
        <w:numPr>
          <w:ilvl w:val="0"/>
          <w:numId w:val="1417"/>
        </w:numPr>
        <w:pStyle w:val="Compact"/>
      </w:pPr>
      <w:r>
        <w:t xml:space="preserve">2014 · Biolcati G ·</w:t>
      </w:r>
      <w:r>
        <w:t xml:space="preserve"> </w:t>
      </w:r>
      <w:r>
        <w:rPr>
          <w:iCs/>
          <w:i/>
        </w:rPr>
        <w:t xml:space="preserve">Clin Exp Dermatol</w:t>
      </w:r>
      <w:r>
        <w:t xml:space="preserve"> </w:t>
      </w:r>
      <w:r>
        <w:t xml:space="preserve">· Efficacy of the melanocortin analogue Nle4-D-Phe7-α-melanocyte-stimulating hormone in the treatment of patients with Hailey-Hailey disease. PMID 24256215</w:t>
      </w:r>
    </w:p>
    <w:p>
      <w:pPr>
        <w:numPr>
          <w:ilvl w:val="0"/>
          <w:numId w:val="1417"/>
        </w:numPr>
        <w:pStyle w:val="Compact"/>
      </w:pPr>
      <w:r>
        <w:t xml:space="preserve">2014 · Böhm M ·</w:t>
      </w:r>
      <w:r>
        <w:t xml:space="preserve"> </w:t>
      </w:r>
      <w:r>
        <w:rPr>
          <w:iCs/>
          <w:i/>
        </w:rPr>
        <w:t xml:space="preserve">J Eur Acad Dermatol Venereol</w:t>
      </w:r>
      <w:r>
        <w:t xml:space="preserve"> </w:t>
      </w:r>
      <w:r>
        <w:t xml:space="preserve">· Beneficial effects of the melanocortin analogue Nle4-D-Phe7-α-MSH in acne vulgaris. PMID 22845050</w:t>
      </w:r>
    </w:p>
    <w:p>
      <w:pPr>
        <w:numPr>
          <w:ilvl w:val="0"/>
          <w:numId w:val="1417"/>
        </w:numPr>
        <w:pStyle w:val="Compact"/>
      </w:pPr>
      <w:r>
        <w:t xml:space="preserve">2011 · Haylett AK ·</w:t>
      </w:r>
      <w:r>
        <w:t xml:space="preserve"> </w:t>
      </w:r>
      <w:r>
        <w:rPr>
          <w:iCs/>
          <w:i/>
        </w:rPr>
        <w:t xml:space="preserve">Br J Dermatol</w:t>
      </w:r>
      <w:r>
        <w:t xml:space="preserve"> </w:t>
      </w:r>
      <w:r>
        <w:t xml:space="preserve">· Systemic photoprotection in solar urticaria with α-melanocyte-stimulating hormone analogue [Nle4-D-Phe7]-α-MSH. PMID 20969564</w:t>
      </w:r>
    </w:p>
    <w:p>
      <w:pPr>
        <w:numPr>
          <w:ilvl w:val="0"/>
          <w:numId w:val="1417"/>
        </w:numPr>
        <w:pStyle w:val="Compact"/>
      </w:pPr>
      <w:r>
        <w:t xml:space="preserve">2009 · Harms JH ·</w:t>
      </w:r>
      <w:r>
        <w:t xml:space="preserve"> </w:t>
      </w:r>
      <w:r>
        <w:rPr>
          <w:iCs/>
          <w:i/>
        </w:rPr>
        <w:t xml:space="preserve">Photochem Photobiol</w:t>
      </w:r>
      <w:r>
        <w:t xml:space="preserve"> </w:t>
      </w:r>
      <w:r>
        <w:t xml:space="preserve">· Mitigating photosensitivity of erythropoietic protoporphyria patients by an agonistic analog of alpha-melanocyte stimulating hormone. PMID 19656325</w:t>
      </w:r>
    </w:p>
    <w:bookmarkEnd w:id="1164"/>
    <w:bookmarkStart w:id="1165" w:name="kisspeptine-37"/>
    <w:p>
      <w:pPr>
        <w:pStyle w:val="Heading2"/>
      </w:pPr>
      <w:r>
        <w:t xml:space="preserve">Kisspeptine (37)</w:t>
      </w:r>
    </w:p>
    <w:p>
      <w:pPr>
        <w:numPr>
          <w:ilvl w:val="0"/>
          <w:numId w:val="1418"/>
        </w:numPr>
        <w:pStyle w:val="Compact"/>
      </w:pPr>
      <w:r>
        <w:t xml:space="preserve">2026 · Yeung AC ·</w:t>
      </w:r>
      <w:r>
        <w:t xml:space="preserve"> </w:t>
      </w:r>
      <w:r>
        <w:rPr>
          <w:iCs/>
          <w:i/>
        </w:rPr>
        <w:t xml:space="preserve">Eur J Endocrinol</w:t>
      </w:r>
      <w:r>
        <w:t xml:space="preserve"> </w:t>
      </w:r>
      <w:r>
        <w:t xml:space="preserve">· Chronic subcutaneous kisspeptin-10 stimulates gonadotropin secretion for 12 days in healthy men. PMID 42549827</w:t>
      </w:r>
    </w:p>
    <w:p>
      <w:pPr>
        <w:numPr>
          <w:ilvl w:val="0"/>
          <w:numId w:val="1418"/>
        </w:numPr>
        <w:pStyle w:val="Compact"/>
      </w:pPr>
      <w:r>
        <w:t xml:space="preserve">2026 · Galbiati F ·</w:t>
      </w:r>
      <w:r>
        <w:t xml:space="preserve"> </w:t>
      </w:r>
      <w:r>
        <w:rPr>
          <w:iCs/>
          <w:i/>
        </w:rPr>
        <w:t xml:space="preserve">J Neuroendocrinol</w:t>
      </w:r>
      <w:r>
        <w:t xml:space="preserve"> </w:t>
      </w:r>
      <w:r>
        <w:t xml:space="preserve">· Intravenous kisspeptin 112-121 bolus does not acutely impact circulating vasopressin in humans. PMID 41273106</w:t>
      </w:r>
    </w:p>
    <w:p>
      <w:pPr>
        <w:numPr>
          <w:ilvl w:val="0"/>
          <w:numId w:val="1418"/>
        </w:numPr>
        <w:pStyle w:val="Compact"/>
      </w:pPr>
      <w:r>
        <w:t xml:space="preserve">2025 · Mills EG ·</w:t>
      </w:r>
      <w:r>
        <w:t xml:space="preserve"> </w:t>
      </w:r>
      <w:r>
        <w:rPr>
          <w:iCs/>
          <w:i/>
        </w:rPr>
        <w:t xml:space="preserve">EBioMedicine</w:t>
      </w:r>
      <w:r>
        <w:t xml:space="preserve"> </w:t>
      </w:r>
      <w:r>
        <w:t xml:space="preserve">· Intranasal kisspeptin administration rapidly stimulates gonadotropin release in humans. PMID 40215751</w:t>
      </w:r>
    </w:p>
    <w:p>
      <w:pPr>
        <w:numPr>
          <w:ilvl w:val="0"/>
          <w:numId w:val="1418"/>
        </w:numPr>
        <w:pStyle w:val="Compact"/>
      </w:pPr>
      <w:r>
        <w:t xml:space="preserve">2025 · Mills EG ·</w:t>
      </w:r>
      <w:r>
        <w:t xml:space="preserve"> </w:t>
      </w:r>
      <w:r>
        <w:rPr>
          <w:iCs/>
          <w:i/>
        </w:rPr>
        <w:t xml:space="preserve">J Clin Endocrinol Metab</w:t>
      </w:r>
      <w:r>
        <w:t xml:space="preserve"> </w:t>
      </w:r>
      <w:r>
        <w:t xml:space="preserve">· Kisspeptin Administration Stimulates Reproductive Hormones but Does Not Affect Anxiety in Humans. PMID 40036336</w:t>
      </w:r>
    </w:p>
    <w:p>
      <w:pPr>
        <w:numPr>
          <w:ilvl w:val="0"/>
          <w:numId w:val="1418"/>
        </w:numPr>
        <w:pStyle w:val="Compact"/>
      </w:pPr>
      <w:r>
        <w:t xml:space="preserve">2025 · Galbiati F ·</w:t>
      </w:r>
      <w:r>
        <w:t xml:space="preserve"> </w:t>
      </w:r>
      <w:r>
        <w:rPr>
          <w:iCs/>
          <w:i/>
        </w:rPr>
        <w:t xml:space="preserve">Eur J Endocrinol</w:t>
      </w:r>
      <w:r>
        <w:t xml:space="preserve"> </w:t>
      </w:r>
      <w:r>
        <w:t xml:space="preserve">· Sex-dependent increases in oxytocin levels in response to intravenous kisspeptin in humans. PMID 39965102</w:t>
      </w:r>
    </w:p>
    <w:p>
      <w:pPr>
        <w:numPr>
          <w:ilvl w:val="0"/>
          <w:numId w:val="1418"/>
        </w:numPr>
        <w:pStyle w:val="Compact"/>
      </w:pPr>
      <w:r>
        <w:t xml:space="preserve">2025 · Rodanaki M ·</w:t>
      </w:r>
      <w:r>
        <w:t xml:space="preserve"> </w:t>
      </w:r>
      <w:r>
        <w:rPr>
          <w:iCs/>
          <w:i/>
        </w:rPr>
        <w:t xml:space="preserve">J Pediatr Endocrinol Metab</w:t>
      </w:r>
      <w:r>
        <w:t xml:space="preserve"> </w:t>
      </w:r>
      <w:r>
        <w:t xml:space="preserve">· Effect of a GnRH injection on kisspeptin levels in girls with suspected precocious puberty: a randomized-controlled pilot study. PMID 39847034</w:t>
      </w:r>
    </w:p>
    <w:p>
      <w:pPr>
        <w:numPr>
          <w:ilvl w:val="0"/>
          <w:numId w:val="1418"/>
        </w:numPr>
        <w:pStyle w:val="Compact"/>
      </w:pPr>
      <w:r>
        <w:t xml:space="preserve">2024 · Abbara A ·</w:t>
      </w:r>
      <w:r>
        <w:t xml:space="preserve"> </w:t>
      </w:r>
      <w:r>
        <w:rPr>
          <w:iCs/>
          <w:i/>
        </w:rPr>
        <w:t xml:space="preserve">Fertil Steril</w:t>
      </w:r>
      <w:r>
        <w:t xml:space="preserve"> </w:t>
      </w:r>
      <w:r>
        <w:t xml:space="preserve">· Endocrine profile of the kisspeptin receptor agonist MVT-602 in healthy premenopausal women with and without ovarian stimulation: results from 2 randomized, placebo-controlled clinical tricals. PMID 37925096</w:t>
      </w:r>
    </w:p>
    <w:p>
      <w:pPr>
        <w:numPr>
          <w:ilvl w:val="0"/>
          <w:numId w:val="1418"/>
        </w:numPr>
        <w:pStyle w:val="Compact"/>
      </w:pPr>
      <w:r>
        <w:t xml:space="preserve">2023 · Bavato F ·</w:t>
      </w:r>
      <w:r>
        <w:t xml:space="preserve"> </w:t>
      </w:r>
      <w:r>
        <w:rPr>
          <w:iCs/>
          <w:i/>
        </w:rPr>
        <w:t xml:space="preserve">J Psychopharmacol</w:t>
      </w:r>
      <w:r>
        <w:t xml:space="preserve"> </w:t>
      </w:r>
      <w:r>
        <w:t xml:space="preserve">· Oral sodium oxybate does not alter plasma kisspeptin levels in healthy male volunteers. PMID 37401623</w:t>
      </w:r>
    </w:p>
    <w:p>
      <w:pPr>
        <w:numPr>
          <w:ilvl w:val="0"/>
          <w:numId w:val="1418"/>
        </w:numPr>
        <w:pStyle w:val="Compact"/>
      </w:pPr>
      <w:r>
        <w:t xml:space="preserve">2023 · Mills EG ·</w:t>
      </w:r>
      <w:r>
        <w:t xml:space="preserve"> </w:t>
      </w:r>
      <w:r>
        <w:rPr>
          <w:iCs/>
          <w:i/>
        </w:rPr>
        <w:t xml:space="preserve">JAMA Netw Open</w:t>
      </w:r>
      <w:r>
        <w:t xml:space="preserve"> </w:t>
      </w:r>
      <w:r>
        <w:t xml:space="preserve">· Effects of Kisspeptin on Sexual Brain Processing and Penile Tumescence in Men With Hypoactive Sexual Desire Disorder: A Randomized Clinical Trial. PMID 36735255</w:t>
      </w:r>
    </w:p>
    <w:p>
      <w:pPr>
        <w:numPr>
          <w:ilvl w:val="0"/>
          <w:numId w:val="1418"/>
        </w:numPr>
        <w:pStyle w:val="Compact"/>
      </w:pPr>
      <w:r>
        <w:t xml:space="preserve">2022 · Thurston L ·</w:t>
      </w:r>
      <w:r>
        <w:t xml:space="preserve"> </w:t>
      </w:r>
      <w:r>
        <w:rPr>
          <w:iCs/>
          <w:i/>
        </w:rPr>
        <w:t xml:space="preserve">JAMA Netw Open</w:t>
      </w:r>
      <w:r>
        <w:t xml:space="preserve"> </w:t>
      </w:r>
      <w:r>
        <w:t xml:space="preserve">· Effects of Kisspeptin Administration in Women With Hypoactive Sexual Desire Disorder: A Randomized Clinical Trial. PMID 36287566</w:t>
      </w:r>
    </w:p>
    <w:p>
      <w:pPr>
        <w:numPr>
          <w:ilvl w:val="0"/>
          <w:numId w:val="1418"/>
        </w:numPr>
        <w:pStyle w:val="Compact"/>
      </w:pPr>
      <w:r>
        <w:t xml:space="preserve">2022 · Comninos AN ·</w:t>
      </w:r>
      <w:r>
        <w:t xml:space="preserve"> </w:t>
      </w:r>
      <w:r>
        <w:rPr>
          <w:iCs/>
          <w:i/>
        </w:rPr>
        <w:t xml:space="preserve">J Clin Endocrinol Metab</w:t>
      </w:r>
      <w:r>
        <w:t xml:space="preserve"> </w:t>
      </w:r>
      <w:r>
        <w:t xml:space="preserve">· Acute Effects of Kisspeptin Administration on Bone Metabolism in Healthy Men. PMID 35244717</w:t>
      </w:r>
    </w:p>
    <w:p>
      <w:pPr>
        <w:numPr>
          <w:ilvl w:val="0"/>
          <w:numId w:val="1418"/>
        </w:numPr>
        <w:pStyle w:val="Compact"/>
      </w:pPr>
      <w:r>
        <w:t xml:space="preserve">2021 · Yang L ·</w:t>
      </w:r>
      <w:r>
        <w:t xml:space="preserve"> </w:t>
      </w:r>
      <w:r>
        <w:rPr>
          <w:iCs/>
          <w:i/>
        </w:rPr>
        <w:t xml:space="preserve">J Clin Endocrinol Metab</w:t>
      </w:r>
      <w:r>
        <w:t xml:space="preserve"> </w:t>
      </w:r>
      <w:r>
        <w:t xml:space="preserve">· The Effects of Kisspeptin on Brain Response to Food Images and Psychometric Parameters of Appetite in Healthy Men. PMID 33075807</w:t>
      </w:r>
    </w:p>
    <w:p>
      <w:pPr>
        <w:numPr>
          <w:ilvl w:val="0"/>
          <w:numId w:val="1418"/>
        </w:numPr>
        <w:pStyle w:val="Compact"/>
      </w:pPr>
      <w:r>
        <w:t xml:space="preserve">2020 · Skorupskaite K ·</w:t>
      </w:r>
      <w:r>
        <w:t xml:space="preserve"> </w:t>
      </w:r>
      <w:r>
        <w:rPr>
          <w:iCs/>
          <w:i/>
        </w:rPr>
        <w:t xml:space="preserve">Hum Reprod</w:t>
      </w:r>
      <w:r>
        <w:t xml:space="preserve"> </w:t>
      </w:r>
      <w:r>
        <w:t xml:space="preserve">· Kisspeptin and neurokinin B interactions in modulating gonadotropin secretion in women with polycystic ovary syndrome. PMID 32510130</w:t>
      </w:r>
    </w:p>
    <w:p>
      <w:pPr>
        <w:numPr>
          <w:ilvl w:val="0"/>
          <w:numId w:val="1418"/>
        </w:numPr>
        <w:pStyle w:val="Compact"/>
      </w:pPr>
      <w:r>
        <w:t xml:space="preserve">2019 · Romero-Ruiz A ·</w:t>
      </w:r>
      <w:r>
        <w:t xml:space="preserve"> </w:t>
      </w:r>
      <w:r>
        <w:rPr>
          <w:iCs/>
          <w:i/>
        </w:rPr>
        <w:t xml:space="preserve">Hum Reprod</w:t>
      </w:r>
      <w:r>
        <w:t xml:space="preserve"> </w:t>
      </w:r>
      <w:r>
        <w:t xml:space="preserve">· Kisspeptin treatment induces gonadotropic responses and rescues ovulation in a subset of preclinical models and women with polycystic ovary syndrome. PMID 31820802</w:t>
      </w:r>
    </w:p>
    <w:p>
      <w:pPr>
        <w:numPr>
          <w:ilvl w:val="0"/>
          <w:numId w:val="1418"/>
        </w:numPr>
        <w:pStyle w:val="Compact"/>
      </w:pPr>
      <w:r>
        <w:t xml:space="preserve">2019 · Ullah H ·</w:t>
      </w:r>
      <w:r>
        <w:t xml:space="preserve"> </w:t>
      </w:r>
      <w:r>
        <w:rPr>
          <w:iCs/>
          <w:i/>
        </w:rPr>
        <w:t xml:space="preserve">Andrologia</w:t>
      </w:r>
      <w:r>
        <w:t xml:space="preserve"> </w:t>
      </w:r>
      <w:r>
        <w:t xml:space="preserve">· Age-dependent changes in the reproductive axis responsiveness to kisspeptin-10 administration in healthy men. PMID 30590872</w:t>
      </w:r>
    </w:p>
    <w:p>
      <w:pPr>
        <w:numPr>
          <w:ilvl w:val="0"/>
          <w:numId w:val="1418"/>
        </w:numPr>
        <w:pStyle w:val="Compact"/>
      </w:pPr>
      <w:r>
        <w:t xml:space="preserve">2018 · Izzi-Engbeaya C ·</w:t>
      </w:r>
      <w:r>
        <w:t xml:space="preserve"> </w:t>
      </w:r>
      <w:r>
        <w:rPr>
          <w:iCs/>
          <w:i/>
        </w:rPr>
        <w:t xml:space="preserve">Diabetes Obes Metab</w:t>
      </w:r>
      <w:r>
        <w:t xml:space="preserve"> </w:t>
      </w:r>
      <w:r>
        <w:t xml:space="preserve">· The effects of kisspeptin on β-cell function, serum metabolites and appetite in humans. PMID 29974637</w:t>
      </w:r>
    </w:p>
    <w:p>
      <w:pPr>
        <w:numPr>
          <w:ilvl w:val="0"/>
          <w:numId w:val="1418"/>
        </w:numPr>
        <w:pStyle w:val="Compact"/>
      </w:pPr>
      <w:r>
        <w:t xml:space="preserve">2018 · Chan YM ·</w:t>
      </w:r>
      <w:r>
        <w:t xml:space="preserve"> </w:t>
      </w:r>
      <w:r>
        <w:rPr>
          <w:iCs/>
          <w:i/>
        </w:rPr>
        <w:t xml:space="preserve">JCI Insight</w:t>
      </w:r>
      <w:r>
        <w:t xml:space="preserve"> </w:t>
      </w:r>
      <w:r>
        <w:t xml:space="preserve">· Divergent responses to kisspeptin in children with delayed puberty. PMID 29669934</w:t>
      </w:r>
    </w:p>
    <w:p>
      <w:pPr>
        <w:numPr>
          <w:ilvl w:val="0"/>
          <w:numId w:val="1418"/>
        </w:numPr>
        <w:pStyle w:val="Compact"/>
      </w:pPr>
      <w:r>
        <w:t xml:space="preserve">2018 · Owens LA ·</w:t>
      </w:r>
      <w:r>
        <w:t xml:space="preserve"> </w:t>
      </w:r>
      <w:r>
        <w:rPr>
          <w:iCs/>
          <w:i/>
        </w:rPr>
        <w:t xml:space="preserve">Hum Reprod</w:t>
      </w:r>
      <w:r>
        <w:t xml:space="preserve"> </w:t>
      </w:r>
      <w:r>
        <w:t xml:space="preserve">· The direct and indirect effects of kisspeptin-54 on granulosa lutein cell function. PMID 29206944</w:t>
      </w:r>
    </w:p>
    <w:p>
      <w:pPr>
        <w:numPr>
          <w:ilvl w:val="0"/>
          <w:numId w:val="1418"/>
        </w:numPr>
        <w:pStyle w:val="Compact"/>
      </w:pPr>
      <w:r>
        <w:t xml:space="preserve">2017 · Abbara A ·</w:t>
      </w:r>
      <w:r>
        <w:t xml:space="preserve"> </w:t>
      </w:r>
      <w:r>
        <w:rPr>
          <w:iCs/>
          <w:i/>
        </w:rPr>
        <w:t xml:space="preserve">Hum Reprod</w:t>
      </w:r>
      <w:r>
        <w:t xml:space="preserve"> </w:t>
      </w:r>
      <w:r>
        <w:t xml:space="preserve">· A second dose of kisspeptin-54 improves oocyte maturation in women at high risk of ovarian hyperstimulation syndrome: a Phase 2 randomized controlled trial. PMID 28854728</w:t>
      </w:r>
    </w:p>
    <w:p>
      <w:pPr>
        <w:numPr>
          <w:ilvl w:val="0"/>
          <w:numId w:val="1418"/>
        </w:numPr>
        <w:pStyle w:val="Compact"/>
      </w:pPr>
      <w:r>
        <w:t xml:space="preserve">2017 · Comninos AN ·</w:t>
      </w:r>
      <w:r>
        <w:t xml:space="preserve"> </w:t>
      </w:r>
      <w:r>
        <w:rPr>
          <w:iCs/>
          <w:i/>
        </w:rPr>
        <w:t xml:space="preserve">J Clin Invest</w:t>
      </w:r>
      <w:r>
        <w:t xml:space="preserve"> </w:t>
      </w:r>
      <w:r>
        <w:t xml:space="preserve">· Kisspeptin modulates sexual and emotional brain processing in humans. PMID 28112678</w:t>
      </w:r>
    </w:p>
    <w:p>
      <w:pPr>
        <w:numPr>
          <w:ilvl w:val="0"/>
          <w:numId w:val="1418"/>
        </w:numPr>
        <w:pStyle w:val="Compact"/>
      </w:pPr>
      <w:r>
        <w:t xml:space="preserve">2016 · Skorupskaite K ·</w:t>
      </w:r>
      <w:r>
        <w:t xml:space="preserve"> </w:t>
      </w:r>
      <w:r>
        <w:rPr>
          <w:iCs/>
          <w:i/>
        </w:rPr>
        <w:t xml:space="preserve">J Clin Endocrinol Metab</w:t>
      </w:r>
      <w:r>
        <w:t xml:space="preserve"> </w:t>
      </w:r>
      <w:r>
        <w:t xml:space="preserve">· Interactions Between Neurokinin B and Kisspeptin in Mediating Estrogen Feedback in Healthy Women. PMID 27636018</w:t>
      </w:r>
    </w:p>
    <w:p>
      <w:pPr>
        <w:numPr>
          <w:ilvl w:val="0"/>
          <w:numId w:val="1418"/>
        </w:numPr>
        <w:pStyle w:val="Compact"/>
      </w:pPr>
      <w:r>
        <w:t xml:space="preserve">2016 · Lippincott MF ·</w:t>
      </w:r>
      <w:r>
        <w:t xml:space="preserve"> </w:t>
      </w:r>
      <w:r>
        <w:rPr>
          <w:iCs/>
          <w:i/>
        </w:rPr>
        <w:t xml:space="preserve">J Clin Endocrinol Metab</w:t>
      </w:r>
      <w:r>
        <w:t xml:space="preserve"> </w:t>
      </w:r>
      <w:r>
        <w:t xml:space="preserve">· Kisspeptin Responsiveness Signals Emergence of Reproductive Endocrine Activity: Implications for Human Puberty. PMID 27214398</w:t>
      </w:r>
    </w:p>
    <w:p>
      <w:pPr>
        <w:numPr>
          <w:ilvl w:val="0"/>
          <w:numId w:val="1418"/>
        </w:numPr>
        <w:pStyle w:val="Compact"/>
      </w:pPr>
      <w:r>
        <w:t xml:space="preserve">2016 · Narayanaswamy S ·</w:t>
      </w:r>
      <w:r>
        <w:t xml:space="preserve"> </w:t>
      </w:r>
      <w:r>
        <w:rPr>
          <w:iCs/>
          <w:i/>
        </w:rPr>
        <w:t xml:space="preserve">Clin Endocrinol (Oxf)</w:t>
      </w:r>
      <w:r>
        <w:t xml:space="preserve"> </w:t>
      </w:r>
      <w:r>
        <w:t xml:space="preserve">· Subcutaneous infusion of kisspeptin-54 stimulates gonadotrophin release in women and the response correlates with basal oestradiol levels. PMID 26572695</w:t>
      </w:r>
    </w:p>
    <w:p>
      <w:pPr>
        <w:numPr>
          <w:ilvl w:val="0"/>
          <w:numId w:val="1418"/>
        </w:numPr>
        <w:pStyle w:val="Compact"/>
      </w:pPr>
      <w:r>
        <w:t xml:space="preserve">2015 · Abbara A ·</w:t>
      </w:r>
      <w:r>
        <w:t xml:space="preserve"> </w:t>
      </w:r>
      <w:r>
        <w:rPr>
          <w:iCs/>
          <w:i/>
        </w:rPr>
        <w:t xml:space="preserve">J Clin Endocrinol Metab</w:t>
      </w:r>
      <w:r>
        <w:t xml:space="preserve"> </w:t>
      </w:r>
      <w:r>
        <w:t xml:space="preserve">· Efficacy of Kisspeptin-54 to Trigger Oocyte Maturation in Women at High Risk of Ovarian Hyperstimulation Syndrome (OHSS) During In Vitro Fertilization (IVF) Therapy. PMID 26192876</w:t>
      </w:r>
    </w:p>
    <w:p>
      <w:pPr>
        <w:numPr>
          <w:ilvl w:val="0"/>
          <w:numId w:val="1418"/>
        </w:numPr>
        <w:pStyle w:val="Compact"/>
      </w:pPr>
      <w:r>
        <w:t xml:space="preserve">2014 · Jayasena CN ·</w:t>
      </w:r>
      <w:r>
        <w:t xml:space="preserve"> </w:t>
      </w:r>
      <w:r>
        <w:rPr>
          <w:iCs/>
          <w:i/>
        </w:rPr>
        <w:t xml:space="preserve">J Clin Invest</w:t>
      </w:r>
      <w:r>
        <w:t xml:space="preserve"> </w:t>
      </w:r>
      <w:r>
        <w:t xml:space="preserve">· Kisspeptin-54 triggers egg maturation in women undergoing in vitro fertilization. PMID 25036713</w:t>
      </w:r>
    </w:p>
    <w:p>
      <w:pPr>
        <w:numPr>
          <w:ilvl w:val="0"/>
          <w:numId w:val="1418"/>
        </w:numPr>
        <w:pStyle w:val="Compact"/>
      </w:pPr>
      <w:r>
        <w:t xml:space="preserve">2014 · Jayasena CN ·</w:t>
      </w:r>
      <w:r>
        <w:t xml:space="preserve"> </w:t>
      </w:r>
      <w:r>
        <w:rPr>
          <w:iCs/>
          <w:i/>
        </w:rPr>
        <w:t xml:space="preserve">Clin Endocrinol (Oxf)</w:t>
      </w:r>
      <w:r>
        <w:t xml:space="preserve"> </w:t>
      </w:r>
      <w:r>
        <w:t xml:space="preserve">· Acute and chronic effects of kisspeptin-54 administration on GH, prolactin and TSH secretion in healthy women. PMID 24863252</w:t>
      </w:r>
    </w:p>
    <w:p>
      <w:pPr>
        <w:numPr>
          <w:ilvl w:val="0"/>
          <w:numId w:val="1418"/>
        </w:numPr>
        <w:pStyle w:val="Compact"/>
      </w:pPr>
      <w:r>
        <w:t xml:space="preserve">2014 · MacLean DB ·</w:t>
      </w:r>
      <w:r>
        <w:t xml:space="preserve"> </w:t>
      </w:r>
      <w:r>
        <w:rPr>
          <w:iCs/>
          <w:i/>
        </w:rPr>
        <w:t xml:space="preserve">J Clin Endocrinol Metab</w:t>
      </w:r>
      <w:r>
        <w:t xml:space="preserve"> </w:t>
      </w:r>
      <w:r>
        <w:t xml:space="preserve">· Sustained exposure to the investigational Kisspeptin analog, TAK-448, down-regulates testosterone into the castration range in healthy males and in patients with prostate cancer: results from two phase 1 studies. PMID 24762108</w:t>
      </w:r>
    </w:p>
    <w:p>
      <w:pPr>
        <w:numPr>
          <w:ilvl w:val="0"/>
          <w:numId w:val="1418"/>
        </w:numPr>
        <w:pStyle w:val="Compact"/>
      </w:pPr>
      <w:r>
        <w:t xml:space="preserve">2014 · Jayasena CN ·</w:t>
      </w:r>
      <w:r>
        <w:t xml:space="preserve"> </w:t>
      </w:r>
      <w:r>
        <w:rPr>
          <w:iCs/>
          <w:i/>
        </w:rPr>
        <w:t xml:space="preserve">J Clin Endocrinol Metab</w:t>
      </w:r>
      <w:r>
        <w:t xml:space="preserve"> </w:t>
      </w:r>
      <w:r>
        <w:t xml:space="preserve">· Increasing LH pulsatility in women with hypothalamic amenorrhoea using intravenous infusion of Kisspeptin-54. PMID 24517142</w:t>
      </w:r>
    </w:p>
    <w:p>
      <w:pPr>
        <w:numPr>
          <w:ilvl w:val="0"/>
          <w:numId w:val="1418"/>
        </w:numPr>
        <w:pStyle w:val="Compact"/>
      </w:pPr>
      <w:r>
        <w:t xml:space="preserve">2013 · Jayasena CN ·</w:t>
      </w:r>
      <w:r>
        <w:t xml:space="preserve"> </w:t>
      </w:r>
      <w:r>
        <w:rPr>
          <w:iCs/>
          <w:i/>
        </w:rPr>
        <w:t xml:space="preserve">J Clin Endocrinol Metab</w:t>
      </w:r>
      <w:r>
        <w:t xml:space="preserve"> </w:t>
      </w:r>
      <w:r>
        <w:t xml:space="preserve">· Twice-daily subcutaneous injection of kisspeptin-54 does not abolish menstrual cyclicity in healthy female volunteers. PMID 24030945</w:t>
      </w:r>
    </w:p>
    <w:p>
      <w:pPr>
        <w:numPr>
          <w:ilvl w:val="0"/>
          <w:numId w:val="1418"/>
        </w:numPr>
        <w:pStyle w:val="Compact"/>
      </w:pPr>
      <w:r>
        <w:t xml:space="preserve">2013 · Jayasena CN ·</w:t>
      </w:r>
      <w:r>
        <w:t xml:space="preserve"> </w:t>
      </w:r>
      <w:r>
        <w:rPr>
          <w:iCs/>
          <w:i/>
        </w:rPr>
        <w:t xml:space="preserve">Clin Endocrinol (Oxf)</w:t>
      </w:r>
      <w:r>
        <w:t xml:space="preserve"> </w:t>
      </w:r>
      <w:r>
        <w:t xml:space="preserve">· A single injection of kisspeptin-54 temporarily increases luteinizing hormone pulsatility in healthy women. PMID 23452073</w:t>
      </w:r>
    </w:p>
    <w:p>
      <w:pPr>
        <w:numPr>
          <w:ilvl w:val="0"/>
          <w:numId w:val="1418"/>
        </w:numPr>
        <w:pStyle w:val="Compact"/>
      </w:pPr>
      <w:r>
        <w:t xml:space="preserve">2013 · George JT ·</w:t>
      </w:r>
      <w:r>
        <w:t xml:space="preserve"> </w:t>
      </w:r>
      <w:r>
        <w:rPr>
          <w:iCs/>
          <w:i/>
        </w:rPr>
        <w:t xml:space="preserve">Clin Endocrinol (Oxf)</w:t>
      </w:r>
      <w:r>
        <w:t xml:space="preserve"> </w:t>
      </w:r>
      <w:r>
        <w:t xml:space="preserve">· Exploring the pathophysiology of hypogonadism in men with type 2 diabetes: kisspeptin-10 stimulates serum testosterone and LH secretion in men with type 2 diabetes and mild biochemical hypogonadism. PMID 23153270</w:t>
      </w:r>
    </w:p>
    <w:p>
      <w:pPr>
        <w:numPr>
          <w:ilvl w:val="0"/>
          <w:numId w:val="1418"/>
        </w:numPr>
        <w:pStyle w:val="Compact"/>
      </w:pPr>
      <w:r>
        <w:t xml:space="preserve">2013 · Young J ·</w:t>
      </w:r>
      <w:r>
        <w:t xml:space="preserve"> </w:t>
      </w:r>
      <w:r>
        <w:rPr>
          <w:iCs/>
          <w:i/>
        </w:rPr>
        <w:t xml:space="preserve">Neuroendocrinology</w:t>
      </w:r>
      <w:r>
        <w:t xml:space="preserve"> </w:t>
      </w:r>
      <w:r>
        <w:t xml:space="preserve">· Kisspeptin restores pulsatile LH secretion in patients with neurokinin B signaling deficiencies: physiological, pathophysiological and therapeutic implications. PMID 22377698</w:t>
      </w:r>
    </w:p>
    <w:p>
      <w:pPr>
        <w:numPr>
          <w:ilvl w:val="0"/>
          <w:numId w:val="1418"/>
        </w:numPr>
        <w:pStyle w:val="Compact"/>
      </w:pPr>
      <w:r>
        <w:t xml:space="preserve">2011 · George JT ·</w:t>
      </w:r>
      <w:r>
        <w:t xml:space="preserve"> </w:t>
      </w:r>
      <w:r>
        <w:rPr>
          <w:iCs/>
          <w:i/>
        </w:rPr>
        <w:t xml:space="preserve">J Clin Endocrinol Metab</w:t>
      </w:r>
      <w:r>
        <w:t xml:space="preserve"> </w:t>
      </w:r>
      <w:r>
        <w:t xml:space="preserve">· Kisspeptin-10 is a potent stimulator of LH and increases pulse frequency in men. PMID 21632807</w:t>
      </w:r>
    </w:p>
    <w:p>
      <w:pPr>
        <w:numPr>
          <w:ilvl w:val="0"/>
          <w:numId w:val="1418"/>
        </w:numPr>
        <w:pStyle w:val="Compact"/>
      </w:pPr>
      <w:r>
        <w:t xml:space="preserve">2010 · Jayasena CN ·</w:t>
      </w:r>
      <w:r>
        <w:t xml:space="preserve"> </w:t>
      </w:r>
      <w:r>
        <w:rPr>
          <w:iCs/>
          <w:i/>
        </w:rPr>
        <w:t xml:space="preserve">Clin Pharmacol Ther</w:t>
      </w:r>
      <w:r>
        <w:t xml:space="preserve"> </w:t>
      </w:r>
      <w:r>
        <w:t xml:space="preserve">· Twice-weekly administration of kisspeptin-54 for 8 weeks stimulates release of reproductive hormones in women with hypothalamic amenorrhea. PMID 20980998</w:t>
      </w:r>
    </w:p>
    <w:p>
      <w:pPr>
        <w:numPr>
          <w:ilvl w:val="0"/>
          <w:numId w:val="1418"/>
        </w:numPr>
        <w:pStyle w:val="Compact"/>
      </w:pPr>
      <w:r>
        <w:t xml:space="preserve">2009 · Jayasena CN ·</w:t>
      </w:r>
      <w:r>
        <w:t xml:space="preserve"> </w:t>
      </w:r>
      <w:r>
        <w:rPr>
          <w:iCs/>
          <w:i/>
        </w:rPr>
        <w:t xml:space="preserve">J Clin Endocrinol Metab</w:t>
      </w:r>
      <w:r>
        <w:t xml:space="preserve"> </w:t>
      </w:r>
      <w:r>
        <w:t xml:space="preserve">· Subcutaneous injection of kisspeptin-54 acutely stimulates gonadotropin secretion in women with hypothalamic amenorrhea, but chronic administration causes tachyphylaxis. PMID 19820030</w:t>
      </w:r>
    </w:p>
    <w:p>
      <w:pPr>
        <w:numPr>
          <w:ilvl w:val="0"/>
          <w:numId w:val="1418"/>
        </w:numPr>
        <w:pStyle w:val="Compact"/>
      </w:pPr>
      <w:r>
        <w:t xml:space="preserve">2007 · Dhillo WS ·</w:t>
      </w:r>
      <w:r>
        <w:t xml:space="preserve"> </w:t>
      </w:r>
      <w:r>
        <w:rPr>
          <w:iCs/>
          <w:i/>
        </w:rPr>
        <w:t xml:space="preserve">J Clin Endocrinol Metab</w:t>
      </w:r>
      <w:r>
        <w:t xml:space="preserve"> </w:t>
      </w:r>
      <w:r>
        <w:t xml:space="preserve">· Kisspeptin-54 stimulates gonadotropin release most potently during the preovulatory phase of the menstrual cycle in women. PMID 17635940</w:t>
      </w:r>
    </w:p>
    <w:p>
      <w:pPr>
        <w:numPr>
          <w:ilvl w:val="0"/>
          <w:numId w:val="1418"/>
        </w:numPr>
        <w:pStyle w:val="Compact"/>
      </w:pPr>
      <w:r>
        <w:t xml:space="preserve">2005 · Dhillo WS ·</w:t>
      </w:r>
      <w:r>
        <w:t xml:space="preserve"> </w:t>
      </w:r>
      <w:r>
        <w:rPr>
          <w:iCs/>
          <w:i/>
        </w:rPr>
        <w:t xml:space="preserve">J Clin Endocrinol Metab</w:t>
      </w:r>
      <w:r>
        <w:t xml:space="preserve"> </w:t>
      </w:r>
      <w:r>
        <w:t xml:space="preserve">· Kisspeptin-54 stimulates the hypothalamic-pituitary gonadal axis in human males. PMID 16174713</w:t>
      </w:r>
    </w:p>
    <w:bookmarkEnd w:id="1165"/>
    <w:bookmarkStart w:id="1166" w:name="oxytocine-neusspray-349"/>
    <w:p>
      <w:pPr>
        <w:pStyle w:val="Heading2"/>
      </w:pPr>
      <w:r>
        <w:t xml:space="preserve">Oxytocine (neusspray) (349)</w:t>
      </w:r>
    </w:p>
    <w:p>
      <w:pPr>
        <w:numPr>
          <w:ilvl w:val="0"/>
          <w:numId w:val="1419"/>
        </w:numPr>
        <w:pStyle w:val="Compact"/>
      </w:pPr>
      <w:r>
        <w:t xml:space="preserve">2026 · van der Straaten M ·</w:t>
      </w:r>
      <w:r>
        <w:t xml:space="preserve"> </w:t>
      </w:r>
      <w:r>
        <w:rPr>
          <w:iCs/>
          <w:i/>
        </w:rPr>
        <w:t xml:space="preserve">Womens Health (Lond)</w:t>
      </w:r>
      <w:r>
        <w:t xml:space="preserve"> </w:t>
      </w:r>
      <w:r>
        <w:t xml:space="preserve">· Oxytocin selectively enhances the recognition of infant sadness in postpartum depression. PMID 42904460</w:t>
      </w:r>
    </w:p>
    <w:p>
      <w:pPr>
        <w:numPr>
          <w:ilvl w:val="0"/>
          <w:numId w:val="1419"/>
        </w:numPr>
        <w:pStyle w:val="Compact"/>
      </w:pPr>
      <w:r>
        <w:t xml:space="preserve">2026 · Tiouririne NA ·</w:t>
      </w:r>
      <w:r>
        <w:t xml:space="preserve"> </w:t>
      </w:r>
      <w:r>
        <w:rPr>
          <w:iCs/>
          <w:i/>
        </w:rPr>
        <w:t xml:space="preserve">Alcohol Clin Exp Res (Hoboken)</w:t>
      </w:r>
      <w:r>
        <w:t xml:space="preserve"> </w:t>
      </w:r>
      <w:r>
        <w:t xml:space="preserve">· Intranasal Oxytocin for Alcohol Use Disorder: A Randomized, Double-Blind, Placebo-Controlled Multisite Trial Assessing Efficacy and Safety. PMID 42458234</w:t>
      </w:r>
    </w:p>
    <w:p>
      <w:pPr>
        <w:numPr>
          <w:ilvl w:val="0"/>
          <w:numId w:val="1419"/>
        </w:numPr>
        <w:pStyle w:val="Compact"/>
      </w:pPr>
      <w:r>
        <w:t xml:space="preserve">2026 · Arqueros M ·</w:t>
      </w:r>
      <w:r>
        <w:t xml:space="preserve"> </w:t>
      </w:r>
      <w:r>
        <w:rPr>
          <w:iCs/>
          <w:i/>
        </w:rPr>
        <w:t xml:space="preserve">Psychiatry Res</w:t>
      </w:r>
      <w:r>
        <w:t xml:space="preserve"> </w:t>
      </w:r>
      <w:r>
        <w:t xml:space="preserve">· Promoting self-compassion meditation with intranasal oxytocin in borderline personality disorder: a pilot study. PMID 42372695</w:t>
      </w:r>
    </w:p>
    <w:p>
      <w:pPr>
        <w:numPr>
          <w:ilvl w:val="0"/>
          <w:numId w:val="1419"/>
        </w:numPr>
        <w:pStyle w:val="Compact"/>
      </w:pPr>
      <w:r>
        <w:t xml:space="preserve">2026 · Silva JU ·</w:t>
      </w:r>
      <w:r>
        <w:t xml:space="preserve"> </w:t>
      </w:r>
      <w:r>
        <w:rPr>
          <w:iCs/>
          <w:i/>
        </w:rPr>
        <w:t xml:space="preserve">Neuropeptides</w:t>
      </w:r>
      <w:r>
        <w:t xml:space="preserve"> </w:t>
      </w:r>
      <w:r>
        <w:t xml:space="preserve">· Effects of intranasal oxytocin on fear, pain and aversive memory. PMID 42066687</w:t>
      </w:r>
    </w:p>
    <w:p>
      <w:pPr>
        <w:numPr>
          <w:ilvl w:val="0"/>
          <w:numId w:val="1419"/>
        </w:numPr>
        <w:pStyle w:val="Compact"/>
      </w:pPr>
      <w:r>
        <w:t xml:space="preserve">2026 · Riem MME ·</w:t>
      </w:r>
      <w:r>
        <w:t xml:space="preserve"> </w:t>
      </w:r>
      <w:r>
        <w:rPr>
          <w:iCs/>
          <w:i/>
        </w:rPr>
        <w:t xml:space="preserve">Ned Tijdschr Geneeskd</w:t>
      </w:r>
      <w:r>
        <w:t xml:space="preserve"> </w:t>
      </w:r>
      <w:r>
        <w:t xml:space="preserve">· [Boosting oxytocin in postpartum depression]. PMID 41989096</w:t>
      </w:r>
    </w:p>
    <w:p>
      <w:pPr>
        <w:numPr>
          <w:ilvl w:val="0"/>
          <w:numId w:val="1419"/>
        </w:numPr>
        <w:pStyle w:val="Compact"/>
      </w:pPr>
      <w:r>
        <w:t xml:space="preserve">2026 · Galbiati F ·</w:t>
      </w:r>
      <w:r>
        <w:t xml:space="preserve"> </w:t>
      </w:r>
      <w:r>
        <w:rPr>
          <w:iCs/>
          <w:i/>
        </w:rPr>
        <w:t xml:space="preserve">Int J Obes (Lond)</w:t>
      </w:r>
      <w:r>
        <w:t xml:space="preserve"> </w:t>
      </w:r>
      <w:r>
        <w:t xml:space="preserve">· Reproductive hormone stability with prolonged intranasal oxytocin in adults with obesity. PMID 41951782</w:t>
      </w:r>
    </w:p>
    <w:p>
      <w:pPr>
        <w:numPr>
          <w:ilvl w:val="0"/>
          <w:numId w:val="1419"/>
        </w:numPr>
        <w:pStyle w:val="Compact"/>
      </w:pPr>
      <w:r>
        <w:t xml:space="preserve">2026 · Kiss O ·</w:t>
      </w:r>
      <w:r>
        <w:t xml:space="preserve"> </w:t>
      </w:r>
      <w:r>
        <w:rPr>
          <w:iCs/>
          <w:i/>
        </w:rPr>
        <w:t xml:space="preserve">Psychol Res</w:t>
      </w:r>
      <w:r>
        <w:t xml:space="preserve"> </w:t>
      </w:r>
      <w:r>
        <w:t xml:space="preserve">· The impact of intranasal oxytocin administration and social observation on time perception and task execution in a simple motor task. PMID 41944895</w:t>
      </w:r>
    </w:p>
    <w:p>
      <w:pPr>
        <w:numPr>
          <w:ilvl w:val="0"/>
          <w:numId w:val="1419"/>
        </w:numPr>
        <w:pStyle w:val="Compact"/>
      </w:pPr>
      <w:r>
        <w:t xml:space="preserve">2026 · Margaux E ·</w:t>
      </w:r>
      <w:r>
        <w:t xml:space="preserve"> </w:t>
      </w:r>
      <w:r>
        <w:rPr>
          <w:iCs/>
          <w:i/>
        </w:rPr>
        <w:t xml:space="preserve">Brain Behav Immun</w:t>
      </w:r>
      <w:r>
        <w:t xml:space="preserve"> </w:t>
      </w:r>
      <w:r>
        <w:t xml:space="preserve">· A pilot study on the role of the oxytocinergic system in gut microbiome composition in children with autism: baseline associations and effects of intranasal oxytocin. PMID 41941984</w:t>
      </w:r>
    </w:p>
    <w:p>
      <w:pPr>
        <w:numPr>
          <w:ilvl w:val="0"/>
          <w:numId w:val="1419"/>
        </w:numPr>
        <w:pStyle w:val="Compact"/>
      </w:pPr>
      <w:r>
        <w:t xml:space="preserve">2026 · Evenepoel M ·</w:t>
      </w:r>
      <w:r>
        <w:t xml:space="preserve"> </w:t>
      </w:r>
      <w:r>
        <w:rPr>
          <w:iCs/>
          <w:i/>
        </w:rPr>
        <w:t xml:space="preserve">Transl Psychiatry</w:t>
      </w:r>
      <w:r>
        <w:t xml:space="preserve"> </w:t>
      </w:r>
      <w:r>
        <w:t xml:space="preserve">· The role of the oxytocinergic system in oral microbiome composition in children with autism: evidence from a randomized controlled trial of intranasal oxytocin. PMID 41876480</w:t>
      </w:r>
    </w:p>
    <w:p>
      <w:pPr>
        <w:numPr>
          <w:ilvl w:val="0"/>
          <w:numId w:val="1419"/>
        </w:numPr>
        <w:pStyle w:val="Compact"/>
      </w:pPr>
      <w:r>
        <w:t xml:space="preserve">2026 · Breithaupt L ·</w:t>
      </w:r>
      <w:r>
        <w:t xml:space="preserve"> </w:t>
      </w:r>
      <w:r>
        <w:rPr>
          <w:iCs/>
          <w:i/>
        </w:rPr>
        <w:t xml:space="preserve">Endocrine</w:t>
      </w:r>
      <w:r>
        <w:t xml:space="preserve"> </w:t>
      </w:r>
      <w:r>
        <w:t xml:space="preserve">· Identification of intranasal oxytocin plasma proteome signatures. PMID 41806102</w:t>
      </w:r>
    </w:p>
    <w:p>
      <w:pPr>
        <w:numPr>
          <w:ilvl w:val="0"/>
          <w:numId w:val="1419"/>
        </w:numPr>
        <w:pStyle w:val="Compact"/>
      </w:pPr>
      <w:r>
        <w:t xml:space="preserve">2026 · Gether IM ·</w:t>
      </w:r>
      <w:r>
        <w:t xml:space="preserve"> </w:t>
      </w:r>
      <w:r>
        <w:rPr>
          <w:iCs/>
          <w:i/>
        </w:rPr>
        <w:t xml:space="preserve">Diabetes Obes Metab</w:t>
      </w:r>
      <w:r>
        <w:t xml:space="preserve"> </w:t>
      </w:r>
      <w:r>
        <w:t xml:space="preserve">· Intravenous Oxytocin Has no Effect on Ad Libitum Food Intake or Postprandial Plasma Glucose Concentrations in Individuals With Obesity: A Randomised, Placebo-Controlled, Double-Blind, Crossover Study. PMID 41804830</w:t>
      </w:r>
    </w:p>
    <w:p>
      <w:pPr>
        <w:numPr>
          <w:ilvl w:val="0"/>
          <w:numId w:val="1419"/>
        </w:numPr>
        <w:pStyle w:val="Compact"/>
      </w:pPr>
      <w:r>
        <w:t xml:space="preserve">2026 · Wang Y ·</w:t>
      </w:r>
      <w:r>
        <w:t xml:space="preserve"> </w:t>
      </w:r>
      <w:r>
        <w:rPr>
          <w:iCs/>
          <w:i/>
        </w:rPr>
        <w:t xml:space="preserve">Brain Imaging Behav</w:t>
      </w:r>
      <w:r>
        <w:t xml:space="preserve"> </w:t>
      </w:r>
      <w:r>
        <w:t xml:space="preserve">· The effect of intranasal oxytocin on the neuropsychological substrates of intergroup categorization. PMID 41779290</w:t>
      </w:r>
    </w:p>
    <w:p>
      <w:pPr>
        <w:numPr>
          <w:ilvl w:val="0"/>
          <w:numId w:val="1419"/>
        </w:numPr>
        <w:pStyle w:val="Compact"/>
      </w:pPr>
      <w:r>
        <w:t xml:space="preserve">2026 · Mendonça TP ·</w:t>
      </w:r>
      <w:r>
        <w:t xml:space="preserve"> </w:t>
      </w:r>
      <w:r>
        <w:rPr>
          <w:iCs/>
          <w:i/>
        </w:rPr>
        <w:t xml:space="preserve">Eur J Appl Physiol</w:t>
      </w:r>
      <w:r>
        <w:t xml:space="preserve"> </w:t>
      </w:r>
      <w:r>
        <w:t xml:space="preserve">· Effects of intranasal oxytocin combined with resistance training on testosterone, cortisol, fatigue, and skin temperature in paralympic powerlifting athletes. PMID 41711901</w:t>
      </w:r>
    </w:p>
    <w:p>
      <w:pPr>
        <w:numPr>
          <w:ilvl w:val="0"/>
          <w:numId w:val="1419"/>
        </w:numPr>
        <w:pStyle w:val="Compact"/>
      </w:pPr>
      <w:r>
        <w:t xml:space="preserve">2026 · Liu W ·</w:t>
      </w:r>
      <w:r>
        <w:t xml:space="preserve"> </w:t>
      </w:r>
      <w:r>
        <w:rPr>
          <w:iCs/>
          <w:i/>
        </w:rPr>
        <w:t xml:space="preserve">Proc Natl Acad Sci U S A</w:t>
      </w:r>
      <w:r>
        <w:t xml:space="preserve"> </w:t>
      </w:r>
      <w:r>
        <w:t xml:space="preserve">· Post-encoding administration of oxytocin selectively enhances memory consolidation of male faces in females. PMID 41557801</w:t>
      </w:r>
    </w:p>
    <w:p>
      <w:pPr>
        <w:numPr>
          <w:ilvl w:val="0"/>
          <w:numId w:val="1419"/>
        </w:numPr>
        <w:pStyle w:val="Compact"/>
      </w:pPr>
      <w:r>
        <w:t xml:space="preserve">2026 · Boulton KA ·</w:t>
      </w:r>
      <w:r>
        <w:t xml:space="preserve"> </w:t>
      </w:r>
      <w:r>
        <w:rPr>
          <w:iCs/>
          <w:i/>
        </w:rPr>
        <w:t xml:space="preserve">J Child Psychol Psychiatry</w:t>
      </w:r>
      <w:r>
        <w:t xml:space="preserve"> </w:t>
      </w:r>
      <w:r>
        <w:t xml:space="preserve">· Evaluating placebo responses to intranasal oxytocin in autism: findings from the placebo lead-in phase of a randomised controlled trial. PMID 41550040</w:t>
      </w:r>
    </w:p>
    <w:p>
      <w:pPr>
        <w:numPr>
          <w:ilvl w:val="0"/>
          <w:numId w:val="1419"/>
        </w:numPr>
        <w:pStyle w:val="Compact"/>
      </w:pPr>
      <w:r>
        <w:t xml:space="preserve">2026 · Prinsen J ·</w:t>
      </w:r>
      <w:r>
        <w:t xml:space="preserve"> </w:t>
      </w:r>
      <w:r>
        <w:rPr>
          <w:iCs/>
          <w:i/>
        </w:rPr>
        <w:t xml:space="preserve">Psychoneuroendocrinology</w:t>
      </w:r>
      <w:r>
        <w:t xml:space="preserve"> </w:t>
      </w:r>
      <w:r>
        <w:t xml:space="preserve">· Impact of chronic oxytocin on gaze and pupil dynamics during live dyadic interactions in children with autism. PMID 41547341</w:t>
      </w:r>
    </w:p>
    <w:p>
      <w:pPr>
        <w:numPr>
          <w:ilvl w:val="0"/>
          <w:numId w:val="1419"/>
        </w:numPr>
        <w:pStyle w:val="Compact"/>
      </w:pPr>
      <w:r>
        <w:t xml:space="preserve">2026 · Song D ·</w:t>
      </w:r>
      <w:r>
        <w:t xml:space="preserve"> </w:t>
      </w:r>
      <w:r>
        <w:rPr>
          <w:iCs/>
          <w:i/>
        </w:rPr>
        <w:t xml:space="preserve">Behav Brain Res</w:t>
      </w:r>
      <w:r>
        <w:t xml:space="preserve"> </w:t>
      </w:r>
      <w:r>
        <w:t xml:space="preserve">· Age-dependent effects of intranasal oxytocin administration were revealed by resting brain entropy (BEN). PMID 41360155</w:t>
      </w:r>
    </w:p>
    <w:p>
      <w:pPr>
        <w:numPr>
          <w:ilvl w:val="0"/>
          <w:numId w:val="1419"/>
        </w:numPr>
        <w:pStyle w:val="Compact"/>
      </w:pPr>
      <w:r>
        <w:t xml:space="preserve">2026 · Schneider E ·</w:t>
      </w:r>
      <w:r>
        <w:t xml:space="preserve"> </w:t>
      </w:r>
      <w:r>
        <w:rPr>
          <w:iCs/>
          <w:i/>
        </w:rPr>
        <w:t xml:space="preserve">JAMA Psychiatry</w:t>
      </w:r>
      <w:r>
        <w:t xml:space="preserve"> </w:t>
      </w:r>
      <w:r>
        <w:t xml:space="preserve">· Intranasal Oxytocin and Physical Intimacy for Dermatological Wound Healing and Neuroendocrine Stress: A Randomized Clinical Trial. PMID 41222549</w:t>
      </w:r>
    </w:p>
    <w:p>
      <w:pPr>
        <w:numPr>
          <w:ilvl w:val="0"/>
          <w:numId w:val="1419"/>
        </w:numPr>
        <w:pStyle w:val="Compact"/>
      </w:pPr>
      <w:r>
        <w:t xml:space="preserve">2026 · Saker T ·</w:t>
      </w:r>
      <w:r>
        <w:t xml:space="preserve"> </w:t>
      </w:r>
      <w:r>
        <w:rPr>
          <w:iCs/>
          <w:i/>
        </w:rPr>
        <w:t xml:space="preserve">J Psychiatr Res</w:t>
      </w:r>
      <w:r>
        <w:t xml:space="preserve"> </w:t>
      </w:r>
      <w:r>
        <w:t xml:space="preserve">· The effect of intranasal oxytocin on theory of mind in children with attention deficit/hyperactive disorder. PMID 41138507</w:t>
      </w:r>
    </w:p>
    <w:p>
      <w:pPr>
        <w:numPr>
          <w:ilvl w:val="0"/>
          <w:numId w:val="1419"/>
        </w:numPr>
        <w:pStyle w:val="Compact"/>
      </w:pPr>
      <w:r>
        <w:t xml:space="preserve">2026 · Nannt J ·</w:t>
      </w:r>
      <w:r>
        <w:t xml:space="preserve"> </w:t>
      </w:r>
      <w:r>
        <w:rPr>
          <w:iCs/>
          <w:i/>
        </w:rPr>
        <w:t xml:space="preserve">Int J Eat Disord</w:t>
      </w:r>
      <w:r>
        <w:t xml:space="preserve"> </w:t>
      </w:r>
      <w:r>
        <w:t xml:space="preserve">· Oxytocin Effects on Food Stimulus Processing and Food Intake in Females With or Without Binge Eating Disorder. PMID 41131747</w:t>
      </w:r>
    </w:p>
    <w:p>
      <w:pPr>
        <w:numPr>
          <w:ilvl w:val="0"/>
          <w:numId w:val="1419"/>
        </w:numPr>
        <w:pStyle w:val="Compact"/>
      </w:pPr>
      <w:r>
        <w:t xml:space="preserve">2025 · Riem MME ·</w:t>
      </w:r>
      <w:r>
        <w:t xml:space="preserve"> </w:t>
      </w:r>
      <w:r>
        <w:rPr>
          <w:iCs/>
          <w:i/>
        </w:rPr>
        <w:t xml:space="preserve">Psychoneuroendocrinology</w:t>
      </w:r>
      <w:r>
        <w:t xml:space="preserve"> </w:t>
      </w:r>
      <w:r>
        <w:t xml:space="preserve">· Boosting oxytocin in postpartum depression: Intranasal oxytocin enhances maternal positive affect and regard for the infant. PMID 40614394</w:t>
      </w:r>
    </w:p>
    <w:p>
      <w:pPr>
        <w:numPr>
          <w:ilvl w:val="0"/>
          <w:numId w:val="1419"/>
        </w:numPr>
        <w:pStyle w:val="Compact"/>
      </w:pPr>
      <w:r>
        <w:t xml:space="preserve">2025 · Cosme G ·</w:t>
      </w:r>
      <w:r>
        <w:t xml:space="preserve"> </w:t>
      </w:r>
      <w:r>
        <w:rPr>
          <w:iCs/>
          <w:i/>
        </w:rPr>
        <w:t xml:space="preserve">Psychoneuroendocrinology</w:t>
      </w:r>
      <w:r>
        <w:t xml:space="preserve"> </w:t>
      </w:r>
      <w:r>
        <w:t xml:space="preserve">· Intranasal oxytocin increases cooperation of heterosexual men with women. PMID 40578004</w:t>
      </w:r>
    </w:p>
    <w:p>
      <w:pPr>
        <w:numPr>
          <w:ilvl w:val="0"/>
          <w:numId w:val="1419"/>
        </w:numPr>
        <w:pStyle w:val="Compact"/>
      </w:pPr>
      <w:r>
        <w:t xml:space="preserve">2025 · Julius NC ·</w:t>
      </w:r>
      <w:r>
        <w:t xml:space="preserve"> </w:t>
      </w:r>
      <w:r>
        <w:rPr>
          <w:iCs/>
          <w:i/>
        </w:rPr>
        <w:t xml:space="preserve">Sci Rep</w:t>
      </w:r>
      <w:r>
        <w:t xml:space="preserve"> </w:t>
      </w:r>
      <w:r>
        <w:t xml:space="preserve">· Nasal dominance potentiates intranasal oxytocin’s anxiolytic effects. PMID 40425808</w:t>
      </w:r>
    </w:p>
    <w:p>
      <w:pPr>
        <w:numPr>
          <w:ilvl w:val="0"/>
          <w:numId w:val="1419"/>
        </w:numPr>
        <w:pStyle w:val="Compact"/>
      </w:pPr>
      <w:r>
        <w:t xml:space="preserve">2025 · Flanagan JC ·</w:t>
      </w:r>
      <w:r>
        <w:t xml:space="preserve"> </w:t>
      </w:r>
      <w:r>
        <w:rPr>
          <w:iCs/>
          <w:i/>
        </w:rPr>
        <w:t xml:space="preserve">J Clin Psychiatry</w:t>
      </w:r>
      <w:r>
        <w:t xml:space="preserve"> </w:t>
      </w:r>
      <w:r>
        <w:t xml:space="preserve">· Results of a Randomized Controlled Trial Examining the Efficacy of Intranasal Oxytocin to Enhance Alcohol Behavioral Couple Therapy. PMID 40392716</w:t>
      </w:r>
    </w:p>
    <w:p>
      <w:pPr>
        <w:numPr>
          <w:ilvl w:val="0"/>
          <w:numId w:val="1419"/>
        </w:numPr>
        <w:pStyle w:val="Compact"/>
      </w:pPr>
      <w:r>
        <w:t xml:space="preserve">2025 · Aulinas A ·</w:t>
      </w:r>
      <w:r>
        <w:t xml:space="preserve"> </w:t>
      </w:r>
      <w:r>
        <w:rPr>
          <w:iCs/>
          <w:i/>
        </w:rPr>
        <w:t xml:space="preserve">J Clin Endocrinol Metab</w:t>
      </w:r>
      <w:r>
        <w:t xml:space="preserve"> </w:t>
      </w:r>
      <w:r>
        <w:t xml:space="preserve">· Arginine-Vasopressin Dynamics in Relation to Food Intake and 8-Week Intranasal Oxytocin Treatment in Adults With Obesity. PMID 40314146</w:t>
      </w:r>
    </w:p>
    <w:p>
      <w:pPr>
        <w:numPr>
          <w:ilvl w:val="0"/>
          <w:numId w:val="1419"/>
        </w:numPr>
        <w:pStyle w:val="Compact"/>
      </w:pPr>
      <w:r>
        <w:t xml:space="preserve">2025 · Vetter S ·</w:t>
      </w:r>
      <w:r>
        <w:t xml:space="preserve"> </w:t>
      </w:r>
      <w:r>
        <w:rPr>
          <w:iCs/>
          <w:i/>
        </w:rPr>
        <w:t xml:space="preserve">Psychopharmacology (Berl)</w:t>
      </w:r>
      <w:r>
        <w:t xml:space="preserve"> </w:t>
      </w:r>
      <w:r>
        <w:t xml:space="preserve">· Intranasal oxytocin blunts amygdala response to negative affective stimuli in males and females with alcohol use disorder: a randomized controlled cross-over trial. PMID 40232386</w:t>
      </w:r>
    </w:p>
    <w:p>
      <w:pPr>
        <w:numPr>
          <w:ilvl w:val="0"/>
          <w:numId w:val="1419"/>
        </w:numPr>
        <w:pStyle w:val="Compact"/>
      </w:pPr>
      <w:r>
        <w:t xml:space="preserve">2025 · O’ Brien S ·</w:t>
      </w:r>
      <w:r>
        <w:t xml:space="preserve"> </w:t>
      </w:r>
      <w:r>
        <w:rPr>
          <w:iCs/>
          <w:i/>
        </w:rPr>
        <w:t xml:space="preserve">Sci Rep</w:t>
      </w:r>
      <w:r>
        <w:t xml:space="preserve"> </w:t>
      </w:r>
      <w:r>
        <w:t xml:space="preserve">· Intranasal oxytocin modulates brain activity during emotional processing in children with treatment resistant conduct problems. PMID 40180973</w:t>
      </w:r>
    </w:p>
    <w:p>
      <w:pPr>
        <w:numPr>
          <w:ilvl w:val="0"/>
          <w:numId w:val="1419"/>
        </w:numPr>
        <w:pStyle w:val="Compact"/>
      </w:pPr>
      <w:r>
        <w:t xml:space="preserve">2025 · Andari E ·</w:t>
      </w:r>
      <w:r>
        <w:t xml:space="preserve"> </w:t>
      </w:r>
      <w:r>
        <w:rPr>
          <w:iCs/>
          <w:i/>
        </w:rPr>
        <w:t xml:space="preserve">Neuropsychopharmacology</w:t>
      </w:r>
      <w:r>
        <w:t xml:space="preserve"> </w:t>
      </w:r>
      <w:r>
        <w:t xml:space="preserve">· Random forest and Shapley Additive exPlanations predict oxytocin targeted effects on brain functional networks involved in salience and sensorimotor processing, in a randomized clinical trial in autism. PMID 40175527</w:t>
      </w:r>
    </w:p>
    <w:p>
      <w:pPr>
        <w:numPr>
          <w:ilvl w:val="0"/>
          <w:numId w:val="1419"/>
        </w:numPr>
        <w:pStyle w:val="Compact"/>
      </w:pPr>
      <w:r>
        <w:t xml:space="preserve">2025 · Shafer SL ·</w:t>
      </w:r>
      <w:r>
        <w:t xml:space="preserve"> </w:t>
      </w:r>
      <w:r>
        <w:rPr>
          <w:iCs/>
          <w:i/>
        </w:rPr>
        <w:t xml:space="preserve">Br J Anaesth</w:t>
      </w:r>
      <w:r>
        <w:t xml:space="preserve"> </w:t>
      </w:r>
      <w:r>
        <w:t xml:space="preserve">· Plasma pharmacokinetics of intravenous and intranasal oxytocin in nonpregnant adults. PMID 40121179</w:t>
      </w:r>
    </w:p>
    <w:p>
      <w:pPr>
        <w:numPr>
          <w:ilvl w:val="0"/>
          <w:numId w:val="1419"/>
        </w:numPr>
        <w:pStyle w:val="Compact"/>
      </w:pPr>
      <w:r>
        <w:t xml:space="preserve">2025 · Liu J ·</w:t>
      </w:r>
      <w:r>
        <w:t xml:space="preserve"> </w:t>
      </w:r>
      <w:r>
        <w:rPr>
          <w:iCs/>
          <w:i/>
        </w:rPr>
        <w:t xml:space="preserve">Psychoneuroendocrinology</w:t>
      </w:r>
      <w:r>
        <w:t xml:space="preserve"> </w:t>
      </w:r>
      <w:r>
        <w:t xml:space="preserve">· The complex role of oxytocin in fear acquisition and generalization. PMID 40073548</w:t>
      </w:r>
    </w:p>
    <w:p>
      <w:pPr>
        <w:numPr>
          <w:ilvl w:val="0"/>
          <w:numId w:val="1419"/>
        </w:numPr>
        <w:pStyle w:val="Compact"/>
      </w:pPr>
      <w:r>
        <w:t xml:space="preserve">2025 · Rosenfeld-Ganzel A ·</w:t>
      </w:r>
      <w:r>
        <w:t xml:space="preserve"> </w:t>
      </w:r>
      <w:r>
        <w:rPr>
          <w:iCs/>
          <w:i/>
        </w:rPr>
        <w:t xml:space="preserve">Biol Psychol</w:t>
      </w:r>
      <w:r>
        <w:t xml:space="preserve"> </w:t>
      </w:r>
      <w:r>
        <w:t xml:space="preserve">· Oxytocin’s role in the interaction between emotion and cognitive control. PMID 39987954</w:t>
      </w:r>
    </w:p>
    <w:p>
      <w:pPr>
        <w:numPr>
          <w:ilvl w:val="0"/>
          <w:numId w:val="1419"/>
        </w:numPr>
        <w:pStyle w:val="Compact"/>
      </w:pPr>
      <w:r>
        <w:t xml:space="preserve">2025 · Verdes A ·</w:t>
      </w:r>
      <w:r>
        <w:t xml:space="preserve"> </w:t>
      </w:r>
      <w:r>
        <w:rPr>
          <w:iCs/>
          <w:i/>
        </w:rPr>
        <w:t xml:space="preserve">J Child Adolesc Psychopharmacol</w:t>
      </w:r>
      <w:r>
        <w:t xml:space="preserve"> </w:t>
      </w:r>
      <w:r>
        <w:t xml:space="preserve">· Predictors of Placebo Response in the Study of Oxytocin in Autism to Improve Reciprocal Social Behaviors. PMID 39970017</w:t>
      </w:r>
    </w:p>
    <w:p>
      <w:pPr>
        <w:numPr>
          <w:ilvl w:val="0"/>
          <w:numId w:val="1419"/>
        </w:numPr>
        <w:pStyle w:val="Compact"/>
      </w:pPr>
      <w:r>
        <w:t xml:space="preserve">2025 · Lindley Baron-Cohen K ·</w:t>
      </w:r>
      <w:r>
        <w:t xml:space="preserve"> </w:t>
      </w:r>
      <w:r>
        <w:rPr>
          <w:iCs/>
          <w:i/>
        </w:rPr>
        <w:t xml:space="preserve">Psychoneuroendocrinology</w:t>
      </w:r>
      <w:r>
        <w:t xml:space="preserve"> </w:t>
      </w:r>
      <w:r>
        <w:t xml:space="preserve">· Intranasal oxytocin increases breast milk oxytocin, but has a reduced effect in depressed mothers: A randomized controlled trial. PMID 39891981</w:t>
      </w:r>
    </w:p>
    <w:p>
      <w:pPr>
        <w:numPr>
          <w:ilvl w:val="0"/>
          <w:numId w:val="1419"/>
        </w:numPr>
        <w:pStyle w:val="Compact"/>
      </w:pPr>
      <w:r>
        <w:t xml:space="preserve">2025 · Burmester V ·</w:t>
      </w:r>
      <w:r>
        <w:t xml:space="preserve"> </w:t>
      </w:r>
      <w:r>
        <w:rPr>
          <w:iCs/>
          <w:i/>
        </w:rPr>
        <w:t xml:space="preserve">Eur Eat Disord Rev</w:t>
      </w:r>
      <w:r>
        <w:t xml:space="preserve"> </w:t>
      </w:r>
      <w:r>
        <w:t xml:space="preserve">· Oxytocin Amplifies Negative Response to Ambiguity in Adolescent Females With and Without Eating Disorders. PMID 39887557</w:t>
      </w:r>
    </w:p>
    <w:p>
      <w:pPr>
        <w:numPr>
          <w:ilvl w:val="0"/>
          <w:numId w:val="1419"/>
        </w:numPr>
        <w:pStyle w:val="Compact"/>
      </w:pPr>
      <w:r>
        <w:t xml:space="preserve">2025 · Coleman KKL ·</w:t>
      </w:r>
      <w:r>
        <w:t xml:space="preserve"> </w:t>
      </w:r>
      <w:r>
        <w:rPr>
          <w:iCs/>
          <w:i/>
        </w:rPr>
        <w:t xml:space="preserve">Lancet Neurol</w:t>
      </w:r>
      <w:r>
        <w:t xml:space="preserve"> </w:t>
      </w:r>
      <w:r>
        <w:t xml:space="preserve">· Intranasal oxytocin for apathy in people with frontotemporal dementia (FOXY): a multicentre, randomised, double-blind, placebo-controlled, adaptive, crossover, phase 2a/2b superiority trial. PMID 39862881</w:t>
      </w:r>
    </w:p>
    <w:p>
      <w:pPr>
        <w:numPr>
          <w:ilvl w:val="0"/>
          <w:numId w:val="1419"/>
        </w:numPr>
        <w:pStyle w:val="Compact"/>
      </w:pPr>
      <w:r>
        <w:t xml:space="preserve">2025 · Thurston MD ·</w:t>
      </w:r>
      <w:r>
        <w:t xml:space="preserve"> </w:t>
      </w:r>
      <w:r>
        <w:rPr>
          <w:iCs/>
          <w:i/>
        </w:rPr>
        <w:t xml:space="preserve">Psychopharmacology (Berl)</w:t>
      </w:r>
      <w:r>
        <w:t xml:space="preserve"> </w:t>
      </w:r>
      <w:r>
        <w:t xml:space="preserve">· Oxytocin differentially modulates reward system responses to social and non-social incentives. PMID 39365438</w:t>
      </w:r>
    </w:p>
    <w:p>
      <w:pPr>
        <w:numPr>
          <w:ilvl w:val="0"/>
          <w:numId w:val="1419"/>
        </w:numPr>
        <w:pStyle w:val="Compact"/>
      </w:pPr>
      <w:r>
        <w:t xml:space="preserve">2025 · Rashidi M ·</w:t>
      </w:r>
      <w:r>
        <w:t xml:space="preserve"> </w:t>
      </w:r>
      <w:r>
        <w:rPr>
          <w:iCs/>
          <w:i/>
        </w:rPr>
        <w:t xml:space="preserve">Neuropsychopharmacology</w:t>
      </w:r>
      <w:r>
        <w:t xml:space="preserve"> </w:t>
      </w:r>
      <w:r>
        <w:t xml:space="preserve">· Effects of intranasal oxytocin on fear extinction learning. PMID 39313675</w:t>
      </w:r>
    </w:p>
    <w:p>
      <w:pPr>
        <w:numPr>
          <w:ilvl w:val="0"/>
          <w:numId w:val="1419"/>
        </w:numPr>
        <w:pStyle w:val="Compact"/>
      </w:pPr>
      <w:r>
        <w:t xml:space="preserve">2024 · Moerkerke M ·</w:t>
      </w:r>
      <w:r>
        <w:t xml:space="preserve"> </w:t>
      </w:r>
      <w:r>
        <w:rPr>
          <w:iCs/>
          <w:i/>
        </w:rPr>
        <w:t xml:space="preserve">Mol Autism</w:t>
      </w:r>
      <w:r>
        <w:t xml:space="preserve"> </w:t>
      </w:r>
      <w:r>
        <w:t xml:space="preserve">· Impact of chronic intranasal oxytocin administration on face expression processing in autistic children: a randomized controlled trial using fMRI. PMID 39709442</w:t>
      </w:r>
    </w:p>
    <w:p>
      <w:pPr>
        <w:numPr>
          <w:ilvl w:val="0"/>
          <w:numId w:val="1419"/>
        </w:numPr>
        <w:pStyle w:val="Compact"/>
      </w:pPr>
      <w:r>
        <w:t xml:space="preserve">2024 · Maoz H ·</w:t>
      </w:r>
      <w:r>
        <w:t xml:space="preserve"> </w:t>
      </w:r>
      <w:r>
        <w:rPr>
          <w:iCs/>
          <w:i/>
        </w:rPr>
        <w:t xml:space="preserve">Psychiatry Res</w:t>
      </w:r>
      <w:r>
        <w:t xml:space="preserve"> </w:t>
      </w:r>
      <w:r>
        <w:t xml:space="preserve">· Sex differences in response to intranasal oxytocin as an adjunctive therapy for patients with severe mental illness. PMID 39579479</w:t>
      </w:r>
    </w:p>
    <w:p>
      <w:pPr>
        <w:numPr>
          <w:ilvl w:val="0"/>
          <w:numId w:val="1419"/>
        </w:numPr>
        <w:pStyle w:val="Compact"/>
      </w:pPr>
      <w:r>
        <w:t xml:space="preserve">2024 · Wang Y ·</w:t>
      </w:r>
      <w:r>
        <w:t xml:space="preserve"> </w:t>
      </w:r>
      <w:r>
        <w:rPr>
          <w:iCs/>
          <w:i/>
        </w:rPr>
        <w:t xml:space="preserve">Neuropharmacology</w:t>
      </w:r>
      <w:r>
        <w:t xml:space="preserve"> </w:t>
      </w:r>
      <w:r>
        <w:t xml:space="preserve">· Oxytocin modulation of explicit pandemic stigma in men with varying social anxiety levels. PMID 39251086</w:t>
      </w:r>
    </w:p>
    <w:p>
      <w:pPr>
        <w:numPr>
          <w:ilvl w:val="0"/>
          <w:numId w:val="1419"/>
        </w:numPr>
        <w:pStyle w:val="Compact"/>
      </w:pPr>
      <w:r>
        <w:t xml:space="preserve">2024 · Liu P ·</w:t>
      </w:r>
      <w:r>
        <w:t xml:space="preserve"> </w:t>
      </w:r>
      <w:r>
        <w:rPr>
          <w:iCs/>
          <w:i/>
        </w:rPr>
        <w:t xml:space="preserve">Neuropharmacology</w:t>
      </w:r>
      <w:r>
        <w:t xml:space="preserve"> </w:t>
      </w:r>
      <w:r>
        <w:t xml:space="preserve">· Effects of four-week intranasal oxytocin administration on large-scale brain networks in older adults. PMID 39182569</w:t>
      </w:r>
    </w:p>
    <w:p>
      <w:pPr>
        <w:numPr>
          <w:ilvl w:val="0"/>
          <w:numId w:val="1419"/>
        </w:numPr>
        <w:pStyle w:val="Compact"/>
      </w:pPr>
      <w:r>
        <w:t xml:space="preserve">2024 · Goll N ·</w:t>
      </w:r>
      <w:r>
        <w:t xml:space="preserve"> </w:t>
      </w:r>
      <w:r>
        <w:rPr>
          <w:iCs/>
          <w:i/>
        </w:rPr>
        <w:t xml:space="preserve">Diabetes Obes Metab</w:t>
      </w:r>
      <w:r>
        <w:t xml:space="preserve"> </w:t>
      </w:r>
      <w:r>
        <w:t xml:space="preserve">· Oxytocin does not acutely improve glucose tolerance in men with type 2 diabetes. PMID 39118203</w:t>
      </w:r>
    </w:p>
    <w:p>
      <w:pPr>
        <w:numPr>
          <w:ilvl w:val="0"/>
          <w:numId w:val="1419"/>
        </w:numPr>
        <w:pStyle w:val="Compact"/>
      </w:pPr>
      <w:r>
        <w:t xml:space="preserve">2024 · Zhou M ·</w:t>
      </w:r>
      <w:r>
        <w:t xml:space="preserve"> </w:t>
      </w:r>
      <w:r>
        <w:rPr>
          <w:iCs/>
          <w:i/>
        </w:rPr>
        <w:t xml:space="preserve">Biol Psychiatry Cogn Neurosci Neuroimaging</w:t>
      </w:r>
      <w:r>
        <w:t xml:space="preserve"> </w:t>
      </w:r>
      <w:r>
        <w:t xml:space="preserve">· Intranasal Oxytocin Improves Interoceptive Accuracy and Heartbeat-Evoked Potentials During a Cardiac Interoceptive Task. PMID 38839034</w:t>
      </w:r>
    </w:p>
    <w:p>
      <w:pPr>
        <w:numPr>
          <w:ilvl w:val="0"/>
          <w:numId w:val="1419"/>
        </w:numPr>
        <w:pStyle w:val="Compact"/>
      </w:pPr>
      <w:r>
        <w:t xml:space="preserve">2024 · Plessow F ·</w:t>
      </w:r>
      <w:r>
        <w:t xml:space="preserve"> </w:t>
      </w:r>
      <w:r>
        <w:rPr>
          <w:iCs/>
          <w:i/>
        </w:rPr>
        <w:t xml:space="preserve">NEJM Evid</w:t>
      </w:r>
      <w:r>
        <w:t xml:space="preserve"> </w:t>
      </w:r>
      <w:r>
        <w:t xml:space="preserve">· Intranasal Oxytocin for Obesity. PMID 38815173</w:t>
      </w:r>
    </w:p>
    <w:p>
      <w:pPr>
        <w:numPr>
          <w:ilvl w:val="0"/>
          <w:numId w:val="1419"/>
        </w:numPr>
        <w:pStyle w:val="Compact"/>
      </w:pPr>
      <w:r>
        <w:t xml:space="preserve">2024 · Berger R ·</w:t>
      </w:r>
      <w:r>
        <w:t xml:space="preserve"> </w:t>
      </w:r>
      <w:r>
        <w:rPr>
          <w:iCs/>
          <w:i/>
        </w:rPr>
        <w:t xml:space="preserve">Psychother Psychosom</w:t>
      </w:r>
      <w:r>
        <w:t xml:space="preserve"> </w:t>
      </w:r>
      <w:r>
        <w:t xml:space="preserve">· Oxytocin-Augmented Modular-Based Group Intervention for Loneliness: A Proof-Of-Concept Randomized Controlled Trial. PMID 38754399</w:t>
      </w:r>
    </w:p>
    <w:p>
      <w:pPr>
        <w:numPr>
          <w:ilvl w:val="0"/>
          <w:numId w:val="1419"/>
        </w:numPr>
        <w:pStyle w:val="Compact"/>
      </w:pPr>
      <w:r>
        <w:t xml:space="preserve">2024 · Tomescu MI ·</w:t>
      </w:r>
      <w:r>
        <w:t xml:space="preserve"> </w:t>
      </w:r>
      <w:r>
        <w:rPr>
          <w:iCs/>
          <w:i/>
        </w:rPr>
        <w:t xml:space="preserve">Psychophysiology</w:t>
      </w:r>
      <w:r>
        <w:t xml:space="preserve"> </w:t>
      </w:r>
      <w:r>
        <w:t xml:space="preserve">· Social functioning predicts individual changes in EEG microstates following intranasal oxytocin administration: A double-blind, cross-over randomized clinical trial. PMID 38594888</w:t>
      </w:r>
    </w:p>
    <w:p>
      <w:pPr>
        <w:numPr>
          <w:ilvl w:val="0"/>
          <w:numId w:val="1419"/>
        </w:numPr>
        <w:pStyle w:val="Compact"/>
      </w:pPr>
      <w:r>
        <w:t xml:space="preserve">2024 · Flechsenhar A ·</w:t>
      </w:r>
      <w:r>
        <w:t xml:space="preserve"> </w:t>
      </w:r>
      <w:r>
        <w:rPr>
          <w:iCs/>
          <w:i/>
        </w:rPr>
        <w:t xml:space="preserve">Neuropharmacology</w:t>
      </w:r>
      <w:r>
        <w:t xml:space="preserve"> </w:t>
      </w:r>
      <w:r>
        <w:t xml:space="preserve">· Oxytocin and social learning in socially anxious men and women. PMID 38537867</w:t>
      </w:r>
    </w:p>
    <w:p>
      <w:pPr>
        <w:numPr>
          <w:ilvl w:val="0"/>
          <w:numId w:val="1419"/>
        </w:numPr>
        <w:pStyle w:val="Compact"/>
      </w:pPr>
      <w:r>
        <w:t xml:space="preserve">2024 · Maguire S ·</w:t>
      </w:r>
      <w:r>
        <w:t xml:space="preserve"> </w:t>
      </w:r>
      <w:r>
        <w:rPr>
          <w:iCs/>
          <w:i/>
        </w:rPr>
        <w:t xml:space="preserve">Psychoneuroendocrinology</w:t>
      </w:r>
      <w:r>
        <w:t xml:space="preserve"> </w:t>
      </w:r>
      <w:r>
        <w:t xml:space="preserve">· A phase II randomised controlled trial of intranasal oxytocin in anorexia nervosa. PMID 38520886</w:t>
      </w:r>
    </w:p>
    <w:p>
      <w:pPr>
        <w:numPr>
          <w:ilvl w:val="0"/>
          <w:numId w:val="1419"/>
        </w:numPr>
        <w:pStyle w:val="Compact"/>
      </w:pPr>
      <w:r>
        <w:t xml:space="preserve">2024 · Shoenfelt A ·</w:t>
      </w:r>
      <w:r>
        <w:t xml:space="preserve"> </w:t>
      </w:r>
      <w:r>
        <w:rPr>
          <w:iCs/>
          <w:i/>
        </w:rPr>
        <w:t xml:space="preserve">Psychoneuroendocrinology</w:t>
      </w:r>
      <w:r>
        <w:t xml:space="preserve"> </w:t>
      </w:r>
      <w:r>
        <w:t xml:space="preserve">· Effects of chronic intranasal oxytocin on visual attention to faces vs. natural scenes in older adults. PMID 38461634</w:t>
      </w:r>
    </w:p>
    <w:p>
      <w:pPr>
        <w:numPr>
          <w:ilvl w:val="0"/>
          <w:numId w:val="1419"/>
        </w:numPr>
        <w:pStyle w:val="Compact"/>
      </w:pPr>
      <w:r>
        <w:t xml:space="preserve">2024 · Ellenbogen MA ·</w:t>
      </w:r>
      <w:r>
        <w:t xml:space="preserve"> </w:t>
      </w:r>
      <w:r>
        <w:rPr>
          <w:iCs/>
          <w:i/>
        </w:rPr>
        <w:t xml:space="preserve">Psychol Med</w:t>
      </w:r>
      <w:r>
        <w:t xml:space="preserve"> </w:t>
      </w:r>
      <w:r>
        <w:t xml:space="preserve">· The effects of intranasal oxytocin on the efficacy of psychotherapy for major depressive disorder: a pilot randomized controlled trial. PMID 38445382</w:t>
      </w:r>
    </w:p>
    <w:p>
      <w:pPr>
        <w:numPr>
          <w:ilvl w:val="0"/>
          <w:numId w:val="1419"/>
        </w:numPr>
        <w:pStyle w:val="Compact"/>
      </w:pPr>
      <w:r>
        <w:t xml:space="preserve">2024 · Hwang S ·</w:t>
      </w:r>
      <w:r>
        <w:t xml:space="preserve"> </w:t>
      </w:r>
      <w:r>
        <w:rPr>
          <w:iCs/>
          <w:i/>
        </w:rPr>
        <w:t xml:space="preserve">Am J Psychiatry</w:t>
      </w:r>
      <w:r>
        <w:t xml:space="preserve"> </w:t>
      </w:r>
      <w:r>
        <w:t xml:space="preserve">· Neural Responses to Intranasal Oxytocin in Youths With Severe Irritability. PMID 38419495</w:t>
      </w:r>
    </w:p>
    <w:p>
      <w:pPr>
        <w:numPr>
          <w:ilvl w:val="0"/>
          <w:numId w:val="1419"/>
        </w:numPr>
        <w:pStyle w:val="Compact"/>
      </w:pPr>
      <w:r>
        <w:t xml:space="preserve">2024 · Moses E ·</w:t>
      </w:r>
      <w:r>
        <w:t xml:space="preserve"> </w:t>
      </w:r>
      <w:r>
        <w:rPr>
          <w:iCs/>
          <w:i/>
        </w:rPr>
        <w:t xml:space="preserve">Soc Cogn Affect Neurosci</w:t>
      </w:r>
      <w:r>
        <w:t xml:space="preserve"> </w:t>
      </w:r>
      <w:r>
        <w:t xml:space="preserve">· Oxytocin differentially modulates the early neural responses to faces and non-social stimuli. PMID 38372627</w:t>
      </w:r>
    </w:p>
    <w:p>
      <w:pPr>
        <w:numPr>
          <w:ilvl w:val="0"/>
          <w:numId w:val="1419"/>
        </w:numPr>
        <w:pStyle w:val="Compact"/>
      </w:pPr>
      <w:r>
        <w:t xml:space="preserve">2024 · İmamoğlu A ·</w:t>
      </w:r>
      <w:r>
        <w:t xml:space="preserve"> </w:t>
      </w:r>
      <w:r>
        <w:rPr>
          <w:iCs/>
          <w:i/>
        </w:rPr>
        <w:t xml:space="preserve">J Psychiatr Res</w:t>
      </w:r>
      <w:r>
        <w:t xml:space="preserve"> </w:t>
      </w:r>
      <w:r>
        <w:t xml:space="preserve">· The effect of intranasal oxytocin on neurocognition in people with schizophrenia: A randomized controlled trial. PMID 38262165</w:t>
      </w:r>
    </w:p>
    <w:p>
      <w:pPr>
        <w:numPr>
          <w:ilvl w:val="0"/>
          <w:numId w:val="1419"/>
        </w:numPr>
        <w:pStyle w:val="Compact"/>
      </w:pPr>
      <w:r>
        <w:t xml:space="preserve">2024 · Davies C ·</w:t>
      </w:r>
      <w:r>
        <w:t xml:space="preserve"> </w:t>
      </w:r>
      <w:r>
        <w:rPr>
          <w:iCs/>
          <w:i/>
        </w:rPr>
        <w:t xml:space="preserve">Mol Psychiatry</w:t>
      </w:r>
      <w:r>
        <w:t xml:space="preserve"> </w:t>
      </w:r>
      <w:r>
        <w:t xml:space="preserve">· Connectome dysfunction in patients at clinical high risk for psychosis and modulation by oxytocin. PMID 38243074</w:t>
      </w:r>
    </w:p>
    <w:p>
      <w:pPr>
        <w:numPr>
          <w:ilvl w:val="0"/>
          <w:numId w:val="1419"/>
        </w:numPr>
        <w:pStyle w:val="Compact"/>
      </w:pPr>
      <w:r>
        <w:t xml:space="preserve">2024 · Pongrácz P ·</w:t>
      </w:r>
      <w:r>
        <w:t xml:space="preserve"> </w:t>
      </w:r>
      <w:r>
        <w:rPr>
          <w:iCs/>
          <w:i/>
        </w:rPr>
        <w:t xml:space="preserve">BMC Ecol Evol</w:t>
      </w:r>
      <w:r>
        <w:t xml:space="preserve"> </w:t>
      </w:r>
      <w:r>
        <w:t xml:space="preserve">· Alarm or emotion? intranasal oxytocin helps determine information conveyed by dog barks for adult male human listeners. PMID 38221611</w:t>
      </w:r>
    </w:p>
    <w:p>
      <w:pPr>
        <w:numPr>
          <w:ilvl w:val="0"/>
          <w:numId w:val="1419"/>
        </w:numPr>
        <w:pStyle w:val="Compact"/>
      </w:pPr>
      <w:r>
        <w:t xml:space="preserve">2024 · Moerkerke M ·</w:t>
      </w:r>
      <w:r>
        <w:t xml:space="preserve"> </w:t>
      </w:r>
      <w:r>
        <w:rPr>
          <w:iCs/>
          <w:i/>
        </w:rPr>
        <w:t xml:space="preserve">Nat Commun</w:t>
      </w:r>
      <w:r>
        <w:t xml:space="preserve"> </w:t>
      </w:r>
      <w:r>
        <w:t xml:space="preserve">· Chronic oxytocin administration stimulates the oxytocinergic system in children with autism. PMID 38167302</w:t>
      </w:r>
    </w:p>
    <w:p>
      <w:pPr>
        <w:numPr>
          <w:ilvl w:val="0"/>
          <w:numId w:val="1419"/>
        </w:numPr>
        <w:pStyle w:val="Compact"/>
      </w:pPr>
      <w:r>
        <w:t xml:space="preserve">2024 · Maoz H ·</w:t>
      </w:r>
      <w:r>
        <w:t xml:space="preserve"> </w:t>
      </w:r>
      <w:r>
        <w:rPr>
          <w:iCs/>
          <w:i/>
        </w:rPr>
        <w:t xml:space="preserve">J Affect Disord</w:t>
      </w:r>
      <w:r>
        <w:t xml:space="preserve"> </w:t>
      </w:r>
      <w:r>
        <w:t xml:space="preserve">· Intranasal oxytocin as an adjunct treatment among patients with severe major depression with and without comorbid borderline personality disorder. PMID 37992767</w:t>
      </w:r>
    </w:p>
    <w:p>
      <w:pPr>
        <w:numPr>
          <w:ilvl w:val="0"/>
          <w:numId w:val="1419"/>
        </w:numPr>
        <w:pStyle w:val="Compact"/>
      </w:pPr>
      <w:r>
        <w:t xml:space="preserve">2024 · Xiao S ·</w:t>
      </w:r>
      <w:r>
        <w:t xml:space="preserve"> </w:t>
      </w:r>
      <w:r>
        <w:rPr>
          <w:iCs/>
          <w:i/>
        </w:rPr>
        <w:t xml:space="preserve">Psychoneuroendocrinology</w:t>
      </w:r>
      <w:r>
        <w:t xml:space="preserve"> </w:t>
      </w:r>
      <w:r>
        <w:t xml:space="preserve">· Age-dependent effects of oxytocin in brain regions enriched with oxytocin receptors. PMID 37951085</w:t>
      </w:r>
    </w:p>
    <w:p>
      <w:pPr>
        <w:numPr>
          <w:ilvl w:val="0"/>
          <w:numId w:val="1419"/>
        </w:numPr>
        <w:pStyle w:val="Compact"/>
      </w:pPr>
      <w:r>
        <w:t xml:space="preserve">2023 · Alaerts K ·</w:t>
      </w:r>
      <w:r>
        <w:t xml:space="preserve"> </w:t>
      </w:r>
      <w:r>
        <w:rPr>
          <w:iCs/>
          <w:i/>
        </w:rPr>
        <w:t xml:space="preserve">Psychother Psychosom</w:t>
      </w:r>
      <w:r>
        <w:t xml:space="preserve"> </w:t>
      </w:r>
      <w:r>
        <w:t xml:space="preserve">· At the Head and Heart of Oxytocin’s Stress-Regulatory Neural and Cardiac Effects: A Chronic Administration RCT in Children with Autism. PMID 37820592</w:t>
      </w:r>
    </w:p>
    <w:p>
      <w:pPr>
        <w:numPr>
          <w:ilvl w:val="0"/>
          <w:numId w:val="1419"/>
        </w:numPr>
        <w:pStyle w:val="Compact"/>
      </w:pPr>
      <w:r>
        <w:t xml:space="preserve">2023 · Wright KA ·</w:t>
      </w:r>
      <w:r>
        <w:t xml:space="preserve"> </w:t>
      </w:r>
      <w:r>
        <w:rPr>
          <w:iCs/>
          <w:i/>
        </w:rPr>
        <w:t xml:space="preserve">Horm Behav</w:t>
      </w:r>
      <w:r>
        <w:t xml:space="preserve"> </w:t>
      </w:r>
      <w:r>
        <w:t xml:space="preserve">· Four-week intranasal oxytocin administration reduces attachment avoidance in older women. PMID 37659357</w:t>
      </w:r>
    </w:p>
    <w:p>
      <w:pPr>
        <w:numPr>
          <w:ilvl w:val="0"/>
          <w:numId w:val="1419"/>
        </w:numPr>
        <w:pStyle w:val="Compact"/>
      </w:pPr>
      <w:r>
        <w:t xml:space="preserve">2023 · Vogt C ·</w:t>
      </w:r>
      <w:r>
        <w:t xml:space="preserve"> </w:t>
      </w:r>
      <w:r>
        <w:rPr>
          <w:iCs/>
          <w:i/>
        </w:rPr>
        <w:t xml:space="preserve">Soc Cogn Affect Neurosci</w:t>
      </w:r>
      <w:r>
        <w:t xml:space="preserve"> </w:t>
      </w:r>
      <w:r>
        <w:t xml:space="preserve">· Oxytocinergic modulation of speech production-a double-blind placebo-controlled fMRI study. PMID 37384576</w:t>
      </w:r>
    </w:p>
    <w:p>
      <w:pPr>
        <w:numPr>
          <w:ilvl w:val="0"/>
          <w:numId w:val="1419"/>
        </w:numPr>
        <w:pStyle w:val="Compact"/>
      </w:pPr>
      <w:r>
        <w:t xml:space="preserve">2023 · Lin C ·</w:t>
      </w:r>
      <w:r>
        <w:t xml:space="preserve"> </w:t>
      </w:r>
      <w:r>
        <w:rPr>
          <w:iCs/>
          <w:i/>
        </w:rPr>
        <w:t xml:space="preserve">Physiol Behav</w:t>
      </w:r>
      <w:r>
        <w:t xml:space="preserve"> </w:t>
      </w:r>
      <w:r>
        <w:t xml:space="preserve">· The relationship between oxytocin and empathy for others’ pain: Testing the mediating effect of first-hand pain sensitivity. PMID 37301493</w:t>
      </w:r>
    </w:p>
    <w:p>
      <w:pPr>
        <w:numPr>
          <w:ilvl w:val="0"/>
          <w:numId w:val="1419"/>
        </w:numPr>
        <w:pStyle w:val="Compact"/>
      </w:pPr>
      <w:r>
        <w:t xml:space="preserve">2023 · Moerkerke M ·</w:t>
      </w:r>
      <w:r>
        <w:t xml:space="preserve"> </w:t>
      </w:r>
      <w:r>
        <w:rPr>
          <w:iCs/>
          <w:i/>
        </w:rPr>
        <w:t xml:space="preserve">J Child Psychol Psychiatry</w:t>
      </w:r>
      <w:r>
        <w:t xml:space="preserve"> </w:t>
      </w:r>
      <w:r>
        <w:t xml:space="preserve">· Can repeated intranasal oxytocin administration affect reduced neural sensitivity towards expressive faces in autism? A randomized controlled trial. PMID 37278339</w:t>
      </w:r>
    </w:p>
    <w:p>
      <w:pPr>
        <w:numPr>
          <w:ilvl w:val="0"/>
          <w:numId w:val="1419"/>
        </w:numPr>
        <w:pStyle w:val="Compact"/>
      </w:pPr>
      <w:r>
        <w:t xml:space="preserve">2023 · Chen Y ·</w:t>
      </w:r>
      <w:r>
        <w:t xml:space="preserve"> </w:t>
      </w:r>
      <w:r>
        <w:rPr>
          <w:iCs/>
          <w:i/>
        </w:rPr>
        <w:t xml:space="preserve">Elife</w:t>
      </w:r>
      <w:r>
        <w:t xml:space="preserve"> </w:t>
      </w:r>
      <w:r>
        <w:t xml:space="preserve">· Oxytocin administration enhances pleasantness and neural responses to gentle stroking but not moderate pressure social touch by increasing peripheral concentrations. PMID 37171081</w:t>
      </w:r>
    </w:p>
    <w:p>
      <w:pPr>
        <w:numPr>
          <w:ilvl w:val="0"/>
          <w:numId w:val="1419"/>
        </w:numPr>
        <w:pStyle w:val="Compact"/>
      </w:pPr>
      <w:r>
        <w:t xml:space="preserve">2023 · Daniels N ·</w:t>
      </w:r>
      <w:r>
        <w:t xml:space="preserve"> </w:t>
      </w:r>
      <w:r>
        <w:rPr>
          <w:iCs/>
          <w:i/>
        </w:rPr>
        <w:t xml:space="preserve">Mol Autism</w:t>
      </w:r>
      <w:r>
        <w:t xml:space="preserve"> </w:t>
      </w:r>
      <w:r>
        <w:t xml:space="preserve">· Effects of multiple-dose intranasal oxytocin administration on social responsiveness in children with autism: a randomized, placebo-controlled trial. PMID 37081454</w:t>
      </w:r>
    </w:p>
    <w:p>
      <w:pPr>
        <w:numPr>
          <w:ilvl w:val="0"/>
          <w:numId w:val="1419"/>
        </w:numPr>
        <w:pStyle w:val="Compact"/>
      </w:pPr>
      <w:r>
        <w:t xml:space="preserve">2023 · Cosme G ·</w:t>
      </w:r>
      <w:r>
        <w:t xml:space="preserve"> </w:t>
      </w:r>
      <w:r>
        <w:rPr>
          <w:iCs/>
          <w:i/>
        </w:rPr>
        <w:t xml:space="preserve">J Psychopharmacol</w:t>
      </w:r>
      <w:r>
        <w:t xml:space="preserve"> </w:t>
      </w:r>
      <w:r>
        <w:t xml:space="preserve">· Temporal profile of intranasal oxytocin in the human autonomic nervous system at rest: An electrocardiography and pupillometry study. PMID 36891949</w:t>
      </w:r>
    </w:p>
    <w:p>
      <w:pPr>
        <w:numPr>
          <w:ilvl w:val="0"/>
          <w:numId w:val="1419"/>
        </w:numPr>
        <w:pStyle w:val="Compact"/>
      </w:pPr>
      <w:r>
        <w:t xml:space="preserve">2023 · Jansen M ·</w:t>
      </w:r>
      <w:r>
        <w:t xml:space="preserve"> </w:t>
      </w:r>
      <w:r>
        <w:rPr>
          <w:iCs/>
          <w:i/>
        </w:rPr>
        <w:t xml:space="preserve">Neuroimage</w:t>
      </w:r>
      <w:r>
        <w:t xml:space="preserve"> </w:t>
      </w:r>
      <w:r>
        <w:t xml:space="preserve">· l-DOPA and oxytocin influence the neurocomputational mechanisms of self-benefitting and prosocial reinforcement learning. PMID 36848972</w:t>
      </w:r>
    </w:p>
    <w:p>
      <w:pPr>
        <w:numPr>
          <w:ilvl w:val="0"/>
          <w:numId w:val="1419"/>
        </w:numPr>
        <w:pStyle w:val="Compact"/>
      </w:pPr>
      <w:r>
        <w:t xml:space="preserve">2023 · Maslahati T ·</w:t>
      </w:r>
      <w:r>
        <w:t xml:space="preserve"> </w:t>
      </w:r>
      <w:r>
        <w:rPr>
          <w:iCs/>
          <w:i/>
        </w:rPr>
        <w:t xml:space="preserve">Transl Psychiatry</w:t>
      </w:r>
      <w:r>
        <w:t xml:space="preserve"> </w:t>
      </w:r>
      <w:r>
        <w:t xml:space="preserve">· Oxytocin vs. placebo effects on intrusive memory consolidation using a trauma film paradigm: a randomized, controlled experimental study in healthy women. PMID 36739422</w:t>
      </w:r>
    </w:p>
    <w:p>
      <w:pPr>
        <w:numPr>
          <w:ilvl w:val="0"/>
          <w:numId w:val="1419"/>
        </w:numPr>
        <w:pStyle w:val="Compact"/>
      </w:pPr>
      <w:r>
        <w:t xml:space="preserve">2023 · Vehlen A ·</w:t>
      </w:r>
      <w:r>
        <w:t xml:space="preserve"> </w:t>
      </w:r>
      <w:r>
        <w:rPr>
          <w:iCs/>
          <w:i/>
        </w:rPr>
        <w:t xml:space="preserve">J Psychiatr Res</w:t>
      </w:r>
      <w:r>
        <w:t xml:space="preserve"> </w:t>
      </w:r>
      <w:r>
        <w:t xml:space="preserve">· Reduced eye gaze during facial emotion recognition in chronic depression: Effects of intranasal oxytocin. PMID 36657314</w:t>
      </w:r>
    </w:p>
    <w:p>
      <w:pPr>
        <w:numPr>
          <w:ilvl w:val="0"/>
          <w:numId w:val="1419"/>
        </w:numPr>
        <w:pStyle w:val="Compact"/>
      </w:pPr>
      <w:r>
        <w:t xml:space="preserve">2023 · Grossman-Giron A ·</w:t>
      </w:r>
      <w:r>
        <w:t xml:space="preserve"> </w:t>
      </w:r>
      <w:r>
        <w:rPr>
          <w:iCs/>
          <w:i/>
        </w:rPr>
        <w:t xml:space="preserve">Neuropsychobiology</w:t>
      </w:r>
      <w:r>
        <w:t xml:space="preserve"> </w:t>
      </w:r>
      <w:r>
        <w:t xml:space="preserve">· Intranasal Oxytocin as Add-On Treatment for Inpatients with Severe Mental Illness: A Randomized Clinical Trial. PMID 36603563</w:t>
      </w:r>
    </w:p>
    <w:p>
      <w:pPr>
        <w:numPr>
          <w:ilvl w:val="0"/>
          <w:numId w:val="1419"/>
        </w:numPr>
        <w:pStyle w:val="Compact"/>
      </w:pPr>
      <w:r>
        <w:t xml:space="preserve">2023 · Guastella AJ ·</w:t>
      </w:r>
      <w:r>
        <w:t xml:space="preserve"> </w:t>
      </w:r>
      <w:r>
        <w:rPr>
          <w:iCs/>
          <w:i/>
        </w:rPr>
        <w:t xml:space="preserve">Mol Psychiatry</w:t>
      </w:r>
      <w:r>
        <w:t xml:space="preserve"> </w:t>
      </w:r>
      <w:r>
        <w:t xml:space="preserve">· The effect of oxytocin nasal spray on social interaction in young children with autism: a randomized clinical trial. PMID 36302965</w:t>
      </w:r>
    </w:p>
    <w:p>
      <w:pPr>
        <w:numPr>
          <w:ilvl w:val="0"/>
          <w:numId w:val="1419"/>
        </w:numPr>
        <w:pStyle w:val="Compact"/>
      </w:pPr>
      <w:r>
        <w:t xml:space="preserve">2023 · Seeley SH ·</w:t>
      </w:r>
      <w:r>
        <w:t xml:space="preserve"> </w:t>
      </w:r>
      <w:r>
        <w:rPr>
          <w:iCs/>
          <w:i/>
        </w:rPr>
        <w:t xml:space="preserve">Hum Brain Mapp</w:t>
      </w:r>
      <w:r>
        <w:t xml:space="preserve"> </w:t>
      </w:r>
      <w:r>
        <w:t xml:space="preserve">· Dwelling in prolonged grief: Resting state functional connectivity during oxytocin and placebo administration. PMID 36087094</w:t>
      </w:r>
    </w:p>
    <w:p>
      <w:pPr>
        <w:numPr>
          <w:ilvl w:val="0"/>
          <w:numId w:val="1419"/>
        </w:numPr>
        <w:pStyle w:val="Compact"/>
      </w:pPr>
      <w:r>
        <w:t xml:space="preserve">2023 · Ditzen B ·</w:t>
      </w:r>
      <w:r>
        <w:t xml:space="preserve"> </w:t>
      </w:r>
      <w:r>
        <w:rPr>
          <w:iCs/>
          <w:i/>
        </w:rPr>
        <w:t xml:space="preserve">Brain Behav Immun</w:t>
      </w:r>
      <w:r>
        <w:t xml:space="preserve"> </w:t>
      </w:r>
      <w:r>
        <w:t xml:space="preserve">· Effects of intranasal oxytocin and positive couple interaction on immune factors in skin wounds. PMID 36058418</w:t>
      </w:r>
    </w:p>
    <w:p>
      <w:pPr>
        <w:numPr>
          <w:ilvl w:val="0"/>
          <w:numId w:val="1419"/>
        </w:numPr>
        <w:pStyle w:val="Compact"/>
      </w:pPr>
      <w:r>
        <w:t xml:space="preserve">2022 · Coenjaerts M ·</w:t>
      </w:r>
      <w:r>
        <w:t xml:space="preserve"> </w:t>
      </w:r>
      <w:r>
        <w:rPr>
          <w:iCs/>
          <w:i/>
        </w:rPr>
        <w:t xml:space="preserve">Neuroimage</w:t>
      </w:r>
      <w:r>
        <w:t xml:space="preserve"> </w:t>
      </w:r>
      <w:r>
        <w:t xml:space="preserve">· Exogenous estradiol and oxytocin modulate sex differences in hippocampal reactivity during the encoding of episodic memories. PMID 36349596</w:t>
      </w:r>
    </w:p>
    <w:p>
      <w:pPr>
        <w:numPr>
          <w:ilvl w:val="0"/>
          <w:numId w:val="1419"/>
        </w:numPr>
        <w:pStyle w:val="Compact"/>
      </w:pPr>
      <w:r>
        <w:t xml:space="preserve">2022 · Melby K ·</w:t>
      </w:r>
      <w:r>
        <w:t xml:space="preserve"> </w:t>
      </w:r>
      <w:r>
        <w:rPr>
          <w:iCs/>
          <w:i/>
        </w:rPr>
        <w:t xml:space="preserve">Horm Behav</w:t>
      </w:r>
      <w:r>
        <w:t xml:space="preserve"> </w:t>
      </w:r>
      <w:r>
        <w:t xml:space="preserve">· The effect of intranasal oxytocin on processing emotional stimuli during alcohol withdrawal: A randomized placebo-controlled double-blind clinical trial. PMID 36242831</w:t>
      </w:r>
    </w:p>
    <w:p>
      <w:pPr>
        <w:numPr>
          <w:ilvl w:val="0"/>
          <w:numId w:val="1419"/>
        </w:numPr>
        <w:pStyle w:val="Compact"/>
      </w:pPr>
      <w:r>
        <w:t xml:space="preserve">2022 · Zhuang Q ·</w:t>
      </w:r>
      <w:r>
        <w:t xml:space="preserve"> </w:t>
      </w:r>
      <w:r>
        <w:rPr>
          <w:iCs/>
          <w:i/>
        </w:rPr>
        <w:t xml:space="preserve">Int J Neuropsychopharmacol</w:t>
      </w:r>
      <w:r>
        <w:t xml:space="preserve"> </w:t>
      </w:r>
      <w:r>
        <w:t xml:space="preserve">· Oral Administration of Oxytocin, Like Intranasal Administration, Decreases Top-Down Social Attention. PMID 36053298</w:t>
      </w:r>
    </w:p>
    <w:p>
      <w:pPr>
        <w:numPr>
          <w:ilvl w:val="0"/>
          <w:numId w:val="1419"/>
        </w:numPr>
        <w:pStyle w:val="Compact"/>
      </w:pPr>
      <w:r>
        <w:t xml:space="preserve">2022 · Korann V ·</w:t>
      </w:r>
      <w:r>
        <w:t xml:space="preserve"> </w:t>
      </w:r>
      <w:r>
        <w:rPr>
          <w:iCs/>
          <w:i/>
        </w:rPr>
        <w:t xml:space="preserve">Schizophr Bull</w:t>
      </w:r>
      <w:r>
        <w:t xml:space="preserve"> </w:t>
      </w:r>
      <w:r>
        <w:t xml:space="preserve">· Effect of Intranasal Oxytocin on Resting-state Effective Connectivity in Schizophrenia. PMID 35759349</w:t>
      </w:r>
    </w:p>
    <w:p>
      <w:pPr>
        <w:numPr>
          <w:ilvl w:val="0"/>
          <w:numId w:val="1419"/>
        </w:numPr>
        <w:pStyle w:val="Compact"/>
      </w:pPr>
      <w:r>
        <w:t xml:space="preserve">2022 · Flanagan JC ·</w:t>
      </w:r>
      <w:r>
        <w:t xml:space="preserve"> </w:t>
      </w:r>
      <w:r>
        <w:rPr>
          <w:iCs/>
          <w:i/>
        </w:rPr>
        <w:t xml:space="preserve">J Psychiatr Res</w:t>
      </w:r>
      <w:r>
        <w:t xml:space="preserve"> </w:t>
      </w:r>
      <w:r>
        <w:t xml:space="preserve">· A randomized controlled trial examining the effects of intranasal oxytocin on alcohol craving and intimate partner aggression among couples. PMID 35709548</w:t>
      </w:r>
    </w:p>
    <w:p>
      <w:pPr>
        <w:numPr>
          <w:ilvl w:val="0"/>
          <w:numId w:val="1419"/>
        </w:numPr>
        <w:pStyle w:val="Compact"/>
      </w:pPr>
      <w:r>
        <w:t xml:space="preserve">2022 · Doppler CEJ ·</w:t>
      </w:r>
      <w:r>
        <w:t xml:space="preserve"> </w:t>
      </w:r>
      <w:r>
        <w:rPr>
          <w:iCs/>
          <w:i/>
        </w:rPr>
        <w:t xml:space="preserve">Psychoneuroendocrinology</w:t>
      </w:r>
      <w:r>
        <w:t xml:space="preserve"> </w:t>
      </w:r>
      <w:r>
        <w:t xml:space="preserve">· Intranasal oxytocin attenuates the effects of monetary feedback on procedural learning. PMID 35689985</w:t>
      </w:r>
    </w:p>
    <w:p>
      <w:pPr>
        <w:numPr>
          <w:ilvl w:val="0"/>
          <w:numId w:val="1419"/>
        </w:numPr>
        <w:pStyle w:val="Compact"/>
      </w:pPr>
      <w:r>
        <w:t xml:space="preserve">2022 · Le J ·</w:t>
      </w:r>
      <w:r>
        <w:t xml:space="preserve"> </w:t>
      </w:r>
      <w:r>
        <w:rPr>
          <w:iCs/>
          <w:i/>
        </w:rPr>
        <w:t xml:space="preserve">Psychother Psychosom</w:t>
      </w:r>
      <w:r>
        <w:t xml:space="preserve"> </w:t>
      </w:r>
      <w:r>
        <w:t xml:space="preserve">· Infrequent Intranasal Oxytocin Followed by Positive Social Interaction Improves Symptoms in Autistic Children: A Pilot Randomized Clinical Trial. PMID 35545057</w:t>
      </w:r>
    </w:p>
    <w:p>
      <w:pPr>
        <w:numPr>
          <w:ilvl w:val="0"/>
          <w:numId w:val="1419"/>
        </w:numPr>
        <w:pStyle w:val="Compact"/>
      </w:pPr>
      <w:r>
        <w:t xml:space="preserve">2022 · Doerr JM ·</w:t>
      </w:r>
      <w:r>
        <w:t xml:space="preserve"> </w:t>
      </w:r>
      <w:r>
        <w:rPr>
          <w:iCs/>
          <w:i/>
        </w:rPr>
        <w:t xml:space="preserve">Psychosom Med</w:t>
      </w:r>
      <w:r>
        <w:t xml:space="preserve"> </w:t>
      </w:r>
      <w:r>
        <w:t xml:space="preserve">· The Effect of Intranasal Oxytocin on the Association Between Couple Interaction and Sleep: A Placebo-Controlled Study. PMID 35472193</w:t>
      </w:r>
    </w:p>
    <w:p>
      <w:pPr>
        <w:numPr>
          <w:ilvl w:val="0"/>
          <w:numId w:val="1419"/>
        </w:numPr>
        <w:pStyle w:val="Compact"/>
      </w:pPr>
      <w:r>
        <w:t xml:space="preserve">2022 · Back SN ·</w:t>
      </w:r>
      <w:r>
        <w:t xml:space="preserve"> </w:t>
      </w:r>
      <w:r>
        <w:rPr>
          <w:iCs/>
          <w:i/>
        </w:rPr>
        <w:t xml:space="preserve">J Neural Transm (Vienna)</w:t>
      </w:r>
      <w:r>
        <w:t xml:space="preserve"> </w:t>
      </w:r>
      <w:r>
        <w:t xml:space="preserve">· Reduced vagal activity in borderline personality disorder is unaffected by intranasal oxytocin administration, but predicted by the interaction between childhood trauma and attachment insecurity. PMID 35275249</w:t>
      </w:r>
    </w:p>
    <w:p>
      <w:pPr>
        <w:numPr>
          <w:ilvl w:val="0"/>
          <w:numId w:val="1419"/>
        </w:numPr>
        <w:pStyle w:val="Compact"/>
      </w:pPr>
      <w:r>
        <w:t xml:space="preserve">2022 · Liu P ·</w:t>
      </w:r>
      <w:r>
        <w:t xml:space="preserve"> </w:t>
      </w:r>
      <w:r>
        <w:rPr>
          <w:iCs/>
          <w:i/>
        </w:rPr>
        <w:t xml:space="preserve">Neuroimage</w:t>
      </w:r>
      <w:r>
        <w:t xml:space="preserve"> </w:t>
      </w:r>
      <w:r>
        <w:t xml:space="preserve">· Intranasal oxytocin modulates the salience network in aging. PMID 35259525</w:t>
      </w:r>
    </w:p>
    <w:p>
      <w:pPr>
        <w:numPr>
          <w:ilvl w:val="0"/>
          <w:numId w:val="1419"/>
        </w:numPr>
        <w:pStyle w:val="Compact"/>
      </w:pPr>
      <w:r>
        <w:t xml:space="preserve">2022 · Kou J ·</w:t>
      </w:r>
      <w:r>
        <w:t xml:space="preserve"> </w:t>
      </w:r>
      <w:r>
        <w:rPr>
          <w:iCs/>
          <w:i/>
        </w:rPr>
        <w:t xml:space="preserve">Psychother Psychosom</w:t>
      </w:r>
      <w:r>
        <w:t xml:space="preserve"> </w:t>
      </w:r>
      <w:r>
        <w:t xml:space="preserve">· Anxiolytic Effects of Chronic Intranasal Oxytocin on Neural Responses to Threat Are Dose-Frequency Dependent. PMID 35086102</w:t>
      </w:r>
    </w:p>
    <w:p>
      <w:pPr>
        <w:numPr>
          <w:ilvl w:val="0"/>
          <w:numId w:val="1419"/>
        </w:numPr>
        <w:pStyle w:val="Compact"/>
      </w:pPr>
      <w:r>
        <w:t xml:space="preserve">2022 · Yamasue H ·</w:t>
      </w:r>
      <w:r>
        <w:t xml:space="preserve"> </w:t>
      </w:r>
      <w:r>
        <w:rPr>
          <w:iCs/>
          <w:i/>
        </w:rPr>
        <w:t xml:space="preserve">Brain</w:t>
      </w:r>
      <w:r>
        <w:t xml:space="preserve"> </w:t>
      </w:r>
      <w:r>
        <w:t xml:space="preserve">· Effect of a novel nasal oxytocin spray with enhanced bioavailability on autism: a randomized trial. PMID 35067719</w:t>
      </w:r>
    </w:p>
    <w:p>
      <w:pPr>
        <w:numPr>
          <w:ilvl w:val="0"/>
          <w:numId w:val="1419"/>
        </w:numPr>
        <w:pStyle w:val="Compact"/>
      </w:pPr>
      <w:r>
        <w:t xml:space="preserve">2022 · Stauffer CS ·</w:t>
      </w:r>
      <w:r>
        <w:t xml:space="preserve"> </w:t>
      </w:r>
      <w:r>
        <w:rPr>
          <w:iCs/>
          <w:i/>
        </w:rPr>
        <w:t xml:space="preserve">Psychiatry Res</w:t>
      </w:r>
      <w:r>
        <w:t xml:space="preserve"> </w:t>
      </w:r>
      <w:r>
        <w:t xml:space="preserve">· Effects of oxytocin administration on fear-potentiated acoustic startle in co-occurring PTSD and alcohol use disorder: A randomized clinical trial. PMID 34983010</w:t>
      </w:r>
    </w:p>
    <w:p>
      <w:pPr>
        <w:numPr>
          <w:ilvl w:val="0"/>
          <w:numId w:val="1419"/>
        </w:numPr>
        <w:pStyle w:val="Compact"/>
      </w:pPr>
      <w:r>
        <w:t xml:space="preserve">2022 · Ma Y ·</w:t>
      </w:r>
      <w:r>
        <w:t xml:space="preserve"> </w:t>
      </w:r>
      <w:r>
        <w:rPr>
          <w:iCs/>
          <w:i/>
        </w:rPr>
        <w:t xml:space="preserve">Int J Psychophysiol</w:t>
      </w:r>
      <w:r>
        <w:t xml:space="preserve"> </w:t>
      </w:r>
      <w:r>
        <w:t xml:space="preserve">· Adult attachment style moderates the effect of oxytocin on neural responses to infant emotional faces. PMID 34919983</w:t>
      </w:r>
    </w:p>
    <w:p>
      <w:pPr>
        <w:numPr>
          <w:ilvl w:val="0"/>
          <w:numId w:val="1419"/>
        </w:numPr>
        <w:pStyle w:val="Compact"/>
      </w:pPr>
      <w:r>
        <w:t xml:space="preserve">2022 · Schultebraucks K ·</w:t>
      </w:r>
      <w:r>
        <w:t xml:space="preserve"> </w:t>
      </w:r>
      <w:r>
        <w:rPr>
          <w:iCs/>
          <w:i/>
        </w:rPr>
        <w:t xml:space="preserve">Neuropsychopharmacology</w:t>
      </w:r>
      <w:r>
        <w:t xml:space="preserve"> </w:t>
      </w:r>
      <w:r>
        <w:t xml:space="preserve">· Intranasal oxytocin administration impacts the acquisition and consolidation of trauma-associated memories: a double-blind randomized placebo-controlled experimental study in healthy women. PMID 34887528</w:t>
      </w:r>
    </w:p>
    <w:p>
      <w:pPr>
        <w:numPr>
          <w:ilvl w:val="0"/>
          <w:numId w:val="1419"/>
        </w:numPr>
        <w:pStyle w:val="Compact"/>
      </w:pPr>
      <w:r>
        <w:t xml:space="preserve">2022 · Lindley Baron-Cohen K ·</w:t>
      </w:r>
      <w:r>
        <w:t xml:space="preserve"> </w:t>
      </w:r>
      <w:r>
        <w:rPr>
          <w:iCs/>
          <w:i/>
        </w:rPr>
        <w:t xml:space="preserve">J Affect Disord</w:t>
      </w:r>
      <w:r>
        <w:t xml:space="preserve"> </w:t>
      </w:r>
      <w:r>
        <w:t xml:space="preserve">· Intranasal oxytocin administration improves mood in new mothers with moderate low mood but not in mothers with elevated symptoms of postnatal depression: A randomised controlled trial. PMID 34843839</w:t>
      </w:r>
    </w:p>
    <w:p>
      <w:pPr>
        <w:numPr>
          <w:ilvl w:val="0"/>
          <w:numId w:val="1419"/>
        </w:numPr>
        <w:pStyle w:val="Compact"/>
      </w:pPr>
      <w:r>
        <w:t xml:space="preserve">2022 · Kou J ·</w:t>
      </w:r>
      <w:r>
        <w:t xml:space="preserve"> </w:t>
      </w:r>
      <w:r>
        <w:rPr>
          <w:iCs/>
          <w:i/>
        </w:rPr>
        <w:t xml:space="preserve">Psychol Med</w:t>
      </w:r>
      <w:r>
        <w:t xml:space="preserve"> </w:t>
      </w:r>
      <w:r>
        <w:t xml:space="preserve">· A randomized trial shows dose-frequency and genotype may determine the therapeutic efficacy of intranasal oxytocin. PMID 33272333</w:t>
      </w:r>
    </w:p>
    <w:p>
      <w:pPr>
        <w:numPr>
          <w:ilvl w:val="0"/>
          <w:numId w:val="1419"/>
        </w:numPr>
        <w:pStyle w:val="Compact"/>
      </w:pPr>
      <w:r>
        <w:t xml:space="preserve">2021 · Sikich L ·</w:t>
      </w:r>
      <w:r>
        <w:t xml:space="preserve"> </w:t>
      </w:r>
      <w:r>
        <w:rPr>
          <w:iCs/>
          <w:i/>
        </w:rPr>
        <w:t xml:space="preserve">N Engl J Med</w:t>
      </w:r>
      <w:r>
        <w:t xml:space="preserve"> </w:t>
      </w:r>
      <w:r>
        <w:t xml:space="preserve">· Intranasal Oxytocin in Children and Adolescents with Autism Spectrum Disorder. PMID 34644471</w:t>
      </w:r>
    </w:p>
    <w:p>
      <w:pPr>
        <w:numPr>
          <w:ilvl w:val="0"/>
          <w:numId w:val="1419"/>
        </w:numPr>
        <w:pStyle w:val="Compact"/>
      </w:pPr>
      <w:r>
        <w:t xml:space="preserve">2021 · Fastman J ·</w:t>
      </w:r>
      <w:r>
        <w:t xml:space="preserve"> </w:t>
      </w:r>
      <w:r>
        <w:rPr>
          <w:iCs/>
          <w:i/>
        </w:rPr>
        <w:t xml:space="preserve">Mol Autism</w:t>
      </w:r>
      <w:r>
        <w:t xml:space="preserve"> </w:t>
      </w:r>
      <w:r>
        <w:t xml:space="preserve">· A randomized controlled trial of intranasal oxytocin in Phelan-McDermid syndrome. PMID 34593045</w:t>
      </w:r>
    </w:p>
    <w:p>
      <w:pPr>
        <w:numPr>
          <w:ilvl w:val="0"/>
          <w:numId w:val="1419"/>
        </w:numPr>
        <w:pStyle w:val="Compact"/>
      </w:pPr>
      <w:r>
        <w:t xml:space="preserve">2021 · Zhuang Q ·</w:t>
      </w:r>
      <w:r>
        <w:t xml:space="preserve"> </w:t>
      </w:r>
      <w:r>
        <w:rPr>
          <w:iCs/>
          <w:i/>
        </w:rPr>
        <w:t xml:space="preserve">Psychoneuroendocrinology</w:t>
      </w:r>
      <w:r>
        <w:t xml:space="preserve"> </w:t>
      </w:r>
      <w:r>
        <w:t xml:space="preserve">· Intranasal vasopressin like oxytocin increases social attention by influencing top-down control, but additionally enhances bottom-up control. PMID 34537624</w:t>
      </w:r>
    </w:p>
    <w:p>
      <w:pPr>
        <w:numPr>
          <w:ilvl w:val="0"/>
          <w:numId w:val="1419"/>
        </w:numPr>
        <w:pStyle w:val="Compact"/>
      </w:pPr>
      <w:r>
        <w:t xml:space="preserve">2021 · Zhang X ·</w:t>
      </w:r>
      <w:r>
        <w:t xml:space="preserve"> </w:t>
      </w:r>
      <w:r>
        <w:rPr>
          <w:iCs/>
          <w:i/>
        </w:rPr>
        <w:t xml:space="preserve">Psychoneuroendocrinology</w:t>
      </w:r>
      <w:r>
        <w:t xml:space="preserve"> </w:t>
      </w:r>
      <w:r>
        <w:t xml:space="preserve">· Oxytocin reduces romantic rejection-induced pain in online speed-dating as revealed by decreased frontal-midline theta oscillations. PMID 34537623</w:t>
      </w:r>
    </w:p>
    <w:p>
      <w:pPr>
        <w:numPr>
          <w:ilvl w:val="0"/>
          <w:numId w:val="1419"/>
        </w:numPr>
        <w:pStyle w:val="Compact"/>
      </w:pPr>
      <w:r>
        <w:t xml:space="preserve">2021 · Sippel LM ·</w:t>
      </w:r>
      <w:r>
        <w:t xml:space="preserve"> </w:t>
      </w:r>
      <w:r>
        <w:rPr>
          <w:iCs/>
          <w:i/>
        </w:rPr>
        <w:t xml:space="preserve">Psychiatry Res Neuroimaging</w:t>
      </w:r>
      <w:r>
        <w:t xml:space="preserve"> </w:t>
      </w:r>
      <w:r>
        <w:t xml:space="preserve">· Effects of intranasal oxytocin on threat- and reward-related functional connectivity in men and women with and without childhood abuse-related PTSD. PMID 34455213</w:t>
      </w:r>
    </w:p>
    <w:p>
      <w:pPr>
        <w:numPr>
          <w:ilvl w:val="0"/>
          <w:numId w:val="1419"/>
        </w:numPr>
        <w:pStyle w:val="Compact"/>
      </w:pPr>
      <w:r>
        <w:t xml:space="preserve">2021 · Henningsson S ·</w:t>
      </w:r>
      <w:r>
        <w:t xml:space="preserve"> </w:t>
      </w:r>
      <w:r>
        <w:rPr>
          <w:iCs/>
          <w:i/>
        </w:rPr>
        <w:t xml:space="preserve">Biol Psychol</w:t>
      </w:r>
      <w:r>
        <w:t xml:space="preserve"> </w:t>
      </w:r>
      <w:r>
        <w:t xml:space="preserve">· A randomized placebo-controlled intranasal oxytocin study on first impressions and reactions to social rejection. PMID 34331996</w:t>
      </w:r>
    </w:p>
    <w:p>
      <w:pPr>
        <w:numPr>
          <w:ilvl w:val="0"/>
          <w:numId w:val="1419"/>
        </w:numPr>
        <w:pStyle w:val="Compact"/>
      </w:pPr>
      <w:r>
        <w:t xml:space="preserve">2021 · Cherki BR ·</w:t>
      </w:r>
      <w:r>
        <w:t xml:space="preserve"> </w:t>
      </w:r>
      <w:r>
        <w:rPr>
          <w:iCs/>
          <w:i/>
        </w:rPr>
        <w:t xml:space="preserve">Psychoneuroendocrinology</w:t>
      </w:r>
      <w:r>
        <w:t xml:space="preserve"> </w:t>
      </w:r>
      <w:r>
        <w:t xml:space="preserve">· Intranasal oxytocin, testosterone reactivity, and human competitiveness. PMID 34298279</w:t>
      </w:r>
    </w:p>
    <w:p>
      <w:pPr>
        <w:numPr>
          <w:ilvl w:val="0"/>
          <w:numId w:val="1419"/>
        </w:numPr>
        <w:pStyle w:val="Compact"/>
      </w:pPr>
      <w:r>
        <w:t xml:space="preserve">2021 · Melkonian AJ ·</w:t>
      </w:r>
      <w:r>
        <w:t xml:space="preserve"> </w:t>
      </w:r>
      <w:r>
        <w:rPr>
          <w:iCs/>
          <w:i/>
        </w:rPr>
        <w:t xml:space="preserve">J Clin Psychopharmacol</w:t>
      </w:r>
      <w:r>
        <w:t xml:space="preserve"> </w:t>
      </w:r>
      <w:r>
        <w:t xml:space="preserve">· Craving Moderates the Effects of Intranasal Oxytocin on Anger in Response to Social Stress Among Veterans With Co-Occurring Posttraumatic Stress Disorder and Alcohol Use Disorder. PMID 34121063</w:t>
      </w:r>
    </w:p>
    <w:p>
      <w:pPr>
        <w:numPr>
          <w:ilvl w:val="0"/>
          <w:numId w:val="1419"/>
        </w:numPr>
        <w:pStyle w:val="Compact"/>
      </w:pPr>
      <w:r>
        <w:t xml:space="preserve">2021 · Le J ·</w:t>
      </w:r>
      <w:r>
        <w:t xml:space="preserve"> </w:t>
      </w:r>
      <w:r>
        <w:rPr>
          <w:iCs/>
          <w:i/>
        </w:rPr>
        <w:t xml:space="preserve">Psychophysiology</w:t>
      </w:r>
      <w:r>
        <w:t xml:space="preserve"> </w:t>
      </w:r>
      <w:r>
        <w:t xml:space="preserve">· Oxytocin facilitates socially directed attention. PMID 34032304</w:t>
      </w:r>
    </w:p>
    <w:p>
      <w:pPr>
        <w:numPr>
          <w:ilvl w:val="0"/>
          <w:numId w:val="1419"/>
        </w:numPr>
        <w:pStyle w:val="Compact"/>
      </w:pPr>
      <w:r>
        <w:t xml:space="preserve">2021 · Espinoza SE ·</w:t>
      </w:r>
      <w:r>
        <w:t xml:space="preserve"> </w:t>
      </w:r>
      <w:r>
        <w:rPr>
          <w:iCs/>
          <w:i/>
        </w:rPr>
        <w:t xml:space="preserve">J Am Med Dir Assoc</w:t>
      </w:r>
      <w:r>
        <w:t xml:space="preserve"> </w:t>
      </w:r>
      <w:r>
        <w:t xml:space="preserve">· Intranasal Oxytocin Improves Lean Muscle Mass and Lowers LDL Cholesterol in Older Adults with Sarcopenic Obesity: A Pilot Randomized Controlled Trial. PMID 34029521</w:t>
      </w:r>
    </w:p>
    <w:p>
      <w:pPr>
        <w:numPr>
          <w:ilvl w:val="0"/>
          <w:numId w:val="1419"/>
        </w:numPr>
        <w:pStyle w:val="Compact"/>
      </w:pPr>
      <w:r>
        <w:t xml:space="preserve">2021 · Rung JM ·</w:t>
      </w:r>
      <w:r>
        <w:t xml:space="preserve"> </w:t>
      </w:r>
      <w:r>
        <w:rPr>
          <w:iCs/>
          <w:i/>
        </w:rPr>
        <w:t xml:space="preserve">Psychopharmacology (Berl)</w:t>
      </w:r>
      <w:r>
        <w:t xml:space="preserve"> </w:t>
      </w:r>
      <w:r>
        <w:t xml:space="preserve">· Safety and tolerability of chronic intranasal oxytocin in older men: results from a randomized controlled trial. PMID 33982141</w:t>
      </w:r>
    </w:p>
    <w:p>
      <w:pPr>
        <w:numPr>
          <w:ilvl w:val="0"/>
          <w:numId w:val="1419"/>
        </w:numPr>
        <w:pStyle w:val="Compact"/>
      </w:pPr>
      <w:r>
        <w:t xml:space="preserve">2021 · Wong SF ·</w:t>
      </w:r>
      <w:r>
        <w:t xml:space="preserve"> </w:t>
      </w:r>
      <w:r>
        <w:rPr>
          <w:iCs/>
          <w:i/>
        </w:rPr>
        <w:t xml:space="preserve">Int J Psychophysiol</w:t>
      </w:r>
      <w:r>
        <w:t xml:space="preserve"> </w:t>
      </w:r>
      <w:r>
        <w:t xml:space="preserve">· Intranasal oxytocin increases state anhedonia following imagery training of positive social outcomes in individuals lower in extraversion, trust-altruism, and openness to experience. PMID 33839197</w:t>
      </w:r>
    </w:p>
    <w:p>
      <w:pPr>
        <w:numPr>
          <w:ilvl w:val="0"/>
          <w:numId w:val="1419"/>
        </w:numPr>
        <w:pStyle w:val="Compact"/>
      </w:pPr>
      <w:r>
        <w:t xml:space="preserve">2021 · Kapetaniou GE ·</w:t>
      </w:r>
      <w:r>
        <w:t xml:space="preserve"> </w:t>
      </w:r>
      <w:r>
        <w:rPr>
          <w:iCs/>
          <w:i/>
        </w:rPr>
        <w:t xml:space="preserve">Elife</w:t>
      </w:r>
      <w:r>
        <w:t xml:space="preserve"> </w:t>
      </w:r>
      <w:r>
        <w:t xml:space="preserve">· The role of oxytocin in delay of gratification and flexibility in non-social decision making. PMID 33821797</w:t>
      </w:r>
    </w:p>
    <w:p>
      <w:pPr>
        <w:numPr>
          <w:ilvl w:val="0"/>
          <w:numId w:val="1419"/>
        </w:numPr>
        <w:pStyle w:val="Compact"/>
      </w:pPr>
      <w:r>
        <w:t xml:space="preserve">2021 · Buchanan RW ·</w:t>
      </w:r>
      <w:r>
        <w:t xml:space="preserve"> </w:t>
      </w:r>
      <w:r>
        <w:rPr>
          <w:iCs/>
          <w:i/>
        </w:rPr>
        <w:t xml:space="preserve">J Clin Psychopharmacol</w:t>
      </w:r>
      <w:r>
        <w:t xml:space="preserve"> </w:t>
      </w:r>
      <w:r>
        <w:t xml:space="preserve">· Combined Oxytocin and Cognitive Behavioral Social Skills Training for Social Function in People With Schizophrenia. PMID 33783399</w:t>
      </w:r>
    </w:p>
    <w:p>
      <w:pPr>
        <w:numPr>
          <w:ilvl w:val="0"/>
          <w:numId w:val="1419"/>
        </w:numPr>
        <w:pStyle w:val="Compact"/>
      </w:pPr>
      <w:r>
        <w:t xml:space="preserve">2021 · Kato Y ·</w:t>
      </w:r>
      <w:r>
        <w:t xml:space="preserve"> </w:t>
      </w:r>
      <w:r>
        <w:rPr>
          <w:iCs/>
          <w:i/>
        </w:rPr>
        <w:t xml:space="preserve">Mol Autism</w:t>
      </w:r>
      <w:r>
        <w:t xml:space="preserve"> </w:t>
      </w:r>
      <w:r>
        <w:t xml:space="preserve">· Oxytocin-induced increase in N,N-dimethylglycine and time course of changes in oxytocin efficacy for autism social core symptoms. PMID 33622389</w:t>
      </w:r>
    </w:p>
    <w:p>
      <w:pPr>
        <w:numPr>
          <w:ilvl w:val="0"/>
          <w:numId w:val="1419"/>
        </w:numPr>
        <w:pStyle w:val="Compact"/>
      </w:pPr>
      <w:r>
        <w:t xml:space="preserve">2021 · Zheng X ·</w:t>
      </w:r>
      <w:r>
        <w:t xml:space="preserve"> </w:t>
      </w:r>
      <w:r>
        <w:rPr>
          <w:iCs/>
          <w:i/>
        </w:rPr>
        <w:t xml:space="preserve">J Psychopharmacol</w:t>
      </w:r>
      <w:r>
        <w:t xml:space="preserve"> </w:t>
      </w:r>
      <w:r>
        <w:t xml:space="preserve">· Intranasal oxytocin may help maintain romantic bonds by decreasing jealousy evoked by either imagined or real partner infidelity. PMID 33601928</w:t>
      </w:r>
    </w:p>
    <w:p>
      <w:pPr>
        <w:numPr>
          <w:ilvl w:val="0"/>
          <w:numId w:val="1419"/>
        </w:numPr>
        <w:pStyle w:val="Compact"/>
      </w:pPr>
      <w:r>
        <w:t xml:space="preserve">2021 · Andari E ·</w:t>
      </w:r>
      <w:r>
        <w:t xml:space="preserve"> </w:t>
      </w:r>
      <w:r>
        <w:rPr>
          <w:iCs/>
          <w:i/>
        </w:rPr>
        <w:t xml:space="preserve">J Clin Psychopharmacol</w:t>
      </w:r>
      <w:r>
        <w:t xml:space="preserve"> </w:t>
      </w:r>
      <w:r>
        <w:t xml:space="preserve">· Effects of Oxytocin on Emotion Recognition in Schizophrenia: A Randomized Double-Blind Pilot Study. PMID 33587397</w:t>
      </w:r>
    </w:p>
    <w:p>
      <w:pPr>
        <w:numPr>
          <w:ilvl w:val="0"/>
          <w:numId w:val="1419"/>
        </w:numPr>
        <w:pStyle w:val="Compact"/>
      </w:pPr>
      <w:r>
        <w:t xml:space="preserve">2021 · Kou J ·</w:t>
      </w:r>
      <w:r>
        <w:t xml:space="preserve"> </w:t>
      </w:r>
      <w:r>
        <w:rPr>
          <w:iCs/>
          <w:i/>
        </w:rPr>
        <w:t xml:space="preserve">Transl Psychiatry</w:t>
      </w:r>
      <w:r>
        <w:t xml:space="preserve"> </w:t>
      </w:r>
      <w:r>
        <w:t xml:space="preserve">· In the nose or on the tongue? Contrasting motivational effects of oral and intranasal oxytocin on arousal and reward during social processing. PMID 33542175</w:t>
      </w:r>
    </w:p>
    <w:p>
      <w:pPr>
        <w:numPr>
          <w:ilvl w:val="0"/>
          <w:numId w:val="1419"/>
        </w:numPr>
        <w:pStyle w:val="Compact"/>
      </w:pPr>
      <w:r>
        <w:t xml:space="preserve">2021 · Martins D ·</w:t>
      </w:r>
      <w:r>
        <w:t xml:space="preserve"> </w:t>
      </w:r>
      <w:r>
        <w:rPr>
          <w:iCs/>
          <w:i/>
        </w:rPr>
        <w:t xml:space="preserve">Commun Biol</w:t>
      </w:r>
      <w:r>
        <w:t xml:space="preserve"> </w:t>
      </w:r>
      <w:r>
        <w:t xml:space="preserve">· Oxytocin modulates local topography of human functional connectome in healthy men at rest. PMID 33452496</w:t>
      </w:r>
    </w:p>
    <w:p>
      <w:pPr>
        <w:numPr>
          <w:ilvl w:val="0"/>
          <w:numId w:val="1419"/>
        </w:numPr>
        <w:pStyle w:val="Compact"/>
      </w:pPr>
      <w:r>
        <w:t xml:space="preserve">2021 · Melby K ·</w:t>
      </w:r>
      <w:r>
        <w:t xml:space="preserve"> </w:t>
      </w:r>
      <w:r>
        <w:rPr>
          <w:iCs/>
          <w:i/>
        </w:rPr>
        <w:t xml:space="preserve">Alcohol Alcohol</w:t>
      </w:r>
      <w:r>
        <w:t xml:space="preserve"> </w:t>
      </w:r>
      <w:r>
        <w:t xml:space="preserve">· Efficacy of Self-Administered Intranasal Oxytocin on Alcohol Use and Craving After Detoxification in Patients With Alcohol Dependence. A Double-Blind Placebo-Controlled Trial. PMID 33352584</w:t>
      </w:r>
    </w:p>
    <w:p>
      <w:pPr>
        <w:numPr>
          <w:ilvl w:val="0"/>
          <w:numId w:val="1419"/>
        </w:numPr>
        <w:pStyle w:val="Compact"/>
      </w:pPr>
      <w:r>
        <w:t xml:space="preserve">2021 · Radke S ·</w:t>
      </w:r>
      <w:r>
        <w:t xml:space="preserve"> </w:t>
      </w:r>
      <w:r>
        <w:rPr>
          <w:iCs/>
          <w:i/>
        </w:rPr>
        <w:t xml:space="preserve">Soc Cogn Affect Neurosci</w:t>
      </w:r>
      <w:r>
        <w:t xml:space="preserve"> </w:t>
      </w:r>
      <w:r>
        <w:t xml:space="preserve">· Neurobiobehavioral responses to virtual social rejection in females-exploring the influence of oxytocin. PMID 33326562</w:t>
      </w:r>
    </w:p>
    <w:p>
      <w:pPr>
        <w:numPr>
          <w:ilvl w:val="0"/>
          <w:numId w:val="1419"/>
        </w:numPr>
        <w:pStyle w:val="Compact"/>
      </w:pPr>
      <w:r>
        <w:t xml:space="preserve">2021 · Alaerts K ·</w:t>
      </w:r>
      <w:r>
        <w:t xml:space="preserve"> </w:t>
      </w:r>
      <w:r>
        <w:rPr>
          <w:iCs/>
          <w:i/>
        </w:rPr>
        <w:t xml:space="preserve">Eur Neuropsychopharmacol</w:t>
      </w:r>
      <w:r>
        <w:t xml:space="preserve"> </w:t>
      </w:r>
      <w:r>
        <w:t xml:space="preserve">· Changes in endogenous oxytocin levels after intranasal oxytocin treatment in adult men with autism: An exploratory study with long-term follow-up. PMID 33309460</w:t>
      </w:r>
    </w:p>
    <w:p>
      <w:pPr>
        <w:numPr>
          <w:ilvl w:val="0"/>
          <w:numId w:val="1419"/>
        </w:numPr>
        <w:pStyle w:val="Compact"/>
      </w:pPr>
      <w:r>
        <w:t xml:space="preserve">2021 · Damen L ·</w:t>
      </w:r>
      <w:r>
        <w:t xml:space="preserve"> </w:t>
      </w:r>
      <w:r>
        <w:rPr>
          <w:iCs/>
          <w:i/>
        </w:rPr>
        <w:t xml:space="preserve">Clin Endocrinol (Oxf)</w:t>
      </w:r>
      <w:r>
        <w:t xml:space="preserve"> </w:t>
      </w:r>
      <w:r>
        <w:t xml:space="preserve">· Oxytocin in young children with Prader-Willi syndrome: Results of a randomized, double-blind, placebo-controlled, crossover trial investigating 3 months of oxytocin. PMID 33296519</w:t>
      </w:r>
    </w:p>
    <w:p>
      <w:pPr>
        <w:numPr>
          <w:ilvl w:val="0"/>
          <w:numId w:val="1419"/>
        </w:numPr>
        <w:pStyle w:val="Compact"/>
      </w:pPr>
      <w:r>
        <w:t xml:space="preserve">2021 · Meusel M ·</w:t>
      </w:r>
      <w:r>
        <w:t xml:space="preserve"> </w:t>
      </w:r>
      <w:r>
        <w:rPr>
          <w:iCs/>
          <w:i/>
        </w:rPr>
        <w:t xml:space="preserve">Am J Physiol Regul Integr Comp Physiol</w:t>
      </w:r>
      <w:r>
        <w:t xml:space="preserve"> </w:t>
      </w:r>
      <w:r>
        <w:t xml:space="preserve">· Intranasal oxytocin has sympathoexcitatory effects on vascular tone in healthy males. PMID 33296278</w:t>
      </w:r>
    </w:p>
    <w:p>
      <w:pPr>
        <w:numPr>
          <w:ilvl w:val="0"/>
          <w:numId w:val="1419"/>
        </w:numPr>
        <w:pStyle w:val="Compact"/>
      </w:pPr>
      <w:r>
        <w:t xml:space="preserve">2021 · Zhuang Q ·</w:t>
      </w:r>
      <w:r>
        <w:t xml:space="preserve"> </w:t>
      </w:r>
      <w:r>
        <w:rPr>
          <w:iCs/>
          <w:i/>
        </w:rPr>
        <w:t xml:space="preserve">J Psychopharmacol</w:t>
      </w:r>
      <w:r>
        <w:t xml:space="preserve"> </w:t>
      </w:r>
      <w:r>
        <w:t xml:space="preserve">· Oxytocin-induced facilitation of learning in a probabilistic task is associated with reduced feedback- and error-related negativity potentials. PMID 33274683</w:t>
      </w:r>
    </w:p>
    <w:p>
      <w:pPr>
        <w:numPr>
          <w:ilvl w:val="0"/>
          <w:numId w:val="1419"/>
        </w:numPr>
        <w:pStyle w:val="Compact"/>
      </w:pPr>
      <w:r>
        <w:t xml:space="preserve">2021 · Dou H ·</w:t>
      </w:r>
      <w:r>
        <w:t xml:space="preserve"> </w:t>
      </w:r>
      <w:r>
        <w:rPr>
          <w:iCs/>
          <w:i/>
        </w:rPr>
        <w:t xml:space="preserve">Psychopharmacology (Berl)</w:t>
      </w:r>
      <w:r>
        <w:t xml:space="preserve"> </w:t>
      </w:r>
      <w:r>
        <w:t xml:space="preserve">· Intranasal oxytocin decreases fear generalization in males, but does not modulate discrimination threshold. PMID 33241482</w:t>
      </w:r>
    </w:p>
    <w:p>
      <w:pPr>
        <w:numPr>
          <w:ilvl w:val="0"/>
          <w:numId w:val="1419"/>
        </w:numPr>
        <w:pStyle w:val="Compact"/>
      </w:pPr>
      <w:r>
        <w:t xml:space="preserve">2021 · Plessow F ·</w:t>
      </w:r>
      <w:r>
        <w:t xml:space="preserve"> </w:t>
      </w:r>
      <w:r>
        <w:rPr>
          <w:iCs/>
          <w:i/>
        </w:rPr>
        <w:t xml:space="preserve">Obesity (Silver Spring)</w:t>
      </w:r>
      <w:r>
        <w:t xml:space="preserve"> </w:t>
      </w:r>
      <w:r>
        <w:t xml:space="preserve">· Oxytocin Administration Increases Proactive Control in Men with Overweight or Obesity: A Randomized, Double-Blind, Placebo-Controlled Crossover Study. PMID 33225615</w:t>
      </w:r>
    </w:p>
    <w:p>
      <w:pPr>
        <w:numPr>
          <w:ilvl w:val="0"/>
          <w:numId w:val="1419"/>
        </w:numPr>
        <w:pStyle w:val="Compact"/>
      </w:pPr>
      <w:r>
        <w:t xml:space="preserve">2021 · Hollander E ·</w:t>
      </w:r>
      <w:r>
        <w:t xml:space="preserve"> </w:t>
      </w:r>
      <w:r>
        <w:rPr>
          <w:iCs/>
          <w:i/>
        </w:rPr>
        <w:t xml:space="preserve">J Psychiatr Res</w:t>
      </w:r>
      <w:r>
        <w:t xml:space="preserve"> </w:t>
      </w:r>
      <w:r>
        <w:t xml:space="preserve">· Intranasal oxytocin versus placebo for hyperphagia and repetitive behaviors in children with Prader-Willi Syndrome: A randomized controlled pilot trial. PMID 33190843</w:t>
      </w:r>
    </w:p>
    <w:p>
      <w:pPr>
        <w:numPr>
          <w:ilvl w:val="0"/>
          <w:numId w:val="1419"/>
        </w:numPr>
        <w:pStyle w:val="Compact"/>
      </w:pPr>
      <w:r>
        <w:t xml:space="preserve">2021 · Liao Z ·</w:t>
      </w:r>
      <w:r>
        <w:t xml:space="preserve"> </w:t>
      </w:r>
      <w:r>
        <w:rPr>
          <w:iCs/>
          <w:i/>
        </w:rPr>
        <w:t xml:space="preserve">Psychopharmacology (Berl)</w:t>
      </w:r>
      <w:r>
        <w:t xml:space="preserve"> </w:t>
      </w:r>
      <w:r>
        <w:t xml:space="preserve">· Intranasal oxytocin decreases self-oriented learning. PMID 33156402</w:t>
      </w:r>
    </w:p>
    <w:p>
      <w:pPr>
        <w:numPr>
          <w:ilvl w:val="0"/>
          <w:numId w:val="1419"/>
        </w:numPr>
        <w:pStyle w:val="Compact"/>
      </w:pPr>
      <w:r>
        <w:t xml:space="preserve">2021 · Flynn MJ ·</w:t>
      </w:r>
      <w:r>
        <w:t xml:space="preserve"> </w:t>
      </w:r>
      <w:r>
        <w:rPr>
          <w:iCs/>
          <w:i/>
        </w:rPr>
        <w:t xml:space="preserve">Int J Gynaecol Obstet</w:t>
      </w:r>
      <w:r>
        <w:t xml:space="preserve"> </w:t>
      </w:r>
      <w:r>
        <w:t xml:space="preserve">· Intranasal oxytocin as a treatment for chronic pelvic pain: A randomized controlled feasibility study. PMID 33112417</w:t>
      </w:r>
    </w:p>
    <w:p>
      <w:pPr>
        <w:numPr>
          <w:ilvl w:val="0"/>
          <w:numId w:val="1419"/>
        </w:numPr>
        <w:pStyle w:val="Compact"/>
      </w:pPr>
      <w:r>
        <w:t xml:space="preserve">2021 · Riem MME ·</w:t>
      </w:r>
      <w:r>
        <w:t xml:space="preserve"> </w:t>
      </w:r>
      <w:r>
        <w:rPr>
          <w:iCs/>
          <w:i/>
        </w:rPr>
        <w:t xml:space="preserve">J Affect Disord</w:t>
      </w:r>
      <w:r>
        <w:t xml:space="preserve"> </w:t>
      </w:r>
      <w:r>
        <w:t xml:space="preserve">· Intranasal oxytocin and the stress-buffering effects of social support during experimentally induced pain: The role of attachment security. PMID 32961410</w:t>
      </w:r>
    </w:p>
    <w:p>
      <w:pPr>
        <w:numPr>
          <w:ilvl w:val="0"/>
          <w:numId w:val="1419"/>
        </w:numPr>
        <w:pStyle w:val="Compact"/>
      </w:pPr>
      <w:r>
        <w:t xml:space="preserve">2020 · Melkonyan A ·</w:t>
      </w:r>
      <w:r>
        <w:t xml:space="preserve"> </w:t>
      </w:r>
      <w:r>
        <w:rPr>
          <w:iCs/>
          <w:i/>
        </w:rPr>
        <w:t xml:space="preserve">J Neuroendocrinol</w:t>
      </w:r>
      <w:r>
        <w:t xml:space="preserve"> </w:t>
      </w:r>
      <w:r>
        <w:t xml:space="preserve">· Unchanged food approach-avoidance behaviour of healthy men after oxytocin administration. PMID 33314397</w:t>
      </w:r>
    </w:p>
    <w:p>
      <w:pPr>
        <w:numPr>
          <w:ilvl w:val="0"/>
          <w:numId w:val="1419"/>
        </w:numPr>
        <w:pStyle w:val="Compact"/>
      </w:pPr>
      <w:r>
        <w:t xml:space="preserve">2020 · Ma Y ·</w:t>
      </w:r>
      <w:r>
        <w:t xml:space="preserve"> </w:t>
      </w:r>
      <w:r>
        <w:rPr>
          <w:iCs/>
          <w:i/>
        </w:rPr>
        <w:t xml:space="preserve">Biol Psychol</w:t>
      </w:r>
      <w:r>
        <w:t xml:space="preserve"> </w:t>
      </w:r>
      <w:r>
        <w:t xml:space="preserve">· Intranasal oxytocin attenuates insula activity in response to dynamic angry faces. PMID 33157152</w:t>
      </w:r>
    </w:p>
    <w:p>
      <w:pPr>
        <w:numPr>
          <w:ilvl w:val="0"/>
          <w:numId w:val="1419"/>
        </w:numPr>
        <w:pStyle w:val="Compact"/>
      </w:pPr>
      <w:r>
        <w:t xml:space="preserve">2020 · Oliver LD ·</w:t>
      </w:r>
      <w:r>
        <w:t xml:space="preserve"> </w:t>
      </w:r>
      <w:r>
        <w:rPr>
          <w:iCs/>
          <w:i/>
        </w:rPr>
        <w:t xml:space="preserve">Neurology</w:t>
      </w:r>
      <w:r>
        <w:t xml:space="preserve"> </w:t>
      </w:r>
      <w:r>
        <w:t xml:space="preserve">· Neural effects of oxytocin and mimicry in frontotemporal dementia: A randomized crossover study. PMID 32963103</w:t>
      </w:r>
    </w:p>
    <w:p>
      <w:pPr>
        <w:numPr>
          <w:ilvl w:val="0"/>
          <w:numId w:val="1419"/>
        </w:numPr>
        <w:pStyle w:val="Compact"/>
      </w:pPr>
      <w:r>
        <w:t xml:space="preserve">2020 · Hovey D ·</w:t>
      </w:r>
      <w:r>
        <w:t xml:space="preserve"> </w:t>
      </w:r>
      <w:r>
        <w:rPr>
          <w:iCs/>
          <w:i/>
        </w:rPr>
        <w:t xml:space="preserve">Transl Psychiatry</w:t>
      </w:r>
      <w:r>
        <w:t xml:space="preserve"> </w:t>
      </w:r>
      <w:r>
        <w:t xml:space="preserve">· The effect of intranasal oxytocin on visual processing and salience of human faces. PMID 32951002</w:t>
      </w:r>
    </w:p>
    <w:p>
      <w:pPr>
        <w:numPr>
          <w:ilvl w:val="0"/>
          <w:numId w:val="1419"/>
        </w:numPr>
        <w:pStyle w:val="Compact"/>
      </w:pPr>
      <w:r>
        <w:t xml:space="preserve">2020 · Jain V ·</w:t>
      </w:r>
      <w:r>
        <w:t xml:space="preserve"> </w:t>
      </w:r>
      <w:r>
        <w:rPr>
          <w:iCs/>
          <w:i/>
        </w:rPr>
        <w:t xml:space="preserve">Sleep Med</w:t>
      </w:r>
      <w:r>
        <w:t xml:space="preserve"> </w:t>
      </w:r>
      <w:r>
        <w:t xml:space="preserve">· Intranasal oxytocin increases respiratory rate and reduces obstructive event duration and oxygen desaturation in obstructive sleep apnea patients: a randomized double blinded placebo controlled study. PMID 32862007</w:t>
      </w:r>
    </w:p>
    <w:p>
      <w:pPr>
        <w:numPr>
          <w:ilvl w:val="0"/>
          <w:numId w:val="1419"/>
        </w:numPr>
        <w:pStyle w:val="Compact"/>
      </w:pPr>
      <w:r>
        <w:t xml:space="preserve">2020 · Chen Y ·</w:t>
      </w:r>
      <w:r>
        <w:t xml:space="preserve"> </w:t>
      </w:r>
      <w:r>
        <w:rPr>
          <w:iCs/>
          <w:i/>
        </w:rPr>
        <w:t xml:space="preserve">Eur Neuropsychopharmacol</w:t>
      </w:r>
      <w:r>
        <w:t xml:space="preserve"> </w:t>
      </w:r>
      <w:r>
        <w:t xml:space="preserve">· Oxytocin increases the pleasantness of affective touch and orbitofrontal cortex activity independent of valence. PMID 32861545</w:t>
      </w:r>
    </w:p>
    <w:p>
      <w:pPr>
        <w:numPr>
          <w:ilvl w:val="0"/>
          <w:numId w:val="1419"/>
        </w:numPr>
        <w:pStyle w:val="Compact"/>
      </w:pPr>
      <w:r>
        <w:t xml:space="preserve">2020 · Wang T ·</w:t>
      </w:r>
      <w:r>
        <w:t xml:space="preserve"> </w:t>
      </w:r>
      <w:r>
        <w:rPr>
          <w:iCs/>
          <w:i/>
        </w:rPr>
        <w:t xml:space="preserve">Pharmacol Biochem Behav</w:t>
      </w:r>
      <w:r>
        <w:t xml:space="preserve"> </w:t>
      </w:r>
      <w:r>
        <w:t xml:space="preserve">· Attachment anxiety moderates the effect of oxytocin on negative emotion recognition: Evidence from eye-movement data. PMID 32835786</w:t>
      </w:r>
    </w:p>
    <w:p>
      <w:pPr>
        <w:numPr>
          <w:ilvl w:val="0"/>
          <w:numId w:val="1419"/>
        </w:numPr>
        <w:pStyle w:val="Compact"/>
      </w:pPr>
      <w:r>
        <w:t xml:space="preserve">2020 · Morrison TE ·</w:t>
      </w:r>
      <w:r>
        <w:t xml:space="preserve"> </w:t>
      </w:r>
      <w:r>
        <w:rPr>
          <w:iCs/>
          <w:i/>
        </w:rPr>
        <w:t xml:space="preserve">Psychoneuroendocrinology</w:t>
      </w:r>
      <w:r>
        <w:t xml:space="preserve"> </w:t>
      </w:r>
      <w:r>
        <w:t xml:space="preserve">· Automatic Imitation in Comorbid PTSD &amp; Alcohol Use Disorder and Controls: an RCT of Intranasal Oxytocin. PMID 32745891</w:t>
      </w:r>
    </w:p>
    <w:p>
      <w:pPr>
        <w:numPr>
          <w:ilvl w:val="0"/>
          <w:numId w:val="1419"/>
        </w:numPr>
        <w:pStyle w:val="Compact"/>
      </w:pPr>
      <w:r>
        <w:t xml:space="preserve">2020 · Sippel LM ·</w:t>
      </w:r>
      <w:r>
        <w:t xml:space="preserve"> </w:t>
      </w:r>
      <w:r>
        <w:rPr>
          <w:iCs/>
          <w:i/>
        </w:rPr>
        <w:t xml:space="preserve">J Clin Psychopharmacol</w:t>
      </w:r>
      <w:r>
        <w:t xml:space="preserve"> </w:t>
      </w:r>
      <w:r>
        <w:t xml:space="preserve">· A Preliminary Examination of Endogenous Peripheral Oxytocin in a Pilot Randomized Clinical Trial of Oxytocin-Enhanced Psychotherapy for Posttraumatic Stress Disorder. PMID 32639293</w:t>
      </w:r>
    </w:p>
    <w:p>
      <w:pPr>
        <w:numPr>
          <w:ilvl w:val="0"/>
          <w:numId w:val="1419"/>
        </w:numPr>
        <w:pStyle w:val="Compact"/>
      </w:pPr>
      <w:r>
        <w:t xml:space="preserve">2020 · Borowiak K ·</w:t>
      </w:r>
      <w:r>
        <w:t xml:space="preserve"> </w:t>
      </w:r>
      <w:r>
        <w:rPr>
          <w:iCs/>
          <w:i/>
        </w:rPr>
        <w:t xml:space="preserve">Transl Psychiatry</w:t>
      </w:r>
      <w:r>
        <w:t xml:space="preserve"> </w:t>
      </w:r>
      <w:r>
        <w:t xml:space="preserve">· Intranasal oxytocin modulates brain responses to voice-identity recognition in typically developing individuals, but not in ASD. PMID 32636360</w:t>
      </w:r>
    </w:p>
    <w:p>
      <w:pPr>
        <w:numPr>
          <w:ilvl w:val="0"/>
          <w:numId w:val="1419"/>
        </w:numPr>
        <w:pStyle w:val="Compact"/>
      </w:pPr>
      <w:r>
        <w:t xml:space="preserve">2020 · Demartini B ·</w:t>
      </w:r>
      <w:r>
        <w:t xml:space="preserve"> </w:t>
      </w:r>
      <w:r>
        <w:rPr>
          <w:iCs/>
          <w:i/>
        </w:rPr>
        <w:t xml:space="preserve">J Clin Psychopharmacol</w:t>
      </w:r>
      <w:r>
        <w:t xml:space="preserve"> </w:t>
      </w:r>
      <w:r>
        <w:t xml:space="preserve">· The Effect of Intranasal Oxytocin in Patients With Functional Motor Symptoms: A Preliminary Open-Label Case Series. PMID 32604129</w:t>
      </w:r>
    </w:p>
    <w:p>
      <w:pPr>
        <w:numPr>
          <w:ilvl w:val="0"/>
          <w:numId w:val="1419"/>
        </w:numPr>
        <w:pStyle w:val="Compact"/>
      </w:pPr>
      <w:r>
        <w:t xml:space="preserve">2020 · Martins D ·</w:t>
      </w:r>
      <w:r>
        <w:t xml:space="preserve"> </w:t>
      </w:r>
      <w:r>
        <w:rPr>
          <w:iCs/>
          <w:i/>
        </w:rPr>
        <w:t xml:space="preserve">Transl Psychiatry</w:t>
      </w:r>
      <w:r>
        <w:t xml:space="preserve"> </w:t>
      </w:r>
      <w:r>
        <w:t xml:space="preserve">· Investigating resting brain perfusion abnormalities and disease target-engagement by intranasal oxytocin in women with bulimia nervosa and binge-eating disorder and healthy controls. PMID 32513936</w:t>
      </w:r>
    </w:p>
    <w:p>
      <w:pPr>
        <w:numPr>
          <w:ilvl w:val="0"/>
          <w:numId w:val="1419"/>
        </w:numPr>
        <w:pStyle w:val="Compact"/>
      </w:pPr>
      <w:r>
        <w:t xml:space="preserve">2020 · Le J ·</w:t>
      </w:r>
      <w:r>
        <w:t xml:space="preserve"> </w:t>
      </w:r>
      <w:r>
        <w:rPr>
          <w:iCs/>
          <w:i/>
        </w:rPr>
        <w:t xml:space="preserve">Transl Psychiatry</w:t>
      </w:r>
      <w:r>
        <w:t xml:space="preserve"> </w:t>
      </w:r>
      <w:r>
        <w:t xml:space="preserve">· Oxytocin biases eye-gaze to dynamic and static social images and the eyes of fearful faces: associations with trait autism. PMID 32398642</w:t>
      </w:r>
    </w:p>
    <w:p>
      <w:pPr>
        <w:numPr>
          <w:ilvl w:val="0"/>
          <w:numId w:val="1419"/>
        </w:numPr>
        <w:pStyle w:val="Compact"/>
      </w:pPr>
      <w:r>
        <w:t xml:space="preserve">2020 · Sherman BJ ·</w:t>
      </w:r>
      <w:r>
        <w:t xml:space="preserve"> </w:t>
      </w:r>
      <w:r>
        <w:rPr>
          <w:iCs/>
          <w:i/>
        </w:rPr>
        <w:t xml:space="preserve">Psychopharmacology (Berl)</w:t>
      </w:r>
      <w:r>
        <w:t xml:space="preserve"> </w:t>
      </w:r>
      <w:r>
        <w:t xml:space="preserve">· The effect of oxytocin, gender, and ovarian hormones on stress reactivity in individuals with cocaine use disorder. PMID 32388622</w:t>
      </w:r>
    </w:p>
    <w:p>
      <w:pPr>
        <w:numPr>
          <w:ilvl w:val="0"/>
          <w:numId w:val="1419"/>
        </w:numPr>
        <w:pStyle w:val="Compact"/>
      </w:pPr>
      <w:r>
        <w:t xml:space="preserve">2020 · Pfeifer AC ·</w:t>
      </w:r>
      <w:r>
        <w:t xml:space="preserve"> </w:t>
      </w:r>
      <w:r>
        <w:rPr>
          <w:iCs/>
          <w:i/>
        </w:rPr>
        <w:t xml:space="preserve">Mol Pain</w:t>
      </w:r>
      <w:r>
        <w:t xml:space="preserve"> </w:t>
      </w:r>
      <w:r>
        <w:t xml:space="preserve">· Oxytocin and positive couple interaction affect the perception of wound pain in everyday life. PMID 32308117</w:t>
      </w:r>
    </w:p>
    <w:p>
      <w:pPr>
        <w:numPr>
          <w:ilvl w:val="0"/>
          <w:numId w:val="1419"/>
        </w:numPr>
        <w:pStyle w:val="Compact"/>
      </w:pPr>
      <w:r>
        <w:t xml:space="preserve">2020 · Sabino ADV ·</w:t>
      </w:r>
      <w:r>
        <w:t xml:space="preserve"> </w:t>
      </w:r>
      <w:r>
        <w:rPr>
          <w:iCs/>
          <w:i/>
        </w:rPr>
        <w:t xml:space="preserve">Psychopharmacology (Berl)</w:t>
      </w:r>
      <w:r>
        <w:t xml:space="preserve"> </w:t>
      </w:r>
      <w:r>
        <w:t xml:space="preserve">· Acute effects of oxytocin in music performance anxiety: a crossover, randomized, placebo-controlled trial. PMID 32123973</w:t>
      </w:r>
    </w:p>
    <w:p>
      <w:pPr>
        <w:numPr>
          <w:ilvl w:val="0"/>
          <w:numId w:val="1419"/>
        </w:numPr>
        <w:pStyle w:val="Compact"/>
      </w:pPr>
      <w:r>
        <w:t xml:space="preserve">2020 · Wu Q ·</w:t>
      </w:r>
      <w:r>
        <w:t xml:space="preserve"> </w:t>
      </w:r>
      <w:r>
        <w:rPr>
          <w:iCs/>
          <w:i/>
        </w:rPr>
        <w:t xml:space="preserve">Psychoneuroendocrinology</w:t>
      </w:r>
      <w:r>
        <w:t xml:space="preserve"> </w:t>
      </w:r>
      <w:r>
        <w:t xml:space="preserve">· Oxytocin alters the effect of payoff but not base rate in emotion perception. PMID 32070797</w:t>
      </w:r>
    </w:p>
    <w:p>
      <w:pPr>
        <w:numPr>
          <w:ilvl w:val="0"/>
          <w:numId w:val="1419"/>
        </w:numPr>
        <w:pStyle w:val="Compact"/>
      </w:pPr>
      <w:r>
        <w:t xml:space="preserve">2020 · Melby K ·</w:t>
      </w:r>
      <w:r>
        <w:t xml:space="preserve"> </w:t>
      </w:r>
      <w:r>
        <w:rPr>
          <w:iCs/>
          <w:i/>
        </w:rPr>
        <w:t xml:space="preserve">PLoS One</w:t>
      </w:r>
      <w:r>
        <w:t xml:space="preserve"> </w:t>
      </w:r>
      <w:r>
        <w:t xml:space="preserve">· Actigraphy assessment of motor activity and sleep in patients with alcohol withdrawal syndrome and the effects of intranasal oxytocin. PMID 32053696</w:t>
      </w:r>
    </w:p>
    <w:p>
      <w:pPr>
        <w:numPr>
          <w:ilvl w:val="0"/>
          <w:numId w:val="1419"/>
        </w:numPr>
        <w:pStyle w:val="Compact"/>
      </w:pPr>
      <w:r>
        <w:t xml:space="preserve">2020 · Agurto C ·</w:t>
      </w:r>
      <w:r>
        <w:t xml:space="preserve"> </w:t>
      </w:r>
      <w:r>
        <w:rPr>
          <w:iCs/>
          <w:i/>
        </w:rPr>
        <w:t xml:space="preserve">Neuropsychopharmacology</w:t>
      </w:r>
      <w:r>
        <w:t xml:space="preserve"> </w:t>
      </w:r>
      <w:r>
        <w:t xml:space="preserve">· Detection of acute 3,4-methylenedioxymethamphetamine (MDMA) effects across protocols using automated natural language processing. PMID 31978933</w:t>
      </w:r>
    </w:p>
    <w:p>
      <w:pPr>
        <w:numPr>
          <w:ilvl w:val="0"/>
          <w:numId w:val="1419"/>
        </w:numPr>
        <w:pStyle w:val="Compact"/>
      </w:pPr>
      <w:r>
        <w:t xml:space="preserve">2020 · Bernaerts S ·</w:t>
      </w:r>
      <w:r>
        <w:t xml:space="preserve"> </w:t>
      </w:r>
      <w:r>
        <w:rPr>
          <w:iCs/>
          <w:i/>
        </w:rPr>
        <w:t xml:space="preserve">Mol Autism</w:t>
      </w:r>
      <w:r>
        <w:t xml:space="preserve"> </w:t>
      </w:r>
      <w:r>
        <w:t xml:space="preserve">· Behavioral effects of multiple-dose oxytocin treatment in autism: a randomized, placebo-controlled trial with long-term follow-up. PMID 31969977</w:t>
      </w:r>
    </w:p>
    <w:p>
      <w:pPr>
        <w:numPr>
          <w:ilvl w:val="0"/>
          <w:numId w:val="1419"/>
        </w:numPr>
        <w:pStyle w:val="Compact"/>
      </w:pPr>
      <w:r>
        <w:t xml:space="preserve">2020 · Sindermann C ·</w:t>
      </w:r>
      <w:r>
        <w:t xml:space="preserve"> </w:t>
      </w:r>
      <w:r>
        <w:rPr>
          <w:iCs/>
          <w:i/>
        </w:rPr>
        <w:t xml:space="preserve">Brain Behav</w:t>
      </w:r>
      <w:r>
        <w:t xml:space="preserve"> </w:t>
      </w:r>
      <w:r>
        <w:t xml:space="preserve">· The role of oxytocin on self-serving lying. PMID 31930678</w:t>
      </w:r>
    </w:p>
    <w:p>
      <w:pPr>
        <w:numPr>
          <w:ilvl w:val="0"/>
          <w:numId w:val="1419"/>
        </w:numPr>
        <w:pStyle w:val="Compact"/>
      </w:pPr>
      <w:r>
        <w:t xml:space="preserve">2020 · McClure EA ·</w:t>
      </w:r>
      <w:r>
        <w:t xml:space="preserve"> </w:t>
      </w:r>
      <w:r>
        <w:rPr>
          <w:iCs/>
          <w:i/>
        </w:rPr>
        <w:t xml:space="preserve">Psychopharmacology (Berl)</w:t>
      </w:r>
      <w:r>
        <w:t xml:space="preserve"> </w:t>
      </w:r>
      <w:r>
        <w:t xml:space="preserve">· The influence of gender and oxytocin on stress reactivity, cigarette craving, and smoking in a randomized, placebo-controlled laboratory relapse paradigm. PMID 31792646</w:t>
      </w:r>
    </w:p>
    <w:p>
      <w:pPr>
        <w:numPr>
          <w:ilvl w:val="0"/>
          <w:numId w:val="1419"/>
        </w:numPr>
        <w:pStyle w:val="Compact"/>
      </w:pPr>
      <w:r>
        <w:t xml:space="preserve">2020 · Lieberz J ·</w:t>
      </w:r>
      <w:r>
        <w:t xml:space="preserve"> </w:t>
      </w:r>
      <w:r>
        <w:rPr>
          <w:iCs/>
          <w:i/>
        </w:rPr>
        <w:t xml:space="preserve">Neuropsychopharmacology</w:t>
      </w:r>
      <w:r>
        <w:t xml:space="preserve"> </w:t>
      </w:r>
      <w:r>
        <w:t xml:space="preserve">· Kinetics of oxytocin effects on amygdala and striatal reactivity vary between women and men. PMID 31785587</w:t>
      </w:r>
    </w:p>
    <w:p>
      <w:pPr>
        <w:numPr>
          <w:ilvl w:val="0"/>
          <w:numId w:val="1419"/>
        </w:numPr>
        <w:pStyle w:val="Compact"/>
      </w:pPr>
      <w:r>
        <w:t xml:space="preserve">2020 · Verhees MWFT ·</w:t>
      </w:r>
      <w:r>
        <w:t xml:space="preserve"> </w:t>
      </w:r>
      <w:r>
        <w:rPr>
          <w:iCs/>
          <w:i/>
        </w:rPr>
        <w:t xml:space="preserve">J Behav Ther Exp Psychiatry</w:t>
      </w:r>
      <w:r>
        <w:t xml:space="preserve"> </w:t>
      </w:r>
      <w:r>
        <w:t xml:space="preserve">· Combining oxytocin and cognitive bias modification training in a randomized controlled trial: Effects on trust in maternal support. PMID 31610435</w:t>
      </w:r>
    </w:p>
    <w:p>
      <w:pPr>
        <w:numPr>
          <w:ilvl w:val="0"/>
          <w:numId w:val="1419"/>
        </w:numPr>
        <w:pStyle w:val="Compact"/>
      </w:pPr>
      <w:r>
        <w:t xml:space="preserve">2020 · Zhao W ·</w:t>
      </w:r>
      <w:r>
        <w:t xml:space="preserve"> </w:t>
      </w:r>
      <w:r>
        <w:rPr>
          <w:iCs/>
          <w:i/>
        </w:rPr>
        <w:t xml:space="preserve">Prog Neuropsychopharmacol Biol Psychiatry</w:t>
      </w:r>
      <w:r>
        <w:t xml:space="preserve"> </w:t>
      </w:r>
      <w:r>
        <w:t xml:space="preserve">· Oxytocin modulation of self-referential processing is partly replicable and sensitive to oxytocin receptor genotype. PMID 31415827</w:t>
      </w:r>
    </w:p>
    <w:p>
      <w:pPr>
        <w:numPr>
          <w:ilvl w:val="0"/>
          <w:numId w:val="1419"/>
        </w:numPr>
        <w:pStyle w:val="Compact"/>
      </w:pPr>
      <w:r>
        <w:t xml:space="preserve">2020 · Van Hedger K ·</w:t>
      </w:r>
      <w:r>
        <w:t xml:space="preserve"> </w:t>
      </w:r>
      <w:r>
        <w:rPr>
          <w:iCs/>
          <w:i/>
        </w:rPr>
        <w:t xml:space="preserve">Nicotine Tob Res</w:t>
      </w:r>
      <w:r>
        <w:t xml:space="preserve"> </w:t>
      </w:r>
      <w:r>
        <w:t xml:space="preserve">· Effects of Intranasal Oxytocin on Stress-Induced Cigarette Craving in Daily Smokers. PMID 30085292</w:t>
      </w:r>
    </w:p>
    <w:p>
      <w:pPr>
        <w:numPr>
          <w:ilvl w:val="0"/>
          <w:numId w:val="1419"/>
        </w:numPr>
        <w:pStyle w:val="Compact"/>
      </w:pPr>
      <w:r>
        <w:t xml:space="preserve">2020 · Yamasue H ·</w:t>
      </w:r>
      <w:r>
        <w:t xml:space="preserve"> </w:t>
      </w:r>
      <w:r>
        <w:rPr>
          <w:iCs/>
          <w:i/>
        </w:rPr>
        <w:t xml:space="preserve">Mol Psychiatry</w:t>
      </w:r>
      <w:r>
        <w:t xml:space="preserve"> </w:t>
      </w:r>
      <w:r>
        <w:t xml:space="preserve">· Effect of intranasal oxytocin on the core social symptoms of autism spectrum disorder: a randomized clinical trial. PMID 29955161</w:t>
      </w:r>
    </w:p>
    <w:p>
      <w:pPr>
        <w:numPr>
          <w:ilvl w:val="0"/>
          <w:numId w:val="1419"/>
        </w:numPr>
        <w:pStyle w:val="Compact"/>
      </w:pPr>
      <w:r>
        <w:t xml:space="preserve">2019 · Domes G ·</w:t>
      </w:r>
      <w:r>
        <w:t xml:space="preserve"> </w:t>
      </w:r>
      <w:r>
        <w:rPr>
          <w:iCs/>
          <w:i/>
        </w:rPr>
        <w:t xml:space="preserve">Transl Psychiatry</w:t>
      </w:r>
      <w:r>
        <w:t xml:space="preserve"> </w:t>
      </w:r>
      <w:r>
        <w:t xml:space="preserve">· Effects of intranasal oxytocin administration on empathy and approach motivation in women with borderline personality disorder: a randomized controlled trial. PMID 31801937</w:t>
      </w:r>
    </w:p>
    <w:p>
      <w:pPr>
        <w:numPr>
          <w:ilvl w:val="0"/>
          <w:numId w:val="1419"/>
        </w:numPr>
        <w:pStyle w:val="Compact"/>
      </w:pPr>
      <w:r>
        <w:t xml:space="preserve">2019 · Burmester V ·</w:t>
      </w:r>
      <w:r>
        <w:t xml:space="preserve"> </w:t>
      </w:r>
      <w:r>
        <w:rPr>
          <w:iCs/>
          <w:i/>
        </w:rPr>
        <w:t xml:space="preserve">Physiol Behav</w:t>
      </w:r>
      <w:r>
        <w:t xml:space="preserve"> </w:t>
      </w:r>
      <w:r>
        <w:t xml:space="preserve">· Oxytocin reduces post-stress sweet snack intake in women without attenuating salivary cortisol. PMID 31628930</w:t>
      </w:r>
    </w:p>
    <w:p>
      <w:pPr>
        <w:numPr>
          <w:ilvl w:val="0"/>
          <w:numId w:val="1419"/>
        </w:numPr>
        <w:pStyle w:val="Compact"/>
      </w:pPr>
      <w:r>
        <w:t xml:space="preserve">2019 · Stauffer CS ·</w:t>
      </w:r>
      <w:r>
        <w:t xml:space="preserve"> </w:t>
      </w:r>
      <w:r>
        <w:rPr>
          <w:iCs/>
          <w:i/>
        </w:rPr>
        <w:t xml:space="preserve">Alcohol Clin Exp Res</w:t>
      </w:r>
      <w:r>
        <w:t xml:space="preserve"> </w:t>
      </w:r>
      <w:r>
        <w:t xml:space="preserve">· Effects of Oxytocin Administration on Cue-Induced Craving in Co-occurring Alcohol Use Disorder and PTSD: A Within-Participant Randomized Clinical Trial. PMID 31610033</w:t>
      </w:r>
    </w:p>
    <w:p>
      <w:pPr>
        <w:numPr>
          <w:ilvl w:val="0"/>
          <w:numId w:val="1419"/>
        </w:numPr>
        <w:pStyle w:val="Compact"/>
      </w:pPr>
      <w:r>
        <w:t xml:space="preserve">2019 · Bradley ER ·</w:t>
      </w:r>
      <w:r>
        <w:t xml:space="preserve"> </w:t>
      </w:r>
      <w:r>
        <w:rPr>
          <w:iCs/>
          <w:i/>
        </w:rPr>
        <w:t xml:space="preserve">Schizophr Res</w:t>
      </w:r>
      <w:r>
        <w:t xml:space="preserve"> </w:t>
      </w:r>
      <w:r>
        <w:t xml:space="preserve">· Oxytocin increases eye gaze in schizophrenia. PMID 31416746</w:t>
      </w:r>
    </w:p>
    <w:p>
      <w:pPr>
        <w:numPr>
          <w:ilvl w:val="0"/>
          <w:numId w:val="1419"/>
        </w:numPr>
        <w:pStyle w:val="Compact"/>
      </w:pPr>
      <w:r>
        <w:t xml:space="preserve">2019 · Fragkaki I ·</w:t>
      </w:r>
      <w:r>
        <w:t xml:space="preserve"> </w:t>
      </w:r>
      <w:r>
        <w:rPr>
          <w:iCs/>
          <w:i/>
        </w:rPr>
        <w:t xml:space="preserve">Horm Behav</w:t>
      </w:r>
      <w:r>
        <w:t xml:space="preserve"> </w:t>
      </w:r>
      <w:r>
        <w:t xml:space="preserve">· The effect of oxytocin administration on empathy and emotion recognition in residential youth: A randomized, within-subjects trial. PMID 31351105</w:t>
      </w:r>
    </w:p>
    <w:p>
      <w:pPr>
        <w:numPr>
          <w:ilvl w:val="0"/>
          <w:numId w:val="1419"/>
        </w:numPr>
        <w:pStyle w:val="Compact"/>
      </w:pPr>
      <w:r>
        <w:t xml:space="preserve">2019 · Bozorgmehr A ·</w:t>
      </w:r>
      <w:r>
        <w:t xml:space="preserve"> </w:t>
      </w:r>
      <w:r>
        <w:rPr>
          <w:iCs/>
          <w:i/>
        </w:rPr>
        <w:t xml:space="preserve">Neurosci Lett</w:t>
      </w:r>
      <w:r>
        <w:t xml:space="preserve"> </w:t>
      </w:r>
      <w:r>
        <w:t xml:space="preserve">· Oxytocin moderates risky decision-making during the Iowa Gambling Task: A new insight based on the role of oxytocin receptor gene polymorphisms and interventional cognitive study. PMID 31200092</w:t>
      </w:r>
    </w:p>
    <w:p>
      <w:pPr>
        <w:numPr>
          <w:ilvl w:val="0"/>
          <w:numId w:val="1419"/>
        </w:numPr>
        <w:pStyle w:val="Compact"/>
      </w:pPr>
      <w:r>
        <w:t xml:space="preserve">2019 · Grace SA ·</w:t>
      </w:r>
      <w:r>
        <w:t xml:space="preserve"> </w:t>
      </w:r>
      <w:r>
        <w:rPr>
          <w:iCs/>
          <w:i/>
        </w:rPr>
        <w:t xml:space="preserve">Psychoneuroendocrinology</w:t>
      </w:r>
      <w:r>
        <w:t xml:space="preserve"> </w:t>
      </w:r>
      <w:r>
        <w:t xml:space="preserve">· Intranasal oxytocin alters amygdala-temporal resting-state functional connectivity in body dysmorphic disorder: A double-blind placebo-controlled randomized trial. PMID 31146138</w:t>
      </w:r>
    </w:p>
    <w:p>
      <w:pPr>
        <w:numPr>
          <w:ilvl w:val="0"/>
          <w:numId w:val="1419"/>
        </w:numPr>
        <w:pStyle w:val="Compact"/>
      </w:pPr>
      <w:r>
        <w:t xml:space="preserve">2019 · Tabak BA ·</w:t>
      </w:r>
      <w:r>
        <w:t xml:space="preserve"> </w:t>
      </w:r>
      <w:r>
        <w:rPr>
          <w:iCs/>
          <w:i/>
        </w:rPr>
        <w:t xml:space="preserve">Psychoneuroendocrinology</w:t>
      </w:r>
      <w:r>
        <w:t xml:space="preserve"> </w:t>
      </w:r>
      <w:r>
        <w:t xml:space="preserve">· Null results of oxytocin and vasopressin administration across a range of social cognitive and behavioral paradigms: Evidence from a randomized controlled trial. PMID 31128568</w:t>
      </w:r>
    </w:p>
    <w:p>
      <w:pPr>
        <w:numPr>
          <w:ilvl w:val="0"/>
          <w:numId w:val="1419"/>
        </w:numPr>
        <w:pStyle w:val="Compact"/>
      </w:pPr>
      <w:r>
        <w:t xml:space="preserve">2019 · Petereit P ·</w:t>
      </w:r>
      <w:r>
        <w:t xml:space="preserve"> </w:t>
      </w:r>
      <w:r>
        <w:rPr>
          <w:iCs/>
          <w:i/>
        </w:rPr>
        <w:t xml:space="preserve">Biol Psychol</w:t>
      </w:r>
      <w:r>
        <w:t xml:space="preserve"> </w:t>
      </w:r>
      <w:r>
        <w:t xml:space="preserve">· Oxytocin reduces the link between neural and affective responses after social exclusion. PMID 31075364</w:t>
      </w:r>
    </w:p>
    <w:p>
      <w:pPr>
        <w:numPr>
          <w:ilvl w:val="0"/>
          <w:numId w:val="1419"/>
        </w:numPr>
        <w:pStyle w:val="Compact"/>
      </w:pPr>
      <w:r>
        <w:t xml:space="preserve">2019 · Bartz JA ·</w:t>
      </w:r>
      <w:r>
        <w:t xml:space="preserve"> </w:t>
      </w:r>
      <w:r>
        <w:rPr>
          <w:iCs/>
          <w:i/>
        </w:rPr>
        <w:t xml:space="preserve">Biol Psychiatry Cogn Neurosci Neuroimaging</w:t>
      </w:r>
      <w:r>
        <w:t xml:space="preserve"> </w:t>
      </w:r>
      <w:r>
        <w:t xml:space="preserve">· Oxytocin Selectively Improves Empathic Accuracy: A Replication in Men and Novel Insights in Women. PMID 30954442</w:t>
      </w:r>
    </w:p>
    <w:p>
      <w:pPr>
        <w:numPr>
          <w:ilvl w:val="0"/>
          <w:numId w:val="1419"/>
        </w:numPr>
        <w:pStyle w:val="Compact"/>
      </w:pPr>
      <w:r>
        <w:t xml:space="preserve">2019 · Melby K ·</w:t>
      </w:r>
      <w:r>
        <w:t xml:space="preserve"> </w:t>
      </w:r>
      <w:r>
        <w:rPr>
          <w:iCs/>
          <w:i/>
        </w:rPr>
        <w:t xml:space="preserve">Drug Alcohol Depend</w:t>
      </w:r>
      <w:r>
        <w:t xml:space="preserve"> </w:t>
      </w:r>
      <w:r>
        <w:t xml:space="preserve">· Effect of intranasal oxytocin on alcohol withdrawal syndrome: A randomized placebo-controlled double-blind clinical trial. PMID 30784955</w:t>
      </w:r>
    </w:p>
    <w:p>
      <w:pPr>
        <w:numPr>
          <w:ilvl w:val="0"/>
          <w:numId w:val="1419"/>
        </w:numPr>
        <w:pStyle w:val="Compact"/>
      </w:pPr>
      <w:r>
        <w:t xml:space="preserve">2019 · Davies C ·</w:t>
      </w:r>
      <w:r>
        <w:t xml:space="preserve"> </w:t>
      </w:r>
      <w:r>
        <w:rPr>
          <w:iCs/>
          <w:i/>
        </w:rPr>
        <w:t xml:space="preserve">Neuropsychopharmacology</w:t>
      </w:r>
      <w:r>
        <w:t xml:space="preserve"> </w:t>
      </w:r>
      <w:r>
        <w:t xml:space="preserve">· Oxytocin modulates hippocampal perfusion in people at clinical high risk for psychosis. PMID 30626906</w:t>
      </w:r>
    </w:p>
    <w:p>
      <w:pPr>
        <w:numPr>
          <w:ilvl w:val="0"/>
          <w:numId w:val="1419"/>
        </w:numPr>
        <w:pStyle w:val="Compact"/>
      </w:pPr>
      <w:r>
        <w:t xml:space="preserve">2019 · Fang A ·</w:t>
      </w:r>
      <w:r>
        <w:t xml:space="preserve"> </w:t>
      </w:r>
      <w:r>
        <w:rPr>
          <w:iCs/>
          <w:i/>
        </w:rPr>
        <w:t xml:space="preserve">Depress Anxiety</w:t>
      </w:r>
      <w:r>
        <w:t xml:space="preserve"> </w:t>
      </w:r>
      <w:r>
        <w:t xml:space="preserve">· Intranasal oxytocin modulates higher order social cognition in body dysmorphic disorder. PMID 30614171</w:t>
      </w:r>
    </w:p>
    <w:p>
      <w:pPr>
        <w:numPr>
          <w:ilvl w:val="0"/>
          <w:numId w:val="1419"/>
        </w:numPr>
        <w:pStyle w:val="Compact"/>
      </w:pPr>
      <w:r>
        <w:t xml:space="preserve">2019 · Leslie M ·</w:t>
      </w:r>
      <w:r>
        <w:t xml:space="preserve"> </w:t>
      </w:r>
      <w:r>
        <w:rPr>
          <w:iCs/>
          <w:i/>
        </w:rPr>
        <w:t xml:space="preserve">Mol Cell Endocrinol</w:t>
      </w:r>
      <w:r>
        <w:t xml:space="preserve"> </w:t>
      </w:r>
      <w:r>
        <w:t xml:space="preserve">· The influence of oxytocin on eating behaviours and stress in women with bulimia nervosa and binge eating disorder. PMID 30579958</w:t>
      </w:r>
    </w:p>
    <w:p>
      <w:pPr>
        <w:numPr>
          <w:ilvl w:val="0"/>
          <w:numId w:val="1419"/>
        </w:numPr>
        <w:pStyle w:val="Compact"/>
      </w:pPr>
      <w:r>
        <w:t xml:space="preserve">2019 · Crucianelli L ·</w:t>
      </w:r>
      <w:r>
        <w:t xml:space="preserve"> </w:t>
      </w:r>
      <w:r>
        <w:rPr>
          <w:iCs/>
          <w:i/>
        </w:rPr>
        <w:t xml:space="preserve">J Cogn Neurosci</w:t>
      </w:r>
      <w:r>
        <w:t xml:space="preserve"> </w:t>
      </w:r>
      <w:r>
        <w:t xml:space="preserve">· Embodied Precision: Intranasal Oxytocin Modulates Multisensory Integration. PMID 30562138</w:t>
      </w:r>
    </w:p>
    <w:p>
      <w:pPr>
        <w:numPr>
          <w:ilvl w:val="0"/>
          <w:numId w:val="1419"/>
        </w:numPr>
        <w:pStyle w:val="Compact"/>
      </w:pPr>
      <w:r>
        <w:t xml:space="preserve">2019 · Koch SBJ ·</w:t>
      </w:r>
      <w:r>
        <w:t xml:space="preserve"> </w:t>
      </w:r>
      <w:r>
        <w:rPr>
          <w:iCs/>
          <w:i/>
        </w:rPr>
        <w:t xml:space="preserve">Eur Neuropsychopharmacol</w:t>
      </w:r>
      <w:r>
        <w:t xml:space="preserve"> </w:t>
      </w:r>
      <w:r>
        <w:t xml:space="preserve">· Effects of intranasal oxytocin on distraction as emotion regulation strategy in patients with post-traumatic stress disorder. PMID 30554861</w:t>
      </w:r>
    </w:p>
    <w:p>
      <w:pPr>
        <w:numPr>
          <w:ilvl w:val="0"/>
          <w:numId w:val="1419"/>
        </w:numPr>
        <w:pStyle w:val="Compact"/>
      </w:pPr>
      <w:r>
        <w:t xml:space="preserve">2019 · Kruppa JA ·</w:t>
      </w:r>
      <w:r>
        <w:t xml:space="preserve"> </w:t>
      </w:r>
      <w:r>
        <w:rPr>
          <w:iCs/>
          <w:i/>
        </w:rPr>
        <w:t xml:space="preserve">Neuropsychopharmacology</w:t>
      </w:r>
      <w:r>
        <w:t xml:space="preserve"> </w:t>
      </w:r>
      <w:r>
        <w:t xml:space="preserve">· Neural modulation of social reinforcement learning by intranasal oxytocin in male adults with high-functioning autism spectrum disorder: a randomized trial. PMID 30390065</w:t>
      </w:r>
    </w:p>
    <w:p>
      <w:pPr>
        <w:numPr>
          <w:ilvl w:val="0"/>
          <w:numId w:val="1419"/>
        </w:numPr>
        <w:pStyle w:val="Compact"/>
      </w:pPr>
      <w:r>
        <w:t xml:space="preserve">2019 · Flanagan JC ·</w:t>
      </w:r>
      <w:r>
        <w:t xml:space="preserve"> </w:t>
      </w:r>
      <w:r>
        <w:rPr>
          <w:iCs/>
          <w:i/>
        </w:rPr>
        <w:t xml:space="preserve">Exp Clin Psychopharmacol</w:t>
      </w:r>
      <w:r>
        <w:t xml:space="preserve"> </w:t>
      </w:r>
      <w:r>
        <w:t xml:space="preserve">· Effects of oxytocin on stress reactivity and craving in veterans with co-occurring PTSD and alcohol use disorder. PMID 30382728</w:t>
      </w:r>
    </w:p>
    <w:p>
      <w:pPr>
        <w:numPr>
          <w:ilvl w:val="0"/>
          <w:numId w:val="1419"/>
        </w:numPr>
        <w:pStyle w:val="Compact"/>
      </w:pPr>
      <w:r>
        <w:t xml:space="preserve">2019 · Eckstein M ·</w:t>
      </w:r>
      <w:r>
        <w:t xml:space="preserve"> </w:t>
      </w:r>
      <w:r>
        <w:rPr>
          <w:iCs/>
          <w:i/>
        </w:rPr>
        <w:t xml:space="preserve">Soc Neurosci</w:t>
      </w:r>
      <w:r>
        <w:t xml:space="preserve"> </w:t>
      </w:r>
      <w:r>
        <w:t xml:space="preserve">· Oxytocin increases eye-gaze towards novel social and non-social stimuli. PMID 30378456</w:t>
      </w:r>
    </w:p>
    <w:p>
      <w:pPr>
        <w:numPr>
          <w:ilvl w:val="0"/>
          <w:numId w:val="1419"/>
        </w:numPr>
        <w:pStyle w:val="Compact"/>
      </w:pPr>
      <w:r>
        <w:t xml:space="preserve">2019 · Grainger SA ·</w:t>
      </w:r>
      <w:r>
        <w:t xml:space="preserve"> </w:t>
      </w:r>
      <w:r>
        <w:rPr>
          <w:iCs/>
          <w:i/>
        </w:rPr>
        <w:t xml:space="preserve">J Psychopharmacol</w:t>
      </w:r>
      <w:r>
        <w:t xml:space="preserve"> </w:t>
      </w:r>
      <w:r>
        <w:t xml:space="preserve">· Intranasal oxytocin does not alter initial perceptions of facial trustworthiness in younger or older adults. PMID 30326770</w:t>
      </w:r>
    </w:p>
    <w:p>
      <w:pPr>
        <w:numPr>
          <w:ilvl w:val="0"/>
          <w:numId w:val="1419"/>
        </w:numPr>
        <w:pStyle w:val="Compact"/>
      </w:pPr>
      <w:r>
        <w:t xml:space="preserve">2019 · Quintana DS ·</w:t>
      </w:r>
      <w:r>
        <w:t xml:space="preserve"> </w:t>
      </w:r>
      <w:r>
        <w:rPr>
          <w:iCs/>
          <w:i/>
        </w:rPr>
        <w:t xml:space="preserve">Neuropsychopharmacology</w:t>
      </w:r>
      <w:r>
        <w:t xml:space="preserve"> </w:t>
      </w:r>
      <w:r>
        <w:t xml:space="preserve">· Low-dose intranasal oxytocin delivered with Breath Powered device modulates pupil diameter and amygdala activity: a randomized controlled pupillometry and fMRI study. PMID 30323359</w:t>
      </w:r>
    </w:p>
    <w:p>
      <w:pPr>
        <w:numPr>
          <w:ilvl w:val="0"/>
          <w:numId w:val="1419"/>
        </w:numPr>
        <w:pStyle w:val="Compact"/>
      </w:pPr>
      <w:r>
        <w:t xml:space="preserve">2019 · Halverson T ·</w:t>
      </w:r>
      <w:r>
        <w:t xml:space="preserve"> </w:t>
      </w:r>
      <w:r>
        <w:rPr>
          <w:iCs/>
          <w:i/>
        </w:rPr>
        <w:t xml:space="preserve">Schizophr Res</w:t>
      </w:r>
      <w:r>
        <w:t xml:space="preserve"> </w:t>
      </w:r>
      <w:r>
        <w:t xml:space="preserve">· Effects of oxytocin on empathy, introspective accuracy, and social symptoms in schizophrenia: A 12-week twice-daily randomized controlled trial. PMID 30243853</w:t>
      </w:r>
    </w:p>
    <w:p>
      <w:pPr>
        <w:numPr>
          <w:ilvl w:val="0"/>
          <w:numId w:val="1419"/>
        </w:numPr>
        <w:pStyle w:val="Compact"/>
      </w:pPr>
      <w:r>
        <w:t xml:space="preserve">2019 · Brede S ·</w:t>
      </w:r>
      <w:r>
        <w:t xml:space="preserve"> </w:t>
      </w:r>
      <w:r>
        <w:rPr>
          <w:iCs/>
          <w:i/>
        </w:rPr>
        <w:t xml:space="preserve">Diabetes Obes Metab</w:t>
      </w:r>
      <w:r>
        <w:t xml:space="preserve"> </w:t>
      </w:r>
      <w:r>
        <w:t xml:space="preserve">· Intranasal oxytocin fails to acutely improve glucose metabolism in obese men. PMID 30203536</w:t>
      </w:r>
    </w:p>
    <w:p>
      <w:pPr>
        <w:numPr>
          <w:ilvl w:val="0"/>
          <w:numId w:val="1419"/>
        </w:numPr>
        <w:pStyle w:val="Compact"/>
      </w:pPr>
      <w:r>
        <w:t xml:space="preserve">2019 · Schwaiger M ·</w:t>
      </w:r>
      <w:r>
        <w:t xml:space="preserve"> </w:t>
      </w:r>
      <w:r>
        <w:rPr>
          <w:iCs/>
          <w:i/>
        </w:rPr>
        <w:t xml:space="preserve">Psychoneuroendocrinology</w:t>
      </w:r>
      <w:r>
        <w:t xml:space="preserve"> </w:t>
      </w:r>
      <w:r>
        <w:t xml:space="preserve">· Oxytocin administration and emotion recognition abilities in adults with a history of childhood adversity. PMID 30189345</w:t>
      </w:r>
    </w:p>
    <w:p>
      <w:pPr>
        <w:numPr>
          <w:ilvl w:val="0"/>
          <w:numId w:val="1419"/>
        </w:numPr>
        <w:pStyle w:val="Compact"/>
      </w:pPr>
      <w:r>
        <w:t xml:space="preserve">2019 · Romney C ·</w:t>
      </w:r>
      <w:r>
        <w:t xml:space="preserve"> </w:t>
      </w:r>
      <w:r>
        <w:rPr>
          <w:iCs/>
          <w:i/>
        </w:rPr>
        <w:t xml:space="preserve">Int J Psychophysiol</w:t>
      </w:r>
      <w:r>
        <w:t xml:space="preserve"> </w:t>
      </w:r>
      <w:r>
        <w:t xml:space="preserve">· Where is the love? A double-blind, randomized study of the effects of intranasal oxytocin on stress regulation and aggression. PMID 30144492</w:t>
      </w:r>
    </w:p>
    <w:p>
      <w:pPr>
        <w:numPr>
          <w:ilvl w:val="0"/>
          <w:numId w:val="1419"/>
        </w:numPr>
        <w:pStyle w:val="Compact"/>
      </w:pPr>
      <w:r>
        <w:t xml:space="preserve">2018 · Finger E ·</w:t>
      </w:r>
      <w:r>
        <w:t xml:space="preserve"> </w:t>
      </w:r>
      <w:r>
        <w:rPr>
          <w:iCs/>
          <w:i/>
        </w:rPr>
        <w:t xml:space="preserve">Alzheimers Res Ther</w:t>
      </w:r>
      <w:r>
        <w:t xml:space="preserve"> </w:t>
      </w:r>
      <w:r>
        <w:t xml:space="preserve">· Adaptive crossover designs for assessment of symptomatic treatments targeting behaviour in neurodegenerative disease: a phase 2 clinical trial of intranasal oxytocin for frontotemporal dementia (FOXY). PMID 30261917</w:t>
      </w:r>
    </w:p>
    <w:p>
      <w:pPr>
        <w:numPr>
          <w:ilvl w:val="0"/>
          <w:numId w:val="1419"/>
        </w:numPr>
        <w:pStyle w:val="Compact"/>
      </w:pPr>
      <w:r>
        <w:t xml:space="preserve">2018 · Burmester V ·</w:t>
      </w:r>
      <w:r>
        <w:t xml:space="preserve"> </w:t>
      </w:r>
      <w:r>
        <w:rPr>
          <w:iCs/>
          <w:i/>
        </w:rPr>
        <w:t xml:space="preserve">Appetite</w:t>
      </w:r>
      <w:r>
        <w:t xml:space="preserve"> </w:t>
      </w:r>
      <w:r>
        <w:t xml:space="preserve">· Rapid-onset anorectic effects of intranasal oxytocin in young men. PMID 30081055</w:t>
      </w:r>
    </w:p>
    <w:p>
      <w:pPr>
        <w:numPr>
          <w:ilvl w:val="0"/>
          <w:numId w:val="1419"/>
        </w:numPr>
        <w:pStyle w:val="Compact"/>
      </w:pPr>
      <w:r>
        <w:t xml:space="preserve">2018 · Verhees MWFT ·</w:t>
      </w:r>
      <w:r>
        <w:t xml:space="preserve"> </w:t>
      </w:r>
      <w:r>
        <w:rPr>
          <w:iCs/>
          <w:i/>
        </w:rPr>
        <w:t xml:space="preserve">Psychopharmacology (Berl)</w:t>
      </w:r>
      <w:r>
        <w:t xml:space="preserve"> </w:t>
      </w:r>
      <w:r>
        <w:t xml:space="preserve">· No side-effects of single intranasal oxytocin administration in middle childhood. PMID 29915962</w:t>
      </w:r>
    </w:p>
    <w:p>
      <w:pPr>
        <w:numPr>
          <w:ilvl w:val="0"/>
          <w:numId w:val="1419"/>
        </w:numPr>
        <w:pStyle w:val="Compact"/>
      </w:pPr>
      <w:r>
        <w:t xml:space="preserve">2018 · Quintana DS ·</w:t>
      </w:r>
      <w:r>
        <w:t xml:space="preserve"> </w:t>
      </w:r>
      <w:r>
        <w:rPr>
          <w:iCs/>
          <w:i/>
        </w:rPr>
        <w:t xml:space="preserve">Horm Behav</w:t>
      </w:r>
      <w:r>
        <w:t xml:space="preserve"> </w:t>
      </w:r>
      <w:r>
        <w:t xml:space="preserve">· Saliva oxytocin measures do not reflect peripheral plasma concentrations after intranasal oxytocin administration in men. PMID 29750971</w:t>
      </w:r>
    </w:p>
    <w:p>
      <w:pPr>
        <w:numPr>
          <w:ilvl w:val="0"/>
          <w:numId w:val="1419"/>
        </w:numPr>
        <w:pStyle w:val="Compact"/>
      </w:pPr>
      <w:r>
        <w:t xml:space="preserve">2018 · Kruger THC ·</w:t>
      </w:r>
      <w:r>
        <w:t xml:space="preserve"> </w:t>
      </w:r>
      <w:r>
        <w:rPr>
          <w:iCs/>
          <w:i/>
        </w:rPr>
        <w:t xml:space="preserve">J Clin Psychopharmacol</w:t>
      </w:r>
      <w:r>
        <w:t xml:space="preserve"> </w:t>
      </w:r>
      <w:r>
        <w:t xml:space="preserve">· Effects of Intranasal Oxytocin Administration on Sexual Functions in Healthy Women: A Laboratory Paradigm. PMID 29596150</w:t>
      </w:r>
    </w:p>
    <w:p>
      <w:pPr>
        <w:numPr>
          <w:ilvl w:val="0"/>
          <w:numId w:val="1419"/>
        </w:numPr>
        <w:pStyle w:val="Compact"/>
      </w:pPr>
      <w:r>
        <w:t xml:space="preserve">2018 · Kim YR ·</w:t>
      </w:r>
      <w:r>
        <w:t xml:space="preserve"> </w:t>
      </w:r>
      <w:r>
        <w:rPr>
          <w:iCs/>
          <w:i/>
        </w:rPr>
        <w:t xml:space="preserve">Psychoneuroendocrinology</w:t>
      </w:r>
      <w:r>
        <w:t xml:space="preserve"> </w:t>
      </w:r>
      <w:r>
        <w:t xml:space="preserve">· Effects of intranasal oxytocin on the attentional bias to emotional stimuli in patients with bulimia nervosa. PMID 29529522</w:t>
      </w:r>
    </w:p>
    <w:p>
      <w:pPr>
        <w:numPr>
          <w:ilvl w:val="0"/>
          <w:numId w:val="1419"/>
        </w:numPr>
        <w:pStyle w:val="Compact"/>
      </w:pPr>
      <w:r>
        <w:t xml:space="preserve">2018 · Warren KR ·</w:t>
      </w:r>
      <w:r>
        <w:t xml:space="preserve"> </w:t>
      </w:r>
      <w:r>
        <w:rPr>
          <w:iCs/>
          <w:i/>
        </w:rPr>
        <w:t xml:space="preserve">Physiol Behav</w:t>
      </w:r>
      <w:r>
        <w:t xml:space="preserve"> </w:t>
      </w:r>
      <w:r>
        <w:t xml:space="preserve">· Effects of intranasal oxytocin on satiety signaling in people with schizophrenia. PMID 29524451</w:t>
      </w:r>
    </w:p>
    <w:p>
      <w:pPr>
        <w:numPr>
          <w:ilvl w:val="0"/>
          <w:numId w:val="1419"/>
        </w:numPr>
        <w:pStyle w:val="Compact"/>
      </w:pPr>
      <w:r>
        <w:t xml:space="preserve">2018 · Grainger SA ·</w:t>
      </w:r>
      <w:r>
        <w:t xml:space="preserve"> </w:t>
      </w:r>
      <w:r>
        <w:rPr>
          <w:iCs/>
          <w:i/>
        </w:rPr>
        <w:t xml:space="preserve">Horm Behav</w:t>
      </w:r>
      <w:r>
        <w:t xml:space="preserve"> </w:t>
      </w:r>
      <w:r>
        <w:t xml:space="preserve">· Intranasal oxytocin does not reduce age-related difficulties in social cognition. PMID 29408521</w:t>
      </w:r>
    </w:p>
    <w:p>
      <w:pPr>
        <w:numPr>
          <w:ilvl w:val="0"/>
          <w:numId w:val="1419"/>
        </w:numPr>
        <w:pStyle w:val="Compact"/>
      </w:pPr>
      <w:r>
        <w:t xml:space="preserve">2018 · Schumacher S ·</w:t>
      </w:r>
      <w:r>
        <w:t xml:space="preserve"> </w:t>
      </w:r>
      <w:r>
        <w:rPr>
          <w:iCs/>
          <w:i/>
        </w:rPr>
        <w:t xml:space="preserve">PLoS One</w:t>
      </w:r>
      <w:r>
        <w:t xml:space="preserve"> </w:t>
      </w:r>
      <w:r>
        <w:t xml:space="preserve">· Does trait anxiety influence effects of oxytocin on eye-blink startle reactivity? A randomized, double-blind, placebo-controlled crossover study. PMID 29300752</w:t>
      </w:r>
    </w:p>
    <w:p>
      <w:pPr>
        <w:numPr>
          <w:ilvl w:val="0"/>
          <w:numId w:val="1419"/>
        </w:numPr>
        <w:pStyle w:val="Compact"/>
      </w:pPr>
      <w:r>
        <w:t xml:space="preserve">2018 · Flanagan JC ·</w:t>
      </w:r>
      <w:r>
        <w:t xml:space="preserve"> </w:t>
      </w:r>
      <w:r>
        <w:rPr>
          <w:iCs/>
          <w:i/>
        </w:rPr>
        <w:t xml:space="preserve">J Psychiatr Res</w:t>
      </w:r>
      <w:r>
        <w:t xml:space="preserve"> </w:t>
      </w:r>
      <w:r>
        <w:t xml:space="preserve">· Augmenting Prolonged Exposure therapy for PTSD with intranasal oxytocin: A randomized, placebo-controlled pilot trial. PMID 29294429</w:t>
      </w:r>
    </w:p>
    <w:p>
      <w:pPr>
        <w:numPr>
          <w:ilvl w:val="0"/>
          <w:numId w:val="1419"/>
        </w:numPr>
        <w:pStyle w:val="Compact"/>
      </w:pPr>
      <w:r>
        <w:t xml:space="preserve">2018 · Ota M ·</w:t>
      </w:r>
      <w:r>
        <w:t xml:space="preserve"> </w:t>
      </w:r>
      <w:r>
        <w:rPr>
          <w:iCs/>
          <w:i/>
        </w:rPr>
        <w:t xml:space="preserve">Postgrad Med</w:t>
      </w:r>
      <w:r>
        <w:t xml:space="preserve"> </w:t>
      </w:r>
      <w:r>
        <w:t xml:space="preserve">· The effects of adjunctive intranasal oxytocin in patients with schizophrenia. PMID 29105546</w:t>
      </w:r>
    </w:p>
    <w:p>
      <w:pPr>
        <w:numPr>
          <w:ilvl w:val="0"/>
          <w:numId w:val="1419"/>
        </w:numPr>
        <w:pStyle w:val="Compact"/>
      </w:pPr>
      <w:r>
        <w:t xml:space="preserve">2018 · Hansson AC ·</w:t>
      </w:r>
      <w:r>
        <w:t xml:space="preserve"> </w:t>
      </w:r>
      <w:r>
        <w:rPr>
          <w:iCs/>
          <w:i/>
        </w:rPr>
        <w:t xml:space="preserve">Neuropsychopharmacology</w:t>
      </w:r>
      <w:r>
        <w:t xml:space="preserve"> </w:t>
      </w:r>
      <w:r>
        <w:t xml:space="preserve">· Oxytocin Reduces Alcohol Cue-Reactivity in Alcohol-Dependent Rats and Humans. PMID 29090683</w:t>
      </w:r>
    </w:p>
    <w:p>
      <w:pPr>
        <w:numPr>
          <w:ilvl w:val="0"/>
          <w:numId w:val="1419"/>
        </w:numPr>
        <w:pStyle w:val="Compact"/>
      </w:pPr>
      <w:r>
        <w:t xml:space="preserve">2018 · Russell J ·</w:t>
      </w:r>
      <w:r>
        <w:t xml:space="preserve"> </w:t>
      </w:r>
      <w:r>
        <w:rPr>
          <w:iCs/>
          <w:i/>
        </w:rPr>
        <w:t xml:space="preserve">Psychoneuroendocrinology</w:t>
      </w:r>
      <w:r>
        <w:t xml:space="preserve"> </w:t>
      </w:r>
      <w:r>
        <w:t xml:space="preserve">· Intranasal oxytocin in the treatment of anorexia nervosa: Randomized controlled trial during re-feeding. PMID 29049935</w:t>
      </w:r>
    </w:p>
    <w:p>
      <w:pPr>
        <w:numPr>
          <w:ilvl w:val="0"/>
          <w:numId w:val="1419"/>
        </w:numPr>
        <w:pStyle w:val="Compact"/>
      </w:pPr>
      <w:r>
        <w:t xml:space="preserve">2018 · Rutherford HJV ·</w:t>
      </w:r>
      <w:r>
        <w:t xml:space="preserve"> </w:t>
      </w:r>
      <w:r>
        <w:rPr>
          <w:iCs/>
          <w:i/>
        </w:rPr>
        <w:t xml:space="preserve">Int J Psychophysiol</w:t>
      </w:r>
      <w:r>
        <w:t xml:space="preserve"> </w:t>
      </w:r>
      <w:r>
        <w:t xml:space="preserve">· Intranasal oxytocin decreases cross-frequency coupling of neural oscillations at rest. PMID 28965930</w:t>
      </w:r>
    </w:p>
    <w:p>
      <w:pPr>
        <w:numPr>
          <w:ilvl w:val="0"/>
          <w:numId w:val="1419"/>
        </w:numPr>
        <w:pStyle w:val="Compact"/>
      </w:pPr>
      <w:r>
        <w:t xml:space="preserve">2018 · Labuschagne I ·</w:t>
      </w:r>
      <w:r>
        <w:t xml:space="preserve"> </w:t>
      </w:r>
      <w:r>
        <w:rPr>
          <w:iCs/>
          <w:i/>
        </w:rPr>
        <w:t xml:space="preserve">Prog Neuropsychopharmacol Biol Psychiatry</w:t>
      </w:r>
      <w:r>
        <w:t xml:space="preserve"> </w:t>
      </w:r>
      <w:r>
        <w:t xml:space="preserve">· Oxytocin selectively modulates brain processing of disgust in Huntington’s disease gene carriers. PMID 28947180</w:t>
      </w:r>
    </w:p>
    <w:p>
      <w:pPr>
        <w:numPr>
          <w:ilvl w:val="0"/>
          <w:numId w:val="1419"/>
        </w:numPr>
        <w:pStyle w:val="Compact"/>
      </w:pPr>
      <w:r>
        <w:t xml:space="preserve">2018 · Plessow F ·</w:t>
      </w:r>
      <w:r>
        <w:t xml:space="preserve"> </w:t>
      </w:r>
      <w:r>
        <w:rPr>
          <w:iCs/>
          <w:i/>
        </w:rPr>
        <w:t xml:space="preserve">Neuropsychopharmacology</w:t>
      </w:r>
      <w:r>
        <w:t xml:space="preserve"> </w:t>
      </w:r>
      <w:r>
        <w:t xml:space="preserve">· Effects of Intranasal Oxytocin on the Blood Oxygenation Level-Dependent Signal in Food Motivation and Cognitive Control Pathways in Overweight and Obese Men. PMID 28930284</w:t>
      </w:r>
    </w:p>
    <w:p>
      <w:pPr>
        <w:numPr>
          <w:ilvl w:val="0"/>
          <w:numId w:val="1419"/>
        </w:numPr>
        <w:pStyle w:val="Compact"/>
      </w:pPr>
      <w:r>
        <w:t xml:space="preserve">2018 · Tracy LM ·</w:t>
      </w:r>
      <w:r>
        <w:t xml:space="preserve"> </w:t>
      </w:r>
      <w:r>
        <w:rPr>
          <w:iCs/>
          <w:i/>
        </w:rPr>
        <w:t xml:space="preserve">Prog Neuropsychopharmacol Biol Psychiatry</w:t>
      </w:r>
      <w:r>
        <w:t xml:space="preserve"> </w:t>
      </w:r>
      <w:r>
        <w:t xml:space="preserve">· Intranasal oxytocin reduces heart rate variability during a mental arithmetic task: A randomised, double-blind, placebo-controlled cross-over study. PMID 28844717</w:t>
      </w:r>
    </w:p>
    <w:p>
      <w:pPr>
        <w:numPr>
          <w:ilvl w:val="0"/>
          <w:numId w:val="1419"/>
        </w:numPr>
        <w:pStyle w:val="Compact"/>
      </w:pPr>
      <w:r>
        <w:t xml:space="preserve">2018 · Strathearn L ·</w:t>
      </w:r>
      <w:r>
        <w:t xml:space="preserve"> </w:t>
      </w:r>
      <w:r>
        <w:rPr>
          <w:iCs/>
          <w:i/>
        </w:rPr>
        <w:t xml:space="preserve">Dev Psychopathol</w:t>
      </w:r>
      <w:r>
        <w:t xml:space="preserve"> </w:t>
      </w:r>
      <w:r>
        <w:t xml:space="preserve">· Visual systemizing preference in children with autism: A randomized controlled trial of intranasal oxytocin. PMID 28712371</w:t>
      </w:r>
    </w:p>
    <w:p>
      <w:pPr>
        <w:numPr>
          <w:ilvl w:val="0"/>
          <w:numId w:val="1419"/>
        </w:numPr>
        <w:pStyle w:val="Compact"/>
      </w:pPr>
      <w:r>
        <w:t xml:space="preserve">2017 · Tollenaar MS ·</w:t>
      </w:r>
      <w:r>
        <w:t xml:space="preserve"> </w:t>
      </w:r>
      <w:r>
        <w:rPr>
          <w:iCs/>
          <w:i/>
        </w:rPr>
        <w:t xml:space="preserve">Psychopharmacology (Berl)</w:t>
      </w:r>
      <w:r>
        <w:t xml:space="preserve"> </w:t>
      </w:r>
      <w:r>
        <w:t xml:space="preserve">· Does oxytocin lead to emotional interference during a working memory paradigm?. PMID 28913643</w:t>
      </w:r>
    </w:p>
    <w:p>
      <w:pPr>
        <w:numPr>
          <w:ilvl w:val="0"/>
          <w:numId w:val="1419"/>
        </w:numPr>
        <w:pStyle w:val="Compact"/>
      </w:pPr>
      <w:r>
        <w:t xml:space="preserve">2017 · Rutherford HJV ·</w:t>
      </w:r>
      <w:r>
        <w:t xml:space="preserve"> </w:t>
      </w:r>
      <w:r>
        <w:rPr>
          <w:iCs/>
          <w:i/>
        </w:rPr>
        <w:t xml:space="preserve">Biol Psychol</w:t>
      </w:r>
      <w:r>
        <w:t xml:space="preserve"> </w:t>
      </w:r>
      <w:r>
        <w:t xml:space="preserve">· Intranasal oxytocin and the neural correlates of infant face processing in non-parent women. PMID 28800972</w:t>
      </w:r>
    </w:p>
    <w:p>
      <w:pPr>
        <w:numPr>
          <w:ilvl w:val="0"/>
          <w:numId w:val="1419"/>
        </w:numPr>
        <w:pStyle w:val="Compact"/>
      </w:pPr>
      <w:r>
        <w:t xml:space="preserve">2017 · Brodmann K ·</w:t>
      </w:r>
      <w:r>
        <w:t xml:space="preserve"> </w:t>
      </w:r>
      <w:r>
        <w:rPr>
          <w:iCs/>
          <w:i/>
        </w:rPr>
        <w:t xml:space="preserve">Brain Connect</w:t>
      </w:r>
      <w:r>
        <w:t xml:space="preserve"> </w:t>
      </w:r>
      <w:r>
        <w:t xml:space="preserve">· Intranasal Oxytocin Selectively Modulates Large-Scale Brain Networks in Humans. PMID 28762756</w:t>
      </w:r>
    </w:p>
    <w:p>
      <w:pPr>
        <w:numPr>
          <w:ilvl w:val="0"/>
          <w:numId w:val="1419"/>
        </w:numPr>
        <w:pStyle w:val="Compact"/>
      </w:pPr>
      <w:r>
        <w:t xml:space="preserve">2017 · Parker KJ ·</w:t>
      </w:r>
      <w:r>
        <w:t xml:space="preserve"> </w:t>
      </w:r>
      <w:r>
        <w:rPr>
          <w:iCs/>
          <w:i/>
        </w:rPr>
        <w:t xml:space="preserve">Proc Natl Acad Sci U S A</w:t>
      </w:r>
      <w:r>
        <w:t xml:space="preserve"> </w:t>
      </w:r>
      <w:r>
        <w:t xml:space="preserve">· Intranasal oxytocin treatment for social deficits and biomarkers of response in children with autism. PMID 28696286</w:t>
      </w:r>
    </w:p>
    <w:p>
      <w:pPr>
        <w:numPr>
          <w:ilvl w:val="0"/>
          <w:numId w:val="1419"/>
        </w:numPr>
        <w:pStyle w:val="Compact"/>
      </w:pPr>
      <w:r>
        <w:t xml:space="preserve">2017 · Spengler FB ·</w:t>
      </w:r>
      <w:r>
        <w:t xml:space="preserve"> </w:t>
      </w:r>
      <w:r>
        <w:rPr>
          <w:iCs/>
          <w:i/>
        </w:rPr>
        <w:t xml:space="preserve">Biol Psychiatry</w:t>
      </w:r>
      <w:r>
        <w:t xml:space="preserve"> </w:t>
      </w:r>
      <w:r>
        <w:t xml:space="preserve">· Kinetics and Dose Dependency of Intranasal Oxytocin Effects on Amygdala Reactivity. PMID 28629540</w:t>
      </w:r>
    </w:p>
    <w:p>
      <w:pPr>
        <w:numPr>
          <w:ilvl w:val="0"/>
          <w:numId w:val="1419"/>
        </w:numPr>
        <w:pStyle w:val="Compact"/>
      </w:pPr>
      <w:r>
        <w:t xml:space="preserve">2017 · Tracy LM ·</w:t>
      </w:r>
      <w:r>
        <w:t xml:space="preserve"> </w:t>
      </w:r>
      <w:r>
        <w:rPr>
          <w:iCs/>
          <w:i/>
        </w:rPr>
        <w:t xml:space="preserve">Psychoneuroendocrinology</w:t>
      </w:r>
      <w:r>
        <w:t xml:space="preserve"> </w:t>
      </w:r>
      <w:r>
        <w:t xml:space="preserve">· Sex-specific effects of intranasal oxytocin on thermal pain perception: A randomised, double-blind, placebo-controlled cross-over study. PMID 28601750</w:t>
      </w:r>
    </w:p>
    <w:p>
      <w:pPr>
        <w:numPr>
          <w:ilvl w:val="0"/>
          <w:numId w:val="1419"/>
        </w:numPr>
        <w:pStyle w:val="Compact"/>
      </w:pPr>
      <w:r>
        <w:t xml:space="preserve">2017 · Buchanan RW ·</w:t>
      </w:r>
      <w:r>
        <w:t xml:space="preserve"> </w:t>
      </w:r>
      <w:r>
        <w:rPr>
          <w:iCs/>
          <w:i/>
        </w:rPr>
        <w:t xml:space="preserve">J Clin Psychopharmacol</w:t>
      </w:r>
      <w:r>
        <w:t xml:space="preserve"> </w:t>
      </w:r>
      <w:r>
        <w:t xml:space="preserve">· A Randomized Clinical Trial of Oxytocin or Galantamine for the Treatment of Negative Symptoms and Cognitive Impairments in People With Schizophrenia. PMID 28590362</w:t>
      </w:r>
    </w:p>
    <w:p>
      <w:pPr>
        <w:numPr>
          <w:ilvl w:val="0"/>
          <w:numId w:val="1419"/>
        </w:numPr>
        <w:pStyle w:val="Compact"/>
      </w:pPr>
      <w:r>
        <w:t xml:space="preserve">2017 · Quintana DS ·</w:t>
      </w:r>
      <w:r>
        <w:t xml:space="preserve"> </w:t>
      </w:r>
      <w:r>
        <w:rPr>
          <w:iCs/>
          <w:i/>
        </w:rPr>
        <w:t xml:space="preserve">Transl Psychiatry</w:t>
      </w:r>
      <w:r>
        <w:t xml:space="preserve"> </w:t>
      </w:r>
      <w:r>
        <w:t xml:space="preserve">· Dose-dependent social-cognitive effects of intranasal oxytocin delivered with novel Breath Powered device in adults with autism spectrum disorder: a randomized placebo-controlled double-blind crossover trial. PMID 28534875</w:t>
      </w:r>
    </w:p>
    <w:p>
      <w:pPr>
        <w:numPr>
          <w:ilvl w:val="0"/>
          <w:numId w:val="1419"/>
        </w:numPr>
        <w:pStyle w:val="Compact"/>
      </w:pPr>
      <w:r>
        <w:t xml:space="preserve">2017 · Caravaggio F ·</w:t>
      </w:r>
      <w:r>
        <w:t xml:space="preserve"> </w:t>
      </w:r>
      <w:r>
        <w:rPr>
          <w:iCs/>
          <w:i/>
        </w:rPr>
        <w:t xml:space="preserve">Psychoneuroendocrinology</w:t>
      </w:r>
      <w:r>
        <w:t xml:space="preserve"> </w:t>
      </w:r>
      <w:r>
        <w:t xml:space="preserve">· Intranasal oxytocin does not modulate jumping to conclusions in schizophrenia: Potential interactions with caudate volume and baseline social functioning. PMID 28431278</w:t>
      </w:r>
    </w:p>
    <w:p>
      <w:pPr>
        <w:numPr>
          <w:ilvl w:val="0"/>
          <w:numId w:val="1419"/>
        </w:numPr>
        <w:pStyle w:val="Compact"/>
      </w:pPr>
      <w:r>
        <w:t xml:space="preserve">2017 · Kanat M ·</w:t>
      </w:r>
      <w:r>
        <w:t xml:space="preserve"> </w:t>
      </w:r>
      <w:r>
        <w:rPr>
          <w:iCs/>
          <w:i/>
        </w:rPr>
        <w:t xml:space="preserve">Transl Psychiatry</w:t>
      </w:r>
      <w:r>
        <w:t xml:space="preserve"> </w:t>
      </w:r>
      <w:r>
        <w:t xml:space="preserve">· Restoring effects of oxytocin on the attentional preference for faces in autism. PMID 28418399</w:t>
      </w:r>
    </w:p>
    <w:p>
      <w:pPr>
        <w:numPr>
          <w:ilvl w:val="0"/>
          <w:numId w:val="1419"/>
        </w:numPr>
        <w:pStyle w:val="Compact"/>
      </w:pPr>
      <w:r>
        <w:t xml:space="preserve">2017 · Bethlehem RAI ·</w:t>
      </w:r>
      <w:r>
        <w:t xml:space="preserve"> </w:t>
      </w:r>
      <w:r>
        <w:rPr>
          <w:iCs/>
          <w:i/>
        </w:rPr>
        <w:t xml:space="preserve">Transl Psychiatry</w:t>
      </w:r>
      <w:r>
        <w:t xml:space="preserve"> </w:t>
      </w:r>
      <w:r>
        <w:t xml:space="preserve">· Intranasal oxytocin enhances intrinsic corticostriatal functional connectivity in women. PMID 28418398</w:t>
      </w:r>
    </w:p>
    <w:p>
      <w:pPr>
        <w:numPr>
          <w:ilvl w:val="0"/>
          <w:numId w:val="1419"/>
        </w:numPr>
        <w:pStyle w:val="Compact"/>
      </w:pPr>
      <w:r>
        <w:t xml:space="preserve">2017 · Rash JA ·</w:t>
      </w:r>
      <w:r>
        <w:t xml:space="preserve"> </w:t>
      </w:r>
      <w:r>
        <w:rPr>
          <w:iCs/>
          <w:i/>
        </w:rPr>
        <w:t xml:space="preserve">BMJ Open</w:t>
      </w:r>
      <w:r>
        <w:t xml:space="preserve"> </w:t>
      </w:r>
      <w:r>
        <w:t xml:space="preserve">· Protocol for a placebo-controlled, within-participants crossover trial evaluating the efficacy of intranasal oxytocin to improve pain and function among women with chronic pelvic musculoskeletal pain. PMID 28416501</w:t>
      </w:r>
    </w:p>
    <w:p>
      <w:pPr>
        <w:numPr>
          <w:ilvl w:val="0"/>
          <w:numId w:val="1419"/>
        </w:numPr>
        <w:pStyle w:val="Compact"/>
      </w:pPr>
      <w:r>
        <w:t xml:space="preserve">2017 · Miller JL ·</w:t>
      </w:r>
      <w:r>
        <w:t xml:space="preserve"> </w:t>
      </w:r>
      <w:r>
        <w:rPr>
          <w:iCs/>
          <w:i/>
        </w:rPr>
        <w:t xml:space="preserve">Am J Med Genet A</w:t>
      </w:r>
      <w:r>
        <w:t xml:space="preserve"> </w:t>
      </w:r>
      <w:r>
        <w:t xml:space="preserve">· Oxytocin treatment in children with Prader-Willi syndrome: A double-blind, placebo-controlled, crossover study. PMID 28371242</w:t>
      </w:r>
    </w:p>
    <w:p>
      <w:pPr>
        <w:numPr>
          <w:ilvl w:val="0"/>
          <w:numId w:val="1419"/>
        </w:numPr>
        <w:pStyle w:val="Compact"/>
      </w:pPr>
      <w:r>
        <w:t xml:space="preserve">2017 · Sack M ·</w:t>
      </w:r>
      <w:r>
        <w:t xml:space="preserve"> </w:t>
      </w:r>
      <w:r>
        <w:rPr>
          <w:iCs/>
          <w:i/>
        </w:rPr>
        <w:t xml:space="preserve">BMC Med</w:t>
      </w:r>
      <w:r>
        <w:t xml:space="preserve"> </w:t>
      </w:r>
      <w:r>
        <w:t xml:space="preserve">· Intranasal oxytocin reduces provoked symptoms in female patients with posttraumatic stress disorder despite exerting sympathomimetic and positive chronotropic effects in a randomized controlled trial. PMID 28209155</w:t>
      </w:r>
    </w:p>
    <w:p>
      <w:pPr>
        <w:numPr>
          <w:ilvl w:val="0"/>
          <w:numId w:val="1419"/>
        </w:numPr>
        <w:pStyle w:val="Compact"/>
      </w:pPr>
      <w:r>
        <w:t xml:space="preserve">2017 · Muin DA ·</w:t>
      </w:r>
      <w:r>
        <w:t xml:space="preserve"> </w:t>
      </w:r>
      <w:r>
        <w:rPr>
          <w:iCs/>
          <w:i/>
        </w:rPr>
        <w:t xml:space="preserve">Fertil Steril</w:t>
      </w:r>
      <w:r>
        <w:t xml:space="preserve"> </w:t>
      </w:r>
      <w:r>
        <w:t xml:space="preserve">· Men’s sexual response to female partner’s intranasal oxytocin administration for hypoactive sexual desire disorder: an open prospective cohort study. PMID 28189292</w:t>
      </w:r>
    </w:p>
    <w:p>
      <w:pPr>
        <w:numPr>
          <w:ilvl w:val="0"/>
          <w:numId w:val="1419"/>
        </w:numPr>
        <w:pStyle w:val="Compact"/>
      </w:pPr>
      <w:r>
        <w:t xml:space="preserve">2017 · Li T ·</w:t>
      </w:r>
      <w:r>
        <w:t xml:space="preserve"> </w:t>
      </w:r>
      <w:r>
        <w:rPr>
          <w:iCs/>
          <w:i/>
        </w:rPr>
        <w:t xml:space="preserve">Horm Behav</w:t>
      </w:r>
      <w:r>
        <w:t xml:space="preserve"> </w:t>
      </w:r>
      <w:r>
        <w:t xml:space="preserve">· Intranasal oxytocin, but not vasopressin, augments neural responses to toddlers in human fathers. PMID 28161387</w:t>
      </w:r>
    </w:p>
    <w:p>
      <w:pPr>
        <w:numPr>
          <w:ilvl w:val="0"/>
          <w:numId w:val="1419"/>
        </w:numPr>
        <w:pStyle w:val="Compact"/>
      </w:pPr>
      <w:r>
        <w:t xml:space="preserve">2017 · Chen X ·</w:t>
      </w:r>
      <w:r>
        <w:t xml:space="preserve"> </w:t>
      </w:r>
      <w:r>
        <w:rPr>
          <w:iCs/>
          <w:i/>
        </w:rPr>
        <w:t xml:space="preserve">Psychoneuroendocrinology</w:t>
      </w:r>
      <w:r>
        <w:t xml:space="preserve"> </w:t>
      </w:r>
      <w:r>
        <w:t xml:space="preserve">· Within vs. between-subject effects of intranasal oxytocin on the neural response to cooperative and non-cooperative social interactions. PMID 28142074</w:t>
      </w:r>
    </w:p>
    <w:p>
      <w:pPr>
        <w:numPr>
          <w:ilvl w:val="0"/>
          <w:numId w:val="1419"/>
        </w:numPr>
        <w:pStyle w:val="Compact"/>
      </w:pPr>
      <w:r>
        <w:t xml:space="preserve">2017 · Leppanen J ·</w:t>
      </w:r>
      <w:r>
        <w:t xml:space="preserve"> </w:t>
      </w:r>
      <w:r>
        <w:rPr>
          <w:iCs/>
          <w:i/>
        </w:rPr>
        <w:t xml:space="preserve">J Neuroendocrinol</w:t>
      </w:r>
      <w:r>
        <w:t xml:space="preserve"> </w:t>
      </w:r>
      <w:r>
        <w:t xml:space="preserve">· Effects of Intranasal Oxytocin on the Interpretation and Expression of Emotions in Anorexia Nervosa. PMID 28140486</w:t>
      </w:r>
    </w:p>
    <w:p>
      <w:pPr>
        <w:numPr>
          <w:ilvl w:val="0"/>
          <w:numId w:val="1419"/>
        </w:numPr>
        <w:pStyle w:val="Compact"/>
      </w:pPr>
      <w:r>
        <w:t xml:space="preserve">2017 · Jarskog LF ·</w:t>
      </w:r>
      <w:r>
        <w:t xml:space="preserve"> </w:t>
      </w:r>
      <w:r>
        <w:rPr>
          <w:iCs/>
          <w:i/>
        </w:rPr>
        <w:t xml:space="preserve">Schizophr Res</w:t>
      </w:r>
      <w:r>
        <w:t xml:space="preserve"> </w:t>
      </w:r>
      <w:r>
        <w:t xml:space="preserve">· A 12-week randomized controlled trial of twice-daily intranasal oxytocin for social cognitive deficits in people with schizophrenia. PMID 28094169</w:t>
      </w:r>
    </w:p>
    <w:p>
      <w:pPr>
        <w:numPr>
          <w:ilvl w:val="0"/>
          <w:numId w:val="1419"/>
        </w:numPr>
        <w:pStyle w:val="Compact"/>
      </w:pPr>
      <w:r>
        <w:t xml:space="preserve">2017 · Woolley JD ·</w:t>
      </w:r>
      <w:r>
        <w:t xml:space="preserve"> </w:t>
      </w:r>
      <w:r>
        <w:rPr>
          <w:iCs/>
          <w:i/>
        </w:rPr>
        <w:t xml:space="preserve">Psychol Med</w:t>
      </w:r>
      <w:r>
        <w:t xml:space="preserve"> </w:t>
      </w:r>
      <w:r>
        <w:t xml:space="preserve">· Intranasal oxytocin increases facial expressivity, but not ratings of trustworthiness, in patients with schizophrenia and healthy controls. PMID 28091349</w:t>
      </w:r>
    </w:p>
    <w:p>
      <w:pPr>
        <w:numPr>
          <w:ilvl w:val="0"/>
          <w:numId w:val="1419"/>
        </w:numPr>
        <w:pStyle w:val="Compact"/>
      </w:pPr>
      <w:r>
        <w:t xml:space="preserve">2017 · van Zuiden M ·</w:t>
      </w:r>
      <w:r>
        <w:t xml:space="preserve"> </w:t>
      </w:r>
      <w:r>
        <w:rPr>
          <w:iCs/>
          <w:i/>
        </w:rPr>
        <w:t xml:space="preserve">Biol Psychiatry</w:t>
      </w:r>
      <w:r>
        <w:t xml:space="preserve"> </w:t>
      </w:r>
      <w:r>
        <w:t xml:space="preserve">· Intranasal Oxytocin to Prevent Posttraumatic Stress Disorder Symptoms: A Randomized Controlled Trial in Emergency Department Patients. PMID 28087128</w:t>
      </w:r>
    </w:p>
    <w:p>
      <w:pPr>
        <w:numPr>
          <w:ilvl w:val="0"/>
          <w:numId w:val="1419"/>
        </w:numPr>
        <w:pStyle w:val="Compact"/>
      </w:pPr>
      <w:r>
        <w:t xml:space="preserve">2017 · Xu X ·</w:t>
      </w:r>
      <w:r>
        <w:t xml:space="preserve"> </w:t>
      </w:r>
      <w:r>
        <w:rPr>
          <w:iCs/>
          <w:i/>
        </w:rPr>
        <w:t xml:space="preserve">Sci Rep</w:t>
      </w:r>
      <w:r>
        <w:t xml:space="preserve"> </w:t>
      </w:r>
      <w:r>
        <w:t xml:space="preserve">· Oxytocin biases men but not women to restore social connections with individuals who socially exclude them. PMID 28079166</w:t>
      </w:r>
    </w:p>
    <w:p>
      <w:pPr>
        <w:numPr>
          <w:ilvl w:val="0"/>
          <w:numId w:val="1419"/>
        </w:numPr>
        <w:pStyle w:val="Compact"/>
      </w:pPr>
      <w:r>
        <w:t xml:space="preserve">2017 · Hecht EE ·</w:t>
      </w:r>
      <w:r>
        <w:t xml:space="preserve"> </w:t>
      </w:r>
      <w:r>
        <w:rPr>
          <w:iCs/>
          <w:i/>
        </w:rPr>
        <w:t xml:space="preserve">Neuroimage</w:t>
      </w:r>
      <w:r>
        <w:t xml:space="preserve"> </w:t>
      </w:r>
      <w:r>
        <w:t xml:space="preserve">· Intranasal oxytocin reduces social perception in women: Neural activation and individual variation. PMID 27989775</w:t>
      </w:r>
    </w:p>
    <w:p>
      <w:pPr>
        <w:numPr>
          <w:ilvl w:val="0"/>
          <w:numId w:val="1419"/>
        </w:numPr>
        <w:pStyle w:val="Compact"/>
      </w:pPr>
      <w:r>
        <w:t xml:space="preserve">2017 · Nawijn L ·</w:t>
      </w:r>
      <w:r>
        <w:t xml:space="preserve"> </w:t>
      </w:r>
      <w:r>
        <w:rPr>
          <w:iCs/>
          <w:i/>
        </w:rPr>
        <w:t xml:space="preserve">Soc Cogn Affect Neurosci</w:t>
      </w:r>
      <w:r>
        <w:t xml:space="preserve"> </w:t>
      </w:r>
      <w:r>
        <w:t xml:space="preserve">· Intranasal oxytocin increases neural responses to social reward in post-traumatic stress disorder. PMID 27614769</w:t>
      </w:r>
    </w:p>
    <w:p>
      <w:pPr>
        <w:numPr>
          <w:ilvl w:val="0"/>
          <w:numId w:val="1419"/>
        </w:numPr>
        <w:pStyle w:val="Compact"/>
      </w:pPr>
      <w:r>
        <w:t xml:space="preserve">2017 · Palgi S ·</w:t>
      </w:r>
      <w:r>
        <w:t xml:space="preserve"> </w:t>
      </w:r>
      <w:r>
        <w:rPr>
          <w:iCs/>
          <w:i/>
        </w:rPr>
        <w:t xml:space="preserve">Psychol Trauma</w:t>
      </w:r>
      <w:r>
        <w:t xml:space="preserve"> </w:t>
      </w:r>
      <w:r>
        <w:t xml:space="preserve">· The role of oxytocin in empathy in PTSD. PMID 27243570</w:t>
      </w:r>
    </w:p>
    <w:p>
      <w:pPr>
        <w:numPr>
          <w:ilvl w:val="0"/>
          <w:numId w:val="1419"/>
        </w:numPr>
        <w:pStyle w:val="Compact"/>
      </w:pPr>
      <w:r>
        <w:t xml:space="preserve">2017 · Mah BL ·</w:t>
      </w:r>
      <w:r>
        <w:t xml:space="preserve"> </w:t>
      </w:r>
      <w:r>
        <w:rPr>
          <w:iCs/>
          <w:i/>
        </w:rPr>
        <w:t xml:space="preserve">Child Psychiatry Hum Dev</w:t>
      </w:r>
      <w:r>
        <w:t xml:space="preserve"> </w:t>
      </w:r>
      <w:r>
        <w:t xml:space="preserve">· The Effects of Intranasal Oxytocin Administration on Sensitive Caregiving in Mothers with Postnatal Depression. PMID 27100724</w:t>
      </w:r>
    </w:p>
    <w:p>
      <w:pPr>
        <w:numPr>
          <w:ilvl w:val="0"/>
          <w:numId w:val="1419"/>
        </w:numPr>
        <w:pStyle w:val="Compact"/>
      </w:pPr>
      <w:r>
        <w:t xml:space="preserve">2016 · Gordon I ·</w:t>
      </w:r>
      <w:r>
        <w:t xml:space="preserve"> </w:t>
      </w:r>
      <w:r>
        <w:rPr>
          <w:iCs/>
          <w:i/>
        </w:rPr>
        <w:t xml:space="preserve">Sci Rep</w:t>
      </w:r>
      <w:r>
        <w:t xml:space="preserve"> </w:t>
      </w:r>
      <w:r>
        <w:t xml:space="preserve">· Intranasal Oxytocin Enhances Connectivity in the Neural Circuitry Supporting Social Motivation and Social Perception in Children with Autism. PMID 27845765</w:t>
      </w:r>
    </w:p>
    <w:p>
      <w:pPr>
        <w:numPr>
          <w:ilvl w:val="0"/>
          <w:numId w:val="1419"/>
        </w:numPr>
        <w:pStyle w:val="Compact"/>
      </w:pPr>
      <w:r>
        <w:t xml:space="preserve">2016 · Miller MA ·</w:t>
      </w:r>
      <w:r>
        <w:t xml:space="preserve"> </w:t>
      </w:r>
      <w:r>
        <w:rPr>
          <w:iCs/>
          <w:i/>
        </w:rPr>
        <w:t xml:space="preserve">Behav Pharmacol</w:t>
      </w:r>
      <w:r>
        <w:t xml:space="preserve"> </w:t>
      </w:r>
      <w:r>
        <w:t xml:space="preserve">· Intranasal oxytocin dampens cue-elicited cigarette craving in daily smokers: a pilot study. PMID 27661192</w:t>
      </w:r>
    </w:p>
    <w:p>
      <w:pPr>
        <w:numPr>
          <w:ilvl w:val="0"/>
          <w:numId w:val="1419"/>
        </w:numPr>
        <w:pStyle w:val="Compact"/>
      </w:pPr>
      <w:r>
        <w:t xml:space="preserve">2016 · Mickey BJ ·</w:t>
      </w:r>
      <w:r>
        <w:t xml:space="preserve"> </w:t>
      </w:r>
      <w:r>
        <w:rPr>
          <w:iCs/>
          <w:i/>
        </w:rPr>
        <w:t xml:space="preserve">Psychopharmacology (Berl)</w:t>
      </w:r>
      <w:r>
        <w:t xml:space="preserve"> </w:t>
      </w:r>
      <w:r>
        <w:t xml:space="preserve">· Oxytocin modulates hemodynamic responses to monetary incentives in humans. PMID 27614896</w:t>
      </w:r>
    </w:p>
    <w:p>
      <w:pPr>
        <w:numPr>
          <w:ilvl w:val="0"/>
          <w:numId w:val="1419"/>
        </w:numPr>
        <w:pStyle w:val="Compact"/>
      </w:pPr>
      <w:r>
        <w:t xml:space="preserve">2016 · Kosaka H ·</w:t>
      </w:r>
      <w:r>
        <w:t xml:space="preserve"> </w:t>
      </w:r>
      <w:r>
        <w:rPr>
          <w:iCs/>
          <w:i/>
        </w:rPr>
        <w:t xml:space="preserve">Transl Psychiatry</w:t>
      </w:r>
      <w:r>
        <w:t xml:space="preserve"> </w:t>
      </w:r>
      <w:r>
        <w:t xml:space="preserve">· Oxytocin efficacy is modulated by dosage and oxytocin receptor genotype in young adults with high-functioning autism: a 24-week randomized clinical trial. PMID 27552585</w:t>
      </w:r>
    </w:p>
    <w:p>
      <w:pPr>
        <w:numPr>
          <w:ilvl w:val="0"/>
          <w:numId w:val="1419"/>
        </w:numPr>
        <w:pStyle w:val="Compact"/>
      </w:pPr>
      <w:r>
        <w:t xml:space="preserve">2016 · Zunhammer M ·</w:t>
      </w:r>
      <w:r>
        <w:t xml:space="preserve"> </w:t>
      </w:r>
      <w:r>
        <w:rPr>
          <w:iCs/>
          <w:i/>
        </w:rPr>
        <w:t xml:space="preserve">Sci Rep</w:t>
      </w:r>
      <w:r>
        <w:t xml:space="preserve"> </w:t>
      </w:r>
      <w:r>
        <w:t xml:space="preserve">· Pain modulation by intranasal oxytocin and emotional picture viewing - a randomized double-blind fMRI study. PMID 27546446</w:t>
      </w:r>
    </w:p>
    <w:p>
      <w:pPr>
        <w:numPr>
          <w:ilvl w:val="0"/>
          <w:numId w:val="1419"/>
        </w:numPr>
        <w:pStyle w:val="Compact"/>
      </w:pPr>
      <w:r>
        <w:t xml:space="preserve">2016 · Brambilla M ·</w:t>
      </w:r>
      <w:r>
        <w:t xml:space="preserve"> </w:t>
      </w:r>
      <w:r>
        <w:rPr>
          <w:iCs/>
          <w:i/>
        </w:rPr>
        <w:t xml:space="preserve">Eur Neuropsychopharmacol</w:t>
      </w:r>
      <w:r>
        <w:t xml:space="preserve"> </w:t>
      </w:r>
      <w:r>
        <w:t xml:space="preserve">· Oxytocin to modulate emotional processing in schizophrenia: A randomized, double-blind, cross-over clinical trial. PMID 27527256</w:t>
      </w:r>
    </w:p>
    <w:p>
      <w:pPr>
        <w:numPr>
          <w:ilvl w:val="0"/>
          <w:numId w:val="1419"/>
        </w:numPr>
        <w:pStyle w:val="Compact"/>
      </w:pPr>
      <w:r>
        <w:t xml:space="preserve">2016 · Kuppens RJ ·</w:t>
      </w:r>
      <w:r>
        <w:t xml:space="preserve"> </w:t>
      </w:r>
      <w:r>
        <w:rPr>
          <w:iCs/>
          <w:i/>
        </w:rPr>
        <w:t xml:space="preserve">Clin Endocrinol (Oxf)</w:t>
      </w:r>
      <w:r>
        <w:t xml:space="preserve"> </w:t>
      </w:r>
      <w:r>
        <w:t xml:space="preserve">· Promising effects of oxytocin on social and food-related behaviour in young children with Prader-Willi syndrome: a randomized, double-blind, controlled crossover trial. PMID 27486141</w:t>
      </w:r>
    </w:p>
    <w:p>
      <w:pPr>
        <w:numPr>
          <w:ilvl w:val="0"/>
          <w:numId w:val="1419"/>
        </w:numPr>
        <w:pStyle w:val="Compact"/>
      </w:pPr>
      <w:r>
        <w:t xml:space="preserve">2016 · Cardoso C ·</w:t>
      </w:r>
      <w:r>
        <w:t xml:space="preserve"> </w:t>
      </w:r>
      <w:r>
        <w:rPr>
          <w:iCs/>
          <w:i/>
        </w:rPr>
        <w:t xml:space="preserve">Psychoneuroendocrinology</w:t>
      </w:r>
      <w:r>
        <w:t xml:space="preserve"> </w:t>
      </w:r>
      <w:r>
        <w:t xml:space="preserve">· Oxytocin and social context moderate social support seeking in women during negative memory recall. PMID 27164224</w:t>
      </w:r>
    </w:p>
    <w:p>
      <w:pPr>
        <w:numPr>
          <w:ilvl w:val="0"/>
          <w:numId w:val="1419"/>
        </w:numPr>
        <w:pStyle w:val="Compact"/>
      </w:pPr>
      <w:r>
        <w:t xml:space="preserve">2016 · Mitchell JM ·</w:t>
      </w:r>
      <w:r>
        <w:t xml:space="preserve"> </w:t>
      </w:r>
      <w:r>
        <w:rPr>
          <w:iCs/>
          <w:i/>
        </w:rPr>
        <w:t xml:space="preserve">J Addict Med</w:t>
      </w:r>
      <w:r>
        <w:t xml:space="preserve"> </w:t>
      </w:r>
      <w:r>
        <w:t xml:space="preserve">· Intranasal Oxytocin Selectively Modulates Social Perception, Craving, and Approach Behavior in Subjects With Alcohol Use Disorder. PMID 27159342</w:t>
      </w:r>
    </w:p>
    <w:p>
      <w:pPr>
        <w:numPr>
          <w:ilvl w:val="0"/>
          <w:numId w:val="1419"/>
        </w:numPr>
        <w:pStyle w:val="Compact"/>
      </w:pPr>
      <w:r>
        <w:t xml:space="preserve">2016 · Woolley JD ·</w:t>
      </w:r>
      <w:r>
        <w:t xml:space="preserve"> </w:t>
      </w:r>
      <w:r>
        <w:rPr>
          <w:iCs/>
          <w:i/>
        </w:rPr>
        <w:t xml:space="preserve">Psychopharmacology (Berl)</w:t>
      </w:r>
      <w:r>
        <w:t xml:space="preserve"> </w:t>
      </w:r>
      <w:r>
        <w:t xml:space="preserve">· The effects of intranasal oxytocin in opioid-dependent individuals and healthy control subjects: a pilot study. PMID 27137199</w:t>
      </w:r>
    </w:p>
    <w:p>
      <w:pPr>
        <w:numPr>
          <w:ilvl w:val="0"/>
          <w:numId w:val="1419"/>
        </w:numPr>
        <w:pStyle w:val="Compact"/>
      </w:pPr>
      <w:r>
        <w:t xml:space="preserve">2016 · Quintana DS ·</w:t>
      </w:r>
      <w:r>
        <w:t xml:space="preserve"> </w:t>
      </w:r>
      <w:r>
        <w:rPr>
          <w:iCs/>
          <w:i/>
        </w:rPr>
        <w:t xml:space="preserve">Psychoneuroendocrinology</w:t>
      </w:r>
      <w:r>
        <w:t xml:space="preserve"> </w:t>
      </w:r>
      <w:r>
        <w:t xml:space="preserve">· Low dose intranasal oxytocin delivered with Breath Powered device dampens amygdala response to emotional stimuli: A peripheral effect-controlled within-subjects randomized dose-response fMRI trial. PMID 27107209</w:t>
      </w:r>
    </w:p>
    <w:p>
      <w:pPr>
        <w:numPr>
          <w:ilvl w:val="0"/>
          <w:numId w:val="1419"/>
        </w:numPr>
        <w:pStyle w:val="Compact"/>
      </w:pPr>
      <w:r>
        <w:t xml:space="preserve">2016 · Hertz U ·</w:t>
      </w:r>
      <w:r>
        <w:t xml:space="preserve"> </w:t>
      </w:r>
      <w:r>
        <w:rPr>
          <w:iCs/>
          <w:i/>
        </w:rPr>
        <w:t xml:space="preserve">PLoS One</w:t>
      </w:r>
      <w:r>
        <w:t xml:space="preserve"> </w:t>
      </w:r>
      <w:r>
        <w:t xml:space="preserve">· Oxytocin Effect on Collective Decision Making: A Randomized Placebo Controlled Study. PMID 27070542</w:t>
      </w:r>
    </w:p>
    <w:p>
      <w:pPr>
        <w:numPr>
          <w:ilvl w:val="0"/>
          <w:numId w:val="1419"/>
        </w:numPr>
        <w:pStyle w:val="Compact"/>
      </w:pPr>
      <w:r>
        <w:t xml:space="preserve">2016 · Cardoso C ·</w:t>
      </w:r>
      <w:r>
        <w:t xml:space="preserve"> </w:t>
      </w:r>
      <w:r>
        <w:rPr>
          <w:iCs/>
          <w:i/>
        </w:rPr>
        <w:t xml:space="preserve">Psychoneuroendocrinology</w:t>
      </w:r>
      <w:r>
        <w:t xml:space="preserve"> </w:t>
      </w:r>
      <w:r>
        <w:t xml:space="preserve">· Memory response to oxytocin predicts relationship dissolution over 18 months. PMID 26986091</w:t>
      </w:r>
    </w:p>
    <w:p>
      <w:pPr>
        <w:numPr>
          <w:ilvl w:val="0"/>
          <w:numId w:val="1419"/>
        </w:numPr>
        <w:pStyle w:val="Compact"/>
      </w:pPr>
      <w:r>
        <w:t xml:space="preserve">2016 · Colonnello V ·</w:t>
      </w:r>
      <w:r>
        <w:t xml:space="preserve"> </w:t>
      </w:r>
      <w:r>
        <w:rPr>
          <w:iCs/>
          <w:i/>
        </w:rPr>
        <w:t xml:space="preserve">Psychoneuroendocrinology</w:t>
      </w:r>
      <w:r>
        <w:t xml:space="preserve"> </w:t>
      </w:r>
      <w:r>
        <w:t xml:space="preserve">· As time goes by: Oxytocin influences the subjective perception of time in a social context. PMID 26945451</w:t>
      </w:r>
    </w:p>
    <w:p>
      <w:pPr>
        <w:numPr>
          <w:ilvl w:val="0"/>
          <w:numId w:val="1419"/>
        </w:numPr>
        <w:pStyle w:val="Compact"/>
      </w:pPr>
      <w:r>
        <w:t xml:space="preserve">2016 · Dagani J ·</w:t>
      </w:r>
      <w:r>
        <w:t xml:space="preserve"> </w:t>
      </w:r>
      <w:r>
        <w:rPr>
          <w:iCs/>
          <w:i/>
        </w:rPr>
        <w:t xml:space="preserve">Schizophr Res</w:t>
      </w:r>
      <w:r>
        <w:t xml:space="preserve"> </w:t>
      </w:r>
      <w:r>
        <w:t xml:space="preserve">· Do we need oxytocin to treat schizophrenia? A randomized clinical trial. PMID 26883950</w:t>
      </w:r>
    </w:p>
    <w:p>
      <w:pPr>
        <w:numPr>
          <w:ilvl w:val="0"/>
          <w:numId w:val="1419"/>
        </w:numPr>
        <w:pStyle w:val="Compact"/>
      </w:pPr>
      <w:r>
        <w:t xml:space="preserve">2016 · Nawijn L ·</w:t>
      </w:r>
      <w:r>
        <w:t xml:space="preserve"> </w:t>
      </w:r>
      <w:r>
        <w:rPr>
          <w:iCs/>
          <w:i/>
        </w:rPr>
        <w:t xml:space="preserve">Psychoneuroendocrinology</w:t>
      </w:r>
      <w:r>
        <w:t xml:space="preserve"> </w:t>
      </w:r>
      <w:r>
        <w:t xml:space="preserve">· Intranasal oxytocin enhances neural processing of monetary reward and loss in post-traumatic stress disorder and traumatized controls. PMID 26851698</w:t>
      </w:r>
    </w:p>
    <w:p>
      <w:pPr>
        <w:numPr>
          <w:ilvl w:val="0"/>
          <w:numId w:val="1419"/>
        </w:numPr>
        <w:pStyle w:val="Compact"/>
      </w:pPr>
      <w:r>
        <w:t xml:space="preserve">2016 · Koch SB ·</w:t>
      </w:r>
      <w:r>
        <w:t xml:space="preserve"> </w:t>
      </w:r>
      <w:r>
        <w:rPr>
          <w:iCs/>
          <w:i/>
        </w:rPr>
        <w:t xml:space="preserve">Neuropsychopharmacology</w:t>
      </w:r>
      <w:r>
        <w:t xml:space="preserve"> </w:t>
      </w:r>
      <w:r>
        <w:t xml:space="preserve">· Intranasal Oxytocin Normalizes Amygdala Functional Connectivity in Posttraumatic Stress Disorder. PMID 26741286</w:t>
      </w:r>
    </w:p>
    <w:p>
      <w:pPr>
        <w:numPr>
          <w:ilvl w:val="0"/>
          <w:numId w:val="1419"/>
        </w:numPr>
        <w:pStyle w:val="Compact"/>
      </w:pPr>
      <w:r>
        <w:t xml:space="preserve">2016 · Busnelli M ·</w:t>
      </w:r>
      <w:r>
        <w:t xml:space="preserve"> </w:t>
      </w:r>
      <w:r>
        <w:rPr>
          <w:iCs/>
          <w:i/>
        </w:rPr>
        <w:t xml:space="preserve">J Neuroendocrinol</w:t>
      </w:r>
      <w:r>
        <w:t xml:space="preserve"> </w:t>
      </w:r>
      <w:r>
        <w:t xml:space="preserve">· Unaltered Oxytocin and Vasopressin Plasma Levels in Patients with Schizophrenia After 4 Months of Daily Treatment with Intranasal Oxytocin. PMID 26715485</w:t>
      </w:r>
    </w:p>
    <w:p>
      <w:pPr>
        <w:numPr>
          <w:ilvl w:val="0"/>
          <w:numId w:val="1419"/>
        </w:numPr>
        <w:pStyle w:val="Compact"/>
      </w:pPr>
      <w:r>
        <w:t xml:space="preserve">2016 · Palgi S ·</w:t>
      </w:r>
      <w:r>
        <w:t xml:space="preserve"> </w:t>
      </w:r>
      <w:r>
        <w:rPr>
          <w:iCs/>
          <w:i/>
        </w:rPr>
        <w:t xml:space="preserve">Psychoneuroendocrinology</w:t>
      </w:r>
      <w:r>
        <w:t xml:space="preserve"> </w:t>
      </w:r>
      <w:r>
        <w:t xml:space="preserve">· Oxytocin improves compassion toward women among patients with PTSD. PMID 26671007</w:t>
      </w:r>
    </w:p>
    <w:p>
      <w:pPr>
        <w:numPr>
          <w:ilvl w:val="0"/>
          <w:numId w:val="1419"/>
        </w:numPr>
        <w:pStyle w:val="Compact"/>
      </w:pPr>
      <w:r>
        <w:t xml:space="preserve">2016 · Paloyelis Y ·</w:t>
      </w:r>
      <w:r>
        <w:t xml:space="preserve"> </w:t>
      </w:r>
      <w:r>
        <w:rPr>
          <w:iCs/>
          <w:i/>
        </w:rPr>
        <w:t xml:space="preserve">J Neuroendocrinol</w:t>
      </w:r>
      <w:r>
        <w:t xml:space="preserve"> </w:t>
      </w:r>
      <w:r>
        <w:t xml:space="preserve">· The Analgesic Effect of Oxytocin in Humans: A Double-Blind, Placebo-Controlled Cross-Over Study Using Laser-Evoked Potentials. PMID 26660859</w:t>
      </w:r>
    </w:p>
    <w:p>
      <w:pPr>
        <w:numPr>
          <w:ilvl w:val="0"/>
          <w:numId w:val="1419"/>
        </w:numPr>
        <w:pStyle w:val="Compact"/>
      </w:pPr>
      <w:r>
        <w:t xml:space="preserve">2016 · Koch SB ·</w:t>
      </w:r>
      <w:r>
        <w:t xml:space="preserve"> </w:t>
      </w:r>
      <w:r>
        <w:rPr>
          <w:iCs/>
          <w:i/>
        </w:rPr>
        <w:t xml:space="preserve">Neuropsychopharmacology</w:t>
      </w:r>
      <w:r>
        <w:t xml:space="preserve"> </w:t>
      </w:r>
      <w:r>
        <w:t xml:space="preserve">· Intranasal Oxytocin Administration Dampens Amygdala Reactivity towards Emotional Faces in Male and Female PTSD Patients. PMID 26404844</w:t>
      </w:r>
    </w:p>
    <w:p>
      <w:pPr>
        <w:numPr>
          <w:ilvl w:val="0"/>
          <w:numId w:val="1419"/>
        </w:numPr>
        <w:pStyle w:val="Compact"/>
      </w:pPr>
      <w:r>
        <w:t xml:space="preserve">2016 · Frijling JL ·</w:t>
      </w:r>
      <w:r>
        <w:t xml:space="preserve"> </w:t>
      </w:r>
      <w:r>
        <w:rPr>
          <w:iCs/>
          <w:i/>
        </w:rPr>
        <w:t xml:space="preserve">Soc Cogn Affect Neurosci</w:t>
      </w:r>
      <w:r>
        <w:t xml:space="preserve"> </w:t>
      </w:r>
      <w:r>
        <w:t xml:space="preserve">· Effects of intranasal oxytocin on amygdala reactivity to emotional faces in recently trauma-exposed individuals. PMID 26382634</w:t>
      </w:r>
    </w:p>
    <w:p>
      <w:pPr>
        <w:numPr>
          <w:ilvl w:val="0"/>
          <w:numId w:val="1419"/>
        </w:numPr>
        <w:pStyle w:val="Compact"/>
      </w:pPr>
      <w:r>
        <w:t xml:space="preserve">2016 · Frijling JL ·</w:t>
      </w:r>
      <w:r>
        <w:t xml:space="preserve"> </w:t>
      </w:r>
      <w:r>
        <w:rPr>
          <w:iCs/>
          <w:i/>
        </w:rPr>
        <w:t xml:space="preserve">Neuropsychopharmacology</w:t>
      </w:r>
      <w:r>
        <w:t xml:space="preserve"> </w:t>
      </w:r>
      <w:r>
        <w:t xml:space="preserve">· Intranasal Oxytocin Affects Amygdala Functional Connectivity after Trauma Script-Driven Imagery in Distressed Recently Trauma-Exposed Individuals. PMID 26346640</w:t>
      </w:r>
    </w:p>
    <w:p>
      <w:pPr>
        <w:numPr>
          <w:ilvl w:val="0"/>
          <w:numId w:val="1419"/>
        </w:numPr>
        <w:pStyle w:val="Compact"/>
      </w:pPr>
      <w:r>
        <w:t xml:space="preserve">2016 · Eckstein M ·</w:t>
      </w:r>
      <w:r>
        <w:t xml:space="preserve"> </w:t>
      </w:r>
      <w:r>
        <w:rPr>
          <w:iCs/>
          <w:i/>
        </w:rPr>
        <w:t xml:space="preserve">Neuropsychopharmacology</w:t>
      </w:r>
      <w:r>
        <w:t xml:space="preserve"> </w:t>
      </w:r>
      <w:r>
        <w:t xml:space="preserve">· Oxytocin Facilitates Pavlovian Fear Learning in Males. PMID 26272050</w:t>
      </w:r>
    </w:p>
    <w:p>
      <w:pPr>
        <w:numPr>
          <w:ilvl w:val="0"/>
          <w:numId w:val="1419"/>
        </w:numPr>
        <w:pStyle w:val="Compact"/>
      </w:pPr>
      <w:r>
        <w:t xml:space="preserve">2016 · Goodyear K ·</w:t>
      </w:r>
      <w:r>
        <w:t xml:space="preserve"> </w:t>
      </w:r>
      <w:r>
        <w:rPr>
          <w:iCs/>
          <w:i/>
        </w:rPr>
        <w:t xml:space="preserve">Soc Neurosci</w:t>
      </w:r>
      <w:r>
        <w:t xml:space="preserve"> </w:t>
      </w:r>
      <w:r>
        <w:t xml:space="preserve">· Oxytocin influences intuitions about the relationship between belief in free will and moral responsibility. PMID 25916658</w:t>
      </w:r>
    </w:p>
    <w:p>
      <w:pPr>
        <w:numPr>
          <w:ilvl w:val="0"/>
          <w:numId w:val="1419"/>
        </w:numPr>
        <w:pStyle w:val="Compact"/>
      </w:pPr>
      <w:r>
        <w:t xml:space="preserve">2015 · Daughters K ·</w:t>
      </w:r>
      <w:r>
        <w:t xml:space="preserve"> </w:t>
      </w:r>
      <w:r>
        <w:rPr>
          <w:iCs/>
          <w:i/>
        </w:rPr>
        <w:t xml:space="preserve">PLoS One</w:t>
      </w:r>
      <w:r>
        <w:t xml:space="preserve"> </w:t>
      </w:r>
      <w:r>
        <w:t xml:space="preserve">· Salivary Oxytocin Concentrations in Males following Intranasal Administration of Oxytocin: A Double-Blind, Cross-Over Study. PMID 26669935</w:t>
      </w:r>
    </w:p>
    <w:p>
      <w:pPr>
        <w:numPr>
          <w:ilvl w:val="0"/>
          <w:numId w:val="1419"/>
        </w:numPr>
        <w:pStyle w:val="Compact"/>
      </w:pPr>
      <w:r>
        <w:t xml:space="preserve">2015 · Kim YR ·</w:t>
      </w:r>
      <w:r>
        <w:t xml:space="preserve"> </w:t>
      </w:r>
      <w:r>
        <w:rPr>
          <w:iCs/>
          <w:i/>
        </w:rPr>
        <w:t xml:space="preserve">PLoS One</w:t>
      </w:r>
      <w:r>
        <w:t xml:space="preserve"> </w:t>
      </w:r>
      <w:r>
        <w:t xml:space="preserve">· The Impact of Oxytocin on Food Intake and Emotion Recognition in Patients with Eating Disorders: A Double Blind Single Dose Within-Subject Cross-Over Design. PMID 26402337</w:t>
      </w:r>
    </w:p>
    <w:p>
      <w:pPr>
        <w:numPr>
          <w:ilvl w:val="0"/>
          <w:numId w:val="1419"/>
        </w:numPr>
        <w:pStyle w:val="Compact"/>
      </w:pPr>
      <w:r>
        <w:t xml:space="preserve">2015 · Flanagan JC ·</w:t>
      </w:r>
      <w:r>
        <w:t xml:space="preserve"> </w:t>
      </w:r>
      <w:r>
        <w:rPr>
          <w:iCs/>
          <w:i/>
        </w:rPr>
        <w:t xml:space="preserve">Psychiatry Res</w:t>
      </w:r>
      <w:r>
        <w:t xml:space="preserve"> </w:t>
      </w:r>
      <w:r>
        <w:t xml:space="preserve">· Effects of adverse childhood experiences on the association between intranasal oxytocin and social stress reactivity among individuals with cocaine dependence. PMID 26231584</w:t>
      </w:r>
    </w:p>
    <w:p>
      <w:pPr>
        <w:numPr>
          <w:ilvl w:val="0"/>
          <w:numId w:val="1419"/>
        </w:numPr>
        <w:pStyle w:val="Compact"/>
      </w:pPr>
      <w:r>
        <w:t xml:space="preserve">2015 · Quintana DS ·</w:t>
      </w:r>
      <w:r>
        <w:t xml:space="preserve"> </w:t>
      </w:r>
      <w:r>
        <w:rPr>
          <w:iCs/>
          <w:i/>
        </w:rPr>
        <w:t xml:space="preserve">Transl Psychiatry</w:t>
      </w:r>
      <w:r>
        <w:t xml:space="preserve"> </w:t>
      </w:r>
      <w:r>
        <w:t xml:space="preserve">· Low-dose oxytocin delivered intranasally with Breath Powered device affects social-cognitive behavior: a randomized four-way crossover trial with nasal cavity dimension assessment. PMID 26171983</w:t>
      </w:r>
    </w:p>
    <w:p>
      <w:pPr>
        <w:numPr>
          <w:ilvl w:val="0"/>
          <w:numId w:val="1419"/>
        </w:numPr>
        <w:pStyle w:val="Compact"/>
      </w:pPr>
      <w:r>
        <w:t xml:space="preserve">2015 · Muin DA ·</w:t>
      </w:r>
      <w:r>
        <w:t xml:space="preserve"> </w:t>
      </w:r>
      <w:r>
        <w:rPr>
          <w:iCs/>
          <w:i/>
        </w:rPr>
        <w:t xml:space="preserve">Fertil Steril</w:t>
      </w:r>
      <w:r>
        <w:t xml:space="preserve"> </w:t>
      </w:r>
      <w:r>
        <w:t xml:space="preserve">· Effect of long-term intranasal oxytocin on sexual dysfunction in premenopausal and postmenopausal women: a randomized trial. PMID 26151620</w:t>
      </w:r>
    </w:p>
    <w:p>
      <w:pPr>
        <w:numPr>
          <w:ilvl w:val="0"/>
          <w:numId w:val="1419"/>
        </w:numPr>
        <w:pStyle w:val="Compact"/>
      </w:pPr>
      <w:r>
        <w:t xml:space="preserve">2015 · Huang Y ·</w:t>
      </w:r>
      <w:r>
        <w:t xml:space="preserve"> </w:t>
      </w:r>
      <w:r>
        <w:rPr>
          <w:iCs/>
          <w:i/>
        </w:rPr>
        <w:t xml:space="preserve">Psychoneuroendocrinology</w:t>
      </w:r>
      <w:r>
        <w:t xml:space="preserve"> </w:t>
      </w:r>
      <w:r>
        <w:t xml:space="preserve">· Oxytocin enhances implicit social conformity to both in-group and out-group opinions. PMID 26143536</w:t>
      </w:r>
    </w:p>
    <w:p>
      <w:pPr>
        <w:numPr>
          <w:ilvl w:val="0"/>
          <w:numId w:val="1419"/>
        </w:numPr>
        <w:pStyle w:val="Compact"/>
      </w:pPr>
      <w:r>
        <w:t xml:space="preserve">2015 · Bartz JA ·</w:t>
      </w:r>
      <w:r>
        <w:t xml:space="preserve"> </w:t>
      </w:r>
      <w:r>
        <w:rPr>
          <w:iCs/>
          <w:i/>
        </w:rPr>
        <w:t xml:space="preserve">Psychol Sci</w:t>
      </w:r>
      <w:r>
        <w:t xml:space="preserve"> </w:t>
      </w:r>
      <w:r>
        <w:t xml:space="preserve">· Differential Effects of Oxytocin on Agency and Communion for Anxiously and Avoidantly Attached Individuals. PMID 26122122</w:t>
      </w:r>
    </w:p>
    <w:p>
      <w:pPr>
        <w:numPr>
          <w:ilvl w:val="0"/>
          <w:numId w:val="1419"/>
        </w:numPr>
        <w:pStyle w:val="Compact"/>
      </w:pPr>
      <w:r>
        <w:t xml:space="preserve">2015 · Wirth MM ·</w:t>
      </w:r>
      <w:r>
        <w:t xml:space="preserve"> </w:t>
      </w:r>
      <w:r>
        <w:rPr>
          <w:iCs/>
          <w:i/>
        </w:rPr>
        <w:t xml:space="preserve">Neuropsychobiology</w:t>
      </w:r>
      <w:r>
        <w:t xml:space="preserve"> </w:t>
      </w:r>
      <w:r>
        <w:t xml:space="preserve">· Effects of intranasal oxytocin on steroid hormones in men and women. PMID 26044829</w:t>
      </w:r>
    </w:p>
    <w:p>
      <w:pPr>
        <w:numPr>
          <w:ilvl w:val="0"/>
          <w:numId w:val="1419"/>
        </w:numPr>
        <w:pStyle w:val="Compact"/>
      </w:pPr>
      <w:r>
        <w:t xml:space="preserve">2015 · Feng C ·</w:t>
      </w:r>
      <w:r>
        <w:t xml:space="preserve"> </w:t>
      </w:r>
      <w:r>
        <w:rPr>
          <w:iCs/>
          <w:i/>
        </w:rPr>
        <w:t xml:space="preserve">Neuropsychologia</w:t>
      </w:r>
      <w:r>
        <w:t xml:space="preserve"> </w:t>
      </w:r>
      <w:r>
        <w:t xml:space="preserve">· Neuroticism modulates the effects of intranasal vasopressin treatment on the neural response to positive and negative social interactions. PMID 25979609</w:t>
      </w:r>
    </w:p>
    <w:p>
      <w:pPr>
        <w:numPr>
          <w:ilvl w:val="0"/>
          <w:numId w:val="1419"/>
        </w:numPr>
        <w:pStyle w:val="Compact"/>
      </w:pPr>
      <w:r>
        <w:t xml:space="preserve">2015 · Lawson EA ·</w:t>
      </w:r>
      <w:r>
        <w:t xml:space="preserve"> </w:t>
      </w:r>
      <w:r>
        <w:rPr>
          <w:iCs/>
          <w:i/>
        </w:rPr>
        <w:t xml:space="preserve">Obesity (Silver Spring)</w:t>
      </w:r>
      <w:r>
        <w:t xml:space="preserve"> </w:t>
      </w:r>
      <w:r>
        <w:t xml:space="preserve">· Oxytocin reduces caloric intake in men. PMID 25865294</w:t>
      </w:r>
    </w:p>
    <w:p>
      <w:pPr>
        <w:numPr>
          <w:ilvl w:val="0"/>
          <w:numId w:val="1419"/>
        </w:numPr>
        <w:pStyle w:val="Compact"/>
      </w:pPr>
      <w:r>
        <w:t xml:space="preserve">2015 · Acheson DT ·</w:t>
      </w:r>
      <w:r>
        <w:t xml:space="preserve"> </w:t>
      </w:r>
      <w:r>
        <w:rPr>
          <w:iCs/>
          <w:i/>
        </w:rPr>
        <w:t xml:space="preserve">Depress Anxiety</w:t>
      </w:r>
      <w:r>
        <w:t xml:space="preserve"> </w:t>
      </w:r>
      <w:r>
        <w:t xml:space="preserve">· Intranasal oxytocin administration prior to exposure therapy for arachnophobia impedes treatment response. PMID 25826649</w:t>
      </w:r>
    </w:p>
    <w:p>
      <w:pPr>
        <w:numPr>
          <w:ilvl w:val="0"/>
          <w:numId w:val="1419"/>
        </w:numPr>
        <w:pStyle w:val="Compact"/>
      </w:pPr>
      <w:r>
        <w:t xml:space="preserve">2015 · Auyeung B ·</w:t>
      </w:r>
      <w:r>
        <w:t xml:space="preserve"> </w:t>
      </w:r>
      <w:r>
        <w:rPr>
          <w:iCs/>
          <w:i/>
        </w:rPr>
        <w:t xml:space="preserve">Transl Psychiatry</w:t>
      </w:r>
      <w:r>
        <w:t xml:space="preserve"> </w:t>
      </w:r>
      <w:r>
        <w:t xml:space="preserve">· Oxytocin increases eye contact during a real-time, naturalistic social interaction in males with and without autism. PMID 25668435</w:t>
      </w:r>
    </w:p>
    <w:p>
      <w:pPr>
        <w:numPr>
          <w:ilvl w:val="0"/>
          <w:numId w:val="1419"/>
        </w:numPr>
        <w:pStyle w:val="Compact"/>
      </w:pPr>
      <w:r>
        <w:t xml:space="preserve">2015 · Shin NY ·</w:t>
      </w:r>
      <w:r>
        <w:t xml:space="preserve"> </w:t>
      </w:r>
      <w:r>
        <w:rPr>
          <w:iCs/>
          <w:i/>
        </w:rPr>
        <w:t xml:space="preserve">Neuropsychopharmacology</w:t>
      </w:r>
      <w:r>
        <w:t xml:space="preserve"> </w:t>
      </w:r>
      <w:r>
        <w:t xml:space="preserve">· Effects of Oxytocin on Neural Response to Facial Expressions in Patients with Schizophrenia. PMID 25666311</w:t>
      </w:r>
    </w:p>
    <w:p>
      <w:pPr>
        <w:numPr>
          <w:ilvl w:val="0"/>
          <w:numId w:val="1419"/>
        </w:numPr>
        <w:pStyle w:val="Compact"/>
      </w:pPr>
      <w:r>
        <w:t xml:space="preserve">2015 · Zunhammer M ·</w:t>
      </w:r>
      <w:r>
        <w:t xml:space="preserve"> </w:t>
      </w:r>
      <w:r>
        <w:rPr>
          <w:iCs/>
          <w:i/>
        </w:rPr>
        <w:t xml:space="preserve">Psychosom Med</w:t>
      </w:r>
      <w:r>
        <w:t xml:space="preserve"> </w:t>
      </w:r>
      <w:r>
        <w:t xml:space="preserve">· Effects of intranasal oxytocin on thermal pain in healthy men: a randomized functional magnetic resonance imaging study. PMID 25647754</w:t>
      </w:r>
    </w:p>
    <w:p>
      <w:pPr>
        <w:numPr>
          <w:ilvl w:val="0"/>
          <w:numId w:val="1419"/>
        </w:numPr>
        <w:pStyle w:val="Compact"/>
      </w:pPr>
      <w:r>
        <w:t xml:space="preserve">2015 · Woolley JD ·</w:t>
      </w:r>
      <w:r>
        <w:t xml:space="preserve"> </w:t>
      </w:r>
      <w:r>
        <w:rPr>
          <w:iCs/>
          <w:i/>
        </w:rPr>
        <w:t xml:space="preserve">Psychoneuroendocrinology</w:t>
      </w:r>
      <w:r>
        <w:t xml:space="preserve"> </w:t>
      </w:r>
      <w:r>
        <w:t xml:space="preserve">· Oxytocin administration selectively improves olfactory detection thresholds for lyral in patients with schizophrenia. PMID 25637811</w:t>
      </w:r>
    </w:p>
    <w:p>
      <w:pPr>
        <w:numPr>
          <w:ilvl w:val="0"/>
          <w:numId w:val="1419"/>
        </w:numPr>
        <w:pStyle w:val="Compact"/>
      </w:pPr>
      <w:r>
        <w:t xml:space="preserve">2015 · Brüne M ·</w:t>
      </w:r>
      <w:r>
        <w:t xml:space="preserve"> </w:t>
      </w:r>
      <w:r>
        <w:rPr>
          <w:iCs/>
          <w:i/>
        </w:rPr>
        <w:t xml:space="preserve">J Nerv Ment Dis</w:t>
      </w:r>
      <w:r>
        <w:t xml:space="preserve"> </w:t>
      </w:r>
      <w:r>
        <w:t xml:space="preserve">· Nonverbal communication of patients with borderline personality disorder during clinical interviews: a double-blind placebo-controlled study using intranasal oxytocin. PMID 25594788</w:t>
      </w:r>
    </w:p>
    <w:p>
      <w:pPr>
        <w:numPr>
          <w:ilvl w:val="0"/>
          <w:numId w:val="1419"/>
        </w:numPr>
        <w:pStyle w:val="Compact"/>
      </w:pPr>
      <w:r>
        <w:t xml:space="preserve">2015 · Gregory R ·</w:t>
      </w:r>
      <w:r>
        <w:t xml:space="preserve"> </w:t>
      </w:r>
      <w:r>
        <w:rPr>
          <w:iCs/>
          <w:i/>
        </w:rPr>
        <w:t xml:space="preserve">Horm Behav</w:t>
      </w:r>
      <w:r>
        <w:t xml:space="preserve"> </w:t>
      </w:r>
      <w:r>
        <w:t xml:space="preserve">· Oxytocin increases VTA activation to infant and sexual stimuli in nulliparous and postpartum women. PMID 25562711</w:t>
      </w:r>
    </w:p>
    <w:p>
      <w:pPr>
        <w:numPr>
          <w:ilvl w:val="0"/>
          <w:numId w:val="1419"/>
        </w:numPr>
        <w:pStyle w:val="Compact"/>
      </w:pPr>
      <w:r>
        <w:t xml:space="preserve">2015 · Finger EC ·</w:t>
      </w:r>
      <w:r>
        <w:t xml:space="preserve"> </w:t>
      </w:r>
      <w:r>
        <w:rPr>
          <w:iCs/>
          <w:i/>
        </w:rPr>
        <w:t xml:space="preserve">Neurology</w:t>
      </w:r>
      <w:r>
        <w:t xml:space="preserve"> </w:t>
      </w:r>
      <w:r>
        <w:t xml:space="preserve">· Oxytocin for frontotemporal dementia: a randomized dose-finding study of safety and tolerability. PMID 25503617</w:t>
      </w:r>
    </w:p>
    <w:p>
      <w:pPr>
        <w:numPr>
          <w:ilvl w:val="0"/>
          <w:numId w:val="1419"/>
        </w:numPr>
        <w:pStyle w:val="Compact"/>
      </w:pPr>
      <w:r>
        <w:t xml:space="preserve">2015 · Edelson MG ·</w:t>
      </w:r>
      <w:r>
        <w:t xml:space="preserve"> </w:t>
      </w:r>
      <w:r>
        <w:rPr>
          <w:iCs/>
          <w:i/>
        </w:rPr>
        <w:t xml:space="preserve">Neuropsychopharmacology</w:t>
      </w:r>
      <w:r>
        <w:t xml:space="preserve"> </w:t>
      </w:r>
      <w:r>
        <w:t xml:space="preserve">· Opposing effects of oxytocin on overt compliance and lasting changes to memory. PMID 25308350</w:t>
      </w:r>
    </w:p>
    <w:p>
      <w:pPr>
        <w:numPr>
          <w:ilvl w:val="0"/>
          <w:numId w:val="1419"/>
        </w:numPr>
        <w:pStyle w:val="Compact"/>
      </w:pPr>
      <w:r>
        <w:t xml:space="preserve">2015 · Scantamburlo G ·</w:t>
      </w:r>
      <w:r>
        <w:t xml:space="preserve"> </w:t>
      </w:r>
      <w:r>
        <w:rPr>
          <w:iCs/>
          <w:i/>
        </w:rPr>
        <w:t xml:space="preserve">Eur Psychiatry</w:t>
      </w:r>
      <w:r>
        <w:t xml:space="preserve"> </w:t>
      </w:r>
      <w:r>
        <w:t xml:space="preserve">· Additional intranasal oxytocin to escitalopram improves depressive symptoms in resistant depression: an open trial. PMID 25282363</w:t>
      </w:r>
    </w:p>
    <w:p>
      <w:pPr>
        <w:numPr>
          <w:ilvl w:val="0"/>
          <w:numId w:val="1419"/>
        </w:numPr>
        <w:pStyle w:val="Compact"/>
      </w:pPr>
      <w:r>
        <w:t xml:space="preserve">2015 · Guastella AJ ·</w:t>
      </w:r>
      <w:r>
        <w:t xml:space="preserve"> </w:t>
      </w:r>
      <w:r>
        <w:rPr>
          <w:iCs/>
          <w:i/>
        </w:rPr>
        <w:t xml:space="preserve">J Child Psychol Psychiatry</w:t>
      </w:r>
      <w:r>
        <w:t xml:space="preserve"> </w:t>
      </w:r>
      <w:r>
        <w:t xml:space="preserve">· The effects of a course of intranasal oxytocin on social behaviors in youth diagnosed with autism spectrum disorders: a randomized controlled trial. PMID 25087908</w:t>
      </w:r>
    </w:p>
    <w:p>
      <w:pPr>
        <w:numPr>
          <w:ilvl w:val="0"/>
          <w:numId w:val="1419"/>
        </w:numPr>
        <w:pStyle w:val="Compact"/>
      </w:pPr>
      <w:r>
        <w:t xml:space="preserve">2015 · Aoki Y ·</w:t>
      </w:r>
      <w:r>
        <w:t xml:space="preserve"> </w:t>
      </w:r>
      <w:r>
        <w:rPr>
          <w:iCs/>
          <w:i/>
        </w:rPr>
        <w:t xml:space="preserve">Mol Psychiatry</w:t>
      </w:r>
      <w:r>
        <w:t xml:space="preserve"> </w:t>
      </w:r>
      <w:r>
        <w:t xml:space="preserve">· Oxytocin’s neurochemical effects in the medial prefrontal cortex underlie recovery of task-specific brain activity in autism: a randomized controlled trial. PMID 25070538</w:t>
      </w:r>
    </w:p>
    <w:p>
      <w:pPr>
        <w:numPr>
          <w:ilvl w:val="0"/>
          <w:numId w:val="1419"/>
        </w:numPr>
        <w:pStyle w:val="Compact"/>
      </w:pPr>
      <w:r>
        <w:t xml:space="preserve">2014 · Kumar J ·</w:t>
      </w:r>
      <w:r>
        <w:t xml:space="preserve"> </w:t>
      </w:r>
      <w:r>
        <w:rPr>
          <w:iCs/>
          <w:i/>
        </w:rPr>
        <w:t xml:space="preserve">Int J Neuropsychopharmacol</w:t>
      </w:r>
      <w:r>
        <w:t xml:space="preserve"> </w:t>
      </w:r>
      <w:r>
        <w:t xml:space="preserve">· Oxytocin affects the connectivity of the precuneus and the amygdala: a randomized, double-blinded, placebo-controlled neuroimaging trial. PMID 25522395</w:t>
      </w:r>
    </w:p>
    <w:p>
      <w:pPr>
        <w:numPr>
          <w:ilvl w:val="0"/>
          <w:numId w:val="1419"/>
        </w:numPr>
        <w:pStyle w:val="Compact"/>
      </w:pPr>
      <w:r>
        <w:t xml:space="preserve">2014 · Colonnello V ·</w:t>
      </w:r>
      <w:r>
        <w:t xml:space="preserve"> </w:t>
      </w:r>
      <w:r>
        <w:rPr>
          <w:iCs/>
          <w:i/>
        </w:rPr>
        <w:t xml:space="preserve">J Psychosom Res</w:t>
      </w:r>
      <w:r>
        <w:t xml:space="preserve"> </w:t>
      </w:r>
      <w:r>
        <w:t xml:space="preserve">· Intranasal oxytocin enhances positive self-attribution in healthy men. PMID 25439340</w:t>
      </w:r>
    </w:p>
    <w:p>
      <w:pPr>
        <w:numPr>
          <w:ilvl w:val="0"/>
          <w:numId w:val="1419"/>
        </w:numPr>
        <w:pStyle w:val="Compact"/>
      </w:pPr>
      <w:r>
        <w:t xml:space="preserve">2014 · Horta de Macedo LR ·</w:t>
      </w:r>
      <w:r>
        <w:t xml:space="preserve"> </w:t>
      </w:r>
      <w:r>
        <w:rPr>
          <w:iCs/>
          <w:i/>
        </w:rPr>
        <w:t xml:space="preserve">Psychiatry Res</w:t>
      </w:r>
      <w:r>
        <w:t xml:space="preserve"> </w:t>
      </w:r>
      <w:r>
        <w:t xml:space="preserve">· Oxytocin does not improve performance of patients with schizophrenia and healthy volunteers in a facial emotion matching task. PMID 25190346</w:t>
      </w:r>
    </w:p>
    <w:p>
      <w:pPr>
        <w:numPr>
          <w:ilvl w:val="0"/>
          <w:numId w:val="1419"/>
        </w:numPr>
        <w:pStyle w:val="Compact"/>
      </w:pPr>
      <w:r>
        <w:t xml:space="preserve">2014 · Lee MR ·</w:t>
      </w:r>
      <w:r>
        <w:t xml:space="preserve"> </w:t>
      </w:r>
      <w:r>
        <w:rPr>
          <w:iCs/>
          <w:i/>
        </w:rPr>
        <w:t xml:space="preserve">Eur Neuropsychopharmacol</w:t>
      </w:r>
      <w:r>
        <w:t xml:space="preserve"> </w:t>
      </w:r>
      <w:r>
        <w:t xml:space="preserve">· Complexity of oxytocin׳s effects in a chronic cocaine dependent population. PMID 25044050</w:t>
      </w:r>
    </w:p>
    <w:p>
      <w:pPr>
        <w:numPr>
          <w:ilvl w:val="0"/>
          <w:numId w:val="1419"/>
        </w:numPr>
        <w:pStyle w:val="Compact"/>
      </w:pPr>
      <w:r>
        <w:t xml:space="preserve">2014 · Woolley JD ·</w:t>
      </w:r>
      <w:r>
        <w:t xml:space="preserve"> </w:t>
      </w:r>
      <w:r>
        <w:rPr>
          <w:iCs/>
          <w:i/>
        </w:rPr>
        <w:t xml:space="preserve">Psychoneuroendocrinology</w:t>
      </w:r>
      <w:r>
        <w:t xml:space="preserve"> </w:t>
      </w:r>
      <w:r>
        <w:t xml:space="preserve">· Oxytocin administration enhances controlled social cognition in patients with schizophrenia. PMID 25001961</w:t>
      </w:r>
    </w:p>
    <w:p>
      <w:pPr>
        <w:numPr>
          <w:ilvl w:val="0"/>
          <w:numId w:val="1419"/>
        </w:numPr>
        <w:pStyle w:val="Compact"/>
      </w:pPr>
      <w:r>
        <w:t xml:space="preserve">2014 · Einfeld SL ·</w:t>
      </w:r>
      <w:r>
        <w:t xml:space="preserve"> </w:t>
      </w:r>
      <w:r>
        <w:rPr>
          <w:iCs/>
          <w:i/>
        </w:rPr>
        <w:t xml:space="preserve">Am J Med Genet A</w:t>
      </w:r>
      <w:r>
        <w:t xml:space="preserve"> </w:t>
      </w:r>
      <w:r>
        <w:t xml:space="preserve">· A double-blind randomized controlled trial of oxytocin nasal spray in Prader Willi syndrome. PMID 24980612</w:t>
      </w:r>
    </w:p>
    <w:p>
      <w:pPr>
        <w:numPr>
          <w:ilvl w:val="0"/>
          <w:numId w:val="1419"/>
        </w:numPr>
        <w:pStyle w:val="Compact"/>
      </w:pPr>
      <w:r>
        <w:t xml:space="preserve">2014 · Rash JA ·</w:t>
      </w:r>
      <w:r>
        <w:t xml:space="preserve"> </w:t>
      </w:r>
      <w:r>
        <w:rPr>
          <w:iCs/>
          <w:i/>
        </w:rPr>
        <w:t xml:space="preserve">Psychosom Med</w:t>
      </w:r>
      <w:r>
        <w:t xml:space="preserve"> </w:t>
      </w:r>
      <w:r>
        <w:t xml:space="preserve">· The effect of intranasal oxytocin administration on acute cold pressor pain: a placebo-controlled, double-blind, within-participants crossover investigation. PMID 24979580</w:t>
      </w:r>
    </w:p>
    <w:p>
      <w:pPr>
        <w:numPr>
          <w:ilvl w:val="0"/>
          <w:numId w:val="1419"/>
        </w:numPr>
        <w:pStyle w:val="Compact"/>
      </w:pPr>
      <w:r>
        <w:t xml:space="preserve">2014 · Bhandari R ·</w:t>
      </w:r>
      <w:r>
        <w:t xml:space="preserve"> </w:t>
      </w:r>
      <w:r>
        <w:rPr>
          <w:iCs/>
          <w:i/>
        </w:rPr>
        <w:t xml:space="preserve">Soc Neurosci</w:t>
      </w:r>
      <w:r>
        <w:t xml:space="preserve"> </w:t>
      </w:r>
      <w:r>
        <w:t xml:space="preserve">· Effects of intranasal oxytocin administration on memory for infant cues: moderation by childhood emotional maltreatment. PMID 24968101</w:t>
      </w:r>
    </w:p>
    <w:p>
      <w:pPr>
        <w:numPr>
          <w:ilvl w:val="0"/>
          <w:numId w:val="1419"/>
        </w:numPr>
        <w:pStyle w:val="Compact"/>
      </w:pPr>
      <w:r>
        <w:t xml:space="preserve">2014 · Yao S ·</w:t>
      </w:r>
      <w:r>
        <w:t xml:space="preserve"> </w:t>
      </w:r>
      <w:r>
        <w:rPr>
          <w:iCs/>
          <w:i/>
        </w:rPr>
        <w:t xml:space="preserve">Int J Neuropsychopharmacol</w:t>
      </w:r>
      <w:r>
        <w:t xml:space="preserve"> </w:t>
      </w:r>
      <w:r>
        <w:t xml:space="preserve">· Oxytocin makes females, but not males, less forgiving following betrayal of trust. PMID 24916520</w:t>
      </w:r>
    </w:p>
    <w:p>
      <w:pPr>
        <w:numPr>
          <w:ilvl w:val="0"/>
          <w:numId w:val="1419"/>
        </w:numPr>
        <w:pStyle w:val="Compact"/>
      </w:pPr>
      <w:r>
        <w:t xml:space="preserve">2014 · Hoge EA ·</w:t>
      </w:r>
      <w:r>
        <w:t xml:space="preserve"> </w:t>
      </w:r>
      <w:r>
        <w:rPr>
          <w:iCs/>
          <w:i/>
        </w:rPr>
        <w:t xml:space="preserve">Hum Psychopharmacol</w:t>
      </w:r>
      <w:r>
        <w:t xml:space="preserve"> </w:t>
      </w:r>
      <w:r>
        <w:t xml:space="preserve">· Gender moderates the effect of oxytocin on social judgments. PMID 24911580</w:t>
      </w:r>
    </w:p>
    <w:p>
      <w:pPr>
        <w:numPr>
          <w:ilvl w:val="0"/>
          <w:numId w:val="1419"/>
        </w:numPr>
        <w:pStyle w:val="Compact"/>
      </w:pPr>
      <w:r>
        <w:t xml:space="preserve">2014 · Kirkpatrick MG ·</w:t>
      </w:r>
      <w:r>
        <w:t xml:space="preserve"> </w:t>
      </w:r>
      <w:r>
        <w:rPr>
          <w:iCs/>
          <w:i/>
        </w:rPr>
        <w:t xml:space="preserve">Psychoneuroendocrinology</w:t>
      </w:r>
      <w:r>
        <w:t xml:space="preserve"> </w:t>
      </w:r>
      <w:r>
        <w:t xml:space="preserve">· Plasma oxytocin concentrations following MDMA or intranasal oxytocin in humans. PMID 24882155</w:t>
      </w:r>
    </w:p>
    <w:p>
      <w:pPr>
        <w:numPr>
          <w:ilvl w:val="0"/>
          <w:numId w:val="1419"/>
        </w:numPr>
        <w:pStyle w:val="Compact"/>
      </w:pPr>
      <w:r>
        <w:t xml:space="preserve">2014 · Gibson CM ·</w:t>
      </w:r>
      <w:r>
        <w:t xml:space="preserve"> </w:t>
      </w:r>
      <w:r>
        <w:rPr>
          <w:iCs/>
          <w:i/>
        </w:rPr>
        <w:t xml:space="preserve">Schizophr Res</w:t>
      </w:r>
      <w:r>
        <w:t xml:space="preserve"> </w:t>
      </w:r>
      <w:r>
        <w:t xml:space="preserve">· A pilot six-week randomized controlled trial of oxytocin on social cognition and social skills in schizophrenia. PMID 24799299</w:t>
      </w:r>
    </w:p>
    <w:p>
      <w:pPr>
        <w:numPr>
          <w:ilvl w:val="0"/>
          <w:numId w:val="1419"/>
        </w:numPr>
        <w:pStyle w:val="Compact"/>
      </w:pPr>
      <w:r>
        <w:t xml:space="preserve">2014 · Frijling JL ·</w:t>
      </w:r>
      <w:r>
        <w:t xml:space="preserve"> </w:t>
      </w:r>
      <w:r>
        <w:rPr>
          <w:iCs/>
          <w:i/>
        </w:rPr>
        <w:t xml:space="preserve">BMC Psychiatry</w:t>
      </w:r>
      <w:r>
        <w:t xml:space="preserve"> </w:t>
      </w:r>
      <w:r>
        <w:t xml:space="preserve">· Efficacy of oxytocin administration early after psychotrauma in preventing the development of PTSD: study protocol of a randomized controlled trial. PMID 24679046</w:t>
      </w:r>
    </w:p>
    <w:p>
      <w:pPr>
        <w:numPr>
          <w:ilvl w:val="0"/>
          <w:numId w:val="1419"/>
        </w:numPr>
        <w:pStyle w:val="Compact"/>
      </w:pPr>
      <w:r>
        <w:t xml:space="preserve">2014 · Davis MC ·</w:t>
      </w:r>
      <w:r>
        <w:t xml:space="preserve"> </w:t>
      </w:r>
      <w:r>
        <w:rPr>
          <w:iCs/>
          <w:i/>
        </w:rPr>
        <w:t xml:space="preserve">Neuropsychopharmacology</w:t>
      </w:r>
      <w:r>
        <w:t xml:space="preserve"> </w:t>
      </w:r>
      <w:r>
        <w:t xml:space="preserve">· Oxytocin-augmented social cognitive skills training in schizophrenia. PMID 24637803</w:t>
      </w:r>
    </w:p>
    <w:p>
      <w:pPr>
        <w:numPr>
          <w:ilvl w:val="0"/>
          <w:numId w:val="1419"/>
        </w:numPr>
        <w:pStyle w:val="Compact"/>
      </w:pPr>
      <w:r>
        <w:t xml:space="preserve">2014 · Kim YR ·</w:t>
      </w:r>
      <w:r>
        <w:t xml:space="preserve"> </w:t>
      </w:r>
      <w:r>
        <w:rPr>
          <w:iCs/>
          <w:i/>
        </w:rPr>
        <w:t xml:space="preserve">PLoS One</w:t>
      </w:r>
      <w:r>
        <w:t xml:space="preserve"> </w:t>
      </w:r>
      <w:r>
        <w:t xml:space="preserve">· The impact of intranasal oxytocin on attention to social emotional stimuli in patients with anorexia nervosa: a double blind within-subject cross-over experiment. PMID 24603863</w:t>
      </w:r>
    </w:p>
    <w:p>
      <w:pPr>
        <w:numPr>
          <w:ilvl w:val="0"/>
          <w:numId w:val="1419"/>
        </w:numPr>
        <w:pStyle w:val="Compact"/>
      </w:pPr>
      <w:r>
        <w:t xml:space="preserve">2014 · Behnia B ·</w:t>
      </w:r>
      <w:r>
        <w:t xml:space="preserve"> </w:t>
      </w:r>
      <w:r>
        <w:rPr>
          <w:iCs/>
          <w:i/>
        </w:rPr>
        <w:t xml:space="preserve">Horm Behav</w:t>
      </w:r>
      <w:r>
        <w:t xml:space="preserve"> </w:t>
      </w:r>
      <w:r>
        <w:t xml:space="preserve">· Differential effects of intranasal oxytocin on sexual experiences and partner interactions in couples. PMID 24503174</w:t>
      </w:r>
    </w:p>
    <w:p>
      <w:pPr>
        <w:numPr>
          <w:ilvl w:val="0"/>
          <w:numId w:val="1419"/>
        </w:numPr>
        <w:pStyle w:val="Compact"/>
      </w:pPr>
      <w:r>
        <w:t xml:space="preserve">2014 · Riem MM ·</w:t>
      </w:r>
      <w:r>
        <w:t xml:space="preserve"> </w:t>
      </w:r>
      <w:r>
        <w:rPr>
          <w:iCs/>
          <w:i/>
        </w:rPr>
        <w:t xml:space="preserve">Prog Neuropsychopharmacol Biol Psychiatry</w:t>
      </w:r>
      <w:r>
        <w:t xml:space="preserve"> </w:t>
      </w:r>
      <w:r>
        <w:t xml:space="preserve">· Oxytocin effects on mind-reading are moderated by experiences of maternal love withdrawal: an fMRI study. PMID 24486563</w:t>
      </w:r>
    </w:p>
    <w:p>
      <w:pPr>
        <w:numPr>
          <w:ilvl w:val="0"/>
          <w:numId w:val="1419"/>
        </w:numPr>
        <w:pStyle w:val="Compact"/>
      </w:pPr>
      <w:r>
        <w:t xml:space="preserve">2014 · Kirkpatrick MG ·</w:t>
      </w:r>
      <w:r>
        <w:t xml:space="preserve"> </w:t>
      </w:r>
      <w:r>
        <w:rPr>
          <w:iCs/>
          <w:i/>
        </w:rPr>
        <w:t xml:space="preserve">Neuropsychopharmacology</w:t>
      </w:r>
      <w:r>
        <w:t xml:space="preserve"> </w:t>
      </w:r>
      <w:r>
        <w:t xml:space="preserve">· Effects of MDMA and Intranasal oxytocin on social and emotional processing. PMID 24448644</w:t>
      </w:r>
    </w:p>
    <w:p>
      <w:pPr>
        <w:numPr>
          <w:ilvl w:val="0"/>
          <w:numId w:val="1419"/>
        </w:numPr>
        <w:pStyle w:val="Compact"/>
      </w:pPr>
      <w:r>
        <w:t xml:space="preserve">2014 · Cardoso C ·</w:t>
      </w:r>
      <w:r>
        <w:t xml:space="preserve"> </w:t>
      </w:r>
      <w:r>
        <w:rPr>
          <w:iCs/>
          <w:i/>
        </w:rPr>
        <w:t xml:space="preserve">Soc Neurosci</w:t>
      </w:r>
      <w:r>
        <w:t xml:space="preserve"> </w:t>
      </w:r>
      <w:r>
        <w:t xml:space="preserve">· Oxytocin and enhancement of the positive valence of social affiliation memories: an autobiographical memory study. PMID 24387003</w:t>
      </w:r>
    </w:p>
    <w:p>
      <w:pPr>
        <w:numPr>
          <w:ilvl w:val="0"/>
          <w:numId w:val="1419"/>
        </w:numPr>
        <w:pStyle w:val="Compact"/>
      </w:pPr>
      <w:r>
        <w:t xml:space="preserve">2014 · Watanabe T ·</w:t>
      </w:r>
      <w:r>
        <w:t xml:space="preserve"> </w:t>
      </w:r>
      <w:r>
        <w:rPr>
          <w:iCs/>
          <w:i/>
        </w:rPr>
        <w:t xml:space="preserve">JAMA Psychiatry</w:t>
      </w:r>
      <w:r>
        <w:t xml:space="preserve"> </w:t>
      </w:r>
      <w:r>
        <w:t xml:space="preserve">· Mitigation of sociocommunicational deficits of autism through oxytocin-induced recovery of medial prefrontal activity: a randomized trial. PMID 24352377</w:t>
      </w:r>
    </w:p>
    <w:p>
      <w:pPr>
        <w:numPr>
          <w:ilvl w:val="0"/>
          <w:numId w:val="1419"/>
        </w:numPr>
        <w:pStyle w:val="Compact"/>
      </w:pPr>
      <w:r>
        <w:t xml:space="preserve">2014 · Cardoso C ·</w:t>
      </w:r>
      <w:r>
        <w:t xml:space="preserve"> </w:t>
      </w:r>
      <w:r>
        <w:rPr>
          <w:iCs/>
          <w:i/>
        </w:rPr>
        <w:t xml:space="preserve">Emotion</w:t>
      </w:r>
      <w:r>
        <w:t xml:space="preserve"> </w:t>
      </w:r>
      <w:r>
        <w:t xml:space="preserve">· The effect of intranasal oxytocin on perceiving and understanding emotion on the Mayer-Salovey-Caruso Emotional Intelligence Test (MSCEIT). PMID 24188065</w:t>
      </w:r>
    </w:p>
    <w:p>
      <w:pPr>
        <w:numPr>
          <w:ilvl w:val="0"/>
          <w:numId w:val="1419"/>
        </w:numPr>
        <w:pStyle w:val="Compact"/>
      </w:pPr>
      <w:r>
        <w:t xml:space="preserve">2014 · Rilling JK ·</w:t>
      </w:r>
      <w:r>
        <w:t xml:space="preserve"> </w:t>
      </w:r>
      <w:r>
        <w:rPr>
          <w:iCs/>
          <w:i/>
        </w:rPr>
        <w:t xml:space="preserve">Psychoneuroendocrinology</w:t>
      </w:r>
      <w:r>
        <w:t xml:space="preserve"> </w:t>
      </w:r>
      <w:r>
        <w:t xml:space="preserve">· Sex differences in the neural and behavioral response to intranasal oxytocin and vasopressin during human social interaction. PMID 24157401</w:t>
      </w:r>
    </w:p>
    <w:p>
      <w:pPr>
        <w:numPr>
          <w:ilvl w:val="0"/>
          <w:numId w:val="1419"/>
        </w:numPr>
        <w:pStyle w:val="Compact"/>
      </w:pPr>
      <w:r>
        <w:t xml:space="preserve">2014 · Domes G ·</w:t>
      </w:r>
      <w:r>
        <w:t xml:space="preserve"> </w:t>
      </w:r>
      <w:r>
        <w:rPr>
          <w:iCs/>
          <w:i/>
        </w:rPr>
        <w:t xml:space="preserve">Neuropsychopharmacology</w:t>
      </w:r>
      <w:r>
        <w:t xml:space="preserve"> </w:t>
      </w:r>
      <w:r>
        <w:t xml:space="preserve">· Oxytocin promotes facial emotion recognition and amygdala reactivity in adults with asperger syndrome. PMID 24067301</w:t>
      </w:r>
    </w:p>
    <w:p>
      <w:pPr>
        <w:numPr>
          <w:ilvl w:val="0"/>
          <w:numId w:val="1419"/>
        </w:numPr>
        <w:pStyle w:val="Compact"/>
      </w:pPr>
      <w:r>
        <w:t xml:space="preserve">2014 · Dadds MR ·</w:t>
      </w:r>
      <w:r>
        <w:t xml:space="preserve"> </w:t>
      </w:r>
      <w:r>
        <w:rPr>
          <w:iCs/>
          <w:i/>
        </w:rPr>
        <w:t xml:space="preserve">J Autism Dev Disord</w:t>
      </w:r>
      <w:r>
        <w:t xml:space="preserve"> </w:t>
      </w:r>
      <w:r>
        <w:t xml:space="preserve">· Nasal oxytocin for social deficits in childhood autism: a randomized controlled trial. PMID 23888359</w:t>
      </w:r>
    </w:p>
    <w:p>
      <w:pPr>
        <w:numPr>
          <w:ilvl w:val="0"/>
          <w:numId w:val="1419"/>
        </w:numPr>
        <w:pStyle w:val="Compact"/>
      </w:pPr>
      <w:r>
        <w:t xml:space="preserve">2014 · Rupp HA ·</w:t>
      </w:r>
      <w:r>
        <w:t xml:space="preserve"> </w:t>
      </w:r>
      <w:r>
        <w:rPr>
          <w:iCs/>
          <w:i/>
        </w:rPr>
        <w:t xml:space="preserve">Soc Cogn Affect Neurosci</w:t>
      </w:r>
      <w:r>
        <w:t xml:space="preserve"> </w:t>
      </w:r>
      <w:r>
        <w:t xml:space="preserve">· Amygdala response to negative images in postpartum vs nulliparous women and intranasal oxytocin. PMID 22956670</w:t>
      </w:r>
    </w:p>
    <w:p>
      <w:pPr>
        <w:numPr>
          <w:ilvl w:val="0"/>
          <w:numId w:val="1419"/>
        </w:numPr>
        <w:pStyle w:val="Compact"/>
      </w:pPr>
      <w:r>
        <w:t xml:space="preserve">2013 · Striepens N ·</w:t>
      </w:r>
      <w:r>
        <w:t xml:space="preserve"> </w:t>
      </w:r>
      <w:r>
        <w:rPr>
          <w:iCs/>
          <w:i/>
        </w:rPr>
        <w:t xml:space="preserve">Sci Rep</w:t>
      </w:r>
      <w:r>
        <w:t xml:space="preserve"> </w:t>
      </w:r>
      <w:r>
        <w:t xml:space="preserve">· Elevated cerebrospinal fluid and blood concentrations of oxytocin following its intranasal administration in humans. PMID 24310737</w:t>
      </w:r>
    </w:p>
    <w:p>
      <w:pPr>
        <w:numPr>
          <w:ilvl w:val="0"/>
          <w:numId w:val="1419"/>
        </w:numPr>
        <w:pStyle w:val="Compact"/>
      </w:pPr>
      <w:r>
        <w:t xml:space="preserve">2013 · Montag C ·</w:t>
      </w:r>
      <w:r>
        <w:t xml:space="preserve"> </w:t>
      </w:r>
      <w:r>
        <w:rPr>
          <w:iCs/>
          <w:i/>
        </w:rPr>
        <w:t xml:space="preserve">Eur Arch Psychiatry Clin Neurosci</w:t>
      </w:r>
      <w:r>
        <w:t xml:space="preserve"> </w:t>
      </w:r>
      <w:r>
        <w:t xml:space="preserve">· An interaction between oxytocin and a genetic variation of the oxytocin receptor modulates amygdala activity toward direct gaze: evidence from a pharmacological imaging genetics study. PMID 24071915</w:t>
      </w:r>
    </w:p>
    <w:p>
      <w:pPr>
        <w:numPr>
          <w:ilvl w:val="0"/>
          <w:numId w:val="1419"/>
        </w:numPr>
        <w:pStyle w:val="Compact"/>
      </w:pPr>
      <w:r>
        <w:t xml:space="preserve">2013 · Ebert A ·</w:t>
      </w:r>
      <w:r>
        <w:t xml:space="preserve"> </w:t>
      </w:r>
      <w:r>
        <w:rPr>
          <w:iCs/>
          <w:i/>
        </w:rPr>
        <w:t xml:space="preserve">Soc Neurosci</w:t>
      </w:r>
      <w:r>
        <w:t xml:space="preserve"> </w:t>
      </w:r>
      <w:r>
        <w:t xml:space="preserve">· Modulation of interpersonal trust in borderline personality disorder by intranasal oxytocin and childhood trauma. PMID 23802121</w:t>
      </w:r>
    </w:p>
    <w:p>
      <w:pPr>
        <w:numPr>
          <w:ilvl w:val="0"/>
          <w:numId w:val="1419"/>
        </w:numPr>
        <w:pStyle w:val="Compact"/>
      </w:pPr>
      <w:r>
        <w:t xml:space="preserve">2013 · Cardoso C ·</w:t>
      </w:r>
      <w:r>
        <w:t xml:space="preserve"> </w:t>
      </w:r>
      <w:r>
        <w:rPr>
          <w:iCs/>
          <w:i/>
        </w:rPr>
        <w:t xml:space="preserve">Psychoneuroendocrinology</w:t>
      </w:r>
      <w:r>
        <w:t xml:space="preserve"> </w:t>
      </w:r>
      <w:r>
        <w:t xml:space="preserve">· Stress-induced negative mood moderates the relation between oxytocin administration and trust: evidence for the tend-and-befriend response to stress?. PMID 23768973</w:t>
      </w:r>
    </w:p>
    <w:p>
      <w:pPr>
        <w:numPr>
          <w:ilvl w:val="0"/>
          <w:numId w:val="1419"/>
        </w:numPr>
        <w:pStyle w:val="Compact"/>
      </w:pPr>
      <w:r>
        <w:t xml:space="preserve">2013 · Zhang H ·</w:t>
      </w:r>
      <w:r>
        <w:t xml:space="preserve"> </w:t>
      </w:r>
      <w:r>
        <w:rPr>
          <w:iCs/>
          <w:i/>
        </w:rPr>
        <w:t xml:space="preserve">PLoS One</w:t>
      </w:r>
      <w:r>
        <w:t xml:space="preserve"> </w:t>
      </w:r>
      <w:r>
        <w:t xml:space="preserve">· Treatment of obesity and diabetes using oxytocin or analogs in patients and mouse models. PMID 23700406</w:t>
      </w:r>
    </w:p>
    <w:p>
      <w:pPr>
        <w:numPr>
          <w:ilvl w:val="0"/>
          <w:numId w:val="1419"/>
        </w:numPr>
        <w:pStyle w:val="Compact"/>
      </w:pPr>
      <w:r>
        <w:t xml:space="preserve">2013 · Davis MC ·</w:t>
      </w:r>
      <w:r>
        <w:t xml:space="preserve"> </w:t>
      </w:r>
      <w:r>
        <w:rPr>
          <w:iCs/>
          <w:i/>
        </w:rPr>
        <w:t xml:space="preserve">Schizophr Res</w:t>
      </w:r>
      <w:r>
        <w:t xml:space="preserve"> </w:t>
      </w:r>
      <w:r>
        <w:t xml:space="preserve">· Effects of single dose intranasal oxytocin on social cognition in schizophrenia. PMID 23676253</w:t>
      </w:r>
    </w:p>
    <w:p>
      <w:pPr>
        <w:numPr>
          <w:ilvl w:val="0"/>
          <w:numId w:val="1419"/>
        </w:numPr>
        <w:pStyle w:val="Compact"/>
      </w:pPr>
      <w:r>
        <w:t xml:space="preserve">2013 · Acheson D ·</w:t>
      </w:r>
      <w:r>
        <w:t xml:space="preserve"> </w:t>
      </w:r>
      <w:r>
        <w:rPr>
          <w:iCs/>
          <w:i/>
        </w:rPr>
        <w:t xml:space="preserve">Psychopharmacology (Berl)</w:t>
      </w:r>
      <w:r>
        <w:t xml:space="preserve"> </w:t>
      </w:r>
      <w:r>
        <w:t xml:space="preserve">· The effect of intranasal oxytocin treatment on conditioned fear extinction and recall in a healthy human sample. PMID 23644911</w:t>
      </w:r>
    </w:p>
    <w:p>
      <w:pPr>
        <w:numPr>
          <w:ilvl w:val="0"/>
          <w:numId w:val="1419"/>
        </w:numPr>
        <w:pStyle w:val="Compact"/>
      </w:pPr>
      <w:r>
        <w:t xml:space="preserve">2013 · Prehn K ·</w:t>
      </w:r>
      <w:r>
        <w:t xml:space="preserve"> </w:t>
      </w:r>
      <w:r>
        <w:rPr>
          <w:iCs/>
          <w:i/>
        </w:rPr>
        <w:t xml:space="preserve">Psychophysiology</w:t>
      </w:r>
      <w:r>
        <w:t xml:space="preserve"> </w:t>
      </w:r>
      <w:r>
        <w:t xml:space="preserve">· Effects of intranasal oxytocin on pupil dilation indicate increased salience of socioaffective stimuli. PMID 23551070</w:t>
      </w:r>
    </w:p>
    <w:p>
      <w:pPr>
        <w:numPr>
          <w:ilvl w:val="0"/>
          <w:numId w:val="1419"/>
        </w:numPr>
        <w:pStyle w:val="Compact"/>
      </w:pPr>
      <w:r>
        <w:t xml:space="preserve">2013 · Domes G ·</w:t>
      </w:r>
      <w:r>
        <w:t xml:space="preserve"> </w:t>
      </w:r>
      <w:r>
        <w:rPr>
          <w:iCs/>
          <w:i/>
        </w:rPr>
        <w:t xml:space="preserve">Biol Psychiatry</w:t>
      </w:r>
      <w:r>
        <w:t xml:space="preserve"> </w:t>
      </w:r>
      <w:r>
        <w:t xml:space="preserve">· Effects of intranasal oxytocin on the neural basis of face processing in autism spectrum disorder. PMID 23510581</w:t>
      </w:r>
    </w:p>
    <w:p>
      <w:pPr>
        <w:numPr>
          <w:ilvl w:val="0"/>
          <w:numId w:val="1419"/>
        </w:numPr>
        <w:pStyle w:val="Compact"/>
      </w:pPr>
      <w:r>
        <w:t xml:space="preserve">2013 · Tachibana M ·</w:t>
      </w:r>
      <w:r>
        <w:t xml:space="preserve"> </w:t>
      </w:r>
      <w:r>
        <w:rPr>
          <w:iCs/>
          <w:i/>
        </w:rPr>
        <w:t xml:space="preserve">J Child Adolesc Psychopharmacol</w:t>
      </w:r>
      <w:r>
        <w:t xml:space="preserve"> </w:t>
      </w:r>
      <w:r>
        <w:t xml:space="preserve">· Long-term administration of intranasal oxytocin is a safe and promising therapy for early adolescent boys with autism spectrum disorders. PMID 23480321</w:t>
      </w:r>
    </w:p>
    <w:p>
      <w:pPr>
        <w:numPr>
          <w:ilvl w:val="0"/>
          <w:numId w:val="1419"/>
        </w:numPr>
        <w:pStyle w:val="Compact"/>
      </w:pPr>
      <w:r>
        <w:t xml:space="preserve">2013 · Theodoridou A ·</w:t>
      </w:r>
      <w:r>
        <w:t xml:space="preserve"> </w:t>
      </w:r>
      <w:r>
        <w:rPr>
          <w:iCs/>
          <w:i/>
        </w:rPr>
        <w:t xml:space="preserve">PLoS One</w:t>
      </w:r>
      <w:r>
        <w:t xml:space="preserve"> </w:t>
      </w:r>
      <w:r>
        <w:t xml:space="preserve">· A direct examination of the effect of intranasal administration of oxytocin on approach-avoidance motor responses to emotional stimuli. PMID 23469148</w:t>
      </w:r>
    </w:p>
    <w:p>
      <w:pPr>
        <w:numPr>
          <w:ilvl w:val="0"/>
          <w:numId w:val="1419"/>
        </w:numPr>
        <w:pStyle w:val="Compact"/>
      </w:pPr>
      <w:r>
        <w:t xml:space="preserve">2013 · Groppe SE ·</w:t>
      </w:r>
      <w:r>
        <w:t xml:space="preserve"> </w:t>
      </w:r>
      <w:r>
        <w:rPr>
          <w:iCs/>
          <w:i/>
        </w:rPr>
        <w:t xml:space="preserve">Biol Psychiatry</w:t>
      </w:r>
      <w:r>
        <w:t xml:space="preserve"> </w:t>
      </w:r>
      <w:r>
        <w:t xml:space="preserve">· Oxytocin influences processing of socially relevant cues in the ventral tegmental area of the human brain. PMID 23419544</w:t>
      </w:r>
    </w:p>
    <w:p>
      <w:pPr>
        <w:numPr>
          <w:ilvl w:val="0"/>
          <w:numId w:val="1419"/>
        </w:numPr>
        <w:pStyle w:val="Compact"/>
      </w:pPr>
      <w:r>
        <w:t xml:space="preserve">2013 · Lee MR ·</w:t>
      </w:r>
      <w:r>
        <w:t xml:space="preserve"> </w:t>
      </w:r>
      <w:r>
        <w:rPr>
          <w:iCs/>
          <w:i/>
        </w:rPr>
        <w:t xml:space="preserve">Schizophr Res</w:t>
      </w:r>
      <w:r>
        <w:t xml:space="preserve"> </w:t>
      </w:r>
      <w:r>
        <w:t xml:space="preserve">· Effects of adjunctive intranasal oxytocin on olfactory identification and clinical symptoms in schizophrenia: results from a randomized double blind placebo controlled pilot study. PMID 23415472</w:t>
      </w:r>
    </w:p>
    <w:p>
      <w:pPr>
        <w:numPr>
          <w:ilvl w:val="0"/>
          <w:numId w:val="1419"/>
        </w:numPr>
        <w:pStyle w:val="Compact"/>
      </w:pPr>
      <w:r>
        <w:t xml:space="preserve">2013 · Riem MM ·</w:t>
      </w:r>
      <w:r>
        <w:t xml:space="preserve"> </w:t>
      </w:r>
      <w:r>
        <w:rPr>
          <w:iCs/>
          <w:i/>
        </w:rPr>
        <w:t xml:space="preserve">Psychoneuroendocrinology</w:t>
      </w:r>
      <w:r>
        <w:t xml:space="preserve"> </w:t>
      </w:r>
      <w:r>
        <w:t xml:space="preserve">· Does intranasal oxytocin promote prosocial behavior to an excluded fellow player? A randomized-controlled trial with Cyberball. PMID 23352229</w:t>
      </w:r>
    </w:p>
    <w:p>
      <w:pPr>
        <w:numPr>
          <w:ilvl w:val="0"/>
          <w:numId w:val="1419"/>
        </w:numPr>
        <w:pStyle w:val="Compact"/>
      </w:pPr>
      <w:r>
        <w:t xml:space="preserve">2013 · Weigand A ·</w:t>
      </w:r>
      <w:r>
        <w:t xml:space="preserve"> </w:t>
      </w:r>
      <w:r>
        <w:rPr>
          <w:iCs/>
          <w:i/>
        </w:rPr>
        <w:t xml:space="preserve">Psychopharmacology (Berl)</w:t>
      </w:r>
      <w:r>
        <w:t xml:space="preserve"> </w:t>
      </w:r>
      <w:r>
        <w:t xml:space="preserve">· Effects of intranasal oxytocin prior to encoding and retrieval on recognition memory. PMID 23334103</w:t>
      </w:r>
    </w:p>
    <w:p>
      <w:pPr>
        <w:numPr>
          <w:ilvl w:val="0"/>
          <w:numId w:val="1419"/>
        </w:numPr>
        <w:pStyle w:val="Compact"/>
      </w:pPr>
      <w:r>
        <w:t xml:space="preserve">2013 · Modabbernia A ·</w:t>
      </w:r>
      <w:r>
        <w:t xml:space="preserve"> </w:t>
      </w:r>
      <w:r>
        <w:rPr>
          <w:iCs/>
          <w:i/>
        </w:rPr>
        <w:t xml:space="preserve">CNS Drugs</w:t>
      </w:r>
      <w:r>
        <w:t xml:space="preserve"> </w:t>
      </w:r>
      <w:r>
        <w:t xml:space="preserve">· Intranasal oxytocin as an adjunct to risperidone in patients with schizophrenia : an 8-week, randomized, double-blind, placebo-controlled study. PMID 23233269</w:t>
      </w:r>
    </w:p>
    <w:p>
      <w:pPr>
        <w:numPr>
          <w:ilvl w:val="0"/>
          <w:numId w:val="1419"/>
        </w:numPr>
        <w:pStyle w:val="Compact"/>
      </w:pPr>
      <w:r>
        <w:t xml:space="preserve">2013 · Huffmeijer R ·</w:t>
      </w:r>
      <w:r>
        <w:t xml:space="preserve"> </w:t>
      </w:r>
      <w:r>
        <w:rPr>
          <w:iCs/>
          <w:i/>
        </w:rPr>
        <w:t xml:space="preserve">Horm Behav</w:t>
      </w:r>
      <w:r>
        <w:t xml:space="preserve"> </w:t>
      </w:r>
      <w:r>
        <w:t xml:space="preserve">· The impact of oxytocin administration and maternal love withdrawal on event-related potential (ERP) responses to emotional faces with performance feedback. PMID 23159479</w:t>
      </w:r>
    </w:p>
    <w:p>
      <w:pPr>
        <w:numPr>
          <w:ilvl w:val="0"/>
          <w:numId w:val="1419"/>
        </w:numPr>
        <w:pStyle w:val="Compact"/>
      </w:pPr>
      <w:r>
        <w:t xml:space="preserve">2013 · Domes G ·</w:t>
      </w:r>
      <w:r>
        <w:t xml:space="preserve"> </w:t>
      </w:r>
      <w:r>
        <w:rPr>
          <w:iCs/>
          <w:i/>
        </w:rPr>
        <w:t xml:space="preserve">Psychol Med</w:t>
      </w:r>
      <w:r>
        <w:t xml:space="preserve"> </w:t>
      </w:r>
      <w:r>
        <w:t xml:space="preserve">· Intranasal oxytocin increases covert attention to positive social cues. PMID 23146328</w:t>
      </w:r>
    </w:p>
    <w:p>
      <w:pPr>
        <w:numPr>
          <w:ilvl w:val="0"/>
          <w:numId w:val="1419"/>
        </w:numPr>
        <w:pStyle w:val="Compact"/>
      </w:pPr>
      <w:r>
        <w:t xml:space="preserve">2013 · Mah BL ·</w:t>
      </w:r>
      <w:r>
        <w:t xml:space="preserve"> </w:t>
      </w:r>
      <w:r>
        <w:rPr>
          <w:iCs/>
          <w:i/>
        </w:rPr>
        <w:t xml:space="preserve">Prog Neuropsychopharmacol Biol Psychiatry</w:t>
      </w:r>
      <w:r>
        <w:t xml:space="preserve"> </w:t>
      </w:r>
      <w:r>
        <w:t xml:space="preserve">· Oxytocin in postnatally depressed mothers: its influence on mood and expressed emotion. PMID 23085508</w:t>
      </w:r>
    </w:p>
    <w:p>
      <w:pPr>
        <w:numPr>
          <w:ilvl w:val="0"/>
          <w:numId w:val="1419"/>
        </w:numPr>
        <w:pStyle w:val="Compact"/>
      </w:pPr>
      <w:r>
        <w:t xml:space="preserve">2013 · Pedersen CA ·</w:t>
      </w:r>
      <w:r>
        <w:t xml:space="preserve"> </w:t>
      </w:r>
      <w:r>
        <w:rPr>
          <w:iCs/>
          <w:i/>
        </w:rPr>
        <w:t xml:space="preserve">Alcohol Clin Exp Res</w:t>
      </w:r>
      <w:r>
        <w:t xml:space="preserve"> </w:t>
      </w:r>
      <w:r>
        <w:t xml:space="preserve">· Intranasal oxytocin blocks alcohol withdrawal in human subjects. PMID 23025690</w:t>
      </w:r>
    </w:p>
    <w:p>
      <w:pPr>
        <w:numPr>
          <w:ilvl w:val="0"/>
          <w:numId w:val="1419"/>
        </w:numPr>
        <w:pStyle w:val="Compact"/>
      </w:pPr>
      <w:r>
        <w:t xml:space="preserve">2013 · Ellenbogen MA ·</w:t>
      </w:r>
      <w:r>
        <w:t xml:space="preserve"> </w:t>
      </w:r>
      <w:r>
        <w:rPr>
          <w:iCs/>
          <w:i/>
        </w:rPr>
        <w:t xml:space="preserve">Psychoneuroendocrinology</w:t>
      </w:r>
      <w:r>
        <w:t xml:space="preserve"> </w:t>
      </w:r>
      <w:r>
        <w:t xml:space="preserve">· Intranasal oxytocin impedes the ability to ignore task-irrelevant facial expressions of sadness in students with depressive symptoms. PMID 22902063</w:t>
      </w:r>
    </w:p>
    <w:p>
      <w:pPr>
        <w:numPr>
          <w:ilvl w:val="0"/>
          <w:numId w:val="1419"/>
        </w:numPr>
        <w:pStyle w:val="Compact"/>
      </w:pPr>
      <w:r>
        <w:t xml:space="preserve">2013 · Cardoso C ·</w:t>
      </w:r>
      <w:r>
        <w:t xml:space="preserve"> </w:t>
      </w:r>
      <w:r>
        <w:rPr>
          <w:iCs/>
          <w:i/>
        </w:rPr>
        <w:t xml:space="preserve">Psychoneuroendocrinology</w:t>
      </w:r>
      <w:r>
        <w:t xml:space="preserve"> </w:t>
      </w:r>
      <w:r>
        <w:t xml:space="preserve">· Intranasal oxytocin attenuates the cortisol response to physical stress: a dose-response study. PMID 22889586</w:t>
      </w:r>
    </w:p>
    <w:p>
      <w:pPr>
        <w:numPr>
          <w:ilvl w:val="0"/>
          <w:numId w:val="1419"/>
        </w:numPr>
        <w:pStyle w:val="Compact"/>
      </w:pPr>
      <w:r>
        <w:t xml:space="preserve">2013 · Ditzen B ·</w:t>
      </w:r>
      <w:r>
        <w:t xml:space="preserve"> </w:t>
      </w:r>
      <w:r>
        <w:rPr>
          <w:iCs/>
          <w:i/>
        </w:rPr>
        <w:t xml:space="preserve">Soc Cogn Affect Neurosci</w:t>
      </w:r>
      <w:r>
        <w:t xml:space="preserve"> </w:t>
      </w:r>
      <w:r>
        <w:t xml:space="preserve">· Sex-specific effects of intranasal oxytocin on autonomic nervous system and emotional responses to couple conflict. PMID 22842905</w:t>
      </w:r>
    </w:p>
    <w:p>
      <w:pPr>
        <w:numPr>
          <w:ilvl w:val="0"/>
          <w:numId w:val="1419"/>
        </w:numPr>
        <w:pStyle w:val="Compact"/>
      </w:pPr>
      <w:r>
        <w:t xml:space="preserve">2013 · Leknes S ·</w:t>
      </w:r>
      <w:r>
        <w:t xml:space="preserve"> </w:t>
      </w:r>
      <w:r>
        <w:rPr>
          <w:iCs/>
          <w:i/>
        </w:rPr>
        <w:t xml:space="preserve">Soc Cogn Affect Neurosci</w:t>
      </w:r>
      <w:r>
        <w:t xml:space="preserve"> </w:t>
      </w:r>
      <w:r>
        <w:t xml:space="preserve">· Oxytocin enhances pupil dilation and sensitivity to</w:t>
      </w:r>
      <w:r>
        <w:t xml:space="preserve"> </w:t>
      </w:r>
      <w:r>
        <w:t xml:space="preserve">‘</w:t>
      </w:r>
      <w:r>
        <w:t xml:space="preserve">hidden</w:t>
      </w:r>
      <w:r>
        <w:t xml:space="preserve">’</w:t>
      </w:r>
      <w:r>
        <w:t xml:space="preserve"> </w:t>
      </w:r>
      <w:r>
        <w:t xml:space="preserve">emotional expressions. PMID 22648957</w:t>
      </w:r>
    </w:p>
    <w:p>
      <w:pPr>
        <w:numPr>
          <w:ilvl w:val="0"/>
          <w:numId w:val="1419"/>
        </w:numPr>
        <w:pStyle w:val="Compact"/>
      </w:pPr>
      <w:r>
        <w:t xml:space="preserve">2013 · Krueger F ·</w:t>
      </w:r>
      <w:r>
        <w:t xml:space="preserve"> </w:t>
      </w:r>
      <w:r>
        <w:rPr>
          <w:iCs/>
          <w:i/>
        </w:rPr>
        <w:t xml:space="preserve">Soc Cogn Affect Neurosci</w:t>
      </w:r>
      <w:r>
        <w:t xml:space="preserve"> </w:t>
      </w:r>
      <w:r>
        <w:t xml:space="preserve">· Oxytocin selectively increases perceptions of harm for victims but not the desire to punish offenders of criminal offenses. PMID 22368214</w:t>
      </w:r>
    </w:p>
    <w:p>
      <w:pPr>
        <w:numPr>
          <w:ilvl w:val="0"/>
          <w:numId w:val="1419"/>
        </w:numPr>
        <w:pStyle w:val="Compact"/>
      </w:pPr>
      <w:r>
        <w:t xml:space="preserve">2012 · Feifel D ·</w:t>
      </w:r>
      <w:r>
        <w:t xml:space="preserve"> </w:t>
      </w:r>
      <w:r>
        <w:rPr>
          <w:iCs/>
          <w:i/>
        </w:rPr>
        <w:t xml:space="preserve">Schizophr Res</w:t>
      </w:r>
      <w:r>
        <w:t xml:space="preserve"> </w:t>
      </w:r>
      <w:r>
        <w:t xml:space="preserve">· Adjunctive intranasal oxytocin improves verbal memory in people with schizophrenia. PMID 22682705</w:t>
      </w:r>
    </w:p>
    <w:p>
      <w:pPr>
        <w:numPr>
          <w:ilvl w:val="0"/>
          <w:numId w:val="1419"/>
        </w:numPr>
        <w:pStyle w:val="Compact"/>
      </w:pPr>
      <w:r>
        <w:t xml:space="preserve">2012 · Huffmeijer R ·</w:t>
      </w:r>
      <w:r>
        <w:t xml:space="preserve"> </w:t>
      </w:r>
      <w:r>
        <w:rPr>
          <w:iCs/>
          <w:i/>
        </w:rPr>
        <w:t xml:space="preserve">Neuro Endocrinol Lett</w:t>
      </w:r>
      <w:r>
        <w:t xml:space="preserve"> </w:t>
      </w:r>
      <w:r>
        <w:t xml:space="preserve">· Salivary levels of oxytocin remain elevated for more than two hours after intranasal oxytocin administration. PMID 22467107</w:t>
      </w:r>
    </w:p>
    <w:p>
      <w:pPr>
        <w:numPr>
          <w:ilvl w:val="0"/>
          <w:numId w:val="1419"/>
        </w:numPr>
        <w:pStyle w:val="Compact"/>
      </w:pPr>
      <w:r>
        <w:t xml:space="preserve">2012 · Weisman O ·</w:t>
      </w:r>
      <w:r>
        <w:t xml:space="preserve"> </w:t>
      </w:r>
      <w:r>
        <w:rPr>
          <w:iCs/>
          <w:i/>
        </w:rPr>
        <w:t xml:space="preserve">Psychoneuroendocrinology</w:t>
      </w:r>
      <w:r>
        <w:t xml:space="preserve"> </w:t>
      </w:r>
      <w:r>
        <w:t xml:space="preserve">· Intranasal oxytocin administration is reflected in human saliva. PMID 22436536</w:t>
      </w:r>
    </w:p>
    <w:p>
      <w:pPr>
        <w:numPr>
          <w:ilvl w:val="0"/>
          <w:numId w:val="1419"/>
        </w:numPr>
        <w:pStyle w:val="Compact"/>
      </w:pPr>
      <w:r>
        <w:t xml:space="preserve">2012 · Riem MM ·</w:t>
      </w:r>
      <w:r>
        <w:t xml:space="preserve"> </w:t>
      </w:r>
      <w:r>
        <w:rPr>
          <w:iCs/>
          <w:i/>
        </w:rPr>
        <w:t xml:space="preserve">Neuropsychopharmacology</w:t>
      </w:r>
      <w:r>
        <w:t xml:space="preserve"> </w:t>
      </w:r>
      <w:r>
        <w:t xml:space="preserve">· No laughing matter: intranasal oxytocin administration changes functional brain connectivity during exposure to infant laughter. PMID 22189289</w:t>
      </w:r>
    </w:p>
    <w:p>
      <w:pPr>
        <w:numPr>
          <w:ilvl w:val="0"/>
          <w:numId w:val="1419"/>
        </w:numPr>
        <w:pStyle w:val="Compact"/>
      </w:pPr>
      <w:r>
        <w:t xml:space="preserve">2012 · De Dreu CK ·</w:t>
      </w:r>
      <w:r>
        <w:t xml:space="preserve"> </w:t>
      </w:r>
      <w:r>
        <w:rPr>
          <w:iCs/>
          <w:i/>
        </w:rPr>
        <w:t xml:space="preserve">Psychoneuroendocrinology</w:t>
      </w:r>
      <w:r>
        <w:t xml:space="preserve"> </w:t>
      </w:r>
      <w:r>
        <w:t xml:space="preserve">· Oxytocin modulates the link between adult attachment and cooperation through reduced betrayal aversion. PMID 22055739</w:t>
      </w:r>
    </w:p>
    <w:p>
      <w:pPr>
        <w:numPr>
          <w:ilvl w:val="0"/>
          <w:numId w:val="1419"/>
        </w:numPr>
        <w:pStyle w:val="Compact"/>
      </w:pPr>
      <w:r>
        <w:t xml:space="preserve">2012 · Linnen AM ·</w:t>
      </w:r>
      <w:r>
        <w:t xml:space="preserve"> </w:t>
      </w:r>
      <w:r>
        <w:rPr>
          <w:iCs/>
          <w:i/>
        </w:rPr>
        <w:t xml:space="preserve">Stress</w:t>
      </w:r>
      <w:r>
        <w:t xml:space="preserve"> </w:t>
      </w:r>
      <w:r>
        <w:t xml:space="preserve">· Intranasal oxytocin and salivary cortisol concentrations during social rejection in university students. PMID 22044077</w:t>
      </w:r>
    </w:p>
    <w:p>
      <w:pPr>
        <w:numPr>
          <w:ilvl w:val="0"/>
          <w:numId w:val="1419"/>
        </w:numPr>
        <w:pStyle w:val="Compact"/>
      </w:pPr>
      <w:r>
        <w:t xml:space="preserve">2012 · Cardoso C ·</w:t>
      </w:r>
      <w:r>
        <w:t xml:space="preserve"> </w:t>
      </w:r>
      <w:r>
        <w:rPr>
          <w:iCs/>
          <w:i/>
        </w:rPr>
        <w:t xml:space="preserve">Psychopharmacology (Berl)</w:t>
      </w:r>
      <w:r>
        <w:t xml:space="preserve"> </w:t>
      </w:r>
      <w:r>
        <w:t xml:space="preserve">· Acute intranasal oxytocin improves positive self-perceptions of personality. PMID 22012170</w:t>
      </w:r>
    </w:p>
    <w:p>
      <w:pPr>
        <w:numPr>
          <w:ilvl w:val="0"/>
          <w:numId w:val="1419"/>
        </w:numPr>
        <w:pStyle w:val="Compact"/>
      </w:pPr>
      <w:r>
        <w:t xml:space="preserve">2012 · Cardoso C ·</w:t>
      </w:r>
      <w:r>
        <w:t xml:space="preserve"> </w:t>
      </w:r>
      <w:r>
        <w:rPr>
          <w:iCs/>
          <w:i/>
        </w:rPr>
        <w:t xml:space="preserve">Exp Clin Psychopharmacol</w:t>
      </w:r>
      <w:r>
        <w:t xml:space="preserve"> </w:t>
      </w:r>
      <w:r>
        <w:t xml:space="preserve">· Coping style moderates the effect of intranasal oxytocin on the mood response to interpersonal stress. PMID 21988218</w:t>
      </w:r>
    </w:p>
    <w:p>
      <w:pPr>
        <w:numPr>
          <w:ilvl w:val="0"/>
          <w:numId w:val="1419"/>
        </w:numPr>
        <w:pStyle w:val="Compact"/>
      </w:pPr>
      <w:r>
        <w:t xml:space="preserve">2012 · Hall SS ·</w:t>
      </w:r>
      <w:r>
        <w:t xml:space="preserve"> </w:t>
      </w:r>
      <w:r>
        <w:rPr>
          <w:iCs/>
          <w:i/>
        </w:rPr>
        <w:t xml:space="preserve">Psychoneuroendocrinology</w:t>
      </w:r>
      <w:r>
        <w:t xml:space="preserve"> </w:t>
      </w:r>
      <w:r>
        <w:t xml:space="preserve">· Effects of intranasal oxytocin on social anxiety in males with fragile X syndrome. PMID 21862226</w:t>
      </w:r>
    </w:p>
    <w:p>
      <w:pPr>
        <w:numPr>
          <w:ilvl w:val="0"/>
          <w:numId w:val="1419"/>
        </w:numPr>
        <w:pStyle w:val="Compact"/>
      </w:pPr>
      <w:r>
        <w:t xml:space="preserve">2012 · Lischke A ·</w:t>
      </w:r>
      <w:r>
        <w:t xml:space="preserve"> </w:t>
      </w:r>
      <w:r>
        <w:rPr>
          <w:iCs/>
          <w:i/>
        </w:rPr>
        <w:t xml:space="preserve">Psychoneuroendocrinology</w:t>
      </w:r>
      <w:r>
        <w:t xml:space="preserve"> </w:t>
      </w:r>
      <w:r>
        <w:t xml:space="preserve">· Intranasal oxytocin enhances emotion recognition from dynamic facial expressions and leaves eye-gaze unaffected. PMID 21862223</w:t>
      </w:r>
    </w:p>
    <w:p>
      <w:pPr>
        <w:numPr>
          <w:ilvl w:val="0"/>
          <w:numId w:val="1419"/>
        </w:numPr>
        <w:pStyle w:val="Compact"/>
      </w:pPr>
      <w:r>
        <w:t xml:space="preserve">2012 · Rilling JK ·</w:t>
      </w:r>
      <w:r>
        <w:t xml:space="preserve"> </w:t>
      </w:r>
      <w:r>
        <w:rPr>
          <w:iCs/>
          <w:i/>
        </w:rPr>
        <w:t xml:space="preserve">Psychoneuroendocrinology</w:t>
      </w:r>
      <w:r>
        <w:t xml:space="preserve"> </w:t>
      </w:r>
      <w:r>
        <w:t xml:space="preserve">· Effects of intranasal oxytocin and vasopressin on cooperative behavior and associated brain activity in men. PMID 21840129</w:t>
      </w:r>
    </w:p>
    <w:p>
      <w:pPr>
        <w:numPr>
          <w:ilvl w:val="0"/>
          <w:numId w:val="1419"/>
        </w:numPr>
        <w:pStyle w:val="Compact"/>
      </w:pPr>
      <w:r>
        <w:t xml:space="preserve">2011 · Jesso S ·</w:t>
      </w:r>
      <w:r>
        <w:t xml:space="preserve"> </w:t>
      </w:r>
      <w:r>
        <w:rPr>
          <w:iCs/>
          <w:i/>
        </w:rPr>
        <w:t xml:space="preserve">Brain</w:t>
      </w:r>
      <w:r>
        <w:t xml:space="preserve"> </w:t>
      </w:r>
      <w:r>
        <w:t xml:space="preserve">· The effects of oxytocin on social cognition and behaviour in frontotemporal dementia. PMID 21859765</w:t>
      </w:r>
    </w:p>
    <w:p>
      <w:pPr>
        <w:numPr>
          <w:ilvl w:val="0"/>
          <w:numId w:val="1419"/>
        </w:numPr>
        <w:pStyle w:val="Compact"/>
      </w:pPr>
      <w:r>
        <w:t xml:space="preserve">2011 · Pedersen CA ·</w:t>
      </w:r>
      <w:r>
        <w:t xml:space="preserve"> </w:t>
      </w:r>
      <w:r>
        <w:rPr>
          <w:iCs/>
          <w:i/>
        </w:rPr>
        <w:t xml:space="preserve">Schizophr Res</w:t>
      </w:r>
      <w:r>
        <w:t xml:space="preserve"> </w:t>
      </w:r>
      <w:r>
        <w:t xml:space="preserve">· Intranasal oxytocin reduces psychotic symptoms and improves Theory of Mind and social perception in schizophrenia. PMID 21840177</w:t>
      </w:r>
    </w:p>
    <w:p>
      <w:pPr>
        <w:numPr>
          <w:ilvl w:val="0"/>
          <w:numId w:val="1419"/>
        </w:numPr>
        <w:pStyle w:val="Compact"/>
      </w:pPr>
      <w:r>
        <w:t xml:space="preserve">2011 · Rockliff H ·</w:t>
      </w:r>
      <w:r>
        <w:t xml:space="preserve"> </w:t>
      </w:r>
      <w:r>
        <w:rPr>
          <w:iCs/>
          <w:i/>
        </w:rPr>
        <w:t xml:space="preserve">Emotion</w:t>
      </w:r>
      <w:r>
        <w:t xml:space="preserve"> </w:t>
      </w:r>
      <w:r>
        <w:t xml:space="preserve">· Effects of intranasal oxytocin on</w:t>
      </w:r>
      <w:r>
        <w:t xml:space="preserve"> </w:t>
      </w:r>
      <w:r>
        <w:t xml:space="preserve">‘</w:t>
      </w:r>
      <w:r>
        <w:t xml:space="preserve">compassion focused imagery</w:t>
      </w:r>
      <w:r>
        <w:t xml:space="preserve">’</w:t>
      </w:r>
      <w:r>
        <w:t xml:space="preserve">. PMID 21707149</w:t>
      </w:r>
    </w:p>
    <w:p>
      <w:pPr>
        <w:numPr>
          <w:ilvl w:val="0"/>
          <w:numId w:val="1419"/>
        </w:numPr>
        <w:pStyle w:val="Compact"/>
      </w:pPr>
      <w:r>
        <w:t xml:space="preserve">2011 · Simeon D ·</w:t>
      </w:r>
      <w:r>
        <w:t xml:space="preserve"> </w:t>
      </w:r>
      <w:r>
        <w:rPr>
          <w:iCs/>
          <w:i/>
        </w:rPr>
        <w:t xml:space="preserve">Psychoneuroendocrinology</w:t>
      </w:r>
      <w:r>
        <w:t xml:space="preserve"> </w:t>
      </w:r>
      <w:r>
        <w:t xml:space="preserve">· Oxytocin administration attenuates stress reactivity in borderline personality disorder: a pilot study. PMID 21546164</w:t>
      </w:r>
    </w:p>
    <w:p>
      <w:pPr>
        <w:numPr>
          <w:ilvl w:val="0"/>
          <w:numId w:val="1419"/>
        </w:numPr>
        <w:pStyle w:val="Compact"/>
      </w:pPr>
      <w:r>
        <w:t xml:space="preserve">2011 · Schulze L ·</w:t>
      </w:r>
      <w:r>
        <w:t xml:space="preserve"> </w:t>
      </w:r>
      <w:r>
        <w:rPr>
          <w:iCs/>
          <w:i/>
        </w:rPr>
        <w:t xml:space="preserve">Psychoneuroendocrinology</w:t>
      </w:r>
      <w:r>
        <w:t xml:space="preserve"> </w:t>
      </w:r>
      <w:r>
        <w:t xml:space="preserve">· Oxytocin increases recognition of masked emotional faces. PMID 21477929</w:t>
      </w:r>
    </w:p>
    <w:p>
      <w:pPr>
        <w:numPr>
          <w:ilvl w:val="0"/>
          <w:numId w:val="1419"/>
        </w:numPr>
        <w:pStyle w:val="Compact"/>
      </w:pPr>
      <w:r>
        <w:t xml:space="preserve">2011 · Goldman MB ·</w:t>
      </w:r>
      <w:r>
        <w:t xml:space="preserve"> </w:t>
      </w:r>
      <w:r>
        <w:rPr>
          <w:iCs/>
          <w:i/>
        </w:rPr>
        <w:t xml:space="preserve">Psychopharmacology (Berl)</w:t>
      </w:r>
      <w:r>
        <w:t xml:space="preserve"> </w:t>
      </w:r>
      <w:r>
        <w:t xml:space="preserve">· Divergent effects of two different doses of intranasal oxytocin on facial affect discrimination in schizophrenic patients with and without polydipsia. PMID 21301811</w:t>
      </w:r>
    </w:p>
    <w:p>
      <w:pPr>
        <w:numPr>
          <w:ilvl w:val="0"/>
          <w:numId w:val="1419"/>
        </w:numPr>
        <w:pStyle w:val="Compact"/>
      </w:pPr>
      <w:r>
        <w:t xml:space="preserve">2011 · Quirin M ·</w:t>
      </w:r>
      <w:r>
        <w:t xml:space="preserve"> </w:t>
      </w:r>
      <w:r>
        <w:rPr>
          <w:iCs/>
          <w:i/>
        </w:rPr>
        <w:t xml:space="preserve">Psychoneuroendocrinology</w:t>
      </w:r>
      <w:r>
        <w:t xml:space="preserve"> </w:t>
      </w:r>
      <w:r>
        <w:t xml:space="preserve">· Oxytocin buffers cortisol responses to stress in individuals with impaired emotion regulation abilities. PMID 21208748</w:t>
      </w:r>
    </w:p>
    <w:p>
      <w:pPr>
        <w:numPr>
          <w:ilvl w:val="0"/>
          <w:numId w:val="1419"/>
        </w:numPr>
        <w:pStyle w:val="Compact"/>
      </w:pPr>
      <w:r>
        <w:t xml:space="preserve">2011 · Bartz J ·</w:t>
      </w:r>
      <w:r>
        <w:t xml:space="preserve"> </w:t>
      </w:r>
      <w:r>
        <w:rPr>
          <w:iCs/>
          <w:i/>
        </w:rPr>
        <w:t xml:space="preserve">Soc Cogn Affect Neurosci</w:t>
      </w:r>
      <w:r>
        <w:t xml:space="preserve"> </w:t>
      </w:r>
      <w:r>
        <w:t xml:space="preserve">· Oxytocin can hinder trust and cooperation in borderline personality disorder. PMID 21115541</w:t>
      </w:r>
    </w:p>
    <w:p>
      <w:pPr>
        <w:numPr>
          <w:ilvl w:val="0"/>
          <w:numId w:val="1419"/>
        </w:numPr>
        <w:pStyle w:val="Compact"/>
      </w:pPr>
      <w:r>
        <w:t xml:space="preserve">2010 · Alvares GA ·</w:t>
      </w:r>
      <w:r>
        <w:t xml:space="preserve"> </w:t>
      </w:r>
      <w:r>
        <w:rPr>
          <w:iCs/>
          <w:i/>
        </w:rPr>
        <w:t xml:space="preserve">Exp Clin Psychopharmacol</w:t>
      </w:r>
      <w:r>
        <w:t xml:space="preserve"> </w:t>
      </w:r>
      <w:r>
        <w:t xml:space="preserve">· Acute effects of intranasal oxytocin on subjective and behavioral responses to social rejection. PMID 20695687</w:t>
      </w:r>
    </w:p>
    <w:p>
      <w:pPr>
        <w:numPr>
          <w:ilvl w:val="0"/>
          <w:numId w:val="1419"/>
        </w:numPr>
        <w:pStyle w:val="Compact"/>
      </w:pPr>
      <w:r>
        <w:t xml:space="preserve">2010 · Feifel D ·</w:t>
      </w:r>
      <w:r>
        <w:t xml:space="preserve"> </w:t>
      </w:r>
      <w:r>
        <w:rPr>
          <w:iCs/>
          <w:i/>
        </w:rPr>
        <w:t xml:space="preserve">Biol Psychiatry</w:t>
      </w:r>
      <w:r>
        <w:t xml:space="preserve"> </w:t>
      </w:r>
      <w:r>
        <w:t xml:space="preserve">· Adjunctive intranasal oxytocin reduces symptoms in schizophrenia patients. PMID 20615494</w:t>
      </w:r>
    </w:p>
    <w:p>
      <w:pPr>
        <w:numPr>
          <w:ilvl w:val="0"/>
          <w:numId w:val="1419"/>
        </w:numPr>
        <w:pStyle w:val="Compact"/>
      </w:pPr>
      <w:r>
        <w:t xml:space="preserve">2010 · Perry A ·</w:t>
      </w:r>
      <w:r>
        <w:t xml:space="preserve"> </w:t>
      </w:r>
      <w:r>
        <w:rPr>
          <w:iCs/>
          <w:i/>
        </w:rPr>
        <w:t xml:space="preserve">Psychoneuroendocrinology</w:t>
      </w:r>
      <w:r>
        <w:t xml:space="preserve"> </w:t>
      </w:r>
      <w:r>
        <w:t xml:space="preserve">· Intranasal oxytocin modulates EEG mu/alpha and beta rhythms during perception of biological motion. PMID 20493637</w:t>
      </w:r>
    </w:p>
    <w:p>
      <w:pPr>
        <w:numPr>
          <w:ilvl w:val="0"/>
          <w:numId w:val="1419"/>
        </w:numPr>
        <w:pStyle w:val="Compact"/>
      </w:pPr>
      <w:r>
        <w:t xml:space="preserve">2010 · Naber F ·</w:t>
      </w:r>
      <w:r>
        <w:t xml:space="preserve"> </w:t>
      </w:r>
      <w:r>
        <w:rPr>
          <w:iCs/>
          <w:i/>
        </w:rPr>
        <w:t xml:space="preserve">Psychoneuroendocrinology</w:t>
      </w:r>
      <w:r>
        <w:t xml:space="preserve"> </w:t>
      </w:r>
      <w:r>
        <w:t xml:space="preserve">· Intranasal oxytocin increases fathers’ observed responsiveness during play with their children: a double-blind within-subject experiment. PMID 20457491</w:t>
      </w:r>
    </w:p>
    <w:p>
      <w:pPr>
        <w:numPr>
          <w:ilvl w:val="0"/>
          <w:numId w:val="1419"/>
        </w:numPr>
        <w:pStyle w:val="Compact"/>
      </w:pPr>
      <w:r>
        <w:t xml:space="preserve">2010 · Ochsenkühn R ·</w:t>
      </w:r>
      <w:r>
        <w:t xml:space="preserve"> </w:t>
      </w:r>
      <w:r>
        <w:rPr>
          <w:iCs/>
          <w:i/>
        </w:rPr>
        <w:t xml:space="preserve">Arch Gynecol Obstet</w:t>
      </w:r>
      <w:r>
        <w:t xml:space="preserve"> </w:t>
      </w:r>
      <w:r>
        <w:t xml:space="preserve">· The effect of nasal oxytocin on pregnancy rates following intrauterine insemination: double-blind, randomized, clinical pilot study. PMID 19921230</w:t>
      </w:r>
    </w:p>
    <w:p>
      <w:pPr>
        <w:numPr>
          <w:ilvl w:val="0"/>
          <w:numId w:val="1419"/>
        </w:numPr>
        <w:pStyle w:val="Compact"/>
      </w:pPr>
      <w:r>
        <w:t xml:space="preserve">2010 · Guastella AJ ·</w:t>
      </w:r>
      <w:r>
        <w:t xml:space="preserve"> </w:t>
      </w:r>
      <w:r>
        <w:rPr>
          <w:iCs/>
          <w:i/>
        </w:rPr>
        <w:t xml:space="preserve">Biol Psychiatry</w:t>
      </w:r>
      <w:r>
        <w:t xml:space="preserve"> </w:t>
      </w:r>
      <w:r>
        <w:t xml:space="preserve">· Intranasal oxytocin improves emotion recognition for youth with autism spectrum disorders. PMID 19897177</w:t>
      </w:r>
    </w:p>
    <w:p>
      <w:pPr>
        <w:numPr>
          <w:ilvl w:val="0"/>
          <w:numId w:val="1419"/>
        </w:numPr>
        <w:pStyle w:val="Compact"/>
      </w:pPr>
      <w:r>
        <w:t xml:space="preserve">2009 · Guastella AJ ·</w:t>
      </w:r>
      <w:r>
        <w:t xml:space="preserve"> </w:t>
      </w:r>
      <w:r>
        <w:rPr>
          <w:iCs/>
          <w:i/>
        </w:rPr>
        <w:t xml:space="preserve">Psychoneuroendocrinology</w:t>
      </w:r>
      <w:r>
        <w:t xml:space="preserve"> </w:t>
      </w:r>
      <w:r>
        <w:t xml:space="preserve">· A randomized controlled trial of intranasal oxytocin as an adjunct to exposure therapy for social anxiety disorder. PMID 19246160</w:t>
      </w:r>
    </w:p>
    <w:p>
      <w:pPr>
        <w:numPr>
          <w:ilvl w:val="0"/>
          <w:numId w:val="1419"/>
        </w:numPr>
        <w:pStyle w:val="Compact"/>
      </w:pPr>
      <w:r>
        <w:t xml:space="preserve">2009 · Ditzen B ·</w:t>
      </w:r>
      <w:r>
        <w:t xml:space="preserve"> </w:t>
      </w:r>
      <w:r>
        <w:rPr>
          <w:iCs/>
          <w:i/>
        </w:rPr>
        <w:t xml:space="preserve">Biol Psychiatry</w:t>
      </w:r>
      <w:r>
        <w:t xml:space="preserve"> </w:t>
      </w:r>
      <w:r>
        <w:t xml:space="preserve">· Intranasal oxytocin increases positive communication and reduces cortisol levels during couple conflict. PMID 19027101</w:t>
      </w:r>
    </w:p>
    <w:p>
      <w:pPr>
        <w:numPr>
          <w:ilvl w:val="0"/>
          <w:numId w:val="1419"/>
        </w:numPr>
        <w:pStyle w:val="Compact"/>
      </w:pPr>
      <w:r>
        <w:t xml:space="preserve">2008 · Burri A ·</w:t>
      </w:r>
      <w:r>
        <w:t xml:space="preserve"> </w:t>
      </w:r>
      <w:r>
        <w:rPr>
          <w:iCs/>
          <w:i/>
        </w:rPr>
        <w:t xml:space="preserve">Psychoneuroendocrinology</w:t>
      </w:r>
      <w:r>
        <w:t xml:space="preserve"> </w:t>
      </w:r>
      <w:r>
        <w:t xml:space="preserve">· The acute effects of intranasal oxytocin administration on endocrine and sexual function in males. PMID 18375074</w:t>
      </w:r>
    </w:p>
    <w:p>
      <w:pPr>
        <w:numPr>
          <w:ilvl w:val="0"/>
          <w:numId w:val="1419"/>
        </w:numPr>
        <w:pStyle w:val="Compact"/>
      </w:pPr>
      <w:r>
        <w:t xml:space="preserve">2008 · Savaskan E ·</w:t>
      </w:r>
      <w:r>
        <w:t xml:space="preserve"> </w:t>
      </w:r>
      <w:r>
        <w:rPr>
          <w:iCs/>
          <w:i/>
        </w:rPr>
        <w:t xml:space="preserve">Psychoneuroendocrinology</w:t>
      </w:r>
      <w:r>
        <w:t xml:space="preserve"> </w:t>
      </w:r>
      <w:r>
        <w:t xml:space="preserve">· Post-learning intranasal oxytocin modulates human memory for facial identity. PMID 18221838</w:t>
      </w:r>
    </w:p>
    <w:p>
      <w:pPr>
        <w:numPr>
          <w:ilvl w:val="0"/>
          <w:numId w:val="1419"/>
        </w:numPr>
        <w:pStyle w:val="Compact"/>
      </w:pPr>
      <w:r>
        <w:t xml:space="preserve">2007 · Meinlschmidt G ·</w:t>
      </w:r>
      <w:r>
        <w:t xml:space="preserve"> </w:t>
      </w:r>
      <w:r>
        <w:rPr>
          <w:iCs/>
          <w:i/>
        </w:rPr>
        <w:t xml:space="preserve">Biol Psychiatry</w:t>
      </w:r>
      <w:r>
        <w:t xml:space="preserve"> </w:t>
      </w:r>
      <w:r>
        <w:t xml:space="preserve">· Sensitivity to intranasal oxytocin in adult men with early parental separation. PMID 17141739</w:t>
      </w:r>
    </w:p>
    <w:p>
      <w:pPr>
        <w:numPr>
          <w:ilvl w:val="0"/>
          <w:numId w:val="1419"/>
        </w:numPr>
        <w:pStyle w:val="Compact"/>
      </w:pPr>
      <w:r>
        <w:t xml:space="preserve">2004 · Heinrichs M ·</w:t>
      </w:r>
      <w:r>
        <w:t xml:space="preserve"> </w:t>
      </w:r>
      <w:r>
        <w:rPr>
          <w:iCs/>
          <w:i/>
        </w:rPr>
        <w:t xml:space="preserve">Physiol Behav</w:t>
      </w:r>
      <w:r>
        <w:t xml:space="preserve"> </w:t>
      </w:r>
      <w:r>
        <w:t xml:space="preserve">· Selective amnesic effects of oxytocin on human memory. PMID 15501488</w:t>
      </w:r>
    </w:p>
    <w:p>
      <w:pPr>
        <w:numPr>
          <w:ilvl w:val="0"/>
          <w:numId w:val="1419"/>
        </w:numPr>
        <w:pStyle w:val="Compact"/>
      </w:pPr>
      <w:r>
        <w:t xml:space="preserve">2003 · Heinrichs M ·</w:t>
      </w:r>
      <w:r>
        <w:t xml:space="preserve"> </w:t>
      </w:r>
      <w:r>
        <w:rPr>
          <w:iCs/>
          <w:i/>
        </w:rPr>
        <w:t xml:space="preserve">Biol Psychiatry</w:t>
      </w:r>
      <w:r>
        <w:t xml:space="preserve"> </w:t>
      </w:r>
      <w:r>
        <w:t xml:space="preserve">· Social support and oxytocin interact to suppress cortisol and subjective responses to psychosocial stress. PMID 14675803</w:t>
      </w:r>
    </w:p>
    <w:p>
      <w:pPr>
        <w:numPr>
          <w:ilvl w:val="0"/>
          <w:numId w:val="1419"/>
        </w:numPr>
        <w:pStyle w:val="Compact"/>
      </w:pPr>
      <w:r>
        <w:t xml:space="preserve">1996 · Epperson CN ·</w:t>
      </w:r>
      <w:r>
        <w:t xml:space="preserve"> </w:t>
      </w:r>
      <w:r>
        <w:rPr>
          <w:iCs/>
          <w:i/>
        </w:rPr>
        <w:t xml:space="preserve">Biol Psychiatry</w:t>
      </w:r>
      <w:r>
        <w:t xml:space="preserve"> </w:t>
      </w:r>
      <w:r>
        <w:t xml:space="preserve">· Intranasal oxytocin in obsessive-compulsive disorder. PMID 8879477</w:t>
      </w:r>
    </w:p>
    <w:p>
      <w:pPr>
        <w:numPr>
          <w:ilvl w:val="0"/>
          <w:numId w:val="1419"/>
        </w:numPr>
        <w:pStyle w:val="Compact"/>
      </w:pPr>
      <w:r>
        <w:t xml:space="preserve">1985 · Andreasson B ·</w:t>
      </w:r>
      <w:r>
        <w:t xml:space="preserve"> </w:t>
      </w:r>
      <w:r>
        <w:rPr>
          <w:iCs/>
          <w:i/>
        </w:rPr>
        <w:t xml:space="preserve">Acta Obstet Gynecol Scand</w:t>
      </w:r>
      <w:r>
        <w:t xml:space="preserve"> </w:t>
      </w:r>
      <w:r>
        <w:t xml:space="preserve">· Induction of labor. A double-blind randomized controlled study of prostaglandin E2 vaginal suppositories compared with intranasal oxytocin and with sequential treatment. PMID 3885670</w:t>
      </w:r>
    </w:p>
    <w:p>
      <w:pPr>
        <w:numPr>
          <w:ilvl w:val="0"/>
          <w:numId w:val="1419"/>
        </w:numPr>
        <w:pStyle w:val="Compact"/>
      </w:pPr>
      <w:r>
        <w:t xml:space="preserve">1983 · Larsen J ·</w:t>
      </w:r>
      <w:r>
        <w:t xml:space="preserve"> </w:t>
      </w:r>
      <w:r>
        <w:rPr>
          <w:iCs/>
          <w:i/>
        </w:rPr>
        <w:t xml:space="preserve">Ugeskr Laeger</w:t>
      </w:r>
      <w:r>
        <w:t xml:space="preserve"> </w:t>
      </w:r>
      <w:r>
        <w:t xml:space="preserve">· [Induction of labor. A double-blind randomized study of prostaglandin E2 vaginal suppositories compared with intranasal oxytocin]. PMID 6351397</w:t>
      </w:r>
    </w:p>
    <w:bookmarkEnd w:id="1166"/>
    <w:bookmarkStart w:id="1167" w:name="gonadoreline-9"/>
    <w:p>
      <w:pPr>
        <w:pStyle w:val="Heading2"/>
      </w:pPr>
      <w:r>
        <w:t xml:space="preserve">Gonadoreline (9)</w:t>
      </w:r>
    </w:p>
    <w:p>
      <w:pPr>
        <w:numPr>
          <w:ilvl w:val="0"/>
          <w:numId w:val="1420"/>
        </w:numPr>
        <w:pStyle w:val="Compact"/>
      </w:pPr>
      <w:r>
        <w:t xml:space="preserve">2022 · Fiala V ·</w:t>
      </w:r>
      <w:r>
        <w:t xml:space="preserve"> </w:t>
      </w:r>
      <w:r>
        <w:rPr>
          <w:iCs/>
          <w:i/>
        </w:rPr>
        <w:t xml:space="preserve">J Pediatr Urol</w:t>
      </w:r>
      <w:r>
        <w:t xml:space="preserve"> </w:t>
      </w:r>
      <w:r>
        <w:t xml:space="preserve">· The safety of neoadjuvant hormonal treatment in infants with cryptorchidism. PMID 35691791</w:t>
      </w:r>
    </w:p>
    <w:p>
      <w:pPr>
        <w:numPr>
          <w:ilvl w:val="0"/>
          <w:numId w:val="1420"/>
        </w:numPr>
        <w:pStyle w:val="Compact"/>
      </w:pPr>
      <w:r>
        <w:t xml:space="preserve">2014 · Spinelli C ·</w:t>
      </w:r>
      <w:r>
        <w:t xml:space="preserve"> </w:t>
      </w:r>
      <w:r>
        <w:rPr>
          <w:iCs/>
          <w:i/>
        </w:rPr>
        <w:t xml:space="preserve">Pediatr Surg Int</w:t>
      </w:r>
      <w:r>
        <w:t xml:space="preserve"> </w:t>
      </w:r>
      <w:r>
        <w:t xml:space="preserve">· Effects on normalized testicular atrophy index (TAIn) in cryptorchid infants treated with GnRHa pre and post-operative vs surgery alone: a prospective randomized trial and long-term follow-up on 62 cases. PMID 25106891</w:t>
      </w:r>
    </w:p>
    <w:p>
      <w:pPr>
        <w:numPr>
          <w:ilvl w:val="0"/>
          <w:numId w:val="1420"/>
        </w:numPr>
        <w:pStyle w:val="Compact"/>
      </w:pPr>
      <w:r>
        <w:t xml:space="preserve">2011 · Shamash J ·</w:t>
      </w:r>
      <w:r>
        <w:t xml:space="preserve"> </w:t>
      </w:r>
      <w:r>
        <w:rPr>
          <w:iCs/>
          <w:i/>
        </w:rPr>
        <w:t xml:space="preserve">Br J Cancer</w:t>
      </w:r>
      <w:r>
        <w:t xml:space="preserve"> </w:t>
      </w:r>
      <w:r>
        <w:t xml:space="preserve">· A multi-centre randomised phase III trial of Dexamethasone vs Dexamethasone and diethylstilbestrol in castration-resistant prostate cancer: immediate vs deferred Diethylstilbestrol. PMID 21285990</w:t>
      </w:r>
    </w:p>
    <w:p>
      <w:pPr>
        <w:numPr>
          <w:ilvl w:val="0"/>
          <w:numId w:val="1420"/>
        </w:numPr>
        <w:pStyle w:val="Compact"/>
      </w:pPr>
      <w:r>
        <w:t xml:space="preserve">1997 · Falkenbach A ·</w:t>
      </w:r>
      <w:r>
        <w:t xml:space="preserve"> </w:t>
      </w:r>
      <w:r>
        <w:rPr>
          <w:iCs/>
          <w:i/>
        </w:rPr>
        <w:t xml:space="preserve">Eur J Appl Physiol Occup Physiol</w:t>
      </w:r>
      <w:r>
        <w:t xml:space="preserve"> </w:t>
      </w:r>
      <w:r>
        <w:t xml:space="preserve">· Unchanged response to stimulation of pituitary hormone release after serial UV irradiation in men. PMID 9189734</w:t>
      </w:r>
    </w:p>
    <w:p>
      <w:pPr>
        <w:numPr>
          <w:ilvl w:val="0"/>
          <w:numId w:val="1420"/>
        </w:numPr>
        <w:pStyle w:val="Compact"/>
      </w:pPr>
      <w:r>
        <w:t xml:space="preserve">1996 · Segarra A ·</w:t>
      </w:r>
      <w:r>
        <w:t xml:space="preserve"> </w:t>
      </w:r>
      <w:r>
        <w:rPr>
          <w:iCs/>
          <w:i/>
        </w:rPr>
        <w:t xml:space="preserve">Nephron</w:t>
      </w:r>
      <w:r>
        <w:t xml:space="preserve"> </w:t>
      </w:r>
      <w:r>
        <w:t xml:space="preserve">· Prospective case control study to determine the effect of lovastatin on serum testosterone and cortisol concentrations in hyperlipidemic nephrotic patients with chronic renal failure. PMID 8773342</w:t>
      </w:r>
    </w:p>
    <w:p>
      <w:pPr>
        <w:numPr>
          <w:ilvl w:val="0"/>
          <w:numId w:val="1420"/>
        </w:numPr>
        <w:pStyle w:val="Compact"/>
      </w:pPr>
      <w:r>
        <w:t xml:space="preserve">1990 · Santoro N ·</w:t>
      </w:r>
      <w:r>
        <w:t xml:space="preserve"> </w:t>
      </w:r>
      <w:r>
        <w:rPr>
          <w:iCs/>
          <w:i/>
        </w:rPr>
        <w:t xml:space="preserve">Am J Obstet Gynecol</w:t>
      </w:r>
      <w:r>
        <w:t xml:space="preserve"> </w:t>
      </w:r>
      <w:r>
        <w:t xml:space="preserve">· Efficacy and safety of intravenous pulsatile gonadotropin-releasing hormone: Lutrepulse for injection. PMID 2122733</w:t>
      </w:r>
    </w:p>
    <w:p>
      <w:pPr>
        <w:numPr>
          <w:ilvl w:val="0"/>
          <w:numId w:val="1420"/>
        </w:numPr>
        <w:pStyle w:val="Compact"/>
      </w:pPr>
      <w:r>
        <w:t xml:space="preserve">1987 · Kadrnka-Lovrencić M ·</w:t>
      </w:r>
      <w:r>
        <w:t xml:space="preserve"> </w:t>
      </w:r>
      <w:r>
        <w:rPr>
          <w:iCs/>
          <w:i/>
        </w:rPr>
        <w:t xml:space="preserve">Lijec Vjesn</w:t>
      </w:r>
      <w:r>
        <w:t xml:space="preserve"> </w:t>
      </w:r>
      <w:r>
        <w:t xml:space="preserve">· [Comparative clinico-therapeutic study of gonadorelin and chorionic gonadotropin in boys with undescended testes]. PMID 2885699</w:t>
      </w:r>
    </w:p>
    <w:p>
      <w:pPr>
        <w:numPr>
          <w:ilvl w:val="0"/>
          <w:numId w:val="1420"/>
        </w:numPr>
        <w:pStyle w:val="Compact"/>
      </w:pPr>
      <w:r>
        <w:t xml:space="preserve">1986 · Lopes P ·</w:t>
      </w:r>
      <w:r>
        <w:t xml:space="preserve"> </w:t>
      </w:r>
      <w:r>
        <w:rPr>
          <w:iCs/>
          <w:i/>
        </w:rPr>
        <w:t xml:space="preserve">Presse Med</w:t>
      </w:r>
      <w:r>
        <w:t xml:space="preserve"> </w:t>
      </w:r>
      <w:r>
        <w:t xml:space="preserve">· [Value of short-term use of a gonadorelin analog in an in vitro fertilization program]. PMID 2949236</w:t>
      </w:r>
    </w:p>
    <w:p>
      <w:pPr>
        <w:numPr>
          <w:ilvl w:val="0"/>
          <w:numId w:val="1420"/>
        </w:numPr>
        <w:pStyle w:val="Compact"/>
      </w:pPr>
      <w:r>
        <w:t xml:space="preserve">1985 · Steg A ·</w:t>
      </w:r>
      <w:r>
        <w:t xml:space="preserve"> </w:t>
      </w:r>
      <w:r>
        <w:rPr>
          <w:iCs/>
          <w:i/>
        </w:rPr>
        <w:t xml:space="preserve">Presse Med</w:t>
      </w:r>
      <w:r>
        <w:t xml:space="preserve"> </w:t>
      </w:r>
      <w:r>
        <w:t xml:space="preserve">· [Treatment of advanced prostatic cancer with a gonadorelin agonist, dTrp6 LHRH. 41 cases]. PMID 2934695</w:t>
      </w:r>
    </w:p>
    <w:bookmarkEnd w:id="1167"/>
    <w:bookmarkStart w:id="1168" w:name="X7f005e68d9085ff0e730832dc5bf60acee45c04"/>
    <w:p>
      <w:pPr>
        <w:pStyle w:val="Heading2"/>
      </w:pPr>
      <w:r>
        <w:t xml:space="preserve">Collageenpeptiden (collageenhydrolysaat) (101)</w:t>
      </w:r>
    </w:p>
    <w:p>
      <w:pPr>
        <w:numPr>
          <w:ilvl w:val="0"/>
          <w:numId w:val="1421"/>
        </w:numPr>
        <w:pStyle w:val="Compact"/>
      </w:pPr>
      <w:r>
        <w:t xml:space="preserve">2026 · Hwang S ·</w:t>
      </w:r>
      <w:r>
        <w:t xml:space="preserve"> </w:t>
      </w:r>
      <w:r>
        <w:rPr>
          <w:iCs/>
          <w:i/>
        </w:rPr>
        <w:t xml:space="preserve">J Med Food</w:t>
      </w:r>
      <w:r>
        <w:t xml:space="preserve"> </w:t>
      </w:r>
      <w:r>
        <w:t xml:space="preserve">· Low-Molecular-Weight Collagen Peptide Supplementation Improves Cellulite Severity, Skin Elasticity, and Hair Shaft Diameter: A Clinical Study with Pharmacokinetic Evaluation. PMID 41788055</w:t>
      </w:r>
    </w:p>
    <w:p>
      <w:pPr>
        <w:numPr>
          <w:ilvl w:val="0"/>
          <w:numId w:val="1421"/>
        </w:numPr>
        <w:pStyle w:val="Compact"/>
      </w:pPr>
      <w:r>
        <w:t xml:space="preserve">2026 · Proksch E ·</w:t>
      </w:r>
      <w:r>
        <w:t xml:space="preserve"> </w:t>
      </w:r>
      <w:r>
        <w:rPr>
          <w:iCs/>
          <w:i/>
        </w:rPr>
        <w:t xml:space="preserve">Skin Pharmacol Physiol</w:t>
      </w:r>
      <w:r>
        <w:t xml:space="preserve"> </w:t>
      </w:r>
      <w:r>
        <w:t xml:space="preserve">· Oral Administration of Specific Bioactive Collagen Peptides in the Treatment of Moderate Forms of Atopic Dermatitis: A New Approach. PMID 41758763</w:t>
      </w:r>
    </w:p>
    <w:p>
      <w:pPr>
        <w:numPr>
          <w:ilvl w:val="0"/>
          <w:numId w:val="1421"/>
        </w:numPr>
        <w:pStyle w:val="Compact"/>
      </w:pPr>
      <w:r>
        <w:t xml:space="preserve">2025 · Aguilera JA ·</w:t>
      </w:r>
      <w:r>
        <w:t xml:space="preserve"> </w:t>
      </w:r>
      <w:r>
        <w:rPr>
          <w:iCs/>
          <w:i/>
        </w:rPr>
        <w:t xml:space="preserve">J Int Soc Sports Nutr</w:t>
      </w:r>
      <w:r>
        <w:t xml:space="preserve"> </w:t>
      </w:r>
      <w:r>
        <w:t xml:space="preserve">· Dileucine-supplemented essential amino acids support whole-body anabolism after resistance exercise and serum-stimulated cell-based anabolism. PMID 41321015</w:t>
      </w:r>
    </w:p>
    <w:p>
      <w:pPr>
        <w:numPr>
          <w:ilvl w:val="0"/>
          <w:numId w:val="1421"/>
        </w:numPr>
        <w:pStyle w:val="Compact"/>
      </w:pPr>
      <w:r>
        <w:t xml:space="preserve">2025 · Wang Y ·</w:t>
      </w:r>
      <w:r>
        <w:t xml:space="preserve"> </w:t>
      </w:r>
      <w:r>
        <w:rPr>
          <w:iCs/>
          <w:i/>
        </w:rPr>
        <w:t xml:space="preserve">J Cosmet Dermatol</w:t>
      </w:r>
      <w:r>
        <w:t xml:space="preserve"> </w:t>
      </w:r>
      <w:r>
        <w:t xml:space="preserve">· The Sustained Effects of Bioactive Collagen Peptides on Skin Health: A Randomized, Double-Blind, Placebo-Controlled Clinical Study. PMID 41311286</w:t>
      </w:r>
    </w:p>
    <w:p>
      <w:pPr>
        <w:numPr>
          <w:ilvl w:val="0"/>
          <w:numId w:val="1421"/>
        </w:numPr>
        <w:pStyle w:val="Compact"/>
      </w:pPr>
      <w:r>
        <w:t xml:space="preserve">2025 · Chavez-Alfaro MA ·</w:t>
      </w:r>
      <w:r>
        <w:t xml:space="preserve"> </w:t>
      </w:r>
      <w:r>
        <w:rPr>
          <w:iCs/>
          <w:i/>
        </w:rPr>
        <w:t xml:space="preserve">Food Funct</w:t>
      </w:r>
      <w:r>
        <w:t xml:space="preserve"> </w:t>
      </w:r>
      <w:r>
        <w:t xml:space="preserve">· Effects of porcine-derived collagen hydrolysates on 24 h blood pressure profiles, markers for endothelial dysfunction and low-grade inflammation and the retinal vasculature in adults with overweight/obesity: a randomized, controlled trial. PMID 41288414</w:t>
      </w:r>
    </w:p>
    <w:p>
      <w:pPr>
        <w:numPr>
          <w:ilvl w:val="0"/>
          <w:numId w:val="1421"/>
        </w:numPr>
        <w:pStyle w:val="Compact"/>
      </w:pPr>
      <w:r>
        <w:t xml:space="preserve">2025 · Lee E ·</w:t>
      </w:r>
      <w:r>
        <w:t xml:space="preserve"> </w:t>
      </w:r>
      <w:r>
        <w:rPr>
          <w:iCs/>
          <w:i/>
        </w:rPr>
        <w:t xml:space="preserve">J Microbiol Biotechnol</w:t>
      </w:r>
      <w:r>
        <w:t xml:space="preserve"> </w:t>
      </w:r>
      <w:r>
        <w:t xml:space="preserve">· Skin Anti-Aging and Moisturizing Effects of Low-Molecular-Weight Collagen Peptide Supplementation in Healthy Adults: A Randomized, Double-Blind, Placebo-Controlled Clinical Trial. PMID 40935395</w:t>
      </w:r>
    </w:p>
    <w:p>
      <w:pPr>
        <w:numPr>
          <w:ilvl w:val="0"/>
          <w:numId w:val="1421"/>
        </w:numPr>
        <w:pStyle w:val="Compact"/>
      </w:pPr>
      <w:r>
        <w:t xml:space="preserve">2025 · Reynolds KM ·</w:t>
      </w:r>
      <w:r>
        <w:t xml:space="preserve"> </w:t>
      </w:r>
      <w:r>
        <w:rPr>
          <w:iCs/>
          <w:i/>
        </w:rPr>
        <w:t xml:space="preserve">Br J Nutr</w:t>
      </w:r>
      <w:r>
        <w:t xml:space="preserve"> </w:t>
      </w:r>
      <w:r>
        <w:t xml:space="preserve">· The effects of collagen peptide supplementation on appetite and post-exercise energy intake in females: a randomised controlled trial. PMID 40685650</w:t>
      </w:r>
    </w:p>
    <w:p>
      <w:pPr>
        <w:numPr>
          <w:ilvl w:val="0"/>
          <w:numId w:val="1421"/>
        </w:numPr>
        <w:pStyle w:val="Compact"/>
      </w:pPr>
      <w:r>
        <w:t xml:space="preserve">2025 · Miyamoto N ·</w:t>
      </w:r>
      <w:r>
        <w:t xml:space="preserve"> </w:t>
      </w:r>
      <w:r>
        <w:rPr>
          <w:iCs/>
          <w:i/>
        </w:rPr>
        <w:t xml:space="preserve">Med Sci Sports Exerc</w:t>
      </w:r>
      <w:r>
        <w:t xml:space="preserve"> </w:t>
      </w:r>
      <w:r>
        <w:t xml:space="preserve">· Collagen Peptide Supplementation Enhances Muscle-Tendon Stiffness and Explosive Strength: A 16-wk Randomized Controlled Trial. PMID 40623147</w:t>
      </w:r>
    </w:p>
    <w:p>
      <w:pPr>
        <w:numPr>
          <w:ilvl w:val="0"/>
          <w:numId w:val="1421"/>
        </w:numPr>
        <w:pStyle w:val="Compact"/>
      </w:pPr>
      <w:r>
        <w:t xml:space="preserve">2025 · Aussieker T ·</w:t>
      </w:r>
      <w:r>
        <w:t xml:space="preserve"> </w:t>
      </w:r>
      <w:r>
        <w:rPr>
          <w:iCs/>
          <w:i/>
        </w:rPr>
        <w:t xml:space="preserve">Med Sci Sports Exerc</w:t>
      </w:r>
      <w:r>
        <w:t xml:space="preserve"> </w:t>
      </w:r>
      <w:r>
        <w:t xml:space="preserve">· The Effects of Ingesting a Single Bolus of Hydrolyzed Collagen versus Free Amino Acids on Muscle Connective Protein Synthesis Rates. PMID 40523226</w:t>
      </w:r>
    </w:p>
    <w:p>
      <w:pPr>
        <w:numPr>
          <w:ilvl w:val="0"/>
          <w:numId w:val="1421"/>
        </w:numPr>
        <w:pStyle w:val="Compact"/>
      </w:pPr>
      <w:r>
        <w:t xml:space="preserve">2025 · Zague V ·</w:t>
      </w:r>
      <w:r>
        <w:t xml:space="preserve"> </w:t>
      </w:r>
      <w:r>
        <w:rPr>
          <w:iCs/>
          <w:i/>
        </w:rPr>
        <w:t xml:space="preserve">J Med Food</w:t>
      </w:r>
      <w:r>
        <w:t xml:space="preserve"> </w:t>
      </w:r>
      <w:r>
        <w:t xml:space="preserve">· Oral Collagen Oligopeptides as a Modulator of Skin Health: A Comprehensive Evaluation of Clinical and Molecular Effects. PMID 40518844</w:t>
      </w:r>
    </w:p>
    <w:p>
      <w:pPr>
        <w:numPr>
          <w:ilvl w:val="0"/>
          <w:numId w:val="1421"/>
        </w:numPr>
        <w:pStyle w:val="Compact"/>
      </w:pPr>
      <w:r>
        <w:t xml:space="preserve">2025 · Bhardwaj V ·</w:t>
      </w:r>
      <w:r>
        <w:t xml:space="preserve"> </w:t>
      </w:r>
      <w:r>
        <w:rPr>
          <w:iCs/>
          <w:i/>
        </w:rPr>
        <w:t xml:space="preserve">J Drugs Dermatol</w:t>
      </w:r>
      <w:r>
        <w:t xml:space="preserve"> </w:t>
      </w:r>
      <w:r>
        <w:t xml:space="preserve">· Artificial Intelligence-Based Personalization of Treatment Regimen for Hair Loss: A 6-Month Clinical Trial. PMID 40043278</w:t>
      </w:r>
    </w:p>
    <w:p>
      <w:pPr>
        <w:numPr>
          <w:ilvl w:val="0"/>
          <w:numId w:val="1421"/>
        </w:numPr>
        <w:pStyle w:val="Compact"/>
      </w:pPr>
      <w:r>
        <w:t xml:space="preserve">2025 · Xing X ·</w:t>
      </w:r>
      <w:r>
        <w:t xml:space="preserve"> </w:t>
      </w:r>
      <w:r>
        <w:rPr>
          <w:iCs/>
          <w:i/>
        </w:rPr>
        <w:t xml:space="preserve">Food Funct</w:t>
      </w:r>
      <w:r>
        <w:t xml:space="preserve"> </w:t>
      </w:r>
      <w:r>
        <w:t xml:space="preserve">· Effects of protein-rich multi-nutrient intervention on bone mineralization and development: insights from a randomized controlled trial in prepubertal children and a zebrafish experiment. PMID 39991811</w:t>
      </w:r>
    </w:p>
    <w:p>
      <w:pPr>
        <w:numPr>
          <w:ilvl w:val="0"/>
          <w:numId w:val="1421"/>
        </w:numPr>
        <w:pStyle w:val="Compact"/>
      </w:pPr>
      <w:r>
        <w:t xml:space="preserve">2025 · Paulus MC ·</w:t>
      </w:r>
      <w:r>
        <w:t xml:space="preserve"> </w:t>
      </w:r>
      <w:r>
        <w:rPr>
          <w:iCs/>
          <w:i/>
        </w:rPr>
        <w:t xml:space="preserve">Clin Nutr</w:t>
      </w:r>
      <w:r>
        <w:t xml:space="preserve"> </w:t>
      </w:r>
      <w:r>
        <w:t xml:space="preserve">· Feasibility challenges in protein supplementation research: Insights from the convalescence of functional outcomes after intensive care unit stay in a Randomised Controlled Trial. PMID 39914233</w:t>
      </w:r>
    </w:p>
    <w:p>
      <w:pPr>
        <w:numPr>
          <w:ilvl w:val="0"/>
          <w:numId w:val="1421"/>
        </w:numPr>
        <w:pStyle w:val="Compact"/>
      </w:pPr>
      <w:r>
        <w:t xml:space="preserve">2025 · Genç AS ·</w:t>
      </w:r>
      <w:r>
        <w:t xml:space="preserve"> </w:t>
      </w:r>
      <w:r>
        <w:rPr>
          <w:iCs/>
          <w:i/>
        </w:rPr>
        <w:t xml:space="preserve">BMC Musculoskelet Disord</w:t>
      </w:r>
      <w:r>
        <w:t xml:space="preserve"> </w:t>
      </w:r>
      <w:r>
        <w:t xml:space="preserve">· The effect of supplementation with type I and type III collagen peptide and type II hydrolyzed collagen on pain, quality of life and physical function in patients with meniscopathy: a randomized, double-blind, placebo-controlled study. PMID 39755603</w:t>
      </w:r>
    </w:p>
    <w:p>
      <w:pPr>
        <w:numPr>
          <w:ilvl w:val="0"/>
          <w:numId w:val="1421"/>
        </w:numPr>
        <w:pStyle w:val="Compact"/>
      </w:pPr>
      <w:r>
        <w:t xml:space="preserve">2025 · Genç AS ·</w:t>
      </w:r>
      <w:r>
        <w:t xml:space="preserve"> </w:t>
      </w:r>
      <w:r>
        <w:rPr>
          <w:iCs/>
          <w:i/>
        </w:rPr>
        <w:t xml:space="preserve">Jt Dis Relat Surg</w:t>
      </w:r>
      <w:r>
        <w:t xml:space="preserve"> </w:t>
      </w:r>
      <w:r>
        <w:t xml:space="preserve">· Effect of supplementation with type 1 and type 3 collagen peptide and type 2 hydrolyzed collagen on osteoarthritis-related pain, quality of life, and physical function: A double-blind, randomized, placebo-controlled study. PMID 39719905</w:t>
      </w:r>
    </w:p>
    <w:p>
      <w:pPr>
        <w:numPr>
          <w:ilvl w:val="0"/>
          <w:numId w:val="1421"/>
        </w:numPr>
        <w:pStyle w:val="Compact"/>
      </w:pPr>
      <w:r>
        <w:t xml:space="preserve">2024 · Nilsson MI ·</w:t>
      </w:r>
      <w:r>
        <w:t xml:space="preserve"> </w:t>
      </w:r>
      <w:r>
        <w:rPr>
          <w:iCs/>
          <w:i/>
        </w:rPr>
        <w:t xml:space="preserve">Nutrients</w:t>
      </w:r>
      <w:r>
        <w:t xml:space="preserve"> </w:t>
      </w:r>
      <w:r>
        <w:t xml:space="preserve">· Obesity and Metabolic Disease Impair the Anabolic Response to Protein Supplementation and Resistance Exercise: A Retrospective Analysis of a Randomized Clinical Trial with Implications for Aging, Sarcopenic Obesity, and Weight Management. PMID 39771028</w:t>
      </w:r>
    </w:p>
    <w:p>
      <w:pPr>
        <w:numPr>
          <w:ilvl w:val="0"/>
          <w:numId w:val="1421"/>
        </w:numPr>
        <w:pStyle w:val="Compact"/>
      </w:pPr>
      <w:r>
        <w:t xml:space="preserve">2024 · Barclay R ·</w:t>
      </w:r>
      <w:r>
        <w:t xml:space="preserve"> </w:t>
      </w:r>
      <w:r>
        <w:rPr>
          <w:iCs/>
          <w:i/>
        </w:rPr>
        <w:t xml:space="preserve">Nutrients</w:t>
      </w:r>
      <w:r>
        <w:t xml:space="preserve"> </w:t>
      </w:r>
      <w:r>
        <w:t xml:space="preserve">· Comparing the Effects of Collagen Hydrolysate and Dairy Protein on Recovery from Eccentric Exercise: A Double Blind, Placebo-Controlled Study. PMID 39771010</w:t>
      </w:r>
    </w:p>
    <w:p>
      <w:pPr>
        <w:numPr>
          <w:ilvl w:val="0"/>
          <w:numId w:val="1421"/>
        </w:numPr>
        <w:pStyle w:val="Compact"/>
      </w:pPr>
      <w:r>
        <w:t xml:space="preserve">2024 · Vleminckx S ·</w:t>
      </w:r>
      <w:r>
        <w:t xml:space="preserve"> </w:t>
      </w:r>
      <w:r>
        <w:rPr>
          <w:iCs/>
          <w:i/>
        </w:rPr>
        <w:t xml:space="preserve">J Cosmet Dermatol</w:t>
      </w:r>
      <w:r>
        <w:t xml:space="preserve"> </w:t>
      </w:r>
      <w:r>
        <w:t xml:space="preserve">· Influence of collagen peptide supplementation on visible signs of skin and nail health and -aging in an East Asian population: A double blind, randomized, placebo-controlled trial. PMID 39143887</w:t>
      </w:r>
    </w:p>
    <w:p>
      <w:pPr>
        <w:numPr>
          <w:ilvl w:val="0"/>
          <w:numId w:val="1421"/>
        </w:numPr>
        <w:pStyle w:val="Compact"/>
      </w:pPr>
      <w:r>
        <w:t xml:space="preserve">2024 · Kirmse M ·</w:t>
      </w:r>
      <w:r>
        <w:t xml:space="preserve"> </w:t>
      </w:r>
      <w:r>
        <w:rPr>
          <w:iCs/>
          <w:i/>
        </w:rPr>
        <w:t xml:space="preserve">Med Sci Sports Exerc</w:t>
      </w:r>
      <w:r>
        <w:t xml:space="preserve"> </w:t>
      </w:r>
      <w:r>
        <w:t xml:space="preserve">· Collagen Peptide Supplementation during Training Does Not Further Increase Connective Tissue Protein Synthesis Rates. PMID 39086044</w:t>
      </w:r>
    </w:p>
    <w:p>
      <w:pPr>
        <w:numPr>
          <w:ilvl w:val="0"/>
          <w:numId w:val="1421"/>
        </w:numPr>
        <w:pStyle w:val="Compact"/>
      </w:pPr>
      <w:r>
        <w:t xml:space="preserve">2024 · Morakul B ·</w:t>
      </w:r>
      <w:r>
        <w:t xml:space="preserve"> </w:t>
      </w:r>
      <w:r>
        <w:rPr>
          <w:iCs/>
          <w:i/>
        </w:rPr>
        <w:t xml:space="preserve">J Cosmet Dermatol</w:t>
      </w:r>
      <w:r>
        <w:t xml:space="preserve"> </w:t>
      </w:r>
      <w:r>
        <w:t xml:space="preserve">· The evidence from in vitro primary fibroblasts and a randomized, double-blind, placebo-controlled clinical trial of tuna collagen peptides intake on skin health. PMID 39075819</w:t>
      </w:r>
    </w:p>
    <w:p>
      <w:pPr>
        <w:numPr>
          <w:ilvl w:val="0"/>
          <w:numId w:val="1421"/>
        </w:numPr>
        <w:pStyle w:val="Compact"/>
      </w:pPr>
      <w:r>
        <w:t xml:space="preserve">2024 · Schulze C ·</w:t>
      </w:r>
      <w:r>
        <w:t xml:space="preserve"> </w:t>
      </w:r>
      <w:r>
        <w:rPr>
          <w:iCs/>
          <w:i/>
        </w:rPr>
        <w:t xml:space="preserve">Int J Environ Res Public Health</w:t>
      </w:r>
      <w:r>
        <w:t xml:space="preserve"> </w:t>
      </w:r>
      <w:r>
        <w:t xml:space="preserve">· Impact of Specific Bioactive Collagen Peptides on Joint Discomforts in the Lower Extremity during Daily Activities: A Randomized Controlled Trial. PMID 38928934</w:t>
      </w:r>
    </w:p>
    <w:p>
      <w:pPr>
        <w:numPr>
          <w:ilvl w:val="0"/>
          <w:numId w:val="1421"/>
        </w:numPr>
        <w:pStyle w:val="Compact"/>
      </w:pPr>
      <w:r>
        <w:t xml:space="preserve">2024 · Devasia S ·</w:t>
      </w:r>
      <w:r>
        <w:t xml:space="preserve"> </w:t>
      </w:r>
      <w:r>
        <w:rPr>
          <w:iCs/>
          <w:i/>
        </w:rPr>
        <w:t xml:space="preserve">Cartilage</w:t>
      </w:r>
      <w:r>
        <w:t xml:space="preserve"> </w:t>
      </w:r>
      <w:r>
        <w:t xml:space="preserve">· Management and Amelioration of Knee Joint Osteoarthritis in Adults Using a Novel High-Functional Bovine Collagen Peptide as a Nutritional Therapy: A Double-Blind, Prospective, Multicentric, Randomized, Active and Placebo Controlled, Five-Arm, Clinical Study to Evaluate the Efficacy, Safety, and Tolerability. PMID 38235711</w:t>
      </w:r>
    </w:p>
    <w:p>
      <w:pPr>
        <w:numPr>
          <w:ilvl w:val="0"/>
          <w:numId w:val="1421"/>
        </w:numPr>
        <w:pStyle w:val="Compact"/>
      </w:pPr>
      <w:r>
        <w:t xml:space="preserve">2024 · Salehi S ·</w:t>
      </w:r>
      <w:r>
        <w:t xml:space="preserve"> </w:t>
      </w:r>
      <w:r>
        <w:rPr>
          <w:iCs/>
          <w:i/>
        </w:rPr>
        <w:t xml:space="preserve">Burns</w:t>
      </w:r>
      <w:r>
        <w:t xml:space="preserve"> </w:t>
      </w:r>
      <w:r>
        <w:t xml:space="preserve">· Effects of hydrolyzed collagen alone or in combination with fish oil on the gut microbiome in patients with major burns. PMID 38114377</w:t>
      </w:r>
    </w:p>
    <w:p>
      <w:pPr>
        <w:numPr>
          <w:ilvl w:val="0"/>
          <w:numId w:val="1421"/>
        </w:numPr>
        <w:pStyle w:val="Compact"/>
      </w:pPr>
      <w:r>
        <w:t xml:space="preserve">2024 · Robberechts R ·</w:t>
      </w:r>
      <w:r>
        <w:t xml:space="preserve"> </w:t>
      </w:r>
      <w:r>
        <w:rPr>
          <w:iCs/>
          <w:i/>
        </w:rPr>
        <w:t xml:space="preserve">Int J Sport Nutr Exerc Metab</w:t>
      </w:r>
      <w:r>
        <w:t xml:space="preserve"> </w:t>
      </w:r>
      <w:r>
        <w:t xml:space="preserve">· Partly Substituting Whey for Collagen Peptide Supplementation Improves Neither Indices of Muscle Damage Nor Recovery of Functional Capacity During Eccentric Exercise Training in Fit Males. PMID 37922892</w:t>
      </w:r>
    </w:p>
    <w:p>
      <w:pPr>
        <w:numPr>
          <w:ilvl w:val="0"/>
          <w:numId w:val="1421"/>
        </w:numPr>
        <w:pStyle w:val="Compact"/>
      </w:pPr>
      <w:r>
        <w:t xml:space="preserve">2024 · Thomas C ·</w:t>
      </w:r>
      <w:r>
        <w:t xml:space="preserve"> </w:t>
      </w:r>
      <w:r>
        <w:rPr>
          <w:iCs/>
          <w:i/>
        </w:rPr>
        <w:t xml:space="preserve">Eur J Nutr</w:t>
      </w:r>
      <w:r>
        <w:t xml:space="preserve"> </w:t>
      </w:r>
      <w:r>
        <w:t xml:space="preserve">· Collagen peptide supplementation before bedtime reduces sleep fragmentation and improves cognitive function in physically active males with sleep complaints. PMID 37874350</w:t>
      </w:r>
    </w:p>
    <w:p>
      <w:pPr>
        <w:numPr>
          <w:ilvl w:val="0"/>
          <w:numId w:val="1421"/>
        </w:numPr>
        <w:pStyle w:val="Compact"/>
      </w:pPr>
      <w:r>
        <w:t xml:space="preserve">2024 · Seong SH ·</w:t>
      </w:r>
      <w:r>
        <w:t xml:space="preserve"> </w:t>
      </w:r>
      <w:r>
        <w:rPr>
          <w:iCs/>
          <w:i/>
        </w:rPr>
        <w:t xml:space="preserve">J Cosmet Dermatol</w:t>
      </w:r>
      <w:r>
        <w:t xml:space="preserve"> </w:t>
      </w:r>
      <w:r>
        <w:t xml:space="preserve">· Low-molecular-weight collagen peptides supplement promotes a healthy skin: A randomized, double-blinded, placebo-controlled study. PMID 37822045</w:t>
      </w:r>
    </w:p>
    <w:p>
      <w:pPr>
        <w:numPr>
          <w:ilvl w:val="0"/>
          <w:numId w:val="1421"/>
        </w:numPr>
        <w:pStyle w:val="Compact"/>
      </w:pPr>
      <w:r>
        <w:t xml:space="preserve">2023 · Chen L ·</w:t>
      </w:r>
      <w:r>
        <w:t xml:space="preserve"> </w:t>
      </w:r>
      <w:r>
        <w:rPr>
          <w:iCs/>
          <w:i/>
        </w:rPr>
        <w:t xml:space="preserve">Food Funct</w:t>
      </w:r>
      <w:r>
        <w:t xml:space="preserve"> </w:t>
      </w:r>
      <w:r>
        <w:t xml:space="preserve">· The effect of oral supplements containing collagen peptides rich in X-Hyp or X-Hyp-Gly compared with normal collagen hydrolysates on skin elasticity and collagen holes: a randomised double-blind clinical study. PMID 37970760</w:t>
      </w:r>
    </w:p>
    <w:p>
      <w:pPr>
        <w:numPr>
          <w:ilvl w:val="0"/>
          <w:numId w:val="1421"/>
        </w:numPr>
        <w:pStyle w:val="Compact"/>
      </w:pPr>
      <w:r>
        <w:t xml:space="preserve">2023 · Kviatkovsky SA ·</w:t>
      </w:r>
      <w:r>
        <w:t xml:space="preserve"> </w:t>
      </w:r>
      <w:r>
        <w:rPr>
          <w:iCs/>
          <w:i/>
        </w:rPr>
        <w:t xml:space="preserve">J Int Soc Sports Nutr</w:t>
      </w:r>
      <w:r>
        <w:t xml:space="preserve"> </w:t>
      </w:r>
      <w:r>
        <w:t xml:space="preserve">· Collagen peptides supplementation improves function, pain, and physical and mental outcomes in active adults. PMID 37551682</w:t>
      </w:r>
    </w:p>
    <w:p>
      <w:pPr>
        <w:numPr>
          <w:ilvl w:val="0"/>
          <w:numId w:val="1421"/>
        </w:numPr>
        <w:pStyle w:val="Compact"/>
      </w:pPr>
      <w:r>
        <w:t xml:space="preserve">2023 · Balshaw TG ·</w:t>
      </w:r>
      <w:r>
        <w:t xml:space="preserve"> </w:t>
      </w:r>
      <w:r>
        <w:rPr>
          <w:iCs/>
          <w:i/>
        </w:rPr>
        <w:t xml:space="preserve">Med Sci Sports Exerc</w:t>
      </w:r>
      <w:r>
        <w:t xml:space="preserve"> </w:t>
      </w:r>
      <w:r>
        <w:t xml:space="preserve">· The Effect of Specific Bioactive Collagen Peptides on Tendon Remodeling during 15 wk of Lower Body Resistance Training. PMID 37436929</w:t>
      </w:r>
    </w:p>
    <w:p>
      <w:pPr>
        <w:numPr>
          <w:ilvl w:val="0"/>
          <w:numId w:val="1421"/>
        </w:numPr>
        <w:pStyle w:val="Compact"/>
      </w:pPr>
      <w:r>
        <w:t xml:space="preserve">2023 · Jerger S ·</w:t>
      </w:r>
      <w:r>
        <w:t xml:space="preserve"> </w:t>
      </w:r>
      <w:r>
        <w:rPr>
          <w:iCs/>
          <w:i/>
        </w:rPr>
        <w:t xml:space="preserve">Eur J Sport Sci</w:t>
      </w:r>
      <w:r>
        <w:t xml:space="preserve"> </w:t>
      </w:r>
      <w:r>
        <w:t xml:space="preserve">· Specific collagen peptides increase adaptions of patellar tendon morphology following 14-weeks of high-load resistance training: A randomized-controlled trial. PMID 37424319</w:t>
      </w:r>
    </w:p>
    <w:p>
      <w:pPr>
        <w:numPr>
          <w:ilvl w:val="0"/>
          <w:numId w:val="1421"/>
        </w:numPr>
        <w:pStyle w:val="Compact"/>
      </w:pPr>
      <w:r>
        <w:t xml:space="preserve">2023 · Koizumi S ·</w:t>
      </w:r>
      <w:r>
        <w:t xml:space="preserve"> </w:t>
      </w:r>
      <w:r>
        <w:rPr>
          <w:iCs/>
          <w:i/>
        </w:rPr>
        <w:t xml:space="preserve">Biosci Biotechnol Biochem</w:t>
      </w:r>
      <w:r>
        <w:t xml:space="preserve"> </w:t>
      </w:r>
      <w:r>
        <w:t xml:space="preserve">· Ingestion of a collagen peptide containing high concentrations of prolyl-hydroxyproline and hydroxyprolyl-glycine reduces advanced glycation end products levels in the skin and subcutaneous blood vessel walls: a randomized, double-blind, placebo-controlled study. PMID 37245058</w:t>
      </w:r>
    </w:p>
    <w:p>
      <w:pPr>
        <w:numPr>
          <w:ilvl w:val="0"/>
          <w:numId w:val="1421"/>
        </w:numPr>
        <w:pStyle w:val="Compact"/>
      </w:pPr>
      <w:r>
        <w:t xml:space="preserve">2023 · Chen CC ·</w:t>
      </w:r>
      <w:r>
        <w:t xml:space="preserve"> </w:t>
      </w:r>
      <w:r>
        <w:rPr>
          <w:iCs/>
          <w:i/>
        </w:rPr>
        <w:t xml:space="preserve">Nutr J</w:t>
      </w:r>
      <w:r>
        <w:t xml:space="preserve"> </w:t>
      </w:r>
      <w:r>
        <w:t xml:space="preserve">· Randomized, double-blind, four-arm pilot study on the effects of chicken essence and type II collagen hydrolysate on joint, bone, and muscle functions. PMID 36918892</w:t>
      </w:r>
    </w:p>
    <w:p>
      <w:pPr>
        <w:numPr>
          <w:ilvl w:val="0"/>
          <w:numId w:val="1421"/>
        </w:numPr>
        <w:pStyle w:val="Compact"/>
      </w:pPr>
      <w:r>
        <w:t xml:space="preserve">2023 · Lee M ·</w:t>
      </w:r>
      <w:r>
        <w:t xml:space="preserve"> </w:t>
      </w:r>
      <w:r>
        <w:rPr>
          <w:iCs/>
          <w:i/>
        </w:rPr>
        <w:t xml:space="preserve">Food Funct</w:t>
      </w:r>
      <w:r>
        <w:t xml:space="preserve"> </w:t>
      </w:r>
      <w:r>
        <w:t xml:space="preserve">· Oral intake of collagen peptide NS improves hydration, elasticity, desquamation, and wrinkling in human skin: a randomized, double-blinded, placebo-controlled study. PMID 36916504</w:t>
      </w:r>
    </w:p>
    <w:p>
      <w:pPr>
        <w:numPr>
          <w:ilvl w:val="0"/>
          <w:numId w:val="1421"/>
        </w:numPr>
        <w:pStyle w:val="Compact"/>
      </w:pPr>
      <w:r>
        <w:t xml:space="preserve">2023 · Balshaw TG ·</w:t>
      </w:r>
      <w:r>
        <w:t xml:space="preserve"> </w:t>
      </w:r>
      <w:r>
        <w:rPr>
          <w:iCs/>
          <w:i/>
        </w:rPr>
        <w:t xml:space="preserve">Acta Physiol (Oxf)</w:t>
      </w:r>
      <w:r>
        <w:t xml:space="preserve"> </w:t>
      </w:r>
      <w:r>
        <w:t xml:space="preserve">· The effect of specific bioactive collagen peptides on function and muscle remodeling during human resistance training. PMID 36433662</w:t>
      </w:r>
    </w:p>
    <w:p>
      <w:pPr>
        <w:numPr>
          <w:ilvl w:val="0"/>
          <w:numId w:val="1421"/>
        </w:numPr>
        <w:pStyle w:val="Compact"/>
      </w:pPr>
      <w:r>
        <w:t xml:space="preserve">2023 · Taylor G ·</w:t>
      </w:r>
      <w:r>
        <w:t xml:space="preserve"> </w:t>
      </w:r>
      <w:r>
        <w:rPr>
          <w:iCs/>
          <w:i/>
        </w:rPr>
        <w:t xml:space="preserve">Eur J Nutr</w:t>
      </w:r>
      <w:r>
        <w:t xml:space="preserve"> </w:t>
      </w:r>
      <w:r>
        <w:t xml:space="preserve">· The effects of collagen peptides on exercise-induced gastrointestinal stress: a randomized, controlled trial. PMID 36370176</w:t>
      </w:r>
    </w:p>
    <w:p>
      <w:pPr>
        <w:numPr>
          <w:ilvl w:val="0"/>
          <w:numId w:val="1421"/>
        </w:numPr>
        <w:pStyle w:val="Compact"/>
      </w:pPr>
      <w:r>
        <w:t xml:space="preserve">2022 · Kim J ·</w:t>
      </w:r>
      <w:r>
        <w:t xml:space="preserve"> </w:t>
      </w:r>
      <w:r>
        <w:rPr>
          <w:iCs/>
          <w:i/>
        </w:rPr>
        <w:t xml:space="preserve">J Med Food</w:t>
      </w:r>
      <w:r>
        <w:t xml:space="preserve"> </w:t>
      </w:r>
      <w:r>
        <w:t xml:space="preserve">· Oral Supplementation of Low-Molecular-Weight Collagen Peptides Reduces Skin Wrinkles and Improves Biophysical Properties of Skin: A Randomized, Double-Blinded, Placebo-Controlled Study. PMID 36516059</w:t>
      </w:r>
    </w:p>
    <w:p>
      <w:pPr>
        <w:numPr>
          <w:ilvl w:val="0"/>
          <w:numId w:val="1421"/>
        </w:numPr>
        <w:pStyle w:val="Compact"/>
      </w:pPr>
      <w:r>
        <w:t xml:space="preserve">2022 · Jockel-Schneider Y ·</w:t>
      </w:r>
      <w:r>
        <w:t xml:space="preserve"> </w:t>
      </w:r>
      <w:r>
        <w:rPr>
          <w:iCs/>
          <w:i/>
        </w:rPr>
        <w:t xml:space="preserve">Nutrients</w:t>
      </w:r>
      <w:r>
        <w:t xml:space="preserve"> </w:t>
      </w:r>
      <w:r>
        <w:t xml:space="preserve">· Impact of a Specific Collagen Peptide Food Supplement on Periodontal Inflammation in Aftercare Patients-A Randomised Controlled Trial. PMID 36364735</w:t>
      </w:r>
    </w:p>
    <w:p>
      <w:pPr>
        <w:numPr>
          <w:ilvl w:val="0"/>
          <w:numId w:val="1421"/>
        </w:numPr>
        <w:pStyle w:val="Compact"/>
      </w:pPr>
      <w:r>
        <w:t xml:space="preserve">2022 · Jerger S ·</w:t>
      </w:r>
      <w:r>
        <w:t xml:space="preserve"> </w:t>
      </w:r>
      <w:r>
        <w:rPr>
          <w:iCs/>
          <w:i/>
        </w:rPr>
        <w:t xml:space="preserve">Scand J Med Sci Sports</w:t>
      </w:r>
      <w:r>
        <w:t xml:space="preserve"> </w:t>
      </w:r>
      <w:r>
        <w:t xml:space="preserve">· Effects of specific collagen peptide supplementation combined with resistance training on Achilles tendon properties. PMID 35403756</w:t>
      </w:r>
    </w:p>
    <w:p>
      <w:pPr>
        <w:numPr>
          <w:ilvl w:val="0"/>
          <w:numId w:val="1421"/>
        </w:numPr>
        <w:pStyle w:val="Compact"/>
      </w:pPr>
      <w:r>
        <w:t xml:space="preserve">2022 · Jacinto JL ·</w:t>
      </w:r>
      <w:r>
        <w:t xml:space="preserve"> </w:t>
      </w:r>
      <w:r>
        <w:rPr>
          <w:iCs/>
          <w:i/>
        </w:rPr>
        <w:t xml:space="preserve">Int J Sport Nutr Exerc Metab</w:t>
      </w:r>
      <w:r>
        <w:t xml:space="preserve"> </w:t>
      </w:r>
      <w:r>
        <w:t xml:space="preserve">· Whey Protein Supplementation Is Superior to Leucine-Matched Collagen Peptides to Increase Muscle Thickness During a 10-Week Resistance Training Program in Untrained Young Adults. PMID 35042187</w:t>
      </w:r>
    </w:p>
    <w:p>
      <w:pPr>
        <w:numPr>
          <w:ilvl w:val="0"/>
          <w:numId w:val="1421"/>
        </w:numPr>
        <w:pStyle w:val="Compact"/>
      </w:pPr>
      <w:r>
        <w:t xml:space="preserve">2022 · Lampropoulou-Adamidou K ·</w:t>
      </w:r>
      <w:r>
        <w:t xml:space="preserve"> </w:t>
      </w:r>
      <w:r>
        <w:rPr>
          <w:iCs/>
          <w:i/>
        </w:rPr>
        <w:t xml:space="preserve">J Clin Densitom</w:t>
      </w:r>
      <w:r>
        <w:t xml:space="preserve"> </w:t>
      </w:r>
      <w:r>
        <w:t xml:space="preserve">· Effect of Calcium and Vitamin D Supplementation With and Without Collagen Peptides on Volumetric and Areal Bone Mineral Density, Bone Geometry and Bone Turnover in Postmenopausal Women With Osteopenia. PMID 34980546</w:t>
      </w:r>
    </w:p>
    <w:p>
      <w:pPr>
        <w:numPr>
          <w:ilvl w:val="0"/>
          <w:numId w:val="1421"/>
        </w:numPr>
        <w:pStyle w:val="Compact"/>
      </w:pPr>
      <w:r>
        <w:t xml:space="preserve">2022 · Farì G ·</w:t>
      </w:r>
      <w:r>
        <w:t xml:space="preserve"> </w:t>
      </w:r>
      <w:r>
        <w:rPr>
          <w:iCs/>
          <w:i/>
        </w:rPr>
        <w:t xml:space="preserve">Endocr Metab Immune Disord Drug Targets</w:t>
      </w:r>
      <w:r>
        <w:t xml:space="preserve"> </w:t>
      </w:r>
      <w:r>
        <w:t xml:space="preserve">· Collagen Peptides, in Association with Vitamin C, Sodium Hyaluronate, Manganese and Copper, as Part of the Rehabilitation Project in the Treatment of Chronic Low Back Pain. PMID 33568038</w:t>
      </w:r>
    </w:p>
    <w:p>
      <w:pPr>
        <w:numPr>
          <w:ilvl w:val="0"/>
          <w:numId w:val="1421"/>
        </w:numPr>
        <w:pStyle w:val="Compact"/>
      </w:pPr>
      <w:r>
        <w:t xml:space="preserve">2021 · Maia Campos PMBG ·</w:t>
      </w:r>
      <w:r>
        <w:t xml:space="preserve"> </w:t>
      </w:r>
      <w:r>
        <w:rPr>
          <w:iCs/>
          <w:i/>
        </w:rPr>
        <w:t xml:space="preserve">Molecules</w:t>
      </w:r>
      <w:r>
        <w:t xml:space="preserve"> </w:t>
      </w:r>
      <w:r>
        <w:t xml:space="preserve">· Oral Supplementation with Hydrolyzed Fish Cartilage Improves the Morphological and Structural Characteristics of the Skin: A Double-Blind, Placebo-Controlled Clinical Study. PMID 34443468</w:t>
      </w:r>
    </w:p>
    <w:p>
      <w:pPr>
        <w:numPr>
          <w:ilvl w:val="0"/>
          <w:numId w:val="1421"/>
        </w:numPr>
        <w:pStyle w:val="Compact"/>
      </w:pPr>
      <w:r>
        <w:t xml:space="preserve">2021 · Osawa Y ·</w:t>
      </w:r>
      <w:r>
        <w:t xml:space="preserve"> </w:t>
      </w:r>
      <w:r>
        <w:rPr>
          <w:iCs/>
          <w:i/>
        </w:rPr>
        <w:t xml:space="preserve">Sci Rep</w:t>
      </w:r>
      <w:r>
        <w:t xml:space="preserve"> </w:t>
      </w:r>
      <w:r>
        <w:t xml:space="preserve">· Monitoring urinary collagen metabolite changes following collagen peptide ingestion and physical activity using ELISA with anti active collagen oligopeptide antibody. PMID 34188133</w:t>
      </w:r>
    </w:p>
    <w:p>
      <w:pPr>
        <w:numPr>
          <w:ilvl w:val="0"/>
          <w:numId w:val="1421"/>
        </w:numPr>
        <w:pStyle w:val="Compact"/>
      </w:pPr>
      <w:r>
        <w:t xml:space="preserve">2021 · Zdzieblik D ·</w:t>
      </w:r>
      <w:r>
        <w:t xml:space="preserve"> </w:t>
      </w:r>
      <w:r>
        <w:rPr>
          <w:iCs/>
          <w:i/>
        </w:rPr>
        <w:t xml:space="preserve">Int J Environ Res Public Health</w:t>
      </w:r>
      <w:r>
        <w:t xml:space="preserve"> </w:t>
      </w:r>
      <w:r>
        <w:t xml:space="preserve">· The Influence of Specific Bioactive Collagen Peptides on Body Composition and Muscle Strength in Middle-Aged, Untrained Men: A Randomized Controlled Trial. PMID 33946565</w:t>
      </w:r>
    </w:p>
    <w:p>
      <w:pPr>
        <w:numPr>
          <w:ilvl w:val="0"/>
          <w:numId w:val="1421"/>
        </w:numPr>
        <w:pStyle w:val="Compact"/>
      </w:pPr>
      <w:r>
        <w:t xml:space="preserve">2021 · Miyanaga M ·</w:t>
      </w:r>
      <w:r>
        <w:t xml:space="preserve"> </w:t>
      </w:r>
      <w:r>
        <w:rPr>
          <w:iCs/>
          <w:i/>
        </w:rPr>
        <w:t xml:space="preserve">Skin Pharmacol Physiol</w:t>
      </w:r>
      <w:r>
        <w:t xml:space="preserve"> </w:t>
      </w:r>
      <w:r>
        <w:t xml:space="preserve">· Oral Supplementation of Collagen Peptides Improves Skin Hydration by Increasing the Natural Moisturizing Factor Content in the Stratum Corneum: A Randomized, Double-Blind, Placebo-Controlled Clinical Trial. PMID 33774639</w:t>
      </w:r>
    </w:p>
    <w:p>
      <w:pPr>
        <w:numPr>
          <w:ilvl w:val="0"/>
          <w:numId w:val="1421"/>
        </w:numPr>
        <w:pStyle w:val="Compact"/>
      </w:pPr>
      <w:r>
        <w:t xml:space="preserve">2021 · Wageh M ·</w:t>
      </w:r>
      <w:r>
        <w:t xml:space="preserve"> </w:t>
      </w:r>
      <w:r>
        <w:rPr>
          <w:iCs/>
          <w:i/>
        </w:rPr>
        <w:t xml:space="preserve">Med Sci Sports Exerc</w:t>
      </w:r>
      <w:r>
        <w:t xml:space="preserve"> </w:t>
      </w:r>
      <w:r>
        <w:t xml:space="preserve">· The Effect of a Multi-ingredient Supplement on Resistance Training-induced Adaptations. PMID 33756525</w:t>
      </w:r>
    </w:p>
    <w:p>
      <w:pPr>
        <w:numPr>
          <w:ilvl w:val="0"/>
          <w:numId w:val="1421"/>
        </w:numPr>
        <w:pStyle w:val="Compact"/>
      </w:pPr>
      <w:r>
        <w:t xml:space="preserve">2021 · Zdzieblik D ·</w:t>
      </w:r>
      <w:r>
        <w:t xml:space="preserve"> </w:t>
      </w:r>
      <w:r>
        <w:rPr>
          <w:iCs/>
          <w:i/>
        </w:rPr>
        <w:t xml:space="preserve">Nutrients</w:t>
      </w:r>
      <w:r>
        <w:t xml:space="preserve"> </w:t>
      </w:r>
      <w:r>
        <w:t xml:space="preserve">· The Influence of Specific Bioactive Collagen Peptides on Knee Joint Discomfort in Young Physically Active Adults: A Randomized Controlled Trial. PMID 33562729</w:t>
      </w:r>
    </w:p>
    <w:p>
      <w:pPr>
        <w:numPr>
          <w:ilvl w:val="0"/>
          <w:numId w:val="1421"/>
        </w:numPr>
        <w:pStyle w:val="Compact"/>
      </w:pPr>
      <w:r>
        <w:t xml:space="preserve">2021 · Brook MS ·</w:t>
      </w:r>
      <w:r>
        <w:t xml:space="preserve"> </w:t>
      </w:r>
      <w:r>
        <w:rPr>
          <w:iCs/>
          <w:i/>
        </w:rPr>
        <w:t xml:space="preserve">Clin Nutr</w:t>
      </w:r>
      <w:r>
        <w:t xml:space="preserve"> </w:t>
      </w:r>
      <w:r>
        <w:t xml:space="preserve">· A collagen hydrolysate/milk protein-blend stimulates muscle anabolism equivalently to an isoenergetic milk protein-blend containing a greater quantity of essential amino acids in older men. PMID 33487503</w:t>
      </w:r>
    </w:p>
    <w:p>
      <w:pPr>
        <w:numPr>
          <w:ilvl w:val="0"/>
          <w:numId w:val="1421"/>
        </w:numPr>
        <w:pStyle w:val="Compact"/>
      </w:pPr>
      <w:r>
        <w:t xml:space="preserve">2021 · Prowting JL ·</w:t>
      </w:r>
      <w:r>
        <w:t xml:space="preserve"> </w:t>
      </w:r>
      <w:r>
        <w:rPr>
          <w:iCs/>
          <w:i/>
        </w:rPr>
        <w:t xml:space="preserve">Int J Sport Nutr Exerc Metab</w:t>
      </w:r>
      <w:r>
        <w:t xml:space="preserve"> </w:t>
      </w:r>
      <w:r>
        <w:t xml:space="preserve">· Effects of Collagen Peptides on Recovery Following Eccentric Exercise in Resistance-Trained Males-A Pilot Study. PMID 33186897</w:t>
      </w:r>
    </w:p>
    <w:p>
      <w:pPr>
        <w:numPr>
          <w:ilvl w:val="0"/>
          <w:numId w:val="1421"/>
        </w:numPr>
        <w:pStyle w:val="Compact"/>
      </w:pPr>
      <w:r>
        <w:t xml:space="preserve">2021 · Sangsuwan W ·</w:t>
      </w:r>
      <w:r>
        <w:t xml:space="preserve"> </w:t>
      </w:r>
      <w:r>
        <w:rPr>
          <w:iCs/>
          <w:i/>
        </w:rPr>
        <w:t xml:space="preserve">J Dermatolog Treat</w:t>
      </w:r>
      <w:r>
        <w:t xml:space="preserve"> </w:t>
      </w:r>
      <w:r>
        <w:t xml:space="preserve">· Four-weeks daily intake of oral collagen hydrolysate results in improved skin elasticity, especially in sun-exposed areas: a randomized, double-blind, placebo-controlled trial. PMID 32009486</w:t>
      </w:r>
    </w:p>
    <w:p>
      <w:pPr>
        <w:numPr>
          <w:ilvl w:val="0"/>
          <w:numId w:val="1421"/>
        </w:numPr>
        <w:pStyle w:val="Compact"/>
      </w:pPr>
      <w:r>
        <w:t xml:space="preserve">2020 · MacInnis MJ ·</w:t>
      </w:r>
      <w:r>
        <w:t xml:space="preserve"> </w:t>
      </w:r>
      <w:r>
        <w:rPr>
          <w:iCs/>
          <w:i/>
        </w:rPr>
        <w:t xml:space="preserve">Int J Sport Nutr Exerc Metab</w:t>
      </w:r>
      <w:r>
        <w:t xml:space="preserve"> </w:t>
      </w:r>
      <w:r>
        <w:t xml:space="preserve">· Presleep α-Lactalbumin Consumption Does Not Improve Sleep Quality or Time-Trial Performance in Cyclists. PMID 32698123</w:t>
      </w:r>
    </w:p>
    <w:p>
      <w:pPr>
        <w:numPr>
          <w:ilvl w:val="0"/>
          <w:numId w:val="1421"/>
        </w:numPr>
        <w:pStyle w:val="Compact"/>
      </w:pPr>
      <w:r>
        <w:t xml:space="preserve">2020 · Nomoto T ·</w:t>
      </w:r>
      <w:r>
        <w:t xml:space="preserve"> </w:t>
      </w:r>
      <w:r>
        <w:rPr>
          <w:iCs/>
          <w:i/>
        </w:rPr>
        <w:t xml:space="preserve">Adv Skin Wound Care</w:t>
      </w:r>
      <w:r>
        <w:t xml:space="preserve"> </w:t>
      </w:r>
      <w:r>
        <w:t xml:space="preserve">· Effect of an Oral Nutrition Supplement Containing Collagen Peptides on Stratum Corneum Hydration and Skin Elasticity in Hospitalized Older Adults: A Multicenter Open-label Randomized Controlled Study. PMID 32195722</w:t>
      </w:r>
    </w:p>
    <w:p>
      <w:pPr>
        <w:numPr>
          <w:ilvl w:val="0"/>
          <w:numId w:val="1421"/>
        </w:numPr>
        <w:pStyle w:val="Compact"/>
      </w:pPr>
      <w:r>
        <w:t xml:space="preserve">2020 · Argyrou C ·</w:t>
      </w:r>
      <w:r>
        <w:t xml:space="preserve"> </w:t>
      </w:r>
      <w:r>
        <w:rPr>
          <w:iCs/>
          <w:i/>
        </w:rPr>
        <w:t xml:space="preserve">J Musculoskelet Neuronal Interact</w:t>
      </w:r>
      <w:r>
        <w:t xml:space="preserve"> </w:t>
      </w:r>
      <w:r>
        <w:t xml:space="preserve">· Effect of calcium and vitamin D supplementation with and without collagen peptides on bone turnover in postmenopausal women with osteopenia. PMID 32131366</w:t>
      </w:r>
    </w:p>
    <w:p>
      <w:pPr>
        <w:numPr>
          <w:ilvl w:val="0"/>
          <w:numId w:val="1421"/>
        </w:numPr>
        <w:pStyle w:val="Compact"/>
      </w:pPr>
      <w:r>
        <w:t xml:space="preserve">2020 · Žmitek K ·</w:t>
      </w:r>
      <w:r>
        <w:t xml:space="preserve"> </w:t>
      </w:r>
      <w:r>
        <w:rPr>
          <w:iCs/>
          <w:i/>
        </w:rPr>
        <w:t xml:space="preserve">Nutrients</w:t>
      </w:r>
      <w:r>
        <w:t xml:space="preserve"> </w:t>
      </w:r>
      <w:r>
        <w:t xml:space="preserve">· Effects of a Combination of Water-Soluble CoenzymeQ10 and Collagen on Skin Parameters and Condition:Results of a Randomised, Placebo-Controlled,Double-Blind Study. PMID 32120787</w:t>
      </w:r>
    </w:p>
    <w:p>
      <w:pPr>
        <w:numPr>
          <w:ilvl w:val="0"/>
          <w:numId w:val="1421"/>
        </w:numPr>
        <w:pStyle w:val="Compact"/>
      </w:pPr>
      <w:r>
        <w:t xml:space="preserve">2020 · Laing S ·</w:t>
      </w:r>
      <w:r>
        <w:t xml:space="preserve"> </w:t>
      </w:r>
      <w:r>
        <w:rPr>
          <w:iCs/>
          <w:i/>
        </w:rPr>
        <w:t xml:space="preserve">J Med Food</w:t>
      </w:r>
      <w:r>
        <w:t xml:space="preserve"> </w:t>
      </w:r>
      <w:r>
        <w:t xml:space="preserve">· A Dermonutrient Containing Special Collagen Peptides Improves Skin Structure and Function: A Randomized, Placebo-Controlled, Triple-Blind Trial Using Confocal Laser Scanning Microscopy on the Cosmetic Effects and Tolerance of a Drinkable Collagen Supplement. PMID 32017646</w:t>
      </w:r>
    </w:p>
    <w:p>
      <w:pPr>
        <w:numPr>
          <w:ilvl w:val="0"/>
          <w:numId w:val="1421"/>
        </w:numPr>
        <w:pStyle w:val="Compact"/>
      </w:pPr>
      <w:r>
        <w:t xml:space="preserve">2020 · Bongers CCWG ·</w:t>
      </w:r>
      <w:r>
        <w:t xml:space="preserve"> </w:t>
      </w:r>
      <w:r>
        <w:rPr>
          <w:iCs/>
          <w:i/>
        </w:rPr>
        <w:t xml:space="preserve">Appl Physiol Nutr Metab</w:t>
      </w:r>
      <w:r>
        <w:t xml:space="preserve"> </w:t>
      </w:r>
      <w:r>
        <w:t xml:space="preserve">· Effectiveness of collagen supplementation on pain scores in healthy individuals with self-reported knee pain: a randomized controlled trial. PMID 31990581</w:t>
      </w:r>
    </w:p>
    <w:p>
      <w:pPr>
        <w:numPr>
          <w:ilvl w:val="0"/>
          <w:numId w:val="1421"/>
        </w:numPr>
        <w:pStyle w:val="Compact"/>
      </w:pPr>
      <w:r>
        <w:t xml:space="preserve">2020 · Oikawa SY ·</w:t>
      </w:r>
      <w:r>
        <w:t xml:space="preserve"> </w:t>
      </w:r>
      <w:r>
        <w:rPr>
          <w:iCs/>
          <w:i/>
        </w:rPr>
        <w:t xml:space="preserve">Am J Clin Nutr</w:t>
      </w:r>
      <w:r>
        <w:t xml:space="preserve"> </w:t>
      </w:r>
      <w:r>
        <w:t xml:space="preserve">· Whey protein but not collagen peptides stimulate acute and longer-term muscle protein synthesis with and without resistance exercise in healthy older women: a randomized controlled trial. PMID 31919527</w:t>
      </w:r>
    </w:p>
    <w:p>
      <w:pPr>
        <w:numPr>
          <w:ilvl w:val="0"/>
          <w:numId w:val="1421"/>
        </w:numPr>
        <w:pStyle w:val="Compact"/>
      </w:pPr>
      <w:r>
        <w:t xml:space="preserve">2019 · Bolke L ·</w:t>
      </w:r>
      <w:r>
        <w:t xml:space="preserve"> </w:t>
      </w:r>
      <w:r>
        <w:rPr>
          <w:iCs/>
          <w:i/>
        </w:rPr>
        <w:t xml:space="preserve">Nutrients</w:t>
      </w:r>
      <w:r>
        <w:t xml:space="preserve"> </w:t>
      </w:r>
      <w:r>
        <w:t xml:space="preserve">· A Collagen Supplement Improves Skin Hydration, Elasticity, Roughness, and Density: Results of a Randomized, Placebo-Controlled, Blind Study. PMID 31627309</w:t>
      </w:r>
    </w:p>
    <w:p>
      <w:pPr>
        <w:numPr>
          <w:ilvl w:val="0"/>
          <w:numId w:val="1421"/>
        </w:numPr>
        <w:pStyle w:val="Compact"/>
      </w:pPr>
      <w:r>
        <w:t xml:space="preserve">2019 · Centner C ·</w:t>
      </w:r>
      <w:r>
        <w:t xml:space="preserve"> </w:t>
      </w:r>
      <w:r>
        <w:rPr>
          <w:iCs/>
          <w:i/>
        </w:rPr>
        <w:t xml:space="preserve">J Sports Sci Med</w:t>
      </w:r>
      <w:r>
        <w:t xml:space="preserve"> </w:t>
      </w:r>
      <w:r>
        <w:t xml:space="preserve">· Effects of Blood Flow Restriction Training with Protein Supplementation on Muscle Mass And Strength in Older Men. PMID 31427869</w:t>
      </w:r>
    </w:p>
    <w:p>
      <w:pPr>
        <w:numPr>
          <w:ilvl w:val="0"/>
          <w:numId w:val="1421"/>
        </w:numPr>
        <w:pStyle w:val="Compact"/>
      </w:pPr>
      <w:r>
        <w:t xml:space="preserve">2019 · Kirmse M ·</w:t>
      </w:r>
      <w:r>
        <w:t xml:space="preserve"> </w:t>
      </w:r>
      <w:r>
        <w:rPr>
          <w:iCs/>
          <w:i/>
        </w:rPr>
        <w:t xml:space="preserve">Nutrients</w:t>
      </w:r>
      <w:r>
        <w:t xml:space="preserve"> </w:t>
      </w:r>
      <w:r>
        <w:t xml:space="preserve">· Prolonged Collagen Peptide Supplementation and Resistance Exercise Training Affects Body Composition in Recreationally Active Men. PMID 31126103</w:t>
      </w:r>
    </w:p>
    <w:p>
      <w:pPr>
        <w:numPr>
          <w:ilvl w:val="0"/>
          <w:numId w:val="1421"/>
        </w:numPr>
        <w:pStyle w:val="Compact"/>
      </w:pPr>
      <w:r>
        <w:t xml:space="preserve">2019 · Oertzen-Hagemann V ·</w:t>
      </w:r>
      <w:r>
        <w:t xml:space="preserve"> </w:t>
      </w:r>
      <w:r>
        <w:rPr>
          <w:iCs/>
          <w:i/>
        </w:rPr>
        <w:t xml:space="preserve">Nutrients</w:t>
      </w:r>
      <w:r>
        <w:t xml:space="preserve"> </w:t>
      </w:r>
      <w:r>
        <w:t xml:space="preserve">· Effects of 12 Weeks of Hypertrophy Resistance Exercise Training Combined with Collagen Peptide Supplementation on the Skeletal Muscle Proteome in Recreationally Active Men. PMID 31091754</w:t>
      </w:r>
    </w:p>
    <w:p>
      <w:pPr>
        <w:numPr>
          <w:ilvl w:val="0"/>
          <w:numId w:val="1421"/>
        </w:numPr>
        <w:pStyle w:val="Compact"/>
      </w:pPr>
      <w:r>
        <w:t xml:space="preserve">2019 · Skov K ·</w:t>
      </w:r>
      <w:r>
        <w:t xml:space="preserve"> </w:t>
      </w:r>
      <w:r>
        <w:rPr>
          <w:iCs/>
          <w:i/>
        </w:rPr>
        <w:t xml:space="preserve">Nutrients</w:t>
      </w:r>
      <w:r>
        <w:t xml:space="preserve"> </w:t>
      </w:r>
      <w:r>
        <w:t xml:space="preserve">· Enzymatic Hydrolysis of a Collagen Hydrolysate Enhances Postprandial Absorption Rate-A Randomized Controlled Trial. PMID 31086034</w:t>
      </w:r>
    </w:p>
    <w:p>
      <w:pPr>
        <w:numPr>
          <w:ilvl w:val="0"/>
          <w:numId w:val="1421"/>
        </w:numPr>
        <w:pStyle w:val="Compact"/>
      </w:pPr>
      <w:r>
        <w:t xml:space="preserve">2019 · Jendricke P ·</w:t>
      </w:r>
      <w:r>
        <w:t xml:space="preserve"> </w:t>
      </w:r>
      <w:r>
        <w:rPr>
          <w:iCs/>
          <w:i/>
        </w:rPr>
        <w:t xml:space="preserve">Nutrients</w:t>
      </w:r>
      <w:r>
        <w:t xml:space="preserve"> </w:t>
      </w:r>
      <w:r>
        <w:t xml:space="preserve">· Specific Collagen Peptides in Combination with Resistance Training Improve Body Composition and Regional Muscle Strength in Premenopausal Women: A Randomized Controlled Trial. PMID 31010031</w:t>
      </w:r>
    </w:p>
    <w:p>
      <w:pPr>
        <w:numPr>
          <w:ilvl w:val="0"/>
          <w:numId w:val="1421"/>
        </w:numPr>
        <w:pStyle w:val="Compact"/>
      </w:pPr>
      <w:r>
        <w:t xml:space="preserve">2019 · Tak YJ ·</w:t>
      </w:r>
      <w:r>
        <w:t xml:space="preserve"> </w:t>
      </w:r>
      <w:r>
        <w:rPr>
          <w:iCs/>
          <w:i/>
        </w:rPr>
        <w:t xml:space="preserve">Mar Drugs</w:t>
      </w:r>
      <w:r>
        <w:t xml:space="preserve"> </w:t>
      </w:r>
      <w:r>
        <w:t xml:space="preserve">· Effect of Oral Ingestion of Low-Molecular Collagen Peptides Derived from Skate (Raja Kenojei) Skin on Body Fat in Overweight Adults: A Randomized, Double-Blind, Placebo-Controlled Trial. PMID 30866485</w:t>
      </w:r>
    </w:p>
    <w:p>
      <w:pPr>
        <w:numPr>
          <w:ilvl w:val="0"/>
          <w:numId w:val="1421"/>
        </w:numPr>
        <w:pStyle w:val="Compact"/>
      </w:pPr>
      <w:r>
        <w:t xml:space="preserve">2019 · Asai T ·</w:t>
      </w:r>
      <w:r>
        <w:t xml:space="preserve"> </w:t>
      </w:r>
      <w:r>
        <w:rPr>
          <w:iCs/>
          <w:i/>
        </w:rPr>
        <w:t xml:space="preserve">J Agric Food Chem</w:t>
      </w:r>
      <w:r>
        <w:t xml:space="preserve"> </w:t>
      </w:r>
      <w:r>
        <w:t xml:space="preserve">· Amount of Collagen in the Meat Contained in Japanese Daily Dishes and the Collagen Peptide Content in Human Blood after Ingestion of Cooked Fish Meat. PMID 30784272</w:t>
      </w:r>
    </w:p>
    <w:p>
      <w:pPr>
        <w:numPr>
          <w:ilvl w:val="0"/>
          <w:numId w:val="1421"/>
        </w:numPr>
        <w:pStyle w:val="Compact"/>
      </w:pPr>
      <w:r>
        <w:t xml:space="preserve">2019 · Clifford T ·</w:t>
      </w:r>
      <w:r>
        <w:t xml:space="preserve"> </w:t>
      </w:r>
      <w:r>
        <w:rPr>
          <w:iCs/>
          <w:i/>
        </w:rPr>
        <w:t xml:space="preserve">Amino Acids</w:t>
      </w:r>
      <w:r>
        <w:t xml:space="preserve"> </w:t>
      </w:r>
      <w:r>
        <w:t xml:space="preserve">· The effects of collagen peptides on muscle damage, inflammation and bone turnover following exercise: a randomized, controlled trial. PMID 30783776</w:t>
      </w:r>
    </w:p>
    <w:p>
      <w:pPr>
        <w:numPr>
          <w:ilvl w:val="0"/>
          <w:numId w:val="1421"/>
        </w:numPr>
        <w:pStyle w:val="Compact"/>
      </w:pPr>
      <w:r>
        <w:t xml:space="preserve">2019 · Praet SFE ·</w:t>
      </w:r>
      <w:r>
        <w:t xml:space="preserve"> </w:t>
      </w:r>
      <w:r>
        <w:rPr>
          <w:iCs/>
          <w:i/>
        </w:rPr>
        <w:t xml:space="preserve">Nutrients</w:t>
      </w:r>
      <w:r>
        <w:t xml:space="preserve"> </w:t>
      </w:r>
      <w:r>
        <w:t xml:space="preserve">· Oral Supplementation of Specific Collagen Peptides Combined with Calf-Strengthening Exercises Enhances Function and Reduces Pain in Achilles Tendinopathy Patients. PMID 30609761</w:t>
      </w:r>
    </w:p>
    <w:p>
      <w:pPr>
        <w:numPr>
          <w:ilvl w:val="0"/>
          <w:numId w:val="1421"/>
        </w:numPr>
        <w:pStyle w:val="Compact"/>
      </w:pPr>
      <w:r>
        <w:t xml:space="preserve">2018 · Ito N ·</w:t>
      </w:r>
      <w:r>
        <w:t xml:space="preserve"> </w:t>
      </w:r>
      <w:r>
        <w:rPr>
          <w:iCs/>
          <w:i/>
        </w:rPr>
        <w:t xml:space="preserve">Mar Drugs</w:t>
      </w:r>
      <w:r>
        <w:t xml:space="preserve"> </w:t>
      </w:r>
      <w:r>
        <w:t xml:space="preserve">· Effects of Composite Supplement Containing Collagen Peptide and Ornithine on Skin Conditions and Plasma IGF-1 Levels-A Randomized, Double-Blind, Placebo-Controlled Trial. PMID 30513923</w:t>
      </w:r>
    </w:p>
    <w:p>
      <w:pPr>
        <w:numPr>
          <w:ilvl w:val="0"/>
          <w:numId w:val="1421"/>
        </w:numPr>
        <w:pStyle w:val="Compact"/>
      </w:pPr>
      <w:r>
        <w:t xml:space="preserve">2018 · Oikawa SY ·</w:t>
      </w:r>
      <w:r>
        <w:t xml:space="preserve"> </w:t>
      </w:r>
      <w:r>
        <w:rPr>
          <w:iCs/>
          <w:i/>
        </w:rPr>
        <w:t xml:space="preserve">Am J Clin Nutr</w:t>
      </w:r>
      <w:r>
        <w:t xml:space="preserve"> </w:t>
      </w:r>
      <w:r>
        <w:t xml:space="preserve">· A randomized controlled trial of the impact of protein supplementation on leg lean mass and integrated muscle protein synthesis during inactivity and energy restriction in older persons. PMID 30289425</w:t>
      </w:r>
    </w:p>
    <w:p>
      <w:pPr>
        <w:numPr>
          <w:ilvl w:val="0"/>
          <w:numId w:val="1421"/>
        </w:numPr>
        <w:pStyle w:val="Compact"/>
      </w:pPr>
      <w:r>
        <w:t xml:space="preserve">2018 · Shigemura Y ·</w:t>
      </w:r>
      <w:r>
        <w:t xml:space="preserve"> </w:t>
      </w:r>
      <w:r>
        <w:rPr>
          <w:iCs/>
          <w:i/>
        </w:rPr>
        <w:t xml:space="preserve">Nutrients</w:t>
      </w:r>
      <w:r>
        <w:t xml:space="preserve"> </w:t>
      </w:r>
      <w:r>
        <w:t xml:space="preserve">· A Pilot Study for the Detection of Cyclic Prolyl-Hydroxyproline (Pro-Hyp) in Human Blood after Ingestion of Collagen Hydrolysate. PMID 30248982</w:t>
      </w:r>
    </w:p>
    <w:p>
      <w:pPr>
        <w:numPr>
          <w:ilvl w:val="0"/>
          <w:numId w:val="1421"/>
        </w:numPr>
        <w:pStyle w:val="Compact"/>
      </w:pPr>
      <w:r>
        <w:t xml:space="preserve">2018 · Czajka A ·</w:t>
      </w:r>
      <w:r>
        <w:t xml:space="preserve"> </w:t>
      </w:r>
      <w:r>
        <w:rPr>
          <w:iCs/>
          <w:i/>
        </w:rPr>
        <w:t xml:space="preserve">Nutr Res</w:t>
      </w:r>
      <w:r>
        <w:t xml:space="preserve"> </w:t>
      </w:r>
      <w:r>
        <w:t xml:space="preserve">· Daily oral supplementation with collagen peptides combined with vitamins and other bioactive compounds improves skin elasticity and has a beneficial effect on joint and general wellbeing. PMID 30122200</w:t>
      </w:r>
    </w:p>
    <w:p>
      <w:pPr>
        <w:numPr>
          <w:ilvl w:val="0"/>
          <w:numId w:val="1421"/>
        </w:numPr>
        <w:pStyle w:val="Compact"/>
      </w:pPr>
      <w:r>
        <w:t xml:space="preserve">2018 · Sugihara F ·</w:t>
      </w:r>
      <w:r>
        <w:t xml:space="preserve"> </w:t>
      </w:r>
      <w:r>
        <w:rPr>
          <w:iCs/>
          <w:i/>
        </w:rPr>
        <w:t xml:space="preserve">Sci Rep</w:t>
      </w:r>
      <w:r>
        <w:t xml:space="preserve"> </w:t>
      </w:r>
      <w:r>
        <w:t xml:space="preserve">· Ingestion of bioactive collagen hydrolysates enhanced pressure ulcer healing in a randomized double-blind placebo-controlled clinical study. PMID 30061579</w:t>
      </w:r>
    </w:p>
    <w:p>
      <w:pPr>
        <w:numPr>
          <w:ilvl w:val="0"/>
          <w:numId w:val="1421"/>
        </w:numPr>
        <w:pStyle w:val="Compact"/>
      </w:pPr>
      <w:r>
        <w:t xml:space="preserve">2018 · Kim DU ·</w:t>
      </w:r>
      <w:r>
        <w:t xml:space="preserve"> </w:t>
      </w:r>
      <w:r>
        <w:rPr>
          <w:iCs/>
          <w:i/>
        </w:rPr>
        <w:t xml:space="preserve">Nutrients</w:t>
      </w:r>
      <w:r>
        <w:t xml:space="preserve"> </w:t>
      </w:r>
      <w:r>
        <w:t xml:space="preserve">· Oral Intake of Low-Molecular-Weight Collagen Peptide Improves Hydration, Elasticity, and Wrinkling in Human Skin: A Randomized, Double-Blind, Placebo-Controlled Study. PMID 29949889</w:t>
      </w:r>
    </w:p>
    <w:p>
      <w:pPr>
        <w:numPr>
          <w:ilvl w:val="0"/>
          <w:numId w:val="1421"/>
        </w:numPr>
        <w:pStyle w:val="Compact"/>
      </w:pPr>
      <w:r>
        <w:t xml:space="preserve">2018 · Dressler P ·</w:t>
      </w:r>
      <w:r>
        <w:t xml:space="preserve"> </w:t>
      </w:r>
      <w:r>
        <w:rPr>
          <w:iCs/>
          <w:i/>
        </w:rPr>
        <w:t xml:space="preserve">J Sports Sci Med</w:t>
      </w:r>
      <w:r>
        <w:t xml:space="preserve"> </w:t>
      </w:r>
      <w:r>
        <w:t xml:space="preserve">· Improvement of Functional Ankle Properties Following Supplementation with Specific Collagen Peptides in Athletes with Chronic Ankle Instability. PMID 29769831</w:t>
      </w:r>
    </w:p>
    <w:p>
      <w:pPr>
        <w:numPr>
          <w:ilvl w:val="0"/>
          <w:numId w:val="1421"/>
        </w:numPr>
        <w:pStyle w:val="Compact"/>
      </w:pPr>
      <w:r>
        <w:t xml:space="preserve">2018 · König D ·</w:t>
      </w:r>
      <w:r>
        <w:t xml:space="preserve"> </w:t>
      </w:r>
      <w:r>
        <w:rPr>
          <w:iCs/>
          <w:i/>
        </w:rPr>
        <w:t xml:space="preserve">Nutrients</w:t>
      </w:r>
      <w:r>
        <w:t xml:space="preserve"> </w:t>
      </w:r>
      <w:r>
        <w:t xml:space="preserve">· Specific Collagen Peptides Improve Bone Mineral Density and Bone Markers in Postmenopausal Women-A Randomized Controlled Study. PMID 29337906</w:t>
      </w:r>
    </w:p>
    <w:p>
      <w:pPr>
        <w:numPr>
          <w:ilvl w:val="0"/>
          <w:numId w:val="1421"/>
        </w:numPr>
        <w:pStyle w:val="Compact"/>
      </w:pPr>
      <w:r>
        <w:t xml:space="preserve">2017 · Hakuta A ·</w:t>
      </w:r>
      <w:r>
        <w:t xml:space="preserve"> </w:t>
      </w:r>
      <w:r>
        <w:rPr>
          <w:iCs/>
          <w:i/>
        </w:rPr>
        <w:t xml:space="preserve">J Dermatol Sci</w:t>
      </w:r>
      <w:r>
        <w:t xml:space="preserve"> </w:t>
      </w:r>
      <w:r>
        <w:t xml:space="preserve">· Anti-inflammatory effect of collagen tripeptide in atopic dermatitis. PMID 29017796</w:t>
      </w:r>
    </w:p>
    <w:p>
      <w:pPr>
        <w:numPr>
          <w:ilvl w:val="0"/>
          <w:numId w:val="1421"/>
        </w:numPr>
        <w:pStyle w:val="Compact"/>
      </w:pPr>
      <w:r>
        <w:t xml:space="preserve">2017 · Hexsel D ·</w:t>
      </w:r>
      <w:r>
        <w:t xml:space="preserve"> </w:t>
      </w:r>
      <w:r>
        <w:rPr>
          <w:iCs/>
          <w:i/>
        </w:rPr>
        <w:t xml:space="preserve">J Cosmet Dermatol</w:t>
      </w:r>
      <w:r>
        <w:t xml:space="preserve"> </w:t>
      </w:r>
      <w:r>
        <w:t xml:space="preserve">· Oral supplementation with specific bioactive collagen peptides improves nail growth and reduces symptoms of brittle nails. PMID 28786550</w:t>
      </w:r>
    </w:p>
    <w:p>
      <w:pPr>
        <w:numPr>
          <w:ilvl w:val="0"/>
          <w:numId w:val="1421"/>
        </w:numPr>
        <w:pStyle w:val="Compact"/>
      </w:pPr>
      <w:r>
        <w:t xml:space="preserve">2017 · Genovese L ·</w:t>
      </w:r>
      <w:r>
        <w:t xml:space="preserve"> </w:t>
      </w:r>
      <w:r>
        <w:rPr>
          <w:iCs/>
          <w:i/>
        </w:rPr>
        <w:t xml:space="preserve">Skin Pharmacol Physiol</w:t>
      </w:r>
      <w:r>
        <w:t xml:space="preserve"> </w:t>
      </w:r>
      <w:r>
        <w:t xml:space="preserve">· An Insight into the Changes in Skin Texture and Properties following Dietary Intervention with a Nutricosmeceutical Containing a Blend of Collagen Bioactive Peptides and Antioxidants. PMID 28528342</w:t>
      </w:r>
    </w:p>
    <w:p>
      <w:pPr>
        <w:numPr>
          <w:ilvl w:val="0"/>
          <w:numId w:val="1421"/>
        </w:numPr>
        <w:pStyle w:val="Compact"/>
      </w:pPr>
      <w:r>
        <w:t xml:space="preserve">2017 · Zdzieblik D ·</w:t>
      </w:r>
      <w:r>
        <w:t xml:space="preserve"> </w:t>
      </w:r>
      <w:r>
        <w:rPr>
          <w:iCs/>
          <w:i/>
        </w:rPr>
        <w:t xml:space="preserve">Appl Physiol Nutr Metab</w:t>
      </w:r>
      <w:r>
        <w:t xml:space="preserve"> </w:t>
      </w:r>
      <w:r>
        <w:t xml:space="preserve">· Improvement of activity-related knee joint discomfort following supplementation of specific collagen peptides. PMID 28177710</w:t>
      </w:r>
    </w:p>
    <w:p>
      <w:pPr>
        <w:numPr>
          <w:ilvl w:val="0"/>
          <w:numId w:val="1421"/>
        </w:numPr>
        <w:pStyle w:val="Compact"/>
      </w:pPr>
      <w:r>
        <w:t xml:space="preserve">2016 · Yamamoto S ·</w:t>
      </w:r>
      <w:r>
        <w:t xml:space="preserve"> </w:t>
      </w:r>
      <w:r>
        <w:rPr>
          <w:iCs/>
          <w:i/>
        </w:rPr>
        <w:t xml:space="preserve">Biol Pharm Bull</w:t>
      </w:r>
      <w:r>
        <w:t xml:space="preserve"> </w:t>
      </w:r>
      <w:r>
        <w:t xml:space="preserve">· Absorption and Urinary Excretion of Peptides after Collagen Tripeptide Ingestion in Humans. PMID 26934933</w:t>
      </w:r>
    </w:p>
    <w:p>
      <w:pPr>
        <w:numPr>
          <w:ilvl w:val="0"/>
          <w:numId w:val="1421"/>
        </w:numPr>
        <w:pStyle w:val="Compact"/>
      </w:pPr>
      <w:r>
        <w:t xml:space="preserve">2016 · De Luca C ·</w:t>
      </w:r>
      <w:r>
        <w:t xml:space="preserve"> </w:t>
      </w:r>
      <w:r>
        <w:rPr>
          <w:iCs/>
          <w:i/>
        </w:rPr>
        <w:t xml:space="preserve">Oxid Med Cell Longev</w:t>
      </w:r>
      <w:r>
        <w:t xml:space="preserve"> </w:t>
      </w:r>
      <w:r>
        <w:t xml:space="preserve">· Skin Antiageing and Systemic Redox Effects of Supplementation with Marine Collagen Peptides and Plant-Derived Antioxidants: A Single-Blind Case-Control Clinical Study. PMID 26904164</w:t>
      </w:r>
    </w:p>
    <w:p>
      <w:pPr>
        <w:numPr>
          <w:ilvl w:val="0"/>
          <w:numId w:val="1421"/>
        </w:numPr>
        <w:pStyle w:val="Compact"/>
      </w:pPr>
      <w:r>
        <w:t xml:space="preserve">2016 · Inoue N ·</w:t>
      </w:r>
      <w:r>
        <w:t xml:space="preserve"> </w:t>
      </w:r>
      <w:r>
        <w:rPr>
          <w:iCs/>
          <w:i/>
        </w:rPr>
        <w:t xml:space="preserve">J Sci Food Agric</w:t>
      </w:r>
      <w:r>
        <w:t xml:space="preserve"> </w:t>
      </w:r>
      <w:r>
        <w:t xml:space="preserve">· Ingestion of bioactive collagen hydrolysates enhance facial skin moisture and elasticity and reduce facial ageing signs in a randomised double-blind placebo-controlled clinical study. PMID 26840887</w:t>
      </w:r>
    </w:p>
    <w:p>
      <w:pPr>
        <w:numPr>
          <w:ilvl w:val="0"/>
          <w:numId w:val="1421"/>
        </w:numPr>
        <w:pStyle w:val="Compact"/>
      </w:pPr>
      <w:r>
        <w:t xml:space="preserve">2016 · Stenbæk DS ·</w:t>
      </w:r>
      <w:r>
        <w:t xml:space="preserve"> </w:t>
      </w:r>
      <w:r>
        <w:rPr>
          <w:iCs/>
          <w:i/>
        </w:rPr>
        <w:t xml:space="preserve">Eur Neuropsychopharmacol</w:t>
      </w:r>
      <w:r>
        <w:t xml:space="preserve"> </w:t>
      </w:r>
      <w:r>
        <w:t xml:space="preserve">· Evaluation of acute tryptophan depletion and sham depletion with a gelatin-based collagen peptide protein mixture. PMID 26655163</w:t>
      </w:r>
    </w:p>
    <w:p>
      <w:pPr>
        <w:numPr>
          <w:ilvl w:val="0"/>
          <w:numId w:val="1421"/>
        </w:numPr>
        <w:pStyle w:val="Compact"/>
      </w:pPr>
      <w:r>
        <w:t xml:space="preserve">2015 · Kanzaki N ·</w:t>
      </w:r>
      <w:r>
        <w:t xml:space="preserve"> </w:t>
      </w:r>
      <w:r>
        <w:rPr>
          <w:iCs/>
          <w:i/>
        </w:rPr>
        <w:t xml:space="preserve">Clin Interv Aging</w:t>
      </w:r>
      <w:r>
        <w:t xml:space="preserve"> </w:t>
      </w:r>
      <w:r>
        <w:t xml:space="preserve">· Glucosamine-containing supplement improves locomotor functions in subjects with knee pain: a randomized, double-blind, placebo-controlled study. PMID 26604721</w:t>
      </w:r>
    </w:p>
    <w:p>
      <w:pPr>
        <w:numPr>
          <w:ilvl w:val="0"/>
          <w:numId w:val="1421"/>
        </w:numPr>
        <w:pStyle w:val="Compact"/>
      </w:pPr>
      <w:r>
        <w:t xml:space="preserve">2015 · Schunck M ·</w:t>
      </w:r>
      <w:r>
        <w:t xml:space="preserve"> </w:t>
      </w:r>
      <w:r>
        <w:rPr>
          <w:iCs/>
          <w:i/>
        </w:rPr>
        <w:t xml:space="preserve">J Med Food</w:t>
      </w:r>
      <w:r>
        <w:t xml:space="preserve"> </w:t>
      </w:r>
      <w:r>
        <w:t xml:space="preserve">· Dietary Supplementation with Specific Collagen Peptides Has a Body Mass Index-Dependent Beneficial Effect on Cellulite Morphology. PMID 26561784</w:t>
      </w:r>
    </w:p>
    <w:p>
      <w:pPr>
        <w:numPr>
          <w:ilvl w:val="0"/>
          <w:numId w:val="1421"/>
        </w:numPr>
        <w:pStyle w:val="Compact"/>
      </w:pPr>
      <w:r>
        <w:t xml:space="preserve">2015 · Asserin J ·</w:t>
      </w:r>
      <w:r>
        <w:t xml:space="preserve"> </w:t>
      </w:r>
      <w:r>
        <w:rPr>
          <w:iCs/>
          <w:i/>
        </w:rPr>
        <w:t xml:space="preserve">J Cosmet Dermatol</w:t>
      </w:r>
      <w:r>
        <w:t xml:space="preserve"> </w:t>
      </w:r>
      <w:r>
        <w:t xml:space="preserve">· The effect of oral collagen peptide supplementation on skin moisture and the dermal collagen network: evidence from an ex vivo model and randomized, placebo-controlled clinical trials. PMID 26362110</w:t>
      </w:r>
    </w:p>
    <w:p>
      <w:pPr>
        <w:numPr>
          <w:ilvl w:val="0"/>
          <w:numId w:val="1421"/>
        </w:numPr>
        <w:pStyle w:val="Compact"/>
      </w:pPr>
      <w:r>
        <w:t xml:space="preserve">2015 · Zdzieblik D ·</w:t>
      </w:r>
      <w:r>
        <w:t xml:space="preserve"> </w:t>
      </w:r>
      <w:r>
        <w:rPr>
          <w:iCs/>
          <w:i/>
        </w:rPr>
        <w:t xml:space="preserve">Br J Nutr</w:t>
      </w:r>
      <w:r>
        <w:t xml:space="preserve"> </w:t>
      </w:r>
      <w:r>
        <w:t xml:space="preserve">· Collagen peptide supplementation in combination with resistance training improves body composition and increases muscle strength in elderly sarcopenic men: a randomised controlled trial. PMID 26353786</w:t>
      </w:r>
    </w:p>
    <w:p>
      <w:pPr>
        <w:numPr>
          <w:ilvl w:val="0"/>
          <w:numId w:val="1421"/>
        </w:numPr>
        <w:pStyle w:val="Compact"/>
      </w:pPr>
      <w:r>
        <w:t xml:space="preserve">2015 · Elam ML ·</w:t>
      </w:r>
      <w:r>
        <w:t xml:space="preserve"> </w:t>
      </w:r>
      <w:r>
        <w:rPr>
          <w:iCs/>
          <w:i/>
        </w:rPr>
        <w:t xml:space="preserve">J Med Food</w:t>
      </w:r>
      <w:r>
        <w:t xml:space="preserve"> </w:t>
      </w:r>
      <w:r>
        <w:t xml:space="preserve">· A calcium-collagen chelate dietary supplement attenuates bone loss in postmenopausal women with osteopenia: a randomized controlled trial. PMID 25314004</w:t>
      </w:r>
    </w:p>
    <w:p>
      <w:pPr>
        <w:numPr>
          <w:ilvl w:val="0"/>
          <w:numId w:val="1421"/>
        </w:numPr>
        <w:pStyle w:val="Compact"/>
      </w:pPr>
      <w:r>
        <w:t xml:space="preserve">2015 · Kumar S ·</w:t>
      </w:r>
      <w:r>
        <w:t xml:space="preserve"> </w:t>
      </w:r>
      <w:r>
        <w:rPr>
          <w:iCs/>
          <w:i/>
        </w:rPr>
        <w:t xml:space="preserve">J Sci Food Agric</w:t>
      </w:r>
      <w:r>
        <w:t xml:space="preserve"> </w:t>
      </w:r>
      <w:r>
        <w:t xml:space="preserve">· A double-blind, placebo-controlled, randomised, clinical study on the effectiveness of collagen peptide on osteoarthritis. PMID 24852756</w:t>
      </w:r>
    </w:p>
    <w:p>
      <w:pPr>
        <w:numPr>
          <w:ilvl w:val="0"/>
          <w:numId w:val="1421"/>
        </w:numPr>
        <w:pStyle w:val="Compact"/>
      </w:pPr>
      <w:r>
        <w:t xml:space="preserve">2014 · Choi SY ·</w:t>
      </w:r>
      <w:r>
        <w:t xml:space="preserve"> </w:t>
      </w:r>
      <w:r>
        <w:rPr>
          <w:iCs/>
          <w:i/>
        </w:rPr>
        <w:t xml:space="preserve">Clin Exp Dermatol</w:t>
      </w:r>
      <w:r>
        <w:t xml:space="preserve"> </w:t>
      </w:r>
      <w:r>
        <w:t xml:space="preserve">· Effect of high advanced-collagen tripeptide on wound healing and skin recovery after fractional photothermolysis treatment. PMID 25283252</w:t>
      </w:r>
    </w:p>
    <w:p>
      <w:pPr>
        <w:numPr>
          <w:ilvl w:val="0"/>
          <w:numId w:val="1421"/>
        </w:numPr>
        <w:pStyle w:val="Compact"/>
      </w:pPr>
      <w:r>
        <w:t xml:space="preserve">2014 · Yoon HS ·</w:t>
      </w:r>
      <w:r>
        <w:t xml:space="preserve"> </w:t>
      </w:r>
      <w:r>
        <w:rPr>
          <w:iCs/>
          <w:i/>
        </w:rPr>
        <w:t xml:space="preserve">J Med Food</w:t>
      </w:r>
      <w:r>
        <w:t xml:space="preserve"> </w:t>
      </w:r>
      <w:r>
        <w:t xml:space="preserve">· Supplementating with dietary astaxanthin combined with collagen hydrolysate improves facial elasticity and decreases matrix metalloproteinase-1 and -12 expression: a comparative study with placebo. PMID 24955642</w:t>
      </w:r>
    </w:p>
    <w:p>
      <w:pPr>
        <w:numPr>
          <w:ilvl w:val="0"/>
          <w:numId w:val="1421"/>
        </w:numPr>
        <w:pStyle w:val="Compact"/>
      </w:pPr>
      <w:r>
        <w:t xml:space="preserve">2014 · Proksch E ·</w:t>
      </w:r>
      <w:r>
        <w:t xml:space="preserve"> </w:t>
      </w:r>
      <w:r>
        <w:rPr>
          <w:iCs/>
          <w:i/>
        </w:rPr>
        <w:t xml:space="preserve">Skin Pharmacol Physiol</w:t>
      </w:r>
      <w:r>
        <w:t xml:space="preserve"> </w:t>
      </w:r>
      <w:r>
        <w:t xml:space="preserve">· Oral intake of specific bioactive collagen peptides reduces skin wrinkles and increases dermal matrix synthesis. PMID 24401291</w:t>
      </w:r>
    </w:p>
    <w:p>
      <w:pPr>
        <w:numPr>
          <w:ilvl w:val="0"/>
          <w:numId w:val="1421"/>
        </w:numPr>
        <w:pStyle w:val="Compact"/>
      </w:pPr>
      <w:r>
        <w:t xml:space="preserve">2014 · Choi SY ·</w:t>
      </w:r>
      <w:r>
        <w:t xml:space="preserve"> </w:t>
      </w:r>
      <w:r>
        <w:rPr>
          <w:iCs/>
          <w:i/>
        </w:rPr>
        <w:t xml:space="preserve">J Cosmet Laser Ther</w:t>
      </w:r>
      <w:r>
        <w:t xml:space="preserve"> </w:t>
      </w:r>
      <w:r>
        <w:t xml:space="preserve">· Effects of collagen tripeptide supplement on skin properties: a prospective, randomized, controlled study. PMID 24131075</w:t>
      </w:r>
    </w:p>
    <w:p>
      <w:pPr>
        <w:numPr>
          <w:ilvl w:val="0"/>
          <w:numId w:val="1421"/>
        </w:numPr>
        <w:pStyle w:val="Compact"/>
      </w:pPr>
      <w:r>
        <w:t xml:space="preserve">2014 · Proksch E ·</w:t>
      </w:r>
      <w:r>
        <w:t xml:space="preserve"> </w:t>
      </w:r>
      <w:r>
        <w:rPr>
          <w:iCs/>
          <w:i/>
        </w:rPr>
        <w:t xml:space="preserve">Skin Pharmacol Physiol</w:t>
      </w:r>
      <w:r>
        <w:t xml:space="preserve"> </w:t>
      </w:r>
      <w:r>
        <w:t xml:space="preserve">· Oral supplementation of specific collagen peptides has beneficial effects on human skin physiology: a double-blind, placebo-controlled study. PMID 23949208</w:t>
      </w:r>
    </w:p>
    <w:p>
      <w:pPr>
        <w:numPr>
          <w:ilvl w:val="0"/>
          <w:numId w:val="1421"/>
        </w:numPr>
        <w:pStyle w:val="Compact"/>
      </w:pPr>
      <w:r>
        <w:t xml:space="preserve">2012 · Bruyère O ·</w:t>
      </w:r>
      <w:r>
        <w:t xml:space="preserve"> </w:t>
      </w:r>
      <w:r>
        <w:rPr>
          <w:iCs/>
          <w:i/>
        </w:rPr>
        <w:t xml:space="preserve">Complement Ther Med</w:t>
      </w:r>
      <w:r>
        <w:t xml:space="preserve"> </w:t>
      </w:r>
      <w:r>
        <w:t xml:space="preserve">· Effect of collagen hydrolysate in articular pain: a 6-month randomized, double-blind, placebo controlled study. PMID 22500661</w:t>
      </w:r>
    </w:p>
    <w:p>
      <w:pPr>
        <w:numPr>
          <w:ilvl w:val="0"/>
          <w:numId w:val="1421"/>
        </w:numPr>
        <w:pStyle w:val="Compact"/>
      </w:pPr>
      <w:r>
        <w:t xml:space="preserve">2010 · Zhu CF ·</w:t>
      </w:r>
      <w:r>
        <w:t xml:space="preserve"> </w:t>
      </w:r>
      <w:r>
        <w:rPr>
          <w:iCs/>
          <w:i/>
        </w:rPr>
        <w:t xml:space="preserve">Am J Med Sci</w:t>
      </w:r>
      <w:r>
        <w:t xml:space="preserve"> </w:t>
      </w:r>
      <w:r>
        <w:t xml:space="preserve">· Therapeutic effects of marine collagen peptides on Chinese patients with type 2 diabetes mellitus and primary hypertension. PMID 20739874</w:t>
      </w:r>
    </w:p>
    <w:p>
      <w:pPr>
        <w:numPr>
          <w:ilvl w:val="0"/>
          <w:numId w:val="1421"/>
        </w:numPr>
        <w:pStyle w:val="Compact"/>
      </w:pPr>
      <w:r>
        <w:t xml:space="preserve">2009 · Hays NP ·</w:t>
      </w:r>
      <w:r>
        <w:t xml:space="preserve"> </w:t>
      </w:r>
      <w:r>
        <w:rPr>
          <w:iCs/>
          <w:i/>
        </w:rPr>
        <w:t xml:space="preserve">J Am Diet Assoc</w:t>
      </w:r>
      <w:r>
        <w:t xml:space="preserve"> </w:t>
      </w:r>
      <w:r>
        <w:t xml:space="preserve">· Effects of whey and fortified collagen hydrolysate protein supplements on nitrogen balance and body composition in older women. PMID 19465192</w:t>
      </w:r>
    </w:p>
    <w:p>
      <w:pPr>
        <w:numPr>
          <w:ilvl w:val="0"/>
          <w:numId w:val="1421"/>
        </w:numPr>
        <w:pStyle w:val="Compact"/>
      </w:pPr>
      <w:r>
        <w:t xml:space="preserve">2008 · Clark KL ·</w:t>
      </w:r>
      <w:r>
        <w:t xml:space="preserve"> </w:t>
      </w:r>
      <w:r>
        <w:rPr>
          <w:iCs/>
          <w:i/>
        </w:rPr>
        <w:t xml:space="preserve">Curr Med Res Opin</w:t>
      </w:r>
      <w:r>
        <w:t xml:space="preserve"> </w:t>
      </w:r>
      <w:r>
        <w:t xml:space="preserve">· 24-Week study on the use of collagen hydrolysate as a dietary supplement in athletes with activity-related joint pain. PMID 18416885</w:t>
      </w:r>
    </w:p>
    <w:p>
      <w:pPr>
        <w:numPr>
          <w:ilvl w:val="0"/>
          <w:numId w:val="1421"/>
        </w:numPr>
        <w:pStyle w:val="Compact"/>
      </w:pPr>
      <w:r>
        <w:t xml:space="preserve">2001 · Peretz A ·</w:t>
      </w:r>
      <w:r>
        <w:t xml:space="preserve"> </w:t>
      </w:r>
      <w:r>
        <w:rPr>
          <w:iCs/>
          <w:i/>
        </w:rPr>
        <w:t xml:space="preserve">J Trace Elem Med Biol</w:t>
      </w:r>
      <w:r>
        <w:t xml:space="preserve"> </w:t>
      </w:r>
      <w:r>
        <w:t xml:space="preserve">· Zinc supplementation increases bone alkaline phosphatase in healthy men. PMID 11787985</w:t>
      </w:r>
    </w:p>
    <w:p>
      <w:pPr>
        <w:numPr>
          <w:ilvl w:val="0"/>
          <w:numId w:val="1421"/>
        </w:numPr>
        <w:pStyle w:val="Compact"/>
      </w:pPr>
      <w:r>
        <w:t xml:space="preserve">2000 · Moskowitz RW ·</w:t>
      </w:r>
      <w:r>
        <w:t xml:space="preserve"> </w:t>
      </w:r>
      <w:r>
        <w:rPr>
          <w:iCs/>
          <w:i/>
        </w:rPr>
        <w:t xml:space="preserve">Semin Arthritis Rheum</w:t>
      </w:r>
      <w:r>
        <w:t xml:space="preserve"> </w:t>
      </w:r>
      <w:r>
        <w:t xml:space="preserve">· Role of collagen hydrolysate in bone and joint disease. PMID 11071580</w:t>
      </w:r>
    </w:p>
    <w:p>
      <w:pPr>
        <w:numPr>
          <w:ilvl w:val="0"/>
          <w:numId w:val="1421"/>
        </w:numPr>
        <w:pStyle w:val="Compact"/>
      </w:pPr>
      <w:r>
        <w:t xml:space="preserve">1996 · Adam M ·</w:t>
      </w:r>
      <w:r>
        <w:t xml:space="preserve"> </w:t>
      </w:r>
      <w:r>
        <w:rPr>
          <w:iCs/>
          <w:i/>
        </w:rPr>
        <w:t xml:space="preserve">Cas Lek Cesk</w:t>
      </w:r>
      <w:r>
        <w:t xml:space="preserve"> </w:t>
      </w:r>
      <w:r>
        <w:t xml:space="preserve">· [Postmenopausal osteoporosis. Treatment with calcitonin and a diet rich in collagen proteins]. PMID 8625373</w:t>
      </w:r>
    </w:p>
    <w:bookmarkEnd w:id="1168"/>
    <w:bookmarkStart w:id="1169" w:name="lactotripeptiden-vpp-en-ipp-21"/>
    <w:p>
      <w:pPr>
        <w:pStyle w:val="Heading2"/>
      </w:pPr>
      <w:r>
        <w:t xml:space="preserve">Lactotripeptiden (VPP en IPP) (21)</w:t>
      </w:r>
    </w:p>
    <w:p>
      <w:pPr>
        <w:numPr>
          <w:ilvl w:val="0"/>
          <w:numId w:val="1422"/>
        </w:numPr>
        <w:pStyle w:val="Compact"/>
      </w:pPr>
      <w:r>
        <w:t xml:space="preserve">2023 · Yoshioka M ·</w:t>
      </w:r>
      <w:r>
        <w:t xml:space="preserve"> </w:t>
      </w:r>
      <w:r>
        <w:rPr>
          <w:iCs/>
          <w:i/>
        </w:rPr>
        <w:t xml:space="preserve">Sci Rep</w:t>
      </w:r>
      <w:r>
        <w:t xml:space="preserve"> </w:t>
      </w:r>
      <w:r>
        <w:t xml:space="preserve">· Effects of lactotripeptide ingestion and physical activity intervention on the fatigue status of middle-aged and older adults: a randomized controlled trial. PMID 37735182</w:t>
      </w:r>
    </w:p>
    <w:p>
      <w:pPr>
        <w:numPr>
          <w:ilvl w:val="0"/>
          <w:numId w:val="1422"/>
        </w:numPr>
        <w:pStyle w:val="Compact"/>
      </w:pPr>
      <w:r>
        <w:t xml:space="preserve">2019 · Hamasaki A ·</w:t>
      </w:r>
      <w:r>
        <w:t xml:space="preserve"> </w:t>
      </w:r>
      <w:r>
        <w:rPr>
          <w:iCs/>
          <w:i/>
        </w:rPr>
        <w:t xml:space="preserve">Am J Clin Nutr</w:t>
      </w:r>
      <w:r>
        <w:t xml:space="preserve"> </w:t>
      </w:r>
      <w:r>
        <w:t xml:space="preserve">· Combined effects of lactotripeptide and aerobic exercise on cognitive function and cerebral oxygenation in middle-aged and older adults. PMID 30624594</w:t>
      </w:r>
    </w:p>
    <w:p>
      <w:pPr>
        <w:numPr>
          <w:ilvl w:val="0"/>
          <w:numId w:val="1422"/>
        </w:numPr>
        <w:pStyle w:val="Compact"/>
      </w:pPr>
      <w:r>
        <w:t xml:space="preserve">2018 · Akazawa N ·</w:t>
      </w:r>
      <w:r>
        <w:t xml:space="preserve"> </w:t>
      </w:r>
      <w:r>
        <w:rPr>
          <w:iCs/>
          <w:i/>
        </w:rPr>
        <w:t xml:space="preserve">Nutr Res</w:t>
      </w:r>
      <w:r>
        <w:t xml:space="preserve"> </w:t>
      </w:r>
      <w:r>
        <w:t xml:space="preserve">· Lactotripeptide ingestion increases cerebral blood flow velocity in middle-aged and older adults. PMID 29703414</w:t>
      </w:r>
    </w:p>
    <w:p>
      <w:pPr>
        <w:numPr>
          <w:ilvl w:val="0"/>
          <w:numId w:val="1422"/>
        </w:numPr>
        <w:pStyle w:val="Compact"/>
      </w:pPr>
      <w:r>
        <w:t xml:space="preserve">2018 · Tagawa K ·</w:t>
      </w:r>
      <w:r>
        <w:t xml:space="preserve"> </w:t>
      </w:r>
      <w:r>
        <w:rPr>
          <w:iCs/>
          <w:i/>
        </w:rPr>
        <w:t xml:space="preserve">Am J Phys Med Rehabil</w:t>
      </w:r>
      <w:r>
        <w:t xml:space="preserve"> </w:t>
      </w:r>
      <w:r>
        <w:t xml:space="preserve">· Lactotripeptides Supplementations Alleviate the Decrease in Maximal Isometric Force After High-Intensity Eccentric Exercise: A Randomized, Placebo-Controlled, Double-Blind Clinical Trial. PMID 29189308</w:t>
      </w:r>
    </w:p>
    <w:p>
      <w:pPr>
        <w:numPr>
          <w:ilvl w:val="0"/>
          <w:numId w:val="1422"/>
        </w:numPr>
        <w:pStyle w:val="Compact"/>
      </w:pPr>
      <w:r>
        <w:t xml:space="preserve">2016 · Cicero AF ·</w:t>
      </w:r>
      <w:r>
        <w:t xml:space="preserve"> </w:t>
      </w:r>
      <w:r>
        <w:rPr>
          <w:iCs/>
          <w:i/>
        </w:rPr>
        <w:t xml:space="preserve">Metab Syndr Relat Disord</w:t>
      </w:r>
      <w:r>
        <w:t xml:space="preserve"> </w:t>
      </w:r>
      <w:r>
        <w:t xml:space="preserve">· Effect of Lactotripeptides (Isoleucine-Proline-Proline/Valine-Proline-Proline) on Blood Pressure and Arterial Stiffness Changes in Subjects with Suboptimal Blood Pressure Control and Metabolic Syndrome: A Double-Blind, Randomized, Crossover Clinical Trial. PMID 26683986</w:t>
      </w:r>
    </w:p>
    <w:p>
      <w:pPr>
        <w:numPr>
          <w:ilvl w:val="0"/>
          <w:numId w:val="1422"/>
        </w:numPr>
        <w:pStyle w:val="Compact"/>
      </w:pPr>
      <w:r>
        <w:t xml:space="preserve">2015 · Hautaniemi EJ ·</w:t>
      </w:r>
      <w:r>
        <w:t xml:space="preserve"> </w:t>
      </w:r>
      <w:r>
        <w:rPr>
          <w:iCs/>
          <w:i/>
        </w:rPr>
        <w:t xml:space="preserve">Br J Nutr</w:t>
      </w:r>
      <w:r>
        <w:t xml:space="preserve"> </w:t>
      </w:r>
      <w:r>
        <w:t xml:space="preserve">· Effect of fermented milk product containing lactotripeptides and plant sterol esters on haemodynamics in subjects with the metabolic syndrome–a randomised, double-blind, placebo-controlled study. PMID 26168857</w:t>
      </w:r>
    </w:p>
    <w:p>
      <w:pPr>
        <w:numPr>
          <w:ilvl w:val="0"/>
          <w:numId w:val="1422"/>
        </w:numPr>
        <w:pStyle w:val="Compact"/>
      </w:pPr>
      <w:r>
        <w:t xml:space="preserve">2012 · Jauhiainen T ·</w:t>
      </w:r>
      <w:r>
        <w:t xml:space="preserve"> </w:t>
      </w:r>
      <w:r>
        <w:rPr>
          <w:iCs/>
          <w:i/>
        </w:rPr>
        <w:t xml:space="preserve">Eur J Clin Nutr</w:t>
      </w:r>
      <w:r>
        <w:t xml:space="preserve"> </w:t>
      </w:r>
      <w:r>
        <w:t xml:space="preserve">· Effects of long-term intake of lactotripeptides on cardiovascular risk factors in hypertensive subjects. PMID 22617279</w:t>
      </w:r>
    </w:p>
    <w:p>
      <w:pPr>
        <w:numPr>
          <w:ilvl w:val="0"/>
          <w:numId w:val="1422"/>
        </w:numPr>
        <w:pStyle w:val="Compact"/>
      </w:pPr>
      <w:r>
        <w:t xml:space="preserve">2012 · Cicero AF ·</w:t>
      </w:r>
      <w:r>
        <w:t xml:space="preserve"> </w:t>
      </w:r>
      <w:r>
        <w:rPr>
          <w:iCs/>
          <w:i/>
        </w:rPr>
        <w:t xml:space="preserve">Clin Exp Hypertens</w:t>
      </w:r>
      <w:r>
        <w:t xml:space="preserve"> </w:t>
      </w:r>
      <w:r>
        <w:t xml:space="preserve">· Predictors of the short-term effect of isoleucine-proline-proline/valine-proline-proline lactotripeptides from casein on office and ambulatory blood pressure in subjects with pharmacologically untreated high-normal blood pressure or first-degree hypertension. PMID 22574612</w:t>
      </w:r>
    </w:p>
    <w:p>
      <w:pPr>
        <w:numPr>
          <w:ilvl w:val="0"/>
          <w:numId w:val="1422"/>
        </w:numPr>
        <w:pStyle w:val="Compact"/>
      </w:pPr>
      <w:r>
        <w:t xml:space="preserve">2011 · Cicero AF ·</w:t>
      </w:r>
      <w:r>
        <w:t xml:space="preserve"> </w:t>
      </w:r>
      <w:r>
        <w:rPr>
          <w:iCs/>
          <w:i/>
        </w:rPr>
        <w:t xml:space="preserve">Hypertens Res</w:t>
      </w:r>
      <w:r>
        <w:t xml:space="preserve"> </w:t>
      </w:r>
      <w:r>
        <w:t xml:space="preserve">· Lactotripeptides effect on office and 24-h ambulatory blood pressure, blood pressure stress response, pulse wave velocity and cardiac output in patients with high-normal blood pressure or first-degree hypertension: a randomized double-blind clinical trial. PMID 21753776</w:t>
      </w:r>
    </w:p>
    <w:p>
      <w:pPr>
        <w:numPr>
          <w:ilvl w:val="0"/>
          <w:numId w:val="1422"/>
        </w:numPr>
        <w:pStyle w:val="Compact"/>
      </w:pPr>
      <w:r>
        <w:t xml:space="preserve">2010 · Cicero AF ·</w:t>
      </w:r>
      <w:r>
        <w:t xml:space="preserve"> </w:t>
      </w:r>
      <w:r>
        <w:rPr>
          <w:iCs/>
          <w:i/>
        </w:rPr>
        <w:t xml:space="preserve">J Med Food</w:t>
      </w:r>
      <w:r>
        <w:t xml:space="preserve"> </w:t>
      </w:r>
      <w:r>
        <w:t xml:space="preserve">· Hemodynamic effects of lactotripeptides from casein hydrolysate in Mediterranean normotensive subjects and patients with high-normal blood pressure: a randomized, double-blind, crossover clinical trial. PMID 21091250</w:t>
      </w:r>
    </w:p>
    <w:p>
      <w:pPr>
        <w:numPr>
          <w:ilvl w:val="0"/>
          <w:numId w:val="1422"/>
        </w:numPr>
        <w:pStyle w:val="Compact"/>
      </w:pPr>
      <w:r>
        <w:t xml:space="preserve">2010 · Yamasue K ·</w:t>
      </w:r>
      <w:r>
        <w:t xml:space="preserve"> </w:t>
      </w:r>
      <w:r>
        <w:rPr>
          <w:iCs/>
          <w:i/>
        </w:rPr>
        <w:t xml:space="preserve">Clin Exp Hypertens</w:t>
      </w:r>
      <w:r>
        <w:t xml:space="preserve"> </w:t>
      </w:r>
      <w:r>
        <w:t xml:space="preserve">· The blood pressure lowering effect of lactotripeptides and salt intake in 24-h ambulatory blood pressure measurements. PMID 20608891</w:t>
      </w:r>
    </w:p>
    <w:p>
      <w:pPr>
        <w:numPr>
          <w:ilvl w:val="0"/>
          <w:numId w:val="1422"/>
        </w:numPr>
        <w:pStyle w:val="Compact"/>
      </w:pPr>
      <w:r>
        <w:t xml:space="preserve">2010 · Germino FW ·</w:t>
      </w:r>
      <w:r>
        <w:t xml:space="preserve"> </w:t>
      </w:r>
      <w:r>
        <w:rPr>
          <w:iCs/>
          <w:i/>
        </w:rPr>
        <w:t xml:space="preserve">J Clin Hypertens (Greenwich)</w:t>
      </w:r>
      <w:r>
        <w:t xml:space="preserve"> </w:t>
      </w:r>
      <w:r>
        <w:t xml:space="preserve">· The impact of lactotripeptides on blood pressure response in stage 1 and stage 2 hypertensives. PMID 20433527</w:t>
      </w:r>
    </w:p>
    <w:p>
      <w:pPr>
        <w:numPr>
          <w:ilvl w:val="0"/>
          <w:numId w:val="1422"/>
        </w:numPr>
        <w:pStyle w:val="Compact"/>
      </w:pPr>
      <w:r>
        <w:t xml:space="preserve">2010 · Jauhiainen T ·</w:t>
      </w:r>
      <w:r>
        <w:t xml:space="preserve"> </w:t>
      </w:r>
      <w:r>
        <w:rPr>
          <w:iCs/>
          <w:i/>
        </w:rPr>
        <w:t xml:space="preserve">Eur J Clin Nutr</w:t>
      </w:r>
      <w:r>
        <w:t xml:space="preserve"> </w:t>
      </w:r>
      <w:r>
        <w:t xml:space="preserve">· Long-term intervention with Lactobacillus helveticus fermented milk reduces augmentation index in hypertensive subjects. PMID 20145666</w:t>
      </w:r>
    </w:p>
    <w:p>
      <w:pPr>
        <w:numPr>
          <w:ilvl w:val="0"/>
          <w:numId w:val="1422"/>
        </w:numPr>
        <w:pStyle w:val="Compact"/>
      </w:pPr>
      <w:r>
        <w:t xml:space="preserve">2010 · Yoshizawa M ·</w:t>
      </w:r>
      <w:r>
        <w:t xml:space="preserve"> </w:t>
      </w:r>
      <w:r>
        <w:rPr>
          <w:iCs/>
          <w:i/>
        </w:rPr>
        <w:t xml:space="preserve">Am J Hypertens</w:t>
      </w:r>
      <w:r>
        <w:t xml:space="preserve"> </w:t>
      </w:r>
      <w:r>
        <w:t xml:space="preserve">· Additive beneficial effects of lactotripeptides intake with regular exercise on endothelium-dependent dilatation in postmenopausal women. PMID 20075849</w:t>
      </w:r>
    </w:p>
    <w:p>
      <w:pPr>
        <w:numPr>
          <w:ilvl w:val="0"/>
          <w:numId w:val="1422"/>
        </w:numPr>
        <w:pStyle w:val="Compact"/>
      </w:pPr>
      <w:r>
        <w:t xml:space="preserve">2009 · Nakamura T ·</w:t>
      </w:r>
      <w:r>
        <w:t xml:space="preserve"> </w:t>
      </w:r>
      <w:r>
        <w:rPr>
          <w:iCs/>
          <w:i/>
        </w:rPr>
        <w:t xml:space="preserve">J Med Food</w:t>
      </w:r>
      <w:r>
        <w:t xml:space="preserve"> </w:t>
      </w:r>
      <w:r>
        <w:t xml:space="preserve">· Beneficial potential of casein hydrolysate containing Val-Pro-Pro and Ile-Pro-Pro on central blood pressure and hemodynamic index: a preliminary study. PMID 19821692</w:t>
      </w:r>
    </w:p>
    <w:p>
      <w:pPr>
        <w:numPr>
          <w:ilvl w:val="0"/>
          <w:numId w:val="1422"/>
        </w:numPr>
        <w:pStyle w:val="Compact"/>
      </w:pPr>
      <w:r>
        <w:t xml:space="preserve">2009 · Yoshizawa M ·</w:t>
      </w:r>
      <w:r>
        <w:t xml:space="preserve"> </w:t>
      </w:r>
      <w:r>
        <w:rPr>
          <w:iCs/>
          <w:i/>
        </w:rPr>
        <w:t xml:space="preserve">Am J Physiol Heart Circ Physiol</w:t>
      </w:r>
      <w:r>
        <w:t xml:space="preserve"> </w:t>
      </w:r>
      <w:r>
        <w:t xml:space="preserve">· Additive beneficial effects of lactotripeptides and aerobic exercise on arterial compliance in postmenopausal women. PMID 19783777</w:t>
      </w:r>
    </w:p>
    <w:p>
      <w:pPr>
        <w:numPr>
          <w:ilvl w:val="0"/>
          <w:numId w:val="1422"/>
        </w:numPr>
        <w:pStyle w:val="Compact"/>
      </w:pPr>
      <w:r>
        <w:t xml:space="preserve">2009 · van Mierlo LA ·</w:t>
      </w:r>
      <w:r>
        <w:t xml:space="preserve"> </w:t>
      </w:r>
      <w:r>
        <w:rPr>
          <w:iCs/>
          <w:i/>
        </w:rPr>
        <w:t xml:space="preserve">Am J Clin Nutr</w:t>
      </w:r>
      <w:r>
        <w:t xml:space="preserve"> </w:t>
      </w:r>
      <w:r>
        <w:t xml:space="preserve">· Lactotripeptides do not lower ambulatory blood pressure in untreated whites: results from 2 controlled multicenter crossover studies. PMID 19106238</w:t>
      </w:r>
    </w:p>
    <w:p>
      <w:pPr>
        <w:numPr>
          <w:ilvl w:val="0"/>
          <w:numId w:val="1422"/>
        </w:numPr>
        <w:pStyle w:val="Compact"/>
      </w:pPr>
      <w:r>
        <w:t xml:space="preserve">2008 · van der Zander K ·</w:t>
      </w:r>
      <w:r>
        <w:t xml:space="preserve"> </w:t>
      </w:r>
      <w:r>
        <w:rPr>
          <w:iCs/>
          <w:i/>
        </w:rPr>
        <w:t xml:space="preserve">Am J Clin Nutr</w:t>
      </w:r>
      <w:r>
        <w:t xml:space="preserve"> </w:t>
      </w:r>
      <w:r>
        <w:t xml:space="preserve">· Enzymatically hydrolyzed lactotripeptides do not lower blood pressure in mildly hypertensive subjects. PMID 19064533</w:t>
      </w:r>
    </w:p>
    <w:p>
      <w:pPr>
        <w:numPr>
          <w:ilvl w:val="0"/>
          <w:numId w:val="1422"/>
        </w:numPr>
        <w:pStyle w:val="Compact"/>
      </w:pPr>
      <w:r>
        <w:t xml:space="preserve">2008 · Engberink MF ·</w:t>
      </w:r>
      <w:r>
        <w:t xml:space="preserve"> </w:t>
      </w:r>
      <w:r>
        <w:rPr>
          <w:iCs/>
          <w:i/>
        </w:rPr>
        <w:t xml:space="preserve">Hypertension</w:t>
      </w:r>
      <w:r>
        <w:t xml:space="preserve"> </w:t>
      </w:r>
      <w:r>
        <w:t xml:space="preserve">· Lactotripeptides show no effect on human blood pressure: results from a double-blind randomized controlled trial. PMID 18086944</w:t>
      </w:r>
    </w:p>
    <w:p>
      <w:pPr>
        <w:numPr>
          <w:ilvl w:val="0"/>
          <w:numId w:val="1422"/>
        </w:numPr>
        <w:pStyle w:val="Compact"/>
      </w:pPr>
      <w:r>
        <w:t xml:space="preserve">2007 · Foltz M ·</w:t>
      </w:r>
      <w:r>
        <w:t xml:space="preserve"> </w:t>
      </w:r>
      <w:r>
        <w:rPr>
          <w:iCs/>
          <w:i/>
        </w:rPr>
        <w:t xml:space="preserve">J Nutr</w:t>
      </w:r>
      <w:r>
        <w:t xml:space="preserve"> </w:t>
      </w:r>
      <w:r>
        <w:t xml:space="preserve">· Angiotensin converting enzyme inhibitory peptides from a lactotripeptide-enriched milk beverage are absorbed intact into the circulation. PMID 17374660</w:t>
      </w:r>
    </w:p>
    <w:p>
      <w:pPr>
        <w:numPr>
          <w:ilvl w:val="0"/>
          <w:numId w:val="1422"/>
        </w:numPr>
        <w:pStyle w:val="Compact"/>
      </w:pPr>
      <w:r>
        <w:t xml:space="preserve">2004 · Tuomilehto J ·</w:t>
      </w:r>
      <w:r>
        <w:t xml:space="preserve"> </w:t>
      </w:r>
      <w:r>
        <w:rPr>
          <w:iCs/>
          <w:i/>
        </w:rPr>
        <w:t xml:space="preserve">J Hum Hypertens</w:t>
      </w:r>
      <w:r>
        <w:t xml:space="preserve"> </w:t>
      </w:r>
      <w:r>
        <w:t xml:space="preserve">· Effect of ingesting sour milk fermented using Lactobacillus helveticus bacteria producing tripeptides on blood pressure in subjects with mild hypertension. PMID 15175633</w:t>
      </w:r>
    </w:p>
    <w:bookmarkEnd w:id="1169"/>
    <w:bookmarkStart w:id="1170" w:name="carnosine-57"/>
    <w:p>
      <w:pPr>
        <w:pStyle w:val="Heading2"/>
      </w:pPr>
      <w:r>
        <w:t xml:space="preserve">Carnosine (57)</w:t>
      </w:r>
    </w:p>
    <w:p>
      <w:pPr>
        <w:numPr>
          <w:ilvl w:val="0"/>
          <w:numId w:val="1423"/>
        </w:numPr>
        <w:pStyle w:val="Compact"/>
      </w:pPr>
      <w:r>
        <w:t xml:space="preserve">2026 · O’Toole TE ·</w:t>
      </w:r>
      <w:r>
        <w:t xml:space="preserve"> </w:t>
      </w:r>
      <w:r>
        <w:rPr>
          <w:iCs/>
          <w:i/>
        </w:rPr>
        <w:t xml:space="preserve">J Int Soc Sports Nutr</w:t>
      </w:r>
      <w:r>
        <w:t xml:space="preserve"> </w:t>
      </w:r>
      <w:r>
        <w:t xml:space="preserve">· Effects of carnosine supplementation on physical endurance: a placebo-controlled randomized clinical trial. PMID 42308284</w:t>
      </w:r>
    </w:p>
    <w:p>
      <w:pPr>
        <w:numPr>
          <w:ilvl w:val="0"/>
          <w:numId w:val="1423"/>
        </w:numPr>
        <w:pStyle w:val="Compact"/>
      </w:pPr>
      <w:r>
        <w:t xml:space="preserve">2026 · Togni L ·</w:t>
      </w:r>
      <w:r>
        <w:t xml:space="preserve"> </w:t>
      </w:r>
      <w:r>
        <w:rPr>
          <w:iCs/>
          <w:i/>
        </w:rPr>
        <w:t xml:space="preserve">Minerva Dent Oral Sci</w:t>
      </w:r>
      <w:r>
        <w:t xml:space="preserve"> </w:t>
      </w:r>
      <w:r>
        <w:t xml:space="preserve">· Zinc-L-carnosine mouthwash in oral mucositis patients: a single-blind, randomized, controlled trial. PMID 41855025</w:t>
      </w:r>
    </w:p>
    <w:p>
      <w:pPr>
        <w:numPr>
          <w:ilvl w:val="0"/>
          <w:numId w:val="1423"/>
        </w:numPr>
        <w:pStyle w:val="Compact"/>
      </w:pPr>
      <w:r>
        <w:t xml:space="preserve">2025 · Beaven CM ·</w:t>
      </w:r>
      <w:r>
        <w:t xml:space="preserve"> </w:t>
      </w:r>
      <w:r>
        <w:rPr>
          <w:iCs/>
          <w:i/>
        </w:rPr>
        <w:t xml:space="preserve">J Int Soc Sports Nutr</w:t>
      </w:r>
      <w:r>
        <w:t xml:space="preserve"> </w:t>
      </w:r>
      <w:r>
        <w:t xml:space="preserve">· Topical carnosine gel improves intermittent high-intensity exercise performance in world-class rugby sevens players. PMID 40859880</w:t>
      </w:r>
    </w:p>
    <w:p>
      <w:pPr>
        <w:numPr>
          <w:ilvl w:val="0"/>
          <w:numId w:val="1423"/>
        </w:numPr>
        <w:pStyle w:val="Compact"/>
      </w:pPr>
      <w:r>
        <w:t xml:space="preserve">2025 · Perić L ·</w:t>
      </w:r>
      <w:r>
        <w:t xml:space="preserve"> </w:t>
      </w:r>
      <w:r>
        <w:rPr>
          <w:iCs/>
          <w:i/>
        </w:rPr>
        <w:t xml:space="preserve">Appl Physiol Nutr Metab</w:t>
      </w:r>
      <w:r>
        <w:t xml:space="preserve"> </w:t>
      </w:r>
      <w:r>
        <w:t xml:space="preserve">· Carnosine-enriched functional food enhances micro- and macrovascular endothelium-independent vasodilation in competitive athletes-a randomized study. PMID 39983097</w:t>
      </w:r>
    </w:p>
    <w:p>
      <w:pPr>
        <w:numPr>
          <w:ilvl w:val="0"/>
          <w:numId w:val="1423"/>
        </w:numPr>
        <w:pStyle w:val="Compact"/>
      </w:pPr>
      <w:r>
        <w:t xml:space="preserve">2025 · O’Toole TE ·</w:t>
      </w:r>
      <w:r>
        <w:t xml:space="preserve"> </w:t>
      </w:r>
      <w:r>
        <w:rPr>
          <w:iCs/>
          <w:i/>
        </w:rPr>
        <w:t xml:space="preserve">Neurotherapeutics</w:t>
      </w:r>
      <w:r>
        <w:t xml:space="preserve"> </w:t>
      </w:r>
      <w:r>
        <w:t xml:space="preserve">· Carnosine supplementation improves cognitive outcomes in younger participants of the NEAT trial. PMID 39919936</w:t>
      </w:r>
    </w:p>
    <w:p>
      <w:pPr>
        <w:numPr>
          <w:ilvl w:val="0"/>
          <w:numId w:val="1423"/>
        </w:numPr>
        <w:pStyle w:val="Compact"/>
      </w:pPr>
      <w:r>
        <w:t xml:space="preserve">2024 · Saadati S ·</w:t>
      </w:r>
      <w:r>
        <w:t xml:space="preserve"> </w:t>
      </w:r>
      <w:r>
        <w:rPr>
          <w:iCs/>
          <w:i/>
        </w:rPr>
        <w:t xml:space="preserve">Nutrients</w:t>
      </w:r>
      <w:r>
        <w:t xml:space="preserve"> </w:t>
      </w:r>
      <w:r>
        <w:t xml:space="preserve">· The Effect of Carnosine Supplementation on Musculoskeletal Health in Adults with Prediabetes and Type 2 Diabetes: A Secondary Analysis of a Randomized Controlled Trial. PMID 39770949</w:t>
      </w:r>
    </w:p>
    <w:p>
      <w:pPr>
        <w:numPr>
          <w:ilvl w:val="0"/>
          <w:numId w:val="1423"/>
        </w:numPr>
        <w:pStyle w:val="Compact"/>
      </w:pPr>
      <w:r>
        <w:t xml:space="preserve">2024 · Saadati S ·</w:t>
      </w:r>
      <w:r>
        <w:t xml:space="preserve"> </w:t>
      </w:r>
      <w:r>
        <w:rPr>
          <w:iCs/>
          <w:i/>
        </w:rPr>
        <w:t xml:space="preserve">Nutrients</w:t>
      </w:r>
      <w:r>
        <w:t xml:space="preserve"> </w:t>
      </w:r>
      <w:r>
        <w:t xml:space="preserve">· Carnosine Supplementation Has No Effect on Inflammatory Markers in Adults with Prediabetes and Type 2 Diabetes: A Randomised Controlled Trial. PMID 39599686</w:t>
      </w:r>
    </w:p>
    <w:p>
      <w:pPr>
        <w:numPr>
          <w:ilvl w:val="0"/>
          <w:numId w:val="1423"/>
        </w:numPr>
        <w:pStyle w:val="Compact"/>
      </w:pPr>
      <w:r>
        <w:t xml:space="preserve">2024 · Abraham DA ·</w:t>
      </w:r>
      <w:r>
        <w:t xml:space="preserve"> </w:t>
      </w:r>
      <w:r>
        <w:rPr>
          <w:iCs/>
          <w:i/>
        </w:rPr>
        <w:t xml:space="preserve">Front Biosci (Landmark Ed)</w:t>
      </w:r>
      <w:r>
        <w:t xml:space="preserve"> </w:t>
      </w:r>
      <w:r>
        <w:t xml:space="preserve">· Estimation of Plasma Concentration of L-Carnosine and its Correlation with Core Symptoms of Autism Spectrum Disorder Children: A Pilot Clinical Trial. PMID 39473402</w:t>
      </w:r>
    </w:p>
    <w:p>
      <w:pPr>
        <w:numPr>
          <w:ilvl w:val="0"/>
          <w:numId w:val="1423"/>
        </w:numPr>
        <w:pStyle w:val="Compact"/>
      </w:pPr>
      <w:r>
        <w:t xml:space="preserve">2024 · Baba SP ·</w:t>
      </w:r>
      <w:r>
        <w:t xml:space="preserve"> </w:t>
      </w:r>
      <w:r>
        <w:rPr>
          <w:iCs/>
          <w:i/>
        </w:rPr>
        <w:t xml:space="preserve">Amino Acids</w:t>
      </w:r>
      <w:r>
        <w:t xml:space="preserve"> </w:t>
      </w:r>
      <w:r>
        <w:t xml:space="preserve">· Evaluation of supplementary carnosine accumulation and distribution: an initial analysis of participants in the Nucleophilic Defense Against PM Toxicity (NEAT) clinical trial. PMID 39215872</w:t>
      </w:r>
    </w:p>
    <w:p>
      <w:pPr>
        <w:numPr>
          <w:ilvl w:val="0"/>
          <w:numId w:val="1423"/>
        </w:numPr>
        <w:pStyle w:val="Compact"/>
      </w:pPr>
      <w:r>
        <w:t xml:space="preserve">2024 · Rondanelli M ·</w:t>
      </w:r>
      <w:r>
        <w:t xml:space="preserve"> </w:t>
      </w:r>
      <w:r>
        <w:rPr>
          <w:iCs/>
          <w:i/>
        </w:rPr>
        <w:t xml:space="preserve">Nutrients</w:t>
      </w:r>
      <w:r>
        <w:t xml:space="preserve"> </w:t>
      </w:r>
      <w:r>
        <w:t xml:space="preserve">· A Patented Dietary Supplement (Hydroxy-Methyl-Butyrate, Carnosine, Magnesium, Butyrate, Lactoferrin) Is a Promising Therapeutic Target for Age-Related Sarcopenia through the Regulation of Gut Permeability: A Randomized Controlled Trial. PMID 38732615</w:t>
      </w:r>
    </w:p>
    <w:p>
      <w:pPr>
        <w:numPr>
          <w:ilvl w:val="0"/>
          <w:numId w:val="1423"/>
        </w:numPr>
        <w:pStyle w:val="Compact"/>
      </w:pPr>
      <w:r>
        <w:t xml:space="preserve">2024 · Hariharan R ·</w:t>
      </w:r>
      <w:r>
        <w:t xml:space="preserve"> </w:t>
      </w:r>
      <w:r>
        <w:rPr>
          <w:iCs/>
          <w:i/>
        </w:rPr>
        <w:t xml:space="preserve">Nutr Metab Cardiovasc Dis</w:t>
      </w:r>
      <w:r>
        <w:t xml:space="preserve"> </w:t>
      </w:r>
      <w:r>
        <w:t xml:space="preserve">· Carnosine supplementation improves glucose control in adults with pre-diabetes and type 2 diabetes: A randomised controlled trial. PMID 38172006</w:t>
      </w:r>
    </w:p>
    <w:p>
      <w:pPr>
        <w:numPr>
          <w:ilvl w:val="0"/>
          <w:numId w:val="1423"/>
        </w:numPr>
        <w:pStyle w:val="Compact"/>
      </w:pPr>
      <w:r>
        <w:t xml:space="preserve">2023 · Saadati S ·</w:t>
      </w:r>
      <w:r>
        <w:t xml:space="preserve"> </w:t>
      </w:r>
      <w:r>
        <w:rPr>
          <w:iCs/>
          <w:i/>
        </w:rPr>
        <w:t xml:space="preserve">Nutrients</w:t>
      </w:r>
      <w:r>
        <w:t xml:space="preserve"> </w:t>
      </w:r>
      <w:r>
        <w:t xml:space="preserve">· Carnosine Did Not Affect Vascular and Metabolic Outcomes in Patients with Prediabetes and Type 2 Diabetes: A 14-Week Randomized Controlled Trial. PMID 38004228</w:t>
      </w:r>
    </w:p>
    <w:p>
      <w:pPr>
        <w:numPr>
          <w:ilvl w:val="0"/>
          <w:numId w:val="1423"/>
        </w:numPr>
        <w:pStyle w:val="Compact"/>
      </w:pPr>
      <w:r>
        <w:t xml:space="preserve">2021 · Siriwattanasit N ·</w:t>
      </w:r>
      <w:r>
        <w:t xml:space="preserve"> </w:t>
      </w:r>
      <w:r>
        <w:rPr>
          <w:iCs/>
          <w:i/>
        </w:rPr>
        <w:t xml:space="preserve">BMC Nephrol</w:t>
      </w:r>
      <w:r>
        <w:t xml:space="preserve"> </w:t>
      </w:r>
      <w:r>
        <w:t xml:space="preserve">· Effect of Oral carnosine supplementation on urinary TGF-β in diabetic nephropathy: a randomized controlled trial. PMID 34174842</w:t>
      </w:r>
    </w:p>
    <w:p>
      <w:pPr>
        <w:numPr>
          <w:ilvl w:val="0"/>
          <w:numId w:val="1423"/>
        </w:numPr>
        <w:pStyle w:val="Compact"/>
      </w:pPr>
      <w:r>
        <w:t xml:space="preserve">2021 · Blancquaert L ·</w:t>
      </w:r>
      <w:r>
        <w:t xml:space="preserve"> </w:t>
      </w:r>
      <w:r>
        <w:rPr>
          <w:iCs/>
          <w:i/>
        </w:rPr>
        <w:t xml:space="preserve">J Appl Physiol (1985)</w:t>
      </w:r>
      <w:r>
        <w:t xml:space="preserve"> </w:t>
      </w:r>
      <w:r>
        <w:t xml:space="preserve">· Acute preexercise supplementation of combined carnosine and anserine enhances initial maximal power of Wingate tests in humans. PMID 33914660</w:t>
      </w:r>
    </w:p>
    <w:p>
      <w:pPr>
        <w:numPr>
          <w:ilvl w:val="0"/>
          <w:numId w:val="1423"/>
        </w:numPr>
        <w:pStyle w:val="Compact"/>
      </w:pPr>
      <w:r>
        <w:t xml:space="preserve">2021 · Yamaguchi GC ·</w:t>
      </w:r>
      <w:r>
        <w:t xml:space="preserve"> </w:t>
      </w:r>
      <w:r>
        <w:rPr>
          <w:iCs/>
          <w:i/>
        </w:rPr>
        <w:t xml:space="preserve">Med Sci Sports Exerc</w:t>
      </w:r>
      <w:r>
        <w:t xml:space="preserve"> </w:t>
      </w:r>
      <w:r>
        <w:t xml:space="preserve">· Kinetics of Muscle Carnosine Decay after β-Alanine Supplementation: A 16-wk Washout Study. PMID 33148972</w:t>
      </w:r>
    </w:p>
    <w:p>
      <w:pPr>
        <w:numPr>
          <w:ilvl w:val="0"/>
          <w:numId w:val="1423"/>
        </w:numPr>
        <w:pStyle w:val="Compact"/>
      </w:pPr>
      <w:r>
        <w:t xml:space="preserve">2021 · Limonta E ·</w:t>
      </w:r>
      <w:r>
        <w:t xml:space="preserve"> </w:t>
      </w:r>
      <w:r>
        <w:rPr>
          <w:iCs/>
          <w:i/>
        </w:rPr>
        <w:t xml:space="preserve">J Sports Med Phys Fitness</w:t>
      </w:r>
      <w:r>
        <w:t xml:space="preserve"> </w:t>
      </w:r>
      <w:r>
        <w:t xml:space="preserve">· Acute carnosine and β-alanine supplementation increase the compensated part of the ventilation versus work rate relationship during a ramp incremental cycle test in physically active men. PMID 33092320</w:t>
      </w:r>
    </w:p>
    <w:p>
      <w:pPr>
        <w:numPr>
          <w:ilvl w:val="0"/>
          <w:numId w:val="1423"/>
        </w:numPr>
        <w:pStyle w:val="Compact"/>
      </w:pPr>
      <w:r>
        <w:t xml:space="preserve">2020 · Zanini D ·</w:t>
      </w:r>
      <w:r>
        <w:t xml:space="preserve"> </w:t>
      </w:r>
      <w:r>
        <w:rPr>
          <w:iCs/>
          <w:i/>
        </w:rPr>
        <w:t xml:space="preserve">Nutr Res</w:t>
      </w:r>
      <w:r>
        <w:t xml:space="preserve"> </w:t>
      </w:r>
      <w:r>
        <w:t xml:space="preserve">· Dietary supplementation with L-carnosine improves patient-reported outcomes, autonomic nervous system performance, and brain metabolism in 3 adult patients with multiple sclerosis. PMID 33189432</w:t>
      </w:r>
    </w:p>
    <w:p>
      <w:pPr>
        <w:numPr>
          <w:ilvl w:val="0"/>
          <w:numId w:val="1423"/>
        </w:numPr>
        <w:pStyle w:val="Compact"/>
      </w:pPr>
      <w:r>
        <w:t xml:space="preserve">2020 · Ann Abraham D ·</w:t>
      </w:r>
      <w:r>
        <w:t xml:space="preserve"> </w:t>
      </w:r>
      <w:r>
        <w:rPr>
          <w:iCs/>
          <w:i/>
        </w:rPr>
        <w:t xml:space="preserve">Amino Acids</w:t>
      </w:r>
      <w:r>
        <w:t xml:space="preserve"> </w:t>
      </w:r>
      <w:r>
        <w:t xml:space="preserve">· Effect of L-Carnosine as adjunctive therapy in the management of children with autism spectrum disorder: a randomized controlled study. PMID 33170378</w:t>
      </w:r>
    </w:p>
    <w:p>
      <w:pPr>
        <w:numPr>
          <w:ilvl w:val="0"/>
          <w:numId w:val="1423"/>
        </w:numPr>
        <w:pStyle w:val="Compact"/>
      </w:pPr>
      <w:r>
        <w:t xml:space="preserve">2019 · Masuoka N ·</w:t>
      </w:r>
      <w:r>
        <w:t xml:space="preserve"> </w:t>
      </w:r>
      <w:r>
        <w:rPr>
          <w:iCs/>
          <w:i/>
        </w:rPr>
        <w:t xml:space="preserve">Nutrients</w:t>
      </w:r>
      <w:r>
        <w:t xml:space="preserve"> </w:t>
      </w:r>
      <w:r>
        <w:t xml:space="preserve">· Effects of Anserine/Carnosine Supplementation on Mild Cognitive Impairment with APOE4. PMID 31319510</w:t>
      </w:r>
    </w:p>
    <w:p>
      <w:pPr>
        <w:numPr>
          <w:ilvl w:val="0"/>
          <w:numId w:val="1423"/>
        </w:numPr>
        <w:pStyle w:val="Compact"/>
      </w:pPr>
      <w:r>
        <w:t xml:space="preserve">2019 · Yehia R ·</w:t>
      </w:r>
      <w:r>
        <w:t xml:space="preserve"> </w:t>
      </w:r>
      <w:r>
        <w:rPr>
          <w:iCs/>
          <w:i/>
        </w:rPr>
        <w:t xml:space="preserve">Toxicol Appl Pharmacol</w:t>
      </w:r>
      <w:r>
        <w:t xml:space="preserve"> </w:t>
      </w:r>
      <w:r>
        <w:t xml:space="preserve">· L-Carnosine protects against Oxaliplatin-induced peripheral neuropathy in colorectal cancer patients: A perspective on targeting Nrf-2 and NF-κB pathways. PMID 30592963</w:t>
      </w:r>
    </w:p>
    <w:p>
      <w:pPr>
        <w:numPr>
          <w:ilvl w:val="0"/>
          <w:numId w:val="1423"/>
        </w:numPr>
        <w:pStyle w:val="Compact"/>
      </w:pPr>
      <w:r>
        <w:t xml:space="preserve">2019 · Baye E ·</w:t>
      </w:r>
      <w:r>
        <w:t xml:space="preserve"> </w:t>
      </w:r>
      <w:r>
        <w:rPr>
          <w:iCs/>
          <w:i/>
        </w:rPr>
        <w:t xml:space="preserve">Amino Acids</w:t>
      </w:r>
      <w:r>
        <w:t xml:space="preserve"> </w:t>
      </w:r>
      <w:r>
        <w:t xml:space="preserve">· Carnosine supplementation reduces plasma soluble transferrin receptor in healthy overweight or obese individuals: a pilot randomised trial. PMID 30136029</w:t>
      </w:r>
    </w:p>
    <w:p>
      <w:pPr>
        <w:numPr>
          <w:ilvl w:val="0"/>
          <w:numId w:val="1423"/>
        </w:numPr>
        <w:pStyle w:val="Compact"/>
      </w:pPr>
      <w:r>
        <w:t xml:space="preserve">2019 · Ghodsi R ·</w:t>
      </w:r>
      <w:r>
        <w:t xml:space="preserve"> </w:t>
      </w:r>
      <w:r>
        <w:rPr>
          <w:iCs/>
          <w:i/>
        </w:rPr>
        <w:t xml:space="preserve">Ann Clin Biochem</w:t>
      </w:r>
      <w:r>
        <w:t xml:space="preserve"> </w:t>
      </w:r>
      <w:r>
        <w:t xml:space="preserve">· Carnosine supplementation does not affect serum concentrations of advanced glycation and precursors of lipoxidation end products in autism: a randomized controlled clinical trial. PMID 30089410</w:t>
      </w:r>
    </w:p>
    <w:p>
      <w:pPr>
        <w:numPr>
          <w:ilvl w:val="0"/>
          <w:numId w:val="1423"/>
        </w:numPr>
        <w:pStyle w:val="Compact"/>
      </w:pPr>
      <w:r>
        <w:t xml:space="preserve">2018 · Karkabounas S ·</w:t>
      </w:r>
      <w:r>
        <w:t xml:space="preserve"> </w:t>
      </w:r>
      <w:r>
        <w:rPr>
          <w:iCs/>
          <w:i/>
        </w:rPr>
        <w:t xml:space="preserve">J Med Food</w:t>
      </w:r>
      <w:r>
        <w:t xml:space="preserve"> </w:t>
      </w:r>
      <w:r>
        <w:t xml:space="preserve">· Effects of α-Lipoic Acid, Carnosine, and Thiamine Supplementation in Obese Patients with Type 2 Diabetes Mellitus: A Randomized, Double-Blind Study. PMID 30311825</w:t>
      </w:r>
    </w:p>
    <w:p>
      <w:pPr>
        <w:numPr>
          <w:ilvl w:val="0"/>
          <w:numId w:val="1423"/>
        </w:numPr>
        <w:pStyle w:val="Compact"/>
      </w:pPr>
      <w:r>
        <w:t xml:space="preserve">2018 · Baye E ·</w:t>
      </w:r>
      <w:r>
        <w:t xml:space="preserve"> </w:t>
      </w:r>
      <w:r>
        <w:rPr>
          <w:iCs/>
          <w:i/>
        </w:rPr>
        <w:t xml:space="preserve">Nutrients</w:t>
      </w:r>
      <w:r>
        <w:t xml:space="preserve"> </w:t>
      </w:r>
      <w:r>
        <w:t xml:space="preserve">· Carnosine Supplementation Improves Serum Resistin Concentrations in Overweight or Obese Otherwise Healthy Adults: A Pilot Randomized Trial. PMID 30205427</w:t>
      </w:r>
    </w:p>
    <w:p>
      <w:pPr>
        <w:numPr>
          <w:ilvl w:val="0"/>
          <w:numId w:val="1423"/>
        </w:numPr>
        <w:pStyle w:val="Compact"/>
      </w:pPr>
      <w:r>
        <w:t xml:space="preserve">2018 · Blancquaert L ·</w:t>
      </w:r>
      <w:r>
        <w:t xml:space="preserve"> </w:t>
      </w:r>
      <w:r>
        <w:rPr>
          <w:iCs/>
          <w:i/>
        </w:rPr>
        <w:t xml:space="preserve">Br J Nutr</w:t>
      </w:r>
      <w:r>
        <w:t xml:space="preserve"> </w:t>
      </w:r>
      <w:r>
        <w:t xml:space="preserve">· Changing to a vegetarian diet reduces the body creatine pool in omnivorous women, but appears not to affect carnitine and carnosine homeostasis: a randomised trial. PMID 29569535</w:t>
      </w:r>
    </w:p>
    <w:p>
      <w:pPr>
        <w:numPr>
          <w:ilvl w:val="0"/>
          <w:numId w:val="1423"/>
        </w:numPr>
        <w:pStyle w:val="Compact"/>
      </w:pPr>
      <w:r>
        <w:t xml:space="preserve">2018 · Mehrazad-Saber Z ·</w:t>
      </w:r>
      <w:r>
        <w:t xml:space="preserve"> </w:t>
      </w:r>
      <w:r>
        <w:rPr>
          <w:iCs/>
          <w:i/>
        </w:rPr>
        <w:t xml:space="preserve">Basic Clin Pharmacol Toxicol</w:t>
      </w:r>
      <w:r>
        <w:t xml:space="preserve"> </w:t>
      </w:r>
      <w:r>
        <w:t xml:space="preserve">· Effects of l-Carnosine Supplementation on Sleep Disorders and Disease Severity in Autistic Children: A Randomized, Controlled Clinical Trial. PMID 29430839</w:t>
      </w:r>
    </w:p>
    <w:p>
      <w:pPr>
        <w:numPr>
          <w:ilvl w:val="0"/>
          <w:numId w:val="1423"/>
        </w:numPr>
        <w:pStyle w:val="Compact"/>
      </w:pPr>
      <w:r>
        <w:t xml:space="preserve">2018 · Houjeghani S ·</w:t>
      </w:r>
      <w:r>
        <w:t xml:space="preserve"> </w:t>
      </w:r>
      <w:r>
        <w:rPr>
          <w:iCs/>
          <w:i/>
        </w:rPr>
        <w:t xml:space="preserve">Nutr Res</w:t>
      </w:r>
      <w:r>
        <w:t xml:space="preserve"> </w:t>
      </w:r>
      <w:r>
        <w:t xml:space="preserve">· l-Carnosine supplementation attenuated fasting glucose, triglycerides, advanced glycation end products, and tumor necrosis factor-α levels in patients with type 2 diabetes: a double-blind placebo-controlled randomized clinical trial. PMID 29420997</w:t>
      </w:r>
    </w:p>
    <w:p>
      <w:pPr>
        <w:numPr>
          <w:ilvl w:val="0"/>
          <w:numId w:val="1423"/>
        </w:numPr>
        <w:pStyle w:val="Compact"/>
      </w:pPr>
      <w:r>
        <w:t xml:space="preserve">2018 · Elbarbary NS ·</w:t>
      </w:r>
      <w:r>
        <w:t xml:space="preserve"> </w:t>
      </w:r>
      <w:r>
        <w:rPr>
          <w:iCs/>
          <w:i/>
        </w:rPr>
        <w:t xml:space="preserve">Pediatr Diabetes</w:t>
      </w:r>
      <w:r>
        <w:t xml:space="preserve"> </w:t>
      </w:r>
      <w:r>
        <w:t xml:space="preserve">· The effect of 12 weeks carnosine supplementation on renal functional integrity and oxidative stress in pediatric patients with diabetic nephropathy: a randomized placebo-controlled trial. PMID 28744992</w:t>
      </w:r>
    </w:p>
    <w:p>
      <w:pPr>
        <w:numPr>
          <w:ilvl w:val="0"/>
          <w:numId w:val="1423"/>
        </w:numPr>
        <w:pStyle w:val="Compact"/>
      </w:pPr>
      <w:r>
        <w:t xml:space="preserve">2017 · Varanoske AN ·</w:t>
      </w:r>
      <w:r>
        <w:t xml:space="preserve"> </w:t>
      </w:r>
      <w:r>
        <w:rPr>
          <w:iCs/>
          <w:i/>
        </w:rPr>
        <w:t xml:space="preserve">Nutr Res</w:t>
      </w:r>
      <w:r>
        <w:t xml:space="preserve"> </w:t>
      </w:r>
      <w:r>
        <w:t xml:space="preserve">· β-Alanine supplementation elevates intramuscular carnosine content and attenuates fatigue in men and women similarly but does not change muscle l-histidine content. PMID 29246277</w:t>
      </w:r>
    </w:p>
    <w:p>
      <w:pPr>
        <w:numPr>
          <w:ilvl w:val="0"/>
          <w:numId w:val="1423"/>
        </w:numPr>
        <w:pStyle w:val="Compact"/>
      </w:pPr>
      <w:r>
        <w:t xml:space="preserve">2017 · Baye E ·</w:t>
      </w:r>
      <w:r>
        <w:t xml:space="preserve"> </w:t>
      </w:r>
      <w:r>
        <w:rPr>
          <w:iCs/>
          <w:i/>
        </w:rPr>
        <w:t xml:space="preserve">Sci Rep</w:t>
      </w:r>
      <w:r>
        <w:t xml:space="preserve"> </w:t>
      </w:r>
      <w:r>
        <w:t xml:space="preserve">· Effect of carnosine supplementation on the plasma lipidome in overweight and obese adults: a pilot randomised controlled trial. PMID 29234057</w:t>
      </w:r>
    </w:p>
    <w:p>
      <w:pPr>
        <w:numPr>
          <w:ilvl w:val="0"/>
          <w:numId w:val="1423"/>
        </w:numPr>
        <w:pStyle w:val="Compact"/>
      </w:pPr>
      <w:r>
        <w:t xml:space="preserve">2017 · Katakura Y ·</w:t>
      </w:r>
      <w:r>
        <w:t xml:space="preserve"> </w:t>
      </w:r>
      <w:r>
        <w:rPr>
          <w:iCs/>
          <w:i/>
        </w:rPr>
        <w:t xml:space="preserve">Nutrients</w:t>
      </w:r>
      <w:r>
        <w:t xml:space="preserve"> </w:t>
      </w:r>
      <w:r>
        <w:t xml:space="preserve">· Anserine/Carnosine Supplementation Suppresses the Expression of the Inflammatory Chemokine CCL24 in Peripheral Blood Mononuclear Cells from Elderly People. PMID 29088099</w:t>
      </w:r>
    </w:p>
    <w:p>
      <w:pPr>
        <w:numPr>
          <w:ilvl w:val="0"/>
          <w:numId w:val="1423"/>
        </w:numPr>
        <w:pStyle w:val="Compact"/>
      </w:pPr>
      <w:r>
        <w:t xml:space="preserve">2017 · Church DD ·</w:t>
      </w:r>
      <w:r>
        <w:t xml:space="preserve"> </w:t>
      </w:r>
      <w:r>
        <w:rPr>
          <w:iCs/>
          <w:i/>
        </w:rPr>
        <w:t xml:space="preserve">J Am Coll Nutr</w:t>
      </w:r>
      <w:r>
        <w:t xml:space="preserve"> </w:t>
      </w:r>
      <w:r>
        <w:t xml:space="preserve">· Comparison of Two β-Alanine Dosing Protocols on Muscle Carnosine Elevations. PMID 28910200</w:t>
      </w:r>
    </w:p>
    <w:p>
      <w:pPr>
        <w:numPr>
          <w:ilvl w:val="0"/>
          <w:numId w:val="1423"/>
        </w:numPr>
        <w:pStyle w:val="Compact"/>
      </w:pPr>
      <w:r>
        <w:t xml:space="preserve">2017 · Baye E ·</w:t>
      </w:r>
      <w:r>
        <w:t xml:space="preserve"> </w:t>
      </w:r>
      <w:r>
        <w:rPr>
          <w:iCs/>
          <w:i/>
        </w:rPr>
        <w:t xml:space="preserve">BMJ Open</w:t>
      </w:r>
      <w:r>
        <w:t xml:space="preserve"> </w:t>
      </w:r>
      <w:r>
        <w:t xml:space="preserve">· Does supplementation with carnosine improve cardiometabolic health and cognitive function in patients with pre-diabetes and type 2 diabetes? study protocol for a randomised, double-blind, placebo-controlled trial. PMID 28864708</w:t>
      </w:r>
    </w:p>
    <w:p>
      <w:pPr>
        <w:numPr>
          <w:ilvl w:val="0"/>
          <w:numId w:val="1423"/>
        </w:numPr>
        <w:pStyle w:val="Compact"/>
      </w:pPr>
      <w:r>
        <w:t xml:space="preserve">2017 · Saunders B ·</w:t>
      </w:r>
      <w:r>
        <w:t xml:space="preserve"> </w:t>
      </w:r>
      <w:r>
        <w:rPr>
          <w:iCs/>
          <w:i/>
        </w:rPr>
        <w:t xml:space="preserve">Med Sci Sports Exerc</w:t>
      </w:r>
      <w:r>
        <w:t xml:space="preserve"> </w:t>
      </w:r>
      <w:r>
        <w:t xml:space="preserve">· Twenty-four Weeks of β-Alanine Supplementation on Carnosine Content, Related Genes, and Exercise. PMID 28157726</w:t>
      </w:r>
    </w:p>
    <w:p>
      <w:pPr>
        <w:numPr>
          <w:ilvl w:val="0"/>
          <w:numId w:val="1423"/>
        </w:numPr>
        <w:pStyle w:val="Compact"/>
      </w:pPr>
      <w:r>
        <w:t xml:space="preserve">2016 · de Courten B ·</w:t>
      </w:r>
      <w:r>
        <w:t xml:space="preserve"> </w:t>
      </w:r>
      <w:r>
        <w:rPr>
          <w:iCs/>
          <w:i/>
        </w:rPr>
        <w:t xml:space="preserve">Obesity (Silver Spring)</w:t>
      </w:r>
      <w:r>
        <w:t xml:space="preserve"> </w:t>
      </w:r>
      <w:r>
        <w:t xml:space="preserve">· Effects of carnosine supplementation on glucose metabolism: Pilot clinical trial. PMID 27040154</w:t>
      </w:r>
    </w:p>
    <w:p>
      <w:pPr>
        <w:numPr>
          <w:ilvl w:val="0"/>
          <w:numId w:val="1423"/>
        </w:numPr>
        <w:pStyle w:val="Compact"/>
      </w:pPr>
      <w:r>
        <w:t xml:space="preserve">2016 · Mutolo MG ·</w:t>
      </w:r>
      <w:r>
        <w:t xml:space="preserve"> </w:t>
      </w:r>
      <w:r>
        <w:rPr>
          <w:iCs/>
          <w:i/>
        </w:rPr>
        <w:t xml:space="preserve">J Ocul Pharmacol Ther</w:t>
      </w:r>
      <w:r>
        <w:t xml:space="preserve"> </w:t>
      </w:r>
      <w:r>
        <w:t xml:space="preserve">· Oral Administration of Forskolin, Homotaurine, Carnosine, and Folic Acid in Patients with Primary Open Angle Glaucoma: Changes in Intraocular Pressure, Pattern Electroretinogram Amplitude, and Foveal Sensitivity. PMID 26771282</w:t>
      </w:r>
    </w:p>
    <w:p>
      <w:pPr>
        <w:numPr>
          <w:ilvl w:val="0"/>
          <w:numId w:val="1423"/>
        </w:numPr>
        <w:pStyle w:val="Compact"/>
      </w:pPr>
      <w:r>
        <w:t xml:space="preserve">2016 · Hisatsune T ·</w:t>
      </w:r>
      <w:r>
        <w:t xml:space="preserve"> </w:t>
      </w:r>
      <w:r>
        <w:rPr>
          <w:iCs/>
          <w:i/>
        </w:rPr>
        <w:t xml:space="preserve">J Alzheimers Dis</w:t>
      </w:r>
      <w:r>
        <w:t xml:space="preserve"> </w:t>
      </w:r>
      <w:r>
        <w:t xml:space="preserve">· Effect of Anserine/Carnosine Supplementation on Verbal Episodic Memory in Elderly People. PMID 26682691</w:t>
      </w:r>
    </w:p>
    <w:p>
      <w:pPr>
        <w:numPr>
          <w:ilvl w:val="0"/>
          <w:numId w:val="1423"/>
        </w:numPr>
        <w:pStyle w:val="Compact"/>
      </w:pPr>
      <w:r>
        <w:t xml:space="preserve">2016 · Invernizzi PL ·</w:t>
      </w:r>
      <w:r>
        <w:t xml:space="preserve"> </w:t>
      </w:r>
      <w:r>
        <w:rPr>
          <w:iCs/>
          <w:i/>
        </w:rPr>
        <w:t xml:space="preserve">Int J Sports Physiol Perform</w:t>
      </w:r>
      <w:r>
        <w:t xml:space="preserve"> </w:t>
      </w:r>
      <w:r>
        <w:t xml:space="preserve">· Effects of Acute Carnosine and β-Alanine on Isometric Force and Jumping Performance. PMID 26308179</w:t>
      </w:r>
    </w:p>
    <w:p>
      <w:pPr>
        <w:numPr>
          <w:ilvl w:val="0"/>
          <w:numId w:val="1423"/>
        </w:numPr>
        <w:pStyle w:val="Compact"/>
      </w:pPr>
      <w:r>
        <w:t xml:space="preserve">2015 · Hoffman JR ·</w:t>
      </w:r>
      <w:r>
        <w:t xml:space="preserve"> </w:t>
      </w:r>
      <w:r>
        <w:rPr>
          <w:iCs/>
          <w:i/>
        </w:rPr>
        <w:t xml:space="preserve">Amino Acids</w:t>
      </w:r>
      <w:r>
        <w:t xml:space="preserve"> </w:t>
      </w:r>
      <w:r>
        <w:t xml:space="preserve">· β-Alanine ingestion increases muscle carnosine content and combat specific performance in soldiers. PMID 25510839</w:t>
      </w:r>
    </w:p>
    <w:p>
      <w:pPr>
        <w:numPr>
          <w:ilvl w:val="0"/>
          <w:numId w:val="1423"/>
        </w:numPr>
        <w:pStyle w:val="Compact"/>
      </w:pPr>
      <w:r>
        <w:t xml:space="preserve">2015 · Lombardi C ·</w:t>
      </w:r>
      <w:r>
        <w:t xml:space="preserve"> </w:t>
      </w:r>
      <w:r>
        <w:rPr>
          <w:iCs/>
          <w:i/>
        </w:rPr>
        <w:t xml:space="preserve">Nutrition</w:t>
      </w:r>
      <w:r>
        <w:t xml:space="preserve"> </w:t>
      </w:r>
      <w:r>
        <w:t xml:space="preserve">· Effects of oral administration of orodispersible levo-carnosine on quality of life and exercise performance in patients with chronic heart failure. PMID 25287762</w:t>
      </w:r>
    </w:p>
    <w:p>
      <w:pPr>
        <w:numPr>
          <w:ilvl w:val="0"/>
          <w:numId w:val="1423"/>
        </w:numPr>
        <w:pStyle w:val="Compact"/>
      </w:pPr>
      <w:r>
        <w:t xml:space="preserve">2014 · Slowinska-Lisowska M ·</w:t>
      </w:r>
      <w:r>
        <w:t xml:space="preserve"> </w:t>
      </w:r>
      <w:r>
        <w:rPr>
          <w:iCs/>
          <w:i/>
        </w:rPr>
        <w:t xml:space="preserve">Acta Physiol Hung</w:t>
      </w:r>
      <w:r>
        <w:t xml:space="preserve"> </w:t>
      </w:r>
      <w:r>
        <w:t xml:space="preserve">· Influence of l-carnosine on pro-antioxidant status in elite kayakers and canoeists. PMID 25201708</w:t>
      </w:r>
    </w:p>
    <w:p>
      <w:pPr>
        <w:numPr>
          <w:ilvl w:val="0"/>
          <w:numId w:val="1423"/>
        </w:numPr>
        <w:pStyle w:val="Compact"/>
      </w:pPr>
      <w:r>
        <w:t xml:space="preserve">2014 · Sakae K ·</w:t>
      </w:r>
      <w:r>
        <w:t xml:space="preserve"> </w:t>
      </w:r>
      <w:r>
        <w:rPr>
          <w:iCs/>
          <w:i/>
        </w:rPr>
        <w:t xml:space="preserve">Biol Trace Elem Res</w:t>
      </w:r>
      <w:r>
        <w:t xml:space="preserve"> </w:t>
      </w:r>
      <w:r>
        <w:t xml:space="preserve">· Oral treatment of pressure ulcers with polaprezinc (zinc L-carnosine complex): 8-week open-label trial. PMID 24691900</w:t>
      </w:r>
    </w:p>
    <w:p>
      <w:pPr>
        <w:numPr>
          <w:ilvl w:val="0"/>
          <w:numId w:val="1423"/>
        </w:numPr>
        <w:pStyle w:val="Compact"/>
      </w:pPr>
      <w:r>
        <w:t xml:space="preserve">2014 · Chung W ·</w:t>
      </w:r>
      <w:r>
        <w:t xml:space="preserve"> </w:t>
      </w:r>
      <w:r>
        <w:rPr>
          <w:iCs/>
          <w:i/>
        </w:rPr>
        <w:t xml:space="preserve">Int J Sport Nutr Exerc Metab</w:t>
      </w:r>
      <w:r>
        <w:t xml:space="preserve"> </w:t>
      </w:r>
      <w:r>
        <w:t xml:space="preserve">· Doubling of muscle carnosine concentration does not improve laboratory 1-hr cycling time-trial performance. PMID 24457999</w:t>
      </w:r>
    </w:p>
    <w:p>
      <w:pPr>
        <w:numPr>
          <w:ilvl w:val="0"/>
          <w:numId w:val="1423"/>
        </w:numPr>
        <w:pStyle w:val="Compact"/>
      </w:pPr>
      <w:r>
        <w:t xml:space="preserve">2013 · Baraniuk JN ·</w:t>
      </w:r>
      <w:r>
        <w:t xml:space="preserve"> </w:t>
      </w:r>
      <w:r>
        <w:rPr>
          <w:iCs/>
          <w:i/>
        </w:rPr>
        <w:t xml:space="preserve">Glob J Health Sci</w:t>
      </w:r>
      <w:r>
        <w:t xml:space="preserve"> </w:t>
      </w:r>
      <w:r>
        <w:t xml:space="preserve">· Carnosine treatment for gulf war illness: a randomized controlled trial. PMID 23618477</w:t>
      </w:r>
    </w:p>
    <w:p>
      <w:pPr>
        <w:numPr>
          <w:ilvl w:val="0"/>
          <w:numId w:val="1423"/>
        </w:numPr>
        <w:pStyle w:val="Compact"/>
      </w:pPr>
      <w:r>
        <w:t xml:space="preserve">2012 · del Favero S ·</w:t>
      </w:r>
      <w:r>
        <w:t xml:space="preserve"> </w:t>
      </w:r>
      <w:r>
        <w:rPr>
          <w:iCs/>
          <w:i/>
        </w:rPr>
        <w:t xml:space="preserve">Amino Acids</w:t>
      </w:r>
      <w:r>
        <w:t xml:space="preserve"> </w:t>
      </w:r>
      <w:r>
        <w:t xml:space="preserve">· Beta-alanine (Carnosyn™) supplementation in elderly subjects (60-80 years): effects on muscle carnosine content and physical capacity. PMID 22143432</w:t>
      </w:r>
    </w:p>
    <w:p>
      <w:pPr>
        <w:numPr>
          <w:ilvl w:val="0"/>
          <w:numId w:val="1423"/>
        </w:numPr>
        <w:pStyle w:val="Compact"/>
      </w:pPr>
      <w:r>
        <w:t xml:space="preserve">2012 · Stellingwerff T ·</w:t>
      </w:r>
      <w:r>
        <w:t xml:space="preserve"> </w:t>
      </w:r>
      <w:r>
        <w:rPr>
          <w:iCs/>
          <w:i/>
        </w:rPr>
        <w:t xml:space="preserve">Amino Acids</w:t>
      </w:r>
      <w:r>
        <w:t xml:space="preserve"> </w:t>
      </w:r>
      <w:r>
        <w:t xml:space="preserve">· Effect of two β-alanine dosing protocols on muscle carnosine synthesis and washout. PMID 21847611</w:t>
      </w:r>
    </w:p>
    <w:p>
      <w:pPr>
        <w:numPr>
          <w:ilvl w:val="0"/>
          <w:numId w:val="1423"/>
        </w:numPr>
        <w:pStyle w:val="Compact"/>
      </w:pPr>
      <w:r>
        <w:t xml:space="preserve">2012 · Babizhayev MA ·</w:t>
      </w:r>
      <w:r>
        <w:t xml:space="preserve"> </w:t>
      </w:r>
      <w:r>
        <w:rPr>
          <w:iCs/>
          <w:i/>
        </w:rPr>
        <w:t xml:space="preserve">J Dermatolog Treat</w:t>
      </w:r>
      <w:r>
        <w:t xml:space="preserve"> </w:t>
      </w:r>
      <w:r>
        <w:t xml:space="preserve">· Skin beautification with oral non-hydrolized versions of carnosine and carcinine: Effective therapeutic management and cosmetic skincare solutions against oxidative glycation and free-radical production as a causal mechanism of diabetic complications and skin aging. PMID 21756141</w:t>
      </w:r>
    </w:p>
    <w:p>
      <w:pPr>
        <w:numPr>
          <w:ilvl w:val="0"/>
          <w:numId w:val="1423"/>
        </w:numPr>
        <w:pStyle w:val="Compact"/>
      </w:pPr>
      <w:r>
        <w:t xml:space="preserve">2011 · Gualano B ·</w:t>
      </w:r>
      <w:r>
        <w:t xml:space="preserve"> </w:t>
      </w:r>
      <w:r>
        <w:rPr>
          <w:iCs/>
          <w:i/>
        </w:rPr>
        <w:t xml:space="preserve">Appl Physiol Nutr Metab</w:t>
      </w:r>
      <w:r>
        <w:t xml:space="preserve"> </w:t>
      </w:r>
      <w:r>
        <w:t xml:space="preserve">· Creatine supplementation does not augment muscle carnosine content in type 2 diabetic patients. PMID 21999299</w:t>
      </w:r>
    </w:p>
    <w:p>
      <w:pPr>
        <w:numPr>
          <w:ilvl w:val="0"/>
          <w:numId w:val="1423"/>
        </w:numPr>
        <w:pStyle w:val="Compact"/>
      </w:pPr>
      <w:r>
        <w:t xml:space="preserve">2011 · Goto K ·</w:t>
      </w:r>
      <w:r>
        <w:t xml:space="preserve"> </w:t>
      </w:r>
      <w:r>
        <w:rPr>
          <w:iCs/>
          <w:i/>
        </w:rPr>
        <w:t xml:space="preserve">J Strength Cond Res</w:t>
      </w:r>
      <w:r>
        <w:t xml:space="preserve"> </w:t>
      </w:r>
      <w:r>
        <w:t xml:space="preserve">· Hormonal responses to resistance exercise after ingestion of carnosine and anserine. PMID 20224451</w:t>
      </w:r>
    </w:p>
    <w:p>
      <w:pPr>
        <w:numPr>
          <w:ilvl w:val="0"/>
          <w:numId w:val="1423"/>
        </w:numPr>
        <w:pStyle w:val="Compact"/>
      </w:pPr>
      <w:r>
        <w:t xml:space="preserve">2010 · Baguet A ·</w:t>
      </w:r>
      <w:r>
        <w:t xml:space="preserve"> </w:t>
      </w:r>
      <w:r>
        <w:rPr>
          <w:iCs/>
          <w:i/>
        </w:rPr>
        <w:t xml:space="preserve">J Appl Physiol (1985)</w:t>
      </w:r>
      <w:r>
        <w:t xml:space="preserve"> </w:t>
      </w:r>
      <w:r>
        <w:t xml:space="preserve">· Important role of muscle carnosine in rowing performance. PMID 20671038</w:t>
      </w:r>
    </w:p>
    <w:p>
      <w:pPr>
        <w:numPr>
          <w:ilvl w:val="0"/>
          <w:numId w:val="1423"/>
        </w:numPr>
        <w:pStyle w:val="Compact"/>
      </w:pPr>
      <w:r>
        <w:t xml:space="preserve">2009 · Kendrick IP ·</w:t>
      </w:r>
      <w:r>
        <w:t xml:space="preserve"> </w:t>
      </w:r>
      <w:r>
        <w:rPr>
          <w:iCs/>
          <w:i/>
        </w:rPr>
        <w:t xml:space="preserve">Eur J Appl Physiol</w:t>
      </w:r>
      <w:r>
        <w:t xml:space="preserve"> </w:t>
      </w:r>
      <w:r>
        <w:t xml:space="preserve">· The effect of 4 weeks beta-alanine supplementation and isokinetic training on carnosine concentrations in type I and II human skeletal muscle fibres. PMID 19214556</w:t>
      </w:r>
    </w:p>
    <w:p>
      <w:pPr>
        <w:numPr>
          <w:ilvl w:val="0"/>
          <w:numId w:val="1423"/>
        </w:numPr>
        <w:pStyle w:val="Compact"/>
      </w:pPr>
      <w:r>
        <w:t xml:space="preserve">2009 · Kairaluoma L ·</w:t>
      </w:r>
      <w:r>
        <w:t xml:space="preserve"> </w:t>
      </w:r>
      <w:r>
        <w:rPr>
          <w:iCs/>
          <w:i/>
        </w:rPr>
        <w:t xml:space="preserve">Child Care Health Dev</w:t>
      </w:r>
      <w:r>
        <w:t xml:space="preserve"> </w:t>
      </w:r>
      <w:r>
        <w:t xml:space="preserve">· Do fatty acids help in overcoming reading difficulties? A double-blind, placebo-controlled study of the effects of eicosapentaenoic acid and carnosine supplementation on children with dyslexia. PMID 18991979</w:t>
      </w:r>
    </w:p>
    <w:p>
      <w:pPr>
        <w:numPr>
          <w:ilvl w:val="0"/>
          <w:numId w:val="1423"/>
        </w:numPr>
        <w:pStyle w:val="Compact"/>
      </w:pPr>
      <w:r>
        <w:t xml:space="preserve">2007 · Derave W ·</w:t>
      </w:r>
      <w:r>
        <w:t xml:space="preserve"> </w:t>
      </w:r>
      <w:r>
        <w:rPr>
          <w:iCs/>
          <w:i/>
        </w:rPr>
        <w:t xml:space="preserve">J Appl Physiol (1985)</w:t>
      </w:r>
      <w:r>
        <w:t xml:space="preserve"> </w:t>
      </w:r>
      <w:r>
        <w:t xml:space="preserve">· beta-Alanine supplementation augments muscle carnosine content and attenuates fatigue during repeated isokinetic contraction bouts in trained sprinters. PMID 17690198</w:t>
      </w:r>
    </w:p>
    <w:p>
      <w:pPr>
        <w:numPr>
          <w:ilvl w:val="0"/>
          <w:numId w:val="1423"/>
        </w:numPr>
        <w:pStyle w:val="Compact"/>
      </w:pPr>
      <w:r>
        <w:t xml:space="preserve">2007 · Mahmood A ·</w:t>
      </w:r>
      <w:r>
        <w:t xml:space="preserve"> </w:t>
      </w:r>
      <w:r>
        <w:rPr>
          <w:iCs/>
          <w:i/>
        </w:rPr>
        <w:t xml:space="preserve">Gut</w:t>
      </w:r>
      <w:r>
        <w:t xml:space="preserve"> </w:t>
      </w:r>
      <w:r>
        <w:t xml:space="preserve">· Zinc carnosine, a health food supplement that stabilises small bowel integrity and stimulates gut repair processes. PMID 16777920</w:t>
      </w:r>
    </w:p>
    <w:p>
      <w:pPr>
        <w:numPr>
          <w:ilvl w:val="0"/>
          <w:numId w:val="1423"/>
        </w:numPr>
        <w:pStyle w:val="Compact"/>
      </w:pPr>
      <w:r>
        <w:t xml:space="preserve">2006 · Harris RC ·</w:t>
      </w:r>
      <w:r>
        <w:t xml:space="preserve"> </w:t>
      </w:r>
      <w:r>
        <w:rPr>
          <w:iCs/>
          <w:i/>
        </w:rPr>
        <w:t xml:space="preserve">Amino Acids</w:t>
      </w:r>
      <w:r>
        <w:t xml:space="preserve"> </w:t>
      </w:r>
      <w:r>
        <w:t xml:space="preserve">· The absorption of orally supplied beta-alanine and its effect on muscle carnosine synthesis in human vastus lateralis. PMID 16554972</w:t>
      </w:r>
    </w:p>
    <w:p>
      <w:pPr>
        <w:numPr>
          <w:ilvl w:val="0"/>
          <w:numId w:val="1423"/>
        </w:numPr>
        <w:pStyle w:val="Compact"/>
      </w:pPr>
      <w:r>
        <w:t xml:space="preserve">2006 · Suzuki Y ·</w:t>
      </w:r>
      <w:r>
        <w:t xml:space="preserve"> </w:t>
      </w:r>
      <w:r>
        <w:rPr>
          <w:iCs/>
          <w:i/>
        </w:rPr>
        <w:t xml:space="preserve">Med Sci Sports Exerc</w:t>
      </w:r>
      <w:r>
        <w:t xml:space="preserve"> </w:t>
      </w:r>
      <w:r>
        <w:t xml:space="preserve">· Carnosine and anserine ingestion enhances contribution of nonbicarbonate buffering. PMID 16531904</w:t>
      </w:r>
    </w:p>
    <w:p>
      <w:pPr>
        <w:numPr>
          <w:ilvl w:val="0"/>
          <w:numId w:val="1423"/>
        </w:numPr>
        <w:pStyle w:val="Compact"/>
      </w:pPr>
      <w:r>
        <w:t xml:space="preserve">2002 · Chez MG ·</w:t>
      </w:r>
      <w:r>
        <w:t xml:space="preserve"> </w:t>
      </w:r>
      <w:r>
        <w:rPr>
          <w:iCs/>
          <w:i/>
        </w:rPr>
        <w:t xml:space="preserve">J Child Neurol</w:t>
      </w:r>
      <w:r>
        <w:t xml:space="preserve"> </w:t>
      </w:r>
      <w:r>
        <w:t xml:space="preserve">· Double-blind, placebo-controlled study of L-carnosine supplementation in children with autistic spectrum disorders. PMID 12585724</w:t>
      </w:r>
    </w:p>
    <w:bookmarkEnd w:id="1170"/>
    <w:bookmarkStart w:id="1171" w:name="ghk-cu-koperpeptide-1"/>
    <w:p>
      <w:pPr>
        <w:pStyle w:val="Heading2"/>
      </w:pPr>
      <w:r>
        <w:t xml:space="preserve">GHK-Cu (koperpeptide) (1)</w:t>
      </w:r>
    </w:p>
    <w:p>
      <w:pPr>
        <w:numPr>
          <w:ilvl w:val="0"/>
          <w:numId w:val="1424"/>
        </w:numPr>
        <w:pStyle w:val="Compact"/>
      </w:pPr>
      <w:r>
        <w:t xml:space="preserve">2006 · Miller TR ·</w:t>
      </w:r>
      <w:r>
        <w:t xml:space="preserve"> </w:t>
      </w:r>
      <w:r>
        <w:rPr>
          <w:iCs/>
          <w:i/>
        </w:rPr>
        <w:t xml:space="preserve">Arch Facial Plast Surg</w:t>
      </w:r>
      <w:r>
        <w:t xml:space="preserve"> </w:t>
      </w:r>
      <w:r>
        <w:t xml:space="preserve">· Effects of topical copper tripeptide complex on CO2 laser-resurfaced skin. PMID 16847171</w:t>
      </w:r>
    </w:p>
    <w:bookmarkEnd w:id="1171"/>
    <w:bookmarkStart w:id="1172" w:name="palmitoyl-pentapeptide-4-matrixyl-1"/>
    <w:p>
      <w:pPr>
        <w:pStyle w:val="Heading2"/>
      </w:pPr>
      <w:r>
        <w:t xml:space="preserve">Palmitoyl-pentapeptide-4 (Matrixyl) (1)</w:t>
      </w:r>
    </w:p>
    <w:p>
      <w:pPr>
        <w:numPr>
          <w:ilvl w:val="0"/>
          <w:numId w:val="1425"/>
        </w:numPr>
        <w:pStyle w:val="Compact"/>
      </w:pPr>
      <w:r>
        <w:t xml:space="preserve">2004 · Röper B ·</w:t>
      </w:r>
      <w:r>
        <w:t xml:space="preserve"> </w:t>
      </w:r>
      <w:r>
        <w:rPr>
          <w:iCs/>
          <w:i/>
        </w:rPr>
        <w:t xml:space="preserve">Strahlenther Onkol</w:t>
      </w:r>
      <w:r>
        <w:t xml:space="preserve"> </w:t>
      </w:r>
      <w:r>
        <w:t xml:space="preserve">· Thêta-Cream versus Bepanthol lotion in breast cancer patients under radiotherapy. A new prophylactic agent in skin care?. PMID 15127162</w:t>
      </w:r>
    </w:p>
    <w:bookmarkEnd w:id="1172"/>
    <w:bookmarkStart w:id="1173" w:name="acetyl-hexapeptide-8-argireline-3"/>
    <w:p>
      <w:pPr>
        <w:pStyle w:val="Heading2"/>
      </w:pPr>
      <w:r>
        <w:t xml:space="preserve">Acetyl-hexapeptide-8 (Argireline) (3)</w:t>
      </w:r>
    </w:p>
    <w:p>
      <w:pPr>
        <w:numPr>
          <w:ilvl w:val="0"/>
          <w:numId w:val="1426"/>
        </w:numPr>
        <w:pStyle w:val="Compact"/>
      </w:pPr>
      <w:r>
        <w:t xml:space="preserve">2017 · Raikou V ·</w:t>
      </w:r>
      <w:r>
        <w:t xml:space="preserve"> </w:t>
      </w:r>
      <w:r>
        <w:rPr>
          <w:iCs/>
          <w:i/>
        </w:rPr>
        <w:t xml:space="preserve">J Cosmet Dermatol</w:t>
      </w:r>
      <w:r>
        <w:t xml:space="preserve"> </w:t>
      </w:r>
      <w:r>
        <w:t xml:space="preserve">· The efficacy study of the combination of tripeptide-10-citrulline and acetyl hexapeptide-3. A prospective, randomized controlled study. PMID 28150423</w:t>
      </w:r>
    </w:p>
    <w:p>
      <w:pPr>
        <w:numPr>
          <w:ilvl w:val="0"/>
          <w:numId w:val="1426"/>
        </w:numPr>
        <w:pStyle w:val="Compact"/>
      </w:pPr>
      <w:r>
        <w:t xml:space="preserve">2013 · Wang Y ·</w:t>
      </w:r>
      <w:r>
        <w:t xml:space="preserve"> </w:t>
      </w:r>
      <w:r>
        <w:rPr>
          <w:iCs/>
          <w:i/>
        </w:rPr>
        <w:t xml:space="preserve">Am J Clin Dermatol</w:t>
      </w:r>
      <w:r>
        <w:t xml:space="preserve"> </w:t>
      </w:r>
      <w:r>
        <w:t xml:space="preserve">· The anti-wrinkle efficacy of argireline, a synthetic hexapeptide, in Chinese subjects: a randomized, placebo-controlled study. PMID 23417317</w:t>
      </w:r>
    </w:p>
    <w:p>
      <w:pPr>
        <w:numPr>
          <w:ilvl w:val="0"/>
          <w:numId w:val="1426"/>
        </w:numPr>
        <w:pStyle w:val="Compact"/>
      </w:pPr>
      <w:r>
        <w:t xml:space="preserve">2013 · Lungu C ·</w:t>
      </w:r>
      <w:r>
        <w:t xml:space="preserve"> </w:t>
      </w:r>
      <w:r>
        <w:rPr>
          <w:iCs/>
          <w:i/>
        </w:rPr>
        <w:t xml:space="preserve">Eur J Neurol</w:t>
      </w:r>
      <w:r>
        <w:t xml:space="preserve"> </w:t>
      </w:r>
      <w:r>
        <w:t xml:space="preserve">· Pilot study of topical acetyl hexapeptide-8 in the treatment for blepharospasm in patients receiving botulinum toxin therapy. PMID 23146065</w:t>
      </w:r>
    </w:p>
    <w:bookmarkEnd w:id="1173"/>
    <w:bookmarkEnd w:id="11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1"/>
  </w:num>
  <w:num w:numId="1420">
    <w:abstractNumId w:val="991"/>
  </w:num>
  <w:num w:numId="1421">
    <w:abstractNumId w:val="991"/>
  </w:num>
  <w:num w:numId="1422">
    <w:abstractNumId w:val="991"/>
  </w:num>
  <w:num w:numId="1423">
    <w:abstractNumId w:val="991"/>
  </w:num>
  <w:num w:numId="1424">
    <w:abstractNumId w:val="991"/>
  </w:num>
  <w:num w:numId="1425">
    <w:abstractNumId w:val="991"/>
  </w:num>
  <w:num w:numId="14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nl-NL"/>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58 peptiden, van semaglutide tot BPC-157: wat studies bij mensen echt laten zien, welke risico’s bekend zijn, hoe de wetgeving eruitziet en waar het onderzoek naartoe gaat.</dc:description>
  <dc:language>nl-NL</dc:language>
  <dc:subject/>
  <cp:keywords/>
  <dcterms:created xsi:type="dcterms:W3CDTF">2026-10-29T16:20:07Z</dcterms:created>
  <dcterms:modified xsi:type="dcterms:W3CDTF">2026-10-29T16:20:07Z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
  </property>
  <property fmtid="{D5CDD505-2E9C-101B-9397-08002B2CF9AE}" pid="3" name="date">
    <vt:lpwstr>2026-11</vt:lpwstr>
  </property>
  <property fmtid="{D5CDD505-2E9C-101B-9397-08002B2CF9AE}" pid="4" name="rights">
    <vt:lpwstr>© 2026 Josef Gallab. Alle rechten voorbehouden.</vt:lpwstr>
  </property>
  <property fmtid="{D5CDD505-2E9C-101B-9397-08002B2CF9AE}" pid="5" name="toc-title">
    <vt:lpwstr>Inhoud</vt:lpwstr>
  </property>
</Properties>
</file>